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C8101A">
        <w:rPr>
          <w:rFonts w:asciiTheme="minorHAnsi" w:hAnsiTheme="minorHAnsi" w:cstheme="minorHAnsi"/>
          <w:b/>
          <w:sz w:val="48"/>
          <w:szCs w:val="48"/>
        </w:rPr>
        <w:t>3</w:t>
      </w:r>
      <w:r w:rsidR="00160963">
        <w:rPr>
          <w:rFonts w:asciiTheme="minorHAnsi" w:hAnsiTheme="minorHAnsi" w:cstheme="minorHAnsi"/>
          <w:b/>
          <w:sz w:val="48"/>
          <w:szCs w:val="48"/>
        </w:rPr>
        <w:t>LG090</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2C63F9">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160963" w:rsidP="00DA690B">
      <w:pPr>
        <w:rPr>
          <w:rFonts w:asciiTheme="minorHAnsi" w:hAnsiTheme="minorHAnsi" w:cstheme="minorHAnsi"/>
          <w:b/>
          <w:sz w:val="72"/>
          <w:szCs w:val="72"/>
        </w:rPr>
      </w:pPr>
      <w:r>
        <w:rPr>
          <w:rFonts w:asciiTheme="minorHAnsi" w:hAnsiTheme="minorHAnsi" w:cstheme="minorHAnsi"/>
          <w:b/>
          <w:sz w:val="72"/>
          <w:szCs w:val="72"/>
        </w:rPr>
        <w:t>Interior Induction Lighting</w:t>
      </w: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9B2030" w:rsidP="009824E9">
            <w:pPr>
              <w:rPr>
                <w:rFonts w:asciiTheme="minorHAnsi" w:hAnsiTheme="minorHAnsi" w:cs="Arial"/>
                <w:b w:val="0"/>
                <w:bCs w:val="0"/>
                <w:sz w:val="20"/>
                <w:szCs w:val="20"/>
              </w:rPr>
            </w:pPr>
            <w:r>
              <w:rPr>
                <w:rFonts w:asciiTheme="minorHAnsi" w:hAnsiTheme="minorHAnsi" w:cs="Arial"/>
                <w:i/>
                <w:sz w:val="20"/>
                <w:szCs w:val="20"/>
              </w:rPr>
              <w:t>LT-51211, LT-26734, LT-80108, LT-34098, LT-69009</w:t>
            </w:r>
            <w:r w:rsidR="00AC5309" w:rsidRPr="00697868">
              <w:rPr>
                <w:rFonts w:asciiTheme="minorHAnsi" w:hAnsiTheme="minorHAnsi" w:cs="Arial"/>
                <w:i/>
                <w:sz w:val="20"/>
                <w:szCs w:val="20"/>
              </w:rPr>
              <w:t xml:space="preserve"> </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D2008E" w:rsidRDefault="009B2030" w:rsidP="00D2008E">
            <w:pPr>
              <w:rPr>
                <w:rFonts w:asciiTheme="minorHAnsi" w:hAnsiTheme="minorHAnsi" w:cs="Arial"/>
                <w:sz w:val="20"/>
                <w:szCs w:val="20"/>
              </w:rPr>
            </w:pPr>
            <w:r w:rsidRPr="00D2008E">
              <w:rPr>
                <w:rFonts w:asciiTheme="minorHAnsi" w:hAnsiTheme="minorHAnsi" w:cs="Arial"/>
                <w:sz w:val="20"/>
                <w:szCs w:val="20"/>
              </w:rPr>
              <w:t>Replacement induction lighting fixtures which must be more efficient and have a lower Wattage value than the base case.</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9B2030" w:rsidRDefault="009B2030" w:rsidP="009B2030">
            <w:pPr>
              <w:rPr>
                <w:rFonts w:asciiTheme="minorHAnsi" w:hAnsiTheme="minorHAnsi" w:cs="Arial"/>
                <w:sz w:val="20"/>
                <w:szCs w:val="20"/>
              </w:rPr>
            </w:pPr>
            <w:r w:rsidRPr="00D2008E">
              <w:rPr>
                <w:rFonts w:asciiTheme="minorHAnsi" w:hAnsiTheme="minorHAnsi" w:cs="Arial"/>
                <w:sz w:val="20"/>
                <w:szCs w:val="20"/>
              </w:rPr>
              <w:t>The existing interior lights must be incandescent, mercury vapor, standard metal halide, or high pressure sodium.</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513D1A">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9B2030" w:rsidP="00513D1A">
            <w:pPr>
              <w:rPr>
                <w:rFonts w:asciiTheme="minorHAnsi" w:hAnsiTheme="minorHAnsi" w:cs="Arial"/>
                <w:sz w:val="20"/>
                <w:szCs w:val="20"/>
              </w:rPr>
            </w:pPr>
            <w:r>
              <w:rPr>
                <w:rFonts w:asciiTheme="minorHAnsi" w:hAnsiTheme="minorHAnsi" w:cs="Arial"/>
                <w:sz w:val="20"/>
                <w:szCs w:val="20"/>
              </w:rPr>
              <w:t>Per fixture</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9A3425"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9A3425" w:rsidRPr="00697868" w:rsidRDefault="009A3425"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9A3425" w:rsidRPr="00407ACE" w:rsidRDefault="009A3425" w:rsidP="00EF646D">
            <w:pPr>
              <w:rPr>
                <w:rFonts w:asciiTheme="minorHAnsi" w:hAnsiTheme="minorHAnsi" w:cstheme="minorHAnsi"/>
                <w:sz w:val="20"/>
                <w:szCs w:val="20"/>
              </w:rPr>
            </w:pPr>
            <w:r w:rsidRPr="0054570B">
              <w:rPr>
                <w:rFonts w:asciiTheme="minorHAnsi" w:hAnsiTheme="minorHAnsi" w:cstheme="minorHAnsi"/>
                <w:sz w:val="20"/>
                <w:szCs w:val="20"/>
              </w:rPr>
              <w:t>EUL varies by building type</w:t>
            </w:r>
            <w:r>
              <w:rPr>
                <w:rFonts w:asciiTheme="minorHAnsi" w:hAnsiTheme="minorHAnsi" w:cstheme="minorHAnsi"/>
                <w:sz w:val="20"/>
                <w:szCs w:val="20"/>
              </w:rPr>
              <w:t xml:space="preserve">.  </w:t>
            </w:r>
            <w:r w:rsidRPr="0054570B">
              <w:rPr>
                <w:rFonts w:asciiTheme="minorHAnsi" w:hAnsiTheme="minorHAnsi" w:cstheme="minorHAnsi"/>
                <w:sz w:val="20"/>
                <w:szCs w:val="20"/>
              </w:rPr>
              <w:t xml:space="preserve">EUL = </w:t>
            </w:r>
            <w:r>
              <w:rPr>
                <w:rFonts w:asciiTheme="minorHAnsi" w:hAnsiTheme="minorHAnsi" w:cstheme="minorHAnsi"/>
                <w:sz w:val="20"/>
                <w:szCs w:val="20"/>
              </w:rPr>
              <w:t>14.3 for Grocery and Food Store; EUL = 13.3 for Health / Medical – Hospital;   EUL = 14.7 for Warehouse-Refrigerated; EUL = 15 for all other building types.</w:t>
            </w:r>
          </w:p>
        </w:tc>
      </w:tr>
      <w:tr w:rsidR="009A3425"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9A3425" w:rsidRPr="00697868" w:rsidRDefault="009A3425"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9A3425" w:rsidRPr="00697868" w:rsidRDefault="009A3425" w:rsidP="00460350">
            <w:pPr>
              <w:rPr>
                <w:rFonts w:asciiTheme="minorHAnsi" w:hAnsiTheme="minorHAnsi" w:cs="Arial"/>
                <w:sz w:val="20"/>
                <w:szCs w:val="20"/>
              </w:rPr>
            </w:pPr>
            <w:r w:rsidRPr="00697868">
              <w:rPr>
                <w:rFonts w:asciiTheme="minorHAnsi" w:hAnsiTheme="minorHAnsi" w:cs="Arial"/>
                <w:sz w:val="20"/>
                <w:szCs w:val="20"/>
              </w:rPr>
              <w:t>Replace on Burnout (ROB)</w:t>
            </w:r>
            <w:r w:rsidR="009B2030">
              <w:rPr>
                <w:rFonts w:asciiTheme="minorHAnsi" w:hAnsiTheme="minorHAnsi" w:cs="Arial"/>
                <w:sz w:val="20"/>
                <w:szCs w:val="20"/>
              </w:rPr>
              <w:t>.</w:t>
            </w:r>
            <w:r w:rsidRPr="00697868">
              <w:rPr>
                <w:rFonts w:asciiTheme="minorHAnsi" w:hAnsiTheme="minorHAnsi" w:cs="Arial"/>
                <w:sz w:val="20"/>
                <w:szCs w:val="20"/>
              </w:rPr>
              <w:t xml:space="preserve"> </w:t>
            </w:r>
          </w:p>
        </w:tc>
      </w:tr>
      <w:tr w:rsidR="009A3425"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9A3425" w:rsidRPr="00697868" w:rsidRDefault="009A3425"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9A3425" w:rsidRPr="00697868" w:rsidRDefault="009A3425" w:rsidP="00C52CD5">
            <w:pPr>
              <w:rPr>
                <w:rFonts w:asciiTheme="minorHAnsi" w:hAnsiTheme="minorHAnsi" w:cs="Arial"/>
                <w:sz w:val="20"/>
                <w:szCs w:val="20"/>
              </w:rPr>
            </w:pPr>
            <w:r>
              <w:rPr>
                <w:rFonts w:asciiTheme="minorHAnsi" w:hAnsiTheme="minorHAnsi" w:cs="Arial"/>
                <w:sz w:val="20"/>
                <w:szCs w:val="20"/>
              </w:rPr>
              <w:t>NTG = 0.6 Sector</w:t>
            </w:r>
            <w:r w:rsidR="00093792">
              <w:rPr>
                <w:rFonts w:asciiTheme="minorHAnsi" w:hAnsiTheme="minorHAnsi" w:cs="Arial"/>
                <w:sz w:val="20"/>
                <w:szCs w:val="20"/>
              </w:rPr>
              <w:t>s</w:t>
            </w:r>
            <w:r>
              <w:rPr>
                <w:rFonts w:asciiTheme="minorHAnsi" w:hAnsiTheme="minorHAnsi" w:cs="Arial"/>
                <w:sz w:val="20"/>
                <w:szCs w:val="20"/>
              </w:rPr>
              <w:t xml:space="preserve"> and Program Delivery type</w:t>
            </w:r>
            <w:r w:rsidR="00093792">
              <w:rPr>
                <w:rFonts w:asciiTheme="minorHAnsi" w:hAnsiTheme="minorHAnsi" w:cs="Arial"/>
                <w:sz w:val="20"/>
                <w:szCs w:val="20"/>
              </w:rPr>
              <w:t>s herein</w:t>
            </w:r>
            <w:r>
              <w:rPr>
                <w:rFonts w:asciiTheme="minorHAnsi" w:hAnsiTheme="minorHAnsi" w:cs="Arial"/>
                <w:sz w:val="20"/>
                <w:szCs w:val="20"/>
              </w:rPr>
              <w:t>.</w:t>
            </w:r>
          </w:p>
        </w:tc>
      </w:tr>
      <w:tr w:rsidR="009A3425"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9A3425" w:rsidRPr="00697868" w:rsidRDefault="009A3425"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9A3425" w:rsidRPr="00697868" w:rsidRDefault="00EF646D" w:rsidP="00EF646D">
            <w:pPr>
              <w:rPr>
                <w:rFonts w:asciiTheme="minorHAnsi" w:hAnsiTheme="minorHAnsi" w:cs="Arial"/>
                <w:sz w:val="20"/>
                <w:szCs w:val="20"/>
              </w:rPr>
            </w:pPr>
            <w:r>
              <w:rPr>
                <w:rFonts w:asciiTheme="minorHAnsi" w:hAnsiTheme="minorHAnsi" w:cs="Arial"/>
                <w:sz w:val="20"/>
                <w:szCs w:val="20"/>
              </w:rPr>
              <w:t xml:space="preserve">-This </w:t>
            </w:r>
            <w:proofErr w:type="spellStart"/>
            <w:r>
              <w:rPr>
                <w:rFonts w:asciiTheme="minorHAnsi" w:hAnsiTheme="minorHAnsi" w:cs="Arial"/>
                <w:sz w:val="20"/>
                <w:szCs w:val="20"/>
              </w:rPr>
              <w:t>workpaper</w:t>
            </w:r>
            <w:proofErr w:type="spellEnd"/>
            <w:r>
              <w:rPr>
                <w:rFonts w:asciiTheme="minorHAnsi" w:hAnsiTheme="minorHAnsi" w:cs="Arial"/>
                <w:sz w:val="20"/>
                <w:szCs w:val="20"/>
              </w:rPr>
              <w:t xml:space="preserve">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D2008E"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D2008E" w:rsidRDefault="00D2008E" w:rsidP="00EF646D">
            <w:pPr>
              <w:rPr>
                <w:rFonts w:asciiTheme="minorHAnsi" w:hAnsiTheme="minorHAnsi" w:cstheme="minorHAnsi"/>
                <w:sz w:val="20"/>
                <w:szCs w:val="20"/>
              </w:rPr>
            </w:pPr>
            <w:r>
              <w:rPr>
                <w:rFonts w:asciiTheme="minorHAnsi" w:hAnsiTheme="minorHAnsi" w:cstheme="minorHAnsi"/>
                <w:sz w:val="20"/>
                <w:szCs w:val="20"/>
              </w:rPr>
              <w:t>SCE13LG090.0</w:t>
            </w:r>
          </w:p>
        </w:tc>
        <w:tc>
          <w:tcPr>
            <w:tcW w:w="517" w:type="pct"/>
          </w:tcPr>
          <w:p w:rsidR="00D2008E" w:rsidRDefault="008003EF" w:rsidP="00EF646D">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D2008E" w:rsidRPr="005734A4" w:rsidRDefault="00D2008E" w:rsidP="00D2008E">
            <w:pPr>
              <w:jc w:val="center"/>
              <w:rPr>
                <w:rFonts w:asciiTheme="minorHAnsi" w:hAnsiTheme="minorHAnsi" w:cstheme="minorHAnsi"/>
                <w:sz w:val="20"/>
                <w:szCs w:val="20"/>
              </w:rPr>
            </w:pPr>
            <w:r>
              <w:rPr>
                <w:rFonts w:asciiTheme="minorHAnsi" w:hAnsiTheme="minorHAnsi" w:cstheme="minorHAnsi"/>
                <w:sz w:val="20"/>
                <w:szCs w:val="20"/>
              </w:rPr>
              <w:t>04/02</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D2008E" w:rsidRPr="005734A4" w:rsidRDefault="00D2008E" w:rsidP="00D2008E">
            <w:pPr>
              <w:rPr>
                <w:rFonts w:asciiTheme="minorHAnsi" w:hAnsiTheme="minorHAnsi" w:cstheme="minorHAnsi"/>
                <w:sz w:val="20"/>
                <w:szCs w:val="20"/>
              </w:rPr>
            </w:pPr>
            <w:r>
              <w:rPr>
                <w:rFonts w:asciiTheme="minorHAnsi" w:hAnsiTheme="minorHAnsi" w:cstheme="minorHAnsi"/>
                <w:sz w:val="20"/>
                <w:szCs w:val="20"/>
              </w:rPr>
              <w:t xml:space="preserve">James </w:t>
            </w:r>
            <w:proofErr w:type="spellStart"/>
            <w:r>
              <w:rPr>
                <w:rFonts w:asciiTheme="minorHAnsi" w:hAnsiTheme="minorHAnsi" w:cstheme="minorHAnsi"/>
                <w:sz w:val="20"/>
                <w:szCs w:val="20"/>
              </w:rPr>
              <w:t>Gowen</w:t>
            </w:r>
            <w:proofErr w:type="spellEnd"/>
            <w:r>
              <w:rPr>
                <w:rFonts w:asciiTheme="minorHAnsi" w:hAnsiTheme="minorHAnsi" w:cstheme="minorHAnsi"/>
                <w:sz w:val="20"/>
                <w:szCs w:val="20"/>
              </w:rPr>
              <w:t>/Matrix</w:t>
            </w:r>
          </w:p>
        </w:tc>
        <w:tc>
          <w:tcPr>
            <w:tcW w:w="2124" w:type="pct"/>
          </w:tcPr>
          <w:p w:rsidR="00D2008E" w:rsidRPr="005734A4" w:rsidRDefault="00D2008E" w:rsidP="00D2008E">
            <w:pPr>
              <w:rPr>
                <w:rFonts w:asciiTheme="minorHAnsi" w:hAnsiTheme="minorHAnsi" w:cstheme="minorHAnsi"/>
                <w:sz w:val="20"/>
                <w:szCs w:val="20"/>
              </w:rPr>
            </w:pPr>
            <w:r>
              <w:rPr>
                <w:rFonts w:asciiTheme="minorHAnsi" w:hAnsiTheme="minorHAnsi" w:cstheme="minorHAnsi"/>
                <w:bCs/>
                <w:sz w:val="20"/>
                <w:szCs w:val="20"/>
              </w:rPr>
              <w:t>Updated work paper to new template</w:t>
            </w:r>
          </w:p>
        </w:tc>
      </w:tr>
      <w:tr w:rsidR="00D2008E"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vMerge w:val="restart"/>
          </w:tcPr>
          <w:p w:rsidR="00D2008E" w:rsidRPr="00697868" w:rsidRDefault="00D2008E" w:rsidP="00D2008E">
            <w:pPr>
              <w:rPr>
                <w:rFonts w:asciiTheme="minorHAnsi" w:hAnsiTheme="minorHAnsi" w:cstheme="minorHAnsi"/>
                <w:sz w:val="20"/>
                <w:szCs w:val="20"/>
              </w:rPr>
            </w:pPr>
            <w:r>
              <w:rPr>
                <w:rFonts w:asciiTheme="minorHAnsi" w:hAnsiTheme="minorHAnsi" w:cstheme="minorHAnsi"/>
                <w:sz w:val="20"/>
                <w:szCs w:val="20"/>
              </w:rPr>
              <w:t>SCE13LG090.1</w:t>
            </w:r>
          </w:p>
        </w:tc>
        <w:tc>
          <w:tcPr>
            <w:tcW w:w="517" w:type="pct"/>
            <w:vMerge w:val="restart"/>
          </w:tcPr>
          <w:p w:rsidR="00D2008E" w:rsidRPr="00697868" w:rsidRDefault="008003EF" w:rsidP="00EF646D">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vMerge w:val="restart"/>
          </w:tcPr>
          <w:p w:rsidR="00D2008E" w:rsidRPr="00697868" w:rsidRDefault="00D2008E" w:rsidP="00E01EC0">
            <w:pPr>
              <w:jc w:val="center"/>
              <w:rPr>
                <w:rFonts w:asciiTheme="minorHAnsi" w:hAnsiTheme="minorHAnsi" w:cstheme="minorHAnsi"/>
                <w:sz w:val="20"/>
                <w:szCs w:val="20"/>
              </w:rPr>
            </w:pPr>
            <w:r>
              <w:rPr>
                <w:rFonts w:asciiTheme="minorHAnsi" w:hAnsiTheme="minorHAnsi" w:cstheme="minorHAnsi"/>
                <w:sz w:val="20"/>
                <w:szCs w:val="20"/>
              </w:rPr>
              <w:t>7/24/14</w:t>
            </w:r>
          </w:p>
        </w:tc>
        <w:tc>
          <w:tcPr>
            <w:tcW w:w="940" w:type="pct"/>
          </w:tcPr>
          <w:p w:rsidR="00D2008E" w:rsidRPr="00697868" w:rsidRDefault="00D2008E" w:rsidP="00EF646D">
            <w:pPr>
              <w:rPr>
                <w:rFonts w:asciiTheme="minorHAnsi" w:hAnsiTheme="minorHAnsi" w:cstheme="minorHAnsi"/>
                <w:sz w:val="20"/>
                <w:szCs w:val="20"/>
              </w:rPr>
            </w:pPr>
            <w:r>
              <w:rPr>
                <w:rFonts w:asciiTheme="minorHAnsi" w:hAnsiTheme="minorHAnsi" w:cstheme="minorHAnsi"/>
                <w:sz w:val="20"/>
                <w:szCs w:val="20"/>
              </w:rPr>
              <w:t>David Pruitt/PL Energy</w:t>
            </w:r>
          </w:p>
        </w:tc>
        <w:tc>
          <w:tcPr>
            <w:tcW w:w="2124" w:type="pct"/>
          </w:tcPr>
          <w:p w:rsidR="00D2008E" w:rsidRDefault="00D2008E" w:rsidP="00EF646D">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New template for 2015 program year.</w:t>
            </w:r>
          </w:p>
          <w:p w:rsidR="00D2008E" w:rsidRPr="00697868" w:rsidRDefault="00D2008E" w:rsidP="00EF646D">
            <w:pPr>
              <w:rPr>
                <w:rFonts w:asciiTheme="minorHAnsi" w:hAnsiTheme="minorHAnsi" w:cstheme="minorHAnsi"/>
                <w:bCs/>
                <w:sz w:val="20"/>
                <w:szCs w:val="20"/>
              </w:rPr>
            </w:pPr>
            <w:r>
              <w:rPr>
                <w:rFonts w:asciiTheme="minorHAnsi" w:hAnsiTheme="minorHAnsi" w:cstheme="minorHAnsi"/>
                <w:bCs/>
                <w:sz w:val="20"/>
                <w:szCs w:val="20"/>
              </w:rPr>
              <w:t>- Used measure Wattages from the ED lighting disposition table dated 30 May, 2014.</w:t>
            </w:r>
          </w:p>
        </w:tc>
      </w:tr>
      <w:tr w:rsidR="00D2008E"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vMerge/>
          </w:tcPr>
          <w:p w:rsidR="00D2008E" w:rsidRDefault="00D2008E" w:rsidP="00EF646D">
            <w:pPr>
              <w:rPr>
                <w:rFonts w:asciiTheme="minorHAnsi" w:hAnsiTheme="minorHAnsi" w:cstheme="minorHAnsi"/>
                <w:sz w:val="20"/>
                <w:szCs w:val="20"/>
              </w:rPr>
            </w:pPr>
          </w:p>
        </w:tc>
        <w:tc>
          <w:tcPr>
            <w:tcW w:w="517" w:type="pct"/>
            <w:vMerge/>
          </w:tcPr>
          <w:p w:rsidR="00D2008E" w:rsidRDefault="00D2008E" w:rsidP="00EF646D">
            <w:pPr>
              <w:jc w:val="center"/>
              <w:rPr>
                <w:rFonts w:asciiTheme="minorHAnsi" w:hAnsiTheme="minorHAnsi" w:cstheme="minorHAnsi"/>
                <w:sz w:val="20"/>
                <w:szCs w:val="20"/>
              </w:rPr>
            </w:pPr>
          </w:p>
        </w:tc>
        <w:tc>
          <w:tcPr>
            <w:tcW w:w="658" w:type="pct"/>
            <w:vMerge/>
          </w:tcPr>
          <w:p w:rsidR="00D2008E" w:rsidRDefault="00D2008E" w:rsidP="00E01EC0">
            <w:pPr>
              <w:jc w:val="center"/>
              <w:rPr>
                <w:rFonts w:asciiTheme="minorHAnsi" w:hAnsiTheme="minorHAnsi" w:cstheme="minorHAnsi"/>
                <w:sz w:val="20"/>
                <w:szCs w:val="20"/>
              </w:rPr>
            </w:pPr>
          </w:p>
        </w:tc>
        <w:tc>
          <w:tcPr>
            <w:tcW w:w="940" w:type="pct"/>
          </w:tcPr>
          <w:p w:rsidR="00D2008E" w:rsidRDefault="00D2008E" w:rsidP="00EF646D">
            <w:pPr>
              <w:rPr>
                <w:rFonts w:asciiTheme="minorHAnsi" w:hAnsiTheme="minorHAnsi" w:cstheme="minorHAnsi"/>
                <w:sz w:val="20"/>
                <w:szCs w:val="20"/>
              </w:rPr>
            </w:pPr>
            <w:r>
              <w:rPr>
                <w:rFonts w:asciiTheme="minorHAnsi" w:hAnsiTheme="minorHAnsi" w:cstheme="minorHAnsi"/>
                <w:sz w:val="20"/>
                <w:szCs w:val="20"/>
              </w:rPr>
              <w:t xml:space="preserve">Jack </w:t>
            </w:r>
            <w:proofErr w:type="spellStart"/>
            <w:r>
              <w:rPr>
                <w:rFonts w:asciiTheme="minorHAnsi" w:hAnsiTheme="minorHAnsi" w:cstheme="minorHAnsi"/>
                <w:sz w:val="20"/>
                <w:szCs w:val="20"/>
              </w:rPr>
              <w:t>Melnyk</w:t>
            </w:r>
            <w:proofErr w:type="spellEnd"/>
            <w:r>
              <w:rPr>
                <w:rFonts w:asciiTheme="minorHAnsi" w:hAnsiTheme="minorHAnsi" w:cstheme="minorHAnsi"/>
                <w:sz w:val="20"/>
                <w:szCs w:val="20"/>
              </w:rPr>
              <w:t>/SCE</w:t>
            </w:r>
          </w:p>
        </w:tc>
        <w:tc>
          <w:tcPr>
            <w:tcW w:w="2124" w:type="pct"/>
          </w:tcPr>
          <w:p w:rsidR="00D2008E" w:rsidRDefault="00D2008E" w:rsidP="00460350">
            <w:pPr>
              <w:rPr>
                <w:rFonts w:asciiTheme="minorHAnsi" w:hAnsiTheme="minorHAnsi" w:cstheme="minorHAnsi"/>
                <w:bCs/>
                <w:sz w:val="20"/>
                <w:szCs w:val="20"/>
              </w:rPr>
            </w:pPr>
            <w:r>
              <w:rPr>
                <w:rFonts w:asciiTheme="minorHAnsi" w:hAnsiTheme="minorHAnsi" w:cstheme="minorHAnsi"/>
                <w:bCs/>
                <w:sz w:val="20"/>
                <w:szCs w:val="20"/>
              </w:rPr>
              <w:t xml:space="preserve">-Updated </w:t>
            </w:r>
            <w:proofErr w:type="spellStart"/>
            <w:r>
              <w:rPr>
                <w:rFonts w:asciiTheme="minorHAnsi" w:hAnsiTheme="minorHAnsi" w:cstheme="minorHAnsi"/>
                <w:bCs/>
                <w:sz w:val="20"/>
                <w:szCs w:val="20"/>
              </w:rPr>
              <w:t>Calc</w:t>
            </w:r>
            <w:proofErr w:type="spellEnd"/>
            <w:r>
              <w:rPr>
                <w:rFonts w:asciiTheme="minorHAnsi" w:hAnsiTheme="minorHAnsi" w:cstheme="minorHAnsi"/>
                <w:bCs/>
                <w:sz w:val="20"/>
                <w:szCs w:val="20"/>
              </w:rPr>
              <w:t xml:space="preserve"> </w:t>
            </w:r>
            <w:proofErr w:type="spellStart"/>
            <w:r>
              <w:rPr>
                <w:rFonts w:asciiTheme="minorHAnsi" w:hAnsiTheme="minorHAnsi" w:cstheme="minorHAnsi"/>
                <w:bCs/>
                <w:sz w:val="20"/>
                <w:szCs w:val="20"/>
              </w:rPr>
              <w:t>Templ</w:t>
            </w:r>
            <w:proofErr w:type="spellEnd"/>
            <w:r>
              <w:rPr>
                <w:rFonts w:asciiTheme="minorHAnsi" w:hAnsiTheme="minorHAnsi" w:cstheme="minorHAnsi"/>
                <w:bCs/>
                <w:sz w:val="20"/>
                <w:szCs w:val="20"/>
              </w:rPr>
              <w:t xml:space="preserve"> to v4 2015</w:t>
            </w:r>
          </w:p>
          <w:p w:rsidR="00FD1632" w:rsidRDefault="00FD1632" w:rsidP="00460350">
            <w:pPr>
              <w:rPr>
                <w:rFonts w:asciiTheme="minorHAnsi" w:hAnsiTheme="minorHAnsi" w:cstheme="minorHAnsi"/>
                <w:bCs/>
                <w:sz w:val="20"/>
                <w:szCs w:val="20"/>
              </w:rPr>
            </w:pPr>
            <w:r>
              <w:rPr>
                <w:rFonts w:asciiTheme="minorHAnsi" w:hAnsiTheme="minorHAnsi" w:cstheme="minorHAnsi"/>
                <w:bCs/>
                <w:sz w:val="20"/>
                <w:szCs w:val="20"/>
              </w:rPr>
              <w:t>-Removed RET install type</w:t>
            </w:r>
          </w:p>
          <w:p w:rsidR="00985965" w:rsidRDefault="00985965" w:rsidP="00460350">
            <w:pPr>
              <w:rPr>
                <w:rFonts w:asciiTheme="minorHAnsi" w:hAnsiTheme="minorHAnsi" w:cstheme="minorHAnsi"/>
                <w:bCs/>
                <w:sz w:val="20"/>
                <w:szCs w:val="20"/>
              </w:rPr>
            </w:pPr>
            <w:r>
              <w:rPr>
                <w:rFonts w:asciiTheme="minorHAnsi" w:hAnsiTheme="minorHAnsi" w:cstheme="minorHAnsi"/>
                <w:bCs/>
                <w:sz w:val="20"/>
                <w:szCs w:val="20"/>
              </w:rPr>
              <w:t>-Modified some measure and base wattages from the ED disposition</w:t>
            </w:r>
          </w:p>
          <w:p w:rsidR="002C63F9" w:rsidRPr="00697868" w:rsidRDefault="002C63F9" w:rsidP="00460350">
            <w:p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7/1/2014-12/31/2014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160963" w:rsidRDefault="00160963" w:rsidP="00160963">
      <w:pPr>
        <w:pStyle w:val="Reminders"/>
        <w:rPr>
          <w:rFonts w:asciiTheme="minorHAnsi" w:hAnsiTheme="minorHAnsi" w:cstheme="minorHAnsi"/>
          <w:i w:val="0"/>
          <w:color w:val="auto"/>
          <w:sz w:val="22"/>
          <w:szCs w:val="22"/>
        </w:rPr>
      </w:pPr>
      <w:r w:rsidRPr="00A67BAE">
        <w:rPr>
          <w:rFonts w:asciiTheme="minorHAnsi" w:hAnsiTheme="minorHAnsi" w:cstheme="minorHAnsi"/>
          <w:i w:val="0"/>
          <w:color w:val="auto"/>
          <w:sz w:val="22"/>
          <w:szCs w:val="22"/>
        </w:rPr>
        <w:t xml:space="preserve">This work paper documents the E3 Calculator input values for replacing an existing interior lighting fixture with a more efficient induction lighting fixture. </w:t>
      </w:r>
      <w:r w:rsidR="00D2008E">
        <w:rPr>
          <w:rFonts w:asciiTheme="minorHAnsi" w:hAnsiTheme="minorHAnsi" w:cstheme="minorHAnsi"/>
          <w:i w:val="0"/>
          <w:color w:val="auto"/>
          <w:sz w:val="22"/>
          <w:szCs w:val="22"/>
        </w:rPr>
        <w:fldChar w:fldCharType="begin"/>
      </w:r>
      <w:r w:rsidR="00D2008E">
        <w:rPr>
          <w:rFonts w:asciiTheme="minorHAnsi" w:hAnsiTheme="minorHAnsi" w:cstheme="minorHAnsi"/>
          <w:i w:val="0"/>
          <w:color w:val="auto"/>
          <w:sz w:val="22"/>
          <w:szCs w:val="22"/>
        </w:rPr>
        <w:instrText xml:space="preserve"> REF _Ref394064086 \h  \* MERGEFORMAT </w:instrText>
      </w:r>
      <w:r w:rsidR="00D2008E">
        <w:rPr>
          <w:rFonts w:asciiTheme="minorHAnsi" w:hAnsiTheme="minorHAnsi" w:cstheme="minorHAnsi"/>
          <w:i w:val="0"/>
          <w:color w:val="auto"/>
          <w:sz w:val="22"/>
          <w:szCs w:val="22"/>
        </w:rPr>
      </w:r>
      <w:r w:rsidR="00D2008E">
        <w:rPr>
          <w:rFonts w:asciiTheme="minorHAnsi" w:hAnsiTheme="minorHAnsi" w:cstheme="minorHAnsi"/>
          <w:i w:val="0"/>
          <w:color w:val="auto"/>
          <w:sz w:val="22"/>
          <w:szCs w:val="22"/>
        </w:rPr>
        <w:fldChar w:fldCharType="separate"/>
      </w:r>
      <w:r w:rsidR="00395735" w:rsidRPr="00395735">
        <w:rPr>
          <w:rFonts w:asciiTheme="minorHAnsi" w:hAnsiTheme="minorHAnsi" w:cstheme="minorHAnsi"/>
          <w:i w:val="0"/>
          <w:color w:val="auto"/>
          <w:sz w:val="22"/>
          <w:szCs w:val="22"/>
        </w:rPr>
        <w:t>Table 1</w:t>
      </w:r>
      <w:r w:rsidR="00D2008E">
        <w:rPr>
          <w:rFonts w:asciiTheme="minorHAnsi" w:hAnsiTheme="minorHAnsi" w:cstheme="minorHAnsi"/>
          <w:i w:val="0"/>
          <w:color w:val="auto"/>
          <w:sz w:val="22"/>
          <w:szCs w:val="22"/>
        </w:rPr>
        <w:fldChar w:fldCharType="end"/>
      </w:r>
      <w:r w:rsidRPr="00A67BAE">
        <w:rPr>
          <w:rFonts w:asciiTheme="minorHAnsi" w:hAnsiTheme="minorHAnsi" w:cstheme="minorHAnsi"/>
          <w:i w:val="0"/>
          <w:color w:val="auto"/>
          <w:sz w:val="22"/>
          <w:szCs w:val="22"/>
        </w:rPr>
        <w:t xml:space="preserve"> below shows the 5 measure classifications that the existing base case wattage can fall into.</w:t>
      </w:r>
    </w:p>
    <w:p w:rsidR="00697868" w:rsidRDefault="00697868" w:rsidP="00697868">
      <w:pPr>
        <w:pStyle w:val="Reminde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bookmarkStart w:id="8" w:name="_Ref394064086"/>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395735">
        <w:rPr>
          <w:rFonts w:asciiTheme="minorHAnsi" w:hAnsiTheme="minorHAnsi" w:cstheme="minorHAnsi"/>
          <w:noProof/>
          <w:sz w:val="22"/>
          <w:szCs w:val="22"/>
        </w:rPr>
        <w:t>1</w:t>
      </w:r>
      <w:r w:rsidRPr="00697868">
        <w:rPr>
          <w:rFonts w:asciiTheme="minorHAnsi" w:hAnsiTheme="minorHAnsi" w:cstheme="minorHAnsi"/>
          <w:sz w:val="22"/>
          <w:szCs w:val="22"/>
        </w:rPr>
        <w:fldChar w:fldCharType="end"/>
      </w:r>
      <w:bookmarkEnd w:id="8"/>
      <w:r w:rsidRPr="00697868">
        <w:rPr>
          <w:rFonts w:asciiTheme="minorHAnsi" w:hAnsiTheme="minorHAnsi" w:cstheme="minorHAnsi"/>
          <w:sz w:val="22"/>
          <w:szCs w:val="22"/>
        </w:rPr>
        <w:t xml:space="preserve"> Measure Names</w:t>
      </w:r>
    </w:p>
    <w:tbl>
      <w:tblPr>
        <w:tblStyle w:val="TableContemporary"/>
        <w:tblW w:w="0" w:type="auto"/>
        <w:jc w:val="center"/>
        <w:tblInd w:w="-822" w:type="dxa"/>
        <w:tblLook w:val="04A0" w:firstRow="1" w:lastRow="0" w:firstColumn="1" w:lastColumn="0" w:noHBand="0" w:noVBand="1"/>
      </w:tblPr>
      <w:tblGrid>
        <w:gridCol w:w="1392"/>
        <w:gridCol w:w="8062"/>
      </w:tblGrid>
      <w:tr w:rsidR="00AC5309" w:rsidRPr="00697868" w:rsidTr="00D2008E">
        <w:trPr>
          <w:cnfStyle w:val="100000000000" w:firstRow="1" w:lastRow="0" w:firstColumn="0" w:lastColumn="0" w:oddVBand="0" w:evenVBand="0" w:oddHBand="0" w:evenHBand="0" w:firstRowFirstColumn="0" w:firstRowLastColumn="0" w:lastRowFirstColumn="0" w:lastRowLastColumn="0"/>
          <w:jc w:val="center"/>
        </w:trPr>
        <w:tc>
          <w:tcPr>
            <w:tcW w:w="1392"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8062"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160963" w:rsidRPr="00697868" w:rsidTr="00D2008E">
        <w:trPr>
          <w:cnfStyle w:val="000000100000" w:firstRow="0" w:lastRow="0" w:firstColumn="0" w:lastColumn="0" w:oddVBand="0" w:evenVBand="0" w:oddHBand="1" w:evenHBand="0" w:firstRowFirstColumn="0" w:firstRowLastColumn="0" w:lastRowFirstColumn="0" w:lastRowLastColumn="0"/>
          <w:trHeight w:val="243"/>
          <w:jc w:val="center"/>
        </w:trPr>
        <w:tc>
          <w:tcPr>
            <w:tcW w:w="1392" w:type="dxa"/>
            <w:vAlign w:val="bottom"/>
          </w:tcPr>
          <w:p w:rsidR="00160963" w:rsidRDefault="00160963" w:rsidP="00513D1A">
            <w:pPr>
              <w:rPr>
                <w:rFonts w:ascii="Calibri" w:hAnsi="Calibri" w:cs="Calibri"/>
                <w:sz w:val="20"/>
                <w:szCs w:val="20"/>
              </w:rPr>
            </w:pPr>
            <w:r>
              <w:rPr>
                <w:rFonts w:ascii="Calibri" w:hAnsi="Calibri" w:cs="Calibri"/>
                <w:sz w:val="20"/>
                <w:szCs w:val="20"/>
              </w:rPr>
              <w:t>LT-51211</w:t>
            </w:r>
          </w:p>
        </w:tc>
        <w:tc>
          <w:tcPr>
            <w:tcW w:w="8062" w:type="dxa"/>
            <w:vAlign w:val="bottom"/>
          </w:tcPr>
          <w:p w:rsidR="00160963" w:rsidRDefault="00160963" w:rsidP="00513D1A">
            <w:pPr>
              <w:rPr>
                <w:rFonts w:ascii="Calibri" w:hAnsi="Calibri" w:cs="Calibri"/>
                <w:sz w:val="20"/>
                <w:szCs w:val="20"/>
              </w:rPr>
            </w:pPr>
            <w:r>
              <w:rPr>
                <w:rFonts w:ascii="Calibri" w:hAnsi="Calibri" w:cs="Calibri"/>
                <w:sz w:val="20"/>
                <w:szCs w:val="20"/>
              </w:rPr>
              <w:t>Up to 70 Watt Interior Fixture Induction replacing less than or equal to 100 Watt lamp base case</w:t>
            </w:r>
          </w:p>
        </w:tc>
      </w:tr>
      <w:tr w:rsidR="00160963" w:rsidRPr="00697868" w:rsidTr="00D2008E">
        <w:trPr>
          <w:cnfStyle w:val="000000010000" w:firstRow="0" w:lastRow="0" w:firstColumn="0" w:lastColumn="0" w:oddVBand="0" w:evenVBand="0" w:oddHBand="0" w:evenHBand="1" w:firstRowFirstColumn="0" w:firstRowLastColumn="0" w:lastRowFirstColumn="0" w:lastRowLastColumn="0"/>
          <w:trHeight w:val="243"/>
          <w:jc w:val="center"/>
        </w:trPr>
        <w:tc>
          <w:tcPr>
            <w:tcW w:w="1392" w:type="dxa"/>
            <w:vAlign w:val="bottom"/>
          </w:tcPr>
          <w:p w:rsidR="00160963" w:rsidRDefault="00160963" w:rsidP="00513D1A">
            <w:pPr>
              <w:rPr>
                <w:rFonts w:ascii="Calibri" w:hAnsi="Calibri" w:cs="Calibri"/>
                <w:sz w:val="20"/>
                <w:szCs w:val="20"/>
              </w:rPr>
            </w:pPr>
            <w:r>
              <w:rPr>
                <w:rFonts w:ascii="Calibri" w:hAnsi="Calibri" w:cs="Calibri"/>
                <w:sz w:val="20"/>
                <w:szCs w:val="20"/>
              </w:rPr>
              <w:t>LT-26734</w:t>
            </w:r>
          </w:p>
        </w:tc>
        <w:tc>
          <w:tcPr>
            <w:tcW w:w="8062" w:type="dxa"/>
            <w:vAlign w:val="bottom"/>
          </w:tcPr>
          <w:p w:rsidR="00160963" w:rsidRDefault="00160963" w:rsidP="00513D1A">
            <w:pPr>
              <w:rPr>
                <w:rFonts w:ascii="Calibri" w:hAnsi="Calibri" w:cs="Calibri"/>
                <w:sz w:val="20"/>
                <w:szCs w:val="20"/>
              </w:rPr>
            </w:pPr>
            <w:r>
              <w:rPr>
                <w:rFonts w:ascii="Calibri" w:hAnsi="Calibri" w:cs="Calibri"/>
                <w:sz w:val="20"/>
                <w:szCs w:val="20"/>
              </w:rPr>
              <w:t>Up to 120 Watt Interior Fixture Induction replacing 101 - 175 Watt lamp base case</w:t>
            </w:r>
          </w:p>
        </w:tc>
      </w:tr>
      <w:tr w:rsidR="00160963" w:rsidRPr="00697868" w:rsidTr="00D2008E">
        <w:trPr>
          <w:cnfStyle w:val="000000100000" w:firstRow="0" w:lastRow="0" w:firstColumn="0" w:lastColumn="0" w:oddVBand="0" w:evenVBand="0" w:oddHBand="1" w:evenHBand="0" w:firstRowFirstColumn="0" w:firstRowLastColumn="0" w:lastRowFirstColumn="0" w:lastRowLastColumn="0"/>
          <w:trHeight w:val="243"/>
          <w:jc w:val="center"/>
        </w:trPr>
        <w:tc>
          <w:tcPr>
            <w:tcW w:w="1392" w:type="dxa"/>
            <w:vAlign w:val="bottom"/>
          </w:tcPr>
          <w:p w:rsidR="00160963" w:rsidRDefault="00160963" w:rsidP="00513D1A">
            <w:pPr>
              <w:rPr>
                <w:rFonts w:ascii="Calibri" w:hAnsi="Calibri" w:cs="Calibri"/>
                <w:sz w:val="20"/>
                <w:szCs w:val="20"/>
              </w:rPr>
            </w:pPr>
            <w:r>
              <w:rPr>
                <w:rFonts w:ascii="Calibri" w:hAnsi="Calibri" w:cs="Calibri"/>
                <w:sz w:val="20"/>
                <w:szCs w:val="20"/>
              </w:rPr>
              <w:t>LT-80108</w:t>
            </w:r>
          </w:p>
        </w:tc>
        <w:tc>
          <w:tcPr>
            <w:tcW w:w="8062" w:type="dxa"/>
            <w:vAlign w:val="bottom"/>
          </w:tcPr>
          <w:p w:rsidR="00160963" w:rsidRDefault="00160963" w:rsidP="00513D1A">
            <w:pPr>
              <w:rPr>
                <w:rFonts w:ascii="Calibri" w:hAnsi="Calibri" w:cs="Calibri"/>
                <w:sz w:val="20"/>
                <w:szCs w:val="20"/>
              </w:rPr>
            </w:pPr>
            <w:r>
              <w:rPr>
                <w:rFonts w:ascii="Calibri" w:hAnsi="Calibri" w:cs="Calibri"/>
                <w:sz w:val="20"/>
                <w:szCs w:val="20"/>
              </w:rPr>
              <w:t>Up to 180 Watt Interior Fixture Induction replacing 176 - 399 Watt lamp base case</w:t>
            </w:r>
          </w:p>
        </w:tc>
      </w:tr>
      <w:tr w:rsidR="00160963" w:rsidRPr="00697868" w:rsidTr="00D2008E">
        <w:trPr>
          <w:cnfStyle w:val="000000010000" w:firstRow="0" w:lastRow="0" w:firstColumn="0" w:lastColumn="0" w:oddVBand="0" w:evenVBand="0" w:oddHBand="0" w:evenHBand="1" w:firstRowFirstColumn="0" w:firstRowLastColumn="0" w:lastRowFirstColumn="0" w:lastRowLastColumn="0"/>
          <w:trHeight w:val="243"/>
          <w:jc w:val="center"/>
        </w:trPr>
        <w:tc>
          <w:tcPr>
            <w:tcW w:w="1392" w:type="dxa"/>
            <w:vAlign w:val="bottom"/>
          </w:tcPr>
          <w:p w:rsidR="00160963" w:rsidRDefault="00160963" w:rsidP="00513D1A">
            <w:pPr>
              <w:rPr>
                <w:rFonts w:ascii="Calibri" w:hAnsi="Calibri" w:cs="Calibri"/>
                <w:sz w:val="20"/>
                <w:szCs w:val="20"/>
              </w:rPr>
            </w:pPr>
            <w:r>
              <w:rPr>
                <w:rFonts w:ascii="Calibri" w:hAnsi="Calibri" w:cs="Calibri"/>
                <w:sz w:val="20"/>
                <w:szCs w:val="20"/>
              </w:rPr>
              <w:t>LT-34098</w:t>
            </w:r>
          </w:p>
        </w:tc>
        <w:tc>
          <w:tcPr>
            <w:tcW w:w="8062" w:type="dxa"/>
            <w:vAlign w:val="bottom"/>
          </w:tcPr>
          <w:p w:rsidR="00160963" w:rsidRDefault="00160963" w:rsidP="00513D1A">
            <w:pPr>
              <w:rPr>
                <w:rFonts w:ascii="Calibri" w:hAnsi="Calibri" w:cs="Calibri"/>
                <w:sz w:val="20"/>
                <w:szCs w:val="20"/>
              </w:rPr>
            </w:pPr>
            <w:r>
              <w:rPr>
                <w:rFonts w:ascii="Calibri" w:hAnsi="Calibri" w:cs="Calibri"/>
                <w:sz w:val="20"/>
                <w:szCs w:val="20"/>
              </w:rPr>
              <w:t>Up to 250 Watt (Tier 1) Interior Fixture Induction replacing 400 Watt lamp base case</w:t>
            </w:r>
          </w:p>
        </w:tc>
      </w:tr>
      <w:tr w:rsidR="00160963" w:rsidRPr="00697868" w:rsidTr="00D2008E">
        <w:trPr>
          <w:cnfStyle w:val="000000100000" w:firstRow="0" w:lastRow="0" w:firstColumn="0" w:lastColumn="0" w:oddVBand="0" w:evenVBand="0" w:oddHBand="1" w:evenHBand="0" w:firstRowFirstColumn="0" w:firstRowLastColumn="0" w:lastRowFirstColumn="0" w:lastRowLastColumn="0"/>
          <w:trHeight w:val="243"/>
          <w:jc w:val="center"/>
        </w:trPr>
        <w:tc>
          <w:tcPr>
            <w:tcW w:w="1392" w:type="dxa"/>
            <w:vAlign w:val="bottom"/>
          </w:tcPr>
          <w:p w:rsidR="00160963" w:rsidRDefault="00160963" w:rsidP="00513D1A">
            <w:pPr>
              <w:rPr>
                <w:rFonts w:ascii="Calibri" w:hAnsi="Calibri" w:cs="Calibri"/>
                <w:sz w:val="20"/>
                <w:szCs w:val="20"/>
              </w:rPr>
            </w:pPr>
            <w:r>
              <w:rPr>
                <w:rFonts w:ascii="Calibri" w:hAnsi="Calibri" w:cs="Calibri"/>
                <w:sz w:val="20"/>
                <w:szCs w:val="20"/>
              </w:rPr>
              <w:t>LT-69009</w:t>
            </w:r>
          </w:p>
        </w:tc>
        <w:tc>
          <w:tcPr>
            <w:tcW w:w="8062" w:type="dxa"/>
            <w:vAlign w:val="bottom"/>
          </w:tcPr>
          <w:p w:rsidR="00160963" w:rsidRDefault="00160963" w:rsidP="00513D1A">
            <w:pPr>
              <w:rPr>
                <w:rFonts w:ascii="Calibri" w:hAnsi="Calibri" w:cs="Calibri"/>
                <w:sz w:val="20"/>
                <w:szCs w:val="20"/>
              </w:rPr>
            </w:pPr>
            <w:r>
              <w:rPr>
                <w:rFonts w:ascii="Calibri" w:hAnsi="Calibri" w:cs="Calibri"/>
                <w:sz w:val="20"/>
                <w:szCs w:val="20"/>
              </w:rPr>
              <w:t>Up to 360 Watt (Tier 2) Interior Fixture Induction replacing 400 Watt lamp base case</w:t>
            </w:r>
          </w:p>
        </w:tc>
      </w:tr>
    </w:tbl>
    <w:p w:rsidR="00697868" w:rsidRDefault="00697868" w:rsidP="00697868">
      <w:pPr>
        <w:pStyle w:val="Reminders"/>
        <w:rPr>
          <w:rFonts w:asciiTheme="minorHAnsi" w:hAnsiTheme="minorHAnsi" w:cstheme="minorHAnsi"/>
          <w:sz w:val="22"/>
          <w:szCs w:val="22"/>
        </w:rPr>
      </w:pPr>
    </w:p>
    <w:p w:rsidR="00160963" w:rsidRPr="0019165A" w:rsidRDefault="00160963" w:rsidP="00160963">
      <w:pPr>
        <w:pStyle w:val="Reminders"/>
        <w:rPr>
          <w:rFonts w:asciiTheme="minorHAnsi" w:hAnsiTheme="minorHAnsi" w:cstheme="minorHAnsi"/>
          <w:i w:val="0"/>
          <w:color w:val="auto"/>
          <w:sz w:val="22"/>
          <w:szCs w:val="22"/>
        </w:rPr>
      </w:pPr>
      <w:r w:rsidRPr="00A67BAE">
        <w:rPr>
          <w:rFonts w:asciiTheme="minorHAnsi" w:hAnsiTheme="minorHAnsi" w:cstheme="minorHAnsi"/>
          <w:i w:val="0"/>
          <w:color w:val="auto"/>
          <w:sz w:val="22"/>
          <w:szCs w:val="22"/>
        </w:rPr>
        <w:t xml:space="preserve">The existing interior lights being replaced must </w:t>
      </w:r>
      <w:r w:rsidRPr="00BC7A30">
        <w:rPr>
          <w:rFonts w:asciiTheme="minorHAnsi" w:hAnsiTheme="minorHAnsi" w:cstheme="minorHAnsi"/>
          <w:i w:val="0"/>
          <w:color w:val="auto"/>
          <w:sz w:val="22"/>
          <w:szCs w:val="22"/>
        </w:rPr>
        <w:t>be incandescent, mercury vapor, standard metal halide, or high pressure sodium. In all cases, the replace</w:t>
      </w:r>
      <w:r w:rsidRPr="0052299D">
        <w:rPr>
          <w:rFonts w:asciiTheme="minorHAnsi" w:hAnsiTheme="minorHAnsi" w:cstheme="minorHAnsi"/>
          <w:i w:val="0"/>
          <w:color w:val="auto"/>
          <w:sz w:val="22"/>
          <w:szCs w:val="22"/>
        </w:rPr>
        <w:t xml:space="preserve">ment induction fixture must be lower wattage than the existing base case and all base cases and measure cases must fall into the wattage classifications shown in </w:t>
      </w:r>
      <w:r w:rsidR="00D2008E">
        <w:rPr>
          <w:rFonts w:asciiTheme="minorHAnsi" w:hAnsiTheme="minorHAnsi" w:cstheme="minorHAnsi"/>
          <w:i w:val="0"/>
          <w:color w:val="auto"/>
          <w:sz w:val="22"/>
          <w:szCs w:val="22"/>
        </w:rPr>
        <w:fldChar w:fldCharType="begin"/>
      </w:r>
      <w:r w:rsidR="00D2008E">
        <w:rPr>
          <w:rFonts w:asciiTheme="minorHAnsi" w:hAnsiTheme="minorHAnsi" w:cstheme="minorHAnsi"/>
          <w:i w:val="0"/>
          <w:color w:val="auto"/>
          <w:sz w:val="22"/>
          <w:szCs w:val="22"/>
        </w:rPr>
        <w:instrText xml:space="preserve"> REF _Ref394064086 \h  \* MERGEFORMAT </w:instrText>
      </w:r>
      <w:r w:rsidR="00D2008E">
        <w:rPr>
          <w:rFonts w:asciiTheme="minorHAnsi" w:hAnsiTheme="minorHAnsi" w:cstheme="minorHAnsi"/>
          <w:i w:val="0"/>
          <w:color w:val="auto"/>
          <w:sz w:val="22"/>
          <w:szCs w:val="22"/>
        </w:rPr>
      </w:r>
      <w:r w:rsidR="00D2008E">
        <w:rPr>
          <w:rFonts w:asciiTheme="minorHAnsi" w:hAnsiTheme="minorHAnsi" w:cstheme="minorHAnsi"/>
          <w:i w:val="0"/>
          <w:color w:val="auto"/>
          <w:sz w:val="22"/>
          <w:szCs w:val="22"/>
        </w:rPr>
        <w:fldChar w:fldCharType="separate"/>
      </w:r>
      <w:r w:rsidR="00395735" w:rsidRPr="00395735">
        <w:rPr>
          <w:rFonts w:asciiTheme="minorHAnsi" w:hAnsiTheme="minorHAnsi" w:cstheme="minorHAnsi"/>
          <w:i w:val="0"/>
          <w:color w:val="auto"/>
          <w:sz w:val="22"/>
          <w:szCs w:val="22"/>
        </w:rPr>
        <w:t>Table 1</w:t>
      </w:r>
      <w:r w:rsidR="00D2008E">
        <w:rPr>
          <w:rFonts w:asciiTheme="minorHAnsi" w:hAnsiTheme="minorHAnsi" w:cstheme="minorHAnsi"/>
          <w:i w:val="0"/>
          <w:color w:val="auto"/>
          <w:sz w:val="22"/>
          <w:szCs w:val="22"/>
        </w:rPr>
        <w:fldChar w:fldCharType="end"/>
      </w:r>
      <w:r w:rsidR="00D2008E">
        <w:rPr>
          <w:rFonts w:asciiTheme="minorHAnsi" w:hAnsiTheme="minorHAnsi" w:cstheme="minorHAnsi"/>
          <w:i w:val="0"/>
          <w:color w:val="auto"/>
          <w:sz w:val="22"/>
          <w:szCs w:val="22"/>
        </w:rPr>
        <w:t>.</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160963" w:rsidRDefault="00160963" w:rsidP="00160963">
      <w:pPr>
        <w:rPr>
          <w:rFonts w:asciiTheme="minorHAnsi" w:hAnsiTheme="minorHAnsi" w:cstheme="minorHAnsi"/>
          <w:sz w:val="22"/>
          <w:szCs w:val="22"/>
        </w:rPr>
      </w:pPr>
      <w:r w:rsidRPr="0080212A">
        <w:rPr>
          <w:rFonts w:ascii="Calibri" w:hAnsi="Calibri" w:cs="Calibri"/>
          <w:sz w:val="22"/>
          <w:szCs w:val="22"/>
        </w:rPr>
        <w:t xml:space="preserve">This work paper details the </w:t>
      </w:r>
      <w:r w:rsidRPr="0080212A">
        <w:rPr>
          <w:rFonts w:asciiTheme="minorHAnsi" w:hAnsiTheme="minorHAnsi" w:cstheme="minorHAnsi"/>
          <w:sz w:val="22"/>
          <w:szCs w:val="22"/>
        </w:rPr>
        <w:t xml:space="preserve">replacement of existing incandescent, mercury vapor, standard metal halide, or high pressure sodium interior lighting fixtures with more efficient linear </w:t>
      </w:r>
      <w:r w:rsidR="000D06F2">
        <w:rPr>
          <w:rFonts w:asciiTheme="minorHAnsi" w:hAnsiTheme="minorHAnsi" w:cstheme="minorHAnsi"/>
          <w:sz w:val="22"/>
          <w:szCs w:val="22"/>
        </w:rPr>
        <w:t>induction fixtures</w:t>
      </w:r>
    </w:p>
    <w:p w:rsidR="00697868" w:rsidRPr="00697868" w:rsidRDefault="00160963" w:rsidP="00160963">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t>
      </w:r>
      <w:proofErr w:type="spellStart"/>
      <w:r w:rsidRPr="00CE28CF">
        <w:rPr>
          <w:rFonts w:asciiTheme="minorHAnsi" w:hAnsiTheme="minorHAnsi" w:cstheme="minorHAnsi"/>
          <w:i w:val="0"/>
          <w:color w:val="auto"/>
          <w:sz w:val="18"/>
          <w:szCs w:val="22"/>
        </w:rPr>
        <w:t>workpaper</w:t>
      </w:r>
      <w:proofErr w:type="spellEnd"/>
      <w:r w:rsidRPr="00CE28CF">
        <w:rPr>
          <w:rFonts w:asciiTheme="minorHAnsi" w:hAnsiTheme="minorHAnsi" w:cstheme="minorHAnsi"/>
          <w:i w:val="0"/>
          <w:color w:val="auto"/>
          <w:sz w:val="18"/>
          <w:szCs w:val="22"/>
        </w:rPr>
        <w:t xml:space="preserve"> and application types used by </w:t>
      </w:r>
      <w:proofErr w:type="spellStart"/>
      <w:r w:rsidRPr="00CE28CF">
        <w:rPr>
          <w:rFonts w:asciiTheme="minorHAnsi" w:hAnsiTheme="minorHAnsi" w:cstheme="minorHAnsi"/>
          <w:i w:val="0"/>
          <w:color w:val="auto"/>
          <w:sz w:val="18"/>
          <w:szCs w:val="22"/>
        </w:rPr>
        <w:t>READi</w:t>
      </w:r>
      <w:proofErr w:type="spellEnd"/>
      <w:r w:rsidRPr="00CE28CF">
        <w:rPr>
          <w:rFonts w:asciiTheme="minorHAnsi" w:hAnsiTheme="minorHAnsi" w:cstheme="minorHAnsi"/>
          <w:i w:val="0"/>
          <w:color w:val="auto"/>
          <w:sz w:val="18"/>
          <w:szCs w:val="22"/>
        </w:rPr>
        <w:t xml:space="preserve">. </w:t>
      </w:r>
    </w:p>
    <w:p w:rsidR="00160963" w:rsidRPr="00CE28CF" w:rsidRDefault="00160963" w:rsidP="00697868">
      <w:pPr>
        <w:pStyle w:val="Reminders"/>
        <w:tabs>
          <w:tab w:val="num" w:pos="360"/>
        </w:tabs>
        <w:rPr>
          <w:rFonts w:asciiTheme="minorHAnsi" w:hAnsiTheme="minorHAnsi" w:cstheme="minorHAnsi"/>
          <w:i w:val="0"/>
          <w:color w:val="auto"/>
          <w:sz w:val="18"/>
          <w:szCs w:val="22"/>
        </w:rPr>
      </w:pPr>
    </w:p>
    <w:p w:rsidR="00160963" w:rsidRDefault="00160963" w:rsidP="00160963">
      <w:pPr>
        <w:rPr>
          <w:rFonts w:asciiTheme="minorHAnsi" w:hAnsiTheme="minorHAnsi" w:cstheme="minorHAnsi"/>
          <w:sz w:val="22"/>
          <w:szCs w:val="22"/>
        </w:rPr>
      </w:pPr>
      <w:r w:rsidRPr="00520EB7">
        <w:rPr>
          <w:rFonts w:asciiTheme="minorHAnsi" w:hAnsiTheme="minorHAnsi" w:cstheme="minorHAnsi"/>
          <w:sz w:val="22"/>
          <w:szCs w:val="22"/>
        </w:rPr>
        <w:t>The delivery method that is a</w:t>
      </w:r>
      <w:r>
        <w:rPr>
          <w:rFonts w:asciiTheme="minorHAnsi" w:hAnsiTheme="minorHAnsi" w:cstheme="minorHAnsi"/>
          <w:sz w:val="22"/>
          <w:szCs w:val="22"/>
        </w:rPr>
        <w:t>vailable for these measures are:</w:t>
      </w:r>
    </w:p>
    <w:p w:rsidR="00745E6F" w:rsidRDefault="00745E6F" w:rsidP="00745E6F">
      <w:pPr>
        <w:pStyle w:val="ListParagraph"/>
        <w:numPr>
          <w:ilvl w:val="0"/>
          <w:numId w:val="11"/>
        </w:numPr>
        <w:spacing w:after="0" w:line="240" w:lineRule="auto"/>
        <w:rPr>
          <w:rFonts w:cstheme="minorHAnsi"/>
        </w:rPr>
      </w:pPr>
      <w:r w:rsidRPr="008661C0">
        <w:rPr>
          <w:rFonts w:cstheme="minorHAnsi"/>
        </w:rPr>
        <w:t>Financial Support - Down-Stream Incentive – Deemed</w:t>
      </w:r>
    </w:p>
    <w:p w:rsidR="00745E6F" w:rsidRDefault="00745E6F" w:rsidP="00745E6F">
      <w:pPr>
        <w:pStyle w:val="ListParagraph"/>
        <w:numPr>
          <w:ilvl w:val="0"/>
          <w:numId w:val="11"/>
        </w:numPr>
        <w:spacing w:after="0" w:line="240" w:lineRule="auto"/>
        <w:rPr>
          <w:rFonts w:cstheme="minorHAnsi"/>
        </w:rPr>
      </w:pPr>
      <w:r w:rsidRPr="008661C0">
        <w:rPr>
          <w:rFonts w:cstheme="minorHAnsi"/>
        </w:rPr>
        <w:t xml:space="preserve">Midstream Programs </w:t>
      </w:r>
      <w:r>
        <w:rPr>
          <w:rFonts w:cstheme="minorHAnsi"/>
        </w:rPr>
        <w:t>-</w:t>
      </w:r>
      <w:r w:rsidRPr="008661C0">
        <w:rPr>
          <w:rFonts w:cstheme="minorHAnsi"/>
        </w:rPr>
        <w:t xml:space="preserve"> Mid-Stream Incentive</w:t>
      </w:r>
    </w:p>
    <w:p w:rsidR="00160963" w:rsidRDefault="00160963" w:rsidP="00160963">
      <w:pPr>
        <w:rPr>
          <w:rFonts w:asciiTheme="minorHAnsi" w:hAnsiTheme="minorHAnsi" w:cstheme="minorHAnsi"/>
          <w:sz w:val="22"/>
          <w:szCs w:val="22"/>
        </w:rPr>
      </w:pPr>
    </w:p>
    <w:p w:rsidR="00160963" w:rsidRDefault="00160963" w:rsidP="00160963">
      <w:pPr>
        <w:rPr>
          <w:rFonts w:asciiTheme="minorHAnsi" w:hAnsiTheme="minorHAnsi" w:cstheme="minorHAnsi"/>
          <w:sz w:val="22"/>
          <w:szCs w:val="22"/>
        </w:rPr>
      </w:pPr>
      <w:r>
        <w:rPr>
          <w:rFonts w:asciiTheme="minorHAnsi" w:hAnsiTheme="minorHAnsi" w:cstheme="minorHAnsi"/>
          <w:sz w:val="22"/>
          <w:szCs w:val="22"/>
        </w:rPr>
        <w:t>The install types are:</w:t>
      </w:r>
    </w:p>
    <w:p w:rsidR="00160963" w:rsidRDefault="00160963" w:rsidP="00160963">
      <w:pPr>
        <w:pStyle w:val="ListParagraph"/>
        <w:numPr>
          <w:ilvl w:val="0"/>
          <w:numId w:val="10"/>
        </w:numPr>
        <w:spacing w:after="0" w:line="240" w:lineRule="auto"/>
        <w:rPr>
          <w:rFonts w:cstheme="minorHAnsi"/>
        </w:rPr>
      </w:pPr>
      <w:r w:rsidRPr="00044307">
        <w:rPr>
          <w:rFonts w:cstheme="minorHAnsi"/>
        </w:rPr>
        <w:t>Replace-on-Burnout (ROB)</w:t>
      </w:r>
    </w:p>
    <w:p w:rsidR="00E16609" w:rsidRDefault="00824F1C" w:rsidP="00824F1C">
      <w:pPr>
        <w:pStyle w:val="Heading2"/>
        <w:rPr>
          <w:rFonts w:asciiTheme="minorHAnsi" w:hAnsiTheme="minorHAnsi" w:cstheme="minorHAnsi"/>
        </w:rPr>
      </w:pPr>
      <w:bookmarkStart w:id="9" w:name="_Toc214003084"/>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9"/>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745E6F" w:rsidRPr="00611046" w:rsidRDefault="00745E6F" w:rsidP="00745E6F">
      <w:pPr>
        <w:rPr>
          <w:rFonts w:asciiTheme="minorHAnsi" w:hAnsiTheme="minorHAnsi" w:cstheme="minorHAnsi"/>
          <w:sz w:val="22"/>
          <w:szCs w:val="22"/>
        </w:rPr>
      </w:pPr>
      <w:r w:rsidRPr="00611046">
        <w:rPr>
          <w:rFonts w:asciiTheme="minorHAnsi" w:hAnsiTheme="minorHAnsi" w:cstheme="minorHAnsi"/>
          <w:sz w:val="22"/>
          <w:szCs w:val="22"/>
        </w:rPr>
        <w:t xml:space="preserve">Interior induction fixture measures are not included in the Database for Energy Efficient Resources </w:t>
      </w:r>
      <w:r>
        <w:rPr>
          <w:rFonts w:asciiTheme="minorHAnsi" w:hAnsiTheme="minorHAnsi" w:cstheme="minorHAnsi"/>
          <w:sz w:val="22"/>
          <w:szCs w:val="22"/>
        </w:rPr>
        <w:t>(DEER)</w:t>
      </w:r>
      <w:r w:rsidRPr="00611046">
        <w:rPr>
          <w:rFonts w:asciiTheme="minorHAnsi" w:hAnsiTheme="minorHAnsi" w:cstheme="minorHAnsi"/>
          <w:sz w:val="22"/>
          <w:szCs w:val="22"/>
        </w:rPr>
        <w:t xml:space="preserve"> Version 20</w:t>
      </w:r>
      <w:r>
        <w:rPr>
          <w:rFonts w:asciiTheme="minorHAnsi" w:hAnsiTheme="minorHAnsi" w:cstheme="minorHAnsi"/>
          <w:sz w:val="22"/>
          <w:szCs w:val="22"/>
        </w:rPr>
        <w:t>11 v4.00 [</w:t>
      </w:r>
      <w:r w:rsidR="001B001D">
        <w:rPr>
          <w:rFonts w:asciiTheme="minorHAnsi" w:hAnsiTheme="minorHAnsi" w:cstheme="minorHAnsi"/>
          <w:sz w:val="22"/>
          <w:szCs w:val="22"/>
        </w:rPr>
        <w:t>A</w:t>
      </w:r>
      <w:r>
        <w:rPr>
          <w:rFonts w:asciiTheme="minorHAnsi" w:hAnsiTheme="minorHAnsi" w:cstheme="minorHAnsi"/>
          <w:sz w:val="22"/>
          <w:szCs w:val="22"/>
        </w:rPr>
        <w:t>]</w:t>
      </w:r>
      <w:r w:rsidRPr="00611046">
        <w:rPr>
          <w:rFonts w:asciiTheme="minorHAnsi" w:hAnsiTheme="minorHAnsi" w:cstheme="minorHAnsi"/>
          <w:sz w:val="22"/>
          <w:szCs w:val="22"/>
        </w:rPr>
        <w:t>.</w:t>
      </w:r>
    </w:p>
    <w:p w:rsidR="009E1CDE" w:rsidRPr="00697868" w:rsidRDefault="009E1CDE" w:rsidP="00E16609">
      <w:pPr>
        <w:rPr>
          <w:rFonts w:asciiTheme="minorHAnsi" w:hAnsiTheme="minorHAnsi" w:cstheme="minorHAnsi"/>
          <w:sz w:val="22"/>
          <w:szCs w:val="22"/>
        </w:rPr>
      </w:pPr>
    </w:p>
    <w:p w:rsidR="00A85F9A" w:rsidRDefault="00A85F9A"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395735">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745E6F"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45E6F" w:rsidRPr="00697868" w:rsidRDefault="00745E6F"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745E6F" w:rsidRPr="000368E9" w:rsidRDefault="00745E6F" w:rsidP="00513D1A">
            <w:pPr>
              <w:jc w:val="center"/>
              <w:rPr>
                <w:rFonts w:asciiTheme="minorHAnsi" w:hAnsiTheme="minorHAnsi" w:cstheme="minorHAnsi"/>
                <w:b/>
                <w:sz w:val="20"/>
                <w:szCs w:val="20"/>
              </w:rPr>
            </w:pPr>
            <w:r>
              <w:rPr>
                <w:rFonts w:asciiTheme="minorHAnsi" w:hAnsiTheme="minorHAnsi" w:cstheme="minorHAnsi"/>
                <w:sz w:val="20"/>
                <w:szCs w:val="20"/>
              </w:rPr>
              <w:t>No</w:t>
            </w:r>
          </w:p>
        </w:tc>
      </w:tr>
      <w:tr w:rsidR="00745E6F"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45E6F" w:rsidRPr="00697868" w:rsidRDefault="00745E6F"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745E6F" w:rsidRPr="000368E9" w:rsidRDefault="00745E6F" w:rsidP="00513D1A">
            <w:pPr>
              <w:jc w:val="center"/>
              <w:rPr>
                <w:rFonts w:asciiTheme="minorHAnsi" w:hAnsiTheme="minorHAnsi" w:cstheme="minorHAnsi"/>
                <w:sz w:val="20"/>
                <w:szCs w:val="20"/>
              </w:rPr>
            </w:pPr>
            <w:r w:rsidRPr="000368E9">
              <w:rPr>
                <w:rFonts w:asciiTheme="minorHAnsi" w:hAnsiTheme="minorHAnsi" w:cstheme="minorHAnsi"/>
                <w:sz w:val="20"/>
                <w:szCs w:val="20"/>
              </w:rPr>
              <w:t>No</w:t>
            </w:r>
          </w:p>
        </w:tc>
      </w:tr>
      <w:tr w:rsidR="00745E6F"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45E6F" w:rsidRPr="00697868" w:rsidRDefault="00745E6F"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745E6F" w:rsidRPr="000368E9" w:rsidRDefault="00745E6F" w:rsidP="00513D1A">
            <w:pPr>
              <w:jc w:val="center"/>
              <w:rPr>
                <w:rFonts w:asciiTheme="minorHAnsi" w:hAnsiTheme="minorHAnsi" w:cstheme="minorHAnsi"/>
                <w:sz w:val="20"/>
                <w:szCs w:val="20"/>
              </w:rPr>
            </w:pPr>
            <w:r w:rsidRPr="000368E9">
              <w:rPr>
                <w:rFonts w:asciiTheme="minorHAnsi" w:hAnsiTheme="minorHAnsi" w:cstheme="minorHAnsi"/>
                <w:sz w:val="20"/>
                <w:szCs w:val="20"/>
              </w:rPr>
              <w:t>No</w:t>
            </w:r>
          </w:p>
        </w:tc>
      </w:tr>
      <w:tr w:rsidR="00745E6F"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45E6F" w:rsidRPr="00697868" w:rsidRDefault="00745E6F"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745E6F" w:rsidRPr="000368E9" w:rsidRDefault="00745E6F" w:rsidP="00513D1A">
            <w:pPr>
              <w:jc w:val="center"/>
              <w:rPr>
                <w:rFonts w:asciiTheme="minorHAnsi" w:hAnsiTheme="minorHAnsi" w:cstheme="minorHAnsi"/>
                <w:sz w:val="20"/>
                <w:szCs w:val="20"/>
              </w:rPr>
            </w:pPr>
            <w:r w:rsidRPr="000368E9">
              <w:rPr>
                <w:rFonts w:asciiTheme="minorHAnsi" w:hAnsiTheme="minorHAnsi" w:cstheme="minorHAnsi"/>
                <w:sz w:val="20"/>
                <w:szCs w:val="20"/>
              </w:rPr>
              <w:t>DEER does not contain this type of measure.</w:t>
            </w:r>
          </w:p>
        </w:tc>
      </w:tr>
      <w:tr w:rsidR="00745E6F"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45E6F" w:rsidRPr="00697868" w:rsidRDefault="00745E6F"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745E6F" w:rsidRPr="000368E9" w:rsidRDefault="00745E6F" w:rsidP="00513D1A">
            <w:pPr>
              <w:jc w:val="center"/>
              <w:rPr>
                <w:rFonts w:asciiTheme="minorHAnsi" w:hAnsiTheme="minorHAnsi" w:cstheme="minorHAnsi"/>
                <w:sz w:val="20"/>
                <w:szCs w:val="20"/>
              </w:rPr>
            </w:pPr>
            <w:r w:rsidRPr="000368E9">
              <w:rPr>
                <w:rFonts w:asciiTheme="minorHAnsi" w:hAnsiTheme="minorHAnsi" w:cstheme="minorHAnsi"/>
                <w:sz w:val="20"/>
                <w:szCs w:val="20"/>
              </w:rPr>
              <w:t>N/A</w:t>
            </w:r>
          </w:p>
        </w:tc>
      </w:tr>
      <w:tr w:rsidR="00745E6F"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45E6F" w:rsidRPr="00697868" w:rsidRDefault="00745E6F"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745E6F" w:rsidRPr="000368E9" w:rsidRDefault="00745E6F" w:rsidP="00513D1A">
            <w:pPr>
              <w:jc w:val="center"/>
              <w:rPr>
                <w:rFonts w:asciiTheme="minorHAnsi" w:hAnsiTheme="minorHAnsi" w:cstheme="minorHAnsi"/>
                <w:sz w:val="20"/>
                <w:szCs w:val="20"/>
              </w:rPr>
            </w:pPr>
            <w:r w:rsidRPr="000368E9">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10" w:name="_Toc214003087"/>
    </w:p>
    <w:p w:rsidR="000968C6" w:rsidRPr="000D06F2"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D2008E">
        <w:rPr>
          <w:rFonts w:asciiTheme="minorHAnsi" w:hAnsiTheme="minorHAnsi" w:cstheme="minorHAnsi"/>
          <w:sz w:val="22"/>
          <w:szCs w:val="22"/>
        </w:rPr>
        <w:fldChar w:fldCharType="begin"/>
      </w:r>
      <w:r w:rsidR="00D2008E">
        <w:rPr>
          <w:rFonts w:asciiTheme="minorHAnsi" w:hAnsiTheme="minorHAnsi" w:cstheme="minorHAnsi"/>
          <w:sz w:val="22"/>
          <w:szCs w:val="22"/>
        </w:rPr>
        <w:instrText xml:space="preserve"> REF _Ref377904128 \h </w:instrText>
      </w:r>
      <w:r w:rsidR="00D2008E">
        <w:rPr>
          <w:rFonts w:asciiTheme="minorHAnsi" w:hAnsiTheme="minorHAnsi" w:cstheme="minorHAnsi"/>
          <w:sz w:val="22"/>
          <w:szCs w:val="22"/>
        </w:rPr>
      </w:r>
      <w:r w:rsidR="00D2008E">
        <w:rPr>
          <w:rFonts w:asciiTheme="minorHAnsi" w:hAnsiTheme="minorHAnsi" w:cstheme="minorHAnsi"/>
          <w:sz w:val="22"/>
          <w:szCs w:val="22"/>
        </w:rPr>
        <w:fldChar w:fldCharType="separate"/>
      </w:r>
      <w:r w:rsidR="00395735" w:rsidRPr="00697868">
        <w:rPr>
          <w:rFonts w:asciiTheme="minorHAnsi" w:hAnsiTheme="minorHAnsi" w:cstheme="minorHAnsi"/>
          <w:sz w:val="22"/>
          <w:szCs w:val="22"/>
        </w:rPr>
        <w:t xml:space="preserve">Table </w:t>
      </w:r>
      <w:r w:rsidR="00395735">
        <w:rPr>
          <w:rFonts w:asciiTheme="minorHAnsi" w:hAnsiTheme="minorHAnsi" w:cstheme="minorHAnsi"/>
          <w:noProof/>
          <w:sz w:val="22"/>
          <w:szCs w:val="22"/>
        </w:rPr>
        <w:t>3</w:t>
      </w:r>
      <w:r w:rsidR="00D2008E">
        <w:rPr>
          <w:rFonts w:asciiTheme="minorHAnsi" w:hAnsiTheme="minorHAnsi" w:cstheme="minorHAnsi"/>
          <w:sz w:val="22"/>
          <w:szCs w:val="22"/>
        </w:rPr>
        <w:fldChar w:fldCharType="end"/>
      </w:r>
      <w:r w:rsidR="00DD40A6">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1"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395735">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1"/>
      <w:r w:rsidRPr="00697868">
        <w:rPr>
          <w:rFonts w:asciiTheme="minorHAnsi" w:hAnsiTheme="minorHAnsi" w:cstheme="minorHAnsi"/>
          <w:sz w:val="22"/>
          <w:szCs w:val="22"/>
        </w:rPr>
        <w:t xml:space="preserve"> Net-to-Gross Ratio</w:t>
      </w:r>
    </w:p>
    <w:tbl>
      <w:tblPr>
        <w:tblStyle w:val="TableContemporary"/>
        <w:tblW w:w="4343" w:type="pct"/>
        <w:jc w:val="center"/>
        <w:tblInd w:w="192" w:type="dxa"/>
        <w:tblLook w:val="01E0" w:firstRow="1" w:lastRow="1" w:firstColumn="1" w:lastColumn="1" w:noHBand="0" w:noVBand="0"/>
      </w:tblPr>
      <w:tblGrid>
        <w:gridCol w:w="1353"/>
        <w:gridCol w:w="3041"/>
        <w:gridCol w:w="843"/>
        <w:gridCol w:w="1081"/>
        <w:gridCol w:w="1195"/>
        <w:gridCol w:w="805"/>
      </w:tblGrid>
      <w:tr w:rsidR="00745E6F" w:rsidRPr="00697868" w:rsidTr="00DF66C9">
        <w:trPr>
          <w:cnfStyle w:val="100000000000" w:firstRow="1" w:lastRow="0" w:firstColumn="0" w:lastColumn="0" w:oddVBand="0" w:evenVBand="0" w:oddHBand="0" w:evenHBand="0" w:firstRowFirstColumn="0" w:firstRowLastColumn="0" w:lastRowFirstColumn="0" w:lastRowLastColumn="0"/>
          <w:jc w:val="center"/>
        </w:trPr>
        <w:tc>
          <w:tcPr>
            <w:tcW w:w="81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82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507"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650"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18"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84"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DF66C9" w:rsidRPr="00697868" w:rsidTr="00DF66C9">
        <w:trPr>
          <w:cnfStyle w:val="000000100000" w:firstRow="0" w:lastRow="0" w:firstColumn="0" w:lastColumn="0" w:oddVBand="0" w:evenVBand="0" w:oddHBand="1" w:evenHBand="0" w:firstRowFirstColumn="0" w:firstRowLastColumn="0" w:lastRowFirstColumn="0" w:lastRowLastColumn="0"/>
          <w:jc w:val="center"/>
        </w:trPr>
        <w:tc>
          <w:tcPr>
            <w:tcW w:w="813"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Com-Default&gt;2yrs</w:t>
            </w:r>
          </w:p>
        </w:tc>
        <w:tc>
          <w:tcPr>
            <w:tcW w:w="1828"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All other EEMs with no evaluated NTGR; existing EEM in programs with same delivery mechanism for more than 2 years</w:t>
            </w:r>
          </w:p>
        </w:tc>
        <w:tc>
          <w:tcPr>
            <w:tcW w:w="507"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Com</w:t>
            </w:r>
          </w:p>
        </w:tc>
        <w:tc>
          <w:tcPr>
            <w:tcW w:w="650"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18"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84"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DF66C9" w:rsidRPr="00697868" w:rsidTr="00DF66C9">
        <w:trPr>
          <w:cnfStyle w:val="000000010000" w:firstRow="0" w:lastRow="0" w:firstColumn="0" w:lastColumn="0" w:oddVBand="0" w:evenVBand="0" w:oddHBand="0" w:evenHBand="1" w:firstRowFirstColumn="0" w:firstRowLastColumn="0" w:lastRowFirstColumn="0" w:lastRowLastColumn="0"/>
          <w:jc w:val="center"/>
        </w:trPr>
        <w:tc>
          <w:tcPr>
            <w:tcW w:w="813" w:type="pct"/>
            <w:vAlign w:val="center"/>
          </w:tcPr>
          <w:p w:rsidR="00DF66C9" w:rsidRPr="00550FB9" w:rsidRDefault="00DF66C9" w:rsidP="00EF646D">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r>
              <w:rPr>
                <w:rFonts w:asciiTheme="minorHAnsi" w:hAnsiTheme="minorHAnsi" w:cstheme="minorHAnsi"/>
                <w:sz w:val="20"/>
                <w:szCs w:val="20"/>
              </w:rPr>
              <w:t>-Default&gt;2yrs</w:t>
            </w:r>
          </w:p>
        </w:tc>
        <w:tc>
          <w:tcPr>
            <w:tcW w:w="1828"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All other EEMs with no evaluated NTGR; existing EEM in programs with same delivery mechanism for more than 2 years</w:t>
            </w:r>
          </w:p>
        </w:tc>
        <w:tc>
          <w:tcPr>
            <w:tcW w:w="507" w:type="pct"/>
            <w:vAlign w:val="center"/>
          </w:tcPr>
          <w:p w:rsidR="00DF66C9" w:rsidRPr="00550FB9" w:rsidRDefault="00DF66C9" w:rsidP="00EF646D">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p>
        </w:tc>
        <w:tc>
          <w:tcPr>
            <w:tcW w:w="650" w:type="pct"/>
            <w:vAlign w:val="center"/>
          </w:tcPr>
          <w:p w:rsidR="00DF66C9" w:rsidRPr="00550FB9" w:rsidRDefault="00DF66C9" w:rsidP="00EF646D">
            <w:pPr>
              <w:jc w:val="center"/>
              <w:rPr>
                <w:rFonts w:asciiTheme="minorHAnsi" w:hAnsiTheme="minorHAnsi" w:cstheme="minorHAnsi"/>
                <w:sz w:val="20"/>
                <w:szCs w:val="20"/>
              </w:rPr>
            </w:pPr>
            <w:r>
              <w:rPr>
                <w:rFonts w:asciiTheme="minorHAnsi" w:hAnsiTheme="minorHAnsi" w:cstheme="minorHAnsi"/>
                <w:sz w:val="20"/>
                <w:szCs w:val="20"/>
              </w:rPr>
              <w:t>Any</w:t>
            </w:r>
          </w:p>
        </w:tc>
        <w:tc>
          <w:tcPr>
            <w:tcW w:w="718" w:type="pct"/>
            <w:vAlign w:val="center"/>
          </w:tcPr>
          <w:p w:rsidR="00DF66C9" w:rsidRPr="00550FB9" w:rsidRDefault="00DF66C9" w:rsidP="00EF646D">
            <w:pPr>
              <w:jc w:val="center"/>
              <w:rPr>
                <w:rFonts w:asciiTheme="minorHAnsi" w:hAnsiTheme="minorHAnsi" w:cstheme="minorHAnsi"/>
                <w:sz w:val="20"/>
                <w:szCs w:val="20"/>
              </w:rPr>
            </w:pPr>
            <w:r>
              <w:rPr>
                <w:rFonts w:asciiTheme="minorHAnsi" w:hAnsiTheme="minorHAnsi" w:cstheme="minorHAnsi"/>
                <w:sz w:val="20"/>
                <w:szCs w:val="20"/>
              </w:rPr>
              <w:t>All</w:t>
            </w:r>
          </w:p>
        </w:tc>
        <w:tc>
          <w:tcPr>
            <w:tcW w:w="484" w:type="pct"/>
            <w:vAlign w:val="center"/>
          </w:tcPr>
          <w:p w:rsidR="00DF66C9" w:rsidRPr="00550FB9" w:rsidRDefault="00DF66C9" w:rsidP="00EF646D">
            <w:pPr>
              <w:jc w:val="center"/>
              <w:rPr>
                <w:rFonts w:asciiTheme="minorHAnsi" w:hAnsiTheme="minorHAnsi" w:cstheme="minorHAnsi"/>
                <w:sz w:val="20"/>
                <w:szCs w:val="20"/>
              </w:rPr>
            </w:pPr>
            <w:r>
              <w:rPr>
                <w:rFonts w:asciiTheme="minorHAnsi" w:hAnsiTheme="minorHAnsi" w:cstheme="minorHAnsi"/>
                <w:sz w:val="20"/>
                <w:szCs w:val="20"/>
              </w:rPr>
              <w:t>0.6</w:t>
            </w:r>
          </w:p>
        </w:tc>
      </w:tr>
      <w:tr w:rsidR="00DF66C9" w:rsidRPr="00697868" w:rsidTr="00DF66C9">
        <w:trPr>
          <w:cnfStyle w:val="000000100000" w:firstRow="0" w:lastRow="0" w:firstColumn="0" w:lastColumn="0" w:oddVBand="0" w:evenVBand="0" w:oddHBand="1" w:evenHBand="0" w:firstRowFirstColumn="0" w:firstRowLastColumn="0" w:lastRowFirstColumn="0" w:lastRowLastColumn="0"/>
          <w:jc w:val="center"/>
        </w:trPr>
        <w:tc>
          <w:tcPr>
            <w:tcW w:w="813" w:type="pct"/>
            <w:vAlign w:val="center"/>
          </w:tcPr>
          <w:p w:rsidR="00DF66C9" w:rsidRDefault="00DF66C9" w:rsidP="00EF646D">
            <w:pPr>
              <w:jc w:val="center"/>
              <w:rPr>
                <w:rFonts w:asciiTheme="minorHAnsi" w:hAnsiTheme="minorHAnsi" w:cstheme="minorHAnsi"/>
                <w:sz w:val="20"/>
                <w:szCs w:val="20"/>
              </w:rPr>
            </w:pPr>
            <w:proofErr w:type="spellStart"/>
            <w:r>
              <w:rPr>
                <w:rFonts w:asciiTheme="minorHAnsi" w:hAnsiTheme="minorHAnsi" w:cstheme="minorHAnsi"/>
                <w:sz w:val="20"/>
                <w:szCs w:val="20"/>
              </w:rPr>
              <w:t>Agric</w:t>
            </w:r>
            <w:proofErr w:type="spellEnd"/>
            <w:r>
              <w:rPr>
                <w:rFonts w:asciiTheme="minorHAnsi" w:hAnsiTheme="minorHAnsi" w:cstheme="minorHAnsi"/>
                <w:sz w:val="20"/>
                <w:szCs w:val="20"/>
              </w:rPr>
              <w:t>-Default&gt;2yrs</w:t>
            </w:r>
          </w:p>
        </w:tc>
        <w:tc>
          <w:tcPr>
            <w:tcW w:w="1828" w:type="pct"/>
            <w:vAlign w:val="center"/>
          </w:tcPr>
          <w:p w:rsidR="00DF66C9" w:rsidRPr="00550FB9" w:rsidRDefault="00DF66C9" w:rsidP="00EF646D">
            <w:pPr>
              <w:jc w:val="center"/>
              <w:rPr>
                <w:rFonts w:asciiTheme="minorHAnsi" w:hAnsiTheme="minorHAnsi" w:cstheme="minorHAnsi"/>
                <w:sz w:val="20"/>
                <w:szCs w:val="20"/>
              </w:rPr>
            </w:pPr>
            <w:r w:rsidRPr="00550FB9">
              <w:rPr>
                <w:rFonts w:asciiTheme="minorHAnsi" w:hAnsiTheme="minorHAnsi" w:cstheme="minorHAnsi"/>
                <w:sz w:val="20"/>
                <w:szCs w:val="20"/>
              </w:rPr>
              <w:t>All other EEMs with no evaluated NTGR; existing EEM in programs with same delivery mechanism for more than 2 years</w:t>
            </w:r>
          </w:p>
        </w:tc>
        <w:tc>
          <w:tcPr>
            <w:tcW w:w="507" w:type="pct"/>
            <w:vAlign w:val="center"/>
          </w:tcPr>
          <w:p w:rsidR="00DF66C9" w:rsidRDefault="00DF66C9" w:rsidP="00EF646D">
            <w:pPr>
              <w:jc w:val="center"/>
              <w:rPr>
                <w:rFonts w:asciiTheme="minorHAnsi" w:hAnsiTheme="minorHAnsi" w:cstheme="minorHAnsi"/>
                <w:sz w:val="20"/>
                <w:szCs w:val="20"/>
              </w:rPr>
            </w:pPr>
            <w:r>
              <w:rPr>
                <w:rFonts w:asciiTheme="minorHAnsi" w:hAnsiTheme="minorHAnsi" w:cstheme="minorHAnsi"/>
                <w:sz w:val="20"/>
                <w:szCs w:val="20"/>
              </w:rPr>
              <w:t>Ag</w:t>
            </w:r>
          </w:p>
        </w:tc>
        <w:tc>
          <w:tcPr>
            <w:tcW w:w="650" w:type="pct"/>
            <w:vAlign w:val="center"/>
          </w:tcPr>
          <w:p w:rsidR="00DF66C9" w:rsidRDefault="00DF66C9" w:rsidP="00EF646D">
            <w:pPr>
              <w:jc w:val="center"/>
              <w:rPr>
                <w:rFonts w:asciiTheme="minorHAnsi" w:hAnsiTheme="minorHAnsi" w:cstheme="minorHAnsi"/>
                <w:sz w:val="20"/>
                <w:szCs w:val="20"/>
              </w:rPr>
            </w:pPr>
            <w:r>
              <w:rPr>
                <w:rFonts w:asciiTheme="minorHAnsi" w:hAnsiTheme="minorHAnsi" w:cstheme="minorHAnsi"/>
                <w:sz w:val="20"/>
                <w:szCs w:val="20"/>
              </w:rPr>
              <w:t>Any</w:t>
            </w:r>
          </w:p>
        </w:tc>
        <w:tc>
          <w:tcPr>
            <w:tcW w:w="718" w:type="pct"/>
            <w:vAlign w:val="center"/>
          </w:tcPr>
          <w:p w:rsidR="00DF66C9" w:rsidRDefault="00DF66C9" w:rsidP="00EF646D">
            <w:pPr>
              <w:jc w:val="center"/>
              <w:rPr>
                <w:rFonts w:asciiTheme="minorHAnsi" w:hAnsiTheme="minorHAnsi" w:cstheme="minorHAnsi"/>
                <w:sz w:val="20"/>
                <w:szCs w:val="20"/>
              </w:rPr>
            </w:pPr>
            <w:r>
              <w:rPr>
                <w:rFonts w:asciiTheme="minorHAnsi" w:hAnsiTheme="minorHAnsi" w:cstheme="minorHAnsi"/>
                <w:sz w:val="20"/>
                <w:szCs w:val="20"/>
              </w:rPr>
              <w:t>All</w:t>
            </w:r>
          </w:p>
        </w:tc>
        <w:tc>
          <w:tcPr>
            <w:tcW w:w="484" w:type="pct"/>
            <w:vAlign w:val="center"/>
          </w:tcPr>
          <w:p w:rsidR="00DF66C9" w:rsidRDefault="00DF66C9" w:rsidP="00EF646D">
            <w:pPr>
              <w:jc w:val="center"/>
              <w:rPr>
                <w:rFonts w:asciiTheme="minorHAnsi" w:hAnsiTheme="minorHAnsi" w:cstheme="minorHAnsi"/>
                <w:sz w:val="20"/>
                <w:szCs w:val="20"/>
              </w:rPr>
            </w:pPr>
            <w:r>
              <w:rPr>
                <w:rFonts w:asciiTheme="minorHAnsi" w:hAnsiTheme="minorHAnsi" w:cstheme="minorHAnsi"/>
                <w:sz w:val="20"/>
                <w:szCs w:val="20"/>
              </w:rPr>
              <w:t>0.6</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t>
      </w:r>
      <w:proofErr w:type="spellStart"/>
      <w:r w:rsidR="00240B74">
        <w:rPr>
          <w:rFonts w:asciiTheme="minorHAnsi" w:hAnsiTheme="minorHAnsi" w:cstheme="minorHAnsi"/>
          <w:i w:val="0"/>
          <w:color w:val="auto"/>
          <w:sz w:val="22"/>
          <w:szCs w:val="22"/>
        </w:rPr>
        <w:t>workpaper</w:t>
      </w:r>
      <w:proofErr w:type="spellEnd"/>
      <w:r w:rsidR="00240B74">
        <w:rPr>
          <w:rFonts w:asciiTheme="minorHAnsi" w:hAnsiTheme="minorHAnsi" w:cstheme="minorHAnsi"/>
          <w:i w:val="0"/>
          <w:color w:val="auto"/>
          <w:sz w:val="22"/>
          <w:szCs w:val="22"/>
        </w:rPr>
        <w:t xml:space="preserve">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395735" w:rsidRPr="00395735">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395735">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745E6F" w:rsidP="009824E9">
            <w:pPr>
              <w:jc w:val="center"/>
              <w:rPr>
                <w:rFonts w:asciiTheme="minorHAnsi" w:hAnsiTheme="minorHAnsi" w:cstheme="minorHAnsi"/>
                <w:sz w:val="20"/>
                <w:szCs w:val="20"/>
              </w:rPr>
            </w:pPr>
            <w:proofErr w:type="spellStart"/>
            <w:r>
              <w:rPr>
                <w:rFonts w:asciiTheme="minorHAnsi" w:hAnsiTheme="minorHAnsi" w:cstheme="minorHAnsi"/>
                <w:sz w:val="20"/>
                <w:szCs w:val="20"/>
              </w:rPr>
              <w:t>Def</w:t>
            </w:r>
            <w:proofErr w:type="spellEnd"/>
            <w:r>
              <w:rPr>
                <w:rFonts w:asciiTheme="minorHAnsi" w:hAnsiTheme="minorHAnsi" w:cstheme="minorHAnsi"/>
                <w:sz w:val="20"/>
                <w:szCs w:val="20"/>
              </w:rPr>
              <w:t>-GSIA</w:t>
            </w:r>
          </w:p>
        </w:tc>
        <w:tc>
          <w:tcPr>
            <w:tcW w:w="1010" w:type="pct"/>
            <w:vAlign w:val="center"/>
          </w:tcPr>
          <w:p w:rsidR="006B4A48" w:rsidRPr="00697868" w:rsidRDefault="00745E6F"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6B4A48" w:rsidRPr="00697868" w:rsidRDefault="00A178F6"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A178F6"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A178F6" w:rsidP="009824E9">
            <w:pPr>
              <w:jc w:val="center"/>
              <w:rPr>
                <w:rFonts w:asciiTheme="minorHAnsi" w:hAnsiTheme="minorHAnsi" w:cstheme="minorHAnsi"/>
                <w:sz w:val="20"/>
                <w:szCs w:val="20"/>
              </w:rPr>
            </w:pPr>
            <w:r>
              <w:rPr>
                <w:rFonts w:asciiTheme="minorHAnsi" w:hAnsiTheme="minorHAnsi" w:cstheme="minorHAnsi"/>
                <w:sz w:val="20"/>
                <w:szCs w:val="20"/>
              </w:rPr>
              <w:t>1.0</w:t>
            </w:r>
          </w:p>
        </w:tc>
      </w:tr>
    </w:tbl>
    <w:p w:rsidR="000968C6" w:rsidRDefault="000968C6" w:rsidP="000968C6">
      <w:pPr>
        <w:pStyle w:val="Reminders"/>
        <w:rPr>
          <w:rFonts w:asciiTheme="minorHAnsi" w:hAnsiTheme="minorHAnsi" w:cstheme="minorHAnsi"/>
          <w:b/>
          <w:i w:val="0"/>
          <w:color w:val="auto"/>
          <w:sz w:val="22"/>
          <w:szCs w:val="22"/>
        </w:rPr>
      </w:pPr>
    </w:p>
    <w:p w:rsidR="006B4A48" w:rsidRDefault="006B4A48" w:rsidP="000968C6">
      <w:pPr>
        <w:pStyle w:val="Reminders"/>
        <w:rPr>
          <w:rFonts w:asciiTheme="minorHAnsi" w:hAnsiTheme="minorHAnsi" w:cstheme="minorHAnsi"/>
          <w:b/>
          <w:i w:val="0"/>
          <w:color w:val="auto"/>
          <w:sz w:val="22"/>
          <w:szCs w:val="22"/>
        </w:rPr>
      </w:pPr>
    </w:p>
    <w:p w:rsidR="00A85F9A" w:rsidRDefault="00A85F9A"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lastRenderedPageBreak/>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Spillage rate will also be applied to measures however the values will not be tracked in the </w:t>
      </w:r>
      <w:proofErr w:type="spellStart"/>
      <w:r w:rsidRPr="000968C6">
        <w:rPr>
          <w:rFonts w:asciiTheme="minorHAnsi" w:hAnsiTheme="minorHAnsi" w:cstheme="minorHAnsi"/>
          <w:i w:val="0"/>
          <w:color w:val="auto"/>
          <w:sz w:val="22"/>
          <w:szCs w:val="22"/>
        </w:rPr>
        <w:t>workpapers</w:t>
      </w:r>
      <w:proofErr w:type="spellEnd"/>
      <w:r w:rsidRPr="000968C6">
        <w:rPr>
          <w:rFonts w:asciiTheme="minorHAnsi" w:hAnsiTheme="minorHAnsi" w:cstheme="minorHAnsi"/>
          <w:i w:val="0"/>
          <w:color w:val="auto"/>
          <w:sz w:val="22"/>
          <w:szCs w:val="22"/>
        </w:rPr>
        <w:t>.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w:t>
      </w:r>
      <w:proofErr w:type="spellStart"/>
      <w:r w:rsidRPr="00240B74">
        <w:rPr>
          <w:rFonts w:asciiTheme="minorHAnsi" w:hAnsiTheme="minorHAnsi" w:cstheme="minorHAnsi"/>
          <w:i w:val="0"/>
          <w:color w:val="auto"/>
          <w:sz w:val="22"/>
          <w:szCs w:val="22"/>
        </w:rPr>
        <w:t>ex ante</w:t>
      </w:r>
      <w:proofErr w:type="spellEnd"/>
      <w:r w:rsidRPr="00240B74">
        <w:rPr>
          <w:rFonts w:asciiTheme="minorHAnsi" w:hAnsiTheme="minorHAnsi" w:cstheme="minorHAnsi"/>
          <w:i w:val="0"/>
          <w:color w:val="auto"/>
          <w:sz w:val="22"/>
          <w:szCs w:val="22"/>
        </w:rPr>
        <w:t xml:space="preserve"> database will be identified in the </w:t>
      </w:r>
      <w:proofErr w:type="spellStart"/>
      <w:r w:rsidRPr="00240B74">
        <w:rPr>
          <w:rFonts w:asciiTheme="minorHAnsi" w:hAnsiTheme="minorHAnsi" w:cstheme="minorHAnsi"/>
          <w:i w:val="0"/>
          <w:color w:val="auto"/>
          <w:sz w:val="22"/>
          <w:szCs w:val="22"/>
        </w:rPr>
        <w:t>workpaper</w:t>
      </w:r>
      <w:proofErr w:type="spellEnd"/>
      <w:r w:rsidRPr="00240B74">
        <w:rPr>
          <w:rFonts w:asciiTheme="minorHAnsi" w:hAnsiTheme="minorHAnsi" w:cstheme="minorHAnsi"/>
          <w:i w:val="0"/>
          <w:color w:val="auto"/>
          <w:sz w:val="22"/>
          <w:szCs w:val="22"/>
        </w:rPr>
        <w:t xml:space="preserve">. For a full set of values associated with the measures in the </w:t>
      </w:r>
      <w:proofErr w:type="spellStart"/>
      <w:r w:rsidRPr="00240B74">
        <w:rPr>
          <w:rFonts w:asciiTheme="minorHAnsi" w:hAnsiTheme="minorHAnsi" w:cstheme="minorHAnsi"/>
          <w:i w:val="0"/>
          <w:color w:val="auto"/>
          <w:sz w:val="22"/>
          <w:szCs w:val="22"/>
        </w:rPr>
        <w:t>workpaper</w:t>
      </w:r>
      <w:proofErr w:type="spellEnd"/>
      <w:r w:rsidRPr="00240B74">
        <w:rPr>
          <w:rFonts w:asciiTheme="minorHAnsi" w:hAnsiTheme="minorHAnsi" w:cstheme="minorHAnsi"/>
          <w:i w:val="0"/>
          <w:color w:val="auto"/>
          <w:sz w:val="22"/>
          <w:szCs w:val="22"/>
        </w:rPr>
        <w:t xml:space="preserve"> refer </w:t>
      </w:r>
      <w:r w:rsidR="005B0212">
        <w:rPr>
          <w:rFonts w:asciiTheme="minorHAnsi" w:hAnsiTheme="minorHAnsi" w:cstheme="minorHAnsi"/>
          <w:i w:val="0"/>
          <w:color w:val="auto"/>
          <w:sz w:val="22"/>
          <w:szCs w:val="22"/>
        </w:rPr>
        <w:t xml:space="preserve">to </w:t>
      </w:r>
      <w:r w:rsidRPr="00240B74">
        <w:rPr>
          <w:rFonts w:asciiTheme="minorHAnsi" w:hAnsiTheme="minorHAnsi" w:cstheme="minorHAnsi"/>
          <w:i w:val="0"/>
          <w:color w:val="auto"/>
          <w:sz w:val="22"/>
          <w:szCs w:val="22"/>
        </w:rPr>
        <w:t xml:space="preserve">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395735">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Values included in this </w:t>
            </w:r>
            <w:proofErr w:type="spellStart"/>
            <w:r w:rsidRPr="00240B74">
              <w:rPr>
                <w:rFonts w:asciiTheme="minorHAnsi" w:hAnsiTheme="minorHAnsi" w:cstheme="minorHAnsi"/>
                <w:i w:val="0"/>
                <w:color w:val="auto"/>
                <w:sz w:val="20"/>
                <w:szCs w:val="22"/>
              </w:rPr>
              <w:t>workpaper</w:t>
            </w:r>
            <w:proofErr w:type="spellEnd"/>
          </w:p>
        </w:tc>
      </w:tr>
      <w:tr w:rsidR="009A3425"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A3425" w:rsidRPr="00985965" w:rsidRDefault="009A3425" w:rsidP="000968C6">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Measu</w:t>
            </w:r>
            <w:r w:rsidR="00E04676" w:rsidRPr="00985965">
              <w:rPr>
                <w:rFonts w:asciiTheme="minorHAnsi" w:hAnsiTheme="minorHAnsi" w:cstheme="minorHAnsi"/>
                <w:i w:val="0"/>
                <w:color w:val="auto"/>
                <w:sz w:val="20"/>
                <w:szCs w:val="22"/>
              </w:rPr>
              <w:t>r</w:t>
            </w:r>
            <w:r w:rsidRPr="00985965">
              <w:rPr>
                <w:rFonts w:asciiTheme="minorHAnsi" w:hAnsiTheme="minorHAnsi" w:cstheme="minorHAnsi"/>
                <w:i w:val="0"/>
                <w:color w:val="auto"/>
                <w:sz w:val="20"/>
                <w:szCs w:val="22"/>
              </w:rPr>
              <w:t xml:space="preserve">e Case </w:t>
            </w:r>
            <w:proofErr w:type="spellStart"/>
            <w:r w:rsidRPr="00985965">
              <w:rPr>
                <w:rFonts w:asciiTheme="minorHAnsi" w:hAnsiTheme="minorHAnsi" w:cstheme="minorHAnsi"/>
                <w:i w:val="0"/>
                <w:color w:val="auto"/>
                <w:sz w:val="20"/>
                <w:szCs w:val="22"/>
              </w:rPr>
              <w:t>UseCategory</w:t>
            </w:r>
            <w:proofErr w:type="spellEnd"/>
          </w:p>
        </w:tc>
        <w:tc>
          <w:tcPr>
            <w:tcW w:w="6030" w:type="dxa"/>
          </w:tcPr>
          <w:p w:rsidR="009A3425" w:rsidRPr="00985965" w:rsidRDefault="009A3425" w:rsidP="00EF646D">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Lighting</w:t>
            </w:r>
          </w:p>
        </w:tc>
      </w:tr>
      <w:tr w:rsidR="009A3425"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A3425" w:rsidRPr="00985965" w:rsidRDefault="009A3425" w:rsidP="000968C6">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 xml:space="preserve">Measure Case </w:t>
            </w:r>
            <w:proofErr w:type="spellStart"/>
            <w:r w:rsidRPr="00985965">
              <w:rPr>
                <w:rFonts w:asciiTheme="minorHAnsi" w:hAnsiTheme="minorHAnsi" w:cstheme="minorHAnsi"/>
                <w:i w:val="0"/>
                <w:color w:val="auto"/>
                <w:sz w:val="20"/>
                <w:szCs w:val="22"/>
              </w:rPr>
              <w:t>UseSubCats</w:t>
            </w:r>
            <w:proofErr w:type="spellEnd"/>
          </w:p>
        </w:tc>
        <w:tc>
          <w:tcPr>
            <w:tcW w:w="6030" w:type="dxa"/>
          </w:tcPr>
          <w:p w:rsidR="009A3425" w:rsidRPr="00985965" w:rsidRDefault="009A3425" w:rsidP="00EF646D">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Indoor</w:t>
            </w:r>
            <w:r w:rsidR="00985965" w:rsidRPr="00985965">
              <w:rPr>
                <w:rFonts w:asciiTheme="minorHAnsi" w:hAnsiTheme="minorHAnsi" w:cstheme="minorHAnsi"/>
                <w:i w:val="0"/>
                <w:color w:val="auto"/>
                <w:sz w:val="20"/>
                <w:szCs w:val="22"/>
              </w:rPr>
              <w:t xml:space="preserve"> General</w:t>
            </w:r>
            <w:r w:rsidRPr="00985965">
              <w:rPr>
                <w:rFonts w:asciiTheme="minorHAnsi" w:hAnsiTheme="minorHAnsi" w:cstheme="minorHAnsi"/>
                <w:i w:val="0"/>
                <w:color w:val="auto"/>
                <w:sz w:val="20"/>
                <w:szCs w:val="22"/>
              </w:rPr>
              <w:t xml:space="preserve"> Lighting</w:t>
            </w:r>
          </w:p>
        </w:tc>
      </w:tr>
      <w:tr w:rsidR="009A3425"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A3425" w:rsidRPr="00985965" w:rsidRDefault="009A3425" w:rsidP="000968C6">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 xml:space="preserve">Measure Case </w:t>
            </w:r>
            <w:proofErr w:type="spellStart"/>
            <w:r w:rsidRPr="00985965">
              <w:rPr>
                <w:rFonts w:asciiTheme="minorHAnsi" w:hAnsiTheme="minorHAnsi" w:cstheme="minorHAnsi"/>
                <w:i w:val="0"/>
                <w:color w:val="auto"/>
                <w:sz w:val="20"/>
                <w:szCs w:val="22"/>
              </w:rPr>
              <w:t>TechGroups</w:t>
            </w:r>
            <w:proofErr w:type="spellEnd"/>
          </w:p>
        </w:tc>
        <w:tc>
          <w:tcPr>
            <w:tcW w:w="6030" w:type="dxa"/>
          </w:tcPr>
          <w:p w:rsidR="009A3425" w:rsidRPr="00985965" w:rsidRDefault="00985965" w:rsidP="00EF646D">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Lighting – Fixtures</w:t>
            </w:r>
          </w:p>
        </w:tc>
      </w:tr>
      <w:tr w:rsidR="009A3425"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A3425" w:rsidRPr="00985965" w:rsidRDefault="009A3425" w:rsidP="000968C6">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 xml:space="preserve">Measure Case </w:t>
            </w:r>
            <w:proofErr w:type="spellStart"/>
            <w:r w:rsidRPr="00985965">
              <w:rPr>
                <w:rFonts w:asciiTheme="minorHAnsi" w:hAnsiTheme="minorHAnsi" w:cstheme="minorHAnsi"/>
                <w:i w:val="0"/>
                <w:color w:val="auto"/>
                <w:sz w:val="20"/>
                <w:szCs w:val="22"/>
              </w:rPr>
              <w:t>TechTypes</w:t>
            </w:r>
            <w:proofErr w:type="spellEnd"/>
          </w:p>
        </w:tc>
        <w:tc>
          <w:tcPr>
            <w:tcW w:w="6030" w:type="dxa"/>
          </w:tcPr>
          <w:p w:rsidR="009A3425" w:rsidRPr="00985965" w:rsidRDefault="00985965" w:rsidP="00EF646D">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Induction Fixture</w:t>
            </w:r>
          </w:p>
        </w:tc>
      </w:tr>
      <w:tr w:rsidR="009A3425"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9A3425" w:rsidRPr="00985965" w:rsidRDefault="009A3425" w:rsidP="000968C6">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 xml:space="preserve">Base Case </w:t>
            </w:r>
            <w:proofErr w:type="spellStart"/>
            <w:r w:rsidRPr="00985965">
              <w:rPr>
                <w:rFonts w:asciiTheme="minorHAnsi" w:hAnsiTheme="minorHAnsi" w:cstheme="minorHAnsi"/>
                <w:i w:val="0"/>
                <w:color w:val="auto"/>
                <w:sz w:val="20"/>
                <w:szCs w:val="22"/>
              </w:rPr>
              <w:t>TechGroups</w:t>
            </w:r>
            <w:proofErr w:type="spellEnd"/>
          </w:p>
        </w:tc>
        <w:tc>
          <w:tcPr>
            <w:tcW w:w="6030" w:type="dxa"/>
          </w:tcPr>
          <w:p w:rsidR="009A3425" w:rsidRPr="00985965" w:rsidRDefault="00985965" w:rsidP="00EF646D">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Lighting – Fixtures</w:t>
            </w:r>
          </w:p>
        </w:tc>
      </w:tr>
      <w:tr w:rsidR="009A3425"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9A3425" w:rsidRPr="00985965" w:rsidRDefault="009A3425" w:rsidP="000968C6">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 xml:space="preserve">Base Case </w:t>
            </w:r>
            <w:proofErr w:type="spellStart"/>
            <w:r w:rsidRPr="00985965">
              <w:rPr>
                <w:rFonts w:asciiTheme="minorHAnsi" w:hAnsiTheme="minorHAnsi" w:cstheme="minorHAnsi"/>
                <w:i w:val="0"/>
                <w:color w:val="auto"/>
                <w:sz w:val="20"/>
                <w:szCs w:val="22"/>
              </w:rPr>
              <w:t>TechTypes</w:t>
            </w:r>
            <w:proofErr w:type="spellEnd"/>
          </w:p>
        </w:tc>
        <w:tc>
          <w:tcPr>
            <w:tcW w:w="6030" w:type="dxa"/>
          </w:tcPr>
          <w:p w:rsidR="009A3425" w:rsidRPr="00985965" w:rsidRDefault="00985965" w:rsidP="00EF646D">
            <w:pPr>
              <w:pStyle w:val="Reminders"/>
              <w:rPr>
                <w:rFonts w:asciiTheme="minorHAnsi" w:hAnsiTheme="minorHAnsi" w:cstheme="minorHAnsi"/>
                <w:i w:val="0"/>
                <w:color w:val="auto"/>
                <w:sz w:val="20"/>
                <w:szCs w:val="22"/>
              </w:rPr>
            </w:pPr>
            <w:r w:rsidRPr="00985965">
              <w:rPr>
                <w:rFonts w:asciiTheme="minorHAnsi" w:hAnsiTheme="minorHAnsi" w:cstheme="minorHAnsi"/>
                <w:i w:val="0"/>
                <w:color w:val="auto"/>
                <w:sz w:val="20"/>
                <w:szCs w:val="22"/>
              </w:rPr>
              <w:t>HID Fixture</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0"/>
    </w:p>
    <w:p w:rsidR="00B95F68" w:rsidRDefault="00B95F68" w:rsidP="00A178F6">
      <w:pPr>
        <w:rPr>
          <w:rFonts w:asciiTheme="minorHAnsi" w:hAnsiTheme="minorHAnsi" w:cstheme="minorHAnsi"/>
          <w:sz w:val="22"/>
          <w:szCs w:val="22"/>
        </w:rPr>
      </w:pPr>
      <w:r w:rsidRPr="00B95F68">
        <w:rPr>
          <w:rFonts w:asciiTheme="minorHAnsi" w:hAnsiTheme="minorHAnsi" w:cstheme="minorHAnsi"/>
          <w:sz w:val="22"/>
          <w:szCs w:val="22"/>
        </w:rPr>
        <w:t>Title 24 2013 [355] Section 150.0(k)1 contains codes related to Residential lighting which includes a minimum 50 percent of total rated wattage in kitchen to be high efficacy, and non-high efficacy lighting to be controlled by vacancy sensors in certain areas for new construction. The measures in this work paper for Residential building types are not affected by this code.</w:t>
      </w:r>
    </w:p>
    <w:p w:rsidR="00B95F68" w:rsidRDefault="00B95F68" w:rsidP="00A178F6">
      <w:pPr>
        <w:rPr>
          <w:rFonts w:asciiTheme="minorHAnsi" w:hAnsiTheme="minorHAnsi" w:cstheme="minorHAnsi"/>
          <w:sz w:val="22"/>
          <w:szCs w:val="22"/>
        </w:rPr>
      </w:pPr>
    </w:p>
    <w:p w:rsidR="00251BB5" w:rsidRDefault="00A736A0" w:rsidP="00A178F6">
      <w:pPr>
        <w:rPr>
          <w:rFonts w:asciiTheme="minorHAnsi" w:hAnsiTheme="minorHAnsi" w:cstheme="minorHAnsi"/>
          <w:sz w:val="22"/>
          <w:szCs w:val="22"/>
        </w:rPr>
      </w:pPr>
      <w:r w:rsidRPr="00251BB5">
        <w:rPr>
          <w:rFonts w:asciiTheme="minorHAnsi" w:hAnsiTheme="minorHAnsi" w:cstheme="minorHAnsi"/>
          <w:sz w:val="22"/>
          <w:szCs w:val="22"/>
        </w:rPr>
        <w:t xml:space="preserve">These fixture replacements are covered by the luminaire alterations requirements of </w:t>
      </w:r>
      <w:r w:rsidR="00A178F6" w:rsidRPr="00251BB5">
        <w:rPr>
          <w:rFonts w:asciiTheme="minorHAnsi" w:hAnsiTheme="minorHAnsi" w:cstheme="minorHAnsi"/>
          <w:sz w:val="22"/>
          <w:szCs w:val="22"/>
        </w:rPr>
        <w:t>Title 24</w:t>
      </w:r>
      <w:r w:rsidRPr="00251BB5">
        <w:rPr>
          <w:rFonts w:asciiTheme="minorHAnsi" w:hAnsiTheme="minorHAnsi" w:cstheme="minorHAnsi"/>
          <w:sz w:val="22"/>
          <w:szCs w:val="22"/>
        </w:rPr>
        <w:t>,</w:t>
      </w:r>
      <w:r w:rsidR="00A178F6" w:rsidRPr="00251BB5">
        <w:rPr>
          <w:rFonts w:asciiTheme="minorHAnsi" w:hAnsiTheme="minorHAnsi" w:cstheme="minorHAnsi"/>
          <w:sz w:val="22"/>
          <w:szCs w:val="22"/>
        </w:rPr>
        <w:t xml:space="preserve"> 20</w:t>
      </w:r>
      <w:r w:rsidR="00D2008E">
        <w:rPr>
          <w:rFonts w:asciiTheme="minorHAnsi" w:hAnsiTheme="minorHAnsi" w:cstheme="minorHAnsi"/>
          <w:sz w:val="22"/>
          <w:szCs w:val="22"/>
        </w:rPr>
        <w:t>13</w:t>
      </w:r>
      <w:r w:rsidRPr="00251BB5">
        <w:rPr>
          <w:rFonts w:asciiTheme="minorHAnsi" w:hAnsiTheme="minorHAnsi" w:cstheme="minorHAnsi"/>
          <w:sz w:val="22"/>
          <w:szCs w:val="22"/>
        </w:rPr>
        <w:t xml:space="preserve">. </w:t>
      </w:r>
      <w:r w:rsidR="00407021" w:rsidRPr="00251BB5">
        <w:rPr>
          <w:rFonts w:asciiTheme="minorHAnsi" w:hAnsiTheme="minorHAnsi" w:cstheme="minorHAnsi"/>
          <w:sz w:val="22"/>
          <w:szCs w:val="22"/>
        </w:rPr>
        <w:t>The</w:t>
      </w:r>
      <w:r w:rsidR="00A178F6" w:rsidRPr="00251BB5">
        <w:rPr>
          <w:rFonts w:asciiTheme="minorHAnsi" w:hAnsiTheme="minorHAnsi" w:cstheme="minorHAnsi"/>
          <w:sz w:val="22"/>
          <w:szCs w:val="22"/>
        </w:rPr>
        <w:t xml:space="preserve"> </w:t>
      </w:r>
      <w:r w:rsidR="00995983" w:rsidRPr="00251BB5">
        <w:rPr>
          <w:rFonts w:asciiTheme="minorHAnsi" w:hAnsiTheme="minorHAnsi" w:cstheme="minorHAnsi"/>
          <w:sz w:val="22"/>
          <w:szCs w:val="22"/>
        </w:rPr>
        <w:t xml:space="preserve">requirements </w:t>
      </w:r>
      <w:r w:rsidRPr="00251BB5">
        <w:rPr>
          <w:rFonts w:asciiTheme="minorHAnsi" w:hAnsiTheme="minorHAnsi" w:cstheme="minorHAnsi"/>
          <w:sz w:val="22"/>
          <w:szCs w:val="22"/>
        </w:rPr>
        <w:t>are</w:t>
      </w:r>
      <w:r w:rsidR="00995983" w:rsidRPr="00251BB5">
        <w:rPr>
          <w:rFonts w:asciiTheme="minorHAnsi" w:hAnsiTheme="minorHAnsi" w:cstheme="minorHAnsi"/>
          <w:sz w:val="22"/>
          <w:szCs w:val="22"/>
        </w:rPr>
        <w:t xml:space="preserve"> in Section 141.0</w:t>
      </w:r>
      <w:r w:rsidR="00407021" w:rsidRPr="00251BB5">
        <w:rPr>
          <w:rFonts w:asciiTheme="minorHAnsi" w:hAnsiTheme="minorHAnsi" w:cstheme="minorHAnsi"/>
          <w:sz w:val="22"/>
          <w:szCs w:val="22"/>
        </w:rPr>
        <w:t xml:space="preserve"> and include the following:</w:t>
      </w:r>
    </w:p>
    <w:p w:rsidR="00D2008E" w:rsidRDefault="00D2008E" w:rsidP="00A178F6">
      <w:pPr>
        <w:rPr>
          <w:rFonts w:asciiTheme="minorHAnsi" w:hAnsiTheme="minorHAnsi" w:cstheme="minorHAnsi"/>
          <w:sz w:val="22"/>
          <w:szCs w:val="22"/>
        </w:rPr>
      </w:pPr>
    </w:p>
    <w:p w:rsidR="00D2008E" w:rsidRDefault="00D2008E" w:rsidP="00A178F6">
      <w:pPr>
        <w:rPr>
          <w:rFonts w:asciiTheme="minorHAnsi" w:hAnsiTheme="minorHAnsi" w:cstheme="minorHAnsi"/>
          <w:sz w:val="22"/>
          <w:szCs w:val="22"/>
        </w:rPr>
      </w:pPr>
      <w:r w:rsidRPr="00251BB5">
        <w:rPr>
          <w:noProof/>
        </w:rPr>
        <mc:AlternateContent>
          <mc:Choice Requires="wps">
            <w:drawing>
              <wp:inline distT="0" distB="0" distL="0" distR="0">
                <wp:extent cx="1828800" cy="1828800"/>
                <wp:effectExtent l="0" t="0" r="12700" b="24765"/>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a:effectLst/>
                      </wps:spPr>
                      <wps:txbx>
                        <w:txbxContent>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BoldMT"/>
                                <w:b/>
                                <w:bCs/>
                                <w:sz w:val="22"/>
                                <w:szCs w:val="22"/>
                              </w:rPr>
                              <w:t xml:space="preserve">Lighting System Alterations </w:t>
                            </w:r>
                            <w:r w:rsidRPr="00407021">
                              <w:rPr>
                                <w:rFonts w:asciiTheme="minorHAnsi" w:eastAsiaTheme="minorHAnsi" w:hAnsiTheme="minorHAnsi" w:cs="TimesNewRomanPSMT"/>
                                <w:sz w:val="22"/>
                                <w:szCs w:val="22"/>
                              </w:rPr>
                              <w:t>shall meet the applicable requirements in TABLE 141.0-E and the</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proofErr w:type="gramStart"/>
                            <w:r w:rsidRPr="00407021">
                              <w:rPr>
                                <w:rFonts w:asciiTheme="minorHAnsi" w:eastAsiaTheme="minorHAnsi" w:hAnsiTheme="minorHAnsi" w:cs="TimesNewRomanPSMT"/>
                                <w:sz w:val="22"/>
                                <w:szCs w:val="22"/>
                              </w:rPr>
                              <w:t>following</w:t>
                            </w:r>
                            <w:proofErr w:type="gramEnd"/>
                            <w:r w:rsidRPr="00407021">
                              <w:rPr>
                                <w:rFonts w:asciiTheme="minorHAnsi" w:eastAsiaTheme="minorHAnsi" w:hAnsiTheme="minorHAnsi" w:cs="TimesNewRomanPSMT"/>
                                <w:sz w:val="22"/>
                                <w:szCs w:val="22"/>
                              </w:rPr>
                              <w:t>:</w:t>
                            </w:r>
                          </w:p>
                          <w:p w:rsidR="00A85F9A" w:rsidRPr="00407021" w:rsidRDefault="00A85F9A" w:rsidP="00407021">
                            <w:pPr>
                              <w:numPr>
                                <w:ilvl w:val="0"/>
                                <w:numId w:val="12"/>
                              </w:numPr>
                              <w:autoSpaceDE w:val="0"/>
                              <w:autoSpaceDN w:val="0"/>
                              <w:adjustRightInd w:val="0"/>
                              <w:contextualSpacing/>
                              <w:rPr>
                                <w:rFonts w:asciiTheme="minorHAnsi" w:eastAsiaTheme="minorHAnsi" w:hAnsiTheme="minorHAnsi" w:cs="TimesNewRomanPSMT"/>
                                <w:sz w:val="22"/>
                                <w:szCs w:val="22"/>
                              </w:rPr>
                            </w:pPr>
                            <w:r w:rsidRPr="00407021">
                              <w:rPr>
                                <w:rFonts w:asciiTheme="minorHAnsi" w:eastAsiaTheme="minorHAnsi" w:hAnsiTheme="minorHAnsi" w:cs="TimesNewRomanPSMT"/>
                                <w:sz w:val="22"/>
                                <w:szCs w:val="22"/>
                              </w:rPr>
                              <w:t>Lighting System Alterations include alterations where an existing lighting system is modified, luminaires are replaced, or luminaires are disconnected from the circuit, removed and reinstalled, whether in the same location or installed elsewhere.</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BoldMT"/>
                                <w:b/>
                                <w:bCs/>
                                <w:sz w:val="22"/>
                                <w:szCs w:val="22"/>
                              </w:rPr>
                              <w:t>EXCEPTION 1 to Section 141.0(b</w:t>
                            </w:r>
                            <w:proofErr w:type="gramStart"/>
                            <w:r w:rsidRPr="00407021">
                              <w:rPr>
                                <w:rFonts w:asciiTheme="minorHAnsi" w:eastAsiaTheme="minorHAnsi" w:hAnsiTheme="minorHAnsi" w:cs="TimesNewRomanPS-BoldMT"/>
                                <w:b/>
                                <w:bCs/>
                                <w:sz w:val="22"/>
                                <w:szCs w:val="22"/>
                              </w:rPr>
                              <w:t>)2Iii</w:t>
                            </w:r>
                            <w:proofErr w:type="gramEnd"/>
                            <w:r w:rsidRPr="00407021">
                              <w:rPr>
                                <w:rFonts w:asciiTheme="minorHAnsi" w:eastAsiaTheme="minorHAnsi" w:hAnsiTheme="minorHAnsi" w:cs="TimesNewRomanPS-BoldMT"/>
                                <w:b/>
                                <w:bCs/>
                                <w:sz w:val="22"/>
                                <w:szCs w:val="22"/>
                              </w:rPr>
                              <w:t xml:space="preserve">: </w:t>
                            </w:r>
                            <w:r w:rsidRPr="00407021">
                              <w:rPr>
                                <w:rFonts w:asciiTheme="minorHAnsi" w:eastAsiaTheme="minorHAnsi" w:hAnsiTheme="minorHAnsi" w:cs="TimesNewRomanPSMT"/>
                                <w:sz w:val="22"/>
                                <w:szCs w:val="22"/>
                              </w:rPr>
                              <w:t>Alterations that qualify as a Luminaire Modification-in-</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MT"/>
                                <w:sz w:val="22"/>
                                <w:szCs w:val="22"/>
                              </w:rPr>
                              <w:t>Place.</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BoldMT"/>
                                <w:b/>
                                <w:bCs/>
                                <w:sz w:val="22"/>
                                <w:szCs w:val="22"/>
                              </w:rPr>
                              <w:t>EXCEPTION 2 to Section 141.0(b</w:t>
                            </w:r>
                            <w:proofErr w:type="gramStart"/>
                            <w:r w:rsidRPr="00407021">
                              <w:rPr>
                                <w:rFonts w:asciiTheme="minorHAnsi" w:eastAsiaTheme="minorHAnsi" w:hAnsiTheme="minorHAnsi" w:cs="TimesNewRomanPS-BoldMT"/>
                                <w:b/>
                                <w:bCs/>
                                <w:sz w:val="22"/>
                                <w:szCs w:val="22"/>
                              </w:rPr>
                              <w:t>)2Iii</w:t>
                            </w:r>
                            <w:proofErr w:type="gramEnd"/>
                            <w:r w:rsidRPr="00407021">
                              <w:rPr>
                                <w:rFonts w:asciiTheme="minorHAnsi" w:eastAsiaTheme="minorHAnsi" w:hAnsiTheme="minorHAnsi" w:cs="TimesNewRomanPS-BoldMT"/>
                                <w:b/>
                                <w:bCs/>
                                <w:sz w:val="22"/>
                                <w:szCs w:val="22"/>
                              </w:rPr>
                              <w:t xml:space="preserve">: </w:t>
                            </w:r>
                            <w:r w:rsidRPr="00407021">
                              <w:rPr>
                                <w:rFonts w:asciiTheme="minorHAnsi" w:eastAsiaTheme="minorHAnsi" w:hAnsiTheme="minorHAnsi" w:cs="TimesNewRomanPSMT"/>
                                <w:sz w:val="22"/>
                                <w:szCs w:val="22"/>
                              </w:rPr>
                              <w:t>Portable luminaires, luminaires affixed to moveable</w:t>
                            </w:r>
                          </w:p>
                          <w:p w:rsidR="00A85F9A" w:rsidRPr="00007DB7" w:rsidRDefault="00A85F9A" w:rsidP="00E33BBB">
                            <w:pPr>
                              <w:autoSpaceDE w:val="0"/>
                              <w:autoSpaceDN w:val="0"/>
                              <w:adjustRightInd w:val="0"/>
                              <w:rPr>
                                <w:rFonts w:eastAsiaTheme="minorHAnsi" w:cs="TimesNewRomanPSMT"/>
                              </w:rPr>
                            </w:pPr>
                            <w:proofErr w:type="gramStart"/>
                            <w:r w:rsidRPr="00407021">
                              <w:rPr>
                                <w:rFonts w:asciiTheme="minorHAnsi" w:eastAsiaTheme="minorHAnsi" w:hAnsiTheme="minorHAnsi" w:cs="TimesNewRomanPSMT"/>
                                <w:sz w:val="22"/>
                                <w:szCs w:val="22"/>
                              </w:rPr>
                              <w:t>partitions</w:t>
                            </w:r>
                            <w:proofErr w:type="gramEnd"/>
                            <w:r w:rsidRPr="00407021">
                              <w:rPr>
                                <w:rFonts w:asciiTheme="minorHAnsi" w:eastAsiaTheme="minorHAnsi" w:hAnsiTheme="minorHAnsi" w:cs="TimesNewRomanPSMT"/>
                                <w:sz w:val="22"/>
                                <w:szCs w:val="22"/>
                              </w:rPr>
                              <w:t>, and lighting excluded in accordance to Section 140.6(a)3.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type id="_x0000_t202" coordsize="21600,21600" o:spt="202" path="m,l,21600r21600,l21600,xe">
                <v:stroke joinstyle="miter"/>
                <v:path gradientshapeok="t" o:connecttype="rect"/>
              </v:shapetype>
              <v:shape id="Text Box 1" o:spid="_x0000_s1026"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AtAaSA9AgAAhgQAAA4AAAAAAAAAAAAA&#10;AAAALgIAAGRycy9lMm9Eb2MueG1sUEsBAi0AFAAGAAgAAAAhALcMAwjXAAAABQEAAA8AAAAAAAAA&#10;AAAAAAAAlwQAAGRycy9kb3ducmV2LnhtbFBLBQYAAAAABAAEAPMAAACbBQAAAAA=&#10;" filled="f" strokeweight=".5pt">
                <v:textbox style="mso-fit-shape-to-text:t">
                  <w:txbxContent>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BoldMT"/>
                          <w:b/>
                          <w:bCs/>
                          <w:sz w:val="22"/>
                          <w:szCs w:val="22"/>
                        </w:rPr>
                        <w:t xml:space="preserve">Lighting System Alterations </w:t>
                      </w:r>
                      <w:r w:rsidRPr="00407021">
                        <w:rPr>
                          <w:rFonts w:asciiTheme="minorHAnsi" w:eastAsiaTheme="minorHAnsi" w:hAnsiTheme="minorHAnsi" w:cs="TimesNewRomanPSMT"/>
                          <w:sz w:val="22"/>
                          <w:szCs w:val="22"/>
                        </w:rPr>
                        <w:t>shall meet the applicable requirements in TABLE 141.0-E and the</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MT"/>
                          <w:sz w:val="22"/>
                          <w:szCs w:val="22"/>
                        </w:rPr>
                        <w:t>following:</w:t>
                      </w:r>
                    </w:p>
                    <w:p w:rsidR="00A85F9A" w:rsidRPr="00407021" w:rsidRDefault="00A85F9A" w:rsidP="00407021">
                      <w:pPr>
                        <w:numPr>
                          <w:ilvl w:val="0"/>
                          <w:numId w:val="12"/>
                        </w:numPr>
                        <w:autoSpaceDE w:val="0"/>
                        <w:autoSpaceDN w:val="0"/>
                        <w:adjustRightInd w:val="0"/>
                        <w:contextualSpacing/>
                        <w:rPr>
                          <w:rFonts w:asciiTheme="minorHAnsi" w:eastAsiaTheme="minorHAnsi" w:hAnsiTheme="minorHAnsi" w:cs="TimesNewRomanPSMT"/>
                          <w:sz w:val="22"/>
                          <w:szCs w:val="22"/>
                        </w:rPr>
                      </w:pPr>
                      <w:r w:rsidRPr="00407021">
                        <w:rPr>
                          <w:rFonts w:asciiTheme="minorHAnsi" w:eastAsiaTheme="minorHAnsi" w:hAnsiTheme="minorHAnsi" w:cs="TimesNewRomanPSMT"/>
                          <w:sz w:val="22"/>
                          <w:szCs w:val="22"/>
                        </w:rPr>
                        <w:t>Lighting System Alterations include alterations where an existing lighting system is modified, luminaires are replaced, or luminaires are disconnected from the circuit, removed and reinstalled, whether in the same location or installed elsewhere.</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BoldMT"/>
                          <w:b/>
                          <w:bCs/>
                          <w:sz w:val="22"/>
                          <w:szCs w:val="22"/>
                        </w:rPr>
                        <w:t xml:space="preserve">EXCEPTION 1 to Section 141.0(b)2Iii: </w:t>
                      </w:r>
                      <w:r w:rsidRPr="00407021">
                        <w:rPr>
                          <w:rFonts w:asciiTheme="minorHAnsi" w:eastAsiaTheme="minorHAnsi" w:hAnsiTheme="minorHAnsi" w:cs="TimesNewRomanPSMT"/>
                          <w:sz w:val="22"/>
                          <w:szCs w:val="22"/>
                        </w:rPr>
                        <w:t>Alterations that qualify as a Luminaire Modification-in-</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MT"/>
                          <w:sz w:val="22"/>
                          <w:szCs w:val="22"/>
                        </w:rPr>
                        <w:t>Place.</w:t>
                      </w:r>
                    </w:p>
                    <w:p w:rsidR="00A85F9A" w:rsidRPr="00407021" w:rsidRDefault="00A85F9A" w:rsidP="00407021">
                      <w:pPr>
                        <w:autoSpaceDE w:val="0"/>
                        <w:autoSpaceDN w:val="0"/>
                        <w:adjustRightInd w:val="0"/>
                        <w:rPr>
                          <w:rFonts w:asciiTheme="minorHAnsi" w:eastAsiaTheme="minorHAnsi" w:hAnsiTheme="minorHAnsi" w:cs="TimesNewRomanPSMT"/>
                          <w:sz w:val="22"/>
                          <w:szCs w:val="22"/>
                        </w:rPr>
                      </w:pPr>
                      <w:r w:rsidRPr="00407021">
                        <w:rPr>
                          <w:rFonts w:asciiTheme="minorHAnsi" w:eastAsiaTheme="minorHAnsi" w:hAnsiTheme="minorHAnsi" w:cs="TimesNewRomanPS-BoldMT"/>
                          <w:b/>
                          <w:bCs/>
                          <w:sz w:val="22"/>
                          <w:szCs w:val="22"/>
                        </w:rPr>
                        <w:t xml:space="preserve">EXCEPTION 2 to Section 141.0(b)2Iii: </w:t>
                      </w:r>
                      <w:r w:rsidRPr="00407021">
                        <w:rPr>
                          <w:rFonts w:asciiTheme="minorHAnsi" w:eastAsiaTheme="minorHAnsi" w:hAnsiTheme="minorHAnsi" w:cs="TimesNewRomanPSMT"/>
                          <w:sz w:val="22"/>
                          <w:szCs w:val="22"/>
                        </w:rPr>
                        <w:t>Portable luminaires, luminaires affixed to moveable</w:t>
                      </w:r>
                    </w:p>
                    <w:p w:rsidR="00A85F9A" w:rsidRPr="00007DB7" w:rsidRDefault="00A85F9A" w:rsidP="00E33BBB">
                      <w:pPr>
                        <w:autoSpaceDE w:val="0"/>
                        <w:autoSpaceDN w:val="0"/>
                        <w:adjustRightInd w:val="0"/>
                        <w:rPr>
                          <w:rFonts w:eastAsiaTheme="minorHAnsi" w:cs="TimesNewRomanPSMT"/>
                        </w:rPr>
                      </w:pPr>
                      <w:r w:rsidRPr="00407021">
                        <w:rPr>
                          <w:rFonts w:asciiTheme="minorHAnsi" w:eastAsiaTheme="minorHAnsi" w:hAnsiTheme="minorHAnsi" w:cs="TimesNewRomanPSMT"/>
                          <w:sz w:val="22"/>
                          <w:szCs w:val="22"/>
                        </w:rPr>
                        <w:t>partitions, and lighting excluded in accordance to Section 140.6(a)3.</w:t>
                      </w:r>
                    </w:p>
                  </w:txbxContent>
                </v:textbox>
                <w10:anchorlock/>
              </v:shape>
            </w:pict>
          </mc:Fallback>
        </mc:AlternateContent>
      </w:r>
    </w:p>
    <w:p w:rsidR="00D2008E" w:rsidRDefault="00D2008E" w:rsidP="00A178F6">
      <w:pPr>
        <w:rPr>
          <w:rFonts w:asciiTheme="minorHAnsi" w:hAnsiTheme="minorHAnsi" w:cstheme="minorHAnsi"/>
          <w:sz w:val="22"/>
          <w:szCs w:val="22"/>
        </w:rPr>
      </w:pPr>
    </w:p>
    <w:p w:rsidR="00A178F6" w:rsidRPr="00251BB5" w:rsidRDefault="00A736A0" w:rsidP="00A178F6">
      <w:pPr>
        <w:rPr>
          <w:rFonts w:asciiTheme="minorHAnsi" w:hAnsiTheme="minorHAnsi" w:cstheme="minorHAnsi"/>
          <w:sz w:val="22"/>
          <w:szCs w:val="22"/>
        </w:rPr>
      </w:pPr>
      <w:r w:rsidRPr="00251BB5">
        <w:rPr>
          <w:rFonts w:asciiTheme="minorHAnsi" w:hAnsiTheme="minorHAnsi" w:cstheme="minorHAnsi"/>
          <w:sz w:val="22"/>
          <w:szCs w:val="22"/>
        </w:rPr>
        <w:t>T</w:t>
      </w:r>
      <w:r w:rsidR="00A178F6" w:rsidRPr="00251BB5">
        <w:rPr>
          <w:rFonts w:asciiTheme="minorHAnsi" w:hAnsiTheme="minorHAnsi" w:cstheme="minorHAnsi"/>
          <w:sz w:val="22"/>
          <w:szCs w:val="22"/>
        </w:rPr>
        <w:t xml:space="preserve">hese measures remove and replace the actual fixture </w:t>
      </w:r>
      <w:r w:rsidR="00126B87" w:rsidRPr="00251BB5">
        <w:rPr>
          <w:rFonts w:asciiTheme="minorHAnsi" w:hAnsiTheme="minorHAnsi" w:cstheme="minorHAnsi"/>
          <w:sz w:val="22"/>
          <w:szCs w:val="22"/>
        </w:rPr>
        <w:t>(at various quantity and allowed lighting power levels</w:t>
      </w:r>
      <w:r w:rsidRPr="00251BB5">
        <w:rPr>
          <w:rFonts w:asciiTheme="minorHAnsi" w:hAnsiTheme="minorHAnsi" w:cstheme="minorHAnsi"/>
          <w:sz w:val="22"/>
          <w:szCs w:val="22"/>
        </w:rPr>
        <w:t>)</w:t>
      </w:r>
      <w:r w:rsidR="00126B87" w:rsidRPr="00251BB5">
        <w:rPr>
          <w:rFonts w:asciiTheme="minorHAnsi" w:hAnsiTheme="minorHAnsi" w:cstheme="minorHAnsi"/>
          <w:sz w:val="22"/>
          <w:szCs w:val="22"/>
        </w:rPr>
        <w:t>,</w:t>
      </w:r>
      <w:r w:rsidR="00A178F6" w:rsidRPr="00251BB5">
        <w:rPr>
          <w:rFonts w:asciiTheme="minorHAnsi" w:hAnsiTheme="minorHAnsi" w:cstheme="minorHAnsi"/>
          <w:sz w:val="22"/>
          <w:szCs w:val="22"/>
        </w:rPr>
        <w:t xml:space="preserve"> </w:t>
      </w:r>
      <w:r w:rsidRPr="00251BB5">
        <w:rPr>
          <w:rFonts w:asciiTheme="minorHAnsi" w:hAnsiTheme="minorHAnsi" w:cstheme="minorHAnsi"/>
          <w:sz w:val="22"/>
          <w:szCs w:val="22"/>
        </w:rPr>
        <w:t xml:space="preserve">therefore </w:t>
      </w:r>
      <w:r w:rsidR="00A178F6" w:rsidRPr="00251BB5">
        <w:rPr>
          <w:rFonts w:asciiTheme="minorHAnsi" w:hAnsiTheme="minorHAnsi" w:cstheme="minorHAnsi"/>
          <w:sz w:val="22"/>
          <w:szCs w:val="22"/>
        </w:rPr>
        <w:t>the code is invoked.</w:t>
      </w:r>
    </w:p>
    <w:p w:rsidR="00A178F6" w:rsidRPr="00251BB5" w:rsidRDefault="00A178F6" w:rsidP="00A178F6">
      <w:pPr>
        <w:rPr>
          <w:rFonts w:asciiTheme="minorHAnsi" w:hAnsiTheme="minorHAnsi" w:cstheme="minorHAnsi"/>
          <w:sz w:val="22"/>
          <w:szCs w:val="22"/>
        </w:rPr>
      </w:pPr>
    </w:p>
    <w:p w:rsidR="00A178F6" w:rsidRPr="00251BB5" w:rsidRDefault="00A178F6" w:rsidP="00A178F6">
      <w:pPr>
        <w:rPr>
          <w:rFonts w:asciiTheme="minorHAnsi" w:hAnsiTheme="minorHAnsi" w:cstheme="minorHAnsi"/>
          <w:sz w:val="22"/>
          <w:szCs w:val="22"/>
        </w:rPr>
      </w:pPr>
      <w:r w:rsidRPr="00251BB5">
        <w:rPr>
          <w:rFonts w:asciiTheme="minorHAnsi" w:hAnsiTheme="minorHAnsi" w:cstheme="minorHAnsi"/>
          <w:sz w:val="22"/>
          <w:szCs w:val="22"/>
        </w:rPr>
        <w:t xml:space="preserve">Title 20 </w:t>
      </w:r>
      <w:r w:rsidR="00D2008E">
        <w:rPr>
          <w:rFonts w:asciiTheme="minorHAnsi" w:hAnsiTheme="minorHAnsi" w:cstheme="minorHAnsi"/>
          <w:sz w:val="22"/>
          <w:szCs w:val="22"/>
        </w:rPr>
        <w:t xml:space="preserve">[422] </w:t>
      </w:r>
      <w:r w:rsidRPr="00251BB5">
        <w:rPr>
          <w:rFonts w:asciiTheme="minorHAnsi" w:hAnsiTheme="minorHAnsi" w:cstheme="minorHAnsi"/>
          <w:sz w:val="22"/>
          <w:szCs w:val="22"/>
        </w:rPr>
        <w:t xml:space="preserve">Appliance Efficiency Regulations include an Energy Efficiency Standard for Metal Halide Luminaires.  Probe-start ballasts metal halide luminaires rated at least partially within the range of 150 </w:t>
      </w:r>
      <w:r w:rsidRPr="00251BB5">
        <w:rPr>
          <w:rFonts w:asciiTheme="minorHAnsi" w:hAnsiTheme="minorHAnsi" w:cstheme="minorHAnsi"/>
          <w:sz w:val="22"/>
          <w:szCs w:val="22"/>
        </w:rPr>
        <w:lastRenderedPageBreak/>
        <w:t>to 500 watts are not eligible. Additionally, metal halide luminaires that are not probe-start ballasts must comply with Section 1605.3(n</w:t>
      </w:r>
      <w:proofErr w:type="gramStart"/>
      <w:r w:rsidRPr="00251BB5">
        <w:rPr>
          <w:rFonts w:asciiTheme="minorHAnsi" w:hAnsiTheme="minorHAnsi" w:cstheme="minorHAnsi"/>
          <w:sz w:val="22"/>
          <w:szCs w:val="22"/>
        </w:rPr>
        <w:t>)(</w:t>
      </w:r>
      <w:proofErr w:type="gramEnd"/>
      <w:r w:rsidRPr="00251BB5">
        <w:rPr>
          <w:rFonts w:asciiTheme="minorHAnsi" w:hAnsiTheme="minorHAnsi" w:cstheme="minorHAnsi"/>
          <w:sz w:val="22"/>
          <w:szCs w:val="22"/>
        </w:rPr>
        <w:t>2)(A) and 1605.3(n)(2)(B) as applicable.</w:t>
      </w:r>
    </w:p>
    <w:p w:rsidR="00A178F6" w:rsidRPr="00894F22" w:rsidRDefault="00A178F6" w:rsidP="00A178F6">
      <w:pPr>
        <w:rPr>
          <w:rFonts w:asciiTheme="minorHAnsi" w:hAnsiTheme="minorHAnsi" w:cstheme="minorHAnsi"/>
          <w:sz w:val="22"/>
          <w:szCs w:val="22"/>
          <w:highlight w:val="yellow"/>
        </w:rPr>
      </w:pPr>
    </w:p>
    <w:p w:rsidR="00A178F6" w:rsidRPr="00460350" w:rsidRDefault="00A178F6" w:rsidP="00A178F6">
      <w:pPr>
        <w:rPr>
          <w:rFonts w:asciiTheme="minorHAnsi" w:hAnsiTheme="minorHAnsi" w:cstheme="minorHAnsi"/>
          <w:sz w:val="22"/>
          <w:szCs w:val="22"/>
        </w:rPr>
      </w:pPr>
      <w:r w:rsidRPr="00251BB5">
        <w:rPr>
          <w:rFonts w:asciiTheme="minorHAnsi" w:hAnsiTheme="minorHAnsi" w:cstheme="minorHAnsi"/>
          <w:sz w:val="22"/>
          <w:szCs w:val="22"/>
        </w:rPr>
        <w:t>Effective July 14th, 2012, multiple T12 lamp types will be impacted by the new US Department of Energy standards set for general service fluorescent lamps. Accordingly, T12 fixtures are being phased out as an eligible baseline lighting technology for the purpose of calculating energy savings for lighting retrofit projects [</w:t>
      </w:r>
      <w:r w:rsidR="002B0DC8" w:rsidRPr="00251BB5">
        <w:rPr>
          <w:rFonts w:asciiTheme="minorHAnsi" w:hAnsiTheme="minorHAnsi" w:cstheme="minorHAnsi"/>
          <w:sz w:val="22"/>
          <w:szCs w:val="22"/>
        </w:rPr>
        <w:t>B</w:t>
      </w:r>
      <w:r w:rsidRPr="00251BB5">
        <w:rPr>
          <w:rFonts w:asciiTheme="minorHAnsi" w:hAnsiTheme="minorHAnsi" w:cstheme="minorHAnsi"/>
          <w:sz w:val="22"/>
          <w:szCs w:val="22"/>
        </w:rPr>
        <w:t xml:space="preserve">]. In accordance with this requirement, all T12 fixtures are not eligible as Base Case for this </w:t>
      </w:r>
      <w:r w:rsidRPr="00460350">
        <w:rPr>
          <w:rFonts w:asciiTheme="minorHAnsi" w:hAnsiTheme="minorHAnsi" w:cstheme="minorHAnsi"/>
          <w:sz w:val="22"/>
          <w:szCs w:val="22"/>
        </w:rPr>
        <w:t xml:space="preserve">measure.  </w:t>
      </w:r>
    </w:p>
    <w:p w:rsidR="00B07EE5" w:rsidRPr="00894F22" w:rsidRDefault="00B07EE5" w:rsidP="00B07EE5">
      <w:pPr>
        <w:rPr>
          <w:rFonts w:asciiTheme="minorHAnsi" w:hAnsiTheme="minorHAnsi" w:cstheme="minorHAnsi"/>
          <w:sz w:val="22"/>
          <w:szCs w:val="22"/>
          <w:highlight w:val="yellow"/>
        </w:rPr>
      </w:pPr>
    </w:p>
    <w:p w:rsidR="00B07EE5" w:rsidRPr="00251BB5" w:rsidRDefault="00B07EE5" w:rsidP="00B07EE5">
      <w:pPr>
        <w:pStyle w:val="Caption"/>
        <w:keepNext/>
        <w:jc w:val="center"/>
        <w:rPr>
          <w:rFonts w:asciiTheme="minorHAnsi" w:hAnsiTheme="minorHAnsi" w:cstheme="minorHAnsi"/>
          <w:sz w:val="22"/>
          <w:szCs w:val="22"/>
        </w:rPr>
      </w:pPr>
      <w:r w:rsidRPr="00251BB5">
        <w:rPr>
          <w:rFonts w:asciiTheme="minorHAnsi" w:hAnsiTheme="minorHAnsi" w:cstheme="minorHAnsi"/>
          <w:sz w:val="22"/>
          <w:szCs w:val="22"/>
        </w:rPr>
        <w:t xml:space="preserve">Table </w:t>
      </w:r>
      <w:r w:rsidRPr="00251BB5">
        <w:rPr>
          <w:rFonts w:asciiTheme="minorHAnsi" w:hAnsiTheme="minorHAnsi" w:cstheme="minorHAnsi"/>
          <w:sz w:val="22"/>
          <w:szCs w:val="22"/>
        </w:rPr>
        <w:fldChar w:fldCharType="begin"/>
      </w:r>
      <w:r w:rsidRPr="00251BB5">
        <w:rPr>
          <w:rFonts w:asciiTheme="minorHAnsi" w:hAnsiTheme="minorHAnsi" w:cstheme="minorHAnsi"/>
          <w:sz w:val="22"/>
          <w:szCs w:val="22"/>
        </w:rPr>
        <w:instrText xml:space="preserve"> SEQ Table \* ARABIC </w:instrText>
      </w:r>
      <w:r w:rsidRPr="00251BB5">
        <w:rPr>
          <w:rFonts w:asciiTheme="minorHAnsi" w:hAnsiTheme="minorHAnsi" w:cstheme="minorHAnsi"/>
          <w:sz w:val="22"/>
          <w:szCs w:val="22"/>
        </w:rPr>
        <w:fldChar w:fldCharType="separate"/>
      </w:r>
      <w:r w:rsidR="00395735">
        <w:rPr>
          <w:rFonts w:asciiTheme="minorHAnsi" w:hAnsiTheme="minorHAnsi" w:cstheme="minorHAnsi"/>
          <w:noProof/>
          <w:sz w:val="22"/>
          <w:szCs w:val="22"/>
        </w:rPr>
        <w:t>6</w:t>
      </w:r>
      <w:r w:rsidRPr="00251BB5">
        <w:rPr>
          <w:rFonts w:asciiTheme="minorHAnsi" w:hAnsiTheme="minorHAnsi" w:cstheme="minorHAnsi"/>
          <w:sz w:val="22"/>
          <w:szCs w:val="22"/>
        </w:rPr>
        <w:fldChar w:fldCharType="end"/>
      </w:r>
      <w:r w:rsidRPr="00251BB5">
        <w:rPr>
          <w:rFonts w:asciiTheme="minorHAnsi" w:hAnsiTheme="minorHAnsi" w:cstheme="minorHAnsi"/>
          <w:sz w:val="22"/>
          <w:szCs w:val="22"/>
        </w:rPr>
        <w:t xml:space="preserve"> </w:t>
      </w:r>
      <w:r w:rsidR="005A1078" w:rsidRPr="00251BB5">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894F22"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251BB5" w:rsidRDefault="00881A42" w:rsidP="00283DE8">
            <w:pPr>
              <w:jc w:val="center"/>
              <w:rPr>
                <w:rFonts w:asciiTheme="minorHAnsi" w:hAnsiTheme="minorHAnsi" w:cstheme="minorHAnsi"/>
                <w:sz w:val="20"/>
                <w:szCs w:val="20"/>
              </w:rPr>
            </w:pPr>
            <w:r w:rsidRPr="00251BB5">
              <w:rPr>
                <w:rFonts w:asciiTheme="minorHAnsi" w:hAnsiTheme="minorHAnsi" w:cstheme="minorHAnsi"/>
                <w:sz w:val="20"/>
                <w:szCs w:val="20"/>
              </w:rPr>
              <w:t>Code</w:t>
            </w:r>
          </w:p>
        </w:tc>
        <w:tc>
          <w:tcPr>
            <w:tcW w:w="4352" w:type="dxa"/>
          </w:tcPr>
          <w:p w:rsidR="00881A42" w:rsidRPr="00251BB5" w:rsidRDefault="00CB0100" w:rsidP="00283DE8">
            <w:pPr>
              <w:jc w:val="center"/>
              <w:rPr>
                <w:rFonts w:asciiTheme="minorHAnsi" w:hAnsiTheme="minorHAnsi" w:cstheme="minorHAnsi"/>
                <w:sz w:val="20"/>
                <w:szCs w:val="20"/>
              </w:rPr>
            </w:pPr>
            <w:r w:rsidRPr="00251BB5">
              <w:rPr>
                <w:rFonts w:asciiTheme="minorHAnsi" w:hAnsiTheme="minorHAnsi" w:cstheme="minorHAnsi"/>
                <w:sz w:val="20"/>
                <w:szCs w:val="20"/>
              </w:rPr>
              <w:t xml:space="preserve">Applicable </w:t>
            </w:r>
            <w:r w:rsidR="00881A42" w:rsidRPr="00251BB5">
              <w:rPr>
                <w:rFonts w:asciiTheme="minorHAnsi" w:hAnsiTheme="minorHAnsi" w:cstheme="minorHAnsi"/>
                <w:sz w:val="20"/>
                <w:szCs w:val="20"/>
              </w:rPr>
              <w:t>Code Reference</w:t>
            </w:r>
          </w:p>
        </w:tc>
        <w:tc>
          <w:tcPr>
            <w:tcW w:w="1821" w:type="dxa"/>
          </w:tcPr>
          <w:p w:rsidR="00881A42" w:rsidRPr="00251BB5" w:rsidRDefault="00881A42" w:rsidP="00283DE8">
            <w:pPr>
              <w:jc w:val="center"/>
              <w:rPr>
                <w:rFonts w:asciiTheme="minorHAnsi" w:hAnsiTheme="minorHAnsi" w:cstheme="minorHAnsi"/>
                <w:sz w:val="20"/>
                <w:szCs w:val="20"/>
              </w:rPr>
            </w:pPr>
            <w:r w:rsidRPr="00251BB5">
              <w:rPr>
                <w:rFonts w:asciiTheme="minorHAnsi" w:hAnsiTheme="minorHAnsi" w:cstheme="minorHAnsi"/>
                <w:sz w:val="20"/>
                <w:szCs w:val="20"/>
              </w:rPr>
              <w:t>Effective Dates</w:t>
            </w:r>
          </w:p>
        </w:tc>
      </w:tr>
      <w:tr w:rsidR="00F05F6E" w:rsidRPr="00894F22"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F05F6E" w:rsidRPr="00251BB5" w:rsidRDefault="00F05F6E" w:rsidP="00D2008E">
            <w:pPr>
              <w:jc w:val="center"/>
              <w:rPr>
                <w:rFonts w:asciiTheme="minorHAnsi" w:hAnsiTheme="minorHAnsi" w:cstheme="minorHAnsi"/>
                <w:sz w:val="20"/>
                <w:szCs w:val="20"/>
              </w:rPr>
            </w:pPr>
            <w:r w:rsidRPr="00251BB5">
              <w:rPr>
                <w:rFonts w:asciiTheme="minorHAnsi" w:hAnsiTheme="minorHAnsi" w:cstheme="minorHAnsi"/>
                <w:sz w:val="20"/>
                <w:szCs w:val="20"/>
              </w:rPr>
              <w:t>Title 24 (20</w:t>
            </w:r>
            <w:r w:rsidR="00C122CF" w:rsidRPr="00251BB5">
              <w:rPr>
                <w:rFonts w:asciiTheme="minorHAnsi" w:hAnsiTheme="minorHAnsi" w:cstheme="minorHAnsi"/>
                <w:sz w:val="20"/>
                <w:szCs w:val="20"/>
              </w:rPr>
              <w:t>13</w:t>
            </w:r>
            <w:r w:rsidR="00D2008E">
              <w:rPr>
                <w:rFonts w:asciiTheme="minorHAnsi" w:hAnsiTheme="minorHAnsi" w:cstheme="minorHAnsi"/>
                <w:sz w:val="20"/>
                <w:szCs w:val="20"/>
              </w:rPr>
              <w:t>)</w:t>
            </w:r>
          </w:p>
        </w:tc>
        <w:tc>
          <w:tcPr>
            <w:tcW w:w="4352" w:type="dxa"/>
            <w:vAlign w:val="center"/>
          </w:tcPr>
          <w:p w:rsidR="00F05F6E" w:rsidRPr="00251BB5" w:rsidRDefault="00F05F6E" w:rsidP="00C122CF">
            <w:pPr>
              <w:jc w:val="center"/>
              <w:rPr>
                <w:rFonts w:asciiTheme="minorHAnsi" w:hAnsiTheme="minorHAnsi" w:cstheme="minorHAnsi"/>
                <w:sz w:val="20"/>
                <w:szCs w:val="20"/>
              </w:rPr>
            </w:pPr>
            <w:r w:rsidRPr="00251BB5">
              <w:rPr>
                <w:rFonts w:asciiTheme="minorHAnsi" w:hAnsiTheme="minorHAnsi" w:cstheme="minorHAnsi"/>
                <w:sz w:val="20"/>
                <w:szCs w:val="20"/>
              </w:rPr>
              <w:t>20</w:t>
            </w:r>
            <w:r w:rsidR="00C122CF" w:rsidRPr="00251BB5">
              <w:rPr>
                <w:rFonts w:asciiTheme="minorHAnsi" w:hAnsiTheme="minorHAnsi" w:cstheme="minorHAnsi"/>
                <w:sz w:val="20"/>
                <w:szCs w:val="20"/>
              </w:rPr>
              <w:t>13-2014</w:t>
            </w:r>
            <w:r w:rsidRPr="00251BB5">
              <w:rPr>
                <w:rFonts w:asciiTheme="minorHAnsi" w:hAnsiTheme="minorHAnsi" w:cstheme="minorHAnsi"/>
                <w:sz w:val="20"/>
                <w:szCs w:val="20"/>
              </w:rPr>
              <w:t xml:space="preserve"> Non-Residential Compliance Manual, Section 1</w:t>
            </w:r>
            <w:r w:rsidR="00C122CF" w:rsidRPr="00251BB5">
              <w:rPr>
                <w:rFonts w:asciiTheme="minorHAnsi" w:hAnsiTheme="minorHAnsi" w:cstheme="minorHAnsi"/>
                <w:sz w:val="20"/>
                <w:szCs w:val="20"/>
              </w:rPr>
              <w:t>41.0</w:t>
            </w:r>
          </w:p>
        </w:tc>
        <w:tc>
          <w:tcPr>
            <w:tcW w:w="1821" w:type="dxa"/>
            <w:vAlign w:val="center"/>
          </w:tcPr>
          <w:p w:rsidR="00F05F6E" w:rsidRPr="00251BB5" w:rsidRDefault="00F05F6E" w:rsidP="00C122CF">
            <w:pPr>
              <w:jc w:val="center"/>
              <w:rPr>
                <w:rFonts w:asciiTheme="minorHAnsi" w:hAnsiTheme="minorHAnsi" w:cstheme="minorHAnsi"/>
                <w:sz w:val="20"/>
                <w:szCs w:val="20"/>
              </w:rPr>
            </w:pPr>
            <w:r w:rsidRPr="00251BB5">
              <w:rPr>
                <w:rFonts w:asciiTheme="minorHAnsi" w:hAnsiTheme="minorHAnsi" w:cstheme="minorHAnsi"/>
                <w:sz w:val="20"/>
                <w:szCs w:val="20"/>
              </w:rPr>
              <w:t>J</w:t>
            </w:r>
            <w:r w:rsidR="00C122CF" w:rsidRPr="00251BB5">
              <w:rPr>
                <w:rFonts w:asciiTheme="minorHAnsi" w:hAnsiTheme="minorHAnsi" w:cstheme="minorHAnsi"/>
                <w:sz w:val="20"/>
                <w:szCs w:val="20"/>
              </w:rPr>
              <w:t>uly</w:t>
            </w:r>
            <w:r w:rsidRPr="00251BB5">
              <w:rPr>
                <w:rFonts w:asciiTheme="minorHAnsi" w:hAnsiTheme="minorHAnsi" w:cstheme="minorHAnsi"/>
                <w:sz w:val="20"/>
                <w:szCs w:val="20"/>
              </w:rPr>
              <w:t xml:space="preserve"> 1, 201</w:t>
            </w:r>
            <w:r w:rsidR="00C122CF" w:rsidRPr="00251BB5">
              <w:rPr>
                <w:rFonts w:asciiTheme="minorHAnsi" w:hAnsiTheme="minorHAnsi" w:cstheme="minorHAnsi"/>
                <w:sz w:val="20"/>
                <w:szCs w:val="20"/>
              </w:rPr>
              <w:t>4</w:t>
            </w:r>
          </w:p>
        </w:tc>
      </w:tr>
      <w:tr w:rsidR="00F05F6E" w:rsidRPr="00894F22"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F05F6E" w:rsidRPr="00251BB5" w:rsidRDefault="00F05F6E" w:rsidP="00A70A7F">
            <w:pPr>
              <w:jc w:val="center"/>
              <w:rPr>
                <w:rFonts w:asciiTheme="minorHAnsi" w:hAnsiTheme="minorHAnsi" w:cstheme="minorHAnsi"/>
                <w:sz w:val="20"/>
                <w:szCs w:val="20"/>
              </w:rPr>
            </w:pPr>
            <w:r w:rsidRPr="00251BB5">
              <w:rPr>
                <w:rFonts w:asciiTheme="minorHAnsi" w:hAnsiTheme="minorHAnsi" w:cstheme="minorHAnsi"/>
                <w:sz w:val="20"/>
                <w:szCs w:val="20"/>
              </w:rPr>
              <w:t>Title 20 (201</w:t>
            </w:r>
            <w:r w:rsidR="00A70A7F" w:rsidRPr="00251BB5">
              <w:rPr>
                <w:rFonts w:asciiTheme="minorHAnsi" w:hAnsiTheme="minorHAnsi" w:cstheme="minorHAnsi"/>
                <w:sz w:val="20"/>
                <w:szCs w:val="20"/>
              </w:rPr>
              <w:t>4</w:t>
            </w:r>
            <w:r w:rsidRPr="00251BB5">
              <w:rPr>
                <w:rFonts w:asciiTheme="minorHAnsi" w:hAnsiTheme="minorHAnsi" w:cstheme="minorHAnsi"/>
                <w:sz w:val="20"/>
                <w:szCs w:val="20"/>
              </w:rPr>
              <w:t>)</w:t>
            </w:r>
          </w:p>
        </w:tc>
        <w:tc>
          <w:tcPr>
            <w:tcW w:w="4352" w:type="dxa"/>
            <w:vAlign w:val="center"/>
          </w:tcPr>
          <w:p w:rsidR="00F05F6E" w:rsidRPr="00251BB5" w:rsidRDefault="00F05F6E" w:rsidP="00513D1A">
            <w:pPr>
              <w:jc w:val="center"/>
              <w:rPr>
                <w:rFonts w:asciiTheme="minorHAnsi" w:hAnsiTheme="minorHAnsi" w:cstheme="minorHAnsi"/>
                <w:sz w:val="20"/>
                <w:szCs w:val="20"/>
              </w:rPr>
            </w:pPr>
            <w:r w:rsidRPr="00251BB5">
              <w:rPr>
                <w:rFonts w:asciiTheme="minorHAnsi" w:hAnsiTheme="minorHAnsi" w:cstheme="minorHAnsi"/>
                <w:sz w:val="20"/>
                <w:szCs w:val="20"/>
              </w:rPr>
              <w:t>Section 1605.3(n) Energy Efficiency Standard for Metal Halide Luminaires</w:t>
            </w:r>
          </w:p>
        </w:tc>
        <w:tc>
          <w:tcPr>
            <w:tcW w:w="1821" w:type="dxa"/>
            <w:vAlign w:val="center"/>
          </w:tcPr>
          <w:p w:rsidR="00F05F6E" w:rsidRPr="00251BB5" w:rsidRDefault="00A70A7F" w:rsidP="00A70A7F">
            <w:pPr>
              <w:jc w:val="center"/>
              <w:rPr>
                <w:rFonts w:asciiTheme="minorHAnsi" w:hAnsiTheme="minorHAnsi" w:cstheme="minorHAnsi"/>
                <w:sz w:val="20"/>
                <w:szCs w:val="20"/>
              </w:rPr>
            </w:pPr>
            <w:r w:rsidRPr="00251BB5">
              <w:rPr>
                <w:rFonts w:asciiTheme="minorHAnsi" w:hAnsiTheme="minorHAnsi" w:cstheme="minorHAnsi"/>
                <w:sz w:val="20"/>
                <w:szCs w:val="20"/>
              </w:rPr>
              <w:t>May</w:t>
            </w:r>
            <w:r w:rsidR="00F05F6E" w:rsidRPr="00251BB5">
              <w:rPr>
                <w:rFonts w:asciiTheme="minorHAnsi" w:hAnsiTheme="minorHAnsi" w:cstheme="minorHAnsi"/>
                <w:sz w:val="20"/>
                <w:szCs w:val="20"/>
              </w:rPr>
              <w:t xml:space="preserve"> 1, 201</w:t>
            </w:r>
            <w:r w:rsidRPr="00251BB5">
              <w:rPr>
                <w:rFonts w:asciiTheme="minorHAnsi" w:hAnsiTheme="minorHAnsi" w:cstheme="minorHAnsi"/>
                <w:sz w:val="20"/>
                <w:szCs w:val="20"/>
              </w:rPr>
              <w:t>4</w:t>
            </w:r>
          </w:p>
        </w:tc>
      </w:tr>
      <w:tr w:rsidR="00F05F6E"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F05F6E" w:rsidRPr="00251BB5" w:rsidRDefault="00F05F6E" w:rsidP="00513D1A">
            <w:pPr>
              <w:jc w:val="center"/>
              <w:rPr>
                <w:rFonts w:asciiTheme="minorHAnsi" w:hAnsiTheme="minorHAnsi" w:cstheme="minorHAnsi"/>
                <w:sz w:val="20"/>
                <w:szCs w:val="20"/>
              </w:rPr>
            </w:pPr>
            <w:r w:rsidRPr="00251BB5">
              <w:rPr>
                <w:rFonts w:asciiTheme="minorHAnsi" w:hAnsiTheme="minorHAnsi" w:cstheme="minorHAnsi"/>
                <w:sz w:val="20"/>
                <w:szCs w:val="20"/>
              </w:rPr>
              <w:t>US DOE Standards (2009)</w:t>
            </w:r>
          </w:p>
        </w:tc>
        <w:tc>
          <w:tcPr>
            <w:tcW w:w="4352" w:type="dxa"/>
            <w:vAlign w:val="center"/>
          </w:tcPr>
          <w:p w:rsidR="00F05F6E" w:rsidRPr="00251BB5" w:rsidRDefault="00F05F6E" w:rsidP="00513D1A">
            <w:pPr>
              <w:jc w:val="center"/>
              <w:rPr>
                <w:rFonts w:asciiTheme="minorHAnsi" w:hAnsiTheme="minorHAnsi" w:cstheme="minorHAnsi"/>
                <w:sz w:val="20"/>
                <w:szCs w:val="20"/>
              </w:rPr>
            </w:pPr>
            <w:r w:rsidRPr="00251BB5">
              <w:rPr>
                <w:rFonts w:asciiTheme="minorHAnsi" w:hAnsiTheme="minorHAnsi" w:cstheme="minorHAnsi"/>
                <w:sz w:val="20"/>
                <w:szCs w:val="20"/>
              </w:rPr>
              <w:t>DOE 10 CFR Part 30</w:t>
            </w:r>
          </w:p>
        </w:tc>
        <w:tc>
          <w:tcPr>
            <w:tcW w:w="1821" w:type="dxa"/>
            <w:vAlign w:val="center"/>
          </w:tcPr>
          <w:p w:rsidR="00F05F6E" w:rsidRPr="00251BB5" w:rsidRDefault="00F05F6E" w:rsidP="00513D1A">
            <w:pPr>
              <w:jc w:val="center"/>
              <w:rPr>
                <w:rFonts w:asciiTheme="minorHAnsi" w:hAnsiTheme="minorHAnsi" w:cstheme="minorHAnsi"/>
                <w:sz w:val="20"/>
                <w:szCs w:val="20"/>
              </w:rPr>
            </w:pPr>
            <w:r w:rsidRPr="00251BB5">
              <w:rPr>
                <w:rFonts w:asciiTheme="minorHAnsi" w:hAnsiTheme="minorHAnsi" w:cstheme="minorHAnsi"/>
                <w:sz w:val="20"/>
                <w:szCs w:val="20"/>
              </w:rPr>
              <w:t>July 14th, 2012</w:t>
            </w:r>
          </w:p>
        </w:tc>
      </w:tr>
    </w:tbl>
    <w:p w:rsidR="00B07EE5" w:rsidRDefault="00B07EE5" w:rsidP="00E16609">
      <w:pPr>
        <w:pStyle w:val="Reminders"/>
        <w:rPr>
          <w:rFonts w:asciiTheme="minorHAnsi" w:hAnsiTheme="minorHAnsi" w:cstheme="minorHAnsi"/>
          <w:sz w:val="22"/>
          <w:szCs w:val="22"/>
        </w:rPr>
      </w:pPr>
    </w:p>
    <w:p w:rsidR="00B95F68" w:rsidRPr="00A85F9A" w:rsidRDefault="00B95F68" w:rsidP="00CC1E8B">
      <w:pPr>
        <w:rPr>
          <w:rFonts w:asciiTheme="minorHAnsi" w:hAnsiTheme="minorHAnsi" w:cstheme="minorHAnsi"/>
          <w:sz w:val="22"/>
          <w:szCs w:val="22"/>
        </w:rPr>
      </w:pPr>
      <w:r>
        <w:rPr>
          <w:rFonts w:asciiTheme="minorHAnsi" w:hAnsiTheme="minorHAnsi" w:cstheme="minorHAnsi"/>
          <w:sz w:val="22"/>
          <w:szCs w:val="22"/>
        </w:rPr>
        <w:t xml:space="preserve">It should be noted that Title 24 </w:t>
      </w:r>
      <w:r w:rsidR="00F028A3">
        <w:rPr>
          <w:rFonts w:asciiTheme="minorHAnsi" w:hAnsiTheme="minorHAnsi" w:cstheme="minorHAnsi"/>
          <w:sz w:val="22"/>
          <w:szCs w:val="22"/>
        </w:rPr>
        <w:t xml:space="preserve">2013 </w:t>
      </w:r>
      <w:r>
        <w:rPr>
          <w:rFonts w:asciiTheme="minorHAnsi" w:hAnsiTheme="minorHAnsi" w:cstheme="minorHAnsi"/>
          <w:sz w:val="22"/>
          <w:szCs w:val="22"/>
        </w:rPr>
        <w:t xml:space="preserve">treats the lighting </w:t>
      </w:r>
      <w:r w:rsidR="00F028A3">
        <w:rPr>
          <w:rFonts w:asciiTheme="minorHAnsi" w:hAnsiTheme="minorHAnsi" w:cstheme="minorHAnsi"/>
          <w:sz w:val="22"/>
          <w:szCs w:val="22"/>
        </w:rPr>
        <w:t>of</w:t>
      </w:r>
      <w:r>
        <w:rPr>
          <w:rFonts w:asciiTheme="minorHAnsi" w:hAnsiTheme="minorHAnsi" w:cstheme="minorHAnsi"/>
          <w:sz w:val="22"/>
          <w:szCs w:val="22"/>
        </w:rPr>
        <w:t xml:space="preserve"> covered parking lot decks</w:t>
      </w:r>
      <w:r w:rsidR="00F028A3">
        <w:rPr>
          <w:rFonts w:asciiTheme="minorHAnsi" w:hAnsiTheme="minorHAnsi" w:cstheme="minorHAnsi"/>
          <w:sz w:val="22"/>
          <w:szCs w:val="22"/>
        </w:rPr>
        <w:t xml:space="preserve"> (their contiguous parking areas and loading and unloading areas</w:t>
      </w:r>
      <w:r w:rsidR="00CC1E8B">
        <w:rPr>
          <w:rFonts w:asciiTheme="minorHAnsi" w:hAnsiTheme="minorHAnsi" w:cstheme="minorHAnsi"/>
          <w:sz w:val="22"/>
          <w:szCs w:val="22"/>
        </w:rPr>
        <w:t>)</w:t>
      </w:r>
      <w:r w:rsidR="00F028A3">
        <w:rPr>
          <w:rFonts w:asciiTheme="minorHAnsi" w:hAnsiTheme="minorHAnsi" w:cstheme="minorHAnsi"/>
          <w:sz w:val="22"/>
          <w:szCs w:val="22"/>
        </w:rPr>
        <w:t>,</w:t>
      </w:r>
      <w:r>
        <w:rPr>
          <w:rFonts w:asciiTheme="minorHAnsi" w:hAnsiTheme="minorHAnsi" w:cstheme="minorHAnsi"/>
          <w:sz w:val="22"/>
          <w:szCs w:val="22"/>
        </w:rPr>
        <w:t xml:space="preserve"> stairwells</w:t>
      </w:r>
      <w:r w:rsidR="00F028A3">
        <w:rPr>
          <w:rFonts w:asciiTheme="minorHAnsi" w:hAnsiTheme="minorHAnsi" w:cstheme="minorHAnsi"/>
          <w:sz w:val="22"/>
          <w:szCs w:val="22"/>
        </w:rPr>
        <w:t xml:space="preserve"> and common area corridors</w:t>
      </w:r>
      <w:r w:rsidR="00CC1E8B">
        <w:rPr>
          <w:rFonts w:asciiTheme="minorHAnsi" w:hAnsiTheme="minorHAnsi" w:cstheme="minorHAnsi"/>
          <w:sz w:val="22"/>
          <w:szCs w:val="22"/>
        </w:rPr>
        <w:t xml:space="preserve"> (</w:t>
      </w:r>
      <w:r w:rsidR="00F028A3">
        <w:rPr>
          <w:rFonts w:asciiTheme="minorHAnsi" w:hAnsiTheme="minorHAnsi" w:cstheme="minorHAnsi"/>
          <w:sz w:val="22"/>
          <w:szCs w:val="22"/>
        </w:rPr>
        <w:t>which provide access to guest rooms and dwelling units of high-rise residential buildings and hotel/motels</w:t>
      </w:r>
      <w:r w:rsidR="00CC1E8B" w:rsidRPr="00A85F9A">
        <w:rPr>
          <w:rFonts w:asciiTheme="minorHAnsi" w:hAnsiTheme="minorHAnsi" w:cstheme="minorHAnsi"/>
          <w:sz w:val="22"/>
          <w:szCs w:val="22"/>
        </w:rPr>
        <w:t>) as indoor lighting.</w:t>
      </w:r>
    </w:p>
    <w:p w:rsidR="00AB21F5" w:rsidRDefault="00AB21F5" w:rsidP="00F06CCF">
      <w:pPr>
        <w:pStyle w:val="Heading3"/>
        <w:rPr>
          <w:rFonts w:asciiTheme="minorHAnsi" w:hAnsiTheme="minorHAnsi"/>
        </w:rPr>
      </w:pPr>
      <w:bookmarkStart w:id="13" w:name="_Toc214003088"/>
      <w:r w:rsidRPr="00AB21F5">
        <w:rPr>
          <w:rFonts w:asciiTheme="minorHAnsi" w:hAnsiTheme="minorHAnsi"/>
        </w:rPr>
        <w:t>1.4.3 Non-DEER Study Review</w:t>
      </w:r>
    </w:p>
    <w:p w:rsidR="00F05F6E" w:rsidRPr="00AB21F5" w:rsidRDefault="00F05F6E" w:rsidP="00F05F6E">
      <w:pPr>
        <w:pStyle w:val="Reminder"/>
        <w:rPr>
          <w:rFonts w:asciiTheme="minorHAnsi" w:hAnsiTheme="minorHAnsi" w:cstheme="minorHAnsi"/>
          <w:sz w:val="22"/>
          <w:szCs w:val="22"/>
        </w:rPr>
      </w:pPr>
      <w:r>
        <w:rPr>
          <w:rFonts w:asciiTheme="minorHAnsi" w:hAnsiTheme="minorHAnsi" w:cstheme="minorHAnsi"/>
          <w:i w:val="0"/>
          <w:color w:val="auto"/>
          <w:sz w:val="22"/>
          <w:szCs w:val="22"/>
        </w:rPr>
        <w:t xml:space="preserve">No non-DEER studies or data were reviewed for this </w:t>
      </w:r>
      <w:proofErr w:type="spellStart"/>
      <w:r>
        <w:rPr>
          <w:rFonts w:asciiTheme="minorHAnsi" w:hAnsiTheme="minorHAnsi" w:cstheme="minorHAnsi"/>
          <w:i w:val="0"/>
          <w:color w:val="auto"/>
          <w:sz w:val="22"/>
          <w:szCs w:val="22"/>
        </w:rPr>
        <w:t>Workpaper</w:t>
      </w:r>
      <w:proofErr w:type="spellEnd"/>
      <w:r>
        <w:rPr>
          <w:rFonts w:asciiTheme="minorHAnsi" w:hAnsiTheme="minorHAnsi" w:cstheme="minorHAnsi"/>
          <w:i w:val="0"/>
          <w:color w:val="auto"/>
          <w:sz w:val="22"/>
          <w:szCs w:val="22"/>
        </w:rPr>
        <w:t>.</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3"/>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EF7991">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F05F6E" w:rsidRDefault="005B28C1" w:rsidP="008003EF">
      <w:pPr>
        <w:rPr>
          <w:rFonts w:asciiTheme="minorHAnsi" w:hAnsiTheme="minorHAnsi" w:cstheme="minorHAnsi"/>
          <w:sz w:val="22"/>
          <w:szCs w:val="22"/>
        </w:rPr>
      </w:pPr>
      <w:r w:rsidRPr="00EF7991">
        <w:rPr>
          <w:rFonts w:asciiTheme="minorHAnsi" w:hAnsiTheme="minorHAnsi" w:cstheme="minorHAnsi"/>
          <w:sz w:val="22"/>
          <w:szCs w:val="22"/>
        </w:rPr>
        <w:t>To obtain the EUL value the DEER</w:t>
      </w:r>
      <w:r w:rsidR="00F06CCF" w:rsidRPr="00EF7991">
        <w:rPr>
          <w:rFonts w:asciiTheme="minorHAnsi" w:hAnsiTheme="minorHAnsi" w:cstheme="minorHAnsi"/>
          <w:sz w:val="22"/>
          <w:szCs w:val="22"/>
        </w:rPr>
        <w:t>14 update</w:t>
      </w:r>
      <w:r w:rsidRPr="00EF7991">
        <w:rPr>
          <w:rFonts w:asciiTheme="minorHAnsi" w:hAnsiTheme="minorHAnsi" w:cstheme="minorHAnsi"/>
          <w:sz w:val="22"/>
          <w:szCs w:val="22"/>
        </w:rPr>
        <w:t xml:space="preserve"> documentation, EUL_Summary_10-1-08.xls</w:t>
      </w:r>
      <w:r w:rsidR="00E07752" w:rsidRPr="00EF7991">
        <w:rPr>
          <w:rFonts w:asciiTheme="minorHAnsi" w:hAnsiTheme="minorHAnsi" w:cstheme="minorHAnsi"/>
          <w:sz w:val="22"/>
          <w:szCs w:val="22"/>
        </w:rPr>
        <w:t xml:space="preserve"> [213]</w:t>
      </w:r>
      <w:r w:rsidR="00056947" w:rsidRPr="00EF7991">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008003EF">
        <w:rPr>
          <w:rFonts w:asciiTheme="minorHAnsi" w:hAnsiTheme="minorHAnsi" w:cstheme="minorHAnsi"/>
          <w:sz w:val="22"/>
          <w:szCs w:val="22"/>
        </w:rPr>
        <w:t xml:space="preserve"> There is no unique EUL_ID for the induction fixture measure.  Therefore, </w:t>
      </w:r>
      <w:proofErr w:type="spellStart"/>
      <w:r w:rsidR="008003EF" w:rsidRPr="00DE16A2">
        <w:rPr>
          <w:rFonts w:asciiTheme="minorHAnsi" w:hAnsiTheme="minorHAnsi" w:cstheme="minorHAnsi"/>
          <w:sz w:val="22"/>
          <w:szCs w:val="22"/>
        </w:rPr>
        <w:t>ILtg-Lfluor-Elec</w:t>
      </w:r>
      <w:proofErr w:type="spellEnd"/>
      <w:r w:rsidR="008003EF">
        <w:rPr>
          <w:rFonts w:asciiTheme="minorHAnsi" w:hAnsiTheme="minorHAnsi" w:cstheme="minorHAnsi"/>
          <w:sz w:val="22"/>
          <w:szCs w:val="22"/>
        </w:rPr>
        <w:t xml:space="preserve"> is used for all measures.</w:t>
      </w:r>
      <w:r w:rsidR="00F05F6E" w:rsidRPr="007D7271">
        <w:rPr>
          <w:rFonts w:asciiTheme="minorHAnsi" w:hAnsiTheme="minorHAnsi" w:cstheme="minorHAnsi"/>
          <w:sz w:val="22"/>
          <w:szCs w:val="22"/>
        </w:rPr>
        <w:t xml:space="preserve"> </w:t>
      </w:r>
    </w:p>
    <w:p w:rsidR="00F05F6E" w:rsidRDefault="00F05F6E" w:rsidP="000F130A">
      <w:pPr>
        <w:rPr>
          <w:rFonts w:asciiTheme="minorHAnsi" w:hAnsiTheme="minorHAnsi" w:cstheme="minorHAnsi"/>
          <w:sz w:val="22"/>
          <w:szCs w:val="22"/>
        </w:rPr>
      </w:pPr>
    </w:p>
    <w:p w:rsidR="005B28C1" w:rsidRDefault="005B28C1" w:rsidP="000F130A">
      <w:pPr>
        <w:rPr>
          <w:rFonts w:asciiTheme="minorHAnsi" w:hAnsiTheme="minorHAnsi" w:cstheme="minorHAnsi"/>
          <w:sz w:val="22"/>
          <w:szCs w:val="22"/>
        </w:rPr>
      </w:pPr>
      <w:r w:rsidRPr="00CC1E8B">
        <w:rPr>
          <w:rFonts w:asciiTheme="minorHAnsi" w:hAnsiTheme="minorHAnsi" w:cstheme="minorHAnsi"/>
          <w:sz w:val="22"/>
          <w:szCs w:val="22"/>
        </w:rPr>
        <w:fldChar w:fldCharType="begin"/>
      </w:r>
      <w:r w:rsidRPr="00CC1E8B">
        <w:rPr>
          <w:rFonts w:asciiTheme="minorHAnsi" w:hAnsiTheme="minorHAnsi" w:cstheme="minorHAnsi"/>
          <w:sz w:val="22"/>
          <w:szCs w:val="22"/>
        </w:rPr>
        <w:instrText xml:space="preserve"> REF _Ref296591307 \h </w:instrText>
      </w:r>
      <w:r w:rsidR="00BD3931" w:rsidRPr="00CC1E8B">
        <w:rPr>
          <w:rFonts w:asciiTheme="minorHAnsi" w:hAnsiTheme="minorHAnsi" w:cstheme="minorHAnsi"/>
          <w:sz w:val="22"/>
          <w:szCs w:val="22"/>
        </w:rPr>
        <w:instrText xml:space="preserve"> \* MERGEFORMAT </w:instrText>
      </w:r>
      <w:r w:rsidRPr="00CC1E8B">
        <w:rPr>
          <w:rFonts w:asciiTheme="minorHAnsi" w:hAnsiTheme="minorHAnsi" w:cstheme="minorHAnsi"/>
          <w:sz w:val="22"/>
          <w:szCs w:val="22"/>
        </w:rPr>
      </w:r>
      <w:r w:rsidRPr="00CC1E8B">
        <w:rPr>
          <w:rFonts w:asciiTheme="minorHAnsi" w:hAnsiTheme="minorHAnsi" w:cstheme="minorHAnsi"/>
          <w:sz w:val="22"/>
          <w:szCs w:val="22"/>
        </w:rPr>
        <w:fldChar w:fldCharType="separate"/>
      </w:r>
      <w:r w:rsidR="00395735" w:rsidRPr="00697868">
        <w:rPr>
          <w:rFonts w:asciiTheme="minorHAnsi" w:hAnsiTheme="minorHAnsi" w:cstheme="minorHAnsi"/>
          <w:sz w:val="22"/>
          <w:szCs w:val="22"/>
        </w:rPr>
        <w:t xml:space="preserve">Table </w:t>
      </w:r>
      <w:r w:rsidR="00395735">
        <w:rPr>
          <w:rFonts w:asciiTheme="minorHAnsi" w:hAnsiTheme="minorHAnsi" w:cstheme="minorHAnsi"/>
          <w:noProof/>
          <w:sz w:val="22"/>
          <w:szCs w:val="22"/>
        </w:rPr>
        <w:t>7</w:t>
      </w:r>
      <w:r w:rsidRPr="00CC1E8B">
        <w:rPr>
          <w:rFonts w:asciiTheme="minorHAnsi" w:hAnsiTheme="minorHAnsi" w:cstheme="minorHAnsi"/>
          <w:sz w:val="22"/>
          <w:szCs w:val="22"/>
        </w:rPr>
        <w:fldChar w:fldCharType="end"/>
      </w:r>
      <w:r w:rsidRPr="00CC1E8B">
        <w:rPr>
          <w:rFonts w:asciiTheme="minorHAnsi" w:hAnsiTheme="minorHAnsi" w:cstheme="minorHAnsi"/>
          <w:sz w:val="22"/>
          <w:szCs w:val="22"/>
        </w:rPr>
        <w:t xml:space="preserve"> below identifies the</w:t>
      </w:r>
      <w:r w:rsidR="008003EF">
        <w:rPr>
          <w:rFonts w:asciiTheme="minorHAnsi" w:hAnsiTheme="minorHAnsi" w:cstheme="minorHAnsi"/>
          <w:sz w:val="22"/>
          <w:szCs w:val="22"/>
        </w:rPr>
        <w:t xml:space="preserve"> EUL/RUL </w:t>
      </w:r>
      <w:r w:rsidR="008003EF" w:rsidRPr="00CC1E8B">
        <w:rPr>
          <w:rFonts w:asciiTheme="minorHAnsi" w:hAnsiTheme="minorHAnsi" w:cstheme="minorHAnsi"/>
          <w:sz w:val="22"/>
          <w:szCs w:val="22"/>
        </w:rPr>
        <w:t>value</w:t>
      </w:r>
      <w:r w:rsidRPr="00CC1E8B">
        <w:rPr>
          <w:rFonts w:asciiTheme="minorHAnsi" w:hAnsiTheme="minorHAnsi" w:cstheme="minorHAnsi"/>
          <w:sz w:val="22"/>
          <w:szCs w:val="22"/>
        </w:rPr>
        <w:t>/methodology used for the measures in this work paper.</w:t>
      </w:r>
    </w:p>
    <w:p w:rsidR="00614471" w:rsidRDefault="0061447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4"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395735">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4"/>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EF7991"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EF7991"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0F1D1F" w:rsidP="000F130A">
            <w:pPr>
              <w:rPr>
                <w:rFonts w:asciiTheme="minorHAnsi" w:hAnsiTheme="minorHAnsi" w:cstheme="minorHAnsi"/>
                <w:sz w:val="20"/>
                <w:szCs w:val="20"/>
              </w:rPr>
            </w:pPr>
            <w:proofErr w:type="spellStart"/>
            <w:r>
              <w:rPr>
                <w:rFonts w:asciiTheme="minorHAnsi" w:hAnsiTheme="minorHAnsi" w:cstheme="minorHAnsi"/>
                <w:sz w:val="20"/>
                <w:szCs w:val="20"/>
              </w:rPr>
              <w:t>ILtg-Lfluor-Elec</w:t>
            </w:r>
            <w:proofErr w:type="spellEnd"/>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1C5A94" w:rsidRPr="00EF7991" w:rsidRDefault="00EF7991" w:rsidP="00EF7991">
            <w:pPr>
              <w:rPr>
                <w:rFonts w:asciiTheme="minorHAnsi" w:hAnsiTheme="minorHAnsi" w:cstheme="minorHAnsi"/>
                <w:sz w:val="20"/>
                <w:szCs w:val="20"/>
              </w:rPr>
            </w:pPr>
            <w:r w:rsidRPr="00EF7991">
              <w:rPr>
                <w:rFonts w:asciiTheme="minorHAnsi" w:hAnsiTheme="minorHAnsi" w:cstheme="minorHAnsi"/>
                <w:sz w:val="20"/>
                <w:szCs w:val="20"/>
              </w:rPr>
              <w:t>Lighting</w:t>
            </w:r>
          </w:p>
        </w:tc>
        <w:tc>
          <w:tcPr>
            <w:tcW w:w="2161" w:type="dxa"/>
          </w:tcPr>
          <w:p w:rsidR="001C5A94" w:rsidRPr="00EF7991" w:rsidRDefault="008003EF" w:rsidP="00EF7991">
            <w:pPr>
              <w:rPr>
                <w:rFonts w:asciiTheme="minorHAnsi" w:hAnsiTheme="minorHAnsi" w:cstheme="minorHAnsi"/>
                <w:sz w:val="20"/>
                <w:szCs w:val="20"/>
              </w:rPr>
            </w:pPr>
            <w:r>
              <w:rPr>
                <w:rFonts w:asciiTheme="minorHAnsi" w:hAnsiTheme="minorHAnsi" w:cstheme="minorHAnsi"/>
                <w:sz w:val="20"/>
                <w:szCs w:val="20"/>
              </w:rPr>
              <w:t>Linear Fluorescent with Electronic Ballast</w:t>
            </w:r>
          </w:p>
        </w:tc>
        <w:tc>
          <w:tcPr>
            <w:tcW w:w="1566" w:type="dxa"/>
          </w:tcPr>
          <w:p w:rsidR="001C5A94" w:rsidRPr="00EF7991" w:rsidRDefault="008003EF" w:rsidP="00EF7991">
            <w:pPr>
              <w:rPr>
                <w:rFonts w:asciiTheme="minorHAnsi" w:hAnsiTheme="minorHAnsi" w:cstheme="minorHAnsi"/>
                <w:sz w:val="20"/>
                <w:szCs w:val="20"/>
              </w:rPr>
            </w:pPr>
            <w:r>
              <w:rPr>
                <w:rFonts w:asciiTheme="minorHAnsi" w:hAnsiTheme="minorHAnsi" w:cstheme="minorHAnsi"/>
                <w:sz w:val="20"/>
                <w:szCs w:val="20"/>
              </w:rPr>
              <w:t>Varies; 70000/building operating hours or 15 years</w:t>
            </w:r>
          </w:p>
        </w:tc>
        <w:tc>
          <w:tcPr>
            <w:tcW w:w="1443" w:type="dxa"/>
          </w:tcPr>
          <w:p w:rsidR="001C5A94" w:rsidRPr="00EF7991" w:rsidRDefault="00FD1632" w:rsidP="00EF7991">
            <w:pPr>
              <w:rPr>
                <w:rFonts w:asciiTheme="minorHAnsi" w:hAnsiTheme="minorHAnsi" w:cstheme="minorHAnsi"/>
                <w:sz w:val="20"/>
                <w:szCs w:val="20"/>
              </w:rPr>
            </w:pPr>
            <w:r>
              <w:rPr>
                <w:rFonts w:asciiTheme="minorHAnsi" w:hAnsiTheme="minorHAnsi" w:cstheme="minorHAnsi"/>
                <w:sz w:val="20"/>
                <w:szCs w:val="20"/>
              </w:rPr>
              <w:t>N/A</w:t>
            </w:r>
          </w:p>
        </w:tc>
      </w:tr>
    </w:tbl>
    <w:p w:rsidR="00614471" w:rsidRDefault="00614471" w:rsidP="00614471">
      <w:pPr>
        <w:pStyle w:val="Caption"/>
        <w:keepNext/>
        <w:jc w:val="center"/>
        <w:rPr>
          <w:rFonts w:asciiTheme="minorHAnsi" w:hAnsiTheme="minorHAnsi" w:cstheme="minorHAnsi"/>
          <w:szCs w:val="24"/>
        </w:rPr>
      </w:pPr>
      <w:bookmarkStart w:id="15" w:name="_Toc214003090"/>
    </w:p>
    <w:p w:rsidR="00614471" w:rsidRPr="008003EF" w:rsidRDefault="00614471" w:rsidP="008003EF">
      <w:pPr>
        <w:pStyle w:val="Caption"/>
        <w:jc w:val="center"/>
        <w:rPr>
          <w:rFonts w:asciiTheme="minorHAnsi" w:hAnsiTheme="minorHAnsi" w:cstheme="minorHAnsi"/>
          <w:sz w:val="22"/>
          <w:szCs w:val="22"/>
        </w:rPr>
      </w:pPr>
      <w:r w:rsidRPr="008003EF">
        <w:rPr>
          <w:rFonts w:asciiTheme="minorHAnsi" w:hAnsiTheme="minorHAnsi" w:cstheme="minorHAnsi"/>
          <w:sz w:val="22"/>
          <w:szCs w:val="22"/>
        </w:rPr>
        <w:t>Table 8 EUL by Building Type</w:t>
      </w:r>
    </w:p>
    <w:tbl>
      <w:tblPr>
        <w:tblW w:w="7645" w:type="dxa"/>
        <w:jc w:val="center"/>
        <w:tblInd w:w="93"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CCCCCC"/>
        <w:tblLook w:val="0000" w:firstRow="0" w:lastRow="0" w:firstColumn="0" w:lastColumn="0" w:noHBand="0" w:noVBand="0"/>
      </w:tblPr>
      <w:tblGrid>
        <w:gridCol w:w="4007"/>
        <w:gridCol w:w="1812"/>
        <w:gridCol w:w="1826"/>
      </w:tblGrid>
      <w:tr w:rsidR="00FD1632" w:rsidRPr="00495FD6" w:rsidTr="00FD1632">
        <w:trPr>
          <w:trHeight w:val="765"/>
          <w:tblHeader/>
          <w:jc w:val="center"/>
        </w:trPr>
        <w:tc>
          <w:tcPr>
            <w:tcW w:w="4007" w:type="dxa"/>
            <w:tcBorders>
              <w:bottom w:val="single" w:sz="18" w:space="0" w:color="FFFFFF"/>
            </w:tcBorders>
            <w:shd w:val="clear" w:color="auto" w:fill="CCCCCC"/>
            <w:vAlign w:val="center"/>
          </w:tcPr>
          <w:p w:rsidR="00FD1632" w:rsidRPr="00495FD6" w:rsidRDefault="00FD1632" w:rsidP="00513D1A">
            <w:pPr>
              <w:jc w:val="center"/>
              <w:rPr>
                <w:rFonts w:asciiTheme="minorHAnsi" w:hAnsiTheme="minorHAnsi" w:cstheme="minorHAnsi"/>
                <w:b/>
                <w:sz w:val="20"/>
                <w:szCs w:val="20"/>
              </w:rPr>
            </w:pPr>
            <w:r w:rsidRPr="00495FD6">
              <w:rPr>
                <w:rFonts w:asciiTheme="minorHAnsi" w:hAnsiTheme="minorHAnsi" w:cstheme="minorHAnsi"/>
                <w:b/>
                <w:sz w:val="20"/>
                <w:szCs w:val="20"/>
              </w:rPr>
              <w:t>Building Type</w:t>
            </w:r>
          </w:p>
        </w:tc>
        <w:tc>
          <w:tcPr>
            <w:tcW w:w="1812" w:type="dxa"/>
            <w:tcBorders>
              <w:bottom w:val="single" w:sz="18" w:space="0" w:color="FFFFFF"/>
            </w:tcBorders>
            <w:shd w:val="clear" w:color="auto" w:fill="CCCCCC"/>
            <w:vAlign w:val="center"/>
          </w:tcPr>
          <w:p w:rsidR="00FD1632" w:rsidRPr="00495FD6" w:rsidRDefault="00FD1632" w:rsidP="00513D1A">
            <w:pPr>
              <w:jc w:val="center"/>
              <w:rPr>
                <w:rFonts w:asciiTheme="minorHAnsi" w:hAnsiTheme="minorHAnsi" w:cstheme="minorHAnsi"/>
                <w:b/>
                <w:sz w:val="20"/>
                <w:szCs w:val="20"/>
              </w:rPr>
            </w:pPr>
            <w:r w:rsidRPr="00495FD6">
              <w:rPr>
                <w:rFonts w:asciiTheme="minorHAnsi" w:hAnsiTheme="minorHAnsi" w:cstheme="minorHAnsi"/>
                <w:b/>
                <w:sz w:val="20"/>
                <w:szCs w:val="20"/>
              </w:rPr>
              <w:t>Annual Operating Hours</w:t>
            </w:r>
          </w:p>
        </w:tc>
        <w:tc>
          <w:tcPr>
            <w:tcW w:w="1826" w:type="dxa"/>
            <w:tcBorders>
              <w:bottom w:val="single" w:sz="18" w:space="0" w:color="FFFFFF"/>
            </w:tcBorders>
            <w:shd w:val="clear" w:color="auto" w:fill="CCCCCC"/>
            <w:vAlign w:val="center"/>
          </w:tcPr>
          <w:p w:rsidR="00FD1632" w:rsidRPr="00495FD6" w:rsidRDefault="00FD1632" w:rsidP="00513D1A">
            <w:pPr>
              <w:jc w:val="center"/>
              <w:rPr>
                <w:rFonts w:asciiTheme="minorHAnsi" w:hAnsiTheme="minorHAnsi" w:cstheme="minorHAnsi"/>
                <w:b/>
                <w:sz w:val="20"/>
                <w:szCs w:val="20"/>
              </w:rPr>
            </w:pPr>
            <w:r>
              <w:rPr>
                <w:rFonts w:asciiTheme="minorHAnsi" w:hAnsiTheme="minorHAnsi" w:cstheme="minorHAnsi"/>
                <w:b/>
                <w:sz w:val="20"/>
                <w:szCs w:val="20"/>
              </w:rPr>
              <w:t>EUL</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Agricultural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3600.0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Assembly</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2610.0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Education - Primary School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2140.0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Education - Secondary School</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2280.0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 xml:space="preserve">Education - </w:t>
            </w:r>
            <w:proofErr w:type="spellStart"/>
            <w:r w:rsidRPr="00495FD6">
              <w:rPr>
                <w:rFonts w:ascii="Calibri" w:hAnsi="Calibri" w:cs="Calibri"/>
                <w:color w:val="000000"/>
                <w:sz w:val="20"/>
                <w:szCs w:val="20"/>
              </w:rPr>
              <w:t>Relocatable</w:t>
            </w:r>
            <w:proofErr w:type="spellEnd"/>
            <w:r w:rsidRPr="00495FD6">
              <w:rPr>
                <w:rFonts w:ascii="Calibri" w:hAnsi="Calibri" w:cs="Calibri"/>
                <w:color w:val="000000"/>
                <w:sz w:val="20"/>
                <w:szCs w:val="20"/>
              </w:rPr>
              <w:t xml:space="preserve"> Classroom</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2480.0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Education - Community College</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2420.0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Education - University</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2350.0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Grocery</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4910.0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14.4</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Food Store</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4910.0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Health/Medical - Hospital</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5260.0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13.4</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Health/Medical - Nursing Home</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4160.0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Health/Medical - Clinic</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4160.0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Lodging - Hotel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1950.0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Lodging - Guest Rooms</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1550.0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Lodging - Motel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1550.0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Manufacturing - Bio/Tech</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3530.0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Manufacturing - Light Industrial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3220.0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Industrial</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3220.0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proofErr w:type="spellStart"/>
            <w:r w:rsidRPr="00495FD6">
              <w:rPr>
                <w:rFonts w:ascii="Calibri" w:hAnsi="Calibri" w:cs="Calibri"/>
                <w:color w:val="000000"/>
                <w:sz w:val="20"/>
                <w:szCs w:val="20"/>
              </w:rPr>
              <w:t>Misc</w:t>
            </w:r>
            <w:proofErr w:type="spellEnd"/>
            <w:r w:rsidRPr="00495FD6">
              <w:rPr>
                <w:rFonts w:ascii="Calibri" w:hAnsi="Calibri" w:cs="Calibri"/>
                <w:color w:val="000000"/>
                <w:sz w:val="20"/>
                <w:szCs w:val="20"/>
              </w:rPr>
              <w:t xml:space="preserve"> - Commercial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3600.0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Office - Large</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2640.0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Office - Small</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2590.0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Restaurant - Fast-Food</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4840.0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14.5</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Restaurant - Sit-Down</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4830.0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14.5</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Retail - Multistory Large</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3380.0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Retail - Single-Story Large</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4270.0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Retail - Small</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3380.0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Storage - Conditioned</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3420.0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Storage - Unconditioned</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3420.0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shd w:val="clear" w:color="auto" w:fill="F3F3F3"/>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Transportation - Communication - Utilities</w:t>
            </w:r>
          </w:p>
        </w:tc>
        <w:tc>
          <w:tcPr>
            <w:tcW w:w="1812" w:type="dxa"/>
            <w:shd w:val="clear" w:color="auto" w:fill="F3F3F3"/>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3600.0</w:t>
            </w:r>
          </w:p>
        </w:tc>
        <w:tc>
          <w:tcPr>
            <w:tcW w:w="1826" w:type="dxa"/>
            <w:shd w:val="clear" w:color="auto" w:fill="F3F3F3"/>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r w:rsidR="00FD1632" w:rsidRPr="00495FD6" w:rsidTr="00FD1632">
        <w:trPr>
          <w:trHeight w:val="255"/>
          <w:jc w:val="center"/>
        </w:trPr>
        <w:tc>
          <w:tcPr>
            <w:tcW w:w="4007" w:type="dxa"/>
            <w:tcBorders>
              <w:bottom w:val="single" w:sz="18" w:space="0" w:color="FFFFFF"/>
            </w:tcBorders>
            <w:shd w:val="clear" w:color="auto" w:fill="CCCCCC"/>
            <w:noWrap/>
            <w:vAlign w:val="bottom"/>
          </w:tcPr>
          <w:p w:rsidR="00FD1632" w:rsidRPr="00495FD6" w:rsidRDefault="00FD1632" w:rsidP="00513D1A">
            <w:pPr>
              <w:rPr>
                <w:rFonts w:ascii="Calibri" w:hAnsi="Calibri" w:cs="Calibri"/>
                <w:color w:val="000000"/>
                <w:sz w:val="20"/>
                <w:szCs w:val="20"/>
              </w:rPr>
            </w:pPr>
            <w:r w:rsidRPr="00495FD6">
              <w:rPr>
                <w:rFonts w:ascii="Calibri" w:hAnsi="Calibri" w:cs="Calibri"/>
                <w:color w:val="000000"/>
                <w:sz w:val="20"/>
                <w:szCs w:val="20"/>
              </w:rPr>
              <w:t>Warehouse - Refrigerated</w:t>
            </w:r>
          </w:p>
        </w:tc>
        <w:tc>
          <w:tcPr>
            <w:tcW w:w="1812" w:type="dxa"/>
            <w:tcBorders>
              <w:bottom w:val="single" w:sz="18" w:space="0" w:color="FFFFFF"/>
            </w:tcBorders>
            <w:shd w:val="clear" w:color="auto" w:fill="CCCCCC"/>
            <w:noWrap/>
            <w:vAlign w:val="center"/>
          </w:tcPr>
          <w:p w:rsidR="00FD1632" w:rsidRPr="00495FD6" w:rsidRDefault="00FD1632" w:rsidP="00FD1632">
            <w:pPr>
              <w:jc w:val="center"/>
              <w:rPr>
                <w:rFonts w:ascii="Calibri" w:hAnsi="Calibri" w:cs="Calibri"/>
                <w:color w:val="000000"/>
                <w:sz w:val="20"/>
                <w:szCs w:val="20"/>
              </w:rPr>
            </w:pPr>
            <w:r w:rsidRPr="00495FD6">
              <w:rPr>
                <w:rFonts w:ascii="Calibri" w:hAnsi="Calibri" w:cs="Calibri"/>
                <w:color w:val="000000"/>
                <w:sz w:val="20"/>
                <w:szCs w:val="20"/>
              </w:rPr>
              <w:t>4770.0</w:t>
            </w:r>
          </w:p>
        </w:tc>
        <w:tc>
          <w:tcPr>
            <w:tcW w:w="1826" w:type="dxa"/>
            <w:tcBorders>
              <w:bottom w:val="single" w:sz="18" w:space="0" w:color="FFFFFF"/>
            </w:tcBorders>
            <w:shd w:val="clear" w:color="auto" w:fill="CCCCCC"/>
            <w:noWrap/>
            <w:vAlign w:val="center"/>
          </w:tcPr>
          <w:p w:rsidR="00FD1632" w:rsidRDefault="00FD1632" w:rsidP="00FD1632">
            <w:pPr>
              <w:jc w:val="center"/>
              <w:rPr>
                <w:rFonts w:ascii="Calibri" w:hAnsi="Calibri" w:cs="Arial"/>
                <w:color w:val="000000"/>
                <w:sz w:val="20"/>
                <w:szCs w:val="20"/>
              </w:rPr>
            </w:pPr>
            <w:r>
              <w:rPr>
                <w:rFonts w:ascii="Calibri" w:hAnsi="Calibri" w:cs="Arial"/>
                <w:color w:val="000000"/>
                <w:sz w:val="20"/>
                <w:szCs w:val="20"/>
              </w:rPr>
              <w:t>15.0</w:t>
            </w:r>
          </w:p>
        </w:tc>
      </w:tr>
    </w:tbl>
    <w:p w:rsidR="00614471" w:rsidRPr="009A3425" w:rsidRDefault="00E16609" w:rsidP="009A3425">
      <w:pPr>
        <w:pStyle w:val="Heading1"/>
        <w:keepNext w:val="0"/>
        <w:rPr>
          <w:rFonts w:asciiTheme="minorHAnsi" w:hAnsiTheme="minorHAnsi" w:cstheme="minorHAnsi"/>
        </w:rPr>
      </w:pPr>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5"/>
    </w:p>
    <w:p w:rsidR="00614471" w:rsidRPr="004D5208" w:rsidRDefault="00614471" w:rsidP="00614471">
      <w:pPr>
        <w:rPr>
          <w:rFonts w:asciiTheme="minorHAnsi" w:hAnsiTheme="minorHAnsi" w:cstheme="minorHAnsi"/>
          <w:sz w:val="22"/>
          <w:szCs w:val="22"/>
        </w:rPr>
      </w:pPr>
      <w:r w:rsidRPr="004D5208">
        <w:rPr>
          <w:rFonts w:asciiTheme="minorHAnsi" w:hAnsiTheme="minorHAnsi" w:cstheme="minorHAnsi"/>
          <w:sz w:val="22"/>
          <w:szCs w:val="22"/>
        </w:rPr>
        <w:t>To document savings for this work paper, measure case and base cases were selected that represent an appropriate replacement and most are near the upper bound of the acceptable replacement wattage to be conservative in the saving estimates as these measures will represent a large majority of similar replacements.</w:t>
      </w:r>
    </w:p>
    <w:p w:rsidR="00614471" w:rsidRPr="004D5208" w:rsidRDefault="00614471" w:rsidP="00614471">
      <w:pPr>
        <w:rPr>
          <w:rFonts w:asciiTheme="minorHAnsi" w:hAnsiTheme="minorHAnsi" w:cstheme="minorHAnsi"/>
          <w:sz w:val="22"/>
          <w:szCs w:val="22"/>
        </w:rPr>
      </w:pPr>
    </w:p>
    <w:p w:rsidR="006B3E52" w:rsidRDefault="00614471" w:rsidP="00614471">
      <w:pPr>
        <w:spacing w:after="120"/>
        <w:rPr>
          <w:rFonts w:asciiTheme="minorHAnsi" w:hAnsiTheme="minorHAnsi" w:cstheme="minorHAnsi"/>
          <w:sz w:val="22"/>
          <w:szCs w:val="22"/>
        </w:rPr>
      </w:pPr>
      <w:r w:rsidRPr="004D5208">
        <w:rPr>
          <w:rFonts w:asciiTheme="minorHAnsi" w:hAnsiTheme="minorHAnsi" w:cstheme="minorHAnsi"/>
          <w:sz w:val="22"/>
          <w:szCs w:val="22"/>
        </w:rPr>
        <w:lastRenderedPageBreak/>
        <w:t xml:space="preserve">For each of the measure classifications, a typical Metal Halide lamp and fixture were selected in the appropriate ranges used in the energy </w:t>
      </w:r>
      <w:r w:rsidRPr="00EF7991">
        <w:rPr>
          <w:rFonts w:asciiTheme="minorHAnsi" w:hAnsiTheme="minorHAnsi" w:cstheme="minorHAnsi"/>
          <w:sz w:val="22"/>
          <w:szCs w:val="22"/>
        </w:rPr>
        <w:t>savings estimates. The lamps were chosen in the middle to lower section of the range to be conservative. The fixture wattage is taken from Appendix B of the 20</w:t>
      </w:r>
      <w:r w:rsidR="001437AF">
        <w:rPr>
          <w:rFonts w:asciiTheme="minorHAnsi" w:hAnsiTheme="minorHAnsi" w:cstheme="minorHAnsi"/>
          <w:sz w:val="22"/>
          <w:szCs w:val="22"/>
        </w:rPr>
        <w:t>13</w:t>
      </w:r>
      <w:r w:rsidRPr="00EF7991">
        <w:rPr>
          <w:rFonts w:asciiTheme="minorHAnsi" w:hAnsiTheme="minorHAnsi" w:cstheme="minorHAnsi"/>
          <w:sz w:val="22"/>
          <w:szCs w:val="22"/>
        </w:rPr>
        <w:t xml:space="preserve"> </w:t>
      </w:r>
      <w:smartTag w:uri="urn:schemas-microsoft-com:office:smarttags" w:element="stockticker">
        <w:r w:rsidRPr="00EF7991">
          <w:rPr>
            <w:rFonts w:asciiTheme="minorHAnsi" w:hAnsiTheme="minorHAnsi" w:cstheme="minorHAnsi"/>
            <w:sz w:val="22"/>
            <w:szCs w:val="22"/>
          </w:rPr>
          <w:t>SPC</w:t>
        </w:r>
      </w:smartTag>
      <w:r w:rsidRPr="00EF7991">
        <w:rPr>
          <w:rFonts w:asciiTheme="minorHAnsi" w:hAnsiTheme="minorHAnsi" w:cstheme="minorHAnsi"/>
          <w:sz w:val="22"/>
          <w:szCs w:val="22"/>
        </w:rPr>
        <w:t xml:space="preserve"> Program Manual</w:t>
      </w:r>
      <w:bookmarkStart w:id="16" w:name="_Ref221415690"/>
      <w:r w:rsidR="002B0DC8" w:rsidRPr="00EF7991">
        <w:rPr>
          <w:rFonts w:asciiTheme="minorHAnsi" w:hAnsiTheme="minorHAnsi" w:cstheme="minorHAnsi"/>
          <w:sz w:val="22"/>
          <w:szCs w:val="22"/>
        </w:rPr>
        <w:t xml:space="preserve"> [</w:t>
      </w:r>
      <w:r w:rsidR="001437AF">
        <w:rPr>
          <w:rFonts w:asciiTheme="minorHAnsi" w:hAnsiTheme="minorHAnsi" w:cstheme="minorHAnsi"/>
          <w:sz w:val="22"/>
          <w:szCs w:val="22"/>
        </w:rPr>
        <w:t>431</w:t>
      </w:r>
      <w:r w:rsidRPr="00EF7991">
        <w:rPr>
          <w:rFonts w:asciiTheme="minorHAnsi" w:hAnsiTheme="minorHAnsi" w:cstheme="minorHAnsi"/>
          <w:sz w:val="22"/>
          <w:szCs w:val="22"/>
        </w:rPr>
        <w:t>]</w:t>
      </w:r>
      <w:bookmarkEnd w:id="16"/>
      <w:r w:rsidRPr="00EF7991">
        <w:rPr>
          <w:rFonts w:asciiTheme="minorHAnsi" w:hAnsiTheme="minorHAnsi" w:cstheme="minorHAnsi"/>
          <w:sz w:val="22"/>
          <w:szCs w:val="22"/>
        </w:rPr>
        <w:t>. The base cases and</w:t>
      </w:r>
      <w:r>
        <w:rPr>
          <w:rFonts w:asciiTheme="minorHAnsi" w:hAnsiTheme="minorHAnsi" w:cstheme="minorHAnsi"/>
          <w:sz w:val="22"/>
          <w:szCs w:val="22"/>
        </w:rPr>
        <w:t xml:space="preserve"> code cases</w:t>
      </w:r>
      <w:r w:rsidRPr="004D5208">
        <w:rPr>
          <w:rFonts w:asciiTheme="minorHAnsi" w:hAnsiTheme="minorHAnsi" w:cstheme="minorHAnsi"/>
          <w:sz w:val="22"/>
          <w:szCs w:val="22"/>
        </w:rPr>
        <w:t xml:space="preserve"> used in the calculations are shown </w:t>
      </w:r>
      <w:r w:rsidRPr="00DD65F6">
        <w:rPr>
          <w:rFonts w:asciiTheme="minorHAnsi" w:hAnsiTheme="minorHAnsi" w:cstheme="minorHAnsi"/>
          <w:sz w:val="22"/>
          <w:szCs w:val="22"/>
        </w:rPr>
        <w:t xml:space="preserve">in </w:t>
      </w:r>
      <w:r w:rsidR="001437AF">
        <w:rPr>
          <w:rFonts w:asciiTheme="minorHAnsi" w:hAnsiTheme="minorHAnsi" w:cstheme="minorHAnsi"/>
          <w:sz w:val="22"/>
          <w:szCs w:val="22"/>
        </w:rPr>
        <w:fldChar w:fldCharType="begin"/>
      </w:r>
      <w:r w:rsidR="001437AF">
        <w:rPr>
          <w:rFonts w:asciiTheme="minorHAnsi" w:hAnsiTheme="minorHAnsi" w:cstheme="minorHAnsi"/>
          <w:sz w:val="22"/>
          <w:szCs w:val="22"/>
        </w:rPr>
        <w:instrText xml:space="preserve"> REF _Ref394065352 \h </w:instrText>
      </w:r>
      <w:r w:rsidR="001437AF">
        <w:rPr>
          <w:rFonts w:asciiTheme="minorHAnsi" w:hAnsiTheme="minorHAnsi" w:cstheme="minorHAnsi"/>
          <w:sz w:val="22"/>
          <w:szCs w:val="22"/>
        </w:rPr>
      </w:r>
      <w:r w:rsidR="001437AF">
        <w:rPr>
          <w:rFonts w:asciiTheme="minorHAnsi" w:hAnsiTheme="minorHAnsi" w:cstheme="minorHAnsi"/>
          <w:sz w:val="22"/>
          <w:szCs w:val="22"/>
        </w:rPr>
        <w:fldChar w:fldCharType="separate"/>
      </w:r>
      <w:r w:rsidR="00395735" w:rsidRPr="008003EF">
        <w:rPr>
          <w:rFonts w:asciiTheme="minorHAnsi" w:hAnsiTheme="minorHAnsi" w:cstheme="minorHAnsi"/>
          <w:sz w:val="22"/>
        </w:rPr>
        <w:t xml:space="preserve">Table </w:t>
      </w:r>
      <w:r w:rsidR="00395735">
        <w:rPr>
          <w:rFonts w:asciiTheme="minorHAnsi" w:hAnsiTheme="minorHAnsi" w:cstheme="minorHAnsi"/>
          <w:noProof/>
          <w:sz w:val="22"/>
        </w:rPr>
        <w:t>8</w:t>
      </w:r>
      <w:r w:rsidR="001437AF">
        <w:rPr>
          <w:rFonts w:asciiTheme="minorHAnsi" w:hAnsiTheme="minorHAnsi" w:cstheme="minorHAnsi"/>
          <w:sz w:val="22"/>
          <w:szCs w:val="22"/>
        </w:rPr>
        <w:fldChar w:fldCharType="end"/>
      </w:r>
      <w:r w:rsidR="001437AF">
        <w:rPr>
          <w:rFonts w:asciiTheme="minorHAnsi" w:hAnsiTheme="minorHAnsi" w:cstheme="minorHAnsi"/>
          <w:sz w:val="22"/>
          <w:szCs w:val="22"/>
        </w:rPr>
        <w:t xml:space="preserve"> </w:t>
      </w:r>
      <w:r w:rsidR="00E25A18">
        <w:rPr>
          <w:rFonts w:asciiTheme="minorHAnsi" w:hAnsiTheme="minorHAnsi" w:cstheme="minorHAnsi"/>
          <w:sz w:val="22"/>
          <w:szCs w:val="22"/>
        </w:rPr>
        <w:t>below.</w:t>
      </w:r>
      <w:r>
        <w:rPr>
          <w:rFonts w:asciiTheme="minorHAnsi" w:hAnsiTheme="minorHAnsi" w:cstheme="minorHAnsi"/>
          <w:sz w:val="22"/>
          <w:szCs w:val="22"/>
        </w:rPr>
        <w:t xml:space="preserve"> </w:t>
      </w:r>
    </w:p>
    <w:p w:rsidR="002145BB" w:rsidRDefault="002145BB" w:rsidP="002145BB">
      <w:pPr>
        <w:rPr>
          <w:rFonts w:asciiTheme="minorHAnsi" w:hAnsiTheme="minorHAnsi" w:cstheme="minorHAnsi"/>
          <w:sz w:val="22"/>
          <w:szCs w:val="22"/>
        </w:rPr>
      </w:pPr>
      <w:r>
        <w:rPr>
          <w:rFonts w:asciiTheme="minorHAnsi" w:hAnsiTheme="minorHAnsi" w:cstheme="minorHAnsi"/>
          <w:sz w:val="22"/>
          <w:szCs w:val="22"/>
        </w:rPr>
        <w:t>The base case Wattage values for a number of the following measures were updated using the “2013-2014_LightingRetrofit_Dis</w:t>
      </w:r>
      <w:r w:rsidR="00770635">
        <w:rPr>
          <w:rFonts w:asciiTheme="minorHAnsi" w:hAnsiTheme="minorHAnsi" w:cstheme="minorHAnsi"/>
          <w:sz w:val="22"/>
          <w:szCs w:val="22"/>
        </w:rPr>
        <w:t>position-</w:t>
      </w:r>
      <w:r w:rsidR="001437AF">
        <w:rPr>
          <w:rFonts w:asciiTheme="minorHAnsi" w:hAnsiTheme="minorHAnsi" w:cstheme="minorHAnsi"/>
          <w:sz w:val="22"/>
          <w:szCs w:val="22"/>
        </w:rPr>
        <w:t>30May2014</w:t>
      </w:r>
      <w:r w:rsidR="00770635">
        <w:rPr>
          <w:rFonts w:asciiTheme="minorHAnsi" w:hAnsiTheme="minorHAnsi" w:cstheme="minorHAnsi"/>
          <w:sz w:val="22"/>
          <w:szCs w:val="22"/>
        </w:rPr>
        <w:t xml:space="preserve">” table </w:t>
      </w:r>
      <w:r>
        <w:rPr>
          <w:rFonts w:asciiTheme="minorHAnsi" w:hAnsiTheme="minorHAnsi" w:cstheme="minorHAnsi"/>
          <w:sz w:val="22"/>
          <w:szCs w:val="22"/>
        </w:rPr>
        <w:t>provided by the Energy Division</w:t>
      </w:r>
      <w:r w:rsidR="00770635">
        <w:rPr>
          <w:rFonts w:asciiTheme="minorHAnsi" w:hAnsiTheme="minorHAnsi" w:cstheme="minorHAnsi"/>
          <w:sz w:val="22"/>
          <w:szCs w:val="22"/>
        </w:rPr>
        <w:t xml:space="preserve"> [</w:t>
      </w:r>
      <w:r w:rsidR="002B0DC8">
        <w:rPr>
          <w:rFonts w:asciiTheme="minorHAnsi" w:hAnsiTheme="minorHAnsi" w:cstheme="minorHAnsi"/>
          <w:sz w:val="22"/>
          <w:szCs w:val="22"/>
        </w:rPr>
        <w:t>E</w:t>
      </w:r>
      <w:r w:rsidR="00770635">
        <w:rPr>
          <w:rFonts w:asciiTheme="minorHAnsi" w:hAnsiTheme="minorHAnsi" w:cstheme="minorHAnsi"/>
          <w:sz w:val="22"/>
          <w:szCs w:val="22"/>
        </w:rPr>
        <w:t>]</w:t>
      </w:r>
      <w:r>
        <w:rPr>
          <w:rFonts w:asciiTheme="minorHAnsi" w:hAnsiTheme="minorHAnsi" w:cstheme="minorHAnsi"/>
          <w:sz w:val="22"/>
          <w:szCs w:val="22"/>
        </w:rPr>
        <w:t xml:space="preserve">.  The values that have been </w:t>
      </w:r>
      <w:r w:rsidR="006B3E52">
        <w:rPr>
          <w:rFonts w:asciiTheme="minorHAnsi" w:hAnsiTheme="minorHAnsi" w:cstheme="minorHAnsi"/>
          <w:sz w:val="22"/>
          <w:szCs w:val="22"/>
        </w:rPr>
        <w:t xml:space="preserve">revised using the Disposition </w:t>
      </w:r>
      <w:r>
        <w:rPr>
          <w:rFonts w:asciiTheme="minorHAnsi" w:hAnsiTheme="minorHAnsi" w:cstheme="minorHAnsi"/>
          <w:sz w:val="22"/>
          <w:szCs w:val="22"/>
        </w:rPr>
        <w:t>table are noted with an asterisk (*).   These updated values have replaced the values found in the 2009 SPC Program Manual [</w:t>
      </w:r>
      <w:r w:rsidR="002B0DC8">
        <w:rPr>
          <w:rFonts w:asciiTheme="minorHAnsi" w:hAnsiTheme="minorHAnsi" w:cstheme="minorHAnsi"/>
          <w:sz w:val="22"/>
          <w:szCs w:val="22"/>
        </w:rPr>
        <w:t>C</w:t>
      </w:r>
      <w:r>
        <w:rPr>
          <w:rFonts w:asciiTheme="minorHAnsi" w:hAnsiTheme="minorHAnsi" w:cstheme="minorHAnsi"/>
          <w:sz w:val="22"/>
          <w:szCs w:val="22"/>
        </w:rPr>
        <w:t>].</w:t>
      </w:r>
    </w:p>
    <w:p w:rsidR="002D6A03" w:rsidRDefault="002D6A03" w:rsidP="00614471">
      <w:pPr>
        <w:spacing w:after="120"/>
        <w:rPr>
          <w:rFonts w:asciiTheme="minorHAnsi" w:hAnsiTheme="minorHAnsi" w:cstheme="minorHAnsi"/>
          <w:sz w:val="22"/>
          <w:szCs w:val="22"/>
        </w:rPr>
      </w:pPr>
    </w:p>
    <w:p w:rsidR="00614471" w:rsidRPr="008003EF" w:rsidRDefault="008003EF" w:rsidP="008003EF">
      <w:pPr>
        <w:pStyle w:val="Caption"/>
        <w:jc w:val="center"/>
        <w:rPr>
          <w:rFonts w:asciiTheme="minorHAnsi" w:hAnsiTheme="minorHAnsi" w:cstheme="minorHAnsi"/>
          <w:sz w:val="22"/>
          <w:szCs w:val="24"/>
        </w:rPr>
      </w:pPr>
      <w:bookmarkStart w:id="17" w:name="_Ref394065352"/>
      <w:r w:rsidRPr="008003EF">
        <w:rPr>
          <w:rFonts w:asciiTheme="minorHAnsi" w:hAnsiTheme="minorHAnsi" w:cstheme="minorHAnsi"/>
          <w:sz w:val="22"/>
          <w:szCs w:val="24"/>
        </w:rPr>
        <w:t xml:space="preserve">Table </w:t>
      </w:r>
      <w:r w:rsidRPr="008003EF">
        <w:rPr>
          <w:rFonts w:asciiTheme="minorHAnsi" w:hAnsiTheme="minorHAnsi" w:cstheme="minorHAnsi"/>
          <w:sz w:val="22"/>
          <w:szCs w:val="24"/>
        </w:rPr>
        <w:fldChar w:fldCharType="begin"/>
      </w:r>
      <w:r w:rsidRPr="008003EF">
        <w:rPr>
          <w:rFonts w:asciiTheme="minorHAnsi" w:hAnsiTheme="minorHAnsi" w:cstheme="minorHAnsi"/>
          <w:sz w:val="22"/>
          <w:szCs w:val="24"/>
        </w:rPr>
        <w:instrText xml:space="preserve"> SEQ Table \* ARABIC </w:instrText>
      </w:r>
      <w:r w:rsidRPr="008003EF">
        <w:rPr>
          <w:rFonts w:asciiTheme="minorHAnsi" w:hAnsiTheme="minorHAnsi" w:cstheme="minorHAnsi"/>
          <w:sz w:val="22"/>
          <w:szCs w:val="24"/>
        </w:rPr>
        <w:fldChar w:fldCharType="separate"/>
      </w:r>
      <w:r w:rsidR="00395735">
        <w:rPr>
          <w:rFonts w:asciiTheme="minorHAnsi" w:hAnsiTheme="minorHAnsi" w:cstheme="minorHAnsi"/>
          <w:noProof/>
          <w:sz w:val="22"/>
          <w:szCs w:val="24"/>
        </w:rPr>
        <w:t>8</w:t>
      </w:r>
      <w:r w:rsidRPr="008003EF">
        <w:rPr>
          <w:rFonts w:asciiTheme="minorHAnsi" w:hAnsiTheme="minorHAnsi" w:cstheme="minorHAnsi"/>
          <w:sz w:val="22"/>
          <w:szCs w:val="24"/>
        </w:rPr>
        <w:fldChar w:fldCharType="end"/>
      </w:r>
      <w:bookmarkEnd w:id="17"/>
      <w:r w:rsidR="00614471" w:rsidRPr="008003EF">
        <w:rPr>
          <w:rFonts w:asciiTheme="minorHAnsi" w:hAnsiTheme="minorHAnsi" w:cstheme="minorHAnsi"/>
          <w:sz w:val="22"/>
          <w:szCs w:val="24"/>
        </w:rPr>
        <w:t xml:space="preserve"> Base Case Selection for Savings Estimates</w:t>
      </w:r>
    </w:p>
    <w:tbl>
      <w:tblPr>
        <w:tblW w:w="9445"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CCCCCC"/>
        <w:tblLook w:val="0000" w:firstRow="0" w:lastRow="0" w:firstColumn="0" w:lastColumn="0" w:noHBand="0" w:noVBand="0"/>
      </w:tblPr>
      <w:tblGrid>
        <w:gridCol w:w="2672"/>
        <w:gridCol w:w="1283"/>
        <w:gridCol w:w="995"/>
        <w:gridCol w:w="929"/>
        <w:gridCol w:w="1316"/>
        <w:gridCol w:w="1170"/>
        <w:gridCol w:w="1080"/>
      </w:tblGrid>
      <w:tr w:rsidR="00A85F9A" w:rsidRPr="004D5208" w:rsidTr="003573FB">
        <w:trPr>
          <w:trHeight w:val="255"/>
          <w:tblHeader/>
          <w:jc w:val="center"/>
        </w:trPr>
        <w:tc>
          <w:tcPr>
            <w:tcW w:w="2672" w:type="dxa"/>
            <w:tcBorders>
              <w:bottom w:val="single" w:sz="18" w:space="0" w:color="FFFFFF"/>
            </w:tcBorders>
            <w:shd w:val="clear" w:color="auto" w:fill="D9D9D9"/>
            <w:noWrap/>
            <w:vAlign w:val="center"/>
          </w:tcPr>
          <w:p w:rsidR="00614471" w:rsidRPr="004D5208" w:rsidRDefault="00614471" w:rsidP="00513D1A">
            <w:pPr>
              <w:jc w:val="center"/>
              <w:rPr>
                <w:rFonts w:asciiTheme="minorHAnsi" w:hAnsiTheme="minorHAnsi" w:cstheme="minorHAnsi"/>
                <w:b/>
                <w:bCs/>
                <w:sz w:val="20"/>
                <w:szCs w:val="20"/>
              </w:rPr>
            </w:pPr>
            <w:r w:rsidRPr="004D5208">
              <w:rPr>
                <w:rFonts w:asciiTheme="minorHAnsi" w:hAnsiTheme="minorHAnsi" w:cstheme="minorHAnsi"/>
                <w:b/>
                <w:bCs/>
                <w:sz w:val="20"/>
                <w:szCs w:val="20"/>
              </w:rPr>
              <w:t>Measure Description Classifications</w:t>
            </w:r>
          </w:p>
        </w:tc>
        <w:tc>
          <w:tcPr>
            <w:tcW w:w="1283" w:type="dxa"/>
            <w:tcBorders>
              <w:bottom w:val="single" w:sz="18" w:space="0" w:color="FFFFFF"/>
            </w:tcBorders>
            <w:shd w:val="clear" w:color="auto" w:fill="D9D9D9"/>
            <w:noWrap/>
            <w:vAlign w:val="center"/>
          </w:tcPr>
          <w:p w:rsidR="00614471" w:rsidRPr="004D5208" w:rsidRDefault="00614471" w:rsidP="00513D1A">
            <w:pPr>
              <w:rPr>
                <w:rFonts w:asciiTheme="minorHAnsi" w:hAnsiTheme="minorHAnsi" w:cstheme="minorHAnsi"/>
                <w:b/>
                <w:bCs/>
                <w:sz w:val="20"/>
                <w:szCs w:val="20"/>
              </w:rPr>
            </w:pPr>
            <w:r w:rsidRPr="004D5208">
              <w:rPr>
                <w:rFonts w:asciiTheme="minorHAnsi" w:hAnsiTheme="minorHAnsi" w:cstheme="minorHAnsi"/>
                <w:b/>
                <w:bCs/>
                <w:sz w:val="20"/>
                <w:szCs w:val="20"/>
              </w:rPr>
              <w:t>Ba</w:t>
            </w:r>
            <w:r>
              <w:rPr>
                <w:rFonts w:asciiTheme="minorHAnsi" w:hAnsiTheme="minorHAnsi" w:cstheme="minorHAnsi"/>
                <w:b/>
                <w:bCs/>
                <w:sz w:val="20"/>
                <w:szCs w:val="20"/>
              </w:rPr>
              <w:t>se Case</w:t>
            </w:r>
          </w:p>
        </w:tc>
        <w:tc>
          <w:tcPr>
            <w:tcW w:w="995" w:type="dxa"/>
            <w:tcBorders>
              <w:bottom w:val="single" w:sz="18" w:space="0" w:color="FFFFFF"/>
            </w:tcBorders>
            <w:shd w:val="clear" w:color="auto" w:fill="D9D9D9"/>
            <w:noWrap/>
            <w:vAlign w:val="center"/>
          </w:tcPr>
          <w:p w:rsidR="00614471" w:rsidRPr="004D5208" w:rsidRDefault="00A85F9A" w:rsidP="00513D1A">
            <w:pPr>
              <w:jc w:val="center"/>
              <w:rPr>
                <w:rFonts w:asciiTheme="minorHAnsi" w:hAnsiTheme="minorHAnsi" w:cstheme="minorHAnsi"/>
                <w:b/>
                <w:bCs/>
                <w:sz w:val="20"/>
                <w:szCs w:val="20"/>
              </w:rPr>
            </w:pPr>
            <w:r>
              <w:rPr>
                <w:rFonts w:asciiTheme="minorHAnsi" w:hAnsiTheme="minorHAnsi" w:cstheme="minorHAnsi"/>
                <w:b/>
                <w:bCs/>
                <w:sz w:val="20"/>
                <w:szCs w:val="20"/>
              </w:rPr>
              <w:t xml:space="preserve">Base Case  </w:t>
            </w:r>
            <w:r w:rsidR="00614471" w:rsidRPr="004D5208">
              <w:rPr>
                <w:rFonts w:asciiTheme="minorHAnsi" w:hAnsiTheme="minorHAnsi" w:cstheme="minorHAnsi"/>
                <w:b/>
                <w:bCs/>
                <w:sz w:val="20"/>
                <w:szCs w:val="20"/>
              </w:rPr>
              <w:t>Fixture Code</w:t>
            </w:r>
          </w:p>
        </w:tc>
        <w:tc>
          <w:tcPr>
            <w:tcW w:w="929" w:type="dxa"/>
            <w:tcBorders>
              <w:bottom w:val="single" w:sz="18" w:space="0" w:color="FFFFFF"/>
            </w:tcBorders>
            <w:shd w:val="clear" w:color="auto" w:fill="D9D9D9"/>
            <w:noWrap/>
            <w:vAlign w:val="center"/>
          </w:tcPr>
          <w:p w:rsidR="00614471" w:rsidRPr="004D5208" w:rsidRDefault="00A85F9A" w:rsidP="00513D1A">
            <w:pPr>
              <w:jc w:val="center"/>
              <w:rPr>
                <w:rFonts w:asciiTheme="minorHAnsi" w:hAnsiTheme="minorHAnsi" w:cstheme="minorHAnsi"/>
                <w:b/>
                <w:bCs/>
                <w:sz w:val="20"/>
                <w:szCs w:val="20"/>
              </w:rPr>
            </w:pPr>
            <w:r>
              <w:rPr>
                <w:rFonts w:asciiTheme="minorHAnsi" w:hAnsiTheme="minorHAnsi" w:cstheme="minorHAnsi"/>
                <w:b/>
                <w:bCs/>
                <w:sz w:val="20"/>
                <w:szCs w:val="20"/>
              </w:rPr>
              <w:t xml:space="preserve">Base Case </w:t>
            </w:r>
            <w:r w:rsidR="00614471" w:rsidRPr="004D5208">
              <w:rPr>
                <w:rFonts w:asciiTheme="minorHAnsi" w:hAnsiTheme="minorHAnsi" w:cstheme="minorHAnsi"/>
                <w:b/>
                <w:bCs/>
                <w:sz w:val="20"/>
                <w:szCs w:val="20"/>
              </w:rPr>
              <w:t>Fixture Wattage</w:t>
            </w:r>
          </w:p>
        </w:tc>
        <w:tc>
          <w:tcPr>
            <w:tcW w:w="1316" w:type="dxa"/>
            <w:tcBorders>
              <w:bottom w:val="single" w:sz="18" w:space="0" w:color="FFFFFF"/>
            </w:tcBorders>
            <w:shd w:val="clear" w:color="auto" w:fill="D9D9D9"/>
            <w:vAlign w:val="center"/>
          </w:tcPr>
          <w:p w:rsidR="00614471" w:rsidRPr="004D5208" w:rsidRDefault="00614471" w:rsidP="00513D1A">
            <w:pPr>
              <w:rPr>
                <w:rFonts w:asciiTheme="minorHAnsi" w:hAnsiTheme="minorHAnsi" w:cstheme="minorHAnsi"/>
                <w:b/>
                <w:bCs/>
                <w:sz w:val="20"/>
                <w:szCs w:val="20"/>
              </w:rPr>
            </w:pPr>
            <w:r>
              <w:rPr>
                <w:rFonts w:asciiTheme="minorHAnsi" w:hAnsiTheme="minorHAnsi" w:cstheme="minorHAnsi"/>
                <w:b/>
                <w:bCs/>
                <w:sz w:val="20"/>
                <w:szCs w:val="20"/>
              </w:rPr>
              <w:t>Code Case</w:t>
            </w:r>
          </w:p>
        </w:tc>
        <w:tc>
          <w:tcPr>
            <w:tcW w:w="1170" w:type="dxa"/>
            <w:tcBorders>
              <w:bottom w:val="single" w:sz="18" w:space="0" w:color="FFFFFF"/>
            </w:tcBorders>
            <w:shd w:val="clear" w:color="auto" w:fill="D9D9D9"/>
            <w:vAlign w:val="center"/>
          </w:tcPr>
          <w:p w:rsidR="00614471" w:rsidRPr="004D5208" w:rsidRDefault="00A85F9A" w:rsidP="00513D1A">
            <w:pPr>
              <w:jc w:val="center"/>
              <w:rPr>
                <w:rFonts w:asciiTheme="minorHAnsi" w:hAnsiTheme="minorHAnsi" w:cstheme="minorHAnsi"/>
                <w:b/>
                <w:bCs/>
                <w:sz w:val="20"/>
                <w:szCs w:val="20"/>
              </w:rPr>
            </w:pPr>
            <w:r>
              <w:rPr>
                <w:rFonts w:asciiTheme="minorHAnsi" w:hAnsiTheme="minorHAnsi" w:cstheme="minorHAnsi"/>
                <w:b/>
                <w:bCs/>
                <w:sz w:val="20"/>
                <w:szCs w:val="20"/>
              </w:rPr>
              <w:t xml:space="preserve">Code Case </w:t>
            </w:r>
            <w:r w:rsidR="00614471" w:rsidRPr="004D5208">
              <w:rPr>
                <w:rFonts w:asciiTheme="minorHAnsi" w:hAnsiTheme="minorHAnsi" w:cstheme="minorHAnsi"/>
                <w:b/>
                <w:bCs/>
                <w:sz w:val="20"/>
                <w:szCs w:val="20"/>
              </w:rPr>
              <w:t>Fixture Code</w:t>
            </w:r>
          </w:p>
        </w:tc>
        <w:tc>
          <w:tcPr>
            <w:tcW w:w="1080" w:type="dxa"/>
            <w:tcBorders>
              <w:bottom w:val="single" w:sz="18" w:space="0" w:color="FFFFFF"/>
            </w:tcBorders>
            <w:shd w:val="clear" w:color="auto" w:fill="D9D9D9"/>
            <w:vAlign w:val="center"/>
          </w:tcPr>
          <w:p w:rsidR="00614471" w:rsidRPr="004D5208" w:rsidRDefault="00A85F9A" w:rsidP="00513D1A">
            <w:pPr>
              <w:jc w:val="center"/>
              <w:rPr>
                <w:rFonts w:asciiTheme="minorHAnsi" w:hAnsiTheme="minorHAnsi" w:cstheme="minorHAnsi"/>
                <w:b/>
                <w:bCs/>
                <w:sz w:val="20"/>
                <w:szCs w:val="20"/>
              </w:rPr>
            </w:pPr>
            <w:r>
              <w:rPr>
                <w:rFonts w:asciiTheme="minorHAnsi" w:hAnsiTheme="minorHAnsi" w:cstheme="minorHAnsi"/>
                <w:b/>
                <w:bCs/>
                <w:sz w:val="20"/>
                <w:szCs w:val="20"/>
              </w:rPr>
              <w:t xml:space="preserve">Code Case </w:t>
            </w:r>
            <w:r w:rsidR="00614471" w:rsidRPr="004D5208">
              <w:rPr>
                <w:rFonts w:asciiTheme="minorHAnsi" w:hAnsiTheme="minorHAnsi" w:cstheme="minorHAnsi"/>
                <w:b/>
                <w:bCs/>
                <w:sz w:val="20"/>
                <w:szCs w:val="20"/>
              </w:rPr>
              <w:t>Fixture Wattage</w:t>
            </w:r>
          </w:p>
        </w:tc>
      </w:tr>
      <w:tr w:rsidR="00A85F9A" w:rsidRPr="004D5208" w:rsidTr="003573FB">
        <w:trPr>
          <w:trHeight w:val="510"/>
          <w:jc w:val="center"/>
        </w:trPr>
        <w:tc>
          <w:tcPr>
            <w:tcW w:w="2672" w:type="dxa"/>
            <w:tcBorders>
              <w:bottom w:val="single" w:sz="18" w:space="0" w:color="FFFFFF"/>
            </w:tcBorders>
            <w:shd w:val="clear" w:color="auto" w:fill="F3F3F3"/>
            <w:noWrap/>
            <w:vAlign w:val="bottom"/>
          </w:tcPr>
          <w:p w:rsidR="00614471" w:rsidRDefault="00614471" w:rsidP="00513D1A">
            <w:pPr>
              <w:rPr>
                <w:rFonts w:ascii="Calibri" w:hAnsi="Calibri" w:cs="Calibri"/>
                <w:sz w:val="20"/>
                <w:szCs w:val="20"/>
              </w:rPr>
            </w:pPr>
            <w:r>
              <w:rPr>
                <w:rFonts w:ascii="Calibri" w:hAnsi="Calibri" w:cs="Calibri"/>
                <w:sz w:val="20"/>
                <w:szCs w:val="20"/>
              </w:rPr>
              <w:t>Up to 70 Watt Interior Fixture Induction replacing less than or equal to 100 Watt lamp base case</w:t>
            </w:r>
          </w:p>
        </w:tc>
        <w:tc>
          <w:tcPr>
            <w:tcW w:w="1283" w:type="dxa"/>
            <w:tcBorders>
              <w:bottom w:val="single" w:sz="18" w:space="0" w:color="FFFFFF"/>
            </w:tcBorders>
            <w:shd w:val="clear" w:color="auto" w:fill="F3F3F3"/>
            <w:vAlign w:val="center"/>
          </w:tcPr>
          <w:p w:rsidR="00614471" w:rsidRPr="004D5208" w:rsidRDefault="00A27E02" w:rsidP="00A27E02">
            <w:pPr>
              <w:rPr>
                <w:rFonts w:asciiTheme="minorHAnsi" w:hAnsiTheme="minorHAnsi" w:cstheme="minorHAnsi"/>
                <w:sz w:val="20"/>
                <w:szCs w:val="20"/>
              </w:rPr>
            </w:pPr>
            <w:r w:rsidRPr="004D5208">
              <w:rPr>
                <w:rFonts w:asciiTheme="minorHAnsi" w:hAnsiTheme="minorHAnsi" w:cstheme="minorHAnsi"/>
                <w:sz w:val="20"/>
                <w:szCs w:val="20"/>
              </w:rPr>
              <w:t>Metal Halide, (1) 1</w:t>
            </w:r>
            <w:r>
              <w:rPr>
                <w:rFonts w:asciiTheme="minorHAnsi" w:hAnsiTheme="minorHAnsi" w:cstheme="minorHAnsi"/>
                <w:sz w:val="20"/>
                <w:szCs w:val="20"/>
              </w:rPr>
              <w:t>0</w:t>
            </w:r>
            <w:r w:rsidRPr="004D5208">
              <w:rPr>
                <w:rFonts w:asciiTheme="minorHAnsi" w:hAnsiTheme="minorHAnsi" w:cstheme="minorHAnsi"/>
                <w:sz w:val="20"/>
                <w:szCs w:val="20"/>
              </w:rPr>
              <w:t>0W lamp</w:t>
            </w:r>
          </w:p>
        </w:tc>
        <w:tc>
          <w:tcPr>
            <w:tcW w:w="995" w:type="dxa"/>
            <w:tcBorders>
              <w:bottom w:val="single" w:sz="18" w:space="0" w:color="FFFFFF"/>
            </w:tcBorders>
            <w:shd w:val="clear" w:color="auto" w:fill="F3F3F3"/>
            <w:vAlign w:val="center"/>
          </w:tcPr>
          <w:p w:rsidR="00614471" w:rsidRPr="004D5208" w:rsidRDefault="00A27E02" w:rsidP="001437AF">
            <w:pPr>
              <w:jc w:val="center"/>
              <w:rPr>
                <w:rFonts w:asciiTheme="minorHAnsi" w:hAnsiTheme="minorHAnsi" w:cstheme="minorHAnsi"/>
                <w:sz w:val="20"/>
                <w:szCs w:val="20"/>
              </w:rPr>
            </w:pPr>
            <w:r>
              <w:rPr>
                <w:rFonts w:asciiTheme="minorHAnsi" w:hAnsiTheme="minorHAnsi" w:cstheme="minorHAnsi"/>
                <w:sz w:val="20"/>
                <w:szCs w:val="20"/>
              </w:rPr>
              <w:t>MH100/1</w:t>
            </w:r>
          </w:p>
        </w:tc>
        <w:tc>
          <w:tcPr>
            <w:tcW w:w="929" w:type="dxa"/>
            <w:tcBorders>
              <w:bottom w:val="single" w:sz="18" w:space="0" w:color="FFFFFF"/>
            </w:tcBorders>
            <w:shd w:val="clear" w:color="auto" w:fill="F3F3F3"/>
            <w:vAlign w:val="center"/>
          </w:tcPr>
          <w:p w:rsidR="00614471" w:rsidRPr="004D5208" w:rsidRDefault="001437AF" w:rsidP="00513D1A">
            <w:pPr>
              <w:jc w:val="center"/>
              <w:rPr>
                <w:rFonts w:asciiTheme="minorHAnsi" w:hAnsiTheme="minorHAnsi" w:cstheme="minorHAnsi"/>
                <w:sz w:val="20"/>
                <w:szCs w:val="20"/>
              </w:rPr>
            </w:pPr>
            <w:r>
              <w:rPr>
                <w:rFonts w:asciiTheme="minorHAnsi" w:hAnsiTheme="minorHAnsi" w:cstheme="minorHAnsi"/>
                <w:sz w:val="20"/>
                <w:szCs w:val="20"/>
              </w:rPr>
              <w:t>128</w:t>
            </w:r>
          </w:p>
        </w:tc>
        <w:tc>
          <w:tcPr>
            <w:tcW w:w="1316" w:type="dxa"/>
            <w:tcBorders>
              <w:bottom w:val="single" w:sz="18" w:space="0" w:color="FFFFFF"/>
            </w:tcBorders>
            <w:shd w:val="clear" w:color="auto" w:fill="F3F3F3"/>
            <w:vAlign w:val="center"/>
          </w:tcPr>
          <w:p w:rsidR="00614471" w:rsidRPr="004D5208" w:rsidRDefault="00614471" w:rsidP="00513D1A">
            <w:pPr>
              <w:rPr>
                <w:rFonts w:asciiTheme="minorHAnsi" w:hAnsiTheme="minorHAnsi" w:cstheme="minorHAnsi"/>
                <w:sz w:val="20"/>
                <w:szCs w:val="20"/>
              </w:rPr>
            </w:pPr>
            <w:r>
              <w:rPr>
                <w:rFonts w:asciiTheme="minorHAnsi" w:hAnsiTheme="minorHAnsi" w:cstheme="minorHAnsi"/>
                <w:sz w:val="20"/>
                <w:szCs w:val="20"/>
              </w:rPr>
              <w:t>N/A</w:t>
            </w:r>
          </w:p>
        </w:tc>
        <w:tc>
          <w:tcPr>
            <w:tcW w:w="1170" w:type="dxa"/>
            <w:tcBorders>
              <w:bottom w:val="single" w:sz="18" w:space="0" w:color="FFFFFF"/>
            </w:tcBorders>
            <w:shd w:val="clear" w:color="auto" w:fill="F3F3F3"/>
            <w:vAlign w:val="center"/>
          </w:tcPr>
          <w:p w:rsidR="00614471" w:rsidRPr="004D5208" w:rsidRDefault="00614471" w:rsidP="00513D1A">
            <w:pPr>
              <w:jc w:val="center"/>
              <w:rPr>
                <w:rFonts w:asciiTheme="minorHAnsi" w:hAnsiTheme="minorHAnsi" w:cstheme="minorHAnsi"/>
                <w:sz w:val="20"/>
                <w:szCs w:val="20"/>
              </w:rPr>
            </w:pPr>
            <w:r>
              <w:rPr>
                <w:rFonts w:asciiTheme="minorHAnsi" w:hAnsiTheme="minorHAnsi" w:cstheme="minorHAnsi"/>
                <w:sz w:val="20"/>
                <w:szCs w:val="20"/>
              </w:rPr>
              <w:t>N/A</w:t>
            </w:r>
          </w:p>
        </w:tc>
        <w:tc>
          <w:tcPr>
            <w:tcW w:w="1080" w:type="dxa"/>
            <w:tcBorders>
              <w:bottom w:val="single" w:sz="18" w:space="0" w:color="FFFFFF"/>
            </w:tcBorders>
            <w:shd w:val="clear" w:color="auto" w:fill="F3F3F3"/>
            <w:vAlign w:val="center"/>
          </w:tcPr>
          <w:p w:rsidR="00614471" w:rsidRPr="004D5208" w:rsidRDefault="001437AF" w:rsidP="00513D1A">
            <w:pPr>
              <w:jc w:val="center"/>
              <w:rPr>
                <w:rFonts w:asciiTheme="minorHAnsi" w:hAnsiTheme="minorHAnsi" w:cstheme="minorHAnsi"/>
                <w:sz w:val="20"/>
                <w:szCs w:val="20"/>
              </w:rPr>
            </w:pPr>
            <w:r>
              <w:rPr>
                <w:rFonts w:asciiTheme="minorHAnsi" w:hAnsiTheme="minorHAnsi" w:cstheme="minorHAnsi"/>
                <w:sz w:val="20"/>
                <w:szCs w:val="20"/>
              </w:rPr>
              <w:t>128</w:t>
            </w:r>
          </w:p>
        </w:tc>
      </w:tr>
      <w:tr w:rsidR="00A85F9A" w:rsidRPr="004D5208" w:rsidTr="003573FB">
        <w:trPr>
          <w:trHeight w:val="510"/>
          <w:jc w:val="center"/>
        </w:trPr>
        <w:tc>
          <w:tcPr>
            <w:tcW w:w="2672" w:type="dxa"/>
            <w:tcBorders>
              <w:bottom w:val="single" w:sz="18" w:space="0" w:color="FFFFFF"/>
            </w:tcBorders>
            <w:shd w:val="clear" w:color="auto" w:fill="D9D9D9"/>
            <w:noWrap/>
            <w:vAlign w:val="bottom"/>
          </w:tcPr>
          <w:p w:rsidR="00614471" w:rsidRDefault="00614471" w:rsidP="00513D1A">
            <w:pPr>
              <w:rPr>
                <w:rFonts w:ascii="Calibri" w:hAnsi="Calibri" w:cs="Calibri"/>
                <w:sz w:val="20"/>
                <w:szCs w:val="20"/>
              </w:rPr>
            </w:pPr>
            <w:r>
              <w:rPr>
                <w:rFonts w:ascii="Calibri" w:hAnsi="Calibri" w:cs="Calibri"/>
                <w:sz w:val="20"/>
                <w:szCs w:val="20"/>
              </w:rPr>
              <w:t>Up to 120 Watt Interior Fixture Induction replacing 101 - 175 Watt lamp base case</w:t>
            </w:r>
          </w:p>
        </w:tc>
        <w:tc>
          <w:tcPr>
            <w:tcW w:w="1283" w:type="dxa"/>
            <w:tcBorders>
              <w:bottom w:val="single" w:sz="18" w:space="0" w:color="FFFFFF"/>
            </w:tcBorders>
            <w:shd w:val="clear" w:color="auto" w:fill="D9D9D9"/>
            <w:vAlign w:val="center"/>
          </w:tcPr>
          <w:p w:rsidR="00614471" w:rsidRPr="004D5208" w:rsidRDefault="00614471" w:rsidP="00513D1A">
            <w:pPr>
              <w:rPr>
                <w:rFonts w:asciiTheme="minorHAnsi" w:hAnsiTheme="minorHAnsi" w:cstheme="minorHAnsi"/>
                <w:sz w:val="20"/>
                <w:szCs w:val="20"/>
              </w:rPr>
            </w:pPr>
            <w:r w:rsidRPr="004D5208">
              <w:rPr>
                <w:rFonts w:asciiTheme="minorHAnsi" w:hAnsiTheme="minorHAnsi" w:cstheme="minorHAnsi"/>
                <w:sz w:val="20"/>
                <w:szCs w:val="20"/>
              </w:rPr>
              <w:t>Metal Halide, (1) 150W lamp</w:t>
            </w:r>
          </w:p>
        </w:tc>
        <w:tc>
          <w:tcPr>
            <w:tcW w:w="995" w:type="dxa"/>
            <w:tcBorders>
              <w:bottom w:val="single" w:sz="18" w:space="0" w:color="FFFFFF"/>
            </w:tcBorders>
            <w:shd w:val="clear" w:color="auto" w:fill="D9D9D9"/>
            <w:vAlign w:val="center"/>
          </w:tcPr>
          <w:p w:rsidR="00614471" w:rsidRPr="004D5208" w:rsidRDefault="00614471" w:rsidP="00513D1A">
            <w:pPr>
              <w:jc w:val="center"/>
              <w:rPr>
                <w:rFonts w:asciiTheme="minorHAnsi" w:hAnsiTheme="minorHAnsi" w:cstheme="minorHAnsi"/>
                <w:sz w:val="20"/>
                <w:szCs w:val="20"/>
              </w:rPr>
            </w:pPr>
            <w:r w:rsidRPr="004D5208">
              <w:rPr>
                <w:rFonts w:asciiTheme="minorHAnsi" w:hAnsiTheme="minorHAnsi" w:cstheme="minorHAnsi"/>
                <w:sz w:val="20"/>
                <w:szCs w:val="20"/>
              </w:rPr>
              <w:t>MH150/1</w:t>
            </w:r>
          </w:p>
        </w:tc>
        <w:tc>
          <w:tcPr>
            <w:tcW w:w="929" w:type="dxa"/>
            <w:tcBorders>
              <w:bottom w:val="single" w:sz="18" w:space="0" w:color="FFFFFF"/>
            </w:tcBorders>
            <w:shd w:val="clear" w:color="auto" w:fill="D9D9D9"/>
            <w:vAlign w:val="center"/>
          </w:tcPr>
          <w:p w:rsidR="00614471" w:rsidRPr="004D5208" w:rsidRDefault="00614471" w:rsidP="00513D1A">
            <w:pPr>
              <w:jc w:val="center"/>
              <w:rPr>
                <w:rFonts w:asciiTheme="minorHAnsi" w:hAnsiTheme="minorHAnsi" w:cstheme="minorHAnsi"/>
                <w:sz w:val="20"/>
                <w:szCs w:val="20"/>
              </w:rPr>
            </w:pPr>
            <w:r w:rsidRPr="004D5208">
              <w:rPr>
                <w:rFonts w:asciiTheme="minorHAnsi" w:hAnsiTheme="minorHAnsi" w:cstheme="minorHAnsi"/>
                <w:sz w:val="20"/>
                <w:szCs w:val="20"/>
              </w:rPr>
              <w:t>190</w:t>
            </w:r>
            <w:r w:rsidR="00356379">
              <w:rPr>
                <w:rFonts w:asciiTheme="minorHAnsi" w:hAnsiTheme="minorHAnsi" w:cstheme="minorHAnsi"/>
                <w:sz w:val="20"/>
                <w:szCs w:val="20"/>
              </w:rPr>
              <w:t>*</w:t>
            </w:r>
          </w:p>
        </w:tc>
        <w:tc>
          <w:tcPr>
            <w:tcW w:w="1316" w:type="dxa"/>
            <w:tcBorders>
              <w:bottom w:val="single" w:sz="18" w:space="0" w:color="FFFFFF"/>
            </w:tcBorders>
            <w:shd w:val="clear" w:color="auto" w:fill="D9D9D9"/>
            <w:vAlign w:val="center"/>
          </w:tcPr>
          <w:p w:rsidR="00614471" w:rsidRPr="004D5208" w:rsidRDefault="00A27E02" w:rsidP="00513D1A">
            <w:pPr>
              <w:rPr>
                <w:rFonts w:asciiTheme="minorHAnsi" w:hAnsiTheme="minorHAnsi" w:cstheme="minorHAnsi"/>
                <w:sz w:val="20"/>
                <w:szCs w:val="20"/>
              </w:rPr>
            </w:pPr>
            <w:r>
              <w:rPr>
                <w:rFonts w:asciiTheme="minorHAnsi" w:hAnsiTheme="minorHAnsi" w:cstheme="minorHAnsi"/>
                <w:sz w:val="20"/>
                <w:szCs w:val="20"/>
              </w:rPr>
              <w:t>N/A</w:t>
            </w:r>
          </w:p>
        </w:tc>
        <w:tc>
          <w:tcPr>
            <w:tcW w:w="1170" w:type="dxa"/>
            <w:tcBorders>
              <w:bottom w:val="single" w:sz="18" w:space="0" w:color="FFFFFF"/>
            </w:tcBorders>
            <w:shd w:val="clear" w:color="auto" w:fill="D9D9D9"/>
            <w:vAlign w:val="center"/>
          </w:tcPr>
          <w:p w:rsidR="00614471" w:rsidRPr="004D5208" w:rsidRDefault="00A27E02" w:rsidP="00A27E02">
            <w:pPr>
              <w:jc w:val="center"/>
              <w:rPr>
                <w:rFonts w:asciiTheme="minorHAnsi" w:hAnsiTheme="minorHAnsi" w:cstheme="minorHAnsi"/>
                <w:sz w:val="20"/>
                <w:szCs w:val="20"/>
              </w:rPr>
            </w:pPr>
            <w:r>
              <w:rPr>
                <w:rFonts w:asciiTheme="minorHAnsi" w:hAnsiTheme="minorHAnsi" w:cstheme="minorHAnsi"/>
                <w:sz w:val="20"/>
                <w:szCs w:val="20"/>
              </w:rPr>
              <w:t>N/A</w:t>
            </w:r>
          </w:p>
        </w:tc>
        <w:tc>
          <w:tcPr>
            <w:tcW w:w="1080" w:type="dxa"/>
            <w:tcBorders>
              <w:bottom w:val="single" w:sz="18" w:space="0" w:color="FFFFFF"/>
            </w:tcBorders>
            <w:shd w:val="clear" w:color="auto" w:fill="D9D9D9"/>
            <w:vAlign w:val="center"/>
          </w:tcPr>
          <w:p w:rsidR="00614471" w:rsidRPr="004D5208" w:rsidRDefault="00356379" w:rsidP="00513D1A">
            <w:pPr>
              <w:jc w:val="center"/>
              <w:rPr>
                <w:rFonts w:asciiTheme="minorHAnsi" w:hAnsiTheme="minorHAnsi" w:cstheme="minorHAnsi"/>
                <w:sz w:val="20"/>
                <w:szCs w:val="20"/>
              </w:rPr>
            </w:pPr>
            <w:r>
              <w:rPr>
                <w:rFonts w:asciiTheme="minorHAnsi" w:hAnsiTheme="minorHAnsi" w:cstheme="minorHAnsi"/>
                <w:sz w:val="20"/>
                <w:szCs w:val="20"/>
              </w:rPr>
              <w:t>190**</w:t>
            </w:r>
          </w:p>
        </w:tc>
      </w:tr>
      <w:tr w:rsidR="00A85F9A" w:rsidRPr="004D5208" w:rsidTr="003573FB">
        <w:trPr>
          <w:trHeight w:val="510"/>
          <w:jc w:val="center"/>
        </w:trPr>
        <w:tc>
          <w:tcPr>
            <w:tcW w:w="2672" w:type="dxa"/>
            <w:tcBorders>
              <w:bottom w:val="single" w:sz="18" w:space="0" w:color="FFFFFF"/>
            </w:tcBorders>
            <w:shd w:val="clear" w:color="auto" w:fill="F3F3F3"/>
            <w:noWrap/>
            <w:vAlign w:val="bottom"/>
          </w:tcPr>
          <w:p w:rsidR="00614471" w:rsidRDefault="00614471" w:rsidP="00513D1A">
            <w:pPr>
              <w:rPr>
                <w:rFonts w:ascii="Calibri" w:hAnsi="Calibri" w:cs="Calibri"/>
                <w:sz w:val="20"/>
                <w:szCs w:val="20"/>
              </w:rPr>
            </w:pPr>
            <w:r>
              <w:rPr>
                <w:rFonts w:ascii="Calibri" w:hAnsi="Calibri" w:cs="Calibri"/>
                <w:sz w:val="20"/>
                <w:szCs w:val="20"/>
              </w:rPr>
              <w:t>Up to 180 Watt Interior Fixture Induction replacing 176 - 399 Watt lamp base case</w:t>
            </w:r>
          </w:p>
        </w:tc>
        <w:tc>
          <w:tcPr>
            <w:tcW w:w="1283" w:type="dxa"/>
            <w:tcBorders>
              <w:bottom w:val="single" w:sz="18" w:space="0" w:color="FFFFFF"/>
            </w:tcBorders>
            <w:shd w:val="clear" w:color="auto" w:fill="F3F3F3"/>
            <w:vAlign w:val="center"/>
          </w:tcPr>
          <w:p w:rsidR="00614471" w:rsidRPr="004D5208" w:rsidRDefault="00614471" w:rsidP="00513D1A">
            <w:pPr>
              <w:rPr>
                <w:rFonts w:asciiTheme="minorHAnsi" w:hAnsiTheme="minorHAnsi" w:cstheme="minorHAnsi"/>
                <w:sz w:val="20"/>
                <w:szCs w:val="20"/>
              </w:rPr>
            </w:pPr>
            <w:r w:rsidRPr="004D5208">
              <w:rPr>
                <w:rFonts w:asciiTheme="minorHAnsi" w:hAnsiTheme="minorHAnsi" w:cstheme="minorHAnsi"/>
                <w:sz w:val="20"/>
                <w:szCs w:val="20"/>
              </w:rPr>
              <w:t>Metal Halide, (1) 250W lamp</w:t>
            </w:r>
          </w:p>
        </w:tc>
        <w:tc>
          <w:tcPr>
            <w:tcW w:w="995" w:type="dxa"/>
            <w:tcBorders>
              <w:bottom w:val="single" w:sz="18" w:space="0" w:color="FFFFFF"/>
            </w:tcBorders>
            <w:shd w:val="clear" w:color="auto" w:fill="F3F3F3"/>
            <w:vAlign w:val="center"/>
          </w:tcPr>
          <w:p w:rsidR="00614471" w:rsidRPr="004D5208" w:rsidRDefault="00614471" w:rsidP="00513D1A">
            <w:pPr>
              <w:jc w:val="center"/>
              <w:rPr>
                <w:rFonts w:asciiTheme="minorHAnsi" w:hAnsiTheme="minorHAnsi" w:cstheme="minorHAnsi"/>
                <w:sz w:val="20"/>
                <w:szCs w:val="20"/>
              </w:rPr>
            </w:pPr>
            <w:r w:rsidRPr="004D5208">
              <w:rPr>
                <w:rFonts w:asciiTheme="minorHAnsi" w:hAnsiTheme="minorHAnsi" w:cstheme="minorHAnsi"/>
                <w:sz w:val="20"/>
                <w:szCs w:val="20"/>
              </w:rPr>
              <w:t>MH250/1</w:t>
            </w:r>
          </w:p>
        </w:tc>
        <w:tc>
          <w:tcPr>
            <w:tcW w:w="929" w:type="dxa"/>
            <w:tcBorders>
              <w:bottom w:val="single" w:sz="18" w:space="0" w:color="FFFFFF"/>
            </w:tcBorders>
            <w:shd w:val="clear" w:color="auto" w:fill="F3F3F3"/>
            <w:vAlign w:val="center"/>
          </w:tcPr>
          <w:p w:rsidR="00614471" w:rsidRPr="004D5208" w:rsidRDefault="00614471" w:rsidP="00513D1A">
            <w:pPr>
              <w:jc w:val="center"/>
              <w:rPr>
                <w:rFonts w:asciiTheme="minorHAnsi" w:hAnsiTheme="minorHAnsi" w:cstheme="minorHAnsi"/>
                <w:sz w:val="20"/>
                <w:szCs w:val="20"/>
              </w:rPr>
            </w:pPr>
            <w:r w:rsidRPr="004D5208">
              <w:rPr>
                <w:rFonts w:asciiTheme="minorHAnsi" w:hAnsiTheme="minorHAnsi" w:cstheme="minorHAnsi"/>
                <w:sz w:val="20"/>
                <w:szCs w:val="20"/>
              </w:rPr>
              <w:t>295</w:t>
            </w:r>
            <w:r w:rsidR="00356379">
              <w:rPr>
                <w:rFonts w:asciiTheme="minorHAnsi" w:hAnsiTheme="minorHAnsi" w:cstheme="minorHAnsi"/>
                <w:sz w:val="20"/>
                <w:szCs w:val="20"/>
              </w:rPr>
              <w:t>*</w:t>
            </w:r>
          </w:p>
        </w:tc>
        <w:tc>
          <w:tcPr>
            <w:tcW w:w="1316" w:type="dxa"/>
            <w:tcBorders>
              <w:bottom w:val="single" w:sz="18" w:space="0" w:color="FFFFFF"/>
            </w:tcBorders>
            <w:shd w:val="clear" w:color="auto" w:fill="F3F3F3"/>
            <w:vAlign w:val="center"/>
          </w:tcPr>
          <w:p w:rsidR="00614471" w:rsidRPr="004D5208" w:rsidRDefault="00A27E02" w:rsidP="00077E60">
            <w:pPr>
              <w:rPr>
                <w:rFonts w:asciiTheme="minorHAnsi" w:hAnsiTheme="minorHAnsi" w:cstheme="minorHAnsi"/>
                <w:sz w:val="20"/>
                <w:szCs w:val="20"/>
              </w:rPr>
            </w:pPr>
            <w:r>
              <w:rPr>
                <w:rFonts w:asciiTheme="minorHAnsi" w:hAnsiTheme="minorHAnsi" w:cstheme="minorHAnsi"/>
                <w:sz w:val="20"/>
                <w:szCs w:val="20"/>
              </w:rPr>
              <w:t>Pulse Start, (1) 200W lamp</w:t>
            </w:r>
          </w:p>
        </w:tc>
        <w:tc>
          <w:tcPr>
            <w:tcW w:w="1170" w:type="dxa"/>
            <w:tcBorders>
              <w:bottom w:val="single" w:sz="18" w:space="0" w:color="FFFFFF"/>
            </w:tcBorders>
            <w:shd w:val="clear" w:color="auto" w:fill="F3F3F3"/>
            <w:vAlign w:val="center"/>
          </w:tcPr>
          <w:p w:rsidR="00614471" w:rsidRPr="004D5208" w:rsidRDefault="00A27E02" w:rsidP="00513D1A">
            <w:pPr>
              <w:jc w:val="center"/>
              <w:rPr>
                <w:rFonts w:asciiTheme="minorHAnsi" w:hAnsiTheme="minorHAnsi" w:cstheme="minorHAnsi"/>
                <w:sz w:val="20"/>
                <w:szCs w:val="20"/>
              </w:rPr>
            </w:pPr>
            <w:r>
              <w:rPr>
                <w:rFonts w:asciiTheme="minorHAnsi" w:hAnsiTheme="minorHAnsi" w:cstheme="minorHAnsi"/>
                <w:sz w:val="20"/>
                <w:szCs w:val="20"/>
              </w:rPr>
              <w:t>PSMH-200W</w:t>
            </w:r>
          </w:p>
        </w:tc>
        <w:tc>
          <w:tcPr>
            <w:tcW w:w="1080" w:type="dxa"/>
            <w:tcBorders>
              <w:bottom w:val="single" w:sz="18" w:space="0" w:color="FFFFFF"/>
            </w:tcBorders>
            <w:shd w:val="clear" w:color="auto" w:fill="F3F3F3"/>
            <w:vAlign w:val="center"/>
          </w:tcPr>
          <w:p w:rsidR="00614471" w:rsidRPr="004D5208" w:rsidRDefault="00356379" w:rsidP="00513D1A">
            <w:pPr>
              <w:jc w:val="center"/>
              <w:rPr>
                <w:rFonts w:asciiTheme="minorHAnsi" w:hAnsiTheme="minorHAnsi" w:cstheme="minorHAnsi"/>
                <w:sz w:val="20"/>
                <w:szCs w:val="20"/>
              </w:rPr>
            </w:pPr>
            <w:r>
              <w:rPr>
                <w:rFonts w:asciiTheme="minorHAnsi" w:hAnsiTheme="minorHAnsi" w:cstheme="minorHAnsi"/>
                <w:sz w:val="20"/>
                <w:szCs w:val="20"/>
              </w:rPr>
              <w:t>232**</w:t>
            </w:r>
          </w:p>
        </w:tc>
      </w:tr>
      <w:tr w:rsidR="00A85F9A" w:rsidRPr="004D5208" w:rsidTr="003573FB">
        <w:trPr>
          <w:trHeight w:val="510"/>
          <w:jc w:val="center"/>
        </w:trPr>
        <w:tc>
          <w:tcPr>
            <w:tcW w:w="2672" w:type="dxa"/>
            <w:tcBorders>
              <w:bottom w:val="single" w:sz="18" w:space="0" w:color="FFFFFF"/>
            </w:tcBorders>
            <w:shd w:val="clear" w:color="auto" w:fill="D9D9D9"/>
            <w:noWrap/>
            <w:vAlign w:val="bottom"/>
          </w:tcPr>
          <w:p w:rsidR="00614471" w:rsidRDefault="00614471" w:rsidP="00513D1A">
            <w:pPr>
              <w:rPr>
                <w:rFonts w:ascii="Calibri" w:hAnsi="Calibri" w:cs="Calibri"/>
                <w:sz w:val="20"/>
                <w:szCs w:val="20"/>
              </w:rPr>
            </w:pPr>
            <w:r>
              <w:rPr>
                <w:rFonts w:ascii="Calibri" w:hAnsi="Calibri" w:cs="Calibri"/>
                <w:sz w:val="20"/>
                <w:szCs w:val="20"/>
              </w:rPr>
              <w:t>Up to 250 Watt (Tier 1) Interior Fixture Induction replacing 400 Watt lamp base case</w:t>
            </w:r>
          </w:p>
        </w:tc>
        <w:tc>
          <w:tcPr>
            <w:tcW w:w="1283" w:type="dxa"/>
            <w:tcBorders>
              <w:bottom w:val="single" w:sz="18" w:space="0" w:color="FFFFFF"/>
            </w:tcBorders>
            <w:shd w:val="clear" w:color="auto" w:fill="D9D9D9"/>
            <w:vAlign w:val="center"/>
          </w:tcPr>
          <w:p w:rsidR="00614471" w:rsidRPr="004D5208" w:rsidRDefault="00A27E02" w:rsidP="00B72ACD">
            <w:pPr>
              <w:rPr>
                <w:rFonts w:asciiTheme="minorHAnsi" w:hAnsiTheme="minorHAnsi" w:cstheme="minorHAnsi"/>
                <w:sz w:val="20"/>
                <w:szCs w:val="20"/>
              </w:rPr>
            </w:pPr>
            <w:r>
              <w:rPr>
                <w:rFonts w:asciiTheme="minorHAnsi" w:hAnsiTheme="minorHAnsi" w:cstheme="minorHAnsi"/>
                <w:sz w:val="20"/>
                <w:szCs w:val="20"/>
              </w:rPr>
              <w:t>Metal Halide, (1) 400W lamp</w:t>
            </w:r>
          </w:p>
        </w:tc>
        <w:tc>
          <w:tcPr>
            <w:tcW w:w="995" w:type="dxa"/>
            <w:tcBorders>
              <w:bottom w:val="single" w:sz="18" w:space="0" w:color="FFFFFF"/>
            </w:tcBorders>
            <w:shd w:val="clear" w:color="auto" w:fill="D9D9D9"/>
            <w:vAlign w:val="center"/>
          </w:tcPr>
          <w:p w:rsidR="00614471" w:rsidRPr="004D5208" w:rsidRDefault="00A27E02" w:rsidP="00FE5C16">
            <w:pPr>
              <w:jc w:val="center"/>
              <w:rPr>
                <w:rFonts w:asciiTheme="minorHAnsi" w:hAnsiTheme="minorHAnsi" w:cstheme="minorHAnsi"/>
                <w:sz w:val="20"/>
                <w:szCs w:val="20"/>
              </w:rPr>
            </w:pPr>
            <w:r>
              <w:rPr>
                <w:rFonts w:asciiTheme="minorHAnsi" w:hAnsiTheme="minorHAnsi" w:cstheme="minorHAnsi"/>
                <w:sz w:val="20"/>
                <w:szCs w:val="20"/>
              </w:rPr>
              <w:t>MH400/1</w:t>
            </w:r>
          </w:p>
        </w:tc>
        <w:tc>
          <w:tcPr>
            <w:tcW w:w="929" w:type="dxa"/>
            <w:tcBorders>
              <w:bottom w:val="single" w:sz="18" w:space="0" w:color="FFFFFF"/>
            </w:tcBorders>
            <w:shd w:val="clear" w:color="auto" w:fill="D9D9D9"/>
            <w:vAlign w:val="center"/>
          </w:tcPr>
          <w:p w:rsidR="00614471" w:rsidRPr="004D5208" w:rsidRDefault="00077E60" w:rsidP="00FE5C16">
            <w:pPr>
              <w:jc w:val="center"/>
              <w:rPr>
                <w:rFonts w:asciiTheme="minorHAnsi" w:hAnsiTheme="minorHAnsi" w:cstheme="minorHAnsi"/>
                <w:sz w:val="20"/>
                <w:szCs w:val="20"/>
              </w:rPr>
            </w:pPr>
            <w:r>
              <w:rPr>
                <w:rFonts w:asciiTheme="minorHAnsi" w:hAnsiTheme="minorHAnsi" w:cstheme="minorHAnsi"/>
                <w:sz w:val="20"/>
                <w:szCs w:val="20"/>
              </w:rPr>
              <w:t>45</w:t>
            </w:r>
            <w:r w:rsidR="00FE5C16">
              <w:rPr>
                <w:rFonts w:asciiTheme="minorHAnsi" w:hAnsiTheme="minorHAnsi" w:cstheme="minorHAnsi"/>
                <w:sz w:val="20"/>
                <w:szCs w:val="20"/>
              </w:rPr>
              <w:t>8</w:t>
            </w:r>
          </w:p>
        </w:tc>
        <w:tc>
          <w:tcPr>
            <w:tcW w:w="1316" w:type="dxa"/>
            <w:tcBorders>
              <w:bottom w:val="single" w:sz="18" w:space="0" w:color="FFFFFF"/>
            </w:tcBorders>
            <w:shd w:val="clear" w:color="auto" w:fill="D9D9D9"/>
            <w:vAlign w:val="center"/>
          </w:tcPr>
          <w:p w:rsidR="00614471" w:rsidRPr="004D5208" w:rsidRDefault="00A27E02" w:rsidP="00513D1A">
            <w:pPr>
              <w:rPr>
                <w:rFonts w:asciiTheme="minorHAnsi" w:hAnsiTheme="minorHAnsi" w:cstheme="minorHAnsi"/>
                <w:sz w:val="20"/>
                <w:szCs w:val="20"/>
              </w:rPr>
            </w:pPr>
            <w:r>
              <w:rPr>
                <w:rFonts w:asciiTheme="minorHAnsi" w:hAnsiTheme="minorHAnsi" w:cstheme="minorHAnsi"/>
                <w:sz w:val="20"/>
                <w:szCs w:val="20"/>
              </w:rPr>
              <w:t>Pulse Start, (1) 350W lamp</w:t>
            </w:r>
          </w:p>
        </w:tc>
        <w:tc>
          <w:tcPr>
            <w:tcW w:w="1170" w:type="dxa"/>
            <w:tcBorders>
              <w:bottom w:val="single" w:sz="18" w:space="0" w:color="FFFFFF"/>
            </w:tcBorders>
            <w:shd w:val="clear" w:color="auto" w:fill="D9D9D9"/>
            <w:vAlign w:val="center"/>
          </w:tcPr>
          <w:p w:rsidR="00614471" w:rsidRPr="004D5208" w:rsidRDefault="00A27E02" w:rsidP="00513D1A">
            <w:pPr>
              <w:jc w:val="center"/>
              <w:rPr>
                <w:rFonts w:asciiTheme="minorHAnsi" w:hAnsiTheme="minorHAnsi" w:cstheme="minorHAnsi"/>
                <w:sz w:val="20"/>
                <w:szCs w:val="20"/>
              </w:rPr>
            </w:pPr>
            <w:r>
              <w:rPr>
                <w:rFonts w:asciiTheme="minorHAnsi" w:hAnsiTheme="minorHAnsi" w:cstheme="minorHAnsi"/>
                <w:sz w:val="20"/>
                <w:szCs w:val="20"/>
              </w:rPr>
              <w:t>PSMH-350W</w:t>
            </w:r>
          </w:p>
        </w:tc>
        <w:tc>
          <w:tcPr>
            <w:tcW w:w="1080" w:type="dxa"/>
            <w:tcBorders>
              <w:bottom w:val="single" w:sz="18" w:space="0" w:color="FFFFFF"/>
            </w:tcBorders>
            <w:shd w:val="clear" w:color="auto" w:fill="D9D9D9"/>
            <w:vAlign w:val="center"/>
          </w:tcPr>
          <w:p w:rsidR="00614471" w:rsidRPr="004D5208" w:rsidRDefault="00614471" w:rsidP="00620203">
            <w:pPr>
              <w:jc w:val="center"/>
              <w:rPr>
                <w:rFonts w:asciiTheme="minorHAnsi" w:hAnsiTheme="minorHAnsi" w:cstheme="minorHAnsi"/>
                <w:sz w:val="20"/>
                <w:szCs w:val="20"/>
              </w:rPr>
            </w:pPr>
            <w:r>
              <w:rPr>
                <w:rFonts w:asciiTheme="minorHAnsi" w:hAnsiTheme="minorHAnsi" w:cstheme="minorHAnsi"/>
                <w:sz w:val="20"/>
                <w:szCs w:val="20"/>
              </w:rPr>
              <w:t>4</w:t>
            </w:r>
            <w:r w:rsidR="00620203">
              <w:rPr>
                <w:rFonts w:asciiTheme="minorHAnsi" w:hAnsiTheme="minorHAnsi" w:cstheme="minorHAnsi"/>
                <w:sz w:val="20"/>
                <w:szCs w:val="20"/>
              </w:rPr>
              <w:t>00</w:t>
            </w:r>
            <w:r w:rsidR="00356379">
              <w:rPr>
                <w:rFonts w:asciiTheme="minorHAnsi" w:hAnsiTheme="minorHAnsi" w:cstheme="minorHAnsi"/>
                <w:sz w:val="20"/>
                <w:szCs w:val="20"/>
              </w:rPr>
              <w:t>**</w:t>
            </w:r>
          </w:p>
        </w:tc>
      </w:tr>
      <w:tr w:rsidR="00A85F9A" w:rsidRPr="004D5208" w:rsidTr="003573FB">
        <w:trPr>
          <w:trHeight w:val="510"/>
          <w:jc w:val="center"/>
        </w:trPr>
        <w:tc>
          <w:tcPr>
            <w:tcW w:w="2672" w:type="dxa"/>
            <w:tcBorders>
              <w:bottom w:val="single" w:sz="18" w:space="0" w:color="FFFFFF"/>
            </w:tcBorders>
            <w:shd w:val="clear" w:color="auto" w:fill="F3F3F3"/>
            <w:noWrap/>
            <w:vAlign w:val="bottom"/>
          </w:tcPr>
          <w:p w:rsidR="00A27E02" w:rsidRDefault="00A27E02" w:rsidP="00513D1A">
            <w:pPr>
              <w:rPr>
                <w:rFonts w:ascii="Calibri" w:hAnsi="Calibri" w:cs="Calibri"/>
                <w:sz w:val="20"/>
                <w:szCs w:val="20"/>
              </w:rPr>
            </w:pPr>
            <w:r>
              <w:rPr>
                <w:rFonts w:ascii="Calibri" w:hAnsi="Calibri" w:cs="Calibri"/>
                <w:sz w:val="20"/>
                <w:szCs w:val="20"/>
              </w:rPr>
              <w:t>Up to 360 Watt (Tier 2) Interior Fixture Induction replacing 400 Watt lamp base case</w:t>
            </w:r>
          </w:p>
        </w:tc>
        <w:tc>
          <w:tcPr>
            <w:tcW w:w="1283" w:type="dxa"/>
            <w:tcBorders>
              <w:bottom w:val="single" w:sz="18" w:space="0" w:color="FFFFFF"/>
            </w:tcBorders>
            <w:shd w:val="clear" w:color="auto" w:fill="F3F3F3"/>
            <w:vAlign w:val="center"/>
          </w:tcPr>
          <w:p w:rsidR="00A27E02" w:rsidRPr="004D5208" w:rsidRDefault="00A27E02" w:rsidP="00EF646D">
            <w:pPr>
              <w:rPr>
                <w:rFonts w:asciiTheme="minorHAnsi" w:hAnsiTheme="minorHAnsi" w:cstheme="minorHAnsi"/>
                <w:sz w:val="20"/>
                <w:szCs w:val="20"/>
              </w:rPr>
            </w:pPr>
            <w:r>
              <w:rPr>
                <w:rFonts w:asciiTheme="minorHAnsi" w:hAnsiTheme="minorHAnsi" w:cstheme="minorHAnsi"/>
                <w:sz w:val="20"/>
                <w:szCs w:val="20"/>
              </w:rPr>
              <w:t>Metal Halide, (1) 400W lamp</w:t>
            </w:r>
          </w:p>
        </w:tc>
        <w:tc>
          <w:tcPr>
            <w:tcW w:w="995" w:type="dxa"/>
            <w:tcBorders>
              <w:bottom w:val="single" w:sz="18" w:space="0" w:color="FFFFFF"/>
            </w:tcBorders>
            <w:shd w:val="clear" w:color="auto" w:fill="F3F3F3"/>
            <w:vAlign w:val="center"/>
          </w:tcPr>
          <w:p w:rsidR="00A27E02" w:rsidRPr="004D5208" w:rsidRDefault="00A27E02" w:rsidP="00A85F9A">
            <w:pPr>
              <w:jc w:val="center"/>
              <w:rPr>
                <w:rFonts w:asciiTheme="minorHAnsi" w:hAnsiTheme="minorHAnsi" w:cstheme="minorHAnsi"/>
                <w:sz w:val="20"/>
                <w:szCs w:val="20"/>
              </w:rPr>
            </w:pPr>
            <w:r>
              <w:rPr>
                <w:rFonts w:asciiTheme="minorHAnsi" w:hAnsiTheme="minorHAnsi" w:cstheme="minorHAnsi"/>
                <w:sz w:val="20"/>
                <w:szCs w:val="20"/>
              </w:rPr>
              <w:t>MH400/1</w:t>
            </w:r>
          </w:p>
        </w:tc>
        <w:tc>
          <w:tcPr>
            <w:tcW w:w="929" w:type="dxa"/>
            <w:tcBorders>
              <w:bottom w:val="single" w:sz="18" w:space="0" w:color="FFFFFF"/>
            </w:tcBorders>
            <w:shd w:val="clear" w:color="auto" w:fill="F3F3F3"/>
            <w:vAlign w:val="center"/>
          </w:tcPr>
          <w:p w:rsidR="00A27E02" w:rsidRPr="004D5208" w:rsidRDefault="00A27E02" w:rsidP="00A85F9A">
            <w:pPr>
              <w:jc w:val="center"/>
              <w:rPr>
                <w:rFonts w:asciiTheme="minorHAnsi" w:hAnsiTheme="minorHAnsi" w:cstheme="minorHAnsi"/>
                <w:sz w:val="20"/>
                <w:szCs w:val="20"/>
              </w:rPr>
            </w:pPr>
            <w:r>
              <w:rPr>
                <w:rFonts w:asciiTheme="minorHAnsi" w:hAnsiTheme="minorHAnsi" w:cstheme="minorHAnsi"/>
                <w:sz w:val="20"/>
                <w:szCs w:val="20"/>
              </w:rPr>
              <w:t>458</w:t>
            </w:r>
          </w:p>
        </w:tc>
        <w:tc>
          <w:tcPr>
            <w:tcW w:w="1316" w:type="dxa"/>
            <w:tcBorders>
              <w:bottom w:val="single" w:sz="18" w:space="0" w:color="FFFFFF"/>
            </w:tcBorders>
            <w:shd w:val="clear" w:color="auto" w:fill="F3F3F3"/>
            <w:vAlign w:val="center"/>
          </w:tcPr>
          <w:p w:rsidR="00A27E02" w:rsidRPr="004D5208" w:rsidRDefault="00A27E02" w:rsidP="00513D1A">
            <w:pPr>
              <w:rPr>
                <w:rFonts w:asciiTheme="minorHAnsi" w:hAnsiTheme="minorHAnsi" w:cstheme="minorHAnsi"/>
                <w:sz w:val="20"/>
                <w:szCs w:val="20"/>
              </w:rPr>
            </w:pPr>
            <w:r>
              <w:rPr>
                <w:rFonts w:asciiTheme="minorHAnsi" w:hAnsiTheme="minorHAnsi" w:cstheme="minorHAnsi"/>
                <w:sz w:val="20"/>
                <w:szCs w:val="20"/>
              </w:rPr>
              <w:t>Pulse Start, (1) 400W lamp</w:t>
            </w:r>
          </w:p>
        </w:tc>
        <w:tc>
          <w:tcPr>
            <w:tcW w:w="1170" w:type="dxa"/>
            <w:tcBorders>
              <w:bottom w:val="single" w:sz="18" w:space="0" w:color="FFFFFF"/>
            </w:tcBorders>
            <w:shd w:val="clear" w:color="auto" w:fill="F3F3F3"/>
            <w:vAlign w:val="center"/>
          </w:tcPr>
          <w:p w:rsidR="00A27E02" w:rsidRPr="004D5208" w:rsidRDefault="00A27E02" w:rsidP="00513D1A">
            <w:pPr>
              <w:jc w:val="center"/>
              <w:rPr>
                <w:rFonts w:asciiTheme="minorHAnsi" w:hAnsiTheme="minorHAnsi" w:cstheme="minorHAnsi"/>
                <w:sz w:val="20"/>
                <w:szCs w:val="20"/>
              </w:rPr>
            </w:pPr>
            <w:r>
              <w:rPr>
                <w:rFonts w:asciiTheme="minorHAnsi" w:hAnsiTheme="minorHAnsi" w:cstheme="minorHAnsi"/>
                <w:sz w:val="20"/>
                <w:szCs w:val="20"/>
              </w:rPr>
              <w:t>PSMH-400W</w:t>
            </w:r>
          </w:p>
        </w:tc>
        <w:tc>
          <w:tcPr>
            <w:tcW w:w="1080" w:type="dxa"/>
            <w:tcBorders>
              <w:bottom w:val="single" w:sz="18" w:space="0" w:color="FFFFFF"/>
            </w:tcBorders>
            <w:shd w:val="clear" w:color="auto" w:fill="F3F3F3"/>
            <w:vAlign w:val="center"/>
          </w:tcPr>
          <w:p w:rsidR="00A27E02" w:rsidRPr="004D5208" w:rsidRDefault="00A27E02" w:rsidP="00513D1A">
            <w:pPr>
              <w:jc w:val="center"/>
              <w:rPr>
                <w:rFonts w:asciiTheme="minorHAnsi" w:hAnsiTheme="minorHAnsi" w:cstheme="minorHAnsi"/>
                <w:sz w:val="20"/>
                <w:szCs w:val="20"/>
              </w:rPr>
            </w:pPr>
            <w:r>
              <w:rPr>
                <w:rFonts w:asciiTheme="minorHAnsi" w:hAnsiTheme="minorHAnsi" w:cstheme="minorHAnsi"/>
                <w:sz w:val="20"/>
                <w:szCs w:val="20"/>
              </w:rPr>
              <w:t>456</w:t>
            </w:r>
            <w:r w:rsidR="00356379">
              <w:rPr>
                <w:rFonts w:asciiTheme="minorHAnsi" w:hAnsiTheme="minorHAnsi" w:cstheme="minorHAnsi"/>
                <w:sz w:val="20"/>
                <w:szCs w:val="20"/>
              </w:rPr>
              <w:t>**</w:t>
            </w:r>
          </w:p>
        </w:tc>
      </w:tr>
    </w:tbl>
    <w:p w:rsidR="00356379" w:rsidRDefault="00356379" w:rsidP="00356379">
      <w:pPr>
        <w:rPr>
          <w:rFonts w:asciiTheme="minorHAnsi" w:hAnsiTheme="minorHAnsi" w:cstheme="minorHAnsi"/>
          <w:sz w:val="18"/>
          <w:szCs w:val="18"/>
        </w:rPr>
      </w:pPr>
      <w:r w:rsidRPr="002316C6">
        <w:rPr>
          <w:rFonts w:asciiTheme="minorHAnsi" w:hAnsiTheme="minorHAnsi" w:cstheme="minorHAnsi"/>
          <w:sz w:val="18"/>
          <w:szCs w:val="18"/>
        </w:rPr>
        <w:t xml:space="preserve">*This value </w:t>
      </w:r>
      <w:r>
        <w:rPr>
          <w:rFonts w:asciiTheme="minorHAnsi" w:hAnsiTheme="minorHAnsi" w:cstheme="minorHAnsi"/>
          <w:sz w:val="18"/>
          <w:szCs w:val="18"/>
        </w:rPr>
        <w:t>comes from the previous revision of this work paper (Revision 1) and differs</w:t>
      </w:r>
      <w:r w:rsidRPr="002316C6">
        <w:rPr>
          <w:rFonts w:asciiTheme="minorHAnsi" w:hAnsiTheme="minorHAnsi" w:cstheme="minorHAnsi"/>
          <w:sz w:val="18"/>
          <w:szCs w:val="18"/>
        </w:rPr>
        <w:t xml:space="preserve"> from the </w:t>
      </w:r>
      <w:r>
        <w:rPr>
          <w:rFonts w:asciiTheme="minorHAnsi" w:hAnsiTheme="minorHAnsi" w:cstheme="minorHAnsi"/>
          <w:sz w:val="18"/>
          <w:szCs w:val="18"/>
        </w:rPr>
        <w:t>May 30 disposition value. Since the disposition document only addresses code baseline and not the measure case, it is unclear why the disposition’s recommended measure case wattages differ from those in Revision 0 of this work paper. Therefore, the disposition value is not used.</w:t>
      </w:r>
    </w:p>
    <w:p w:rsidR="00356379" w:rsidRPr="002316C6" w:rsidRDefault="00356379" w:rsidP="00356379">
      <w:pPr>
        <w:rPr>
          <w:sz w:val="18"/>
          <w:szCs w:val="18"/>
        </w:rPr>
      </w:pPr>
      <w:r>
        <w:rPr>
          <w:rFonts w:asciiTheme="minorHAnsi" w:hAnsiTheme="minorHAnsi" w:cstheme="minorHAnsi"/>
          <w:sz w:val="18"/>
          <w:szCs w:val="18"/>
        </w:rPr>
        <w:t>**This is the wattage for a PSMH fixture that is lumen equivalent to the measure case fixture. This value differs from the May 30 disposition value.</w:t>
      </w:r>
    </w:p>
    <w:p w:rsidR="00E04676" w:rsidRDefault="00E04676" w:rsidP="002145BB">
      <w:pPr>
        <w:rPr>
          <w:rFonts w:asciiTheme="minorHAnsi" w:hAnsiTheme="minorHAnsi" w:cstheme="minorHAnsi"/>
          <w:sz w:val="22"/>
          <w:szCs w:val="22"/>
        </w:rPr>
      </w:pPr>
    </w:p>
    <w:p w:rsidR="002145BB" w:rsidRDefault="002145BB" w:rsidP="002145BB">
      <w:pPr>
        <w:rPr>
          <w:rFonts w:asciiTheme="minorHAnsi" w:hAnsiTheme="minorHAnsi" w:cstheme="minorHAnsi"/>
          <w:sz w:val="22"/>
          <w:szCs w:val="22"/>
        </w:rPr>
      </w:pPr>
      <w:r w:rsidRPr="002D5A4B">
        <w:rPr>
          <w:rFonts w:asciiTheme="minorHAnsi" w:hAnsiTheme="minorHAnsi" w:cstheme="minorHAnsi"/>
          <w:sz w:val="22"/>
          <w:szCs w:val="22"/>
        </w:rPr>
        <w:t xml:space="preserve">The </w:t>
      </w:r>
      <w:r w:rsidR="00770635" w:rsidRPr="002D5A4B">
        <w:rPr>
          <w:rFonts w:asciiTheme="minorHAnsi" w:hAnsiTheme="minorHAnsi" w:cstheme="minorHAnsi"/>
          <w:sz w:val="22"/>
          <w:szCs w:val="22"/>
        </w:rPr>
        <w:t>measure</w:t>
      </w:r>
      <w:r w:rsidRPr="002D5A4B">
        <w:rPr>
          <w:rFonts w:asciiTheme="minorHAnsi" w:hAnsiTheme="minorHAnsi" w:cstheme="minorHAnsi"/>
          <w:sz w:val="22"/>
          <w:szCs w:val="22"/>
        </w:rPr>
        <w:t xml:space="preserve"> case Wattage values for all the measures were </w:t>
      </w:r>
      <w:r w:rsidR="00E04676" w:rsidRPr="002D5A4B">
        <w:rPr>
          <w:rFonts w:asciiTheme="minorHAnsi" w:hAnsiTheme="minorHAnsi" w:cstheme="minorHAnsi"/>
          <w:sz w:val="22"/>
          <w:szCs w:val="22"/>
        </w:rPr>
        <w:t xml:space="preserve">taken from </w:t>
      </w:r>
      <w:r w:rsidRPr="002D5A4B">
        <w:rPr>
          <w:rFonts w:asciiTheme="minorHAnsi" w:hAnsiTheme="minorHAnsi" w:cstheme="minorHAnsi"/>
          <w:sz w:val="22"/>
          <w:szCs w:val="22"/>
        </w:rPr>
        <w:t>the “</w:t>
      </w:r>
      <w:r w:rsidR="002D5A4B" w:rsidRPr="002D5A4B">
        <w:rPr>
          <w:rFonts w:asciiTheme="minorHAnsi" w:hAnsiTheme="minorHAnsi" w:cstheme="minorHAnsi"/>
          <w:sz w:val="22"/>
          <w:szCs w:val="22"/>
        </w:rPr>
        <w:t>2013-2014_LightingRetrofit_Disposition-30May2014</w:t>
      </w:r>
      <w:r w:rsidR="002D5A4B">
        <w:rPr>
          <w:rFonts w:asciiTheme="minorHAnsi" w:hAnsiTheme="minorHAnsi" w:cstheme="minorHAnsi"/>
          <w:sz w:val="22"/>
          <w:szCs w:val="22"/>
        </w:rPr>
        <w:t>” table provided by the Energy Division</w:t>
      </w:r>
      <w:r w:rsidR="00770635" w:rsidRPr="002D5A4B">
        <w:rPr>
          <w:rFonts w:asciiTheme="minorHAnsi" w:hAnsiTheme="minorHAnsi" w:cstheme="minorHAnsi"/>
          <w:sz w:val="22"/>
          <w:szCs w:val="22"/>
        </w:rPr>
        <w:t xml:space="preserve"> [</w:t>
      </w:r>
      <w:r w:rsidR="002B0DC8" w:rsidRPr="002D5A4B">
        <w:rPr>
          <w:rFonts w:asciiTheme="minorHAnsi" w:hAnsiTheme="minorHAnsi" w:cstheme="minorHAnsi"/>
          <w:sz w:val="22"/>
          <w:szCs w:val="22"/>
        </w:rPr>
        <w:t>E</w:t>
      </w:r>
      <w:r w:rsidR="00770635" w:rsidRPr="002D5A4B">
        <w:rPr>
          <w:rFonts w:asciiTheme="minorHAnsi" w:hAnsiTheme="minorHAnsi" w:cstheme="minorHAnsi"/>
          <w:sz w:val="22"/>
          <w:szCs w:val="22"/>
        </w:rPr>
        <w:t>]</w:t>
      </w:r>
      <w:r w:rsidRPr="002D5A4B">
        <w:rPr>
          <w:rFonts w:asciiTheme="minorHAnsi" w:hAnsiTheme="minorHAnsi" w:cstheme="minorHAnsi"/>
          <w:sz w:val="22"/>
          <w:szCs w:val="22"/>
        </w:rPr>
        <w:t>.</w:t>
      </w:r>
      <w:r>
        <w:rPr>
          <w:rFonts w:asciiTheme="minorHAnsi" w:hAnsiTheme="minorHAnsi" w:cstheme="minorHAnsi"/>
          <w:sz w:val="22"/>
          <w:szCs w:val="22"/>
        </w:rPr>
        <w:t xml:space="preserve">  </w:t>
      </w:r>
    </w:p>
    <w:p w:rsidR="00E04676" w:rsidRDefault="00E04676" w:rsidP="00CF2553">
      <w:pPr>
        <w:pStyle w:val="Caption"/>
        <w:spacing w:before="120"/>
        <w:rPr>
          <w:rFonts w:asciiTheme="minorHAnsi" w:hAnsiTheme="minorHAnsi" w:cstheme="minorHAnsi"/>
          <w:szCs w:val="24"/>
        </w:rPr>
      </w:pPr>
      <w:bookmarkStart w:id="18" w:name="_Ref221415656"/>
      <w:bookmarkStart w:id="19" w:name="_Toc220125018"/>
    </w:p>
    <w:bookmarkEnd w:id="18"/>
    <w:p w:rsidR="00A85F9A" w:rsidRDefault="00A85F9A" w:rsidP="008003EF">
      <w:pPr>
        <w:pStyle w:val="Caption"/>
        <w:jc w:val="center"/>
        <w:rPr>
          <w:rFonts w:asciiTheme="minorHAnsi" w:hAnsiTheme="minorHAnsi"/>
          <w:sz w:val="22"/>
        </w:rPr>
      </w:pPr>
    </w:p>
    <w:p w:rsidR="00A85F9A" w:rsidRDefault="00A85F9A" w:rsidP="008003EF">
      <w:pPr>
        <w:pStyle w:val="Caption"/>
        <w:jc w:val="center"/>
        <w:rPr>
          <w:rFonts w:asciiTheme="minorHAnsi" w:hAnsiTheme="minorHAnsi"/>
          <w:sz w:val="22"/>
        </w:rPr>
      </w:pPr>
    </w:p>
    <w:p w:rsidR="00A85F9A" w:rsidRDefault="00A85F9A" w:rsidP="008003EF">
      <w:pPr>
        <w:pStyle w:val="Caption"/>
        <w:jc w:val="center"/>
        <w:rPr>
          <w:rFonts w:asciiTheme="minorHAnsi" w:hAnsiTheme="minorHAnsi"/>
          <w:sz w:val="22"/>
        </w:rPr>
      </w:pPr>
    </w:p>
    <w:p w:rsidR="00614471" w:rsidRPr="008003EF" w:rsidRDefault="008003EF" w:rsidP="008003EF">
      <w:pPr>
        <w:pStyle w:val="Caption"/>
        <w:jc w:val="center"/>
        <w:rPr>
          <w:rFonts w:asciiTheme="minorHAnsi" w:hAnsiTheme="minorHAnsi" w:cstheme="minorHAnsi"/>
          <w:sz w:val="22"/>
          <w:szCs w:val="24"/>
        </w:rPr>
      </w:pPr>
      <w:r w:rsidRPr="008003EF">
        <w:rPr>
          <w:rFonts w:asciiTheme="minorHAnsi" w:hAnsiTheme="minorHAnsi"/>
          <w:sz w:val="22"/>
        </w:rPr>
        <w:lastRenderedPageBreak/>
        <w:t xml:space="preserve">Table </w:t>
      </w:r>
      <w:r w:rsidRPr="008003EF">
        <w:rPr>
          <w:rFonts w:asciiTheme="minorHAnsi" w:hAnsiTheme="minorHAnsi"/>
          <w:sz w:val="22"/>
        </w:rPr>
        <w:fldChar w:fldCharType="begin"/>
      </w:r>
      <w:r w:rsidRPr="008003EF">
        <w:rPr>
          <w:rFonts w:asciiTheme="minorHAnsi" w:hAnsiTheme="minorHAnsi"/>
          <w:sz w:val="22"/>
        </w:rPr>
        <w:instrText xml:space="preserve"> SEQ Table \* ARABIC </w:instrText>
      </w:r>
      <w:r w:rsidRPr="008003EF">
        <w:rPr>
          <w:rFonts w:asciiTheme="minorHAnsi" w:hAnsiTheme="minorHAnsi"/>
          <w:sz w:val="22"/>
        </w:rPr>
        <w:fldChar w:fldCharType="separate"/>
      </w:r>
      <w:r w:rsidR="00395735">
        <w:rPr>
          <w:rFonts w:asciiTheme="minorHAnsi" w:hAnsiTheme="minorHAnsi"/>
          <w:noProof/>
          <w:sz w:val="22"/>
        </w:rPr>
        <w:t>9</w:t>
      </w:r>
      <w:r w:rsidRPr="008003EF">
        <w:rPr>
          <w:rFonts w:asciiTheme="minorHAnsi" w:hAnsiTheme="minorHAnsi"/>
          <w:sz w:val="22"/>
        </w:rPr>
        <w:fldChar w:fldCharType="end"/>
      </w:r>
      <w:r w:rsidRPr="008003EF">
        <w:rPr>
          <w:rFonts w:asciiTheme="minorHAnsi" w:hAnsiTheme="minorHAnsi"/>
          <w:sz w:val="22"/>
        </w:rPr>
        <w:t xml:space="preserve"> </w:t>
      </w:r>
      <w:r w:rsidR="00614471" w:rsidRPr="008003EF">
        <w:rPr>
          <w:rFonts w:asciiTheme="minorHAnsi" w:hAnsiTheme="minorHAnsi" w:cstheme="minorHAnsi"/>
          <w:sz w:val="22"/>
          <w:szCs w:val="24"/>
        </w:rPr>
        <w:t>Measure Case Selection for Savings Estimates</w:t>
      </w:r>
      <w:bookmarkEnd w:id="19"/>
    </w:p>
    <w:tbl>
      <w:tblPr>
        <w:tblW w:w="8173" w:type="dxa"/>
        <w:jc w:val="center"/>
        <w:tblInd w:w="93"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D9D9D9"/>
        <w:tblLook w:val="0000" w:firstRow="0" w:lastRow="0" w:firstColumn="0" w:lastColumn="0" w:noHBand="0" w:noVBand="0"/>
      </w:tblPr>
      <w:tblGrid>
        <w:gridCol w:w="3853"/>
        <w:gridCol w:w="2160"/>
        <w:gridCol w:w="1080"/>
        <w:gridCol w:w="1080"/>
      </w:tblGrid>
      <w:tr w:rsidR="00614471" w:rsidRPr="004D5208" w:rsidTr="00513D1A">
        <w:trPr>
          <w:trHeight w:val="255"/>
          <w:tblHeader/>
          <w:jc w:val="center"/>
        </w:trPr>
        <w:tc>
          <w:tcPr>
            <w:tcW w:w="3853" w:type="dxa"/>
            <w:tcBorders>
              <w:bottom w:val="single" w:sz="18" w:space="0" w:color="FFFFFF"/>
            </w:tcBorders>
            <w:shd w:val="clear" w:color="auto" w:fill="D9D9D9"/>
            <w:noWrap/>
            <w:vAlign w:val="center"/>
          </w:tcPr>
          <w:p w:rsidR="00614471" w:rsidRPr="004D5208" w:rsidRDefault="00614471" w:rsidP="00513D1A">
            <w:pPr>
              <w:jc w:val="center"/>
              <w:rPr>
                <w:rFonts w:asciiTheme="minorHAnsi" w:hAnsiTheme="minorHAnsi" w:cstheme="minorHAnsi"/>
                <w:b/>
                <w:bCs/>
                <w:sz w:val="20"/>
                <w:szCs w:val="20"/>
              </w:rPr>
            </w:pPr>
            <w:r w:rsidRPr="004D5208">
              <w:rPr>
                <w:rFonts w:asciiTheme="minorHAnsi" w:hAnsiTheme="minorHAnsi" w:cstheme="minorHAnsi"/>
                <w:b/>
                <w:bCs/>
                <w:sz w:val="20"/>
                <w:szCs w:val="20"/>
              </w:rPr>
              <w:t>Measure Description Classifications</w:t>
            </w:r>
          </w:p>
        </w:tc>
        <w:tc>
          <w:tcPr>
            <w:tcW w:w="2160" w:type="dxa"/>
            <w:tcBorders>
              <w:bottom w:val="single" w:sz="18" w:space="0" w:color="FFFFFF"/>
            </w:tcBorders>
            <w:shd w:val="clear" w:color="auto" w:fill="D9D9D9"/>
            <w:noWrap/>
            <w:vAlign w:val="center"/>
          </w:tcPr>
          <w:p w:rsidR="00614471" w:rsidRPr="004D5208" w:rsidRDefault="00614471" w:rsidP="00513D1A">
            <w:pPr>
              <w:jc w:val="center"/>
              <w:rPr>
                <w:rFonts w:asciiTheme="minorHAnsi" w:hAnsiTheme="minorHAnsi" w:cstheme="minorHAnsi"/>
                <w:b/>
                <w:bCs/>
                <w:sz w:val="20"/>
                <w:szCs w:val="20"/>
              </w:rPr>
            </w:pPr>
            <w:r w:rsidRPr="004D5208">
              <w:rPr>
                <w:rFonts w:asciiTheme="minorHAnsi" w:hAnsiTheme="minorHAnsi" w:cstheme="minorHAnsi"/>
                <w:b/>
                <w:bCs/>
                <w:sz w:val="20"/>
                <w:szCs w:val="20"/>
              </w:rPr>
              <w:t>Measure Case Selection</w:t>
            </w:r>
          </w:p>
        </w:tc>
        <w:tc>
          <w:tcPr>
            <w:tcW w:w="1080" w:type="dxa"/>
            <w:tcBorders>
              <w:bottom w:val="single" w:sz="18" w:space="0" w:color="FFFFFF"/>
            </w:tcBorders>
            <w:shd w:val="clear" w:color="auto" w:fill="D9D9D9"/>
          </w:tcPr>
          <w:p w:rsidR="00614471" w:rsidRPr="004D5208" w:rsidRDefault="00614471" w:rsidP="00513D1A">
            <w:pPr>
              <w:jc w:val="center"/>
              <w:rPr>
                <w:rFonts w:asciiTheme="minorHAnsi" w:hAnsiTheme="minorHAnsi" w:cstheme="minorHAnsi"/>
                <w:b/>
                <w:bCs/>
                <w:sz w:val="20"/>
                <w:szCs w:val="20"/>
              </w:rPr>
            </w:pPr>
            <w:r w:rsidRPr="004D5208">
              <w:rPr>
                <w:rFonts w:asciiTheme="minorHAnsi" w:hAnsiTheme="minorHAnsi" w:cstheme="minorHAnsi"/>
                <w:b/>
                <w:bCs/>
                <w:sz w:val="20"/>
                <w:szCs w:val="20"/>
              </w:rPr>
              <w:t>Lamp Wattage</w:t>
            </w:r>
          </w:p>
        </w:tc>
        <w:tc>
          <w:tcPr>
            <w:tcW w:w="1080" w:type="dxa"/>
            <w:tcBorders>
              <w:bottom w:val="single" w:sz="18" w:space="0" w:color="FFFFFF"/>
            </w:tcBorders>
            <w:shd w:val="clear" w:color="auto" w:fill="D9D9D9"/>
            <w:noWrap/>
            <w:vAlign w:val="center"/>
          </w:tcPr>
          <w:p w:rsidR="00614471" w:rsidRPr="004D5208" w:rsidRDefault="00614471" w:rsidP="00513D1A">
            <w:pPr>
              <w:jc w:val="center"/>
              <w:rPr>
                <w:rFonts w:asciiTheme="minorHAnsi" w:hAnsiTheme="minorHAnsi" w:cstheme="minorHAnsi"/>
                <w:b/>
                <w:bCs/>
                <w:sz w:val="20"/>
                <w:szCs w:val="20"/>
              </w:rPr>
            </w:pPr>
            <w:r w:rsidRPr="004D5208">
              <w:rPr>
                <w:rFonts w:asciiTheme="minorHAnsi" w:hAnsiTheme="minorHAnsi" w:cstheme="minorHAnsi"/>
                <w:b/>
                <w:bCs/>
                <w:sz w:val="20"/>
                <w:szCs w:val="20"/>
              </w:rPr>
              <w:t>Fixture Wattage</w:t>
            </w:r>
          </w:p>
        </w:tc>
      </w:tr>
      <w:tr w:rsidR="00614471" w:rsidRPr="004D5208" w:rsidTr="00513D1A">
        <w:trPr>
          <w:trHeight w:val="510"/>
          <w:jc w:val="center"/>
        </w:trPr>
        <w:tc>
          <w:tcPr>
            <w:tcW w:w="3853" w:type="dxa"/>
            <w:shd w:val="clear" w:color="auto" w:fill="F3F3F3"/>
            <w:noWrap/>
            <w:vAlign w:val="bottom"/>
          </w:tcPr>
          <w:p w:rsidR="00614471" w:rsidRDefault="00614471" w:rsidP="00513D1A">
            <w:pPr>
              <w:rPr>
                <w:rFonts w:ascii="Calibri" w:hAnsi="Calibri" w:cs="Calibri"/>
                <w:sz w:val="20"/>
                <w:szCs w:val="20"/>
              </w:rPr>
            </w:pPr>
            <w:r>
              <w:rPr>
                <w:rFonts w:ascii="Calibri" w:hAnsi="Calibri" w:cs="Calibri"/>
                <w:sz w:val="20"/>
                <w:szCs w:val="20"/>
              </w:rPr>
              <w:t>Up to 70 Watt Interior Fixture Induction replacing less than or equal to 100 Watt lamp base case</w:t>
            </w:r>
          </w:p>
        </w:tc>
        <w:tc>
          <w:tcPr>
            <w:tcW w:w="2160" w:type="dxa"/>
            <w:shd w:val="clear" w:color="auto" w:fill="F3F3F3"/>
            <w:vAlign w:val="center"/>
          </w:tcPr>
          <w:p w:rsidR="00614471" w:rsidRPr="004D5208" w:rsidRDefault="00513D1A" w:rsidP="00513D1A">
            <w:pPr>
              <w:rPr>
                <w:rFonts w:asciiTheme="minorHAnsi" w:hAnsiTheme="minorHAnsi" w:cstheme="minorHAnsi"/>
                <w:sz w:val="20"/>
                <w:szCs w:val="20"/>
              </w:rPr>
            </w:pPr>
            <w:r>
              <w:rPr>
                <w:rFonts w:asciiTheme="minorHAnsi" w:hAnsiTheme="minorHAnsi" w:cstheme="minorHAnsi"/>
                <w:sz w:val="20"/>
                <w:szCs w:val="20"/>
              </w:rPr>
              <w:t>7</w:t>
            </w:r>
            <w:r w:rsidR="00614471" w:rsidRPr="004D5208">
              <w:rPr>
                <w:rFonts w:asciiTheme="minorHAnsi" w:hAnsiTheme="minorHAnsi" w:cstheme="minorHAnsi"/>
                <w:sz w:val="20"/>
                <w:szCs w:val="20"/>
              </w:rPr>
              <w:t>0W Induction Lamp</w:t>
            </w:r>
          </w:p>
        </w:tc>
        <w:tc>
          <w:tcPr>
            <w:tcW w:w="1080" w:type="dxa"/>
            <w:shd w:val="clear" w:color="auto" w:fill="F3F3F3"/>
            <w:vAlign w:val="center"/>
          </w:tcPr>
          <w:p w:rsidR="00614471" w:rsidRPr="004D5208" w:rsidRDefault="000F5988" w:rsidP="000F5988">
            <w:pPr>
              <w:jc w:val="center"/>
              <w:rPr>
                <w:rFonts w:asciiTheme="minorHAnsi" w:hAnsiTheme="minorHAnsi" w:cstheme="minorHAnsi"/>
                <w:sz w:val="20"/>
                <w:szCs w:val="20"/>
              </w:rPr>
            </w:pPr>
            <w:r>
              <w:rPr>
                <w:rFonts w:asciiTheme="minorHAnsi" w:hAnsiTheme="minorHAnsi" w:cstheme="minorHAnsi"/>
                <w:sz w:val="20"/>
                <w:szCs w:val="20"/>
              </w:rPr>
              <w:t>40</w:t>
            </w:r>
          </w:p>
        </w:tc>
        <w:tc>
          <w:tcPr>
            <w:tcW w:w="1080" w:type="dxa"/>
            <w:shd w:val="clear" w:color="auto" w:fill="F3F3F3"/>
            <w:vAlign w:val="center"/>
          </w:tcPr>
          <w:p w:rsidR="00614471" w:rsidRPr="004D5208" w:rsidRDefault="00E33BBB" w:rsidP="008C2541">
            <w:pPr>
              <w:jc w:val="center"/>
              <w:rPr>
                <w:rFonts w:asciiTheme="minorHAnsi" w:hAnsiTheme="minorHAnsi" w:cstheme="minorHAnsi"/>
                <w:sz w:val="20"/>
                <w:szCs w:val="20"/>
              </w:rPr>
            </w:pPr>
            <w:r>
              <w:rPr>
                <w:rFonts w:asciiTheme="minorHAnsi" w:hAnsiTheme="minorHAnsi" w:cstheme="minorHAnsi"/>
                <w:sz w:val="20"/>
                <w:szCs w:val="20"/>
              </w:rPr>
              <w:t>4</w:t>
            </w:r>
            <w:r w:rsidR="008C2541">
              <w:rPr>
                <w:rFonts w:asciiTheme="minorHAnsi" w:hAnsiTheme="minorHAnsi" w:cstheme="minorHAnsi"/>
                <w:sz w:val="20"/>
                <w:szCs w:val="20"/>
              </w:rPr>
              <w:t>4</w:t>
            </w:r>
            <w:r w:rsidR="00356379">
              <w:rPr>
                <w:rFonts w:asciiTheme="minorHAnsi" w:hAnsiTheme="minorHAnsi" w:cstheme="minorHAnsi"/>
                <w:sz w:val="20"/>
                <w:szCs w:val="20"/>
              </w:rPr>
              <w:t>*</w:t>
            </w:r>
          </w:p>
        </w:tc>
      </w:tr>
      <w:tr w:rsidR="00614471" w:rsidRPr="004D5208" w:rsidTr="00513D1A">
        <w:trPr>
          <w:trHeight w:val="510"/>
          <w:jc w:val="center"/>
        </w:trPr>
        <w:tc>
          <w:tcPr>
            <w:tcW w:w="3853" w:type="dxa"/>
            <w:tcBorders>
              <w:bottom w:val="single" w:sz="18" w:space="0" w:color="FFFFFF"/>
            </w:tcBorders>
            <w:shd w:val="clear" w:color="auto" w:fill="D9D9D9"/>
            <w:noWrap/>
            <w:vAlign w:val="bottom"/>
          </w:tcPr>
          <w:p w:rsidR="00614471" w:rsidRDefault="00614471" w:rsidP="00513D1A">
            <w:pPr>
              <w:rPr>
                <w:rFonts w:ascii="Calibri" w:hAnsi="Calibri" w:cs="Calibri"/>
                <w:sz w:val="20"/>
                <w:szCs w:val="20"/>
              </w:rPr>
            </w:pPr>
            <w:r>
              <w:rPr>
                <w:rFonts w:ascii="Calibri" w:hAnsi="Calibri" w:cs="Calibri"/>
                <w:sz w:val="20"/>
                <w:szCs w:val="20"/>
              </w:rPr>
              <w:t>Up to 120 Watt Interior Fixture Induction replacing 101 - 175 Watt lamp base case</w:t>
            </w:r>
          </w:p>
        </w:tc>
        <w:tc>
          <w:tcPr>
            <w:tcW w:w="2160" w:type="dxa"/>
            <w:tcBorders>
              <w:bottom w:val="single" w:sz="18" w:space="0" w:color="FFFFFF"/>
            </w:tcBorders>
            <w:shd w:val="clear" w:color="auto" w:fill="D9D9D9"/>
            <w:vAlign w:val="center"/>
          </w:tcPr>
          <w:p w:rsidR="00614471" w:rsidRPr="004D5208" w:rsidRDefault="00513D1A" w:rsidP="00513D1A">
            <w:pPr>
              <w:rPr>
                <w:rFonts w:asciiTheme="minorHAnsi" w:hAnsiTheme="minorHAnsi" w:cstheme="minorHAnsi"/>
                <w:sz w:val="20"/>
                <w:szCs w:val="20"/>
              </w:rPr>
            </w:pPr>
            <w:r>
              <w:rPr>
                <w:rFonts w:asciiTheme="minorHAnsi" w:hAnsiTheme="minorHAnsi" w:cstheme="minorHAnsi"/>
                <w:sz w:val="20"/>
                <w:szCs w:val="20"/>
              </w:rPr>
              <w:t>12</w:t>
            </w:r>
            <w:r w:rsidR="00614471" w:rsidRPr="004D5208">
              <w:rPr>
                <w:rFonts w:asciiTheme="minorHAnsi" w:hAnsiTheme="minorHAnsi" w:cstheme="minorHAnsi"/>
                <w:sz w:val="20"/>
                <w:szCs w:val="20"/>
              </w:rPr>
              <w:t>0W High Bay Induction Fixture</w:t>
            </w:r>
          </w:p>
        </w:tc>
        <w:tc>
          <w:tcPr>
            <w:tcW w:w="1080" w:type="dxa"/>
            <w:tcBorders>
              <w:bottom w:val="single" w:sz="18" w:space="0" w:color="FFFFFF"/>
            </w:tcBorders>
            <w:shd w:val="clear" w:color="auto" w:fill="D9D9D9"/>
            <w:vAlign w:val="center"/>
          </w:tcPr>
          <w:p w:rsidR="00614471" w:rsidRPr="004D5208" w:rsidRDefault="00CF2553" w:rsidP="00E33BBB">
            <w:pPr>
              <w:jc w:val="center"/>
              <w:rPr>
                <w:rFonts w:asciiTheme="minorHAnsi" w:hAnsiTheme="minorHAnsi" w:cstheme="minorHAnsi"/>
                <w:sz w:val="20"/>
                <w:szCs w:val="20"/>
              </w:rPr>
            </w:pPr>
            <w:r>
              <w:rPr>
                <w:rFonts w:asciiTheme="minorHAnsi" w:hAnsiTheme="minorHAnsi" w:cstheme="minorHAnsi"/>
                <w:sz w:val="20"/>
                <w:szCs w:val="20"/>
              </w:rPr>
              <w:t>1</w:t>
            </w:r>
            <w:r w:rsidR="00E33BBB">
              <w:rPr>
                <w:rFonts w:asciiTheme="minorHAnsi" w:hAnsiTheme="minorHAnsi" w:cstheme="minorHAnsi"/>
                <w:sz w:val="20"/>
                <w:szCs w:val="20"/>
              </w:rPr>
              <w:t>0</w:t>
            </w:r>
            <w:r>
              <w:rPr>
                <w:rFonts w:asciiTheme="minorHAnsi" w:hAnsiTheme="minorHAnsi" w:cstheme="minorHAnsi"/>
                <w:sz w:val="20"/>
                <w:szCs w:val="20"/>
              </w:rPr>
              <w:t>0</w:t>
            </w:r>
          </w:p>
        </w:tc>
        <w:tc>
          <w:tcPr>
            <w:tcW w:w="1080" w:type="dxa"/>
            <w:tcBorders>
              <w:bottom w:val="single" w:sz="18" w:space="0" w:color="FFFFFF"/>
            </w:tcBorders>
            <w:shd w:val="clear" w:color="auto" w:fill="D9D9D9"/>
            <w:vAlign w:val="center"/>
          </w:tcPr>
          <w:p w:rsidR="00614471" w:rsidRPr="004D5208" w:rsidRDefault="00CF2553" w:rsidP="008C2541">
            <w:pPr>
              <w:jc w:val="center"/>
              <w:rPr>
                <w:rFonts w:asciiTheme="minorHAnsi" w:hAnsiTheme="minorHAnsi" w:cstheme="minorHAnsi"/>
                <w:sz w:val="20"/>
                <w:szCs w:val="20"/>
              </w:rPr>
            </w:pPr>
            <w:r>
              <w:rPr>
                <w:rFonts w:asciiTheme="minorHAnsi" w:hAnsiTheme="minorHAnsi" w:cstheme="minorHAnsi"/>
                <w:sz w:val="20"/>
                <w:szCs w:val="20"/>
              </w:rPr>
              <w:t>1</w:t>
            </w:r>
            <w:r w:rsidR="008C2541">
              <w:rPr>
                <w:rFonts w:asciiTheme="minorHAnsi" w:hAnsiTheme="minorHAnsi" w:cstheme="minorHAnsi"/>
                <w:sz w:val="20"/>
                <w:szCs w:val="20"/>
              </w:rPr>
              <w:t>10</w:t>
            </w:r>
            <w:r w:rsidR="00356379">
              <w:rPr>
                <w:rFonts w:asciiTheme="minorHAnsi" w:hAnsiTheme="minorHAnsi" w:cstheme="minorHAnsi"/>
                <w:sz w:val="20"/>
                <w:szCs w:val="20"/>
              </w:rPr>
              <w:t>*</w:t>
            </w:r>
          </w:p>
        </w:tc>
      </w:tr>
      <w:tr w:rsidR="00614471" w:rsidRPr="004D5208" w:rsidTr="00513D1A">
        <w:trPr>
          <w:trHeight w:val="510"/>
          <w:jc w:val="center"/>
        </w:trPr>
        <w:tc>
          <w:tcPr>
            <w:tcW w:w="3853" w:type="dxa"/>
            <w:shd w:val="clear" w:color="auto" w:fill="F3F3F3"/>
            <w:noWrap/>
            <w:vAlign w:val="bottom"/>
          </w:tcPr>
          <w:p w:rsidR="00614471" w:rsidRDefault="00614471" w:rsidP="00513D1A">
            <w:pPr>
              <w:rPr>
                <w:rFonts w:ascii="Calibri" w:hAnsi="Calibri" w:cs="Calibri"/>
                <w:sz w:val="20"/>
                <w:szCs w:val="20"/>
              </w:rPr>
            </w:pPr>
            <w:r>
              <w:rPr>
                <w:rFonts w:ascii="Calibri" w:hAnsi="Calibri" w:cs="Calibri"/>
                <w:sz w:val="20"/>
                <w:szCs w:val="20"/>
              </w:rPr>
              <w:t>Up to 180 Watt Interior Fixture Induction replacing 176 - 399 Watt lamp base case</w:t>
            </w:r>
          </w:p>
        </w:tc>
        <w:tc>
          <w:tcPr>
            <w:tcW w:w="2160" w:type="dxa"/>
            <w:shd w:val="clear" w:color="auto" w:fill="F3F3F3"/>
            <w:vAlign w:val="center"/>
          </w:tcPr>
          <w:p w:rsidR="00614471" w:rsidRPr="004D5208" w:rsidRDefault="00614471" w:rsidP="00077E60">
            <w:pPr>
              <w:rPr>
                <w:rFonts w:asciiTheme="minorHAnsi" w:hAnsiTheme="minorHAnsi" w:cstheme="minorHAnsi"/>
                <w:sz w:val="20"/>
                <w:szCs w:val="20"/>
              </w:rPr>
            </w:pPr>
            <w:r w:rsidRPr="004D5208">
              <w:rPr>
                <w:rFonts w:asciiTheme="minorHAnsi" w:hAnsiTheme="minorHAnsi" w:cstheme="minorHAnsi"/>
                <w:sz w:val="20"/>
                <w:szCs w:val="20"/>
              </w:rPr>
              <w:t>1</w:t>
            </w:r>
            <w:r w:rsidR="00077E60">
              <w:rPr>
                <w:rFonts w:asciiTheme="minorHAnsi" w:hAnsiTheme="minorHAnsi" w:cstheme="minorHAnsi"/>
                <w:sz w:val="20"/>
                <w:szCs w:val="20"/>
              </w:rPr>
              <w:t>8</w:t>
            </w:r>
            <w:r w:rsidRPr="004D5208">
              <w:rPr>
                <w:rFonts w:asciiTheme="minorHAnsi" w:hAnsiTheme="minorHAnsi" w:cstheme="minorHAnsi"/>
                <w:sz w:val="20"/>
                <w:szCs w:val="20"/>
              </w:rPr>
              <w:t>0W High Bay Induction Fixture</w:t>
            </w:r>
          </w:p>
        </w:tc>
        <w:tc>
          <w:tcPr>
            <w:tcW w:w="1080" w:type="dxa"/>
            <w:shd w:val="clear" w:color="auto" w:fill="F3F3F3"/>
            <w:vAlign w:val="center"/>
          </w:tcPr>
          <w:p w:rsidR="00614471" w:rsidRPr="004D5208" w:rsidRDefault="00614471" w:rsidP="00E33BBB">
            <w:pPr>
              <w:jc w:val="center"/>
              <w:rPr>
                <w:rFonts w:asciiTheme="minorHAnsi" w:hAnsiTheme="minorHAnsi" w:cstheme="minorHAnsi"/>
                <w:sz w:val="20"/>
                <w:szCs w:val="20"/>
              </w:rPr>
            </w:pPr>
            <w:r w:rsidRPr="004D5208">
              <w:rPr>
                <w:rFonts w:asciiTheme="minorHAnsi" w:hAnsiTheme="minorHAnsi" w:cstheme="minorHAnsi"/>
                <w:sz w:val="20"/>
                <w:szCs w:val="20"/>
              </w:rPr>
              <w:t>1</w:t>
            </w:r>
            <w:r w:rsidR="00E33BBB">
              <w:rPr>
                <w:rFonts w:asciiTheme="minorHAnsi" w:hAnsiTheme="minorHAnsi" w:cstheme="minorHAnsi"/>
                <w:sz w:val="20"/>
                <w:szCs w:val="20"/>
              </w:rPr>
              <w:t>50</w:t>
            </w:r>
          </w:p>
        </w:tc>
        <w:tc>
          <w:tcPr>
            <w:tcW w:w="1080" w:type="dxa"/>
            <w:shd w:val="clear" w:color="auto" w:fill="F3F3F3"/>
            <w:vAlign w:val="center"/>
          </w:tcPr>
          <w:p w:rsidR="00614471" w:rsidRPr="004D5208" w:rsidRDefault="00077E60" w:rsidP="00E33BBB">
            <w:pPr>
              <w:jc w:val="center"/>
              <w:rPr>
                <w:rFonts w:asciiTheme="minorHAnsi" w:hAnsiTheme="minorHAnsi" w:cstheme="minorHAnsi"/>
                <w:sz w:val="20"/>
                <w:szCs w:val="20"/>
              </w:rPr>
            </w:pPr>
            <w:r>
              <w:rPr>
                <w:rFonts w:asciiTheme="minorHAnsi" w:hAnsiTheme="minorHAnsi" w:cstheme="minorHAnsi"/>
                <w:sz w:val="20"/>
                <w:szCs w:val="20"/>
              </w:rPr>
              <w:t>1</w:t>
            </w:r>
            <w:r w:rsidR="00E33BBB">
              <w:rPr>
                <w:rFonts w:asciiTheme="minorHAnsi" w:hAnsiTheme="minorHAnsi" w:cstheme="minorHAnsi"/>
                <w:sz w:val="20"/>
                <w:szCs w:val="20"/>
              </w:rPr>
              <w:t>65</w:t>
            </w:r>
            <w:r w:rsidR="00356379">
              <w:rPr>
                <w:rFonts w:asciiTheme="minorHAnsi" w:hAnsiTheme="minorHAnsi" w:cstheme="minorHAnsi"/>
                <w:sz w:val="20"/>
                <w:szCs w:val="20"/>
              </w:rPr>
              <w:t>*</w:t>
            </w:r>
          </w:p>
        </w:tc>
      </w:tr>
      <w:tr w:rsidR="00614471" w:rsidRPr="004D5208" w:rsidTr="00513D1A">
        <w:trPr>
          <w:trHeight w:val="510"/>
          <w:jc w:val="center"/>
        </w:trPr>
        <w:tc>
          <w:tcPr>
            <w:tcW w:w="3853" w:type="dxa"/>
            <w:tcBorders>
              <w:bottom w:val="single" w:sz="18" w:space="0" w:color="FFFFFF"/>
            </w:tcBorders>
            <w:shd w:val="clear" w:color="auto" w:fill="D9D9D9"/>
            <w:noWrap/>
            <w:vAlign w:val="bottom"/>
          </w:tcPr>
          <w:p w:rsidR="00614471" w:rsidRDefault="00614471" w:rsidP="00513D1A">
            <w:pPr>
              <w:rPr>
                <w:rFonts w:ascii="Calibri" w:hAnsi="Calibri" w:cs="Calibri"/>
                <w:sz w:val="20"/>
                <w:szCs w:val="20"/>
              </w:rPr>
            </w:pPr>
            <w:r>
              <w:rPr>
                <w:rFonts w:ascii="Calibri" w:hAnsi="Calibri" w:cs="Calibri"/>
                <w:sz w:val="20"/>
                <w:szCs w:val="20"/>
              </w:rPr>
              <w:t>Up to 250 Watt (Tier 1) Interior Fixture Induction replacing 400 Watt lamp base case</w:t>
            </w:r>
          </w:p>
        </w:tc>
        <w:tc>
          <w:tcPr>
            <w:tcW w:w="2160" w:type="dxa"/>
            <w:tcBorders>
              <w:bottom w:val="single" w:sz="18" w:space="0" w:color="FFFFFF"/>
            </w:tcBorders>
            <w:shd w:val="clear" w:color="auto" w:fill="D9D9D9"/>
            <w:vAlign w:val="center"/>
          </w:tcPr>
          <w:p w:rsidR="00614471" w:rsidRPr="004D5208" w:rsidRDefault="00077E60" w:rsidP="00513D1A">
            <w:pPr>
              <w:rPr>
                <w:rFonts w:asciiTheme="minorHAnsi" w:hAnsiTheme="minorHAnsi" w:cstheme="minorHAnsi"/>
                <w:sz w:val="20"/>
                <w:szCs w:val="20"/>
              </w:rPr>
            </w:pPr>
            <w:r>
              <w:rPr>
                <w:rFonts w:asciiTheme="minorHAnsi" w:hAnsiTheme="minorHAnsi" w:cstheme="minorHAnsi"/>
                <w:sz w:val="20"/>
                <w:szCs w:val="20"/>
              </w:rPr>
              <w:t>25</w:t>
            </w:r>
            <w:r w:rsidR="00614471" w:rsidRPr="004D5208">
              <w:rPr>
                <w:rFonts w:asciiTheme="minorHAnsi" w:hAnsiTheme="minorHAnsi" w:cstheme="minorHAnsi"/>
                <w:sz w:val="20"/>
                <w:szCs w:val="20"/>
              </w:rPr>
              <w:t>0W High Bay Induction Fixture</w:t>
            </w:r>
          </w:p>
        </w:tc>
        <w:tc>
          <w:tcPr>
            <w:tcW w:w="1080" w:type="dxa"/>
            <w:tcBorders>
              <w:bottom w:val="single" w:sz="18" w:space="0" w:color="FFFFFF"/>
            </w:tcBorders>
            <w:shd w:val="clear" w:color="auto" w:fill="D9D9D9"/>
            <w:vAlign w:val="center"/>
          </w:tcPr>
          <w:p w:rsidR="00614471" w:rsidRPr="004D5208" w:rsidRDefault="00077E60" w:rsidP="00E33BBB">
            <w:pPr>
              <w:jc w:val="center"/>
              <w:rPr>
                <w:rFonts w:asciiTheme="minorHAnsi" w:hAnsiTheme="minorHAnsi" w:cstheme="minorHAnsi"/>
                <w:sz w:val="20"/>
                <w:szCs w:val="20"/>
              </w:rPr>
            </w:pPr>
            <w:r>
              <w:rPr>
                <w:rFonts w:asciiTheme="minorHAnsi" w:hAnsiTheme="minorHAnsi" w:cstheme="minorHAnsi"/>
                <w:sz w:val="20"/>
                <w:szCs w:val="20"/>
              </w:rPr>
              <w:t>2</w:t>
            </w:r>
            <w:r w:rsidR="00E33BBB">
              <w:rPr>
                <w:rFonts w:asciiTheme="minorHAnsi" w:hAnsiTheme="minorHAnsi" w:cstheme="minorHAnsi"/>
                <w:sz w:val="20"/>
                <w:szCs w:val="20"/>
              </w:rPr>
              <w:t>0</w:t>
            </w:r>
            <w:r w:rsidR="00CF2553">
              <w:rPr>
                <w:rFonts w:asciiTheme="minorHAnsi" w:hAnsiTheme="minorHAnsi" w:cstheme="minorHAnsi"/>
                <w:sz w:val="20"/>
                <w:szCs w:val="20"/>
              </w:rPr>
              <w:t>0</w:t>
            </w:r>
          </w:p>
        </w:tc>
        <w:tc>
          <w:tcPr>
            <w:tcW w:w="1080" w:type="dxa"/>
            <w:tcBorders>
              <w:bottom w:val="single" w:sz="18" w:space="0" w:color="FFFFFF"/>
            </w:tcBorders>
            <w:shd w:val="clear" w:color="auto" w:fill="D9D9D9"/>
            <w:vAlign w:val="center"/>
          </w:tcPr>
          <w:p w:rsidR="00614471" w:rsidRPr="004D5208" w:rsidRDefault="00614471" w:rsidP="008C2541">
            <w:pPr>
              <w:jc w:val="center"/>
              <w:rPr>
                <w:rFonts w:asciiTheme="minorHAnsi" w:hAnsiTheme="minorHAnsi" w:cstheme="minorHAnsi"/>
                <w:sz w:val="20"/>
                <w:szCs w:val="20"/>
              </w:rPr>
            </w:pPr>
            <w:r w:rsidRPr="004D5208">
              <w:rPr>
                <w:rFonts w:asciiTheme="minorHAnsi" w:hAnsiTheme="minorHAnsi" w:cstheme="minorHAnsi"/>
                <w:sz w:val="20"/>
                <w:szCs w:val="20"/>
              </w:rPr>
              <w:t>2</w:t>
            </w:r>
            <w:r w:rsidR="008C2541">
              <w:rPr>
                <w:rFonts w:asciiTheme="minorHAnsi" w:hAnsiTheme="minorHAnsi" w:cstheme="minorHAnsi"/>
                <w:sz w:val="20"/>
                <w:szCs w:val="20"/>
              </w:rPr>
              <w:t>20</w:t>
            </w:r>
            <w:r w:rsidR="00356379">
              <w:rPr>
                <w:rFonts w:asciiTheme="minorHAnsi" w:hAnsiTheme="minorHAnsi" w:cstheme="minorHAnsi"/>
                <w:sz w:val="20"/>
                <w:szCs w:val="20"/>
              </w:rPr>
              <w:t>*</w:t>
            </w:r>
          </w:p>
        </w:tc>
      </w:tr>
      <w:tr w:rsidR="00614471" w:rsidRPr="004D5208" w:rsidTr="00513D1A">
        <w:trPr>
          <w:trHeight w:val="510"/>
          <w:jc w:val="center"/>
        </w:trPr>
        <w:tc>
          <w:tcPr>
            <w:tcW w:w="3853" w:type="dxa"/>
            <w:shd w:val="clear" w:color="auto" w:fill="F3F3F3"/>
            <w:noWrap/>
            <w:vAlign w:val="bottom"/>
          </w:tcPr>
          <w:p w:rsidR="00614471" w:rsidRDefault="00614471" w:rsidP="00513D1A">
            <w:pPr>
              <w:rPr>
                <w:rFonts w:ascii="Calibri" w:hAnsi="Calibri" w:cs="Calibri"/>
                <w:sz w:val="20"/>
                <w:szCs w:val="20"/>
              </w:rPr>
            </w:pPr>
            <w:r>
              <w:rPr>
                <w:rFonts w:ascii="Calibri" w:hAnsi="Calibri" w:cs="Calibri"/>
                <w:sz w:val="20"/>
                <w:szCs w:val="20"/>
              </w:rPr>
              <w:t>Up to 360 Watt (Tier 2) Interior Fixture Induction replacing 400 Watt lamp base case</w:t>
            </w:r>
          </w:p>
        </w:tc>
        <w:tc>
          <w:tcPr>
            <w:tcW w:w="2160" w:type="dxa"/>
            <w:shd w:val="clear" w:color="auto" w:fill="F3F3F3"/>
            <w:vAlign w:val="center"/>
          </w:tcPr>
          <w:p w:rsidR="00614471" w:rsidRPr="004D5208" w:rsidRDefault="00077E60" w:rsidP="00513D1A">
            <w:pPr>
              <w:rPr>
                <w:rFonts w:asciiTheme="minorHAnsi" w:hAnsiTheme="minorHAnsi" w:cstheme="minorHAnsi"/>
                <w:sz w:val="20"/>
                <w:szCs w:val="20"/>
              </w:rPr>
            </w:pPr>
            <w:r>
              <w:rPr>
                <w:rFonts w:asciiTheme="minorHAnsi" w:hAnsiTheme="minorHAnsi" w:cstheme="minorHAnsi"/>
                <w:sz w:val="20"/>
                <w:szCs w:val="20"/>
              </w:rPr>
              <w:t>36</w:t>
            </w:r>
            <w:r w:rsidR="00614471" w:rsidRPr="004D5208">
              <w:rPr>
                <w:rFonts w:asciiTheme="minorHAnsi" w:hAnsiTheme="minorHAnsi" w:cstheme="minorHAnsi"/>
                <w:sz w:val="20"/>
                <w:szCs w:val="20"/>
              </w:rPr>
              <w:t>0W High Bay Induction Fixture</w:t>
            </w:r>
          </w:p>
        </w:tc>
        <w:tc>
          <w:tcPr>
            <w:tcW w:w="1080" w:type="dxa"/>
            <w:shd w:val="clear" w:color="auto" w:fill="F3F3F3"/>
            <w:vAlign w:val="center"/>
          </w:tcPr>
          <w:p w:rsidR="00614471" w:rsidRPr="004D5208" w:rsidRDefault="00077E60" w:rsidP="00E33BBB">
            <w:pPr>
              <w:jc w:val="center"/>
              <w:rPr>
                <w:rFonts w:asciiTheme="minorHAnsi" w:hAnsiTheme="minorHAnsi" w:cstheme="minorHAnsi"/>
                <w:sz w:val="20"/>
                <w:szCs w:val="20"/>
              </w:rPr>
            </w:pPr>
            <w:r>
              <w:rPr>
                <w:rFonts w:asciiTheme="minorHAnsi" w:hAnsiTheme="minorHAnsi" w:cstheme="minorHAnsi"/>
                <w:sz w:val="20"/>
                <w:szCs w:val="20"/>
              </w:rPr>
              <w:t>3</w:t>
            </w:r>
            <w:r w:rsidR="00E33BBB">
              <w:rPr>
                <w:rFonts w:asciiTheme="minorHAnsi" w:hAnsiTheme="minorHAnsi" w:cstheme="minorHAnsi"/>
                <w:sz w:val="20"/>
                <w:szCs w:val="20"/>
              </w:rPr>
              <w:t>0</w:t>
            </w:r>
            <w:r w:rsidR="00CF2553">
              <w:rPr>
                <w:rFonts w:asciiTheme="minorHAnsi" w:hAnsiTheme="minorHAnsi" w:cstheme="minorHAnsi"/>
                <w:sz w:val="20"/>
                <w:szCs w:val="20"/>
              </w:rPr>
              <w:t>0</w:t>
            </w:r>
          </w:p>
        </w:tc>
        <w:tc>
          <w:tcPr>
            <w:tcW w:w="1080" w:type="dxa"/>
            <w:shd w:val="clear" w:color="auto" w:fill="F3F3F3"/>
            <w:vAlign w:val="center"/>
          </w:tcPr>
          <w:p w:rsidR="00614471" w:rsidRPr="004D5208" w:rsidRDefault="00077E60" w:rsidP="008C2541">
            <w:pPr>
              <w:jc w:val="center"/>
              <w:rPr>
                <w:rFonts w:asciiTheme="minorHAnsi" w:hAnsiTheme="minorHAnsi" w:cstheme="minorHAnsi"/>
                <w:sz w:val="20"/>
                <w:szCs w:val="20"/>
              </w:rPr>
            </w:pPr>
            <w:r>
              <w:rPr>
                <w:rFonts w:asciiTheme="minorHAnsi" w:hAnsiTheme="minorHAnsi" w:cstheme="minorHAnsi"/>
                <w:sz w:val="20"/>
                <w:szCs w:val="20"/>
              </w:rPr>
              <w:t>3</w:t>
            </w:r>
            <w:r w:rsidR="008C2541">
              <w:rPr>
                <w:rFonts w:asciiTheme="minorHAnsi" w:hAnsiTheme="minorHAnsi" w:cstheme="minorHAnsi"/>
                <w:sz w:val="20"/>
                <w:szCs w:val="20"/>
              </w:rPr>
              <w:t>3</w:t>
            </w:r>
            <w:r w:rsidR="00E33BBB">
              <w:rPr>
                <w:rFonts w:asciiTheme="minorHAnsi" w:hAnsiTheme="minorHAnsi" w:cstheme="minorHAnsi"/>
                <w:sz w:val="20"/>
                <w:szCs w:val="20"/>
              </w:rPr>
              <w:t>0</w:t>
            </w:r>
            <w:r w:rsidR="00356379">
              <w:rPr>
                <w:rFonts w:asciiTheme="minorHAnsi" w:hAnsiTheme="minorHAnsi" w:cstheme="minorHAnsi"/>
                <w:sz w:val="20"/>
                <w:szCs w:val="20"/>
              </w:rPr>
              <w:t>*</w:t>
            </w:r>
          </w:p>
        </w:tc>
      </w:tr>
    </w:tbl>
    <w:p w:rsidR="00770635" w:rsidRDefault="00356379" w:rsidP="00614471">
      <w:pPr>
        <w:spacing w:before="120"/>
        <w:rPr>
          <w:rFonts w:asciiTheme="minorHAnsi" w:hAnsiTheme="minorHAnsi" w:cstheme="minorHAnsi"/>
          <w:sz w:val="22"/>
          <w:szCs w:val="22"/>
        </w:rPr>
      </w:pPr>
      <w:r w:rsidRPr="002316C6">
        <w:rPr>
          <w:rFonts w:asciiTheme="minorHAnsi" w:hAnsiTheme="minorHAnsi" w:cstheme="minorHAnsi"/>
          <w:sz w:val="18"/>
          <w:szCs w:val="18"/>
        </w:rPr>
        <w:t>*</w:t>
      </w:r>
      <w:r>
        <w:rPr>
          <w:rFonts w:asciiTheme="minorHAnsi" w:hAnsiTheme="minorHAnsi" w:cstheme="minorHAnsi"/>
          <w:sz w:val="18"/>
          <w:szCs w:val="18"/>
        </w:rPr>
        <w:t>Industry study shows the connected load of the induction fixtures are 10% above the nominal lamp wattage.</w:t>
      </w:r>
    </w:p>
    <w:p w:rsidR="00614471" w:rsidRDefault="00614471" w:rsidP="00614471">
      <w:pPr>
        <w:rPr>
          <w:rFonts w:asciiTheme="minorHAnsi" w:hAnsiTheme="minorHAnsi" w:cstheme="minorHAnsi"/>
          <w:sz w:val="22"/>
          <w:szCs w:val="22"/>
        </w:rPr>
      </w:pPr>
    </w:p>
    <w:p w:rsidR="003573FB" w:rsidRDefault="003573FB" w:rsidP="00614471">
      <w:pPr>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_Ref394066891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395735" w:rsidRPr="00697868">
        <w:rPr>
          <w:rFonts w:asciiTheme="minorHAnsi" w:hAnsiTheme="minorHAnsi" w:cstheme="minorHAnsi"/>
          <w:sz w:val="22"/>
          <w:szCs w:val="22"/>
        </w:rPr>
        <w:t xml:space="preserve">Table </w:t>
      </w:r>
      <w:r w:rsidR="00395735">
        <w:rPr>
          <w:rFonts w:asciiTheme="minorHAnsi" w:hAnsiTheme="minorHAnsi" w:cstheme="minorHAnsi"/>
          <w:noProof/>
          <w:sz w:val="22"/>
          <w:szCs w:val="22"/>
        </w:rPr>
        <w:t>10</w:t>
      </w:r>
      <w:r>
        <w:rPr>
          <w:rFonts w:asciiTheme="minorHAnsi" w:hAnsiTheme="minorHAnsi" w:cstheme="minorHAnsi"/>
          <w:sz w:val="22"/>
          <w:szCs w:val="22"/>
        </w:rPr>
        <w:fldChar w:fldCharType="end"/>
      </w:r>
      <w:r>
        <w:rPr>
          <w:rFonts w:asciiTheme="minorHAnsi" w:hAnsiTheme="minorHAnsi" w:cstheme="minorHAnsi"/>
          <w:sz w:val="22"/>
          <w:szCs w:val="22"/>
        </w:rPr>
        <w:t xml:space="preserve"> shows the delta watts and the code delta watts for the measures in this work paper.</w:t>
      </w:r>
    </w:p>
    <w:p w:rsidR="003573FB" w:rsidRDefault="003573FB" w:rsidP="00614471">
      <w:pPr>
        <w:rPr>
          <w:rFonts w:asciiTheme="minorHAnsi" w:hAnsiTheme="minorHAnsi" w:cstheme="minorHAnsi"/>
          <w:sz w:val="22"/>
          <w:szCs w:val="22"/>
        </w:rPr>
      </w:pPr>
    </w:p>
    <w:p w:rsidR="003573FB" w:rsidRPr="00697868" w:rsidRDefault="003573FB" w:rsidP="003573FB">
      <w:pPr>
        <w:pStyle w:val="Caption"/>
        <w:jc w:val="center"/>
        <w:rPr>
          <w:rFonts w:asciiTheme="minorHAnsi" w:hAnsiTheme="minorHAnsi" w:cstheme="minorHAnsi"/>
          <w:sz w:val="22"/>
          <w:szCs w:val="22"/>
        </w:rPr>
      </w:pPr>
      <w:bookmarkStart w:id="20" w:name="_Ref394066891"/>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395735">
        <w:rPr>
          <w:rFonts w:asciiTheme="minorHAnsi" w:hAnsiTheme="minorHAnsi" w:cstheme="minorHAnsi"/>
          <w:noProof/>
          <w:sz w:val="22"/>
          <w:szCs w:val="22"/>
        </w:rPr>
        <w:t>10</w:t>
      </w:r>
      <w:r w:rsidRPr="00697868">
        <w:rPr>
          <w:rFonts w:asciiTheme="minorHAnsi" w:hAnsiTheme="minorHAnsi" w:cstheme="minorHAnsi"/>
          <w:sz w:val="22"/>
          <w:szCs w:val="22"/>
        </w:rPr>
        <w:fldChar w:fldCharType="end"/>
      </w:r>
      <w:bookmarkEnd w:id="20"/>
      <w:r w:rsidRPr="00697868">
        <w:rPr>
          <w:rFonts w:asciiTheme="minorHAnsi" w:hAnsiTheme="minorHAnsi" w:cstheme="minorHAnsi"/>
          <w:sz w:val="22"/>
          <w:szCs w:val="22"/>
        </w:rPr>
        <w:t xml:space="preserve"> </w:t>
      </w:r>
      <w:r>
        <w:rPr>
          <w:rFonts w:asciiTheme="minorHAnsi" w:hAnsiTheme="minorHAnsi" w:cstheme="minorHAnsi"/>
          <w:sz w:val="22"/>
          <w:szCs w:val="22"/>
        </w:rPr>
        <w:t>Delta Watts</w:t>
      </w:r>
    </w:p>
    <w:tbl>
      <w:tblPr>
        <w:tblStyle w:val="TableContemporary"/>
        <w:tblW w:w="0" w:type="auto"/>
        <w:jc w:val="center"/>
        <w:tblInd w:w="-822" w:type="dxa"/>
        <w:tblLook w:val="04A0" w:firstRow="1" w:lastRow="0" w:firstColumn="1" w:lastColumn="0" w:noHBand="0" w:noVBand="1"/>
      </w:tblPr>
      <w:tblGrid>
        <w:gridCol w:w="1286"/>
        <w:gridCol w:w="2817"/>
        <w:gridCol w:w="1006"/>
        <w:gridCol w:w="990"/>
        <w:gridCol w:w="990"/>
        <w:gridCol w:w="990"/>
        <w:gridCol w:w="1091"/>
      </w:tblGrid>
      <w:tr w:rsidR="003573FB" w:rsidRPr="00697868" w:rsidTr="003573FB">
        <w:trPr>
          <w:cnfStyle w:val="100000000000" w:firstRow="1" w:lastRow="0" w:firstColumn="0" w:lastColumn="0" w:oddVBand="0" w:evenVBand="0" w:oddHBand="0" w:evenHBand="0" w:firstRowFirstColumn="0" w:firstRowLastColumn="0" w:lastRowFirstColumn="0" w:lastRowLastColumn="0"/>
          <w:jc w:val="center"/>
        </w:trPr>
        <w:tc>
          <w:tcPr>
            <w:tcW w:w="1286" w:type="dxa"/>
          </w:tcPr>
          <w:p w:rsidR="003573FB" w:rsidRPr="00697868" w:rsidRDefault="003573FB" w:rsidP="00A85F9A">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2817" w:type="dxa"/>
          </w:tcPr>
          <w:p w:rsidR="003573FB" w:rsidRPr="00697868" w:rsidRDefault="003573FB" w:rsidP="00A85F9A">
            <w:pPr>
              <w:rPr>
                <w:rFonts w:asciiTheme="minorHAnsi" w:hAnsiTheme="minorHAnsi" w:cstheme="minorHAnsi"/>
                <w:sz w:val="20"/>
                <w:szCs w:val="20"/>
              </w:rPr>
            </w:pPr>
            <w:r w:rsidRPr="00697868">
              <w:rPr>
                <w:rFonts w:asciiTheme="minorHAnsi" w:hAnsiTheme="minorHAnsi" w:cstheme="minorHAnsi"/>
                <w:sz w:val="20"/>
                <w:szCs w:val="20"/>
              </w:rPr>
              <w:t>Measure name</w:t>
            </w:r>
          </w:p>
        </w:tc>
        <w:tc>
          <w:tcPr>
            <w:tcW w:w="1006" w:type="dxa"/>
          </w:tcPr>
          <w:p w:rsidR="003573FB" w:rsidRPr="003573FB" w:rsidRDefault="003573FB" w:rsidP="00A85F9A">
            <w:pPr>
              <w:rPr>
                <w:rFonts w:asciiTheme="minorHAnsi" w:hAnsiTheme="minorHAnsi" w:cstheme="minorHAnsi"/>
                <w:b w:val="0"/>
                <w:sz w:val="20"/>
                <w:szCs w:val="20"/>
              </w:rPr>
            </w:pPr>
            <w:r w:rsidRPr="003573FB">
              <w:rPr>
                <w:rFonts w:asciiTheme="minorHAnsi" w:hAnsiTheme="minorHAnsi" w:cstheme="minorHAnsi"/>
                <w:b w:val="0"/>
                <w:sz w:val="20"/>
                <w:szCs w:val="20"/>
              </w:rPr>
              <w:t>Base Watts</w:t>
            </w:r>
          </w:p>
        </w:tc>
        <w:tc>
          <w:tcPr>
            <w:tcW w:w="990" w:type="dxa"/>
          </w:tcPr>
          <w:p w:rsidR="003573FB" w:rsidRPr="003573FB" w:rsidRDefault="003573FB" w:rsidP="00A85F9A">
            <w:pPr>
              <w:rPr>
                <w:rFonts w:asciiTheme="minorHAnsi" w:hAnsiTheme="minorHAnsi" w:cstheme="minorHAnsi"/>
                <w:b w:val="0"/>
                <w:sz w:val="20"/>
                <w:szCs w:val="20"/>
              </w:rPr>
            </w:pPr>
            <w:r w:rsidRPr="003573FB">
              <w:rPr>
                <w:rFonts w:asciiTheme="minorHAnsi" w:hAnsiTheme="minorHAnsi" w:cstheme="minorHAnsi"/>
                <w:b w:val="0"/>
                <w:sz w:val="20"/>
                <w:szCs w:val="20"/>
              </w:rPr>
              <w:t>Code Watts</w:t>
            </w:r>
          </w:p>
        </w:tc>
        <w:tc>
          <w:tcPr>
            <w:tcW w:w="990" w:type="dxa"/>
          </w:tcPr>
          <w:p w:rsidR="003573FB" w:rsidRPr="003573FB" w:rsidRDefault="003573FB" w:rsidP="00A85F9A">
            <w:pPr>
              <w:rPr>
                <w:rFonts w:asciiTheme="minorHAnsi" w:hAnsiTheme="minorHAnsi" w:cstheme="minorHAnsi"/>
                <w:b w:val="0"/>
                <w:sz w:val="20"/>
                <w:szCs w:val="20"/>
              </w:rPr>
            </w:pPr>
            <w:r w:rsidRPr="003573FB">
              <w:rPr>
                <w:rFonts w:asciiTheme="minorHAnsi" w:hAnsiTheme="minorHAnsi" w:cstheme="minorHAnsi"/>
                <w:b w:val="0"/>
                <w:sz w:val="20"/>
                <w:szCs w:val="20"/>
              </w:rPr>
              <w:t>Measure Watts</w:t>
            </w:r>
          </w:p>
        </w:tc>
        <w:tc>
          <w:tcPr>
            <w:tcW w:w="990" w:type="dxa"/>
          </w:tcPr>
          <w:p w:rsidR="003573FB" w:rsidRPr="00697868" w:rsidRDefault="00A85F9A" w:rsidP="00A85F9A">
            <w:pPr>
              <w:rPr>
                <w:rFonts w:asciiTheme="minorHAnsi" w:hAnsiTheme="minorHAnsi" w:cstheme="minorHAnsi"/>
                <w:sz w:val="20"/>
                <w:szCs w:val="20"/>
              </w:rPr>
            </w:pPr>
            <w:r>
              <w:rPr>
                <w:rFonts w:asciiTheme="minorHAnsi" w:hAnsiTheme="minorHAnsi" w:cstheme="minorHAnsi"/>
                <w:sz w:val="20"/>
                <w:szCs w:val="20"/>
              </w:rPr>
              <w:t xml:space="preserve">Measure </w:t>
            </w:r>
            <w:r w:rsidR="003573FB">
              <w:rPr>
                <w:rFonts w:asciiTheme="minorHAnsi" w:hAnsiTheme="minorHAnsi" w:cstheme="minorHAnsi"/>
                <w:sz w:val="20"/>
                <w:szCs w:val="20"/>
              </w:rPr>
              <w:t>Delta Watts</w:t>
            </w:r>
          </w:p>
        </w:tc>
        <w:tc>
          <w:tcPr>
            <w:tcW w:w="1091" w:type="dxa"/>
          </w:tcPr>
          <w:p w:rsidR="003573FB" w:rsidRPr="00697868" w:rsidRDefault="003573FB" w:rsidP="00A85F9A">
            <w:pPr>
              <w:rPr>
                <w:rFonts w:asciiTheme="minorHAnsi" w:hAnsiTheme="minorHAnsi" w:cstheme="minorHAnsi"/>
                <w:sz w:val="20"/>
                <w:szCs w:val="20"/>
              </w:rPr>
            </w:pPr>
            <w:r>
              <w:rPr>
                <w:rFonts w:asciiTheme="minorHAnsi" w:hAnsiTheme="minorHAnsi" w:cstheme="minorHAnsi"/>
                <w:sz w:val="20"/>
                <w:szCs w:val="20"/>
              </w:rPr>
              <w:t>Code Delta Watts</w:t>
            </w:r>
          </w:p>
        </w:tc>
      </w:tr>
      <w:tr w:rsidR="003573FB" w:rsidRPr="00697868" w:rsidTr="003573FB">
        <w:trPr>
          <w:cnfStyle w:val="000000100000" w:firstRow="0" w:lastRow="0" w:firstColumn="0" w:lastColumn="0" w:oddVBand="0" w:evenVBand="0" w:oddHBand="1" w:evenHBand="0" w:firstRowFirstColumn="0" w:firstRowLastColumn="0" w:lastRowFirstColumn="0" w:lastRowLastColumn="0"/>
          <w:trHeight w:val="243"/>
          <w:jc w:val="center"/>
        </w:trPr>
        <w:tc>
          <w:tcPr>
            <w:tcW w:w="1286" w:type="dxa"/>
            <w:vAlign w:val="center"/>
          </w:tcPr>
          <w:p w:rsidR="003573FB" w:rsidRDefault="003573FB" w:rsidP="003573FB">
            <w:pPr>
              <w:jc w:val="center"/>
              <w:rPr>
                <w:rFonts w:ascii="Calibri" w:hAnsi="Calibri" w:cs="Calibri"/>
                <w:sz w:val="20"/>
                <w:szCs w:val="20"/>
              </w:rPr>
            </w:pPr>
            <w:r>
              <w:rPr>
                <w:rFonts w:ascii="Calibri" w:hAnsi="Calibri" w:cs="Calibri"/>
                <w:sz w:val="20"/>
                <w:szCs w:val="20"/>
              </w:rPr>
              <w:t>LT-51211</w:t>
            </w:r>
          </w:p>
        </w:tc>
        <w:tc>
          <w:tcPr>
            <w:tcW w:w="2817" w:type="dxa"/>
            <w:vAlign w:val="bottom"/>
          </w:tcPr>
          <w:p w:rsidR="003573FB" w:rsidRDefault="003573FB" w:rsidP="00A85F9A">
            <w:pPr>
              <w:rPr>
                <w:rFonts w:ascii="Calibri" w:hAnsi="Calibri" w:cs="Calibri"/>
                <w:sz w:val="20"/>
                <w:szCs w:val="20"/>
              </w:rPr>
            </w:pPr>
            <w:r>
              <w:rPr>
                <w:rFonts w:ascii="Calibri" w:hAnsi="Calibri" w:cs="Calibri"/>
                <w:sz w:val="20"/>
                <w:szCs w:val="20"/>
              </w:rPr>
              <w:t>Up to 70 Watt Interior Fixture Induction replacing less than or equal to 100 Watt lamp base case</w:t>
            </w:r>
          </w:p>
        </w:tc>
        <w:tc>
          <w:tcPr>
            <w:tcW w:w="1006"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128</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128</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44</w:t>
            </w:r>
          </w:p>
        </w:tc>
        <w:tc>
          <w:tcPr>
            <w:tcW w:w="990"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84</w:t>
            </w:r>
          </w:p>
        </w:tc>
        <w:tc>
          <w:tcPr>
            <w:tcW w:w="1091"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84</w:t>
            </w:r>
          </w:p>
        </w:tc>
      </w:tr>
      <w:tr w:rsidR="003573FB" w:rsidRPr="00697868" w:rsidTr="003573FB">
        <w:trPr>
          <w:cnfStyle w:val="000000010000" w:firstRow="0" w:lastRow="0" w:firstColumn="0" w:lastColumn="0" w:oddVBand="0" w:evenVBand="0" w:oddHBand="0" w:evenHBand="1" w:firstRowFirstColumn="0" w:firstRowLastColumn="0" w:lastRowFirstColumn="0" w:lastRowLastColumn="0"/>
          <w:trHeight w:val="243"/>
          <w:jc w:val="center"/>
        </w:trPr>
        <w:tc>
          <w:tcPr>
            <w:tcW w:w="1286" w:type="dxa"/>
            <w:vAlign w:val="center"/>
          </w:tcPr>
          <w:p w:rsidR="003573FB" w:rsidRDefault="003573FB" w:rsidP="003573FB">
            <w:pPr>
              <w:jc w:val="center"/>
              <w:rPr>
                <w:rFonts w:ascii="Calibri" w:hAnsi="Calibri" w:cs="Calibri"/>
                <w:sz w:val="20"/>
                <w:szCs w:val="20"/>
              </w:rPr>
            </w:pPr>
            <w:r>
              <w:rPr>
                <w:rFonts w:ascii="Calibri" w:hAnsi="Calibri" w:cs="Calibri"/>
                <w:sz w:val="20"/>
                <w:szCs w:val="20"/>
              </w:rPr>
              <w:t>LT-26734</w:t>
            </w:r>
          </w:p>
        </w:tc>
        <w:tc>
          <w:tcPr>
            <w:tcW w:w="2817" w:type="dxa"/>
            <w:vAlign w:val="bottom"/>
          </w:tcPr>
          <w:p w:rsidR="003573FB" w:rsidRDefault="003573FB" w:rsidP="00A85F9A">
            <w:pPr>
              <w:rPr>
                <w:rFonts w:ascii="Calibri" w:hAnsi="Calibri" w:cs="Calibri"/>
                <w:sz w:val="20"/>
                <w:szCs w:val="20"/>
              </w:rPr>
            </w:pPr>
            <w:r>
              <w:rPr>
                <w:rFonts w:ascii="Calibri" w:hAnsi="Calibri" w:cs="Calibri"/>
                <w:sz w:val="20"/>
                <w:szCs w:val="20"/>
              </w:rPr>
              <w:t>Up to 120 Watt Interior Fixture Induction replacing 101 - 175 Watt lamp base case</w:t>
            </w:r>
          </w:p>
        </w:tc>
        <w:tc>
          <w:tcPr>
            <w:tcW w:w="1006" w:type="dxa"/>
            <w:vAlign w:val="center"/>
          </w:tcPr>
          <w:p w:rsidR="003573FB" w:rsidRPr="004D5208" w:rsidRDefault="003573FB" w:rsidP="00A85F9A">
            <w:pPr>
              <w:jc w:val="center"/>
              <w:rPr>
                <w:rFonts w:asciiTheme="minorHAnsi" w:hAnsiTheme="minorHAnsi" w:cstheme="minorHAnsi"/>
                <w:sz w:val="20"/>
                <w:szCs w:val="20"/>
              </w:rPr>
            </w:pPr>
            <w:r w:rsidRPr="004D5208">
              <w:rPr>
                <w:rFonts w:asciiTheme="minorHAnsi" w:hAnsiTheme="minorHAnsi" w:cstheme="minorHAnsi"/>
                <w:sz w:val="20"/>
                <w:szCs w:val="20"/>
              </w:rPr>
              <w:t>190</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190</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110</w:t>
            </w:r>
          </w:p>
        </w:tc>
        <w:tc>
          <w:tcPr>
            <w:tcW w:w="990"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80</w:t>
            </w:r>
          </w:p>
        </w:tc>
        <w:tc>
          <w:tcPr>
            <w:tcW w:w="1091"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80</w:t>
            </w:r>
          </w:p>
        </w:tc>
      </w:tr>
      <w:tr w:rsidR="003573FB" w:rsidRPr="00697868" w:rsidTr="003573FB">
        <w:trPr>
          <w:cnfStyle w:val="000000100000" w:firstRow="0" w:lastRow="0" w:firstColumn="0" w:lastColumn="0" w:oddVBand="0" w:evenVBand="0" w:oddHBand="1" w:evenHBand="0" w:firstRowFirstColumn="0" w:firstRowLastColumn="0" w:lastRowFirstColumn="0" w:lastRowLastColumn="0"/>
          <w:trHeight w:val="243"/>
          <w:jc w:val="center"/>
        </w:trPr>
        <w:tc>
          <w:tcPr>
            <w:tcW w:w="1286" w:type="dxa"/>
            <w:vAlign w:val="center"/>
          </w:tcPr>
          <w:p w:rsidR="003573FB" w:rsidRDefault="003573FB" w:rsidP="003573FB">
            <w:pPr>
              <w:jc w:val="center"/>
              <w:rPr>
                <w:rFonts w:ascii="Calibri" w:hAnsi="Calibri" w:cs="Calibri"/>
                <w:sz w:val="20"/>
                <w:szCs w:val="20"/>
              </w:rPr>
            </w:pPr>
            <w:r>
              <w:rPr>
                <w:rFonts w:ascii="Calibri" w:hAnsi="Calibri" w:cs="Calibri"/>
                <w:sz w:val="20"/>
                <w:szCs w:val="20"/>
              </w:rPr>
              <w:t>LT-80108</w:t>
            </w:r>
          </w:p>
        </w:tc>
        <w:tc>
          <w:tcPr>
            <w:tcW w:w="2817" w:type="dxa"/>
            <w:vAlign w:val="bottom"/>
          </w:tcPr>
          <w:p w:rsidR="003573FB" w:rsidRDefault="003573FB" w:rsidP="00A85F9A">
            <w:pPr>
              <w:rPr>
                <w:rFonts w:ascii="Calibri" w:hAnsi="Calibri" w:cs="Calibri"/>
                <w:sz w:val="20"/>
                <w:szCs w:val="20"/>
              </w:rPr>
            </w:pPr>
            <w:r>
              <w:rPr>
                <w:rFonts w:ascii="Calibri" w:hAnsi="Calibri" w:cs="Calibri"/>
                <w:sz w:val="20"/>
                <w:szCs w:val="20"/>
              </w:rPr>
              <w:t>Up to 180 Watt Interior Fixture Induction replacing 176 - 399 Watt lamp base case</w:t>
            </w:r>
          </w:p>
        </w:tc>
        <w:tc>
          <w:tcPr>
            <w:tcW w:w="1006" w:type="dxa"/>
            <w:vAlign w:val="center"/>
          </w:tcPr>
          <w:p w:rsidR="003573FB" w:rsidRPr="004D5208" w:rsidRDefault="003573FB" w:rsidP="00A85F9A">
            <w:pPr>
              <w:jc w:val="center"/>
              <w:rPr>
                <w:rFonts w:asciiTheme="minorHAnsi" w:hAnsiTheme="minorHAnsi" w:cstheme="minorHAnsi"/>
                <w:sz w:val="20"/>
                <w:szCs w:val="20"/>
              </w:rPr>
            </w:pPr>
            <w:r w:rsidRPr="004D5208">
              <w:rPr>
                <w:rFonts w:asciiTheme="minorHAnsi" w:hAnsiTheme="minorHAnsi" w:cstheme="minorHAnsi"/>
                <w:sz w:val="20"/>
                <w:szCs w:val="20"/>
              </w:rPr>
              <w:t>295</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232</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165</w:t>
            </w:r>
          </w:p>
        </w:tc>
        <w:tc>
          <w:tcPr>
            <w:tcW w:w="990"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130</w:t>
            </w:r>
          </w:p>
        </w:tc>
        <w:tc>
          <w:tcPr>
            <w:tcW w:w="1091"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67</w:t>
            </w:r>
          </w:p>
        </w:tc>
      </w:tr>
      <w:tr w:rsidR="003573FB" w:rsidRPr="00697868" w:rsidTr="003573FB">
        <w:trPr>
          <w:cnfStyle w:val="000000010000" w:firstRow="0" w:lastRow="0" w:firstColumn="0" w:lastColumn="0" w:oddVBand="0" w:evenVBand="0" w:oddHBand="0" w:evenHBand="1" w:firstRowFirstColumn="0" w:firstRowLastColumn="0" w:lastRowFirstColumn="0" w:lastRowLastColumn="0"/>
          <w:trHeight w:val="243"/>
          <w:jc w:val="center"/>
        </w:trPr>
        <w:tc>
          <w:tcPr>
            <w:tcW w:w="1286" w:type="dxa"/>
            <w:vAlign w:val="center"/>
          </w:tcPr>
          <w:p w:rsidR="003573FB" w:rsidRDefault="003573FB" w:rsidP="003573FB">
            <w:pPr>
              <w:jc w:val="center"/>
              <w:rPr>
                <w:rFonts w:ascii="Calibri" w:hAnsi="Calibri" w:cs="Calibri"/>
                <w:sz w:val="20"/>
                <w:szCs w:val="20"/>
              </w:rPr>
            </w:pPr>
            <w:r>
              <w:rPr>
                <w:rFonts w:ascii="Calibri" w:hAnsi="Calibri" w:cs="Calibri"/>
                <w:sz w:val="20"/>
                <w:szCs w:val="20"/>
              </w:rPr>
              <w:t>LT-34098</w:t>
            </w:r>
          </w:p>
        </w:tc>
        <w:tc>
          <w:tcPr>
            <w:tcW w:w="2817" w:type="dxa"/>
            <w:vAlign w:val="bottom"/>
          </w:tcPr>
          <w:p w:rsidR="003573FB" w:rsidRDefault="003573FB" w:rsidP="00A85F9A">
            <w:pPr>
              <w:rPr>
                <w:rFonts w:ascii="Calibri" w:hAnsi="Calibri" w:cs="Calibri"/>
                <w:sz w:val="20"/>
                <w:szCs w:val="20"/>
              </w:rPr>
            </w:pPr>
            <w:r>
              <w:rPr>
                <w:rFonts w:ascii="Calibri" w:hAnsi="Calibri" w:cs="Calibri"/>
                <w:sz w:val="20"/>
                <w:szCs w:val="20"/>
              </w:rPr>
              <w:t>Up to 250 Watt (Tier 1) Interior Fixture Induction replacing 400 Watt lamp base case</w:t>
            </w:r>
          </w:p>
        </w:tc>
        <w:tc>
          <w:tcPr>
            <w:tcW w:w="1006"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458</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400</w:t>
            </w:r>
          </w:p>
        </w:tc>
        <w:tc>
          <w:tcPr>
            <w:tcW w:w="990" w:type="dxa"/>
            <w:vAlign w:val="center"/>
          </w:tcPr>
          <w:p w:rsidR="003573FB" w:rsidRPr="004D5208" w:rsidRDefault="003573FB" w:rsidP="00A85F9A">
            <w:pPr>
              <w:jc w:val="center"/>
              <w:rPr>
                <w:rFonts w:asciiTheme="minorHAnsi" w:hAnsiTheme="minorHAnsi" w:cstheme="minorHAnsi"/>
                <w:sz w:val="20"/>
                <w:szCs w:val="20"/>
              </w:rPr>
            </w:pPr>
            <w:r w:rsidRPr="004D5208">
              <w:rPr>
                <w:rFonts w:asciiTheme="minorHAnsi" w:hAnsiTheme="minorHAnsi" w:cstheme="minorHAnsi"/>
                <w:sz w:val="20"/>
                <w:szCs w:val="20"/>
              </w:rPr>
              <w:t>2</w:t>
            </w:r>
            <w:r>
              <w:rPr>
                <w:rFonts w:asciiTheme="minorHAnsi" w:hAnsiTheme="minorHAnsi" w:cstheme="minorHAnsi"/>
                <w:sz w:val="20"/>
                <w:szCs w:val="20"/>
              </w:rPr>
              <w:t>20</w:t>
            </w:r>
          </w:p>
        </w:tc>
        <w:tc>
          <w:tcPr>
            <w:tcW w:w="990"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238</w:t>
            </w:r>
          </w:p>
        </w:tc>
        <w:tc>
          <w:tcPr>
            <w:tcW w:w="1091"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180</w:t>
            </w:r>
          </w:p>
        </w:tc>
      </w:tr>
      <w:tr w:rsidR="003573FB" w:rsidRPr="00697868" w:rsidTr="003573FB">
        <w:trPr>
          <w:cnfStyle w:val="000000100000" w:firstRow="0" w:lastRow="0" w:firstColumn="0" w:lastColumn="0" w:oddVBand="0" w:evenVBand="0" w:oddHBand="1" w:evenHBand="0" w:firstRowFirstColumn="0" w:firstRowLastColumn="0" w:lastRowFirstColumn="0" w:lastRowLastColumn="0"/>
          <w:trHeight w:val="243"/>
          <w:jc w:val="center"/>
        </w:trPr>
        <w:tc>
          <w:tcPr>
            <w:tcW w:w="1286" w:type="dxa"/>
            <w:vAlign w:val="center"/>
          </w:tcPr>
          <w:p w:rsidR="003573FB" w:rsidRDefault="003573FB" w:rsidP="003573FB">
            <w:pPr>
              <w:jc w:val="center"/>
              <w:rPr>
                <w:rFonts w:ascii="Calibri" w:hAnsi="Calibri" w:cs="Calibri"/>
                <w:sz w:val="20"/>
                <w:szCs w:val="20"/>
              </w:rPr>
            </w:pPr>
            <w:r>
              <w:rPr>
                <w:rFonts w:ascii="Calibri" w:hAnsi="Calibri" w:cs="Calibri"/>
                <w:sz w:val="20"/>
                <w:szCs w:val="20"/>
              </w:rPr>
              <w:t>LT-69009</w:t>
            </w:r>
          </w:p>
        </w:tc>
        <w:tc>
          <w:tcPr>
            <w:tcW w:w="2817" w:type="dxa"/>
            <w:vAlign w:val="bottom"/>
          </w:tcPr>
          <w:p w:rsidR="003573FB" w:rsidRDefault="003573FB" w:rsidP="00A85F9A">
            <w:pPr>
              <w:rPr>
                <w:rFonts w:ascii="Calibri" w:hAnsi="Calibri" w:cs="Calibri"/>
                <w:sz w:val="20"/>
                <w:szCs w:val="20"/>
              </w:rPr>
            </w:pPr>
            <w:r>
              <w:rPr>
                <w:rFonts w:ascii="Calibri" w:hAnsi="Calibri" w:cs="Calibri"/>
                <w:sz w:val="20"/>
                <w:szCs w:val="20"/>
              </w:rPr>
              <w:t>Up to 360 Watt (Tier 2) Interior Fixture Induction replacing 400 Watt lamp base case</w:t>
            </w:r>
          </w:p>
        </w:tc>
        <w:tc>
          <w:tcPr>
            <w:tcW w:w="1006"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458</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456</w:t>
            </w:r>
          </w:p>
        </w:tc>
        <w:tc>
          <w:tcPr>
            <w:tcW w:w="990" w:type="dxa"/>
            <w:vAlign w:val="center"/>
          </w:tcPr>
          <w:p w:rsidR="003573FB" w:rsidRPr="004D5208" w:rsidRDefault="003573FB" w:rsidP="00A85F9A">
            <w:pPr>
              <w:jc w:val="center"/>
              <w:rPr>
                <w:rFonts w:asciiTheme="minorHAnsi" w:hAnsiTheme="minorHAnsi" w:cstheme="minorHAnsi"/>
                <w:sz w:val="20"/>
                <w:szCs w:val="20"/>
              </w:rPr>
            </w:pPr>
            <w:r>
              <w:rPr>
                <w:rFonts w:asciiTheme="minorHAnsi" w:hAnsiTheme="minorHAnsi" w:cstheme="minorHAnsi"/>
                <w:sz w:val="20"/>
                <w:szCs w:val="20"/>
              </w:rPr>
              <w:t>330</w:t>
            </w:r>
          </w:p>
        </w:tc>
        <w:tc>
          <w:tcPr>
            <w:tcW w:w="990"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128</w:t>
            </w:r>
          </w:p>
        </w:tc>
        <w:tc>
          <w:tcPr>
            <w:tcW w:w="1091" w:type="dxa"/>
            <w:vAlign w:val="center"/>
          </w:tcPr>
          <w:p w:rsidR="003573FB" w:rsidRPr="003573FB" w:rsidRDefault="003573FB" w:rsidP="003573FB">
            <w:pPr>
              <w:jc w:val="center"/>
              <w:rPr>
                <w:rFonts w:ascii="Calibri" w:hAnsi="Calibri" w:cs="Calibri"/>
                <w:b/>
                <w:sz w:val="20"/>
                <w:szCs w:val="20"/>
              </w:rPr>
            </w:pPr>
            <w:r w:rsidRPr="003573FB">
              <w:rPr>
                <w:rFonts w:ascii="Calibri" w:hAnsi="Calibri" w:cs="Calibri"/>
                <w:b/>
                <w:sz w:val="20"/>
                <w:szCs w:val="20"/>
              </w:rPr>
              <w:t>126</w:t>
            </w:r>
          </w:p>
        </w:tc>
      </w:tr>
    </w:tbl>
    <w:p w:rsidR="003573FB" w:rsidRDefault="003573FB" w:rsidP="00614471">
      <w:pPr>
        <w:rPr>
          <w:rFonts w:asciiTheme="minorHAnsi" w:hAnsiTheme="minorHAnsi" w:cstheme="minorHAnsi"/>
          <w:sz w:val="22"/>
          <w:szCs w:val="22"/>
        </w:rPr>
      </w:pPr>
    </w:p>
    <w:p w:rsidR="003573FB" w:rsidRPr="004D5208" w:rsidRDefault="003573FB" w:rsidP="00614471">
      <w:pPr>
        <w:rPr>
          <w:rFonts w:asciiTheme="minorHAnsi" w:hAnsiTheme="minorHAnsi" w:cstheme="minorHAnsi"/>
          <w:sz w:val="22"/>
          <w:szCs w:val="22"/>
        </w:rPr>
      </w:pPr>
    </w:p>
    <w:p w:rsidR="00614471" w:rsidRPr="004D5208" w:rsidRDefault="00614471" w:rsidP="00614471">
      <w:pPr>
        <w:rPr>
          <w:rFonts w:asciiTheme="minorHAnsi" w:hAnsiTheme="minorHAnsi" w:cstheme="minorHAnsi"/>
          <w:sz w:val="22"/>
          <w:szCs w:val="22"/>
          <w:vertAlign w:val="superscript"/>
        </w:rPr>
      </w:pPr>
      <w:r w:rsidRPr="004D5208">
        <w:rPr>
          <w:rFonts w:asciiTheme="minorHAnsi" w:hAnsiTheme="minorHAnsi" w:cstheme="minorHAnsi"/>
          <w:sz w:val="22"/>
          <w:szCs w:val="22"/>
        </w:rPr>
        <w:t>“The methodology of calculating energy savings for Non-CFL lamps follows a simple formula that captures wattage level changes, annual hours of use, and interactive effects on other end-uses.  For the most part, the methodology for calculating the energy savings for the Non-CFL interior lights is the same as for interior CFL lamps. The exception is that all installation rates are assumed to be 100% for Non-CFL interior lighting measures</w:t>
      </w:r>
      <w:r w:rsidRPr="004D5208">
        <w:rPr>
          <w:rFonts w:asciiTheme="minorHAnsi" w:hAnsiTheme="minorHAnsi" w:cstheme="minorHAnsi"/>
          <w:i/>
          <w:sz w:val="22"/>
          <w:szCs w:val="22"/>
        </w:rPr>
        <w:t>.</w:t>
      </w:r>
      <w:r w:rsidRPr="004D5208">
        <w:rPr>
          <w:rFonts w:asciiTheme="minorHAnsi" w:hAnsiTheme="minorHAnsi" w:cstheme="minorHAnsi"/>
          <w:sz w:val="22"/>
          <w:szCs w:val="22"/>
        </w:rPr>
        <w:t>” [26]</w:t>
      </w:r>
    </w:p>
    <w:p w:rsidR="00614471" w:rsidRPr="004D5208" w:rsidRDefault="00614471" w:rsidP="00614471">
      <w:pPr>
        <w:rPr>
          <w:rFonts w:asciiTheme="minorHAnsi" w:hAnsiTheme="minorHAnsi" w:cstheme="minorHAnsi"/>
          <w:vertAlign w:val="superscript"/>
        </w:rPr>
      </w:pPr>
    </w:p>
    <w:p w:rsidR="00614471" w:rsidRPr="004D5208" w:rsidRDefault="00614471" w:rsidP="00614471">
      <w:pPr>
        <w:rPr>
          <w:rFonts w:asciiTheme="minorHAnsi" w:hAnsiTheme="minorHAnsi" w:cstheme="minorHAnsi"/>
          <w:sz w:val="22"/>
          <w:szCs w:val="22"/>
        </w:rPr>
      </w:pPr>
      <w:r w:rsidRPr="004D5208">
        <w:rPr>
          <w:rFonts w:asciiTheme="minorHAnsi" w:hAnsiTheme="minorHAnsi" w:cstheme="minorHAnsi"/>
          <w:b/>
          <w:sz w:val="22"/>
          <w:szCs w:val="22"/>
        </w:rPr>
        <w:lastRenderedPageBreak/>
        <w:t xml:space="preserve">Equation 1 </w:t>
      </w:r>
      <w:r w:rsidRPr="004D5208">
        <w:rPr>
          <w:rFonts w:asciiTheme="minorHAnsi" w:hAnsiTheme="minorHAnsi" w:cstheme="minorHAnsi"/>
          <w:sz w:val="22"/>
          <w:szCs w:val="22"/>
        </w:rPr>
        <w:t>illustrates the energy savings estimation methodologies used to calculate Non-CFL interior lighting measures.</w:t>
      </w:r>
    </w:p>
    <w:p w:rsidR="00614471" w:rsidRPr="004D5208" w:rsidRDefault="00614471" w:rsidP="00614471">
      <w:pPr>
        <w:pStyle w:val="Normal2"/>
        <w:jc w:val="right"/>
        <w:rPr>
          <w:rFonts w:asciiTheme="minorHAnsi" w:hAnsiTheme="minorHAnsi" w:cstheme="minorHAnsi"/>
          <w:sz w:val="22"/>
          <w:szCs w:val="22"/>
        </w:rPr>
      </w:pPr>
    </w:p>
    <w:p w:rsidR="00614471" w:rsidRPr="004D5208" w:rsidRDefault="00614471" w:rsidP="00614471">
      <w:pPr>
        <w:pStyle w:val="Caption"/>
        <w:rPr>
          <w:rFonts w:asciiTheme="minorHAnsi" w:hAnsiTheme="minorHAnsi" w:cstheme="minorHAnsi"/>
          <w:sz w:val="22"/>
          <w:szCs w:val="22"/>
        </w:rPr>
      </w:pPr>
      <w:r w:rsidRPr="004D5208">
        <w:rPr>
          <w:rFonts w:asciiTheme="minorHAnsi" w:hAnsiTheme="minorHAnsi" w:cstheme="minorHAnsi"/>
          <w:position w:val="-30"/>
          <w:sz w:val="22"/>
          <w:szCs w:val="22"/>
        </w:rPr>
        <w:object w:dxaOrig="764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0.85pt;height:37pt" o:ole="">
            <v:imagedata r:id="rId12" o:title=""/>
          </v:shape>
          <o:OLEObject Type="Embed" ProgID="Equation.3" ShapeID="_x0000_i1025" DrawAspect="Content" ObjectID="_1468208578" r:id="rId13"/>
        </w:object>
      </w:r>
      <w:r w:rsidRPr="004D5208">
        <w:rPr>
          <w:rFonts w:asciiTheme="minorHAnsi" w:hAnsiTheme="minorHAnsi" w:cstheme="minorHAnsi"/>
          <w:sz w:val="22"/>
          <w:szCs w:val="22"/>
        </w:rPr>
        <w:t xml:space="preserve">  </w:t>
      </w:r>
      <w:bookmarkStart w:id="21" w:name="_Ref178767441"/>
      <w:r w:rsidRPr="004D5208">
        <w:rPr>
          <w:rFonts w:asciiTheme="minorHAnsi" w:hAnsiTheme="minorHAnsi" w:cstheme="minorHAnsi"/>
          <w:sz w:val="22"/>
          <w:szCs w:val="22"/>
        </w:rPr>
        <w:t xml:space="preserve">       Equation </w:t>
      </w:r>
      <w:r w:rsidRPr="004D5208">
        <w:rPr>
          <w:rFonts w:asciiTheme="minorHAnsi" w:hAnsiTheme="minorHAnsi" w:cstheme="minorHAnsi"/>
          <w:sz w:val="22"/>
          <w:szCs w:val="22"/>
        </w:rPr>
        <w:fldChar w:fldCharType="begin"/>
      </w:r>
      <w:r w:rsidRPr="004D5208">
        <w:rPr>
          <w:rFonts w:asciiTheme="minorHAnsi" w:hAnsiTheme="minorHAnsi" w:cstheme="minorHAnsi"/>
          <w:sz w:val="22"/>
          <w:szCs w:val="22"/>
        </w:rPr>
        <w:instrText xml:space="preserve"> SEQ Equation \* ARABIC </w:instrText>
      </w:r>
      <w:r w:rsidRPr="004D5208">
        <w:rPr>
          <w:rFonts w:asciiTheme="minorHAnsi" w:hAnsiTheme="minorHAnsi" w:cstheme="minorHAnsi"/>
          <w:sz w:val="22"/>
          <w:szCs w:val="22"/>
        </w:rPr>
        <w:fldChar w:fldCharType="separate"/>
      </w:r>
      <w:r w:rsidR="00395735">
        <w:rPr>
          <w:rFonts w:asciiTheme="minorHAnsi" w:hAnsiTheme="minorHAnsi" w:cstheme="minorHAnsi"/>
          <w:noProof/>
          <w:sz w:val="22"/>
          <w:szCs w:val="22"/>
        </w:rPr>
        <w:t>1</w:t>
      </w:r>
      <w:r w:rsidRPr="004D5208">
        <w:rPr>
          <w:rFonts w:asciiTheme="minorHAnsi" w:hAnsiTheme="minorHAnsi" w:cstheme="minorHAnsi"/>
          <w:sz w:val="22"/>
          <w:szCs w:val="22"/>
        </w:rPr>
        <w:fldChar w:fldCharType="end"/>
      </w:r>
    </w:p>
    <w:bookmarkEnd w:id="21"/>
    <w:p w:rsidR="00614471" w:rsidRPr="004D5208" w:rsidRDefault="00614471" w:rsidP="00614471">
      <w:pPr>
        <w:pStyle w:val="Normal2"/>
        <w:jc w:val="center"/>
        <w:rPr>
          <w:rFonts w:asciiTheme="minorHAnsi" w:hAnsiTheme="minorHAnsi" w:cstheme="minorHAnsi"/>
          <w:b/>
          <w:sz w:val="22"/>
          <w:szCs w:val="22"/>
        </w:rPr>
      </w:pPr>
      <w:r w:rsidRPr="004D5208">
        <w:rPr>
          <w:rFonts w:asciiTheme="minorHAnsi" w:hAnsiTheme="minorHAnsi" w:cstheme="minorHAnsi"/>
          <w:sz w:val="22"/>
          <w:szCs w:val="22"/>
        </w:rPr>
        <w:t xml:space="preserve">  </w:t>
      </w:r>
    </w:p>
    <w:p w:rsidR="00614471" w:rsidRPr="004D5208" w:rsidRDefault="00614471" w:rsidP="00614471">
      <w:pPr>
        <w:rPr>
          <w:rFonts w:asciiTheme="minorHAnsi" w:hAnsiTheme="minorHAnsi" w:cstheme="minorHAnsi"/>
          <w:sz w:val="22"/>
          <w:szCs w:val="22"/>
        </w:rPr>
      </w:pPr>
      <w:r w:rsidRPr="004D5208">
        <w:rPr>
          <w:rFonts w:asciiTheme="minorHAnsi" w:hAnsiTheme="minorHAnsi" w:cstheme="minorHAnsi"/>
          <w:b/>
          <w:sz w:val="22"/>
          <w:szCs w:val="22"/>
        </w:rPr>
        <w:t xml:space="preserve">Equation 2 </w:t>
      </w:r>
      <w:r w:rsidRPr="004D5208">
        <w:rPr>
          <w:rFonts w:asciiTheme="minorHAnsi" w:hAnsiTheme="minorHAnsi" w:cstheme="minorHAnsi"/>
          <w:sz w:val="22"/>
          <w:szCs w:val="22"/>
        </w:rPr>
        <w:t xml:space="preserve">illustrates a step-by-step sample calculation for the </w:t>
      </w:r>
      <w:r w:rsidR="00CF2553">
        <w:rPr>
          <w:rFonts w:asciiTheme="minorHAnsi" w:hAnsiTheme="minorHAnsi" w:cstheme="minorHAnsi"/>
          <w:sz w:val="22"/>
          <w:szCs w:val="22"/>
        </w:rPr>
        <w:t>solution code LT-26734 (</w:t>
      </w:r>
      <w:r w:rsidR="00CF2553" w:rsidRPr="00CF2553">
        <w:rPr>
          <w:rFonts w:asciiTheme="minorHAnsi" w:hAnsiTheme="minorHAnsi" w:cstheme="minorHAnsi"/>
          <w:sz w:val="22"/>
          <w:szCs w:val="22"/>
        </w:rPr>
        <w:t xml:space="preserve">Up to 120 Watt Interior Fixture Induction replacing 101 - 175 Watt lamp base case </w:t>
      </w:r>
      <w:r w:rsidR="00CF2553">
        <w:rPr>
          <w:rFonts w:asciiTheme="minorHAnsi" w:hAnsiTheme="minorHAnsi" w:cstheme="minorHAnsi"/>
          <w:sz w:val="22"/>
          <w:szCs w:val="22"/>
        </w:rPr>
        <w:t xml:space="preserve">), ROB measure, </w:t>
      </w:r>
      <w:r w:rsidRPr="004D5208">
        <w:rPr>
          <w:rFonts w:asciiTheme="minorHAnsi" w:hAnsiTheme="minorHAnsi" w:cstheme="minorHAnsi"/>
          <w:sz w:val="22"/>
          <w:szCs w:val="22"/>
        </w:rPr>
        <w:t>Education – Primary School market sector</w:t>
      </w:r>
      <w:r w:rsidR="00CF2553">
        <w:rPr>
          <w:rFonts w:asciiTheme="minorHAnsi" w:hAnsiTheme="minorHAnsi" w:cstheme="minorHAnsi"/>
          <w:sz w:val="22"/>
          <w:szCs w:val="22"/>
        </w:rPr>
        <w:t>, Climate Zone 6,</w:t>
      </w:r>
      <w:r w:rsidRPr="004D5208">
        <w:rPr>
          <w:rFonts w:asciiTheme="minorHAnsi" w:hAnsiTheme="minorHAnsi" w:cstheme="minorHAnsi"/>
          <w:sz w:val="22"/>
          <w:szCs w:val="22"/>
        </w:rPr>
        <w:t xml:space="preserve"> using the methodology shown in Equation 1</w:t>
      </w:r>
      <w:r w:rsidRPr="004D5208">
        <w:rPr>
          <w:rFonts w:asciiTheme="minorHAnsi" w:hAnsiTheme="minorHAnsi" w:cstheme="minorHAnsi"/>
          <w:b/>
          <w:sz w:val="22"/>
          <w:szCs w:val="22"/>
        </w:rPr>
        <w:t>.</w:t>
      </w:r>
      <w:r w:rsidRPr="004D5208">
        <w:rPr>
          <w:rFonts w:asciiTheme="minorHAnsi" w:hAnsiTheme="minorHAnsi" w:cstheme="minorHAnsi"/>
          <w:sz w:val="22"/>
          <w:szCs w:val="22"/>
        </w:rPr>
        <w:t xml:space="preserve"> The Energy Savings values listed in the</w:t>
      </w:r>
      <w:r>
        <w:rPr>
          <w:rFonts w:asciiTheme="minorHAnsi" w:hAnsiTheme="minorHAnsi" w:cstheme="minorHAnsi"/>
          <w:sz w:val="22"/>
          <w:szCs w:val="22"/>
        </w:rPr>
        <w:t xml:space="preserve"> Calc</w:t>
      </w:r>
      <w:r w:rsidR="002B0DC8">
        <w:rPr>
          <w:rFonts w:asciiTheme="minorHAnsi" w:hAnsiTheme="minorHAnsi" w:cstheme="minorHAnsi"/>
          <w:sz w:val="22"/>
          <w:szCs w:val="22"/>
        </w:rPr>
        <w:t>ulation Template [D</w:t>
      </w:r>
      <w:r>
        <w:rPr>
          <w:rFonts w:asciiTheme="minorHAnsi" w:hAnsiTheme="minorHAnsi" w:cstheme="minorHAnsi"/>
          <w:sz w:val="22"/>
          <w:szCs w:val="22"/>
        </w:rPr>
        <w:t xml:space="preserve">] </w:t>
      </w:r>
      <w:r w:rsidRPr="004D5208">
        <w:rPr>
          <w:rFonts w:asciiTheme="minorHAnsi" w:hAnsiTheme="minorHAnsi" w:cstheme="minorHAnsi"/>
          <w:sz w:val="22"/>
          <w:szCs w:val="22"/>
        </w:rPr>
        <w:t xml:space="preserve">use the same methodologies for all market sectors as derived here for the Education – Primary School market sector and can also be found in the attachment section. </w:t>
      </w:r>
    </w:p>
    <w:p w:rsidR="00614471" w:rsidRPr="004D5208" w:rsidRDefault="00FD1632" w:rsidP="00614471">
      <w:pPr>
        <w:pStyle w:val="Caption"/>
        <w:rPr>
          <w:rFonts w:asciiTheme="minorHAnsi" w:hAnsiTheme="minorHAnsi" w:cstheme="minorHAnsi"/>
          <w:sz w:val="22"/>
          <w:szCs w:val="22"/>
        </w:rPr>
      </w:pPr>
      <w:r w:rsidRPr="004D5208">
        <w:rPr>
          <w:rFonts w:asciiTheme="minorHAnsi" w:hAnsiTheme="minorHAnsi" w:cstheme="minorHAnsi"/>
          <w:position w:val="-42"/>
          <w:sz w:val="22"/>
          <w:szCs w:val="22"/>
        </w:rPr>
        <w:object w:dxaOrig="7320" w:dyaOrig="960">
          <v:shape id="_x0000_i1026" type="#_x0000_t75" style="width:366pt;height:48.5pt" o:ole="">
            <v:imagedata r:id="rId14" o:title=""/>
          </v:shape>
          <o:OLEObject Type="Embed" ProgID="Equation.3" ShapeID="_x0000_i1026" DrawAspect="Content" ObjectID="_1468208579" r:id="rId15"/>
        </w:object>
      </w:r>
      <w:r w:rsidR="00614471" w:rsidRPr="004D5208">
        <w:rPr>
          <w:rFonts w:asciiTheme="minorHAnsi" w:hAnsiTheme="minorHAnsi" w:cstheme="minorHAnsi"/>
          <w:sz w:val="22"/>
          <w:szCs w:val="22"/>
        </w:rPr>
        <w:t xml:space="preserve">                Equation </w:t>
      </w:r>
      <w:r w:rsidR="00614471" w:rsidRPr="004D5208">
        <w:rPr>
          <w:rFonts w:asciiTheme="minorHAnsi" w:hAnsiTheme="minorHAnsi" w:cstheme="minorHAnsi"/>
          <w:sz w:val="22"/>
          <w:szCs w:val="22"/>
        </w:rPr>
        <w:fldChar w:fldCharType="begin"/>
      </w:r>
      <w:r w:rsidR="00614471" w:rsidRPr="004D5208">
        <w:rPr>
          <w:rFonts w:asciiTheme="minorHAnsi" w:hAnsiTheme="minorHAnsi" w:cstheme="minorHAnsi"/>
          <w:sz w:val="22"/>
          <w:szCs w:val="22"/>
        </w:rPr>
        <w:instrText xml:space="preserve"> SEQ Equation \* ARABIC </w:instrText>
      </w:r>
      <w:r w:rsidR="00614471" w:rsidRPr="004D5208">
        <w:rPr>
          <w:rFonts w:asciiTheme="minorHAnsi" w:hAnsiTheme="minorHAnsi" w:cstheme="minorHAnsi"/>
          <w:sz w:val="22"/>
          <w:szCs w:val="22"/>
        </w:rPr>
        <w:fldChar w:fldCharType="separate"/>
      </w:r>
      <w:r w:rsidR="00395735">
        <w:rPr>
          <w:rFonts w:asciiTheme="minorHAnsi" w:hAnsiTheme="minorHAnsi" w:cstheme="minorHAnsi"/>
          <w:noProof/>
          <w:sz w:val="22"/>
          <w:szCs w:val="22"/>
        </w:rPr>
        <w:t>2</w:t>
      </w:r>
      <w:r w:rsidR="00614471" w:rsidRPr="004D5208">
        <w:rPr>
          <w:rFonts w:asciiTheme="minorHAnsi" w:hAnsiTheme="minorHAnsi" w:cstheme="minorHAnsi"/>
          <w:sz w:val="22"/>
          <w:szCs w:val="22"/>
        </w:rPr>
        <w:fldChar w:fldCharType="end"/>
      </w:r>
    </w:p>
    <w:p w:rsidR="00614471" w:rsidRPr="004D5208" w:rsidRDefault="00614471" w:rsidP="00614471">
      <w:pPr>
        <w:rPr>
          <w:rFonts w:asciiTheme="minorHAnsi" w:hAnsiTheme="minorHAnsi" w:cstheme="minorHAnsi"/>
          <w:sz w:val="22"/>
          <w:szCs w:val="22"/>
          <w:vertAlign w:val="superscript"/>
        </w:rPr>
      </w:pPr>
      <w:r w:rsidRPr="004D5208">
        <w:rPr>
          <w:rFonts w:asciiTheme="minorHAnsi" w:hAnsiTheme="minorHAnsi" w:cstheme="minorHAnsi"/>
          <w:sz w:val="22"/>
          <w:szCs w:val="22"/>
        </w:rPr>
        <w:t>“The methodology of calculating demand reduction for Non-CFL lamps follows a simple formula that captures Wattage level changes, interactive effects on other end-uses, and coincidence factor for peak demand. For the most part, the methodology for calculating the demand reduction for the Non-CFL interior lights is the same as for interior CFL lamps. The exception is that all installation rates are assumed to be 100% for Non-CFL interior lighting measures.” [26]</w:t>
      </w:r>
    </w:p>
    <w:p w:rsidR="00614471" w:rsidRPr="004D5208" w:rsidRDefault="00614471" w:rsidP="00614471">
      <w:pPr>
        <w:pStyle w:val="pF"/>
        <w:rPr>
          <w:rFonts w:asciiTheme="minorHAnsi" w:hAnsiTheme="minorHAnsi" w:cstheme="minorHAnsi"/>
          <w:sz w:val="22"/>
          <w:szCs w:val="22"/>
          <w:vertAlign w:val="superscript"/>
        </w:rPr>
      </w:pPr>
    </w:p>
    <w:p w:rsidR="00614471" w:rsidRPr="004D5208" w:rsidRDefault="00614471" w:rsidP="00614471">
      <w:pPr>
        <w:rPr>
          <w:rFonts w:asciiTheme="minorHAnsi" w:hAnsiTheme="minorHAnsi" w:cstheme="minorHAnsi"/>
          <w:sz w:val="22"/>
          <w:szCs w:val="22"/>
        </w:rPr>
      </w:pPr>
      <w:r w:rsidRPr="004D5208">
        <w:rPr>
          <w:rFonts w:asciiTheme="minorHAnsi" w:hAnsiTheme="minorHAnsi" w:cstheme="minorHAnsi"/>
          <w:b/>
          <w:sz w:val="22"/>
          <w:szCs w:val="22"/>
        </w:rPr>
        <w:t>Equation 3</w:t>
      </w:r>
      <w:r w:rsidRPr="004D5208">
        <w:rPr>
          <w:rFonts w:asciiTheme="minorHAnsi" w:hAnsiTheme="minorHAnsi" w:cstheme="minorHAnsi"/>
          <w:sz w:val="22"/>
          <w:szCs w:val="22"/>
        </w:rPr>
        <w:t xml:space="preserve"> illustrates the peak demand reduction estimation method used.  </w:t>
      </w:r>
    </w:p>
    <w:p w:rsidR="00614471" w:rsidRPr="004D5208" w:rsidRDefault="00614471" w:rsidP="00614471">
      <w:pPr>
        <w:pStyle w:val="Normal2"/>
        <w:rPr>
          <w:rFonts w:asciiTheme="minorHAnsi" w:hAnsiTheme="minorHAnsi" w:cstheme="minorHAnsi"/>
          <w:sz w:val="22"/>
          <w:szCs w:val="22"/>
        </w:rPr>
      </w:pPr>
    </w:p>
    <w:p w:rsidR="00614471" w:rsidRPr="004D5208" w:rsidRDefault="00614471" w:rsidP="00614471">
      <w:pPr>
        <w:pStyle w:val="Caption"/>
        <w:rPr>
          <w:rFonts w:asciiTheme="minorHAnsi" w:hAnsiTheme="minorHAnsi" w:cstheme="minorHAnsi"/>
          <w:sz w:val="22"/>
          <w:szCs w:val="22"/>
        </w:rPr>
      </w:pPr>
      <w:r w:rsidRPr="004D5208">
        <w:rPr>
          <w:rFonts w:asciiTheme="minorHAnsi" w:hAnsiTheme="minorHAnsi" w:cstheme="minorHAnsi"/>
          <w:position w:val="-28"/>
          <w:sz w:val="22"/>
          <w:szCs w:val="22"/>
        </w:rPr>
        <w:object w:dxaOrig="7460" w:dyaOrig="680">
          <v:shape id="_x0000_i1027" type="#_x0000_t75" style="width:374.85pt;height:34pt" o:ole="">
            <v:imagedata r:id="rId16" o:title=""/>
          </v:shape>
          <o:OLEObject Type="Embed" ProgID="Equation.3" ShapeID="_x0000_i1027" DrawAspect="Content" ObjectID="_1468208580" r:id="rId17"/>
        </w:object>
      </w:r>
      <w:r w:rsidRPr="004D5208">
        <w:rPr>
          <w:rFonts w:asciiTheme="minorHAnsi" w:hAnsiTheme="minorHAnsi" w:cstheme="minorHAnsi"/>
          <w:sz w:val="22"/>
          <w:szCs w:val="22"/>
        </w:rPr>
        <w:t xml:space="preserve">       Equation </w:t>
      </w:r>
      <w:r w:rsidRPr="004D5208">
        <w:rPr>
          <w:rFonts w:asciiTheme="minorHAnsi" w:hAnsiTheme="minorHAnsi" w:cstheme="minorHAnsi"/>
          <w:sz w:val="22"/>
          <w:szCs w:val="22"/>
        </w:rPr>
        <w:fldChar w:fldCharType="begin"/>
      </w:r>
      <w:r w:rsidRPr="004D5208">
        <w:rPr>
          <w:rFonts w:asciiTheme="minorHAnsi" w:hAnsiTheme="minorHAnsi" w:cstheme="minorHAnsi"/>
          <w:sz w:val="22"/>
          <w:szCs w:val="22"/>
        </w:rPr>
        <w:instrText xml:space="preserve"> SEQ Equation \* ARABIC </w:instrText>
      </w:r>
      <w:r w:rsidRPr="004D5208">
        <w:rPr>
          <w:rFonts w:asciiTheme="minorHAnsi" w:hAnsiTheme="minorHAnsi" w:cstheme="minorHAnsi"/>
          <w:sz w:val="22"/>
          <w:szCs w:val="22"/>
        </w:rPr>
        <w:fldChar w:fldCharType="separate"/>
      </w:r>
      <w:r w:rsidR="00395735">
        <w:rPr>
          <w:rFonts w:asciiTheme="minorHAnsi" w:hAnsiTheme="minorHAnsi" w:cstheme="minorHAnsi"/>
          <w:noProof/>
          <w:sz w:val="22"/>
          <w:szCs w:val="22"/>
        </w:rPr>
        <w:t>3</w:t>
      </w:r>
      <w:r w:rsidRPr="004D5208">
        <w:rPr>
          <w:rFonts w:asciiTheme="minorHAnsi" w:hAnsiTheme="minorHAnsi" w:cstheme="minorHAnsi"/>
          <w:sz w:val="22"/>
          <w:szCs w:val="22"/>
        </w:rPr>
        <w:fldChar w:fldCharType="end"/>
      </w:r>
    </w:p>
    <w:p w:rsidR="00614471" w:rsidRPr="004D5208" w:rsidRDefault="00614471" w:rsidP="00614471">
      <w:pPr>
        <w:rPr>
          <w:rFonts w:asciiTheme="minorHAnsi" w:hAnsiTheme="minorHAnsi" w:cstheme="minorHAnsi"/>
          <w:sz w:val="22"/>
          <w:szCs w:val="22"/>
        </w:rPr>
      </w:pPr>
    </w:p>
    <w:p w:rsidR="00614471" w:rsidRPr="004D5208" w:rsidRDefault="00614471" w:rsidP="00614471">
      <w:pPr>
        <w:rPr>
          <w:rFonts w:asciiTheme="minorHAnsi" w:hAnsiTheme="minorHAnsi" w:cstheme="minorHAnsi"/>
          <w:sz w:val="22"/>
          <w:szCs w:val="22"/>
        </w:rPr>
      </w:pPr>
      <w:r w:rsidRPr="004D5208">
        <w:rPr>
          <w:rFonts w:asciiTheme="minorHAnsi" w:hAnsiTheme="minorHAnsi" w:cstheme="minorHAnsi"/>
          <w:b/>
          <w:sz w:val="22"/>
          <w:szCs w:val="22"/>
        </w:rPr>
        <w:t>Equation 4</w:t>
      </w:r>
      <w:r w:rsidRPr="004D5208">
        <w:rPr>
          <w:rFonts w:asciiTheme="minorHAnsi" w:hAnsiTheme="minorHAnsi" w:cstheme="minorHAnsi"/>
          <w:sz w:val="22"/>
          <w:szCs w:val="22"/>
        </w:rPr>
        <w:t xml:space="preserve"> illustrates a step-by-step sample calculation for </w:t>
      </w:r>
      <w:r w:rsidR="00D17C47">
        <w:rPr>
          <w:rFonts w:asciiTheme="minorHAnsi" w:hAnsiTheme="minorHAnsi" w:cstheme="minorHAnsi"/>
          <w:sz w:val="22"/>
          <w:szCs w:val="22"/>
        </w:rPr>
        <w:t>solution code LT-26734 (</w:t>
      </w:r>
      <w:r w:rsidR="00D17C47" w:rsidRPr="00CF2553">
        <w:rPr>
          <w:rFonts w:asciiTheme="minorHAnsi" w:hAnsiTheme="minorHAnsi" w:cstheme="minorHAnsi"/>
          <w:sz w:val="22"/>
          <w:szCs w:val="22"/>
        </w:rPr>
        <w:t xml:space="preserve">Up to 120 Watt Interior Fixture Induction replacing 101 - 175 Watt lamp base case </w:t>
      </w:r>
      <w:r w:rsidR="00D17C47">
        <w:rPr>
          <w:rFonts w:asciiTheme="minorHAnsi" w:hAnsiTheme="minorHAnsi" w:cstheme="minorHAnsi"/>
          <w:sz w:val="22"/>
          <w:szCs w:val="22"/>
        </w:rPr>
        <w:t xml:space="preserve">), ROB measure, </w:t>
      </w:r>
      <w:r w:rsidR="00D17C47" w:rsidRPr="004D5208">
        <w:rPr>
          <w:rFonts w:asciiTheme="minorHAnsi" w:hAnsiTheme="minorHAnsi" w:cstheme="minorHAnsi"/>
          <w:sz w:val="22"/>
          <w:szCs w:val="22"/>
        </w:rPr>
        <w:t>Education – Primary School market sector</w:t>
      </w:r>
      <w:r w:rsidR="00D17C47">
        <w:rPr>
          <w:rFonts w:asciiTheme="minorHAnsi" w:hAnsiTheme="minorHAnsi" w:cstheme="minorHAnsi"/>
          <w:sz w:val="22"/>
          <w:szCs w:val="22"/>
        </w:rPr>
        <w:t>, Climate Zone 6,usin</w:t>
      </w:r>
      <w:r w:rsidRPr="004D5208">
        <w:rPr>
          <w:rFonts w:asciiTheme="minorHAnsi" w:hAnsiTheme="minorHAnsi" w:cstheme="minorHAnsi"/>
          <w:sz w:val="22"/>
          <w:szCs w:val="22"/>
        </w:rPr>
        <w:t>g the methodology illustrated in Equation 3. The Demand Reduction values listed in the</w:t>
      </w:r>
      <w:r>
        <w:rPr>
          <w:rFonts w:asciiTheme="minorHAnsi" w:hAnsiTheme="minorHAnsi" w:cstheme="minorHAnsi"/>
          <w:sz w:val="22"/>
          <w:szCs w:val="22"/>
        </w:rPr>
        <w:t xml:space="preserve"> Calculation Template [</w:t>
      </w:r>
      <w:r w:rsidR="004D481C">
        <w:rPr>
          <w:rFonts w:asciiTheme="minorHAnsi" w:hAnsiTheme="minorHAnsi" w:cstheme="minorHAnsi"/>
          <w:sz w:val="22"/>
          <w:szCs w:val="22"/>
        </w:rPr>
        <w:t>D</w:t>
      </w:r>
      <w:r>
        <w:rPr>
          <w:rFonts w:asciiTheme="minorHAnsi" w:hAnsiTheme="minorHAnsi" w:cstheme="minorHAnsi"/>
          <w:sz w:val="22"/>
          <w:szCs w:val="22"/>
        </w:rPr>
        <w:t xml:space="preserve">] </w:t>
      </w:r>
      <w:r w:rsidRPr="004D5208">
        <w:rPr>
          <w:rFonts w:asciiTheme="minorHAnsi" w:hAnsiTheme="minorHAnsi" w:cstheme="minorHAnsi"/>
          <w:sz w:val="22"/>
          <w:szCs w:val="22"/>
        </w:rPr>
        <w:t xml:space="preserve">uses the same methodologies for all market sectors as derived here for the Education – Primary School market sector and can also be found in the attachment section. </w:t>
      </w:r>
    </w:p>
    <w:p w:rsidR="00614471" w:rsidRPr="004D5208" w:rsidRDefault="00614471" w:rsidP="00614471">
      <w:pPr>
        <w:rPr>
          <w:rFonts w:asciiTheme="minorHAnsi" w:hAnsiTheme="minorHAnsi" w:cstheme="minorHAnsi"/>
        </w:rPr>
      </w:pPr>
    </w:p>
    <w:p w:rsidR="00614471" w:rsidRDefault="00FD1632" w:rsidP="00614471">
      <w:pPr>
        <w:pStyle w:val="Caption"/>
        <w:rPr>
          <w:rFonts w:asciiTheme="minorHAnsi" w:hAnsiTheme="minorHAnsi" w:cstheme="minorHAnsi"/>
          <w:b w:val="0"/>
          <w:bCs w:val="0"/>
          <w:smallCaps/>
          <w:kern w:val="32"/>
          <w:sz w:val="36"/>
          <w:szCs w:val="32"/>
        </w:rPr>
      </w:pPr>
      <w:r w:rsidRPr="004D5208">
        <w:rPr>
          <w:rFonts w:asciiTheme="minorHAnsi" w:hAnsiTheme="minorHAnsi" w:cstheme="minorHAnsi"/>
          <w:position w:val="-42"/>
        </w:rPr>
        <w:object w:dxaOrig="7119" w:dyaOrig="960">
          <v:shape id="_x0000_i1028" type="#_x0000_t75" style="width:355.6pt;height:48.5pt" o:ole="">
            <v:imagedata r:id="rId18" o:title=""/>
          </v:shape>
          <o:OLEObject Type="Embed" ProgID="Equation.3" ShapeID="_x0000_i1028" DrawAspect="Content" ObjectID="_1468208581" r:id="rId19"/>
        </w:object>
      </w:r>
      <w:r w:rsidR="00D17C47">
        <w:rPr>
          <w:rFonts w:asciiTheme="minorHAnsi" w:hAnsiTheme="minorHAnsi" w:cstheme="minorHAnsi"/>
        </w:rPr>
        <w:t xml:space="preserve">                     </w:t>
      </w:r>
      <w:r w:rsidR="00614471" w:rsidRPr="004D5208">
        <w:rPr>
          <w:rFonts w:asciiTheme="minorHAnsi" w:hAnsiTheme="minorHAnsi" w:cstheme="minorHAnsi"/>
        </w:rPr>
        <w:t xml:space="preserve">Equation </w:t>
      </w:r>
      <w:r w:rsidR="00614471" w:rsidRPr="004D5208">
        <w:rPr>
          <w:rFonts w:asciiTheme="minorHAnsi" w:hAnsiTheme="minorHAnsi" w:cstheme="minorHAnsi"/>
        </w:rPr>
        <w:fldChar w:fldCharType="begin"/>
      </w:r>
      <w:r w:rsidR="00614471" w:rsidRPr="004D5208">
        <w:rPr>
          <w:rFonts w:asciiTheme="minorHAnsi" w:hAnsiTheme="minorHAnsi" w:cstheme="minorHAnsi"/>
        </w:rPr>
        <w:instrText xml:space="preserve"> SEQ Equation \* ARABIC </w:instrText>
      </w:r>
      <w:r w:rsidR="00614471" w:rsidRPr="004D5208">
        <w:rPr>
          <w:rFonts w:asciiTheme="minorHAnsi" w:hAnsiTheme="minorHAnsi" w:cstheme="minorHAnsi"/>
        </w:rPr>
        <w:fldChar w:fldCharType="separate"/>
      </w:r>
      <w:r w:rsidR="00395735">
        <w:rPr>
          <w:rFonts w:asciiTheme="minorHAnsi" w:hAnsiTheme="minorHAnsi" w:cstheme="minorHAnsi"/>
          <w:noProof/>
        </w:rPr>
        <w:t>4</w:t>
      </w:r>
      <w:r w:rsidR="00614471" w:rsidRPr="004D5208">
        <w:rPr>
          <w:rFonts w:asciiTheme="minorHAnsi" w:hAnsiTheme="minorHAnsi" w:cstheme="minorHAnsi"/>
        </w:rPr>
        <w:fldChar w:fldCharType="end"/>
      </w:r>
    </w:p>
    <w:p w:rsidR="00614471" w:rsidRPr="00697868" w:rsidRDefault="00614471" w:rsidP="00E16609">
      <w:pPr>
        <w:pStyle w:val="Reminders"/>
        <w:rPr>
          <w:rFonts w:asciiTheme="minorHAnsi" w:hAnsiTheme="minorHAnsi" w:cstheme="minorHAnsi"/>
          <w:sz w:val="22"/>
          <w:szCs w:val="22"/>
        </w:rPr>
      </w:pPr>
    </w:p>
    <w:p w:rsidR="00E16609" w:rsidRPr="00697868" w:rsidRDefault="00E16609" w:rsidP="00E16609">
      <w:pPr>
        <w:pStyle w:val="Heading1"/>
        <w:keepNext w:val="0"/>
        <w:rPr>
          <w:rFonts w:asciiTheme="minorHAnsi" w:hAnsiTheme="minorHAnsi" w:cstheme="minorHAnsi"/>
        </w:rPr>
      </w:pPr>
      <w:bookmarkStart w:id="22" w:name="_Toc214003093"/>
      <w:r w:rsidRPr="00697868">
        <w:rPr>
          <w:rFonts w:asciiTheme="minorHAnsi" w:hAnsiTheme="minorHAnsi" w:cstheme="minorHAnsi"/>
        </w:rPr>
        <w:t>Section 3. Load Shape</w:t>
      </w:r>
      <w:bookmarkEnd w:id="22"/>
      <w:r w:rsidRPr="00697868">
        <w:rPr>
          <w:rFonts w:asciiTheme="minorHAnsi" w:hAnsiTheme="minorHAnsi" w:cstheme="minorHAnsi"/>
        </w:rPr>
        <w:t>s</w:t>
      </w:r>
    </w:p>
    <w:p w:rsidR="00E16609"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3F0623" w:rsidRPr="00697868">
        <w:rPr>
          <w:rFonts w:asciiTheme="minorHAnsi" w:hAnsiTheme="minorHAnsi" w:cstheme="minorHAnsi"/>
          <w:sz w:val="22"/>
          <w:szCs w:val="22"/>
        </w:rPr>
        <w:t>DEER:Indoor_Non-CFL_Ltg</w:t>
      </w:r>
      <w:proofErr w:type="spellEnd"/>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985965">
        <w:rPr>
          <w:rFonts w:asciiTheme="minorHAnsi" w:hAnsiTheme="minorHAnsi" w:cstheme="minorHAnsi"/>
          <w:sz w:val="22"/>
          <w:szCs w:val="22"/>
        </w:rPr>
        <w:fldChar w:fldCharType="begin"/>
      </w:r>
      <w:r w:rsidR="00985965">
        <w:rPr>
          <w:rFonts w:asciiTheme="minorHAnsi" w:hAnsiTheme="minorHAnsi" w:cstheme="minorHAnsi"/>
          <w:sz w:val="22"/>
          <w:szCs w:val="22"/>
        </w:rPr>
        <w:instrText xml:space="preserve"> REF _Ref394064562 \h </w:instrText>
      </w:r>
      <w:r w:rsidR="00985965">
        <w:rPr>
          <w:rFonts w:asciiTheme="minorHAnsi" w:hAnsiTheme="minorHAnsi" w:cstheme="minorHAnsi"/>
          <w:sz w:val="22"/>
          <w:szCs w:val="22"/>
        </w:rPr>
      </w:r>
      <w:r w:rsidR="00985965">
        <w:rPr>
          <w:rFonts w:asciiTheme="minorHAnsi" w:hAnsiTheme="minorHAnsi" w:cstheme="minorHAnsi"/>
          <w:sz w:val="22"/>
          <w:szCs w:val="22"/>
        </w:rPr>
        <w:fldChar w:fldCharType="separate"/>
      </w:r>
      <w:r w:rsidR="00395735" w:rsidRPr="008003EF">
        <w:rPr>
          <w:rFonts w:asciiTheme="minorHAnsi" w:hAnsiTheme="minorHAnsi" w:cstheme="minorHAnsi"/>
          <w:sz w:val="22"/>
          <w:szCs w:val="22"/>
        </w:rPr>
        <w:t xml:space="preserve">Table </w:t>
      </w:r>
      <w:r w:rsidR="00395735">
        <w:rPr>
          <w:rFonts w:asciiTheme="minorHAnsi" w:hAnsiTheme="minorHAnsi" w:cstheme="minorHAnsi"/>
          <w:noProof/>
          <w:sz w:val="22"/>
          <w:szCs w:val="22"/>
        </w:rPr>
        <w:t>11</w:t>
      </w:r>
      <w:r w:rsidR="00985965">
        <w:rPr>
          <w:rFonts w:asciiTheme="minorHAnsi" w:hAnsiTheme="minorHAnsi" w:cstheme="minorHAnsi"/>
          <w:sz w:val="22"/>
          <w:szCs w:val="22"/>
        </w:rPr>
        <w:fldChar w:fldCharType="end"/>
      </w:r>
      <w:r w:rsidR="00985965">
        <w:rPr>
          <w:rFonts w:asciiTheme="minorHAnsi" w:hAnsiTheme="minorHAnsi" w:cstheme="minorHAnsi"/>
          <w:sz w:val="22"/>
          <w:szCs w:val="22"/>
        </w:rPr>
        <w:t xml:space="preserve"> </w:t>
      </w:r>
      <w:r w:rsidRPr="00697868">
        <w:rPr>
          <w:rFonts w:asciiTheme="minorHAnsi" w:hAnsiTheme="minorHAnsi" w:cstheme="minorHAnsi"/>
          <w:sz w:val="22"/>
          <w:szCs w:val="22"/>
        </w:rPr>
        <w:t xml:space="preserve">for a list of all </w:t>
      </w:r>
      <w:r w:rsidRPr="00697868">
        <w:rPr>
          <w:rFonts w:asciiTheme="minorHAnsi" w:hAnsiTheme="minorHAnsi" w:cstheme="minorHAnsi"/>
          <w:sz w:val="22"/>
          <w:szCs w:val="22"/>
        </w:rPr>
        <w:lastRenderedPageBreak/>
        <w:t>Building Types and Load Shapes.  See the KEMA report [31] for a more thorough discussion regarding the load shapes for this measure.</w:t>
      </w:r>
    </w:p>
    <w:p w:rsidR="00B212E1" w:rsidRPr="00697868" w:rsidRDefault="00B212E1" w:rsidP="008003EF">
      <w:pPr>
        <w:pStyle w:val="Caption"/>
        <w:jc w:val="center"/>
        <w:rPr>
          <w:rFonts w:asciiTheme="minorHAnsi" w:hAnsiTheme="minorHAnsi" w:cstheme="minorHAnsi"/>
          <w:sz w:val="22"/>
          <w:szCs w:val="22"/>
        </w:rPr>
      </w:pPr>
    </w:p>
    <w:p w:rsidR="00E16609" w:rsidRPr="008003EF" w:rsidRDefault="008003EF" w:rsidP="008003EF">
      <w:pPr>
        <w:pStyle w:val="Caption"/>
        <w:jc w:val="center"/>
        <w:rPr>
          <w:rFonts w:asciiTheme="minorHAnsi" w:hAnsiTheme="minorHAnsi" w:cstheme="minorHAnsi"/>
          <w:sz w:val="22"/>
          <w:szCs w:val="22"/>
        </w:rPr>
      </w:pPr>
      <w:bookmarkStart w:id="23" w:name="_Ref394064562"/>
      <w:r w:rsidRPr="008003EF">
        <w:rPr>
          <w:rFonts w:asciiTheme="minorHAnsi" w:hAnsiTheme="minorHAnsi" w:cstheme="minorHAnsi"/>
          <w:sz w:val="22"/>
          <w:szCs w:val="22"/>
        </w:rPr>
        <w:t xml:space="preserve">Table </w:t>
      </w:r>
      <w:r w:rsidRPr="008003EF">
        <w:rPr>
          <w:rFonts w:asciiTheme="minorHAnsi" w:hAnsiTheme="minorHAnsi" w:cstheme="minorHAnsi"/>
          <w:sz w:val="22"/>
          <w:szCs w:val="22"/>
        </w:rPr>
        <w:fldChar w:fldCharType="begin"/>
      </w:r>
      <w:r w:rsidRPr="008003EF">
        <w:rPr>
          <w:rFonts w:asciiTheme="minorHAnsi" w:hAnsiTheme="minorHAnsi" w:cstheme="minorHAnsi"/>
          <w:sz w:val="22"/>
          <w:szCs w:val="22"/>
        </w:rPr>
        <w:instrText xml:space="preserve"> SEQ Table \* ARABIC </w:instrText>
      </w:r>
      <w:r w:rsidRPr="008003EF">
        <w:rPr>
          <w:rFonts w:asciiTheme="minorHAnsi" w:hAnsiTheme="minorHAnsi" w:cstheme="minorHAnsi"/>
          <w:sz w:val="22"/>
          <w:szCs w:val="22"/>
        </w:rPr>
        <w:fldChar w:fldCharType="separate"/>
      </w:r>
      <w:r w:rsidR="00395735">
        <w:rPr>
          <w:rFonts w:asciiTheme="minorHAnsi" w:hAnsiTheme="minorHAnsi" w:cstheme="minorHAnsi"/>
          <w:noProof/>
          <w:sz w:val="22"/>
          <w:szCs w:val="22"/>
        </w:rPr>
        <w:t>11</w:t>
      </w:r>
      <w:r w:rsidRPr="008003EF">
        <w:rPr>
          <w:rFonts w:asciiTheme="minorHAnsi" w:hAnsiTheme="minorHAnsi" w:cstheme="minorHAnsi"/>
          <w:sz w:val="22"/>
          <w:szCs w:val="22"/>
        </w:rPr>
        <w:fldChar w:fldCharType="end"/>
      </w:r>
      <w:bookmarkEnd w:id="23"/>
      <w:r w:rsidR="003F0623"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Agricultural</w:t>
            </w:r>
          </w:p>
        </w:tc>
        <w:tc>
          <w:tcPr>
            <w:tcW w:w="1729" w:type="pct"/>
            <w:vAlign w:val="bottom"/>
          </w:tcPr>
          <w:p w:rsidR="00770635" w:rsidRDefault="00770635" w:rsidP="00EF646D">
            <w:pPr>
              <w:rPr>
                <w:rFonts w:ascii="Calibri" w:hAnsi="Calibri" w:cs="Calibri"/>
                <w:sz w:val="20"/>
                <w:szCs w:val="20"/>
              </w:rPr>
            </w:pPr>
            <w:r>
              <w:rPr>
                <w:rFonts w:ascii="Calibri" w:hAnsi="Calibri" w:cs="Calibri"/>
                <w:sz w:val="20"/>
                <w:szCs w:val="20"/>
              </w:rPr>
              <w:t>NON_RES</w:t>
            </w:r>
          </w:p>
        </w:tc>
        <w:tc>
          <w:tcPr>
            <w:tcW w:w="1511" w:type="pct"/>
            <w:vAlign w:val="center"/>
          </w:tcPr>
          <w:p w:rsidR="00770635" w:rsidRPr="004D5208" w:rsidRDefault="00770635" w:rsidP="00EF646D">
            <w:pPr>
              <w:jc w:val="center"/>
              <w:rPr>
                <w:rFonts w:asciiTheme="minorHAnsi" w:hAnsiTheme="minorHAnsi" w:cstheme="minorHAnsi"/>
                <w:sz w:val="20"/>
                <w:szCs w:val="20"/>
              </w:rPr>
            </w:pPr>
            <w:proofErr w:type="spellStart"/>
            <w:r w:rsidRPr="005C0398">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Assembly</w:t>
            </w:r>
          </w:p>
        </w:tc>
        <w:tc>
          <w:tcPr>
            <w:tcW w:w="1729" w:type="pct"/>
          </w:tcPr>
          <w:p w:rsidR="00770635" w:rsidRDefault="00770635" w:rsidP="00EF646D">
            <w:r w:rsidRPr="004F7791">
              <w:rPr>
                <w:rFonts w:ascii="Calibri" w:hAnsi="Calibri" w:cs="Calibri"/>
                <w:sz w:val="20"/>
                <w:szCs w:val="20"/>
              </w:rPr>
              <w:t>NON_RES</w:t>
            </w:r>
          </w:p>
        </w:tc>
        <w:tc>
          <w:tcPr>
            <w:tcW w:w="1511" w:type="pct"/>
            <w:vAlign w:val="center"/>
          </w:tcPr>
          <w:p w:rsidR="00770635" w:rsidRPr="004D5208" w:rsidRDefault="00770635" w:rsidP="00EF646D">
            <w:pPr>
              <w:jc w:val="center"/>
              <w:rPr>
                <w:rFonts w:asciiTheme="minorHAnsi" w:hAnsiTheme="minorHAnsi" w:cstheme="minorHAnsi"/>
                <w:sz w:val="20"/>
                <w:szCs w:val="20"/>
              </w:rPr>
            </w:pPr>
            <w:proofErr w:type="spellStart"/>
            <w:r w:rsidRPr="005C0398">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Health/Medical - Clinic</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Education - Community College</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Education - Primary School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 xml:space="preserve">Education - </w:t>
            </w:r>
            <w:proofErr w:type="spellStart"/>
            <w:r>
              <w:rPr>
                <w:rFonts w:ascii="Calibri" w:hAnsi="Calibri" w:cs="Calibri"/>
                <w:sz w:val="20"/>
                <w:szCs w:val="20"/>
              </w:rPr>
              <w:t>Relocatable</w:t>
            </w:r>
            <w:proofErr w:type="spellEnd"/>
            <w:r>
              <w:rPr>
                <w:rFonts w:ascii="Calibri" w:hAnsi="Calibri" w:cs="Calibri"/>
                <w:sz w:val="20"/>
                <w:szCs w:val="20"/>
              </w:rPr>
              <w:t xml:space="preserve"> Classroom</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Education - Secondary School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Education - University</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Food Store</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Grocery</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Lodging - Guest Rooms</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Health/Medical - Hospital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Lodging - Hotel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Industrial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Manufacturing - Bio/Tech</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proofErr w:type="spellStart"/>
            <w:r>
              <w:rPr>
                <w:rFonts w:ascii="Calibri" w:hAnsi="Calibri" w:cs="Calibri"/>
                <w:sz w:val="20"/>
                <w:szCs w:val="20"/>
              </w:rPr>
              <w:t>Misc</w:t>
            </w:r>
            <w:proofErr w:type="spellEnd"/>
            <w:r>
              <w:rPr>
                <w:rFonts w:ascii="Calibri" w:hAnsi="Calibri" w:cs="Calibri"/>
                <w:sz w:val="20"/>
                <w:szCs w:val="20"/>
              </w:rPr>
              <w:t xml:space="preserve"> - Commercial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Manufacturing - Light Industrial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Lodging - Motel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Health/Medical - Nursing Home</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Office - Large</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Office - Small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Restaurant - Fast-Food</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Restaurant - Sit-Down</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Retail - Multistory Large</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Retail - Single-Story Large</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Retail - Small</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Storage - Conditioned</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Storage - Unconditioned</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Transportation - Communication - Utilities</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r w:rsidR="00770635" w:rsidRPr="00697868" w:rsidTr="00EF646D">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770635" w:rsidRDefault="00770635" w:rsidP="00EF646D">
            <w:pPr>
              <w:rPr>
                <w:rFonts w:ascii="Calibri" w:hAnsi="Calibri" w:cs="Calibri"/>
                <w:sz w:val="20"/>
                <w:szCs w:val="20"/>
              </w:rPr>
            </w:pPr>
            <w:r>
              <w:rPr>
                <w:rFonts w:ascii="Calibri" w:hAnsi="Calibri" w:cs="Calibri"/>
                <w:sz w:val="20"/>
                <w:szCs w:val="20"/>
              </w:rPr>
              <w:t>Warehouse - Refrigerated</w:t>
            </w:r>
          </w:p>
        </w:tc>
        <w:tc>
          <w:tcPr>
            <w:tcW w:w="1729" w:type="pct"/>
          </w:tcPr>
          <w:p w:rsidR="00770635" w:rsidRDefault="00770635" w:rsidP="00EF646D">
            <w:r w:rsidRPr="004F7791">
              <w:rPr>
                <w:rFonts w:ascii="Calibri" w:hAnsi="Calibri" w:cs="Calibri"/>
                <w:sz w:val="20"/>
                <w:szCs w:val="20"/>
              </w:rPr>
              <w:t>NON_RES</w:t>
            </w:r>
          </w:p>
        </w:tc>
        <w:tc>
          <w:tcPr>
            <w:tcW w:w="1511" w:type="pct"/>
          </w:tcPr>
          <w:p w:rsidR="00770635" w:rsidRDefault="00770635" w:rsidP="00EF646D">
            <w:pPr>
              <w:jc w:val="center"/>
            </w:pPr>
            <w:proofErr w:type="spellStart"/>
            <w:r w:rsidRPr="003A7CE0">
              <w:rPr>
                <w:rFonts w:asciiTheme="minorHAnsi" w:hAnsiTheme="minorHAnsi" w:cstheme="minorHAnsi"/>
                <w:sz w:val="20"/>
                <w:szCs w:val="20"/>
              </w:rPr>
              <w:t>DEER:Indoor_Non-CFL_Ltg</w:t>
            </w:r>
            <w:proofErr w:type="spellEnd"/>
          </w:p>
        </w:tc>
      </w:tr>
    </w:tbl>
    <w:p w:rsidR="00E16609" w:rsidRPr="00697868" w:rsidRDefault="00E16609" w:rsidP="00E16609">
      <w:pPr>
        <w:pStyle w:val="Heading1"/>
        <w:keepNext w:val="0"/>
        <w:rPr>
          <w:rFonts w:asciiTheme="minorHAnsi" w:hAnsiTheme="minorHAnsi" w:cstheme="minorHAnsi"/>
        </w:rPr>
      </w:pPr>
      <w:bookmarkStart w:id="24" w:name="_Toc214003096"/>
      <w:r w:rsidRPr="00697868">
        <w:rPr>
          <w:rFonts w:asciiTheme="minorHAnsi" w:hAnsiTheme="minorHAnsi" w:cstheme="minorHAnsi"/>
        </w:rPr>
        <w:t>Section 4. Base Case &amp; Measure Costs</w:t>
      </w:r>
      <w:bookmarkEnd w:id="24"/>
    </w:p>
    <w:p w:rsidR="00E16609" w:rsidRPr="00697868" w:rsidRDefault="00E16609" w:rsidP="00824F1C">
      <w:pPr>
        <w:pStyle w:val="Heading2"/>
        <w:rPr>
          <w:rFonts w:asciiTheme="minorHAnsi" w:hAnsiTheme="minorHAnsi" w:cstheme="minorHAnsi"/>
        </w:rPr>
      </w:pPr>
      <w:bookmarkStart w:id="25" w:name="_MON_1399297811"/>
      <w:bookmarkStart w:id="26" w:name="_Toc214003097"/>
      <w:bookmarkEnd w:id="25"/>
      <w:r w:rsidRPr="00697868">
        <w:rPr>
          <w:rFonts w:asciiTheme="minorHAnsi" w:hAnsiTheme="minorHAnsi" w:cstheme="minorHAnsi"/>
        </w:rPr>
        <w:t>4.1 Base Case Cost</w:t>
      </w:r>
      <w:bookmarkEnd w:id="26"/>
    </w:p>
    <w:p w:rsidR="00770635" w:rsidRDefault="00770635" w:rsidP="00770635">
      <w:pPr>
        <w:pStyle w:val="Reminder"/>
        <w:rPr>
          <w:rFonts w:asciiTheme="minorHAnsi" w:hAnsiTheme="minorHAnsi" w:cstheme="minorHAnsi"/>
          <w:i w:val="0"/>
          <w:color w:val="auto"/>
          <w:sz w:val="22"/>
          <w:szCs w:val="22"/>
        </w:rPr>
      </w:pPr>
      <w:r w:rsidRPr="00407021">
        <w:rPr>
          <w:rFonts w:asciiTheme="minorHAnsi" w:hAnsiTheme="minorHAnsi" w:cstheme="minorHAnsi"/>
          <w:i w:val="0"/>
          <w:color w:val="auto"/>
          <w:sz w:val="22"/>
          <w:szCs w:val="22"/>
        </w:rPr>
        <w:t xml:space="preserve">The base case and code base case costs were taken from DEER 2008. See </w:t>
      </w:r>
      <w:r w:rsidR="00630D13">
        <w:rPr>
          <w:rFonts w:asciiTheme="minorHAnsi" w:hAnsiTheme="minorHAnsi" w:cstheme="minorHAnsi"/>
          <w:i w:val="0"/>
          <w:color w:val="auto"/>
          <w:sz w:val="22"/>
          <w:szCs w:val="22"/>
        </w:rPr>
        <w:fldChar w:fldCharType="begin"/>
      </w:r>
      <w:r w:rsidR="00630D13">
        <w:rPr>
          <w:rFonts w:asciiTheme="minorHAnsi" w:hAnsiTheme="minorHAnsi" w:cstheme="minorHAnsi"/>
          <w:i w:val="0"/>
          <w:color w:val="auto"/>
          <w:sz w:val="22"/>
          <w:szCs w:val="22"/>
        </w:rPr>
        <w:instrText xml:space="preserve"> REF _Ref394068119 \h  \* MERGEFORMAT </w:instrText>
      </w:r>
      <w:r w:rsidR="00630D13">
        <w:rPr>
          <w:rFonts w:asciiTheme="minorHAnsi" w:hAnsiTheme="minorHAnsi" w:cstheme="minorHAnsi"/>
          <w:i w:val="0"/>
          <w:color w:val="auto"/>
          <w:sz w:val="22"/>
          <w:szCs w:val="22"/>
        </w:rPr>
      </w:r>
      <w:r w:rsidR="00630D13">
        <w:rPr>
          <w:rFonts w:asciiTheme="minorHAnsi" w:hAnsiTheme="minorHAnsi" w:cstheme="minorHAnsi"/>
          <w:i w:val="0"/>
          <w:color w:val="auto"/>
          <w:sz w:val="22"/>
          <w:szCs w:val="22"/>
        </w:rPr>
        <w:fldChar w:fldCharType="separate"/>
      </w:r>
      <w:r w:rsidR="00395735" w:rsidRPr="00395735">
        <w:rPr>
          <w:rFonts w:asciiTheme="minorHAnsi" w:hAnsiTheme="minorHAnsi" w:cstheme="minorHAnsi"/>
          <w:i w:val="0"/>
          <w:color w:val="auto"/>
          <w:sz w:val="22"/>
          <w:szCs w:val="22"/>
        </w:rPr>
        <w:t>Table 12</w:t>
      </w:r>
      <w:r w:rsidR="00630D13">
        <w:rPr>
          <w:rFonts w:asciiTheme="minorHAnsi" w:hAnsiTheme="minorHAnsi" w:cstheme="minorHAnsi"/>
          <w:i w:val="0"/>
          <w:color w:val="auto"/>
          <w:sz w:val="22"/>
          <w:szCs w:val="22"/>
        </w:rPr>
        <w:fldChar w:fldCharType="end"/>
      </w:r>
      <w:r w:rsidR="00630D13">
        <w:rPr>
          <w:rFonts w:asciiTheme="minorHAnsi" w:hAnsiTheme="minorHAnsi" w:cstheme="minorHAnsi"/>
          <w:i w:val="0"/>
          <w:color w:val="auto"/>
          <w:sz w:val="22"/>
          <w:szCs w:val="22"/>
        </w:rPr>
        <w:t xml:space="preserve"> </w:t>
      </w:r>
      <w:r w:rsidRPr="00407021">
        <w:rPr>
          <w:rFonts w:asciiTheme="minorHAnsi" w:hAnsiTheme="minorHAnsi" w:cstheme="minorHAnsi"/>
          <w:i w:val="0"/>
          <w:color w:val="auto"/>
          <w:sz w:val="22"/>
          <w:szCs w:val="22"/>
        </w:rPr>
        <w:t>for base case and code base case costs.</w:t>
      </w:r>
    </w:p>
    <w:p w:rsidR="005A0E53" w:rsidRPr="00697868" w:rsidRDefault="005A0E53" w:rsidP="005A0E53">
      <w:pPr>
        <w:pStyle w:val="Heading2"/>
        <w:rPr>
          <w:rFonts w:asciiTheme="minorHAnsi" w:hAnsiTheme="minorHAnsi" w:cstheme="minorHAnsi"/>
        </w:rPr>
      </w:pPr>
      <w:bookmarkStart w:id="27" w:name="_Toc214003098"/>
      <w:r w:rsidRPr="00697868">
        <w:rPr>
          <w:rFonts w:asciiTheme="minorHAnsi" w:hAnsiTheme="minorHAnsi" w:cstheme="minorHAnsi"/>
        </w:rPr>
        <w:lastRenderedPageBreak/>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770635" w:rsidRDefault="00770635" w:rsidP="00770635">
      <w:pPr>
        <w:rPr>
          <w:rFonts w:asciiTheme="minorHAnsi" w:hAnsiTheme="minorHAnsi" w:cstheme="minorHAnsi"/>
          <w:sz w:val="22"/>
          <w:szCs w:val="22"/>
        </w:rPr>
      </w:pPr>
      <w:r>
        <w:rPr>
          <w:rFonts w:asciiTheme="minorHAnsi" w:hAnsiTheme="minorHAnsi" w:cstheme="minorHAnsi"/>
          <w:sz w:val="22"/>
          <w:szCs w:val="22"/>
        </w:rPr>
        <w:t>The measure costs</w:t>
      </w:r>
      <w:r w:rsidRPr="001231F4">
        <w:rPr>
          <w:rFonts w:asciiTheme="minorHAnsi" w:hAnsiTheme="minorHAnsi" w:cstheme="minorHAnsi"/>
          <w:sz w:val="22"/>
          <w:szCs w:val="22"/>
        </w:rPr>
        <w:t xml:space="preserve"> were taken from multiple online retailers [</w:t>
      </w:r>
      <w:r w:rsidR="00E04676">
        <w:rPr>
          <w:rFonts w:asciiTheme="minorHAnsi" w:hAnsiTheme="minorHAnsi" w:cstheme="minorHAnsi"/>
          <w:sz w:val="22"/>
          <w:szCs w:val="22"/>
        </w:rPr>
        <w:t>F</w:t>
      </w:r>
      <w:r w:rsidRPr="001231F4">
        <w:rPr>
          <w:rFonts w:asciiTheme="minorHAnsi" w:hAnsiTheme="minorHAnsi" w:cstheme="minorHAnsi"/>
          <w:sz w:val="22"/>
          <w:szCs w:val="22"/>
        </w:rPr>
        <w:t xml:space="preserve">] and </w:t>
      </w:r>
      <w:r>
        <w:rPr>
          <w:rFonts w:asciiTheme="minorHAnsi" w:hAnsiTheme="minorHAnsi" w:cstheme="minorHAnsi"/>
          <w:sz w:val="22"/>
          <w:szCs w:val="22"/>
        </w:rPr>
        <w:t xml:space="preserve">averaged.  </w:t>
      </w:r>
      <w:r w:rsidR="00630D13">
        <w:rPr>
          <w:rFonts w:asciiTheme="minorHAnsi" w:hAnsiTheme="minorHAnsi" w:cstheme="minorHAnsi"/>
          <w:sz w:val="22"/>
          <w:szCs w:val="22"/>
        </w:rPr>
        <w:t xml:space="preserve">These costs are shown in </w:t>
      </w:r>
      <w:r w:rsidR="00630D13">
        <w:rPr>
          <w:rFonts w:asciiTheme="minorHAnsi" w:hAnsiTheme="minorHAnsi" w:cstheme="minorHAnsi"/>
          <w:sz w:val="22"/>
          <w:szCs w:val="22"/>
        </w:rPr>
        <w:fldChar w:fldCharType="begin"/>
      </w:r>
      <w:r w:rsidR="00630D13">
        <w:rPr>
          <w:rFonts w:asciiTheme="minorHAnsi" w:hAnsiTheme="minorHAnsi" w:cstheme="minorHAnsi"/>
          <w:sz w:val="22"/>
          <w:szCs w:val="22"/>
        </w:rPr>
        <w:instrText xml:space="preserve"> REF _Ref394068119 \h  \* MERGEFORMAT </w:instrText>
      </w:r>
      <w:r w:rsidR="00630D13">
        <w:rPr>
          <w:rFonts w:asciiTheme="minorHAnsi" w:hAnsiTheme="minorHAnsi" w:cstheme="minorHAnsi"/>
          <w:sz w:val="22"/>
          <w:szCs w:val="22"/>
        </w:rPr>
      </w:r>
      <w:r w:rsidR="00630D13">
        <w:rPr>
          <w:rFonts w:asciiTheme="minorHAnsi" w:hAnsiTheme="minorHAnsi" w:cstheme="minorHAnsi"/>
          <w:sz w:val="22"/>
          <w:szCs w:val="22"/>
        </w:rPr>
        <w:fldChar w:fldCharType="separate"/>
      </w:r>
      <w:r w:rsidR="00395735" w:rsidRPr="00395735">
        <w:rPr>
          <w:rFonts w:asciiTheme="minorHAnsi" w:hAnsiTheme="minorHAnsi" w:cstheme="minorHAnsi"/>
          <w:sz w:val="22"/>
          <w:szCs w:val="22"/>
        </w:rPr>
        <w:t>Table 12</w:t>
      </w:r>
      <w:r w:rsidR="00630D13">
        <w:rPr>
          <w:rFonts w:asciiTheme="minorHAnsi" w:hAnsiTheme="minorHAnsi" w:cstheme="minorHAnsi"/>
          <w:sz w:val="22"/>
          <w:szCs w:val="22"/>
        </w:rPr>
        <w:fldChar w:fldCharType="end"/>
      </w:r>
      <w:r w:rsidR="00630D13">
        <w:rPr>
          <w:rFonts w:asciiTheme="minorHAnsi" w:hAnsiTheme="minorHAnsi" w:cstheme="minorHAnsi"/>
          <w:sz w:val="22"/>
          <w:szCs w:val="22"/>
        </w:rPr>
        <w:t>.</w:t>
      </w:r>
    </w:p>
    <w:p w:rsidR="00630D13" w:rsidRDefault="00630D13" w:rsidP="00770635">
      <w:pPr>
        <w:rPr>
          <w:rFonts w:asciiTheme="minorHAnsi" w:hAnsiTheme="minorHAnsi" w:cstheme="minorHAnsi"/>
          <w:sz w:val="22"/>
          <w:szCs w:val="22"/>
        </w:rPr>
      </w:pPr>
    </w:p>
    <w:p w:rsidR="00630D13" w:rsidRDefault="00630D13" w:rsidP="00630D13">
      <w:pPr>
        <w:jc w:val="center"/>
        <w:rPr>
          <w:rFonts w:asciiTheme="minorHAnsi" w:hAnsiTheme="minorHAnsi" w:cstheme="minorHAnsi"/>
          <w:b/>
          <w:sz w:val="22"/>
          <w:szCs w:val="22"/>
        </w:rPr>
      </w:pPr>
      <w:bookmarkStart w:id="28" w:name="_Ref394068119"/>
      <w:r w:rsidRPr="006323F0">
        <w:rPr>
          <w:rFonts w:asciiTheme="minorHAnsi" w:hAnsiTheme="minorHAnsi" w:cstheme="minorHAnsi"/>
          <w:b/>
          <w:sz w:val="22"/>
          <w:szCs w:val="22"/>
        </w:rPr>
        <w:t xml:space="preserve">Table </w:t>
      </w:r>
      <w:r w:rsidRPr="006323F0">
        <w:rPr>
          <w:rFonts w:asciiTheme="minorHAnsi" w:hAnsiTheme="minorHAnsi" w:cstheme="minorHAnsi"/>
          <w:b/>
          <w:sz w:val="22"/>
          <w:szCs w:val="22"/>
        </w:rPr>
        <w:fldChar w:fldCharType="begin"/>
      </w:r>
      <w:r w:rsidRPr="006323F0">
        <w:rPr>
          <w:rFonts w:asciiTheme="minorHAnsi" w:hAnsiTheme="minorHAnsi" w:cstheme="minorHAnsi"/>
          <w:b/>
          <w:sz w:val="22"/>
          <w:szCs w:val="22"/>
        </w:rPr>
        <w:instrText xml:space="preserve"> SEQ Table \* ARABIC </w:instrText>
      </w:r>
      <w:r w:rsidRPr="006323F0">
        <w:rPr>
          <w:rFonts w:asciiTheme="minorHAnsi" w:hAnsiTheme="minorHAnsi" w:cstheme="minorHAnsi"/>
          <w:b/>
          <w:sz w:val="22"/>
          <w:szCs w:val="22"/>
        </w:rPr>
        <w:fldChar w:fldCharType="separate"/>
      </w:r>
      <w:r w:rsidR="00395735">
        <w:rPr>
          <w:rFonts w:asciiTheme="minorHAnsi" w:hAnsiTheme="minorHAnsi" w:cstheme="minorHAnsi"/>
          <w:b/>
          <w:noProof/>
          <w:sz w:val="22"/>
          <w:szCs w:val="22"/>
        </w:rPr>
        <w:t>12</w:t>
      </w:r>
      <w:r w:rsidRPr="006323F0">
        <w:rPr>
          <w:rFonts w:asciiTheme="minorHAnsi" w:hAnsiTheme="minorHAnsi" w:cstheme="minorHAnsi"/>
          <w:b/>
          <w:sz w:val="22"/>
          <w:szCs w:val="22"/>
        </w:rPr>
        <w:fldChar w:fldCharType="end"/>
      </w:r>
      <w:bookmarkEnd w:id="28"/>
      <w:r w:rsidRPr="006323F0">
        <w:rPr>
          <w:rFonts w:asciiTheme="minorHAnsi" w:hAnsiTheme="minorHAnsi" w:cstheme="minorHAnsi"/>
          <w:b/>
          <w:sz w:val="22"/>
          <w:szCs w:val="22"/>
        </w:rPr>
        <w:t xml:space="preserve"> Measure Cost</w:t>
      </w:r>
    </w:p>
    <w:tbl>
      <w:tblPr>
        <w:tblStyle w:val="TableContemporary"/>
        <w:tblW w:w="9108" w:type="dxa"/>
        <w:jc w:val="center"/>
        <w:tblLook w:val="01E0" w:firstRow="1" w:lastRow="1" w:firstColumn="1" w:lastColumn="1" w:noHBand="0" w:noVBand="0"/>
      </w:tblPr>
      <w:tblGrid>
        <w:gridCol w:w="2808"/>
        <w:gridCol w:w="1440"/>
        <w:gridCol w:w="1080"/>
        <w:gridCol w:w="1260"/>
        <w:gridCol w:w="1080"/>
        <w:gridCol w:w="1440"/>
      </w:tblGrid>
      <w:tr w:rsidR="00630D13" w:rsidRPr="001231F4" w:rsidTr="00A85F9A">
        <w:trPr>
          <w:cnfStyle w:val="100000000000" w:firstRow="1" w:lastRow="0" w:firstColumn="0" w:lastColumn="0" w:oddVBand="0" w:evenVBand="0" w:oddHBand="0" w:evenHBand="0" w:firstRowFirstColumn="0" w:firstRowLastColumn="0" w:lastRowFirstColumn="0" w:lastRowLastColumn="0"/>
          <w:trHeight w:val="657"/>
          <w:tblHeader/>
          <w:jc w:val="center"/>
        </w:trPr>
        <w:tc>
          <w:tcPr>
            <w:tcW w:w="2808"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Description</w:t>
            </w:r>
          </w:p>
        </w:tc>
        <w:tc>
          <w:tcPr>
            <w:tcW w:w="144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 xml:space="preserve">Measure Case </w:t>
            </w:r>
            <w:r>
              <w:rPr>
                <w:rFonts w:asciiTheme="minorHAnsi" w:hAnsiTheme="minorHAnsi" w:cstheme="minorHAnsi"/>
                <w:sz w:val="20"/>
                <w:szCs w:val="20"/>
              </w:rPr>
              <w:t xml:space="preserve">Fixture </w:t>
            </w:r>
            <w:r w:rsidRPr="001231F4">
              <w:rPr>
                <w:rFonts w:asciiTheme="minorHAnsi" w:hAnsiTheme="minorHAnsi" w:cstheme="minorHAnsi"/>
                <w:sz w:val="20"/>
                <w:szCs w:val="20"/>
              </w:rPr>
              <w:t>Wattage</w:t>
            </w:r>
          </w:p>
        </w:tc>
        <w:tc>
          <w:tcPr>
            <w:tcW w:w="108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Measure Cost</w:t>
            </w:r>
          </w:p>
        </w:tc>
        <w:tc>
          <w:tcPr>
            <w:tcW w:w="1260"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Base Case Wattage</w:t>
            </w:r>
          </w:p>
        </w:tc>
        <w:tc>
          <w:tcPr>
            <w:tcW w:w="1080"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Base Cost</w:t>
            </w:r>
          </w:p>
        </w:tc>
        <w:tc>
          <w:tcPr>
            <w:tcW w:w="1440" w:type="dxa"/>
            <w:vAlign w:val="center"/>
          </w:tcPr>
          <w:p w:rsidR="00630D13" w:rsidRPr="001231F4" w:rsidRDefault="00630D13" w:rsidP="00A85F9A">
            <w:pPr>
              <w:jc w:val="center"/>
              <w:rPr>
                <w:rFonts w:asciiTheme="minorHAnsi" w:hAnsiTheme="minorHAnsi" w:cstheme="minorHAnsi"/>
                <w:sz w:val="20"/>
                <w:szCs w:val="20"/>
              </w:rPr>
            </w:pPr>
            <w:r>
              <w:rPr>
                <w:rFonts w:asciiTheme="minorHAnsi" w:hAnsiTheme="minorHAnsi" w:cstheme="minorHAnsi"/>
                <w:sz w:val="20"/>
                <w:szCs w:val="20"/>
              </w:rPr>
              <w:t>Code Base Case Cost</w:t>
            </w:r>
          </w:p>
        </w:tc>
      </w:tr>
      <w:tr w:rsidR="00630D13" w:rsidRPr="001231F4" w:rsidTr="00A85F9A">
        <w:trPr>
          <w:cnfStyle w:val="000000100000" w:firstRow="0" w:lastRow="0" w:firstColumn="0" w:lastColumn="0" w:oddVBand="0" w:evenVBand="0" w:oddHBand="1" w:evenHBand="0" w:firstRowFirstColumn="0" w:firstRowLastColumn="0" w:lastRowFirstColumn="0" w:lastRowLastColumn="0"/>
          <w:trHeight w:val="255"/>
          <w:jc w:val="center"/>
        </w:trPr>
        <w:tc>
          <w:tcPr>
            <w:tcW w:w="2808" w:type="dxa"/>
            <w:vAlign w:val="bottom"/>
          </w:tcPr>
          <w:p w:rsidR="00630D13" w:rsidRDefault="00630D13" w:rsidP="00A85F9A">
            <w:pPr>
              <w:rPr>
                <w:rFonts w:ascii="Calibri" w:hAnsi="Calibri" w:cs="Calibri"/>
                <w:sz w:val="20"/>
                <w:szCs w:val="20"/>
              </w:rPr>
            </w:pPr>
            <w:r>
              <w:rPr>
                <w:rFonts w:ascii="Calibri" w:hAnsi="Calibri" w:cs="Calibri"/>
                <w:sz w:val="20"/>
                <w:szCs w:val="20"/>
              </w:rPr>
              <w:t>Up to 70 Watt Interior Fixture Induction replacing less than or equal to 100 Watt lamp base case</w:t>
            </w:r>
          </w:p>
        </w:tc>
        <w:tc>
          <w:tcPr>
            <w:tcW w:w="144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40</w:t>
            </w:r>
          </w:p>
        </w:tc>
        <w:tc>
          <w:tcPr>
            <w:tcW w:w="1080"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$313.44</w:t>
            </w:r>
          </w:p>
        </w:tc>
        <w:tc>
          <w:tcPr>
            <w:tcW w:w="1260" w:type="dxa"/>
            <w:vAlign w:val="center"/>
          </w:tcPr>
          <w:p w:rsidR="00630D13" w:rsidRPr="001231F4" w:rsidRDefault="00630D13" w:rsidP="00A85F9A">
            <w:pPr>
              <w:jc w:val="center"/>
              <w:rPr>
                <w:rFonts w:asciiTheme="minorHAnsi" w:hAnsiTheme="minorHAnsi" w:cstheme="minorHAnsi"/>
                <w:sz w:val="20"/>
                <w:szCs w:val="20"/>
              </w:rPr>
            </w:pPr>
            <w:r>
              <w:rPr>
                <w:rFonts w:asciiTheme="minorHAnsi" w:hAnsiTheme="minorHAnsi" w:cstheme="minorHAnsi"/>
                <w:sz w:val="20"/>
                <w:szCs w:val="20"/>
              </w:rPr>
              <w:t>≤</w:t>
            </w:r>
            <w:r w:rsidRPr="001231F4">
              <w:rPr>
                <w:rFonts w:asciiTheme="minorHAnsi" w:hAnsiTheme="minorHAnsi" w:cstheme="minorHAnsi"/>
                <w:sz w:val="20"/>
                <w:szCs w:val="20"/>
              </w:rPr>
              <w:t>100</w:t>
            </w:r>
          </w:p>
        </w:tc>
        <w:tc>
          <w:tcPr>
            <w:tcW w:w="108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$132.51</w:t>
            </w:r>
          </w:p>
        </w:tc>
        <w:tc>
          <w:tcPr>
            <w:tcW w:w="144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N/A</w:t>
            </w:r>
          </w:p>
        </w:tc>
      </w:tr>
      <w:tr w:rsidR="00630D13" w:rsidRPr="001231F4" w:rsidTr="00A85F9A">
        <w:trPr>
          <w:cnfStyle w:val="000000010000" w:firstRow="0" w:lastRow="0" w:firstColumn="0" w:lastColumn="0" w:oddVBand="0" w:evenVBand="0" w:oddHBand="0" w:evenHBand="1" w:firstRowFirstColumn="0" w:firstRowLastColumn="0" w:lastRowFirstColumn="0" w:lastRowLastColumn="0"/>
          <w:trHeight w:val="255"/>
          <w:jc w:val="center"/>
        </w:trPr>
        <w:tc>
          <w:tcPr>
            <w:tcW w:w="2808" w:type="dxa"/>
            <w:vAlign w:val="bottom"/>
          </w:tcPr>
          <w:p w:rsidR="00630D13" w:rsidRDefault="00630D13" w:rsidP="00A85F9A">
            <w:pPr>
              <w:rPr>
                <w:rFonts w:ascii="Calibri" w:hAnsi="Calibri" w:cs="Calibri"/>
                <w:sz w:val="20"/>
                <w:szCs w:val="20"/>
              </w:rPr>
            </w:pPr>
            <w:r>
              <w:rPr>
                <w:rFonts w:ascii="Calibri" w:hAnsi="Calibri" w:cs="Calibri"/>
                <w:sz w:val="20"/>
                <w:szCs w:val="20"/>
              </w:rPr>
              <w:t>Up to 120 Watt Interior Fixture Induction replacing 101 - 175 Watt lamp base case</w:t>
            </w:r>
          </w:p>
        </w:tc>
        <w:tc>
          <w:tcPr>
            <w:tcW w:w="144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100</w:t>
            </w:r>
          </w:p>
        </w:tc>
        <w:tc>
          <w:tcPr>
            <w:tcW w:w="1080"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$327.92</w:t>
            </w:r>
          </w:p>
        </w:tc>
        <w:tc>
          <w:tcPr>
            <w:tcW w:w="1260" w:type="dxa"/>
            <w:vAlign w:val="center"/>
          </w:tcPr>
          <w:p w:rsidR="00630D13" w:rsidRPr="001231F4" w:rsidRDefault="00630D13" w:rsidP="00A85F9A">
            <w:pPr>
              <w:jc w:val="center"/>
              <w:rPr>
                <w:rFonts w:asciiTheme="minorHAnsi" w:hAnsiTheme="minorHAnsi" w:cstheme="minorHAnsi"/>
                <w:sz w:val="20"/>
                <w:szCs w:val="20"/>
              </w:rPr>
            </w:pPr>
            <w:r>
              <w:rPr>
                <w:rFonts w:asciiTheme="minorHAnsi" w:hAnsiTheme="minorHAnsi" w:cstheme="minorHAnsi"/>
                <w:sz w:val="20"/>
                <w:szCs w:val="20"/>
              </w:rPr>
              <w:t>101 - 175</w:t>
            </w:r>
          </w:p>
        </w:tc>
        <w:tc>
          <w:tcPr>
            <w:tcW w:w="108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$137.67</w:t>
            </w:r>
          </w:p>
        </w:tc>
        <w:tc>
          <w:tcPr>
            <w:tcW w:w="144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$135.34</w:t>
            </w:r>
          </w:p>
        </w:tc>
      </w:tr>
      <w:tr w:rsidR="00630D13" w:rsidRPr="001231F4" w:rsidTr="00A85F9A">
        <w:trPr>
          <w:cnfStyle w:val="000000100000" w:firstRow="0" w:lastRow="0" w:firstColumn="0" w:lastColumn="0" w:oddVBand="0" w:evenVBand="0" w:oddHBand="1" w:evenHBand="0" w:firstRowFirstColumn="0" w:firstRowLastColumn="0" w:lastRowFirstColumn="0" w:lastRowLastColumn="0"/>
          <w:trHeight w:val="255"/>
          <w:jc w:val="center"/>
        </w:trPr>
        <w:tc>
          <w:tcPr>
            <w:tcW w:w="2808" w:type="dxa"/>
            <w:vAlign w:val="bottom"/>
          </w:tcPr>
          <w:p w:rsidR="00630D13" w:rsidRDefault="00630D13" w:rsidP="00A85F9A">
            <w:pPr>
              <w:rPr>
                <w:rFonts w:ascii="Calibri" w:hAnsi="Calibri" w:cs="Calibri"/>
                <w:sz w:val="20"/>
                <w:szCs w:val="20"/>
              </w:rPr>
            </w:pPr>
            <w:r>
              <w:rPr>
                <w:rFonts w:ascii="Calibri" w:hAnsi="Calibri" w:cs="Calibri"/>
                <w:sz w:val="20"/>
                <w:szCs w:val="20"/>
              </w:rPr>
              <w:t>Up to 180 Watt Interior Fixture Induction replacing 176 - 399 Watt lamp base case</w:t>
            </w:r>
          </w:p>
        </w:tc>
        <w:tc>
          <w:tcPr>
            <w:tcW w:w="144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150</w:t>
            </w:r>
          </w:p>
        </w:tc>
        <w:tc>
          <w:tcPr>
            <w:tcW w:w="1080"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$545.06</w:t>
            </w:r>
          </w:p>
        </w:tc>
        <w:tc>
          <w:tcPr>
            <w:tcW w:w="1260" w:type="dxa"/>
            <w:vAlign w:val="center"/>
          </w:tcPr>
          <w:p w:rsidR="00630D13" w:rsidRPr="001231F4" w:rsidRDefault="00630D13" w:rsidP="00A85F9A">
            <w:pPr>
              <w:jc w:val="center"/>
              <w:rPr>
                <w:rFonts w:asciiTheme="minorHAnsi" w:hAnsiTheme="minorHAnsi" w:cstheme="minorHAnsi"/>
                <w:sz w:val="20"/>
                <w:szCs w:val="20"/>
              </w:rPr>
            </w:pPr>
            <w:r>
              <w:rPr>
                <w:rFonts w:asciiTheme="minorHAnsi" w:hAnsiTheme="minorHAnsi" w:cstheme="minorHAnsi"/>
                <w:sz w:val="20"/>
                <w:szCs w:val="20"/>
              </w:rPr>
              <w:t>176 - 399</w:t>
            </w:r>
          </w:p>
        </w:tc>
        <w:tc>
          <w:tcPr>
            <w:tcW w:w="108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$152.84</w:t>
            </w:r>
          </w:p>
        </w:tc>
        <w:tc>
          <w:tcPr>
            <w:tcW w:w="144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$148.33</w:t>
            </w:r>
          </w:p>
        </w:tc>
      </w:tr>
      <w:tr w:rsidR="00630D13" w:rsidRPr="001231F4" w:rsidTr="00A85F9A">
        <w:trPr>
          <w:cnfStyle w:val="000000010000" w:firstRow="0" w:lastRow="0" w:firstColumn="0" w:lastColumn="0" w:oddVBand="0" w:evenVBand="0" w:oddHBand="0" w:evenHBand="1" w:firstRowFirstColumn="0" w:firstRowLastColumn="0" w:lastRowFirstColumn="0" w:lastRowLastColumn="0"/>
          <w:trHeight w:val="255"/>
          <w:jc w:val="center"/>
        </w:trPr>
        <w:tc>
          <w:tcPr>
            <w:tcW w:w="2808" w:type="dxa"/>
            <w:vAlign w:val="bottom"/>
          </w:tcPr>
          <w:p w:rsidR="00630D13" w:rsidRDefault="00630D13" w:rsidP="00A85F9A">
            <w:pPr>
              <w:rPr>
                <w:rFonts w:ascii="Calibri" w:hAnsi="Calibri" w:cs="Calibri"/>
                <w:sz w:val="20"/>
                <w:szCs w:val="20"/>
              </w:rPr>
            </w:pPr>
            <w:r>
              <w:rPr>
                <w:rFonts w:ascii="Calibri" w:hAnsi="Calibri" w:cs="Calibri"/>
                <w:sz w:val="20"/>
                <w:szCs w:val="20"/>
              </w:rPr>
              <w:t>Up to 250 Watt (Tier 1) Interior Fixture Induction replacing 400 Watt lamp base case</w:t>
            </w:r>
          </w:p>
        </w:tc>
        <w:tc>
          <w:tcPr>
            <w:tcW w:w="144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200</w:t>
            </w:r>
          </w:p>
        </w:tc>
        <w:tc>
          <w:tcPr>
            <w:tcW w:w="1080"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$498.96</w:t>
            </w:r>
          </w:p>
        </w:tc>
        <w:tc>
          <w:tcPr>
            <w:tcW w:w="1260"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400</w:t>
            </w:r>
          </w:p>
        </w:tc>
        <w:tc>
          <w:tcPr>
            <w:tcW w:w="108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$164.40</w:t>
            </w:r>
          </w:p>
        </w:tc>
        <w:tc>
          <w:tcPr>
            <w:tcW w:w="144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$203.54</w:t>
            </w:r>
          </w:p>
        </w:tc>
      </w:tr>
      <w:tr w:rsidR="00630D13" w:rsidRPr="001231F4" w:rsidTr="00A85F9A">
        <w:trPr>
          <w:cnfStyle w:val="000000100000" w:firstRow="0" w:lastRow="0" w:firstColumn="0" w:lastColumn="0" w:oddVBand="0" w:evenVBand="0" w:oddHBand="1" w:evenHBand="0" w:firstRowFirstColumn="0" w:firstRowLastColumn="0" w:lastRowFirstColumn="0" w:lastRowLastColumn="0"/>
          <w:trHeight w:val="255"/>
          <w:jc w:val="center"/>
        </w:trPr>
        <w:tc>
          <w:tcPr>
            <w:tcW w:w="2808" w:type="dxa"/>
            <w:vAlign w:val="bottom"/>
          </w:tcPr>
          <w:p w:rsidR="00630D13" w:rsidRDefault="00630D13" w:rsidP="00A85F9A">
            <w:pPr>
              <w:rPr>
                <w:rFonts w:ascii="Calibri" w:hAnsi="Calibri" w:cs="Calibri"/>
                <w:sz w:val="20"/>
                <w:szCs w:val="20"/>
              </w:rPr>
            </w:pPr>
            <w:r>
              <w:rPr>
                <w:rFonts w:ascii="Calibri" w:hAnsi="Calibri" w:cs="Calibri"/>
                <w:sz w:val="20"/>
                <w:szCs w:val="20"/>
              </w:rPr>
              <w:t>Up to 360 Watt (Tier 2) Interior Fixture Induction replacing 400 Watt lamp base case</w:t>
            </w:r>
          </w:p>
        </w:tc>
        <w:tc>
          <w:tcPr>
            <w:tcW w:w="1440"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300</w:t>
            </w:r>
          </w:p>
        </w:tc>
        <w:tc>
          <w:tcPr>
            <w:tcW w:w="1080"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$632.30</w:t>
            </w:r>
          </w:p>
        </w:tc>
        <w:tc>
          <w:tcPr>
            <w:tcW w:w="1260"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400</w:t>
            </w:r>
          </w:p>
        </w:tc>
        <w:tc>
          <w:tcPr>
            <w:tcW w:w="108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$164.40</w:t>
            </w:r>
          </w:p>
        </w:tc>
        <w:tc>
          <w:tcPr>
            <w:tcW w:w="1440"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$203.54</w:t>
            </w:r>
          </w:p>
        </w:tc>
      </w:tr>
    </w:tbl>
    <w:p w:rsidR="00630D13" w:rsidRDefault="00630D13" w:rsidP="00770635">
      <w:pPr>
        <w:rPr>
          <w:rFonts w:asciiTheme="minorHAnsi" w:hAnsiTheme="minorHAnsi" w:cstheme="minorHAnsi"/>
          <w:sz w:val="22"/>
          <w:szCs w:val="22"/>
        </w:rPr>
      </w:pP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7"/>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770635" w:rsidRPr="006323F0" w:rsidRDefault="00770635" w:rsidP="00770635">
      <w:pPr>
        <w:rPr>
          <w:rFonts w:asciiTheme="minorHAnsi" w:hAnsiTheme="minorHAnsi" w:cstheme="minorHAnsi"/>
          <w:sz w:val="22"/>
          <w:szCs w:val="22"/>
        </w:rPr>
      </w:pPr>
      <w:r>
        <w:rPr>
          <w:rFonts w:asciiTheme="minorHAnsi" w:hAnsiTheme="minorHAnsi" w:cstheme="minorHAnsi"/>
          <w:sz w:val="22"/>
          <w:szCs w:val="22"/>
        </w:rPr>
        <w:t>For</w:t>
      </w:r>
      <w:r w:rsidRPr="006323F0">
        <w:rPr>
          <w:rFonts w:asciiTheme="minorHAnsi" w:hAnsiTheme="minorHAnsi" w:cstheme="minorHAnsi"/>
          <w:sz w:val="22"/>
          <w:szCs w:val="22"/>
        </w:rPr>
        <w:t xml:space="preserve"> ROB, the equipment being replaced is assumed to have failed in place or </w:t>
      </w:r>
      <w:r w:rsidR="00553A49">
        <w:rPr>
          <w:rFonts w:asciiTheme="minorHAnsi" w:hAnsiTheme="minorHAnsi" w:cstheme="minorHAnsi"/>
          <w:sz w:val="22"/>
          <w:szCs w:val="22"/>
        </w:rPr>
        <w:t>has operated</w:t>
      </w:r>
      <w:r w:rsidRPr="006323F0">
        <w:rPr>
          <w:rFonts w:asciiTheme="minorHAnsi" w:hAnsiTheme="minorHAnsi" w:cstheme="minorHAnsi"/>
          <w:sz w:val="22"/>
          <w:szCs w:val="22"/>
        </w:rPr>
        <w:t xml:space="preserve"> past its useful life. The customer is faced with either purchasing standard efficiency or code baseline equipment versus energy efficient equipment.  Therefore, gross measure cost (GMC) means the cost premium required to install the energy efficient measure over a less efficient piece of equipment. GMC is represented by the equation below:</w:t>
      </w:r>
    </w:p>
    <w:p w:rsidR="00770635" w:rsidRPr="006323F0" w:rsidRDefault="00770635" w:rsidP="00770635">
      <w:pPr>
        <w:rPr>
          <w:rFonts w:asciiTheme="minorHAnsi" w:hAnsiTheme="minorHAnsi" w:cstheme="minorHAnsi"/>
          <w:sz w:val="22"/>
          <w:szCs w:val="22"/>
        </w:rPr>
      </w:pPr>
    </w:p>
    <w:p w:rsidR="00770635" w:rsidRPr="006323F0" w:rsidRDefault="00770635" w:rsidP="00770635">
      <w:pPr>
        <w:ind w:firstLine="720"/>
        <w:rPr>
          <w:rFonts w:asciiTheme="minorHAnsi" w:hAnsiTheme="minorHAnsi" w:cstheme="minorHAnsi"/>
          <w:sz w:val="22"/>
          <w:szCs w:val="22"/>
        </w:rPr>
      </w:pPr>
      <w:r w:rsidRPr="006323F0">
        <w:rPr>
          <w:rFonts w:asciiTheme="minorHAnsi" w:hAnsiTheme="minorHAnsi" w:cstheme="minorHAnsi"/>
          <w:sz w:val="22"/>
          <w:szCs w:val="22"/>
        </w:rPr>
        <w:t xml:space="preserve">GMC </w:t>
      </w:r>
      <w:r w:rsidRPr="006323F0">
        <w:rPr>
          <w:rFonts w:asciiTheme="minorHAnsi" w:hAnsiTheme="minorHAnsi" w:cstheme="minorHAnsi"/>
          <w:sz w:val="22"/>
          <w:szCs w:val="22"/>
        </w:rPr>
        <w:tab/>
        <w:t>= (Measure Equipment Cost + Measure Labor Cost) –</w:t>
      </w:r>
    </w:p>
    <w:p w:rsidR="00770635" w:rsidRDefault="00770635" w:rsidP="00770635">
      <w:pPr>
        <w:ind w:left="720" w:firstLine="720"/>
        <w:rPr>
          <w:rFonts w:asciiTheme="minorHAnsi" w:hAnsiTheme="minorHAnsi" w:cstheme="minorHAnsi"/>
          <w:sz w:val="22"/>
          <w:szCs w:val="22"/>
        </w:rPr>
      </w:pPr>
      <w:r w:rsidRPr="006323F0">
        <w:rPr>
          <w:rFonts w:asciiTheme="minorHAnsi" w:hAnsiTheme="minorHAnsi" w:cstheme="minorHAnsi"/>
          <w:sz w:val="22"/>
          <w:szCs w:val="22"/>
        </w:rPr>
        <w:t xml:space="preserve">    (</w:t>
      </w:r>
      <w:r>
        <w:rPr>
          <w:rFonts w:asciiTheme="minorHAnsi" w:hAnsiTheme="minorHAnsi" w:cstheme="minorHAnsi"/>
          <w:sz w:val="22"/>
          <w:szCs w:val="22"/>
        </w:rPr>
        <w:t xml:space="preserve">Code </w:t>
      </w:r>
      <w:r w:rsidRPr="006323F0">
        <w:rPr>
          <w:rFonts w:asciiTheme="minorHAnsi" w:hAnsiTheme="minorHAnsi" w:cstheme="minorHAnsi"/>
          <w:sz w:val="22"/>
          <w:szCs w:val="22"/>
        </w:rPr>
        <w:t xml:space="preserve">Base Case Equipment Cost + </w:t>
      </w:r>
      <w:r>
        <w:rPr>
          <w:rFonts w:asciiTheme="minorHAnsi" w:hAnsiTheme="minorHAnsi" w:cstheme="minorHAnsi"/>
          <w:sz w:val="22"/>
          <w:szCs w:val="22"/>
        </w:rPr>
        <w:t xml:space="preserve">Code </w:t>
      </w:r>
      <w:r w:rsidRPr="006323F0">
        <w:rPr>
          <w:rFonts w:asciiTheme="minorHAnsi" w:hAnsiTheme="minorHAnsi" w:cstheme="minorHAnsi"/>
          <w:sz w:val="22"/>
          <w:szCs w:val="22"/>
        </w:rPr>
        <w:t>Base Case Labor Cost)</w:t>
      </w:r>
    </w:p>
    <w:p w:rsidR="00770635" w:rsidRDefault="00770635" w:rsidP="00770635">
      <w:pPr>
        <w:ind w:left="720" w:firstLine="720"/>
        <w:rPr>
          <w:rFonts w:asciiTheme="minorHAnsi" w:hAnsiTheme="minorHAnsi" w:cstheme="minorHAnsi"/>
          <w:sz w:val="22"/>
          <w:szCs w:val="22"/>
        </w:rPr>
      </w:pPr>
    </w:p>
    <w:p w:rsidR="00770635" w:rsidRPr="006323F0" w:rsidRDefault="00770635" w:rsidP="00770635">
      <w:pPr>
        <w:ind w:left="720" w:firstLine="720"/>
        <w:rPr>
          <w:rFonts w:asciiTheme="minorHAnsi" w:hAnsiTheme="minorHAnsi" w:cstheme="minorHAnsi"/>
          <w:sz w:val="22"/>
          <w:szCs w:val="22"/>
        </w:rPr>
      </w:pPr>
      <w:r w:rsidRPr="006323F0">
        <w:rPr>
          <w:rFonts w:asciiTheme="minorHAnsi" w:hAnsiTheme="minorHAnsi" w:cstheme="minorHAnsi"/>
          <w:sz w:val="22"/>
          <w:szCs w:val="22"/>
        </w:rPr>
        <w:t>= (Measure Equ</w:t>
      </w:r>
      <w:r>
        <w:rPr>
          <w:rFonts w:asciiTheme="minorHAnsi" w:hAnsiTheme="minorHAnsi" w:cstheme="minorHAnsi"/>
          <w:sz w:val="22"/>
          <w:szCs w:val="22"/>
        </w:rPr>
        <w:t>ipment Cost – Code Base Case Equipment Cost</w:t>
      </w:r>
      <w:r w:rsidRPr="006323F0">
        <w:rPr>
          <w:rFonts w:asciiTheme="minorHAnsi" w:hAnsiTheme="minorHAnsi" w:cstheme="minorHAnsi"/>
          <w:sz w:val="22"/>
          <w:szCs w:val="22"/>
        </w:rPr>
        <w:t>)</w:t>
      </w:r>
    </w:p>
    <w:p w:rsidR="00770635" w:rsidRPr="006323F0" w:rsidRDefault="00770635" w:rsidP="00770635">
      <w:pPr>
        <w:ind w:left="720" w:right="720"/>
        <w:rPr>
          <w:rFonts w:asciiTheme="minorHAnsi" w:hAnsiTheme="minorHAnsi" w:cstheme="minorHAnsi"/>
          <w:sz w:val="22"/>
          <w:szCs w:val="22"/>
        </w:rPr>
      </w:pPr>
    </w:p>
    <w:p w:rsidR="00770635" w:rsidRDefault="00770635" w:rsidP="00770635">
      <w:pPr>
        <w:ind w:left="720" w:right="720"/>
        <w:rPr>
          <w:rFonts w:asciiTheme="minorHAnsi" w:hAnsiTheme="minorHAnsi" w:cstheme="minorHAnsi"/>
          <w:sz w:val="22"/>
          <w:szCs w:val="22"/>
        </w:rPr>
      </w:pPr>
      <w:r w:rsidRPr="006323F0">
        <w:rPr>
          <w:rFonts w:asciiTheme="minorHAnsi" w:hAnsiTheme="minorHAnsi" w:cstheme="minorHAnsi"/>
          <w:sz w:val="22"/>
          <w:szCs w:val="22"/>
        </w:rPr>
        <w:t>*Note: Unless stated otherwise the measure case labor and base case labor are assumed to be the same value.</w:t>
      </w:r>
    </w:p>
    <w:p w:rsidR="00770635" w:rsidRPr="006323F0" w:rsidRDefault="00770635" w:rsidP="00770635">
      <w:pPr>
        <w:ind w:left="720" w:right="720"/>
        <w:rPr>
          <w:rFonts w:asciiTheme="minorHAnsi" w:hAnsiTheme="minorHAnsi" w:cstheme="minorHAnsi"/>
          <w:i/>
          <w:sz w:val="22"/>
          <w:szCs w:val="22"/>
        </w:rPr>
      </w:pPr>
    </w:p>
    <w:p w:rsidR="00553A49" w:rsidRDefault="00553A49" w:rsidP="00630D13">
      <w:pPr>
        <w:jc w:val="center"/>
        <w:rPr>
          <w:rFonts w:asciiTheme="minorHAnsi" w:hAnsiTheme="minorHAnsi" w:cstheme="minorHAnsi"/>
          <w:b/>
          <w:sz w:val="22"/>
          <w:szCs w:val="22"/>
        </w:rPr>
      </w:pPr>
    </w:p>
    <w:p w:rsidR="00553A49" w:rsidRDefault="00553A49" w:rsidP="00630D13">
      <w:pPr>
        <w:jc w:val="center"/>
        <w:rPr>
          <w:rFonts w:asciiTheme="minorHAnsi" w:hAnsiTheme="minorHAnsi" w:cstheme="minorHAnsi"/>
          <w:b/>
          <w:sz w:val="22"/>
          <w:szCs w:val="22"/>
        </w:rPr>
      </w:pPr>
    </w:p>
    <w:p w:rsidR="00553A49" w:rsidRDefault="00553A49" w:rsidP="00630D13">
      <w:pPr>
        <w:jc w:val="center"/>
        <w:rPr>
          <w:rFonts w:asciiTheme="minorHAnsi" w:hAnsiTheme="minorHAnsi" w:cstheme="minorHAnsi"/>
          <w:b/>
          <w:sz w:val="22"/>
          <w:szCs w:val="22"/>
        </w:rPr>
      </w:pPr>
    </w:p>
    <w:p w:rsidR="00553A49" w:rsidRDefault="00553A49" w:rsidP="00630D13">
      <w:pPr>
        <w:jc w:val="center"/>
        <w:rPr>
          <w:rFonts w:asciiTheme="minorHAnsi" w:hAnsiTheme="minorHAnsi" w:cstheme="minorHAnsi"/>
          <w:b/>
          <w:sz w:val="22"/>
          <w:szCs w:val="22"/>
        </w:rPr>
      </w:pPr>
    </w:p>
    <w:p w:rsidR="00630D13" w:rsidRDefault="00630D13" w:rsidP="00630D13">
      <w:pPr>
        <w:jc w:val="center"/>
        <w:rPr>
          <w:rFonts w:asciiTheme="minorHAnsi" w:hAnsiTheme="minorHAnsi" w:cstheme="minorHAnsi"/>
          <w:b/>
          <w:sz w:val="22"/>
          <w:szCs w:val="22"/>
        </w:rPr>
      </w:pPr>
      <w:r w:rsidRPr="006323F0">
        <w:rPr>
          <w:rFonts w:asciiTheme="minorHAnsi" w:hAnsiTheme="minorHAnsi" w:cstheme="minorHAnsi"/>
          <w:b/>
          <w:sz w:val="22"/>
          <w:szCs w:val="22"/>
        </w:rPr>
        <w:lastRenderedPageBreak/>
        <w:t xml:space="preserve">Table </w:t>
      </w:r>
      <w:r w:rsidRPr="006323F0">
        <w:rPr>
          <w:rFonts w:asciiTheme="minorHAnsi" w:hAnsiTheme="minorHAnsi" w:cstheme="minorHAnsi"/>
          <w:b/>
          <w:sz w:val="22"/>
          <w:szCs w:val="22"/>
        </w:rPr>
        <w:fldChar w:fldCharType="begin"/>
      </w:r>
      <w:r w:rsidRPr="006323F0">
        <w:rPr>
          <w:rFonts w:asciiTheme="minorHAnsi" w:hAnsiTheme="minorHAnsi" w:cstheme="minorHAnsi"/>
          <w:b/>
          <w:sz w:val="22"/>
          <w:szCs w:val="22"/>
        </w:rPr>
        <w:instrText xml:space="preserve"> SEQ Table \* ARABIC </w:instrText>
      </w:r>
      <w:r w:rsidRPr="006323F0">
        <w:rPr>
          <w:rFonts w:asciiTheme="minorHAnsi" w:hAnsiTheme="minorHAnsi" w:cstheme="minorHAnsi"/>
          <w:b/>
          <w:sz w:val="22"/>
          <w:szCs w:val="22"/>
        </w:rPr>
        <w:fldChar w:fldCharType="separate"/>
      </w:r>
      <w:r w:rsidR="00395735">
        <w:rPr>
          <w:rFonts w:asciiTheme="minorHAnsi" w:hAnsiTheme="minorHAnsi" w:cstheme="minorHAnsi"/>
          <w:b/>
          <w:noProof/>
          <w:sz w:val="22"/>
          <w:szCs w:val="22"/>
        </w:rPr>
        <w:t>13</w:t>
      </w:r>
      <w:r w:rsidRPr="006323F0">
        <w:rPr>
          <w:rFonts w:asciiTheme="minorHAnsi" w:hAnsiTheme="minorHAnsi" w:cstheme="minorHAnsi"/>
          <w:b/>
          <w:sz w:val="22"/>
          <w:szCs w:val="22"/>
        </w:rPr>
        <w:fldChar w:fldCharType="end"/>
      </w:r>
      <w:r w:rsidRPr="006323F0">
        <w:rPr>
          <w:rFonts w:asciiTheme="minorHAnsi" w:hAnsiTheme="minorHAnsi" w:cstheme="minorHAnsi"/>
          <w:b/>
          <w:sz w:val="22"/>
          <w:szCs w:val="22"/>
        </w:rPr>
        <w:t xml:space="preserve"> Measure Cost</w:t>
      </w:r>
    </w:p>
    <w:tbl>
      <w:tblPr>
        <w:tblStyle w:val="TableContemporary"/>
        <w:tblW w:w="8715" w:type="dxa"/>
        <w:jc w:val="center"/>
        <w:tblInd w:w="-1171" w:type="dxa"/>
        <w:tblLook w:val="01E0" w:firstRow="1" w:lastRow="1" w:firstColumn="1" w:lastColumn="1" w:noHBand="0" w:noVBand="0"/>
      </w:tblPr>
      <w:tblGrid>
        <w:gridCol w:w="1250"/>
        <w:gridCol w:w="3871"/>
        <w:gridCol w:w="1264"/>
        <w:gridCol w:w="1165"/>
        <w:gridCol w:w="1165"/>
      </w:tblGrid>
      <w:tr w:rsidR="00630D13" w:rsidRPr="001231F4" w:rsidTr="00A85F9A">
        <w:trPr>
          <w:cnfStyle w:val="100000000000" w:firstRow="1" w:lastRow="0" w:firstColumn="0" w:lastColumn="0" w:oddVBand="0" w:evenVBand="0" w:oddHBand="0" w:evenHBand="0" w:firstRowFirstColumn="0" w:firstRowLastColumn="0" w:lastRowFirstColumn="0" w:lastRowLastColumn="0"/>
          <w:trHeight w:val="657"/>
          <w:tblHeader/>
          <w:jc w:val="center"/>
        </w:trPr>
        <w:tc>
          <w:tcPr>
            <w:tcW w:w="1250" w:type="dxa"/>
            <w:vAlign w:val="center"/>
          </w:tcPr>
          <w:p w:rsidR="00630D13" w:rsidRPr="00697868" w:rsidRDefault="00630D13" w:rsidP="00A85F9A">
            <w:pPr>
              <w:jc w:val="cente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3871"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Description</w:t>
            </w:r>
          </w:p>
        </w:tc>
        <w:tc>
          <w:tcPr>
            <w:tcW w:w="1264" w:type="dxa"/>
            <w:noWrap/>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Measure Cost</w:t>
            </w:r>
          </w:p>
        </w:tc>
        <w:tc>
          <w:tcPr>
            <w:tcW w:w="1165" w:type="dxa"/>
            <w:vAlign w:val="center"/>
          </w:tcPr>
          <w:p w:rsidR="00630D13" w:rsidRPr="001231F4" w:rsidRDefault="00630D13" w:rsidP="00A85F9A">
            <w:pPr>
              <w:jc w:val="center"/>
              <w:rPr>
                <w:rFonts w:asciiTheme="minorHAnsi" w:hAnsiTheme="minorHAnsi" w:cstheme="minorHAnsi"/>
                <w:sz w:val="20"/>
                <w:szCs w:val="20"/>
              </w:rPr>
            </w:pPr>
            <w:r w:rsidRPr="001231F4">
              <w:rPr>
                <w:rFonts w:asciiTheme="minorHAnsi" w:hAnsiTheme="minorHAnsi" w:cstheme="minorHAnsi"/>
                <w:sz w:val="20"/>
                <w:szCs w:val="20"/>
              </w:rPr>
              <w:t>Base Cost</w:t>
            </w:r>
          </w:p>
        </w:tc>
        <w:tc>
          <w:tcPr>
            <w:tcW w:w="1165" w:type="dxa"/>
          </w:tcPr>
          <w:p w:rsidR="00630D13" w:rsidRPr="001231F4" w:rsidRDefault="00630D13" w:rsidP="00A85F9A">
            <w:pPr>
              <w:jc w:val="center"/>
              <w:rPr>
                <w:rFonts w:asciiTheme="minorHAnsi" w:hAnsiTheme="minorHAnsi" w:cstheme="minorHAnsi"/>
                <w:sz w:val="20"/>
                <w:szCs w:val="20"/>
              </w:rPr>
            </w:pPr>
            <w:r>
              <w:rPr>
                <w:rFonts w:asciiTheme="minorHAnsi" w:hAnsiTheme="minorHAnsi" w:cstheme="minorHAnsi"/>
                <w:sz w:val="20"/>
                <w:szCs w:val="20"/>
              </w:rPr>
              <w:t>Gross Measure Cost</w:t>
            </w:r>
          </w:p>
        </w:tc>
      </w:tr>
      <w:tr w:rsidR="00630D13" w:rsidRPr="001231F4" w:rsidTr="00FD1632">
        <w:trPr>
          <w:cnfStyle w:val="000000100000" w:firstRow="0" w:lastRow="0" w:firstColumn="0" w:lastColumn="0" w:oddVBand="0" w:evenVBand="0" w:oddHBand="1" w:evenHBand="0" w:firstRowFirstColumn="0" w:firstRowLastColumn="0" w:lastRowFirstColumn="0" w:lastRowLastColumn="0"/>
          <w:trHeight w:val="255"/>
          <w:jc w:val="center"/>
        </w:trPr>
        <w:tc>
          <w:tcPr>
            <w:tcW w:w="1250" w:type="dxa"/>
            <w:vAlign w:val="center"/>
          </w:tcPr>
          <w:p w:rsidR="00630D13" w:rsidRDefault="00630D13" w:rsidP="00A85F9A">
            <w:pPr>
              <w:jc w:val="center"/>
              <w:rPr>
                <w:rFonts w:ascii="Calibri" w:hAnsi="Calibri" w:cs="Calibri"/>
                <w:sz w:val="20"/>
                <w:szCs w:val="20"/>
              </w:rPr>
            </w:pPr>
            <w:r>
              <w:rPr>
                <w:rFonts w:ascii="Calibri" w:hAnsi="Calibri" w:cs="Calibri"/>
                <w:sz w:val="20"/>
                <w:szCs w:val="20"/>
              </w:rPr>
              <w:t>LT-51211</w:t>
            </w:r>
          </w:p>
        </w:tc>
        <w:tc>
          <w:tcPr>
            <w:tcW w:w="3871" w:type="dxa"/>
            <w:vAlign w:val="bottom"/>
          </w:tcPr>
          <w:p w:rsidR="00630D13" w:rsidRDefault="00630D13" w:rsidP="00A85F9A">
            <w:pPr>
              <w:rPr>
                <w:rFonts w:ascii="Calibri" w:hAnsi="Calibri" w:cs="Calibri"/>
                <w:sz w:val="20"/>
                <w:szCs w:val="20"/>
              </w:rPr>
            </w:pPr>
            <w:r>
              <w:rPr>
                <w:rFonts w:ascii="Calibri" w:hAnsi="Calibri" w:cs="Calibri"/>
                <w:sz w:val="20"/>
                <w:szCs w:val="20"/>
              </w:rPr>
              <w:t>Up to 70 Watt Interior Fixture Induction replacing less than or equal to 100 Watt lamp base case</w:t>
            </w:r>
          </w:p>
        </w:tc>
        <w:tc>
          <w:tcPr>
            <w:tcW w:w="1264"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$313.44</w:t>
            </w:r>
          </w:p>
        </w:tc>
        <w:tc>
          <w:tcPr>
            <w:tcW w:w="1165"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$132.51</w:t>
            </w:r>
          </w:p>
        </w:tc>
        <w:tc>
          <w:tcPr>
            <w:tcW w:w="1165" w:type="dxa"/>
            <w:vAlign w:val="center"/>
          </w:tcPr>
          <w:p w:rsidR="00630D13" w:rsidRDefault="00FD1632" w:rsidP="00FD1632">
            <w:pPr>
              <w:jc w:val="center"/>
              <w:rPr>
                <w:rFonts w:ascii="Calibri" w:hAnsi="Calibri" w:cs="Calibri"/>
                <w:color w:val="000000"/>
                <w:sz w:val="20"/>
                <w:szCs w:val="20"/>
              </w:rPr>
            </w:pPr>
            <w:r>
              <w:rPr>
                <w:rFonts w:ascii="Calibri" w:hAnsi="Calibri" w:cs="Calibri"/>
                <w:color w:val="000000"/>
                <w:sz w:val="20"/>
                <w:szCs w:val="20"/>
              </w:rPr>
              <w:t>$180.93</w:t>
            </w:r>
          </w:p>
        </w:tc>
      </w:tr>
      <w:tr w:rsidR="00630D13" w:rsidRPr="001231F4" w:rsidTr="00FD1632">
        <w:trPr>
          <w:cnfStyle w:val="000000010000" w:firstRow="0" w:lastRow="0" w:firstColumn="0" w:lastColumn="0" w:oddVBand="0" w:evenVBand="0" w:oddHBand="0" w:evenHBand="1" w:firstRowFirstColumn="0" w:firstRowLastColumn="0" w:lastRowFirstColumn="0" w:lastRowLastColumn="0"/>
          <w:trHeight w:val="255"/>
          <w:jc w:val="center"/>
        </w:trPr>
        <w:tc>
          <w:tcPr>
            <w:tcW w:w="1250" w:type="dxa"/>
            <w:vAlign w:val="center"/>
          </w:tcPr>
          <w:p w:rsidR="00630D13" w:rsidRDefault="00630D13" w:rsidP="00A85F9A">
            <w:pPr>
              <w:jc w:val="center"/>
              <w:rPr>
                <w:rFonts w:ascii="Calibri" w:hAnsi="Calibri" w:cs="Calibri"/>
                <w:sz w:val="20"/>
                <w:szCs w:val="20"/>
              </w:rPr>
            </w:pPr>
            <w:r>
              <w:rPr>
                <w:rFonts w:ascii="Calibri" w:hAnsi="Calibri" w:cs="Calibri"/>
                <w:sz w:val="20"/>
                <w:szCs w:val="20"/>
              </w:rPr>
              <w:t>LT-26734</w:t>
            </w:r>
          </w:p>
        </w:tc>
        <w:tc>
          <w:tcPr>
            <w:tcW w:w="3871" w:type="dxa"/>
            <w:vAlign w:val="bottom"/>
          </w:tcPr>
          <w:p w:rsidR="00630D13" w:rsidRDefault="00630D13" w:rsidP="00A85F9A">
            <w:pPr>
              <w:rPr>
                <w:rFonts w:ascii="Calibri" w:hAnsi="Calibri" w:cs="Calibri"/>
                <w:sz w:val="20"/>
                <w:szCs w:val="20"/>
              </w:rPr>
            </w:pPr>
            <w:r>
              <w:rPr>
                <w:rFonts w:ascii="Calibri" w:hAnsi="Calibri" w:cs="Calibri"/>
                <w:sz w:val="20"/>
                <w:szCs w:val="20"/>
              </w:rPr>
              <w:t>Up to 120 Watt Interior Fixture Induction replacing 101 - 175 Watt lamp base case</w:t>
            </w:r>
          </w:p>
        </w:tc>
        <w:tc>
          <w:tcPr>
            <w:tcW w:w="1264"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$327.92</w:t>
            </w:r>
          </w:p>
        </w:tc>
        <w:tc>
          <w:tcPr>
            <w:tcW w:w="1165"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$135.34</w:t>
            </w:r>
          </w:p>
        </w:tc>
        <w:tc>
          <w:tcPr>
            <w:tcW w:w="1165" w:type="dxa"/>
            <w:vAlign w:val="center"/>
          </w:tcPr>
          <w:p w:rsidR="00630D13" w:rsidRDefault="00FD1632" w:rsidP="00FD1632">
            <w:pPr>
              <w:jc w:val="center"/>
              <w:rPr>
                <w:rFonts w:ascii="Calibri" w:hAnsi="Calibri" w:cs="Calibri"/>
                <w:color w:val="000000"/>
                <w:sz w:val="20"/>
                <w:szCs w:val="20"/>
              </w:rPr>
            </w:pPr>
            <w:r>
              <w:rPr>
                <w:rFonts w:ascii="Calibri" w:hAnsi="Calibri" w:cs="Calibri"/>
                <w:color w:val="000000"/>
                <w:sz w:val="20"/>
                <w:szCs w:val="20"/>
              </w:rPr>
              <w:t>$192.58</w:t>
            </w:r>
          </w:p>
        </w:tc>
      </w:tr>
      <w:tr w:rsidR="00630D13" w:rsidRPr="001231F4" w:rsidTr="00FD1632">
        <w:trPr>
          <w:cnfStyle w:val="000000100000" w:firstRow="0" w:lastRow="0" w:firstColumn="0" w:lastColumn="0" w:oddVBand="0" w:evenVBand="0" w:oddHBand="1" w:evenHBand="0" w:firstRowFirstColumn="0" w:firstRowLastColumn="0" w:lastRowFirstColumn="0" w:lastRowLastColumn="0"/>
          <w:trHeight w:val="255"/>
          <w:jc w:val="center"/>
        </w:trPr>
        <w:tc>
          <w:tcPr>
            <w:tcW w:w="1250" w:type="dxa"/>
            <w:vAlign w:val="center"/>
          </w:tcPr>
          <w:p w:rsidR="00630D13" w:rsidRDefault="00630D13" w:rsidP="00A85F9A">
            <w:pPr>
              <w:jc w:val="center"/>
              <w:rPr>
                <w:rFonts w:ascii="Calibri" w:hAnsi="Calibri" w:cs="Calibri"/>
                <w:sz w:val="20"/>
                <w:szCs w:val="20"/>
              </w:rPr>
            </w:pPr>
            <w:r>
              <w:rPr>
                <w:rFonts w:ascii="Calibri" w:hAnsi="Calibri" w:cs="Calibri"/>
                <w:sz w:val="20"/>
                <w:szCs w:val="20"/>
              </w:rPr>
              <w:t>LT-80108</w:t>
            </w:r>
          </w:p>
        </w:tc>
        <w:tc>
          <w:tcPr>
            <w:tcW w:w="3871" w:type="dxa"/>
            <w:vAlign w:val="bottom"/>
          </w:tcPr>
          <w:p w:rsidR="00630D13" w:rsidRDefault="00630D13" w:rsidP="00A85F9A">
            <w:pPr>
              <w:rPr>
                <w:rFonts w:ascii="Calibri" w:hAnsi="Calibri" w:cs="Calibri"/>
                <w:sz w:val="20"/>
                <w:szCs w:val="20"/>
              </w:rPr>
            </w:pPr>
            <w:r>
              <w:rPr>
                <w:rFonts w:ascii="Calibri" w:hAnsi="Calibri" w:cs="Calibri"/>
                <w:sz w:val="20"/>
                <w:szCs w:val="20"/>
              </w:rPr>
              <w:t>Up to 180 Watt Interior Fixture Induction replacing 176 - 399 Watt lamp base case</w:t>
            </w:r>
          </w:p>
        </w:tc>
        <w:tc>
          <w:tcPr>
            <w:tcW w:w="1264"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$545.06</w:t>
            </w:r>
          </w:p>
        </w:tc>
        <w:tc>
          <w:tcPr>
            <w:tcW w:w="1165"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$148.33</w:t>
            </w:r>
          </w:p>
        </w:tc>
        <w:tc>
          <w:tcPr>
            <w:tcW w:w="1165" w:type="dxa"/>
            <w:vAlign w:val="center"/>
          </w:tcPr>
          <w:p w:rsidR="00630D13" w:rsidRDefault="00FD1632" w:rsidP="00FD1632">
            <w:pPr>
              <w:jc w:val="center"/>
              <w:rPr>
                <w:rFonts w:ascii="Calibri" w:hAnsi="Calibri" w:cs="Calibri"/>
                <w:color w:val="000000"/>
                <w:sz w:val="20"/>
                <w:szCs w:val="20"/>
              </w:rPr>
            </w:pPr>
            <w:r>
              <w:rPr>
                <w:rFonts w:ascii="Calibri" w:hAnsi="Calibri" w:cs="Calibri"/>
                <w:color w:val="000000"/>
                <w:sz w:val="20"/>
                <w:szCs w:val="20"/>
              </w:rPr>
              <w:t>$396.73</w:t>
            </w:r>
          </w:p>
        </w:tc>
      </w:tr>
      <w:tr w:rsidR="00630D13" w:rsidRPr="001231F4" w:rsidTr="00FD1632">
        <w:trPr>
          <w:cnfStyle w:val="000000010000" w:firstRow="0" w:lastRow="0" w:firstColumn="0" w:lastColumn="0" w:oddVBand="0" w:evenVBand="0" w:oddHBand="0" w:evenHBand="1" w:firstRowFirstColumn="0" w:firstRowLastColumn="0" w:lastRowFirstColumn="0" w:lastRowLastColumn="0"/>
          <w:trHeight w:val="255"/>
          <w:jc w:val="center"/>
        </w:trPr>
        <w:tc>
          <w:tcPr>
            <w:tcW w:w="1250" w:type="dxa"/>
            <w:vAlign w:val="center"/>
          </w:tcPr>
          <w:p w:rsidR="00630D13" w:rsidRDefault="00630D13" w:rsidP="00A85F9A">
            <w:pPr>
              <w:jc w:val="center"/>
              <w:rPr>
                <w:rFonts w:ascii="Calibri" w:hAnsi="Calibri" w:cs="Calibri"/>
                <w:sz w:val="20"/>
                <w:szCs w:val="20"/>
              </w:rPr>
            </w:pPr>
            <w:r>
              <w:rPr>
                <w:rFonts w:ascii="Calibri" w:hAnsi="Calibri" w:cs="Calibri"/>
                <w:sz w:val="20"/>
                <w:szCs w:val="20"/>
              </w:rPr>
              <w:t>LT-34098</w:t>
            </w:r>
          </w:p>
        </w:tc>
        <w:tc>
          <w:tcPr>
            <w:tcW w:w="3871" w:type="dxa"/>
            <w:vAlign w:val="bottom"/>
          </w:tcPr>
          <w:p w:rsidR="00630D13" w:rsidRDefault="00630D13" w:rsidP="00A85F9A">
            <w:pPr>
              <w:rPr>
                <w:rFonts w:ascii="Calibri" w:hAnsi="Calibri" w:cs="Calibri"/>
                <w:sz w:val="20"/>
                <w:szCs w:val="20"/>
              </w:rPr>
            </w:pPr>
            <w:r>
              <w:rPr>
                <w:rFonts w:ascii="Calibri" w:hAnsi="Calibri" w:cs="Calibri"/>
                <w:sz w:val="20"/>
                <w:szCs w:val="20"/>
              </w:rPr>
              <w:t>Up to 250 Watt (Tier 1) Interior Fixture Induction replacing 400 Watt lamp base case</w:t>
            </w:r>
          </w:p>
        </w:tc>
        <w:tc>
          <w:tcPr>
            <w:tcW w:w="1264"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$498.96</w:t>
            </w:r>
          </w:p>
        </w:tc>
        <w:tc>
          <w:tcPr>
            <w:tcW w:w="1165"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$203.54</w:t>
            </w:r>
          </w:p>
        </w:tc>
        <w:tc>
          <w:tcPr>
            <w:tcW w:w="1165" w:type="dxa"/>
            <w:vAlign w:val="center"/>
          </w:tcPr>
          <w:p w:rsidR="00630D13" w:rsidRDefault="00FD1632" w:rsidP="00FD1632">
            <w:pPr>
              <w:jc w:val="center"/>
              <w:rPr>
                <w:rFonts w:ascii="Calibri" w:hAnsi="Calibri" w:cs="Calibri"/>
                <w:color w:val="000000"/>
                <w:sz w:val="20"/>
                <w:szCs w:val="20"/>
              </w:rPr>
            </w:pPr>
            <w:r>
              <w:rPr>
                <w:rFonts w:ascii="Calibri" w:hAnsi="Calibri" w:cs="Calibri"/>
                <w:color w:val="000000"/>
                <w:sz w:val="20"/>
                <w:szCs w:val="20"/>
              </w:rPr>
              <w:t>$295.42</w:t>
            </w:r>
          </w:p>
        </w:tc>
      </w:tr>
      <w:tr w:rsidR="00630D13" w:rsidRPr="001231F4" w:rsidTr="00FD1632">
        <w:trPr>
          <w:cnfStyle w:val="000000100000" w:firstRow="0" w:lastRow="0" w:firstColumn="0" w:lastColumn="0" w:oddVBand="0" w:evenVBand="0" w:oddHBand="1" w:evenHBand="0" w:firstRowFirstColumn="0" w:firstRowLastColumn="0" w:lastRowFirstColumn="0" w:lastRowLastColumn="0"/>
          <w:trHeight w:val="255"/>
          <w:jc w:val="center"/>
        </w:trPr>
        <w:tc>
          <w:tcPr>
            <w:tcW w:w="1250" w:type="dxa"/>
            <w:vAlign w:val="center"/>
          </w:tcPr>
          <w:p w:rsidR="00630D13" w:rsidRDefault="00630D13" w:rsidP="00A85F9A">
            <w:pPr>
              <w:jc w:val="center"/>
              <w:rPr>
                <w:rFonts w:ascii="Calibri" w:hAnsi="Calibri" w:cs="Calibri"/>
                <w:sz w:val="20"/>
                <w:szCs w:val="20"/>
              </w:rPr>
            </w:pPr>
            <w:r>
              <w:rPr>
                <w:rFonts w:ascii="Calibri" w:hAnsi="Calibri" w:cs="Calibri"/>
                <w:sz w:val="20"/>
                <w:szCs w:val="20"/>
              </w:rPr>
              <w:t>LT-69009</w:t>
            </w:r>
          </w:p>
        </w:tc>
        <w:tc>
          <w:tcPr>
            <w:tcW w:w="3871" w:type="dxa"/>
            <w:vAlign w:val="bottom"/>
          </w:tcPr>
          <w:p w:rsidR="00630D13" w:rsidRDefault="00630D13" w:rsidP="00A85F9A">
            <w:pPr>
              <w:rPr>
                <w:rFonts w:ascii="Calibri" w:hAnsi="Calibri" w:cs="Calibri"/>
                <w:sz w:val="20"/>
                <w:szCs w:val="20"/>
              </w:rPr>
            </w:pPr>
            <w:r>
              <w:rPr>
                <w:rFonts w:ascii="Calibri" w:hAnsi="Calibri" w:cs="Calibri"/>
                <w:sz w:val="20"/>
                <w:szCs w:val="20"/>
              </w:rPr>
              <w:t>Up to 360 Watt (Tier 2) Interior Fixture Induction replacing 400 Watt lamp base case</w:t>
            </w:r>
          </w:p>
        </w:tc>
        <w:tc>
          <w:tcPr>
            <w:tcW w:w="1264" w:type="dxa"/>
            <w:noWrap/>
            <w:vAlign w:val="center"/>
          </w:tcPr>
          <w:p w:rsidR="00630D13" w:rsidRPr="00385320" w:rsidRDefault="00630D13" w:rsidP="00A85F9A">
            <w:pPr>
              <w:jc w:val="center"/>
              <w:rPr>
                <w:rFonts w:asciiTheme="minorHAnsi" w:hAnsiTheme="minorHAnsi" w:cstheme="minorHAnsi"/>
                <w:sz w:val="20"/>
                <w:szCs w:val="20"/>
              </w:rPr>
            </w:pPr>
            <w:r w:rsidRPr="00385320">
              <w:rPr>
                <w:rFonts w:asciiTheme="minorHAnsi" w:hAnsiTheme="minorHAnsi" w:cstheme="minorHAnsi"/>
                <w:sz w:val="20"/>
                <w:szCs w:val="20"/>
              </w:rPr>
              <w:t>$632.30</w:t>
            </w:r>
          </w:p>
        </w:tc>
        <w:tc>
          <w:tcPr>
            <w:tcW w:w="1165" w:type="dxa"/>
            <w:vAlign w:val="center"/>
          </w:tcPr>
          <w:p w:rsidR="00630D13" w:rsidRDefault="00630D13" w:rsidP="00A85F9A">
            <w:pPr>
              <w:jc w:val="center"/>
              <w:rPr>
                <w:rFonts w:ascii="Calibri" w:hAnsi="Calibri" w:cs="Calibri"/>
                <w:color w:val="000000"/>
                <w:sz w:val="20"/>
                <w:szCs w:val="20"/>
              </w:rPr>
            </w:pPr>
            <w:r>
              <w:rPr>
                <w:rFonts w:ascii="Calibri" w:hAnsi="Calibri" w:cs="Calibri"/>
                <w:color w:val="000000"/>
                <w:sz w:val="20"/>
                <w:szCs w:val="20"/>
              </w:rPr>
              <w:t>$203.54</w:t>
            </w:r>
          </w:p>
        </w:tc>
        <w:tc>
          <w:tcPr>
            <w:tcW w:w="1165" w:type="dxa"/>
            <w:vAlign w:val="center"/>
          </w:tcPr>
          <w:p w:rsidR="00630D13" w:rsidRDefault="00FD1632" w:rsidP="00FD1632">
            <w:pPr>
              <w:jc w:val="center"/>
              <w:rPr>
                <w:rFonts w:ascii="Calibri" w:hAnsi="Calibri" w:cs="Calibri"/>
                <w:color w:val="000000"/>
                <w:sz w:val="20"/>
                <w:szCs w:val="20"/>
              </w:rPr>
            </w:pPr>
            <w:r>
              <w:rPr>
                <w:rFonts w:ascii="Calibri" w:hAnsi="Calibri" w:cs="Calibri"/>
                <w:color w:val="000000"/>
                <w:sz w:val="20"/>
                <w:szCs w:val="20"/>
              </w:rPr>
              <w:t>$428.76</w:t>
            </w:r>
          </w:p>
        </w:tc>
      </w:tr>
    </w:tbl>
    <w:p w:rsidR="00630D13" w:rsidRDefault="00630D13" w:rsidP="00630D13">
      <w:pPr>
        <w:jc w:val="center"/>
        <w:rPr>
          <w:rFonts w:asciiTheme="minorHAnsi" w:hAnsiTheme="minorHAnsi" w:cstheme="minorHAnsi"/>
          <w:b/>
          <w:sz w:val="22"/>
          <w:szCs w:val="22"/>
        </w:rPr>
      </w:pPr>
    </w:p>
    <w:p w:rsidR="00770635" w:rsidRPr="006613C0" w:rsidRDefault="00770635" w:rsidP="00770635">
      <w:pPr>
        <w:rPr>
          <w:rFonts w:asciiTheme="minorHAnsi" w:hAnsiTheme="minorHAnsi" w:cstheme="minorHAnsi"/>
          <w:sz w:val="22"/>
          <w:szCs w:val="22"/>
        </w:rPr>
      </w:pPr>
      <w:r w:rsidRPr="006613C0">
        <w:rPr>
          <w:rFonts w:asciiTheme="minorHAnsi" w:hAnsiTheme="minorHAnsi" w:cstheme="minorHAnsi"/>
          <w:sz w:val="22"/>
          <w:szCs w:val="22"/>
        </w:rPr>
        <w:t>See the</w:t>
      </w:r>
      <w:r>
        <w:rPr>
          <w:rFonts w:asciiTheme="minorHAnsi" w:hAnsiTheme="minorHAnsi" w:cstheme="minorHAnsi"/>
          <w:sz w:val="22"/>
          <w:szCs w:val="22"/>
        </w:rPr>
        <w:t xml:space="preserve"> cost spreadsheet [</w:t>
      </w:r>
      <w:r w:rsidR="00E04676">
        <w:rPr>
          <w:rFonts w:asciiTheme="minorHAnsi" w:hAnsiTheme="minorHAnsi" w:cstheme="minorHAnsi"/>
          <w:sz w:val="22"/>
          <w:szCs w:val="22"/>
        </w:rPr>
        <w:t>F</w:t>
      </w:r>
      <w:r>
        <w:rPr>
          <w:rFonts w:asciiTheme="minorHAnsi" w:hAnsiTheme="minorHAnsi" w:cstheme="minorHAnsi"/>
          <w:sz w:val="22"/>
          <w:szCs w:val="22"/>
        </w:rPr>
        <w:t>] for calculation of GMC. They are also in the calculations template [</w:t>
      </w:r>
      <w:r w:rsidR="004D481C">
        <w:rPr>
          <w:rFonts w:asciiTheme="minorHAnsi" w:hAnsiTheme="minorHAnsi" w:cstheme="minorHAnsi"/>
          <w:sz w:val="22"/>
          <w:szCs w:val="22"/>
        </w:rPr>
        <w:t>D</w:t>
      </w:r>
      <w:r>
        <w:rPr>
          <w:rFonts w:asciiTheme="minorHAnsi" w:hAnsiTheme="minorHAnsi" w:cstheme="minorHAnsi"/>
          <w:sz w:val="22"/>
          <w:szCs w:val="22"/>
        </w:rPr>
        <w:t>].</w:t>
      </w:r>
    </w:p>
    <w:p w:rsidR="005A0E53" w:rsidRPr="005A0E53" w:rsidRDefault="005A0E53" w:rsidP="005A0E53">
      <w:pPr>
        <w:pStyle w:val="Heading3"/>
        <w:rPr>
          <w:rFonts w:asciiTheme="minorHAnsi" w:hAnsiTheme="minorHAnsi"/>
        </w:rPr>
      </w:pPr>
      <w:bookmarkStart w:id="29"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770635" w:rsidRPr="006613C0" w:rsidRDefault="00630D13" w:rsidP="00770635">
      <w:pPr>
        <w:rPr>
          <w:rFonts w:asciiTheme="minorHAnsi" w:hAnsiTheme="minorHAnsi" w:cstheme="minorHAnsi"/>
          <w:sz w:val="22"/>
          <w:szCs w:val="22"/>
        </w:rPr>
      </w:pPr>
      <w:r>
        <w:rPr>
          <w:rFonts w:asciiTheme="minorHAnsi" w:hAnsiTheme="minorHAnsi" w:cstheme="minorHAnsi"/>
          <w:sz w:val="22"/>
          <w:szCs w:val="22"/>
        </w:rPr>
        <w:t>Incremental Measure Cost is the same as Gross Measure Cost</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29"/>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bookmarkStart w:id="30" w:name="_GoBack"/>
      <w:bookmarkEnd w:id="30"/>
    </w:p>
    <w:p w:rsidR="00E16609" w:rsidRDefault="00E16609" w:rsidP="00E16609">
      <w:pPr>
        <w:pStyle w:val="Reminders"/>
        <w:ind w:left="360"/>
        <w:rPr>
          <w:rFonts w:asciiTheme="minorHAnsi" w:hAnsiTheme="minorHAnsi" w:cstheme="minorHAnsi"/>
        </w:rPr>
      </w:pPr>
    </w:p>
    <w:p w:rsidR="008003EF" w:rsidRDefault="00B212E1" w:rsidP="008003EF">
      <w:pPr>
        <w:pStyle w:val="Reminders"/>
        <w:ind w:left="360"/>
      </w:pPr>
      <w:r>
        <w:rPr>
          <w:rFonts w:asciiTheme="minorHAnsi" w:hAnsiTheme="minorHAnsi" w:cstheme="minorHAnsi"/>
          <w:i w:val="0"/>
          <w:color w:val="auto"/>
        </w:rPr>
        <w:t>1.</w:t>
      </w:r>
      <w:bookmarkStart w:id="31" w:name="_MON_1467726503"/>
      <w:bookmarkEnd w:id="31"/>
      <w:r w:rsidR="00785173">
        <w:rPr>
          <w:rFonts w:asciiTheme="minorHAnsi" w:hAnsiTheme="minorHAnsi" w:cstheme="minorHAnsi"/>
          <w:i w:val="0"/>
          <w:color w:val="auto"/>
        </w:rPr>
        <w:object w:dxaOrig="3000" w:dyaOrig="1880">
          <v:shape id="_x0000_i1033" type="#_x0000_t75" style="width:149.85pt;height:94pt" o:ole="">
            <v:imagedata r:id="rId20" o:title=""/>
          </v:shape>
          <o:OLEObject Type="Embed" ProgID="Excel.SheetMacroEnabled.12" ShapeID="_x0000_i1033" DrawAspect="Icon" ObjectID="_1468208582" r:id="rId21"/>
        </w:object>
      </w:r>
      <w:r w:rsidR="008003EF">
        <w:rPr>
          <w:rFonts w:asciiTheme="minorHAnsi" w:hAnsiTheme="minorHAnsi" w:cstheme="minorHAnsi"/>
          <w:i w:val="0"/>
          <w:color w:val="auto"/>
        </w:rPr>
        <w:t xml:space="preserve"> </w:t>
      </w:r>
      <w:r w:rsidRPr="008003EF">
        <w:rPr>
          <w:rFonts w:asciiTheme="minorHAnsi" w:hAnsiTheme="minorHAnsi" w:cstheme="minorHAnsi"/>
          <w:i w:val="0"/>
          <w:color w:val="auto"/>
        </w:rPr>
        <w:t>2.</w:t>
      </w:r>
      <w:r w:rsidR="008003EF" w:rsidRPr="008003EF">
        <w:t xml:space="preserve"> </w:t>
      </w:r>
      <w:bookmarkStart w:id="32" w:name="_MON_1399916197"/>
      <w:bookmarkEnd w:id="32"/>
      <w:r w:rsidR="00553A49" w:rsidRPr="007E47A4">
        <w:object w:dxaOrig="2040" w:dyaOrig="1320">
          <v:shape id="_x0000_i1030" type="#_x0000_t75" style="width:102pt;height:66.55pt" o:ole="">
            <v:imagedata r:id="rId22" o:title=""/>
          </v:shape>
          <o:OLEObject Type="Embed" ProgID="Excel.Sheet.12" ShapeID="_x0000_i1030" DrawAspect="Icon" ObjectID="_1468208583" r:id="rId23"/>
        </w:object>
      </w:r>
    </w:p>
    <w:p w:rsidR="008003EF" w:rsidRDefault="008003EF" w:rsidP="008003EF">
      <w:pPr>
        <w:pStyle w:val="Reminders"/>
        <w:ind w:left="360"/>
        <w:rPr>
          <w:rFonts w:asciiTheme="minorHAnsi" w:hAnsiTheme="minorHAnsi" w:cstheme="minorHAnsi"/>
          <w:i w:val="0"/>
          <w:color w:val="auto"/>
        </w:rPr>
      </w:pPr>
    </w:p>
    <w:p w:rsidR="002D5A4B" w:rsidRPr="008003EF" w:rsidRDefault="008003EF" w:rsidP="008003EF">
      <w:pPr>
        <w:pStyle w:val="Reminders"/>
        <w:ind w:left="360"/>
        <w:rPr>
          <w:rFonts w:asciiTheme="minorHAnsi" w:hAnsiTheme="minorHAnsi" w:cstheme="minorHAnsi"/>
          <w:i w:val="0"/>
          <w:color w:val="auto"/>
        </w:rPr>
      </w:pPr>
      <w:r w:rsidRPr="008003EF">
        <w:rPr>
          <w:rFonts w:asciiTheme="minorHAnsi" w:hAnsiTheme="minorHAnsi" w:cstheme="minorHAnsi"/>
          <w:i w:val="0"/>
          <w:color w:val="auto"/>
        </w:rPr>
        <w:t xml:space="preserve">3. </w:t>
      </w:r>
      <w:r w:rsidR="002D5A4B" w:rsidRPr="008003EF">
        <w:rPr>
          <w:rFonts w:asciiTheme="minorHAnsi" w:hAnsiTheme="minorHAnsi" w:cstheme="minorHAnsi"/>
          <w:i w:val="0"/>
          <w:color w:val="auto"/>
        </w:rPr>
        <w:t>2013-2014_LightingRetrofit_Disposition-30May2014</w:t>
      </w: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9824E9">
      <w:pPr>
        <w:rPr>
          <w:rFonts w:asciiTheme="minorHAnsi" w:hAnsiTheme="minorHAnsi" w:cstheme="minorHAnsi"/>
        </w:rPr>
      </w:pPr>
    </w:p>
    <w:bookmarkStart w:id="33" w:name="_MON_1452317246"/>
    <w:bookmarkEnd w:id="33"/>
    <w:p w:rsidR="009824E9" w:rsidRDefault="00CF76DC" w:rsidP="009824E9">
      <w:r>
        <w:object w:dxaOrig="2040" w:dyaOrig="1320">
          <v:shape id="_x0000_i1031" type="#_x0000_t75" style="width:102pt;height:66pt" o:ole="">
            <v:imagedata r:id="rId24" o:title=""/>
          </v:shape>
          <o:OLEObject Type="Embed" ProgID="Excel.Sheet.12" ShapeID="_x0000_i1031" DrawAspect="Icon" ObjectID="_1468208584" r:id="rId25"/>
        </w:object>
      </w:r>
    </w:p>
    <w:p w:rsidR="006F20DB" w:rsidRDefault="006F20DB" w:rsidP="009824E9"/>
    <w:p w:rsidR="006F20DB" w:rsidRDefault="006F20DB" w:rsidP="006F20DB">
      <w:pPr>
        <w:rPr>
          <w:rFonts w:asciiTheme="minorHAnsi" w:hAnsiTheme="minorHAnsi" w:cstheme="minorHAnsi"/>
          <w:sz w:val="22"/>
          <w:szCs w:val="22"/>
        </w:rPr>
      </w:pPr>
      <w:r w:rsidRPr="00964350">
        <w:rPr>
          <w:rFonts w:asciiTheme="minorHAnsi" w:hAnsiTheme="minorHAnsi" w:cstheme="minorHAnsi"/>
          <w:sz w:val="22"/>
          <w:szCs w:val="22"/>
        </w:rPr>
        <w:t>[26]</w:t>
      </w:r>
    </w:p>
    <w:p w:rsidR="006F20DB" w:rsidRPr="00964350" w:rsidRDefault="006F20DB" w:rsidP="006F20DB">
      <w:pPr>
        <w:rPr>
          <w:rFonts w:asciiTheme="minorHAnsi" w:hAnsiTheme="minorHAnsi" w:cstheme="minorHAnsi"/>
          <w:sz w:val="22"/>
          <w:szCs w:val="22"/>
        </w:rPr>
      </w:pPr>
      <w:r w:rsidRPr="00964350">
        <w:rPr>
          <w:rFonts w:asciiTheme="minorHAnsi" w:hAnsiTheme="minorHAnsi" w:cstheme="minorHAnsi"/>
          <w:sz w:val="22"/>
          <w:szCs w:val="22"/>
        </w:rPr>
        <w:t>[31]</w:t>
      </w:r>
    </w:p>
    <w:p w:rsidR="006F20DB" w:rsidRDefault="006F20DB" w:rsidP="006F20DB">
      <w:pPr>
        <w:rPr>
          <w:rFonts w:asciiTheme="minorHAnsi" w:hAnsiTheme="minorHAnsi" w:cstheme="minorHAnsi"/>
          <w:sz w:val="22"/>
          <w:szCs w:val="22"/>
        </w:rPr>
      </w:pPr>
      <w:r w:rsidRPr="00964350">
        <w:rPr>
          <w:rFonts w:asciiTheme="minorHAnsi" w:hAnsiTheme="minorHAnsi" w:cstheme="minorHAnsi"/>
          <w:sz w:val="22"/>
          <w:szCs w:val="22"/>
        </w:rPr>
        <w:t>[132]</w:t>
      </w:r>
    </w:p>
    <w:p w:rsidR="006F20DB" w:rsidRPr="00964350" w:rsidRDefault="006F20DB" w:rsidP="006F20DB">
      <w:pPr>
        <w:rPr>
          <w:rFonts w:asciiTheme="minorHAnsi" w:hAnsiTheme="minorHAnsi" w:cstheme="minorHAnsi"/>
          <w:sz w:val="22"/>
          <w:szCs w:val="22"/>
        </w:rPr>
      </w:pPr>
      <w:r>
        <w:rPr>
          <w:rFonts w:asciiTheme="minorHAnsi" w:hAnsiTheme="minorHAnsi" w:cstheme="minorHAnsi"/>
          <w:sz w:val="22"/>
          <w:szCs w:val="22"/>
        </w:rPr>
        <w:t>[213]</w:t>
      </w:r>
    </w:p>
    <w:p w:rsidR="006F20DB" w:rsidRDefault="001B001D" w:rsidP="006F20DB">
      <w:pPr>
        <w:rPr>
          <w:rFonts w:asciiTheme="minorHAnsi" w:hAnsiTheme="minorHAnsi" w:cstheme="minorHAnsi"/>
          <w:sz w:val="22"/>
          <w:szCs w:val="22"/>
        </w:rPr>
      </w:pPr>
      <w:r>
        <w:rPr>
          <w:rFonts w:asciiTheme="minorHAnsi" w:hAnsiTheme="minorHAnsi" w:cstheme="minorHAnsi"/>
          <w:sz w:val="22"/>
          <w:szCs w:val="22"/>
        </w:rPr>
        <w:t>[351]</w:t>
      </w:r>
    </w:p>
    <w:p w:rsidR="00985965" w:rsidRDefault="00985965" w:rsidP="006F20DB">
      <w:pPr>
        <w:rPr>
          <w:rFonts w:asciiTheme="minorHAnsi" w:hAnsiTheme="minorHAnsi" w:cstheme="minorHAnsi"/>
          <w:sz w:val="22"/>
          <w:szCs w:val="22"/>
        </w:rPr>
      </w:pPr>
      <w:r>
        <w:rPr>
          <w:rFonts w:asciiTheme="minorHAnsi" w:hAnsiTheme="minorHAnsi" w:cstheme="minorHAnsi"/>
          <w:sz w:val="22"/>
          <w:szCs w:val="22"/>
        </w:rPr>
        <w:t>[355]</w:t>
      </w:r>
    </w:p>
    <w:p w:rsidR="00985965" w:rsidRDefault="00985965" w:rsidP="006F20DB">
      <w:pPr>
        <w:rPr>
          <w:rFonts w:asciiTheme="minorHAnsi" w:hAnsiTheme="minorHAnsi" w:cstheme="minorHAnsi"/>
          <w:sz w:val="22"/>
          <w:szCs w:val="22"/>
        </w:rPr>
      </w:pPr>
      <w:r>
        <w:rPr>
          <w:rFonts w:asciiTheme="minorHAnsi" w:hAnsiTheme="minorHAnsi" w:cstheme="minorHAnsi"/>
          <w:sz w:val="22"/>
          <w:szCs w:val="22"/>
        </w:rPr>
        <w:t>[422]</w:t>
      </w:r>
    </w:p>
    <w:p w:rsidR="00985965" w:rsidRDefault="00985965" w:rsidP="006F20DB">
      <w:pPr>
        <w:rPr>
          <w:rFonts w:asciiTheme="minorHAnsi" w:hAnsiTheme="minorHAnsi" w:cstheme="minorHAnsi"/>
          <w:sz w:val="22"/>
          <w:szCs w:val="22"/>
        </w:rPr>
      </w:pPr>
      <w:r>
        <w:rPr>
          <w:rFonts w:asciiTheme="minorHAnsi" w:hAnsiTheme="minorHAnsi" w:cstheme="minorHAnsi"/>
          <w:sz w:val="22"/>
          <w:szCs w:val="22"/>
        </w:rPr>
        <w:t>[431]</w:t>
      </w:r>
    </w:p>
    <w:p w:rsidR="001B001D" w:rsidRDefault="001B001D" w:rsidP="006F20DB">
      <w:pPr>
        <w:rPr>
          <w:rFonts w:asciiTheme="minorHAnsi" w:hAnsiTheme="minorHAnsi" w:cstheme="minorHAnsi"/>
          <w:sz w:val="22"/>
          <w:szCs w:val="22"/>
        </w:rPr>
      </w:pPr>
    </w:p>
    <w:p w:rsidR="004D481C" w:rsidRPr="00964350" w:rsidRDefault="004D481C" w:rsidP="006F20DB">
      <w:pPr>
        <w:rPr>
          <w:rFonts w:asciiTheme="minorHAnsi" w:hAnsiTheme="minorHAnsi" w:cstheme="minorHAnsi"/>
          <w:sz w:val="22"/>
          <w:szCs w:val="22"/>
        </w:rPr>
      </w:pPr>
    </w:p>
    <w:p w:rsidR="004D481C" w:rsidRDefault="004D481C" w:rsidP="004D481C">
      <w:pPr>
        <w:rPr>
          <w:rFonts w:asciiTheme="minorHAnsi" w:hAnsiTheme="minorHAnsi" w:cstheme="minorHAnsi"/>
          <w:sz w:val="22"/>
          <w:szCs w:val="22"/>
        </w:rPr>
      </w:pPr>
      <w:r>
        <w:rPr>
          <w:rFonts w:asciiTheme="minorHAnsi" w:hAnsiTheme="minorHAnsi" w:cstheme="minorHAnsi"/>
          <w:sz w:val="22"/>
          <w:szCs w:val="22"/>
        </w:rPr>
        <w:t xml:space="preserve">[A] DEER Database for Energy-Efficient Resources Version 2011 4.00 for 13-14, </w:t>
      </w:r>
      <w:hyperlink r:id="rId26" w:history="1">
        <w:r w:rsidRPr="00A14C5A">
          <w:rPr>
            <w:rStyle w:val="Hyperlink"/>
            <w:rFonts w:asciiTheme="minorHAnsi" w:hAnsiTheme="minorHAnsi" w:cstheme="minorHAnsi"/>
            <w:sz w:val="22"/>
            <w:szCs w:val="22"/>
          </w:rPr>
          <w:t>www.deeresources.com</w:t>
        </w:r>
      </w:hyperlink>
    </w:p>
    <w:p w:rsidR="004D481C" w:rsidRPr="008661C0" w:rsidRDefault="004D481C" w:rsidP="004D481C">
      <w:pPr>
        <w:rPr>
          <w:rFonts w:asciiTheme="minorHAnsi" w:hAnsiTheme="minorHAnsi" w:cstheme="minorHAnsi"/>
          <w:sz w:val="22"/>
          <w:szCs w:val="22"/>
        </w:rPr>
      </w:pPr>
    </w:p>
    <w:p w:rsidR="004D481C" w:rsidRPr="008661C0" w:rsidRDefault="004D481C" w:rsidP="004D481C">
      <w:pPr>
        <w:pStyle w:val="EndnoteText"/>
        <w:rPr>
          <w:rFonts w:asciiTheme="minorHAnsi" w:hAnsiTheme="minorHAnsi" w:cstheme="minorHAnsi"/>
          <w:sz w:val="22"/>
          <w:szCs w:val="22"/>
        </w:rPr>
      </w:pPr>
      <w:r w:rsidRPr="008661C0">
        <w:rPr>
          <w:rFonts w:asciiTheme="minorHAnsi" w:hAnsiTheme="minorHAnsi" w:cstheme="minorHAnsi"/>
          <w:sz w:val="22"/>
          <w:szCs w:val="22"/>
        </w:rPr>
        <w:t>[</w:t>
      </w:r>
      <w:r>
        <w:rPr>
          <w:rFonts w:asciiTheme="minorHAnsi" w:hAnsiTheme="minorHAnsi" w:cstheme="minorHAnsi"/>
          <w:sz w:val="22"/>
          <w:szCs w:val="22"/>
        </w:rPr>
        <w:t>B</w:t>
      </w:r>
      <w:r w:rsidRPr="008661C0">
        <w:rPr>
          <w:rFonts w:asciiTheme="minorHAnsi" w:hAnsiTheme="minorHAnsi" w:cstheme="minorHAnsi"/>
          <w:sz w:val="22"/>
          <w:szCs w:val="22"/>
        </w:rPr>
        <w:t>] 2012 Statewide Customized Offering Procedures Manual For Business –  Customized 1.0 Policy</w:t>
      </w:r>
    </w:p>
    <w:p w:rsidR="004D481C" w:rsidRDefault="00785173" w:rsidP="004D481C">
      <w:pPr>
        <w:rPr>
          <w:rStyle w:val="Hyperlink"/>
          <w:rFonts w:asciiTheme="minorHAnsi" w:hAnsiTheme="minorHAnsi" w:cstheme="minorHAnsi"/>
          <w:sz w:val="22"/>
          <w:szCs w:val="22"/>
        </w:rPr>
      </w:pPr>
      <w:hyperlink r:id="rId27" w:history="1">
        <w:r w:rsidR="004D481C" w:rsidRPr="008661C0">
          <w:rPr>
            <w:rStyle w:val="Hyperlink"/>
            <w:rFonts w:asciiTheme="minorHAnsi" w:hAnsiTheme="minorHAnsi" w:cstheme="minorHAnsi"/>
            <w:sz w:val="22"/>
            <w:szCs w:val="22"/>
          </w:rPr>
          <w:t>http://www.sce.com/business/ems/customized-solutions/tools-resources.htm</w:t>
        </w:r>
      </w:hyperlink>
    </w:p>
    <w:p w:rsidR="006F20DB" w:rsidRPr="00964350" w:rsidRDefault="006F20DB" w:rsidP="006F20DB">
      <w:pPr>
        <w:rPr>
          <w:rFonts w:asciiTheme="minorHAnsi" w:hAnsiTheme="minorHAnsi" w:cstheme="minorHAnsi"/>
          <w:sz w:val="22"/>
          <w:szCs w:val="22"/>
        </w:rPr>
      </w:pPr>
    </w:p>
    <w:p w:rsidR="006F20DB" w:rsidRPr="00964350" w:rsidRDefault="006F20DB" w:rsidP="006F20DB">
      <w:pPr>
        <w:rPr>
          <w:rFonts w:asciiTheme="minorHAnsi" w:hAnsiTheme="minorHAnsi" w:cstheme="minorHAnsi"/>
          <w:sz w:val="22"/>
          <w:szCs w:val="22"/>
        </w:rPr>
      </w:pPr>
      <w:r w:rsidRPr="00964350">
        <w:rPr>
          <w:rFonts w:asciiTheme="minorHAnsi" w:hAnsiTheme="minorHAnsi" w:cstheme="minorHAnsi"/>
          <w:sz w:val="22"/>
          <w:szCs w:val="22"/>
        </w:rPr>
        <w:t>[</w:t>
      </w:r>
      <w:r w:rsidR="002B0DC8">
        <w:rPr>
          <w:rFonts w:asciiTheme="minorHAnsi" w:hAnsiTheme="minorHAnsi" w:cstheme="minorHAnsi"/>
          <w:sz w:val="22"/>
          <w:szCs w:val="22"/>
        </w:rPr>
        <w:t>C</w:t>
      </w:r>
      <w:r w:rsidRPr="00964350">
        <w:rPr>
          <w:rFonts w:asciiTheme="minorHAnsi" w:hAnsiTheme="minorHAnsi" w:cstheme="minorHAnsi"/>
          <w:sz w:val="22"/>
          <w:szCs w:val="22"/>
        </w:rPr>
        <w:t xml:space="preserve">] Southern California Edison Company, prepared by the Statewide </w:t>
      </w:r>
      <w:smartTag w:uri="urn:schemas-microsoft-com:office:smarttags" w:element="stockticker">
        <w:r w:rsidRPr="00964350">
          <w:rPr>
            <w:rFonts w:asciiTheme="minorHAnsi" w:hAnsiTheme="minorHAnsi" w:cstheme="minorHAnsi"/>
            <w:sz w:val="22"/>
            <w:szCs w:val="22"/>
          </w:rPr>
          <w:t>SPC</w:t>
        </w:r>
      </w:smartTag>
      <w:r w:rsidRPr="00964350">
        <w:rPr>
          <w:rFonts w:asciiTheme="minorHAnsi" w:hAnsiTheme="minorHAnsi" w:cstheme="minorHAnsi"/>
          <w:sz w:val="22"/>
          <w:szCs w:val="22"/>
        </w:rPr>
        <w:t xml:space="preserve"> Team. (20</w:t>
      </w:r>
      <w:r w:rsidR="00163D1A">
        <w:rPr>
          <w:rFonts w:asciiTheme="minorHAnsi" w:hAnsiTheme="minorHAnsi" w:cstheme="minorHAnsi"/>
          <w:sz w:val="22"/>
          <w:szCs w:val="22"/>
        </w:rPr>
        <w:t>13</w:t>
      </w:r>
      <w:r w:rsidRPr="00964350">
        <w:rPr>
          <w:rFonts w:asciiTheme="minorHAnsi" w:hAnsiTheme="minorHAnsi" w:cstheme="minorHAnsi"/>
          <w:sz w:val="22"/>
          <w:szCs w:val="22"/>
        </w:rPr>
        <w:t>). “</w:t>
      </w:r>
      <w:r w:rsidR="00163D1A">
        <w:rPr>
          <w:rFonts w:asciiTheme="minorHAnsi" w:hAnsiTheme="minorHAnsi" w:cstheme="minorHAnsi"/>
          <w:sz w:val="22"/>
          <w:szCs w:val="22"/>
        </w:rPr>
        <w:t>2013</w:t>
      </w:r>
      <w:r w:rsidRPr="00964350">
        <w:rPr>
          <w:rFonts w:asciiTheme="minorHAnsi" w:hAnsiTheme="minorHAnsi" w:cstheme="minorHAnsi"/>
          <w:sz w:val="22"/>
          <w:szCs w:val="22"/>
        </w:rPr>
        <w:t xml:space="preserve"> </w:t>
      </w:r>
      <w:smartTag w:uri="urn:schemas-microsoft-com:office:smarttags" w:element="stockticker">
        <w:r w:rsidRPr="00964350">
          <w:rPr>
            <w:rFonts w:asciiTheme="minorHAnsi" w:hAnsiTheme="minorHAnsi" w:cstheme="minorHAnsi"/>
            <w:sz w:val="22"/>
            <w:szCs w:val="22"/>
          </w:rPr>
          <w:t>SPC</w:t>
        </w:r>
      </w:smartTag>
      <w:r w:rsidRPr="00964350">
        <w:rPr>
          <w:rFonts w:asciiTheme="minorHAnsi" w:hAnsiTheme="minorHAnsi" w:cstheme="minorHAnsi"/>
          <w:sz w:val="22"/>
          <w:szCs w:val="22"/>
        </w:rPr>
        <w:t xml:space="preserve"> Procedures Manual,” Appendix B Table of Standard Fixture Wattage and Sample Lighting Table - Version </w:t>
      </w:r>
      <w:r w:rsidR="00163D1A">
        <w:rPr>
          <w:rFonts w:asciiTheme="minorHAnsi" w:hAnsiTheme="minorHAnsi" w:cstheme="minorHAnsi"/>
          <w:sz w:val="22"/>
          <w:szCs w:val="22"/>
        </w:rPr>
        <w:t>5.0</w:t>
      </w:r>
      <w:r w:rsidRPr="00964350">
        <w:rPr>
          <w:rFonts w:asciiTheme="minorHAnsi" w:hAnsiTheme="minorHAnsi" w:cstheme="minorHAnsi"/>
          <w:sz w:val="22"/>
          <w:szCs w:val="22"/>
        </w:rPr>
        <w:t>.</w:t>
      </w:r>
    </w:p>
    <w:p w:rsidR="006F20DB" w:rsidRDefault="006F20DB" w:rsidP="006F20DB">
      <w:pPr>
        <w:rPr>
          <w:rFonts w:asciiTheme="minorHAnsi" w:hAnsiTheme="minorHAnsi" w:cstheme="minorHAnsi"/>
          <w:sz w:val="22"/>
          <w:szCs w:val="22"/>
        </w:rPr>
      </w:pPr>
    </w:p>
    <w:p w:rsidR="006F20DB" w:rsidRDefault="006F20DB" w:rsidP="006F20DB">
      <w:pPr>
        <w:rPr>
          <w:rFonts w:asciiTheme="minorHAnsi" w:hAnsiTheme="minorHAnsi" w:cstheme="minorHAnsi"/>
          <w:sz w:val="22"/>
          <w:szCs w:val="22"/>
        </w:rPr>
      </w:pPr>
      <w:r>
        <w:rPr>
          <w:rFonts w:asciiTheme="minorHAnsi" w:hAnsiTheme="minorHAnsi" w:cstheme="minorHAnsi"/>
          <w:sz w:val="22"/>
          <w:szCs w:val="22"/>
        </w:rPr>
        <w:t>[</w:t>
      </w:r>
      <w:r w:rsidR="002B0DC8">
        <w:rPr>
          <w:rFonts w:asciiTheme="minorHAnsi" w:hAnsiTheme="minorHAnsi" w:cstheme="minorHAnsi"/>
          <w:sz w:val="22"/>
          <w:szCs w:val="22"/>
        </w:rPr>
        <w:t>D</w:t>
      </w:r>
      <w:r>
        <w:rPr>
          <w:rFonts w:asciiTheme="minorHAnsi" w:hAnsiTheme="minorHAnsi" w:cstheme="minorHAnsi"/>
          <w:sz w:val="22"/>
          <w:szCs w:val="22"/>
        </w:rPr>
        <w:t>]</w:t>
      </w:r>
      <w:r w:rsidRPr="00964350">
        <w:rPr>
          <w:rFonts w:asciiTheme="minorHAnsi" w:hAnsiTheme="minorHAnsi" w:cstheme="minorHAnsi"/>
          <w:sz w:val="22"/>
          <w:szCs w:val="22"/>
        </w:rPr>
        <w:t>Attachment 1 – Calculation</w:t>
      </w:r>
      <w:r>
        <w:rPr>
          <w:rFonts w:asciiTheme="minorHAnsi" w:hAnsiTheme="minorHAnsi" w:cstheme="minorHAnsi"/>
          <w:sz w:val="22"/>
          <w:szCs w:val="22"/>
        </w:rPr>
        <w:t>s</w:t>
      </w:r>
      <w:r w:rsidRPr="00964350">
        <w:rPr>
          <w:rFonts w:asciiTheme="minorHAnsi" w:hAnsiTheme="minorHAnsi" w:cstheme="minorHAnsi"/>
          <w:sz w:val="22"/>
          <w:szCs w:val="22"/>
        </w:rPr>
        <w:t xml:space="preserve"> Template v0.1.xlsm</w:t>
      </w:r>
    </w:p>
    <w:p w:rsidR="004D481C" w:rsidRDefault="004D481C" w:rsidP="006F20DB">
      <w:pPr>
        <w:rPr>
          <w:rFonts w:asciiTheme="minorHAnsi" w:hAnsiTheme="minorHAnsi" w:cstheme="minorHAnsi"/>
          <w:sz w:val="22"/>
          <w:szCs w:val="22"/>
        </w:rPr>
      </w:pPr>
    </w:p>
    <w:p w:rsidR="004D481C" w:rsidRDefault="004D481C" w:rsidP="006F20DB">
      <w:pPr>
        <w:rPr>
          <w:rFonts w:asciiTheme="minorHAnsi" w:hAnsiTheme="minorHAnsi" w:cstheme="minorHAnsi"/>
          <w:sz w:val="22"/>
          <w:szCs w:val="22"/>
        </w:rPr>
      </w:pPr>
      <w:r>
        <w:rPr>
          <w:rFonts w:asciiTheme="minorHAnsi" w:hAnsiTheme="minorHAnsi" w:cstheme="minorHAnsi"/>
          <w:sz w:val="22"/>
          <w:szCs w:val="22"/>
        </w:rPr>
        <w:t>[E]</w:t>
      </w:r>
      <w:r w:rsidRPr="00CC200C">
        <w:rPr>
          <w:rFonts w:asciiTheme="minorHAnsi" w:hAnsiTheme="minorHAnsi" w:cstheme="minorHAnsi"/>
          <w:sz w:val="22"/>
          <w:szCs w:val="22"/>
        </w:rPr>
        <w:t xml:space="preserve"> </w:t>
      </w:r>
      <w:r>
        <w:rPr>
          <w:rFonts w:asciiTheme="minorHAnsi" w:hAnsiTheme="minorHAnsi" w:cstheme="minorHAnsi"/>
          <w:sz w:val="22"/>
          <w:szCs w:val="22"/>
        </w:rPr>
        <w:t>Attachment 3 - 2013-2014_LightingRetrofit_Disposition-</w:t>
      </w:r>
      <w:r w:rsidR="008003EF">
        <w:rPr>
          <w:rFonts w:asciiTheme="minorHAnsi" w:hAnsiTheme="minorHAnsi" w:cstheme="minorHAnsi"/>
          <w:sz w:val="22"/>
          <w:szCs w:val="22"/>
        </w:rPr>
        <w:t>30May2014</w:t>
      </w:r>
    </w:p>
    <w:p w:rsidR="006F20DB" w:rsidRPr="00964350" w:rsidRDefault="006F20DB" w:rsidP="006F20DB">
      <w:pPr>
        <w:rPr>
          <w:rFonts w:asciiTheme="minorHAnsi" w:hAnsiTheme="minorHAnsi" w:cstheme="minorHAnsi"/>
          <w:sz w:val="22"/>
          <w:szCs w:val="22"/>
        </w:rPr>
      </w:pPr>
    </w:p>
    <w:p w:rsidR="006F20DB" w:rsidRPr="00964350" w:rsidRDefault="006F20DB" w:rsidP="006F20DB">
      <w:pPr>
        <w:rPr>
          <w:rFonts w:asciiTheme="minorHAnsi" w:hAnsiTheme="minorHAnsi" w:cstheme="minorHAnsi"/>
          <w:sz w:val="22"/>
          <w:szCs w:val="22"/>
        </w:rPr>
      </w:pPr>
      <w:r>
        <w:rPr>
          <w:rFonts w:asciiTheme="minorHAnsi" w:hAnsiTheme="minorHAnsi" w:cstheme="minorHAnsi"/>
          <w:sz w:val="22"/>
          <w:szCs w:val="22"/>
        </w:rPr>
        <w:t>[</w:t>
      </w:r>
      <w:r w:rsidR="00E04676">
        <w:rPr>
          <w:rFonts w:asciiTheme="minorHAnsi" w:hAnsiTheme="minorHAnsi" w:cstheme="minorHAnsi"/>
          <w:sz w:val="22"/>
          <w:szCs w:val="22"/>
        </w:rPr>
        <w:t>F</w:t>
      </w:r>
      <w:r>
        <w:rPr>
          <w:rFonts w:asciiTheme="minorHAnsi" w:hAnsiTheme="minorHAnsi" w:cstheme="minorHAnsi"/>
          <w:sz w:val="22"/>
          <w:szCs w:val="22"/>
        </w:rPr>
        <w:t>]</w:t>
      </w:r>
      <w:r w:rsidRPr="00964350">
        <w:rPr>
          <w:rFonts w:asciiTheme="minorHAnsi" w:hAnsiTheme="minorHAnsi" w:cstheme="minorHAnsi"/>
          <w:sz w:val="22"/>
          <w:szCs w:val="22"/>
        </w:rPr>
        <w:t xml:space="preserve"> </w:t>
      </w:r>
      <w:r>
        <w:rPr>
          <w:rFonts w:asciiTheme="minorHAnsi" w:hAnsiTheme="minorHAnsi" w:cstheme="minorHAnsi"/>
          <w:sz w:val="22"/>
          <w:szCs w:val="22"/>
        </w:rPr>
        <w:t>Attachment 2 – Interior Induction Lighting Costs.xlsx</w:t>
      </w:r>
    </w:p>
    <w:p w:rsidR="006F20DB" w:rsidRDefault="006F20DB" w:rsidP="006F20DB">
      <w:pPr>
        <w:pStyle w:val="EndnoteText"/>
        <w:rPr>
          <w:rFonts w:asciiTheme="minorHAnsi" w:hAnsiTheme="minorHAnsi" w:cstheme="minorHAnsi"/>
          <w:sz w:val="22"/>
          <w:szCs w:val="22"/>
        </w:rPr>
      </w:pPr>
    </w:p>
    <w:p w:rsidR="006F20DB" w:rsidRDefault="006F20DB" w:rsidP="006F20DB">
      <w:pPr>
        <w:rPr>
          <w:rStyle w:val="Hyperlink"/>
          <w:rFonts w:asciiTheme="minorHAnsi" w:hAnsiTheme="minorHAnsi" w:cstheme="minorHAnsi"/>
          <w:sz w:val="22"/>
          <w:szCs w:val="22"/>
        </w:rPr>
      </w:pPr>
    </w:p>
    <w:p w:rsidR="006F20DB" w:rsidRDefault="006F20DB" w:rsidP="009824E9">
      <w:pPr>
        <w:sectPr w:rsidR="006F20DB"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513D1A">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513D1A">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513D1A">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513D1A">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513D1A">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513D1A">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513D1A">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513D1A">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513D1A">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513D1A">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513D1A">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513D1A">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513D1A">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513D1A">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513D1A">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513D1A">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513D1A">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8"/>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5F9A" w:rsidRDefault="00A85F9A" w:rsidP="00447D6E">
      <w:r>
        <w:separator/>
      </w:r>
    </w:p>
  </w:endnote>
  <w:endnote w:type="continuationSeparator" w:id="0">
    <w:p w:rsidR="00A85F9A" w:rsidRDefault="00A85F9A"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F9A" w:rsidRPr="009500DC" w:rsidRDefault="00A85F9A" w:rsidP="00447D6E">
    <w:pPr>
      <w:pStyle w:val="Footer"/>
      <w:jc w:val="right"/>
      <w:rPr>
        <w:rFonts w:asciiTheme="minorHAnsi" w:hAnsiTheme="minorHAnsi" w:cstheme="minorHAnsi"/>
      </w:rPr>
    </w:pPr>
    <w:r>
      <w:rPr>
        <w:rFonts w:asciiTheme="minorHAnsi" w:hAnsiTheme="minorHAnsi" w:cstheme="minorHAnsi"/>
        <w:b/>
        <w:sz w:val="36"/>
        <w:szCs w:val="36"/>
      </w:rPr>
      <w:t>July 24,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F9A" w:rsidRPr="009500DC" w:rsidRDefault="00A85F9A"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SCE13LG090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785173">
      <w:rPr>
        <w:rFonts w:asciiTheme="minorHAnsi" w:hAnsiTheme="minorHAnsi" w:cstheme="minorHAnsi"/>
        <w:b/>
        <w:noProof/>
        <w:sz w:val="20"/>
        <w:szCs w:val="20"/>
      </w:rPr>
      <w:t>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24, 2014</w:t>
    </w:r>
  </w:p>
  <w:p w:rsidR="00A85F9A" w:rsidRPr="009500DC" w:rsidRDefault="00A85F9A"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F9A" w:rsidRPr="009500DC" w:rsidRDefault="00A85F9A"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SCE13LG090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785173">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24, 2014</w:t>
    </w:r>
  </w:p>
  <w:p w:rsidR="00A85F9A" w:rsidRPr="009500DC" w:rsidRDefault="00A85F9A"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5F9A" w:rsidRDefault="00A85F9A" w:rsidP="00447D6E">
      <w:r>
        <w:separator/>
      </w:r>
    </w:p>
  </w:footnote>
  <w:footnote w:type="continuationSeparator" w:id="0">
    <w:p w:rsidR="00A85F9A" w:rsidRDefault="00A85F9A"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96E0F3C"/>
    <w:multiLevelType w:val="hybridMultilevel"/>
    <w:tmpl w:val="5CD24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AD714D4"/>
    <w:multiLevelType w:val="hybridMultilevel"/>
    <w:tmpl w:val="8AEACB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5655379D"/>
    <w:multiLevelType w:val="hybridMultilevel"/>
    <w:tmpl w:val="36525FB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690184E"/>
    <w:multiLevelType w:val="hybridMultilevel"/>
    <w:tmpl w:val="2CBEE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4"/>
  </w:num>
  <w:num w:numId="4">
    <w:abstractNumId w:val="2"/>
  </w:num>
  <w:num w:numId="5">
    <w:abstractNumId w:val="2"/>
  </w:num>
  <w:num w:numId="6">
    <w:abstractNumId w:val="0"/>
  </w:num>
  <w:num w:numId="7">
    <w:abstractNumId w:val="6"/>
  </w:num>
  <w:num w:numId="8">
    <w:abstractNumId w:val="3"/>
  </w:num>
  <w:num w:numId="9">
    <w:abstractNumId w:val="7"/>
  </w:num>
  <w:num w:numId="10">
    <w:abstractNumId w:val="9"/>
  </w:num>
  <w:num w:numId="11">
    <w:abstractNumId w:val="1"/>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43C23"/>
    <w:rsid w:val="00056947"/>
    <w:rsid w:val="000632CC"/>
    <w:rsid w:val="00076DF4"/>
    <w:rsid w:val="00077E60"/>
    <w:rsid w:val="0009074D"/>
    <w:rsid w:val="00093792"/>
    <w:rsid w:val="0009592B"/>
    <w:rsid w:val="000968C6"/>
    <w:rsid w:val="000A5ED7"/>
    <w:rsid w:val="000A6239"/>
    <w:rsid w:val="000A63C9"/>
    <w:rsid w:val="000C0000"/>
    <w:rsid w:val="000C18CC"/>
    <w:rsid w:val="000D06F2"/>
    <w:rsid w:val="000E0272"/>
    <w:rsid w:val="000F130A"/>
    <w:rsid w:val="000F1D1F"/>
    <w:rsid w:val="000F1DFF"/>
    <w:rsid w:val="000F5988"/>
    <w:rsid w:val="00107242"/>
    <w:rsid w:val="001206F7"/>
    <w:rsid w:val="00126B87"/>
    <w:rsid w:val="001437AF"/>
    <w:rsid w:val="00147155"/>
    <w:rsid w:val="00147E5C"/>
    <w:rsid w:val="00153CB3"/>
    <w:rsid w:val="00160963"/>
    <w:rsid w:val="00163B1A"/>
    <w:rsid w:val="00163D1A"/>
    <w:rsid w:val="00165357"/>
    <w:rsid w:val="001811EE"/>
    <w:rsid w:val="001A0EB4"/>
    <w:rsid w:val="001A5F62"/>
    <w:rsid w:val="001B001D"/>
    <w:rsid w:val="001B618B"/>
    <w:rsid w:val="001C4140"/>
    <w:rsid w:val="001C5A94"/>
    <w:rsid w:val="001E0829"/>
    <w:rsid w:val="001F05CE"/>
    <w:rsid w:val="001F4A65"/>
    <w:rsid w:val="002145BB"/>
    <w:rsid w:val="0023254A"/>
    <w:rsid w:val="00240B74"/>
    <w:rsid w:val="00251BB5"/>
    <w:rsid w:val="00257F68"/>
    <w:rsid w:val="00274FBE"/>
    <w:rsid w:val="002762E1"/>
    <w:rsid w:val="002811BC"/>
    <w:rsid w:val="00283DE8"/>
    <w:rsid w:val="00285966"/>
    <w:rsid w:val="00290ED8"/>
    <w:rsid w:val="002A3D26"/>
    <w:rsid w:val="002B0DC8"/>
    <w:rsid w:val="002B1ADF"/>
    <w:rsid w:val="002C444C"/>
    <w:rsid w:val="002C63F9"/>
    <w:rsid w:val="002C6C7A"/>
    <w:rsid w:val="002D5A4B"/>
    <w:rsid w:val="002D6A03"/>
    <w:rsid w:val="002F1437"/>
    <w:rsid w:val="002F3943"/>
    <w:rsid w:val="0030363A"/>
    <w:rsid w:val="00332700"/>
    <w:rsid w:val="00345D80"/>
    <w:rsid w:val="003471D4"/>
    <w:rsid w:val="003560BA"/>
    <w:rsid w:val="00356379"/>
    <w:rsid w:val="003573FB"/>
    <w:rsid w:val="003832D2"/>
    <w:rsid w:val="00395735"/>
    <w:rsid w:val="003B61A8"/>
    <w:rsid w:val="003D2871"/>
    <w:rsid w:val="003D5B83"/>
    <w:rsid w:val="003E6E47"/>
    <w:rsid w:val="003F0623"/>
    <w:rsid w:val="004024A3"/>
    <w:rsid w:val="00407021"/>
    <w:rsid w:val="00413CDB"/>
    <w:rsid w:val="004200FE"/>
    <w:rsid w:val="00421183"/>
    <w:rsid w:val="00441957"/>
    <w:rsid w:val="00443D32"/>
    <w:rsid w:val="00447CE5"/>
    <w:rsid w:val="00447D6E"/>
    <w:rsid w:val="00460350"/>
    <w:rsid w:val="0046286E"/>
    <w:rsid w:val="00471234"/>
    <w:rsid w:val="00477522"/>
    <w:rsid w:val="00493457"/>
    <w:rsid w:val="00494628"/>
    <w:rsid w:val="004A0DF4"/>
    <w:rsid w:val="004B4A3A"/>
    <w:rsid w:val="004C0F5E"/>
    <w:rsid w:val="004C23F1"/>
    <w:rsid w:val="004D481C"/>
    <w:rsid w:val="004E01F5"/>
    <w:rsid w:val="004E76CA"/>
    <w:rsid w:val="0051020F"/>
    <w:rsid w:val="0051143D"/>
    <w:rsid w:val="00513D1A"/>
    <w:rsid w:val="00516726"/>
    <w:rsid w:val="00553A49"/>
    <w:rsid w:val="00560934"/>
    <w:rsid w:val="00564960"/>
    <w:rsid w:val="005734A4"/>
    <w:rsid w:val="005A0E53"/>
    <w:rsid w:val="005A1078"/>
    <w:rsid w:val="005B0212"/>
    <w:rsid w:val="005B28C1"/>
    <w:rsid w:val="005C2E48"/>
    <w:rsid w:val="005D06DF"/>
    <w:rsid w:val="005D4DD7"/>
    <w:rsid w:val="005E12A9"/>
    <w:rsid w:val="00602799"/>
    <w:rsid w:val="00612041"/>
    <w:rsid w:val="00614471"/>
    <w:rsid w:val="00620203"/>
    <w:rsid w:val="00630D13"/>
    <w:rsid w:val="006404E6"/>
    <w:rsid w:val="00647ABE"/>
    <w:rsid w:val="00655731"/>
    <w:rsid w:val="00664B05"/>
    <w:rsid w:val="00697868"/>
    <w:rsid w:val="006A055F"/>
    <w:rsid w:val="006A5293"/>
    <w:rsid w:val="006B0DF3"/>
    <w:rsid w:val="006B3E52"/>
    <w:rsid w:val="006B4A48"/>
    <w:rsid w:val="006C430A"/>
    <w:rsid w:val="006D2809"/>
    <w:rsid w:val="006E3342"/>
    <w:rsid w:val="006E4B12"/>
    <w:rsid w:val="006F20DB"/>
    <w:rsid w:val="006F7AFB"/>
    <w:rsid w:val="007048AC"/>
    <w:rsid w:val="007205D6"/>
    <w:rsid w:val="00733C7D"/>
    <w:rsid w:val="00740761"/>
    <w:rsid w:val="00745E6F"/>
    <w:rsid w:val="00745F77"/>
    <w:rsid w:val="00764D0D"/>
    <w:rsid w:val="00770635"/>
    <w:rsid w:val="00785173"/>
    <w:rsid w:val="007933F1"/>
    <w:rsid w:val="0079553A"/>
    <w:rsid w:val="007E43F8"/>
    <w:rsid w:val="007E656B"/>
    <w:rsid w:val="007F50E8"/>
    <w:rsid w:val="007F7FBA"/>
    <w:rsid w:val="00800319"/>
    <w:rsid w:val="008003EF"/>
    <w:rsid w:val="00801F7F"/>
    <w:rsid w:val="00824F1C"/>
    <w:rsid w:val="00881A42"/>
    <w:rsid w:val="00885E0A"/>
    <w:rsid w:val="0088603B"/>
    <w:rsid w:val="00893FC3"/>
    <w:rsid w:val="00894F22"/>
    <w:rsid w:val="0089577B"/>
    <w:rsid w:val="008C2541"/>
    <w:rsid w:val="008C2E0E"/>
    <w:rsid w:val="008E17CC"/>
    <w:rsid w:val="008E7F16"/>
    <w:rsid w:val="008F33B4"/>
    <w:rsid w:val="0090077A"/>
    <w:rsid w:val="009138A0"/>
    <w:rsid w:val="00922B85"/>
    <w:rsid w:val="00924F75"/>
    <w:rsid w:val="009500DC"/>
    <w:rsid w:val="00951923"/>
    <w:rsid w:val="00972C81"/>
    <w:rsid w:val="009824E9"/>
    <w:rsid w:val="00985965"/>
    <w:rsid w:val="00995983"/>
    <w:rsid w:val="00995CB0"/>
    <w:rsid w:val="00997E77"/>
    <w:rsid w:val="009A2734"/>
    <w:rsid w:val="009A3425"/>
    <w:rsid w:val="009B2030"/>
    <w:rsid w:val="009B5B7B"/>
    <w:rsid w:val="009C079F"/>
    <w:rsid w:val="009C1777"/>
    <w:rsid w:val="009C2C86"/>
    <w:rsid w:val="009D0753"/>
    <w:rsid w:val="009D642B"/>
    <w:rsid w:val="009E1802"/>
    <w:rsid w:val="009E1CDE"/>
    <w:rsid w:val="009E51E2"/>
    <w:rsid w:val="009F7A61"/>
    <w:rsid w:val="00A11C16"/>
    <w:rsid w:val="00A1423E"/>
    <w:rsid w:val="00A178F6"/>
    <w:rsid w:val="00A27E02"/>
    <w:rsid w:val="00A500D6"/>
    <w:rsid w:val="00A70A7F"/>
    <w:rsid w:val="00A736A0"/>
    <w:rsid w:val="00A7421A"/>
    <w:rsid w:val="00A85F9A"/>
    <w:rsid w:val="00A86DA2"/>
    <w:rsid w:val="00AB21F5"/>
    <w:rsid w:val="00AB3386"/>
    <w:rsid w:val="00AC5309"/>
    <w:rsid w:val="00AD4DD0"/>
    <w:rsid w:val="00AE7659"/>
    <w:rsid w:val="00AF0A16"/>
    <w:rsid w:val="00AF6342"/>
    <w:rsid w:val="00B053FB"/>
    <w:rsid w:val="00B07EE5"/>
    <w:rsid w:val="00B212E1"/>
    <w:rsid w:val="00B241BB"/>
    <w:rsid w:val="00B26778"/>
    <w:rsid w:val="00B26B83"/>
    <w:rsid w:val="00B32479"/>
    <w:rsid w:val="00B403ED"/>
    <w:rsid w:val="00B72ACD"/>
    <w:rsid w:val="00B866B4"/>
    <w:rsid w:val="00B95F68"/>
    <w:rsid w:val="00BA590A"/>
    <w:rsid w:val="00BB0B39"/>
    <w:rsid w:val="00BB5F75"/>
    <w:rsid w:val="00BC0AE9"/>
    <w:rsid w:val="00BD2928"/>
    <w:rsid w:val="00BD3931"/>
    <w:rsid w:val="00BD5B88"/>
    <w:rsid w:val="00C00998"/>
    <w:rsid w:val="00C122CF"/>
    <w:rsid w:val="00C24D03"/>
    <w:rsid w:val="00C25E61"/>
    <w:rsid w:val="00C52CD5"/>
    <w:rsid w:val="00C54EFF"/>
    <w:rsid w:val="00C72B8B"/>
    <w:rsid w:val="00C8101A"/>
    <w:rsid w:val="00CA2AB4"/>
    <w:rsid w:val="00CA73C2"/>
    <w:rsid w:val="00CB0100"/>
    <w:rsid w:val="00CC1E8B"/>
    <w:rsid w:val="00CE28CF"/>
    <w:rsid w:val="00CE2E6D"/>
    <w:rsid w:val="00CE5BEB"/>
    <w:rsid w:val="00CE69E9"/>
    <w:rsid w:val="00CF2553"/>
    <w:rsid w:val="00CF76DC"/>
    <w:rsid w:val="00D17C47"/>
    <w:rsid w:val="00D2008E"/>
    <w:rsid w:val="00D25074"/>
    <w:rsid w:val="00D36798"/>
    <w:rsid w:val="00D7380B"/>
    <w:rsid w:val="00D75D77"/>
    <w:rsid w:val="00DA11A0"/>
    <w:rsid w:val="00DA690B"/>
    <w:rsid w:val="00DD40A6"/>
    <w:rsid w:val="00DF2EE9"/>
    <w:rsid w:val="00DF66C9"/>
    <w:rsid w:val="00E01EC0"/>
    <w:rsid w:val="00E04676"/>
    <w:rsid w:val="00E07752"/>
    <w:rsid w:val="00E157E0"/>
    <w:rsid w:val="00E16609"/>
    <w:rsid w:val="00E16F08"/>
    <w:rsid w:val="00E233F3"/>
    <w:rsid w:val="00E25A18"/>
    <w:rsid w:val="00E33BBB"/>
    <w:rsid w:val="00E37F72"/>
    <w:rsid w:val="00E42A30"/>
    <w:rsid w:val="00E81F3E"/>
    <w:rsid w:val="00E85440"/>
    <w:rsid w:val="00E859BD"/>
    <w:rsid w:val="00E96759"/>
    <w:rsid w:val="00EB34FC"/>
    <w:rsid w:val="00EB76E1"/>
    <w:rsid w:val="00EF5416"/>
    <w:rsid w:val="00EF646D"/>
    <w:rsid w:val="00EF7991"/>
    <w:rsid w:val="00F00F9B"/>
    <w:rsid w:val="00F028A3"/>
    <w:rsid w:val="00F05F6E"/>
    <w:rsid w:val="00F06CCF"/>
    <w:rsid w:val="00F20DCF"/>
    <w:rsid w:val="00F4752B"/>
    <w:rsid w:val="00F56792"/>
    <w:rsid w:val="00F60E32"/>
    <w:rsid w:val="00F7242E"/>
    <w:rsid w:val="00FD1632"/>
    <w:rsid w:val="00FD5A8C"/>
    <w:rsid w:val="00FE3233"/>
    <w:rsid w:val="00FE5C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160963"/>
    <w:pPr>
      <w:spacing w:after="200" w:line="276" w:lineRule="auto"/>
      <w:ind w:left="720"/>
      <w:contextualSpacing/>
    </w:pPr>
    <w:rPr>
      <w:rFonts w:asciiTheme="minorHAnsi" w:eastAsiaTheme="minorHAnsi" w:hAnsiTheme="minorHAnsi" w:cstheme="minorBidi"/>
      <w:sz w:val="22"/>
      <w:szCs w:val="22"/>
    </w:rPr>
  </w:style>
  <w:style w:type="paragraph" w:customStyle="1" w:styleId="Normal2">
    <w:name w:val="Normal2"/>
    <w:basedOn w:val="Normal"/>
    <w:next w:val="Normal"/>
    <w:link w:val="Normal2Char"/>
    <w:rsid w:val="00614471"/>
    <w:pPr>
      <w:spacing w:line="280" w:lineRule="atLeast"/>
    </w:pPr>
  </w:style>
  <w:style w:type="character" w:customStyle="1" w:styleId="Normal2Char">
    <w:name w:val="Normal2 Char"/>
    <w:basedOn w:val="DefaultParagraphFont"/>
    <w:link w:val="Normal2"/>
    <w:rsid w:val="00614471"/>
    <w:rPr>
      <w:rFonts w:ascii="Times New Roman" w:eastAsia="Times New Roman" w:hAnsi="Times New Roman" w:cs="Times New Roman"/>
      <w:sz w:val="24"/>
      <w:szCs w:val="24"/>
    </w:rPr>
  </w:style>
  <w:style w:type="paragraph" w:customStyle="1" w:styleId="pF">
    <w:name w:val="pF"/>
    <w:next w:val="Normal2"/>
    <w:rsid w:val="00614471"/>
    <w:pPr>
      <w:spacing w:after="0" w:line="320" w:lineRule="atLeast"/>
    </w:pPr>
    <w:rPr>
      <w:rFonts w:ascii="Times New Roman" w:eastAsia="Times New Roman" w:hAnsi="Times New Roman" w:cs="Times New Roman"/>
      <w:sz w:val="24"/>
      <w:szCs w:val="20"/>
    </w:rPr>
  </w:style>
  <w:style w:type="paragraph" w:styleId="EndnoteText">
    <w:name w:val="endnote text"/>
    <w:basedOn w:val="Normal"/>
    <w:link w:val="EndnoteTextChar"/>
    <w:uiPriority w:val="99"/>
    <w:semiHidden/>
    <w:rsid w:val="006F20DB"/>
    <w:rPr>
      <w:sz w:val="20"/>
      <w:szCs w:val="20"/>
    </w:rPr>
  </w:style>
  <w:style w:type="character" w:customStyle="1" w:styleId="EndnoteTextChar">
    <w:name w:val="Endnote Text Char"/>
    <w:basedOn w:val="DefaultParagraphFont"/>
    <w:link w:val="EndnoteText"/>
    <w:uiPriority w:val="99"/>
    <w:semiHidden/>
    <w:rsid w:val="006F20DB"/>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160963"/>
    <w:pPr>
      <w:spacing w:after="200" w:line="276" w:lineRule="auto"/>
      <w:ind w:left="720"/>
      <w:contextualSpacing/>
    </w:pPr>
    <w:rPr>
      <w:rFonts w:asciiTheme="minorHAnsi" w:eastAsiaTheme="minorHAnsi" w:hAnsiTheme="minorHAnsi" w:cstheme="minorBidi"/>
      <w:sz w:val="22"/>
      <w:szCs w:val="22"/>
    </w:rPr>
  </w:style>
  <w:style w:type="paragraph" w:customStyle="1" w:styleId="Normal2">
    <w:name w:val="Normal2"/>
    <w:basedOn w:val="Normal"/>
    <w:next w:val="Normal"/>
    <w:link w:val="Normal2Char"/>
    <w:rsid w:val="00614471"/>
    <w:pPr>
      <w:spacing w:line="280" w:lineRule="atLeast"/>
    </w:pPr>
  </w:style>
  <w:style w:type="character" w:customStyle="1" w:styleId="Normal2Char">
    <w:name w:val="Normal2 Char"/>
    <w:basedOn w:val="DefaultParagraphFont"/>
    <w:link w:val="Normal2"/>
    <w:rsid w:val="00614471"/>
    <w:rPr>
      <w:rFonts w:ascii="Times New Roman" w:eastAsia="Times New Roman" w:hAnsi="Times New Roman" w:cs="Times New Roman"/>
      <w:sz w:val="24"/>
      <w:szCs w:val="24"/>
    </w:rPr>
  </w:style>
  <w:style w:type="paragraph" w:customStyle="1" w:styleId="pF">
    <w:name w:val="pF"/>
    <w:next w:val="Normal2"/>
    <w:rsid w:val="00614471"/>
    <w:pPr>
      <w:spacing w:after="0" w:line="320" w:lineRule="atLeast"/>
    </w:pPr>
    <w:rPr>
      <w:rFonts w:ascii="Times New Roman" w:eastAsia="Times New Roman" w:hAnsi="Times New Roman" w:cs="Times New Roman"/>
      <w:sz w:val="24"/>
      <w:szCs w:val="20"/>
    </w:rPr>
  </w:style>
  <w:style w:type="paragraph" w:styleId="EndnoteText">
    <w:name w:val="endnote text"/>
    <w:basedOn w:val="Normal"/>
    <w:link w:val="EndnoteTextChar"/>
    <w:uiPriority w:val="99"/>
    <w:semiHidden/>
    <w:rsid w:val="006F20DB"/>
    <w:rPr>
      <w:sz w:val="20"/>
      <w:szCs w:val="20"/>
    </w:rPr>
  </w:style>
  <w:style w:type="character" w:customStyle="1" w:styleId="EndnoteTextChar">
    <w:name w:val="Endnote Text Char"/>
    <w:basedOn w:val="DefaultParagraphFont"/>
    <w:link w:val="EndnoteText"/>
    <w:uiPriority w:val="99"/>
    <w:semiHidden/>
    <w:rsid w:val="006F20DB"/>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4.wmf"/><Relationship Id="rId26" Type="http://schemas.openxmlformats.org/officeDocument/2006/relationships/hyperlink" Target="http://www.deeresources.com" TargetMode="External"/><Relationship Id="rId3" Type="http://schemas.openxmlformats.org/officeDocument/2006/relationships/styles" Target="styles.xml"/><Relationship Id="rId21" Type="http://schemas.openxmlformats.org/officeDocument/2006/relationships/package" Target="embeddings/Microsoft_Excel_Macro-Enabled_Worksheet1.xlsm"/><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oleObject" Target="embeddings/oleObject3.bin"/><Relationship Id="rId25"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5.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image" Target="media/image7.emf"/><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package" Target="embeddings/Microsoft_Excel_Worksheet2.xlsx"/><Relationship Id="rId28" Type="http://schemas.openxmlformats.org/officeDocument/2006/relationships/footer" Target="footer3.xml"/><Relationship Id="rId10" Type="http://schemas.openxmlformats.org/officeDocument/2006/relationships/footer" Target="footer2.xml"/><Relationship Id="rId19"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wmf"/><Relationship Id="rId22" Type="http://schemas.openxmlformats.org/officeDocument/2006/relationships/image" Target="media/image6.emf"/><Relationship Id="rId27" Type="http://schemas.openxmlformats.org/officeDocument/2006/relationships/hyperlink" Target="http://www.sce.com/business/ems/customized-solutions/tools-resources.htm"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32E961-E454-4B83-B7A3-2C043399EA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3821</Words>
  <Characters>21784</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25554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cp:lastPrinted>2014-07-24T23:41:00Z</cp:lastPrinted>
  <dcterms:created xsi:type="dcterms:W3CDTF">2014-07-30T13:54:00Z</dcterms:created>
  <dcterms:modified xsi:type="dcterms:W3CDTF">2014-07-30T13:56:00Z</dcterms:modified>
</cp:coreProperties>
</file>