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F0BD4" w14:textId="1457B857" w:rsidR="0090706E" w:rsidRPr="00210B99" w:rsidRDefault="0090706E" w:rsidP="0090706E">
      <w:pPr>
        <w:rPr>
          <w:rFonts w:ascii="Calibri" w:hAnsi="Calibri" w:cs="Calibri"/>
          <w:b/>
          <w:i/>
          <w:szCs w:val="17"/>
        </w:rPr>
      </w:pPr>
      <w:r w:rsidRPr="00210B99">
        <w:rPr>
          <w:rFonts w:ascii="Calibri" w:hAnsi="Calibri" w:cs="Calibri"/>
          <w:b/>
          <w:i/>
          <w:szCs w:val="17"/>
        </w:rPr>
        <w:t>In response to the CPUC Energy Division preliminary work paper review comments for PG&amp;E High Performance Circulator (HPC) Pumps PGECOPUM107 r0.</w:t>
      </w:r>
    </w:p>
    <w:p w14:paraId="3C55A98B" w14:textId="77777777" w:rsidR="0090706E" w:rsidRPr="002B01E8" w:rsidRDefault="0090706E" w:rsidP="0090706E">
      <w:pPr>
        <w:rPr>
          <w:rFonts w:ascii="Calibri" w:hAnsi="Calibri" w:cs="Calibri"/>
          <w:szCs w:val="17"/>
          <w:u w:val="single"/>
        </w:rPr>
      </w:pPr>
      <w:r w:rsidRPr="002B01E8">
        <w:rPr>
          <w:rFonts w:ascii="Calibri" w:hAnsi="Calibri" w:cs="Calibri"/>
          <w:szCs w:val="17"/>
          <w:u w:val="single"/>
        </w:rPr>
        <w:t>Baseline Pump Size</w:t>
      </w:r>
    </w:p>
    <w:p w14:paraId="65CC4818" w14:textId="164719D3" w:rsidR="00C30D48" w:rsidRDefault="00324753" w:rsidP="005B747D">
      <w:pPr>
        <w:rPr>
          <w:rFonts w:ascii="Calibri" w:hAnsi="Calibri" w:cs="Calibri"/>
          <w:szCs w:val="17"/>
        </w:rPr>
      </w:pPr>
      <w:r>
        <w:rPr>
          <w:rFonts w:ascii="Calibri" w:hAnsi="Calibri" w:cs="Calibri"/>
          <w:szCs w:val="17"/>
        </w:rPr>
        <w:t>The Review Comments dated 5/16/17 raise</w:t>
      </w:r>
      <w:r w:rsidR="00C30D48">
        <w:rPr>
          <w:rFonts w:ascii="Calibri" w:hAnsi="Calibri" w:cs="Calibri"/>
          <w:szCs w:val="17"/>
        </w:rPr>
        <w:t xml:space="preserve"> concern that the pump model selected</w:t>
      </w:r>
      <w:r w:rsidR="00F62A16">
        <w:rPr>
          <w:rFonts w:ascii="Calibri" w:hAnsi="Calibri" w:cs="Calibri"/>
          <w:szCs w:val="17"/>
        </w:rPr>
        <w:t xml:space="preserve"> for the baseline</w:t>
      </w:r>
      <w:r w:rsidR="00C30D48">
        <w:rPr>
          <w:rFonts w:ascii="Calibri" w:hAnsi="Calibri" w:cs="Calibri"/>
          <w:szCs w:val="17"/>
        </w:rPr>
        <w:t xml:space="preserve"> is </w:t>
      </w:r>
      <w:r w:rsidR="0091420F">
        <w:rPr>
          <w:rFonts w:ascii="Calibri" w:hAnsi="Calibri" w:cs="Calibri"/>
          <w:szCs w:val="17"/>
        </w:rPr>
        <w:t>too large.  Our responses are as follows:</w:t>
      </w:r>
    </w:p>
    <w:p w14:paraId="6B4FA9BC" w14:textId="48807313" w:rsidR="0091420F" w:rsidRDefault="0091420F" w:rsidP="003C3AE6">
      <w:pPr>
        <w:pStyle w:val="CommentText"/>
        <w:numPr>
          <w:ilvl w:val="0"/>
          <w:numId w:val="7"/>
        </w:numPr>
        <w:spacing w:line="276" w:lineRule="auto"/>
        <w:rPr>
          <w:rFonts w:ascii="Calibri" w:hAnsi="Calibri" w:cs="Calibri"/>
          <w:sz w:val="22"/>
          <w:szCs w:val="17"/>
        </w:rPr>
      </w:pPr>
      <w:r>
        <w:rPr>
          <w:rFonts w:ascii="Calibri" w:hAnsi="Calibri" w:cs="Calibri"/>
          <w:sz w:val="22"/>
          <w:szCs w:val="17"/>
        </w:rPr>
        <w:t>The second sentence in the first paragraph implies that multi-family ap</w:t>
      </w:r>
      <w:r w:rsidR="0070770F">
        <w:rPr>
          <w:rFonts w:ascii="Calibri" w:hAnsi="Calibri" w:cs="Calibri"/>
          <w:sz w:val="22"/>
          <w:szCs w:val="17"/>
        </w:rPr>
        <w:t>plications are not covered.</w:t>
      </w:r>
      <w:r>
        <w:rPr>
          <w:rFonts w:ascii="Calibri" w:hAnsi="Calibri" w:cs="Calibri"/>
          <w:sz w:val="22"/>
          <w:szCs w:val="17"/>
        </w:rPr>
        <w:t xml:space="preserve"> </w:t>
      </w:r>
      <w:r w:rsidR="00E635F3">
        <w:rPr>
          <w:rFonts w:ascii="Calibri" w:hAnsi="Calibri" w:cs="Calibri"/>
          <w:sz w:val="22"/>
          <w:szCs w:val="17"/>
        </w:rPr>
        <w:t>Section 1.1</w:t>
      </w:r>
      <w:r w:rsidR="005D2551">
        <w:rPr>
          <w:rFonts w:ascii="Calibri" w:hAnsi="Calibri" w:cs="Calibri"/>
          <w:sz w:val="22"/>
          <w:szCs w:val="17"/>
        </w:rPr>
        <w:t xml:space="preserve"> of the work paper specifically </w:t>
      </w:r>
      <w:r w:rsidR="0070770F">
        <w:rPr>
          <w:rFonts w:ascii="Calibri" w:hAnsi="Calibri" w:cs="Calibri"/>
          <w:sz w:val="22"/>
          <w:szCs w:val="17"/>
        </w:rPr>
        <w:t>does include</w:t>
      </w:r>
      <w:r>
        <w:rPr>
          <w:rFonts w:ascii="Calibri" w:hAnsi="Calibri" w:cs="Calibri"/>
          <w:sz w:val="22"/>
          <w:szCs w:val="17"/>
        </w:rPr>
        <w:t xml:space="preserve"> multi-</w:t>
      </w:r>
      <w:r w:rsidR="00E635F3">
        <w:rPr>
          <w:rFonts w:ascii="Calibri" w:hAnsi="Calibri" w:cs="Calibri"/>
          <w:sz w:val="22"/>
          <w:szCs w:val="17"/>
        </w:rPr>
        <w:t>family homes</w:t>
      </w:r>
      <w:r w:rsidR="0070770F">
        <w:rPr>
          <w:rFonts w:ascii="Calibri" w:hAnsi="Calibri" w:cs="Calibri"/>
          <w:sz w:val="22"/>
          <w:szCs w:val="17"/>
        </w:rPr>
        <w:t xml:space="preserve"> in the scope</w:t>
      </w:r>
      <w:r w:rsidR="00692A5A">
        <w:rPr>
          <w:rFonts w:ascii="Calibri" w:hAnsi="Calibri" w:cs="Calibri"/>
          <w:sz w:val="22"/>
          <w:szCs w:val="17"/>
        </w:rPr>
        <w:t xml:space="preserve"> as per the recommendation by the California Technical Forum</w:t>
      </w:r>
      <w:r w:rsidR="00692A5A">
        <w:rPr>
          <w:rStyle w:val="FootnoteReference"/>
          <w:rFonts w:ascii="Calibri" w:hAnsi="Calibri" w:cs="Calibri"/>
          <w:sz w:val="22"/>
          <w:szCs w:val="17"/>
        </w:rPr>
        <w:footnoteReference w:id="1"/>
      </w:r>
      <w:r w:rsidR="0070770F">
        <w:rPr>
          <w:rFonts w:ascii="Calibri" w:hAnsi="Calibri" w:cs="Calibri"/>
          <w:sz w:val="22"/>
          <w:szCs w:val="17"/>
        </w:rPr>
        <w:t xml:space="preserve">. </w:t>
      </w:r>
      <w:r w:rsidR="00E635F3">
        <w:rPr>
          <w:rFonts w:ascii="Calibri" w:hAnsi="Calibri" w:cs="Calibri"/>
          <w:sz w:val="22"/>
          <w:szCs w:val="17"/>
        </w:rPr>
        <w:t>The baseline pump selection is consistent with this scope.</w:t>
      </w:r>
    </w:p>
    <w:p w14:paraId="645C99BB" w14:textId="68B6DAD3" w:rsidR="00C30D48" w:rsidRPr="008A7B94" w:rsidRDefault="001265A3" w:rsidP="003C3AE6">
      <w:pPr>
        <w:pStyle w:val="CommentText"/>
        <w:numPr>
          <w:ilvl w:val="0"/>
          <w:numId w:val="7"/>
        </w:numPr>
        <w:spacing w:line="276" w:lineRule="auto"/>
      </w:pPr>
      <w:r>
        <w:rPr>
          <w:rFonts w:ascii="Calibri" w:hAnsi="Calibri" w:cs="Calibri"/>
          <w:sz w:val="22"/>
          <w:szCs w:val="17"/>
        </w:rPr>
        <w:t>The Review Comments suggest</w:t>
      </w:r>
      <w:r w:rsidR="003B2050" w:rsidRPr="00E32FFA">
        <w:rPr>
          <w:rFonts w:ascii="Calibri" w:hAnsi="Calibri" w:cs="Calibri"/>
          <w:sz w:val="22"/>
          <w:szCs w:val="17"/>
        </w:rPr>
        <w:t xml:space="preserve"> that </w:t>
      </w:r>
      <w:r w:rsidR="00C30D48" w:rsidRPr="00E32FFA">
        <w:rPr>
          <w:rFonts w:ascii="Calibri" w:hAnsi="Calibri" w:cs="Calibri"/>
          <w:sz w:val="22"/>
          <w:szCs w:val="17"/>
        </w:rPr>
        <w:t xml:space="preserve">transactional history </w:t>
      </w:r>
      <w:r w:rsidR="003B2050" w:rsidRPr="00E32FFA">
        <w:rPr>
          <w:rFonts w:ascii="Calibri" w:hAnsi="Calibri" w:cs="Calibri"/>
          <w:sz w:val="22"/>
          <w:szCs w:val="17"/>
        </w:rPr>
        <w:t xml:space="preserve">may have included pumps for other applications such as heating.  </w:t>
      </w:r>
      <w:r w:rsidR="00C659F5">
        <w:rPr>
          <w:rFonts w:ascii="Calibri" w:hAnsi="Calibri" w:cs="Calibri"/>
          <w:sz w:val="22"/>
          <w:szCs w:val="17"/>
        </w:rPr>
        <w:t>As explained in Section 1.1,</w:t>
      </w:r>
      <w:r w:rsidR="00E32FFA" w:rsidRPr="00E32FFA">
        <w:rPr>
          <w:rFonts w:ascii="Calibri" w:hAnsi="Calibri" w:cs="Calibri"/>
          <w:sz w:val="22"/>
          <w:szCs w:val="17"/>
        </w:rPr>
        <w:t xml:space="preserve"> </w:t>
      </w:r>
      <w:r w:rsidR="00E32FFA">
        <w:rPr>
          <w:rFonts w:ascii="Calibri" w:hAnsi="Calibri" w:cs="Calibri"/>
          <w:sz w:val="22"/>
          <w:szCs w:val="17"/>
        </w:rPr>
        <w:t xml:space="preserve">domestic hot water </w:t>
      </w:r>
      <w:r w:rsidR="0026328D">
        <w:rPr>
          <w:rFonts w:ascii="Calibri" w:hAnsi="Calibri" w:cs="Calibri"/>
          <w:sz w:val="22"/>
          <w:szCs w:val="17"/>
        </w:rPr>
        <w:t xml:space="preserve">heating is </w:t>
      </w:r>
      <w:r w:rsidR="00E32FFA" w:rsidRPr="00E32FFA">
        <w:rPr>
          <w:rFonts w:ascii="Calibri" w:hAnsi="Calibri" w:cs="Calibri"/>
          <w:sz w:val="22"/>
          <w:szCs w:val="17"/>
        </w:rPr>
        <w:t>open-loop</w:t>
      </w:r>
      <w:r w:rsidR="00E32FFA">
        <w:rPr>
          <w:rFonts w:ascii="Calibri" w:hAnsi="Calibri" w:cs="Calibri"/>
          <w:sz w:val="22"/>
          <w:szCs w:val="17"/>
        </w:rPr>
        <w:t xml:space="preserve"> and</w:t>
      </w:r>
      <w:r w:rsidR="00E32FFA" w:rsidRPr="00E32FFA">
        <w:rPr>
          <w:rFonts w:ascii="Calibri" w:hAnsi="Calibri" w:cs="Calibri"/>
          <w:sz w:val="22"/>
          <w:szCs w:val="17"/>
        </w:rPr>
        <w:t xml:space="preserve"> must</w:t>
      </w:r>
      <w:r w:rsidR="00E32FFA">
        <w:rPr>
          <w:rFonts w:ascii="Calibri" w:hAnsi="Calibri" w:cs="Calibri"/>
          <w:sz w:val="22"/>
          <w:szCs w:val="17"/>
        </w:rPr>
        <w:t xml:space="preserve"> therefore</w:t>
      </w:r>
      <w:r w:rsidR="0026328D">
        <w:rPr>
          <w:rFonts w:ascii="Calibri" w:hAnsi="Calibri" w:cs="Calibri"/>
          <w:sz w:val="22"/>
          <w:szCs w:val="17"/>
        </w:rPr>
        <w:t xml:space="preserve"> use pumps with</w:t>
      </w:r>
      <w:r w:rsidR="00E32FFA" w:rsidRPr="00E32FFA">
        <w:rPr>
          <w:rFonts w:ascii="Calibri" w:hAnsi="Calibri" w:cs="Calibri"/>
          <w:sz w:val="22"/>
          <w:szCs w:val="17"/>
        </w:rPr>
        <w:t xml:space="preserve"> non-ferrous pump casings, such as bronze or stainless steel, to avoid oxidation from fresh water.  Closed-loop applications, like solar water heating or hydronic systems, can use ferrous pumps which are cheaper.  </w:t>
      </w:r>
      <w:r w:rsidR="00E32FFA" w:rsidRPr="002A47BE">
        <w:rPr>
          <w:sz w:val="22"/>
        </w:rPr>
        <w:t xml:space="preserve">For example, the Grundfos Alpha 15-55 costs </w:t>
      </w:r>
      <w:r w:rsidR="0026328D">
        <w:rPr>
          <w:sz w:val="22"/>
        </w:rPr>
        <w:t>~</w:t>
      </w:r>
      <w:r w:rsidR="00E32FFA" w:rsidRPr="002A47BE">
        <w:rPr>
          <w:sz w:val="22"/>
        </w:rPr>
        <w:t xml:space="preserve">$345 in </w:t>
      </w:r>
      <w:hyperlink r:id="rId9" w:history="1">
        <w:r w:rsidR="0026328D">
          <w:rPr>
            <w:rStyle w:val="Hyperlink"/>
            <w:sz w:val="22"/>
          </w:rPr>
          <w:t>stainless steel</w:t>
        </w:r>
      </w:hyperlink>
      <w:r w:rsidR="00C1697A">
        <w:rPr>
          <w:sz w:val="22"/>
        </w:rPr>
        <w:t xml:space="preserve">, but the same pump in </w:t>
      </w:r>
      <w:hyperlink r:id="rId10" w:history="1">
        <w:r w:rsidR="007F4509">
          <w:rPr>
            <w:rStyle w:val="Hyperlink"/>
            <w:sz w:val="22"/>
          </w:rPr>
          <w:t>cast</w:t>
        </w:r>
        <w:r w:rsidR="00C1697A" w:rsidRPr="00C1697A">
          <w:rPr>
            <w:rStyle w:val="Hyperlink"/>
            <w:sz w:val="22"/>
          </w:rPr>
          <w:t xml:space="preserve"> iron</w:t>
        </w:r>
      </w:hyperlink>
      <w:r w:rsidR="00E32FFA" w:rsidRPr="002A47BE">
        <w:rPr>
          <w:sz w:val="22"/>
        </w:rPr>
        <w:t xml:space="preserve"> </w:t>
      </w:r>
      <w:r w:rsidR="0026328D">
        <w:rPr>
          <w:sz w:val="22"/>
        </w:rPr>
        <w:t>~</w:t>
      </w:r>
      <w:r w:rsidR="00E32FFA" w:rsidRPr="002A47BE">
        <w:rPr>
          <w:sz w:val="22"/>
        </w:rPr>
        <w:t xml:space="preserve">$172. </w:t>
      </w:r>
      <w:r w:rsidR="00E32FFA" w:rsidRPr="00E32FFA">
        <w:rPr>
          <w:rFonts w:ascii="Calibri" w:hAnsi="Calibri" w:cs="Calibri"/>
          <w:sz w:val="22"/>
          <w:szCs w:val="17"/>
        </w:rPr>
        <w:t>Th</w:t>
      </w:r>
      <w:r w:rsidR="00E32FFA">
        <w:rPr>
          <w:rFonts w:ascii="Calibri" w:hAnsi="Calibri" w:cs="Calibri"/>
          <w:sz w:val="22"/>
          <w:szCs w:val="17"/>
        </w:rPr>
        <w:t xml:space="preserve">e transactional history </w:t>
      </w:r>
      <w:r w:rsidR="0026328D">
        <w:rPr>
          <w:rFonts w:ascii="Calibri" w:hAnsi="Calibri" w:cs="Calibri"/>
          <w:sz w:val="22"/>
          <w:szCs w:val="17"/>
        </w:rPr>
        <w:t xml:space="preserve">referenced </w:t>
      </w:r>
      <w:r w:rsidR="00E32FFA">
        <w:rPr>
          <w:rFonts w:ascii="Calibri" w:hAnsi="Calibri" w:cs="Calibri"/>
          <w:sz w:val="22"/>
          <w:szCs w:val="17"/>
        </w:rPr>
        <w:t>was filtered for</w:t>
      </w:r>
      <w:r w:rsidR="00E32FFA" w:rsidRPr="00E32FFA">
        <w:rPr>
          <w:rFonts w:ascii="Calibri" w:hAnsi="Calibri" w:cs="Calibri"/>
          <w:sz w:val="22"/>
          <w:szCs w:val="17"/>
        </w:rPr>
        <w:t xml:space="preserve"> open loop applications</w:t>
      </w:r>
      <w:r w:rsidR="00E32FFA">
        <w:rPr>
          <w:rFonts w:ascii="Calibri" w:hAnsi="Calibri" w:cs="Calibri"/>
          <w:sz w:val="22"/>
          <w:szCs w:val="17"/>
        </w:rPr>
        <w:t xml:space="preserve"> only,</w:t>
      </w:r>
      <w:r w:rsidR="00E32FFA" w:rsidRPr="00E32FFA">
        <w:rPr>
          <w:rFonts w:ascii="Calibri" w:hAnsi="Calibri" w:cs="Calibri"/>
          <w:sz w:val="22"/>
          <w:szCs w:val="17"/>
        </w:rPr>
        <w:t xml:space="preserve"> effectively </w:t>
      </w:r>
      <w:r w:rsidR="0026328D">
        <w:rPr>
          <w:rFonts w:ascii="Calibri" w:hAnsi="Calibri" w:cs="Calibri"/>
          <w:sz w:val="22"/>
          <w:szCs w:val="17"/>
        </w:rPr>
        <w:t>capturing</w:t>
      </w:r>
      <w:r w:rsidR="00E32FFA" w:rsidRPr="00E32FFA">
        <w:rPr>
          <w:rFonts w:ascii="Calibri" w:hAnsi="Calibri" w:cs="Calibri"/>
          <w:sz w:val="22"/>
          <w:szCs w:val="17"/>
        </w:rPr>
        <w:t xml:space="preserve"> the </w:t>
      </w:r>
      <w:r w:rsidR="0026328D">
        <w:rPr>
          <w:rFonts w:ascii="Calibri" w:hAnsi="Calibri" w:cs="Calibri"/>
          <w:sz w:val="22"/>
          <w:szCs w:val="17"/>
        </w:rPr>
        <w:t>pumps</w:t>
      </w:r>
      <w:r w:rsidR="00E32FFA" w:rsidRPr="00E32FFA">
        <w:rPr>
          <w:rFonts w:ascii="Calibri" w:hAnsi="Calibri" w:cs="Calibri"/>
          <w:sz w:val="22"/>
          <w:szCs w:val="17"/>
        </w:rPr>
        <w:t xml:space="preserve"> used specifically for domestic hot water applications. </w:t>
      </w:r>
    </w:p>
    <w:p w14:paraId="1AADDDF8" w14:textId="3205C312" w:rsidR="009A722A" w:rsidRPr="003C3AE6" w:rsidRDefault="002A47BE" w:rsidP="003C3AE6">
      <w:pPr>
        <w:ind w:left="360"/>
        <w:rPr>
          <w:rFonts w:ascii="Calibri" w:hAnsi="Calibri" w:cs="Calibri"/>
          <w:szCs w:val="17"/>
        </w:rPr>
      </w:pPr>
      <w:r w:rsidRPr="003C3AE6">
        <w:rPr>
          <w:rFonts w:ascii="Calibri" w:hAnsi="Calibri" w:cs="Calibri"/>
          <w:szCs w:val="17"/>
        </w:rPr>
        <w:t xml:space="preserve">Osborne Company, a large distributor in PG&amp;E territory, </w:t>
      </w:r>
      <w:r w:rsidR="0091420F" w:rsidRPr="003C3AE6">
        <w:rPr>
          <w:rFonts w:ascii="Calibri" w:hAnsi="Calibri" w:cs="Calibri"/>
          <w:szCs w:val="17"/>
        </w:rPr>
        <w:t xml:space="preserve">estimates that </w:t>
      </w:r>
      <w:r w:rsidR="00C659F5">
        <w:rPr>
          <w:rFonts w:ascii="Calibri" w:hAnsi="Calibri" w:cs="Calibri"/>
          <w:szCs w:val="17"/>
        </w:rPr>
        <w:t xml:space="preserve">well </w:t>
      </w:r>
      <w:r w:rsidR="0091420F" w:rsidRPr="003C3AE6">
        <w:rPr>
          <w:rFonts w:ascii="Calibri" w:hAnsi="Calibri" w:cs="Calibri"/>
          <w:szCs w:val="17"/>
        </w:rPr>
        <w:t xml:space="preserve">over 80% </w:t>
      </w:r>
      <w:r w:rsidR="00844026" w:rsidRPr="003C3AE6">
        <w:rPr>
          <w:rFonts w:ascii="Calibri" w:hAnsi="Calibri" w:cs="Calibri"/>
          <w:szCs w:val="17"/>
        </w:rPr>
        <w:t>of its</w:t>
      </w:r>
      <w:r w:rsidR="007650B3" w:rsidRPr="003C3AE6">
        <w:rPr>
          <w:rFonts w:ascii="Calibri" w:hAnsi="Calibri" w:cs="Calibri"/>
          <w:szCs w:val="17"/>
        </w:rPr>
        <w:t xml:space="preserve"> sales of</w:t>
      </w:r>
      <w:r w:rsidR="00844026" w:rsidRPr="003C3AE6">
        <w:rPr>
          <w:rFonts w:ascii="Calibri" w:hAnsi="Calibri" w:cs="Calibri"/>
          <w:szCs w:val="17"/>
        </w:rPr>
        <w:t xml:space="preserve"> </w:t>
      </w:r>
      <w:r w:rsidR="0091420F" w:rsidRPr="003C3AE6">
        <w:rPr>
          <w:rFonts w:ascii="Calibri" w:hAnsi="Calibri" w:cs="Calibri"/>
          <w:szCs w:val="17"/>
        </w:rPr>
        <w:t>open</w:t>
      </w:r>
      <w:r w:rsidR="0026328D">
        <w:rPr>
          <w:rFonts w:ascii="Calibri" w:hAnsi="Calibri" w:cs="Calibri"/>
          <w:szCs w:val="17"/>
        </w:rPr>
        <w:t>-</w:t>
      </w:r>
      <w:r w:rsidR="0091420F" w:rsidRPr="003C3AE6">
        <w:rPr>
          <w:rFonts w:ascii="Calibri" w:hAnsi="Calibri" w:cs="Calibri"/>
          <w:szCs w:val="17"/>
        </w:rPr>
        <w:t>loop pumps</w:t>
      </w:r>
      <w:r w:rsidR="007650B3" w:rsidRPr="003C3AE6">
        <w:rPr>
          <w:rFonts w:ascii="Calibri" w:hAnsi="Calibri" w:cs="Calibri"/>
          <w:szCs w:val="17"/>
        </w:rPr>
        <w:t xml:space="preserve"> in the size range of the baseline</w:t>
      </w:r>
      <w:r w:rsidR="0091420F" w:rsidRPr="003C3AE6">
        <w:rPr>
          <w:rFonts w:ascii="Calibri" w:hAnsi="Calibri" w:cs="Calibri"/>
          <w:szCs w:val="17"/>
        </w:rPr>
        <w:t xml:space="preserve"> </w:t>
      </w:r>
      <w:r w:rsidR="007650B3" w:rsidRPr="003C3AE6">
        <w:rPr>
          <w:rFonts w:ascii="Calibri" w:hAnsi="Calibri" w:cs="Calibri"/>
          <w:szCs w:val="17"/>
        </w:rPr>
        <w:t xml:space="preserve">pump </w:t>
      </w:r>
      <w:r w:rsidR="0091420F" w:rsidRPr="003C3AE6">
        <w:rPr>
          <w:rFonts w:ascii="Calibri" w:hAnsi="Calibri" w:cs="Calibri"/>
          <w:szCs w:val="17"/>
        </w:rPr>
        <w:t xml:space="preserve">are used for </w:t>
      </w:r>
      <w:r w:rsidR="007650B3" w:rsidRPr="003C3AE6">
        <w:rPr>
          <w:rFonts w:ascii="Calibri" w:hAnsi="Calibri" w:cs="Calibri"/>
          <w:szCs w:val="17"/>
        </w:rPr>
        <w:t>domestic hot water applications.</w:t>
      </w:r>
      <w:r w:rsidR="00E635F3">
        <w:rPr>
          <w:rStyle w:val="FootnoteReference"/>
          <w:rFonts w:ascii="Calibri" w:hAnsi="Calibri" w:cs="Calibri"/>
          <w:szCs w:val="17"/>
        </w:rPr>
        <w:footnoteReference w:id="2"/>
      </w:r>
    </w:p>
    <w:p w14:paraId="480C010A" w14:textId="45807B7C" w:rsidR="00AB4644" w:rsidRPr="00AB4644" w:rsidRDefault="008B5CDB" w:rsidP="00AB4644">
      <w:pPr>
        <w:pStyle w:val="ListParagraph"/>
        <w:numPr>
          <w:ilvl w:val="0"/>
          <w:numId w:val="7"/>
        </w:numPr>
        <w:rPr>
          <w:rFonts w:ascii="Calibri" w:hAnsi="Calibri" w:cs="Calibri"/>
          <w:szCs w:val="17"/>
        </w:rPr>
      </w:pPr>
      <w:r w:rsidRPr="008B5CDB">
        <w:rPr>
          <w:rFonts w:ascii="Calibri" w:hAnsi="Calibri" w:cs="Calibri"/>
          <w:szCs w:val="17"/>
        </w:rPr>
        <w:t xml:space="preserve">As shown in the </w:t>
      </w:r>
      <w:r w:rsidR="00C6537A">
        <w:rPr>
          <w:rFonts w:ascii="Calibri" w:hAnsi="Calibri" w:cs="Calibri"/>
          <w:szCs w:val="17"/>
        </w:rPr>
        <w:t xml:space="preserve">Reference Section 3 of the </w:t>
      </w:r>
      <w:r w:rsidRPr="008B5CDB">
        <w:rPr>
          <w:rFonts w:ascii="Calibri" w:hAnsi="Calibri" w:cs="Calibri"/>
          <w:szCs w:val="17"/>
        </w:rPr>
        <w:t>work paper,</w:t>
      </w:r>
      <w:r w:rsidRPr="008B5CDB">
        <w:rPr>
          <w:rFonts w:cs="Arial"/>
          <w:color w:val="000000"/>
        </w:rPr>
        <w:t xml:space="preserve"> the residential market for circulator pumps can be segmented into two groups: small (up to 25W) and large (26-120W). </w:t>
      </w:r>
      <w:r w:rsidRPr="008B5CDB">
        <w:rPr>
          <w:rFonts w:ascii="Calibri" w:hAnsi="Calibri" w:cs="Calibri"/>
          <w:szCs w:val="17"/>
        </w:rPr>
        <w:t xml:space="preserve"> Transactional history shows that larger pumps have </w:t>
      </w:r>
      <w:r w:rsidR="00C6537A">
        <w:rPr>
          <w:rFonts w:ascii="Calibri" w:hAnsi="Calibri" w:cs="Calibri"/>
          <w:szCs w:val="17"/>
        </w:rPr>
        <w:t xml:space="preserve">a </w:t>
      </w:r>
      <w:r w:rsidRPr="008B5CDB">
        <w:rPr>
          <w:rFonts w:ascii="Calibri" w:hAnsi="Calibri" w:cs="Calibri"/>
          <w:szCs w:val="17"/>
        </w:rPr>
        <w:t xml:space="preserve">much </w:t>
      </w:r>
      <w:r w:rsidR="00C6537A">
        <w:rPr>
          <w:rFonts w:ascii="Calibri" w:hAnsi="Calibri" w:cs="Calibri"/>
          <w:szCs w:val="17"/>
        </w:rPr>
        <w:t xml:space="preserve">greater </w:t>
      </w:r>
      <w:r w:rsidRPr="008B5CDB">
        <w:rPr>
          <w:rFonts w:ascii="Calibri" w:hAnsi="Calibri" w:cs="Calibri"/>
          <w:szCs w:val="17"/>
        </w:rPr>
        <w:t xml:space="preserve">market share.  </w:t>
      </w:r>
      <w:r w:rsidR="00C6537A">
        <w:rPr>
          <w:rFonts w:ascii="Calibri" w:hAnsi="Calibri" w:cs="Calibri"/>
          <w:szCs w:val="17"/>
        </w:rPr>
        <w:t xml:space="preserve">To support this data, </w:t>
      </w:r>
      <w:r w:rsidRPr="008B5CDB">
        <w:rPr>
          <w:rFonts w:cs="Arial"/>
          <w:color w:val="000000"/>
        </w:rPr>
        <w:t>three top manufacturers</w:t>
      </w:r>
      <w:r w:rsidR="00C6537A">
        <w:rPr>
          <w:rFonts w:cs="Arial"/>
          <w:color w:val="000000"/>
        </w:rPr>
        <w:t xml:space="preserve">, </w:t>
      </w:r>
      <w:r w:rsidR="004A0E1D">
        <w:rPr>
          <w:rFonts w:cs="Arial"/>
          <w:color w:val="000000"/>
        </w:rPr>
        <w:t>Armstrong</w:t>
      </w:r>
      <w:r w:rsidR="00C6537A">
        <w:rPr>
          <w:rFonts w:cs="Arial"/>
          <w:color w:val="000000"/>
        </w:rPr>
        <w:t xml:space="preserve">, </w:t>
      </w:r>
      <w:proofErr w:type="spellStart"/>
      <w:r w:rsidR="00C6537A">
        <w:rPr>
          <w:rFonts w:cs="Arial"/>
          <w:color w:val="000000"/>
        </w:rPr>
        <w:t>Grundfos</w:t>
      </w:r>
      <w:proofErr w:type="spellEnd"/>
      <w:r w:rsidR="00C6537A">
        <w:rPr>
          <w:rFonts w:cs="Arial"/>
          <w:color w:val="000000"/>
        </w:rPr>
        <w:t>, and Xylem,</w:t>
      </w:r>
      <w:r w:rsidRPr="008B5CDB">
        <w:rPr>
          <w:rFonts w:cs="Arial"/>
          <w:color w:val="000000"/>
        </w:rPr>
        <w:t xml:space="preserve"> </w:t>
      </w:r>
      <w:r w:rsidR="00C6537A">
        <w:rPr>
          <w:rFonts w:cs="Arial"/>
          <w:color w:val="000000"/>
        </w:rPr>
        <w:t xml:space="preserve">were surveyed </w:t>
      </w:r>
      <w:r w:rsidRPr="008B5CDB">
        <w:rPr>
          <w:rFonts w:cs="Arial"/>
          <w:color w:val="000000"/>
        </w:rPr>
        <w:t>regarding their non-ferrous pump sales in these categories. Armstrong reported that in 2016 its most popular model “by far” was the Astro 320SS, which operates at 97 Watts.</w:t>
      </w:r>
      <w:r w:rsidRPr="00B361EF">
        <w:rPr>
          <w:rStyle w:val="FootnoteReference"/>
          <w:rFonts w:cs="Arial"/>
          <w:color w:val="000000"/>
        </w:rPr>
        <w:footnoteReference w:id="3"/>
      </w:r>
      <w:r w:rsidRPr="008B5CDB">
        <w:rPr>
          <w:rFonts w:cs="Arial"/>
          <w:color w:val="000000"/>
        </w:rPr>
        <w:t xml:space="preserve">  </w:t>
      </w:r>
      <w:r w:rsidRPr="008B5CDB">
        <w:rPr>
          <w:rFonts w:ascii="Calibri" w:hAnsi="Calibri" w:cs="Calibri"/>
        </w:rPr>
        <w:t>Grundfos, the m</w:t>
      </w:r>
      <w:bookmarkStart w:id="0" w:name="_GoBack"/>
      <w:bookmarkEnd w:id="0"/>
      <w:r w:rsidRPr="008B5CDB">
        <w:rPr>
          <w:rFonts w:ascii="Calibri" w:hAnsi="Calibri" w:cs="Calibri"/>
        </w:rPr>
        <w:t>arket leader, has sold nearly 2.5 times more 15-29 models in California than its 25W model the UP 15-10.</w:t>
      </w:r>
      <w:r w:rsidRPr="00B361EF">
        <w:rPr>
          <w:rStyle w:val="FootnoteReference"/>
          <w:rFonts w:ascii="Calibri" w:hAnsi="Calibri" w:cs="Calibri"/>
        </w:rPr>
        <w:footnoteReference w:id="4"/>
      </w:r>
      <w:r w:rsidRPr="008B5CDB">
        <w:rPr>
          <w:rFonts w:ascii="Calibri" w:hAnsi="Calibri" w:cs="Calibri"/>
        </w:rPr>
        <w:t xml:space="preserve">  Xylem reported that in Northern California in 2016, it sold 175 units in the small segment but 464 units of the large.</w:t>
      </w:r>
      <w:r w:rsidRPr="00B361EF">
        <w:rPr>
          <w:rStyle w:val="FootnoteReference"/>
          <w:rFonts w:ascii="Calibri" w:hAnsi="Calibri" w:cs="Calibri"/>
        </w:rPr>
        <w:footnoteReference w:id="5"/>
      </w:r>
      <w:r w:rsidR="00C659F5">
        <w:rPr>
          <w:rFonts w:ascii="Calibri" w:hAnsi="Calibri" w:cs="Calibri"/>
        </w:rPr>
        <w:t xml:space="preserve">  </w:t>
      </w:r>
    </w:p>
    <w:p w14:paraId="444C6A87" w14:textId="6D0E13D8" w:rsidR="008B5CDB" w:rsidRPr="007770C2" w:rsidRDefault="00C659F5" w:rsidP="007770C2">
      <w:pPr>
        <w:ind w:firstLine="360"/>
        <w:rPr>
          <w:rFonts w:ascii="Calibri" w:hAnsi="Calibri" w:cs="Calibri"/>
          <w:szCs w:val="17"/>
        </w:rPr>
      </w:pPr>
      <w:r w:rsidRPr="007770C2">
        <w:rPr>
          <w:rFonts w:ascii="Calibri" w:hAnsi="Calibri" w:cs="Calibri"/>
        </w:rPr>
        <w:t xml:space="preserve">All of this </w:t>
      </w:r>
      <w:r w:rsidR="00296C26">
        <w:rPr>
          <w:rFonts w:ascii="Calibri" w:hAnsi="Calibri" w:cs="Calibri"/>
        </w:rPr>
        <w:t xml:space="preserve">transactional history </w:t>
      </w:r>
      <w:r w:rsidRPr="007770C2">
        <w:rPr>
          <w:rFonts w:ascii="Calibri" w:hAnsi="Calibri" w:cs="Calibri"/>
        </w:rPr>
        <w:t>supports the current baseline selection.</w:t>
      </w:r>
    </w:p>
    <w:p w14:paraId="5287A278" w14:textId="77777777" w:rsidR="008B5CDB" w:rsidRDefault="008B5CDB" w:rsidP="008B5CDB">
      <w:pPr>
        <w:pStyle w:val="ListParagraph"/>
        <w:ind w:left="360"/>
        <w:rPr>
          <w:rFonts w:ascii="Calibri" w:hAnsi="Calibri" w:cs="Calibri"/>
          <w:szCs w:val="17"/>
        </w:rPr>
      </w:pPr>
    </w:p>
    <w:p w14:paraId="60629F27" w14:textId="21BFC7DE" w:rsidR="00BE6463" w:rsidRDefault="00F62A16" w:rsidP="003C3AE6">
      <w:pPr>
        <w:pStyle w:val="ListParagraph"/>
        <w:numPr>
          <w:ilvl w:val="0"/>
          <w:numId w:val="7"/>
        </w:numPr>
        <w:rPr>
          <w:rFonts w:ascii="Calibri" w:hAnsi="Calibri" w:cs="Calibri"/>
          <w:szCs w:val="17"/>
        </w:rPr>
      </w:pPr>
      <w:r w:rsidRPr="00094A8C">
        <w:rPr>
          <w:rFonts w:ascii="Calibri" w:hAnsi="Calibri" w:cs="Calibri"/>
          <w:szCs w:val="17"/>
        </w:rPr>
        <w:t>Commission staff cite</w:t>
      </w:r>
      <w:r w:rsidR="00321754">
        <w:rPr>
          <w:rFonts w:ascii="Calibri" w:hAnsi="Calibri" w:cs="Calibri"/>
          <w:szCs w:val="17"/>
        </w:rPr>
        <w:t>s</w:t>
      </w:r>
      <w:r w:rsidRPr="00094A8C">
        <w:rPr>
          <w:rFonts w:ascii="Calibri" w:hAnsi="Calibri" w:cs="Calibri"/>
          <w:szCs w:val="17"/>
        </w:rPr>
        <w:t xml:space="preserve"> </w:t>
      </w:r>
      <w:r w:rsidR="00321754">
        <w:rPr>
          <w:rFonts w:ascii="Calibri" w:hAnsi="Calibri" w:cs="Calibri"/>
          <w:szCs w:val="17"/>
        </w:rPr>
        <w:t>data</w:t>
      </w:r>
      <w:r w:rsidR="00BE6463">
        <w:rPr>
          <w:rFonts w:ascii="Calibri" w:hAnsi="Calibri" w:cs="Calibri"/>
          <w:szCs w:val="17"/>
        </w:rPr>
        <w:t xml:space="preserve"> from </w:t>
      </w:r>
      <w:r w:rsidR="00AB4644">
        <w:rPr>
          <w:rFonts w:ascii="Calibri" w:hAnsi="Calibri" w:cs="Calibri"/>
          <w:szCs w:val="17"/>
        </w:rPr>
        <w:t xml:space="preserve">the 2012 </w:t>
      </w:r>
      <w:r w:rsidR="00BE6463">
        <w:rPr>
          <w:rFonts w:ascii="Calibri" w:hAnsi="Calibri" w:cs="Calibri"/>
          <w:szCs w:val="17"/>
        </w:rPr>
        <w:t>CLASS</w:t>
      </w:r>
      <w:r w:rsidR="00321754">
        <w:rPr>
          <w:rFonts w:ascii="Calibri" w:hAnsi="Calibri" w:cs="Calibri"/>
          <w:szCs w:val="17"/>
        </w:rPr>
        <w:t xml:space="preserve"> </w:t>
      </w:r>
      <w:r w:rsidR="00AB4644">
        <w:rPr>
          <w:rFonts w:ascii="Calibri" w:hAnsi="Calibri" w:cs="Calibri"/>
          <w:szCs w:val="17"/>
        </w:rPr>
        <w:t xml:space="preserve">(California Lighting and Appliance saturation Study) </w:t>
      </w:r>
      <w:r w:rsidR="00277824">
        <w:rPr>
          <w:rFonts w:ascii="Calibri" w:hAnsi="Calibri" w:cs="Calibri"/>
          <w:szCs w:val="17"/>
        </w:rPr>
        <w:t>that the average home</w:t>
      </w:r>
      <w:r w:rsidRPr="00094A8C">
        <w:rPr>
          <w:rFonts w:ascii="Calibri" w:hAnsi="Calibri" w:cs="Calibri"/>
          <w:szCs w:val="17"/>
        </w:rPr>
        <w:t xml:space="preserve"> with </w:t>
      </w:r>
      <w:r w:rsidR="00277824">
        <w:rPr>
          <w:rFonts w:ascii="Calibri" w:hAnsi="Calibri" w:cs="Calibri"/>
          <w:szCs w:val="17"/>
        </w:rPr>
        <w:t xml:space="preserve">a </w:t>
      </w:r>
      <w:r w:rsidRPr="00094A8C">
        <w:rPr>
          <w:rFonts w:ascii="Calibri" w:hAnsi="Calibri" w:cs="Calibri"/>
          <w:szCs w:val="17"/>
        </w:rPr>
        <w:t>recirculatin</w:t>
      </w:r>
      <w:r w:rsidR="00277824">
        <w:rPr>
          <w:rFonts w:ascii="Calibri" w:hAnsi="Calibri" w:cs="Calibri"/>
          <w:szCs w:val="17"/>
        </w:rPr>
        <w:t>g system</w:t>
      </w:r>
      <w:r w:rsidR="00BE6463">
        <w:rPr>
          <w:rFonts w:ascii="Calibri" w:hAnsi="Calibri" w:cs="Calibri"/>
          <w:szCs w:val="17"/>
        </w:rPr>
        <w:t xml:space="preserve"> is 2,400 square feet, </w:t>
      </w:r>
      <w:r w:rsidR="0091061A">
        <w:rPr>
          <w:rFonts w:ascii="Calibri" w:hAnsi="Calibri" w:cs="Calibri"/>
          <w:szCs w:val="17"/>
        </w:rPr>
        <w:t xml:space="preserve">which is smaller than the average found in the Alpha Field Survey, </w:t>
      </w:r>
      <w:r w:rsidR="00BE6463">
        <w:rPr>
          <w:rFonts w:ascii="Calibri" w:hAnsi="Calibri" w:cs="Calibri"/>
          <w:szCs w:val="17"/>
        </w:rPr>
        <w:t xml:space="preserve">suggesting that most SFRs are likely to have smaller pumps than the baseline.  </w:t>
      </w:r>
      <w:r w:rsidRPr="00094A8C">
        <w:rPr>
          <w:rFonts w:ascii="Calibri" w:hAnsi="Calibri" w:cs="Calibri"/>
          <w:szCs w:val="17"/>
        </w:rPr>
        <w:t xml:space="preserve"> However, </w:t>
      </w:r>
      <w:r w:rsidR="009B2DC5" w:rsidRPr="00094A8C">
        <w:rPr>
          <w:rFonts w:ascii="Calibri" w:hAnsi="Calibri" w:cs="Calibri"/>
          <w:szCs w:val="17"/>
        </w:rPr>
        <w:t>CLASS does not differentiate between systems that use a dedicated return line and those that use the cold water line</w:t>
      </w:r>
      <w:r w:rsidR="00E635F3" w:rsidRPr="00094A8C">
        <w:rPr>
          <w:rFonts w:ascii="Calibri" w:hAnsi="Calibri" w:cs="Calibri"/>
          <w:szCs w:val="17"/>
        </w:rPr>
        <w:t xml:space="preserve">. </w:t>
      </w:r>
      <w:r w:rsidR="00E635F3">
        <w:rPr>
          <w:rFonts w:ascii="Calibri" w:hAnsi="Calibri" w:cs="Calibri"/>
          <w:szCs w:val="17"/>
        </w:rPr>
        <w:t xml:space="preserve"> </w:t>
      </w:r>
      <w:r w:rsidR="009B2DC5" w:rsidRPr="00094A8C">
        <w:rPr>
          <w:rFonts w:ascii="Calibri" w:hAnsi="Calibri" w:cs="Calibri"/>
          <w:szCs w:val="17"/>
        </w:rPr>
        <w:t xml:space="preserve">Using the cold water line is significantly less efficient, </w:t>
      </w:r>
      <w:r w:rsidR="00AB4644">
        <w:rPr>
          <w:rFonts w:ascii="Calibri" w:hAnsi="Calibri" w:cs="Calibri"/>
          <w:szCs w:val="17"/>
        </w:rPr>
        <w:t>and</w:t>
      </w:r>
      <w:r w:rsidR="00BC7EE4" w:rsidRPr="00094A8C">
        <w:rPr>
          <w:rFonts w:ascii="Calibri" w:hAnsi="Calibri" w:cs="Calibri"/>
          <w:szCs w:val="17"/>
        </w:rPr>
        <w:t xml:space="preserve"> </w:t>
      </w:r>
      <w:r w:rsidR="00AB4644">
        <w:rPr>
          <w:rFonts w:ascii="Calibri" w:hAnsi="Calibri" w:cs="Calibri"/>
          <w:szCs w:val="17"/>
        </w:rPr>
        <w:t>residences that use this configuration</w:t>
      </w:r>
      <w:r w:rsidR="00BC7EE4" w:rsidRPr="00094A8C">
        <w:rPr>
          <w:rFonts w:ascii="Calibri" w:hAnsi="Calibri" w:cs="Calibri"/>
          <w:szCs w:val="17"/>
        </w:rPr>
        <w:t xml:space="preserve"> tend to be smaller.  The work paper is specifically for systems that use dedicated return lines</w:t>
      </w:r>
      <w:r w:rsidR="00E635F3" w:rsidRPr="00094A8C">
        <w:rPr>
          <w:rFonts w:ascii="Calibri" w:hAnsi="Calibri" w:cs="Calibri"/>
          <w:szCs w:val="17"/>
        </w:rPr>
        <w:t xml:space="preserve">.  </w:t>
      </w:r>
    </w:p>
    <w:p w14:paraId="12372686" w14:textId="77777777" w:rsidR="00277824" w:rsidRDefault="00277824" w:rsidP="00277824">
      <w:pPr>
        <w:pStyle w:val="ListParagraph"/>
        <w:ind w:left="360"/>
        <w:rPr>
          <w:rFonts w:ascii="Calibri" w:hAnsi="Calibri" w:cs="Calibri"/>
          <w:szCs w:val="17"/>
        </w:rPr>
      </w:pPr>
    </w:p>
    <w:p w14:paraId="30EEAB0E" w14:textId="488ECEB7" w:rsidR="009847A0" w:rsidRDefault="003C3AE6" w:rsidP="00512724">
      <w:pPr>
        <w:pStyle w:val="ListParagraph"/>
        <w:numPr>
          <w:ilvl w:val="0"/>
          <w:numId w:val="7"/>
        </w:numPr>
        <w:rPr>
          <w:rFonts w:ascii="Calibri" w:hAnsi="Calibri" w:cs="Calibri"/>
          <w:szCs w:val="17"/>
        </w:rPr>
      </w:pPr>
      <w:r w:rsidRPr="00094A8C">
        <w:rPr>
          <w:rFonts w:ascii="Calibri" w:hAnsi="Calibri" w:cs="Calibri"/>
          <w:szCs w:val="17"/>
        </w:rPr>
        <w:t>Commission staff</w:t>
      </w:r>
      <w:r>
        <w:rPr>
          <w:rFonts w:ascii="Calibri" w:hAnsi="Calibri" w:cs="Calibri"/>
          <w:szCs w:val="17"/>
        </w:rPr>
        <w:t xml:space="preserve"> observes that measure savings must be based on expected participation in the program.  We</w:t>
      </w:r>
      <w:r w:rsidR="004A3955">
        <w:rPr>
          <w:rFonts w:ascii="Calibri" w:hAnsi="Calibri" w:cs="Calibri"/>
          <w:szCs w:val="17"/>
        </w:rPr>
        <w:t xml:space="preserve"> agree, and</w:t>
      </w:r>
      <w:r>
        <w:rPr>
          <w:rFonts w:ascii="Calibri" w:hAnsi="Calibri" w:cs="Calibri"/>
          <w:szCs w:val="17"/>
        </w:rPr>
        <w:t xml:space="preserve"> </w:t>
      </w:r>
      <w:r w:rsidR="00512724">
        <w:rPr>
          <w:rFonts w:ascii="Calibri" w:hAnsi="Calibri" w:cs="Calibri"/>
          <w:szCs w:val="17"/>
        </w:rPr>
        <w:t>expect</w:t>
      </w:r>
      <w:r>
        <w:rPr>
          <w:rFonts w:ascii="Calibri" w:hAnsi="Calibri" w:cs="Calibri"/>
          <w:szCs w:val="17"/>
        </w:rPr>
        <w:t xml:space="preserve"> </w:t>
      </w:r>
      <w:r w:rsidR="00506D46">
        <w:rPr>
          <w:rFonts w:ascii="Calibri" w:hAnsi="Calibri" w:cs="Calibri"/>
          <w:szCs w:val="17"/>
        </w:rPr>
        <w:t xml:space="preserve">that </w:t>
      </w:r>
      <w:r w:rsidR="004A3955">
        <w:rPr>
          <w:rFonts w:ascii="Calibri" w:hAnsi="Calibri" w:cs="Calibri"/>
          <w:szCs w:val="17"/>
        </w:rPr>
        <w:t>the most likely participation will be from replacing burnt-out</w:t>
      </w:r>
      <w:r w:rsidR="00506D46">
        <w:rPr>
          <w:rFonts w:ascii="Calibri" w:hAnsi="Calibri" w:cs="Calibri"/>
          <w:szCs w:val="17"/>
        </w:rPr>
        <w:t xml:space="preserve"> pumps in the </w:t>
      </w:r>
      <w:r>
        <w:rPr>
          <w:rFonts w:ascii="Calibri" w:hAnsi="Calibri" w:cs="Calibri"/>
          <w:szCs w:val="17"/>
        </w:rPr>
        <w:t>size range of the selected baseline</w:t>
      </w:r>
      <w:r w:rsidR="004A3955">
        <w:rPr>
          <w:rFonts w:ascii="Calibri" w:hAnsi="Calibri" w:cs="Calibri"/>
          <w:szCs w:val="17"/>
        </w:rPr>
        <w:t>.</w:t>
      </w:r>
      <w:r w:rsidR="008B5CDB">
        <w:rPr>
          <w:rFonts w:ascii="Calibri" w:hAnsi="Calibri" w:cs="Calibri"/>
          <w:szCs w:val="17"/>
        </w:rPr>
        <w:t xml:space="preserve"> Most </w:t>
      </w:r>
      <w:r w:rsidRPr="008B5CDB">
        <w:rPr>
          <w:rFonts w:ascii="Calibri" w:hAnsi="Calibri" w:cs="Calibri"/>
          <w:szCs w:val="17"/>
        </w:rPr>
        <w:t xml:space="preserve">homes built starting in the 1990’s with </w:t>
      </w:r>
      <w:r w:rsidR="00512724" w:rsidRPr="008B5CDB">
        <w:rPr>
          <w:rFonts w:ascii="Calibri" w:hAnsi="Calibri" w:cs="Calibri"/>
          <w:szCs w:val="17"/>
        </w:rPr>
        <w:t>re</w:t>
      </w:r>
      <w:r w:rsidRPr="008B5CDB">
        <w:rPr>
          <w:rFonts w:ascii="Calibri" w:hAnsi="Calibri" w:cs="Calibri"/>
          <w:szCs w:val="17"/>
        </w:rPr>
        <w:t>circulating systems have dedicated return lines</w:t>
      </w:r>
      <w:r>
        <w:rPr>
          <w:rStyle w:val="FootnoteReference"/>
          <w:rFonts w:ascii="Calibri" w:hAnsi="Calibri" w:cs="Calibri"/>
          <w:szCs w:val="17"/>
        </w:rPr>
        <w:footnoteReference w:id="6"/>
      </w:r>
      <w:r w:rsidR="004A3955" w:rsidRPr="008B5CDB">
        <w:rPr>
          <w:rFonts w:ascii="Calibri" w:hAnsi="Calibri" w:cs="Calibri"/>
          <w:szCs w:val="17"/>
        </w:rPr>
        <w:t xml:space="preserve"> and are therefore likely to be larger systems.  </w:t>
      </w:r>
      <w:r w:rsidR="009847A0">
        <w:rPr>
          <w:rFonts w:ascii="Calibri" w:hAnsi="Calibri" w:cs="Calibri"/>
          <w:szCs w:val="17"/>
        </w:rPr>
        <w:t>Additionally</w:t>
      </w:r>
      <w:r w:rsidR="00512724" w:rsidRPr="008B5CDB">
        <w:rPr>
          <w:rFonts w:ascii="Calibri" w:hAnsi="Calibri" w:cs="Calibri"/>
          <w:szCs w:val="17"/>
        </w:rPr>
        <w:t>, many homes with recirculating systems are actually quite large.  In</w:t>
      </w:r>
      <w:r w:rsidR="00512724" w:rsidRPr="00094A8C">
        <w:t xml:space="preserve"> the Alpha study, the average size was ~5,400 ft</w:t>
      </w:r>
      <w:r w:rsidR="00512724" w:rsidRPr="008B5CDB">
        <w:rPr>
          <w:vertAlign w:val="superscript"/>
        </w:rPr>
        <w:t>2</w:t>
      </w:r>
      <w:r w:rsidR="00512724" w:rsidRPr="00094A8C">
        <w:t xml:space="preserve">.  </w:t>
      </w:r>
      <w:r w:rsidR="00296C26">
        <w:t>T</w:t>
      </w:r>
      <w:r w:rsidR="00512724">
        <w:t xml:space="preserve">welve of the thirteen </w:t>
      </w:r>
      <w:r w:rsidR="00512724" w:rsidRPr="00094A8C">
        <w:t xml:space="preserve">pumps </w:t>
      </w:r>
      <w:r w:rsidR="00296C26">
        <w:t xml:space="preserve">replaced during the study </w:t>
      </w:r>
      <w:r w:rsidR="00512724" w:rsidRPr="00094A8C">
        <w:t xml:space="preserve">were the same size or larger than the </w:t>
      </w:r>
      <w:r w:rsidR="009847A0">
        <w:t xml:space="preserve">suggested baseline </w:t>
      </w:r>
      <w:proofErr w:type="gramStart"/>
      <w:r w:rsidR="009847A0">
        <w:t>pump,</w:t>
      </w:r>
      <w:proofErr w:type="gramEnd"/>
      <w:r w:rsidR="009847A0">
        <w:t xml:space="preserve"> the </w:t>
      </w:r>
      <w:r w:rsidR="00512724" w:rsidRPr="00094A8C">
        <w:t>UP 15-29</w:t>
      </w:r>
      <w:r w:rsidR="00296C26">
        <w:rPr>
          <w:rFonts w:ascii="Calibri" w:hAnsi="Calibri" w:cs="Calibri"/>
          <w:szCs w:val="17"/>
        </w:rPr>
        <w:t xml:space="preserve"> (see work paper Section 6.)</w:t>
      </w:r>
    </w:p>
    <w:p w14:paraId="584AEF84" w14:textId="77777777" w:rsidR="009847A0" w:rsidRPr="007770C2" w:rsidRDefault="009847A0" w:rsidP="007770C2">
      <w:pPr>
        <w:pStyle w:val="ListParagraph"/>
        <w:rPr>
          <w:rFonts w:ascii="Calibri" w:hAnsi="Calibri" w:cs="Calibri"/>
          <w:szCs w:val="17"/>
        </w:rPr>
      </w:pPr>
    </w:p>
    <w:p w14:paraId="21EBD9E2" w14:textId="3EE6C42D" w:rsidR="008B5CDB" w:rsidRDefault="009847A0" w:rsidP="00C1697A">
      <w:pPr>
        <w:pStyle w:val="ListParagraph"/>
        <w:ind w:left="360"/>
        <w:rPr>
          <w:rFonts w:ascii="Calibri" w:hAnsi="Calibri" w:cs="Calibri"/>
          <w:szCs w:val="17"/>
        </w:rPr>
      </w:pPr>
      <w:r>
        <w:rPr>
          <w:rFonts w:ascii="Calibri" w:hAnsi="Calibri" w:cs="Calibri"/>
          <w:szCs w:val="17"/>
        </w:rPr>
        <w:t>O</w:t>
      </w:r>
      <w:r w:rsidR="00512724" w:rsidRPr="008B5CDB">
        <w:rPr>
          <w:rFonts w:ascii="Calibri" w:hAnsi="Calibri" w:cs="Calibri"/>
          <w:szCs w:val="17"/>
        </w:rPr>
        <w:t xml:space="preserve">utreach to distributors </w:t>
      </w:r>
      <w:r>
        <w:rPr>
          <w:rFonts w:ascii="Calibri" w:hAnsi="Calibri" w:cs="Calibri"/>
          <w:szCs w:val="17"/>
        </w:rPr>
        <w:t xml:space="preserve">supported the baseline decision as </w:t>
      </w:r>
      <w:r w:rsidR="00512724" w:rsidRPr="008B5CDB">
        <w:rPr>
          <w:rFonts w:ascii="Calibri" w:hAnsi="Calibri" w:cs="Calibri"/>
          <w:szCs w:val="17"/>
        </w:rPr>
        <w:t>appropriate</w:t>
      </w:r>
      <w:r w:rsidR="00512724">
        <w:rPr>
          <w:rStyle w:val="FootnoteReference"/>
          <w:rFonts w:ascii="Calibri" w:hAnsi="Calibri" w:cs="Calibri"/>
          <w:szCs w:val="17"/>
        </w:rPr>
        <w:footnoteReference w:id="7"/>
      </w:r>
      <w:r w:rsidR="00512724" w:rsidRPr="008B5CDB">
        <w:rPr>
          <w:rFonts w:ascii="Calibri" w:hAnsi="Calibri" w:cs="Calibri"/>
          <w:szCs w:val="17"/>
        </w:rPr>
        <w:t>. One reported that the UP 15-29 pump size was typical of homes in the 2,000 ft</w:t>
      </w:r>
      <w:r w:rsidR="00512724" w:rsidRPr="008B5CDB">
        <w:rPr>
          <w:rFonts w:ascii="Calibri" w:hAnsi="Calibri" w:cs="Calibri"/>
          <w:szCs w:val="17"/>
          <w:vertAlign w:val="superscript"/>
        </w:rPr>
        <w:t>2</w:t>
      </w:r>
      <w:r w:rsidR="00512724" w:rsidRPr="008B5CDB">
        <w:rPr>
          <w:rFonts w:ascii="Calibri" w:hAnsi="Calibri" w:cs="Calibri"/>
          <w:szCs w:val="17"/>
        </w:rPr>
        <w:t xml:space="preserve"> range and another noted t</w:t>
      </w:r>
      <w:r w:rsidR="00296C26">
        <w:rPr>
          <w:rFonts w:ascii="Calibri" w:hAnsi="Calibri" w:cs="Calibri"/>
          <w:szCs w:val="17"/>
        </w:rPr>
        <w:t xml:space="preserve">his </w:t>
      </w:r>
      <w:r w:rsidR="00512724" w:rsidRPr="008B5CDB">
        <w:rPr>
          <w:rFonts w:ascii="Calibri" w:hAnsi="Calibri" w:cs="Calibri"/>
          <w:szCs w:val="17"/>
        </w:rPr>
        <w:t xml:space="preserve">particular size would be appropriate for recirculation loops starting at </w:t>
      </w:r>
      <w:r w:rsidR="008B5CDB">
        <w:rPr>
          <w:rFonts w:ascii="Calibri" w:hAnsi="Calibri" w:cs="Calibri"/>
          <w:szCs w:val="17"/>
        </w:rPr>
        <w:t xml:space="preserve">100 feet, which </w:t>
      </w:r>
      <w:r w:rsidR="00296C26">
        <w:rPr>
          <w:rFonts w:ascii="Calibri" w:hAnsi="Calibri" w:cs="Calibri"/>
          <w:szCs w:val="17"/>
        </w:rPr>
        <w:t xml:space="preserve">are </w:t>
      </w:r>
      <w:r w:rsidR="008B5CDB">
        <w:rPr>
          <w:rFonts w:ascii="Calibri" w:hAnsi="Calibri" w:cs="Calibri"/>
          <w:szCs w:val="17"/>
        </w:rPr>
        <w:t xml:space="preserve">likely be </w:t>
      </w:r>
      <w:r w:rsidR="00C659F5">
        <w:rPr>
          <w:rFonts w:ascii="Calibri" w:hAnsi="Calibri" w:cs="Calibri"/>
          <w:szCs w:val="17"/>
        </w:rPr>
        <w:t xml:space="preserve">in homes </w:t>
      </w:r>
      <w:r w:rsidR="008B5CDB">
        <w:rPr>
          <w:rFonts w:ascii="Calibri" w:hAnsi="Calibri" w:cs="Calibri"/>
          <w:szCs w:val="17"/>
        </w:rPr>
        <w:t xml:space="preserve">under the CLASS average of </w:t>
      </w:r>
      <w:r w:rsidR="00512724" w:rsidRPr="008B5CDB">
        <w:rPr>
          <w:rFonts w:ascii="Calibri" w:hAnsi="Calibri" w:cs="Calibri"/>
          <w:szCs w:val="17"/>
        </w:rPr>
        <w:t>2,400 ft</w:t>
      </w:r>
      <w:r w:rsidR="00512724" w:rsidRPr="008B5CDB">
        <w:rPr>
          <w:rFonts w:ascii="Calibri" w:hAnsi="Calibri" w:cs="Calibri"/>
          <w:szCs w:val="17"/>
          <w:vertAlign w:val="superscript"/>
        </w:rPr>
        <w:t>2</w:t>
      </w:r>
      <w:r w:rsidR="00512724" w:rsidRPr="008B5CDB">
        <w:rPr>
          <w:rFonts w:ascii="Calibri" w:hAnsi="Calibri" w:cs="Calibri"/>
          <w:szCs w:val="17"/>
        </w:rPr>
        <w:t>.</w:t>
      </w:r>
    </w:p>
    <w:p w14:paraId="518A25DE" w14:textId="77777777" w:rsidR="008B5CDB" w:rsidRPr="008B5CDB" w:rsidRDefault="008B5CDB" w:rsidP="008B5CDB">
      <w:pPr>
        <w:pStyle w:val="ListParagraph"/>
        <w:ind w:left="360"/>
        <w:rPr>
          <w:rFonts w:ascii="Calibri" w:hAnsi="Calibri" w:cs="Calibri"/>
          <w:szCs w:val="17"/>
        </w:rPr>
      </w:pPr>
    </w:p>
    <w:p w14:paraId="3B49140E" w14:textId="59696ACE" w:rsidR="008C4125" w:rsidRPr="008B5CDB" w:rsidRDefault="00D52719" w:rsidP="008B5CDB">
      <w:pPr>
        <w:pStyle w:val="ListParagraph"/>
        <w:numPr>
          <w:ilvl w:val="0"/>
          <w:numId w:val="7"/>
        </w:numPr>
      </w:pPr>
      <w:r w:rsidRPr="008B5CDB">
        <w:rPr>
          <w:rFonts w:ascii="Calibri" w:hAnsi="Calibri" w:cs="Calibri"/>
          <w:szCs w:val="17"/>
        </w:rPr>
        <w:t xml:space="preserve">The </w:t>
      </w:r>
      <w:r w:rsidR="00C659F5">
        <w:rPr>
          <w:rFonts w:ascii="Calibri" w:hAnsi="Calibri" w:cs="Calibri"/>
          <w:szCs w:val="17"/>
        </w:rPr>
        <w:t xml:space="preserve">Review Comments </w:t>
      </w:r>
      <w:r w:rsidR="00E24CA5" w:rsidRPr="008B5CDB">
        <w:rPr>
          <w:rFonts w:ascii="Calibri" w:hAnsi="Calibri" w:cs="Calibri"/>
          <w:szCs w:val="17"/>
        </w:rPr>
        <w:t xml:space="preserve">suggest </w:t>
      </w:r>
      <w:r w:rsidR="00144009">
        <w:rPr>
          <w:rFonts w:ascii="Calibri" w:hAnsi="Calibri" w:cs="Calibri"/>
          <w:szCs w:val="17"/>
        </w:rPr>
        <w:t xml:space="preserve">that </w:t>
      </w:r>
      <w:r w:rsidR="00E24CA5" w:rsidRPr="008B5CDB">
        <w:rPr>
          <w:rFonts w:ascii="Calibri" w:hAnsi="Calibri" w:cs="Calibri"/>
          <w:szCs w:val="17"/>
        </w:rPr>
        <w:t xml:space="preserve">the </w:t>
      </w:r>
      <w:proofErr w:type="spellStart"/>
      <w:r w:rsidR="00E24CA5" w:rsidRPr="008B5CDB">
        <w:rPr>
          <w:rFonts w:ascii="Calibri" w:hAnsi="Calibri" w:cs="Calibri"/>
          <w:szCs w:val="17"/>
        </w:rPr>
        <w:t>Grundfos</w:t>
      </w:r>
      <w:proofErr w:type="spellEnd"/>
      <w:r w:rsidR="00E24CA5" w:rsidRPr="008B5CDB">
        <w:rPr>
          <w:rFonts w:ascii="Calibri" w:hAnsi="Calibri" w:cs="Calibri"/>
          <w:szCs w:val="17"/>
        </w:rPr>
        <w:t xml:space="preserve"> 29-10 would be a better baseline.  However, there is no such model.  A catalog of all Grundfos pumps can be found </w:t>
      </w:r>
      <w:hyperlink r:id="rId11" w:history="1">
        <w:r w:rsidR="00E24CA5" w:rsidRPr="008B5CDB">
          <w:rPr>
            <w:rStyle w:val="Hyperlink"/>
            <w:rFonts w:ascii="Calibri" w:hAnsi="Calibri" w:cs="Calibri"/>
            <w:szCs w:val="17"/>
          </w:rPr>
          <w:t>here</w:t>
        </w:r>
      </w:hyperlink>
      <w:r w:rsidR="00E24CA5" w:rsidRPr="008B5CDB">
        <w:rPr>
          <w:rFonts w:ascii="Calibri" w:hAnsi="Calibri" w:cs="Calibri"/>
          <w:szCs w:val="17"/>
        </w:rPr>
        <w:t>.</w:t>
      </w:r>
    </w:p>
    <w:p w14:paraId="4EE87952" w14:textId="77777777" w:rsidR="00F65241" w:rsidRPr="00094A8C" w:rsidRDefault="00F65241" w:rsidP="00094A8C">
      <w:pPr>
        <w:pStyle w:val="ListParagraph"/>
        <w:ind w:left="360"/>
        <w:rPr>
          <w:rFonts w:ascii="Calibri" w:hAnsi="Calibri" w:cs="Calibri"/>
          <w:szCs w:val="17"/>
        </w:rPr>
      </w:pPr>
    </w:p>
    <w:p w14:paraId="7252DF7B" w14:textId="33C75967" w:rsidR="00324753" w:rsidRPr="00094A8C" w:rsidRDefault="00324753" w:rsidP="00C659F5">
      <w:pPr>
        <w:pStyle w:val="ListParagraph"/>
        <w:ind w:left="360"/>
        <w:rPr>
          <w:rFonts w:ascii="Calibri" w:hAnsi="Calibri" w:cs="Calibri"/>
          <w:szCs w:val="17"/>
        </w:rPr>
      </w:pPr>
    </w:p>
    <w:p w14:paraId="1466EB7F" w14:textId="77777777" w:rsidR="008C4125" w:rsidRDefault="008C4125">
      <w:pPr>
        <w:rPr>
          <w:rFonts w:ascii="Calibri" w:hAnsi="Calibri" w:cs="Calibri"/>
          <w:szCs w:val="17"/>
          <w:u w:val="single"/>
        </w:rPr>
      </w:pPr>
      <w:r>
        <w:rPr>
          <w:rFonts w:ascii="Calibri" w:hAnsi="Calibri" w:cs="Calibri"/>
          <w:szCs w:val="17"/>
          <w:u w:val="single"/>
        </w:rPr>
        <w:br w:type="page"/>
      </w:r>
    </w:p>
    <w:p w14:paraId="7F392168" w14:textId="7D933BB8" w:rsidR="0090706E" w:rsidRDefault="0090706E" w:rsidP="0090706E">
      <w:pPr>
        <w:rPr>
          <w:rFonts w:ascii="Calibri" w:hAnsi="Calibri" w:cs="Calibri"/>
          <w:szCs w:val="17"/>
          <w:u w:val="single"/>
        </w:rPr>
      </w:pPr>
      <w:r>
        <w:rPr>
          <w:rFonts w:ascii="Calibri" w:hAnsi="Calibri" w:cs="Calibri"/>
          <w:szCs w:val="17"/>
          <w:u w:val="single"/>
        </w:rPr>
        <w:lastRenderedPageBreak/>
        <w:t>Title 24 Requirements – Section 150.2(b)1.G.ii.</w:t>
      </w:r>
    </w:p>
    <w:p w14:paraId="4152D83E" w14:textId="37C666D2" w:rsidR="00692E18" w:rsidRDefault="00692E18">
      <w:pPr>
        <w:rPr>
          <w:rFonts w:ascii="Calibri" w:hAnsi="Calibri" w:cs="Calibri"/>
          <w:szCs w:val="17"/>
          <w:u w:val="single"/>
        </w:rPr>
      </w:pPr>
      <w:r>
        <w:rPr>
          <w:rFonts w:ascii="Calibri" w:hAnsi="Calibri" w:cs="Calibri"/>
          <w:szCs w:val="17"/>
        </w:rPr>
        <w:t>This</w:t>
      </w:r>
      <w:r w:rsidR="0090706E">
        <w:rPr>
          <w:rFonts w:ascii="Calibri" w:hAnsi="Calibri" w:cs="Calibri"/>
          <w:szCs w:val="17"/>
        </w:rPr>
        <w:t xml:space="preserve"> section of Title 24 mandates that manual demand recirculation controls be used for recirculation distribution systems when an alteration occurs to the water-heating system. As noted, this mandate is only required for </w:t>
      </w:r>
      <w:r w:rsidR="0090706E" w:rsidRPr="009475C8">
        <w:rPr>
          <w:rFonts w:ascii="Calibri" w:hAnsi="Calibri" w:cs="Calibri"/>
          <w:i/>
          <w:szCs w:val="17"/>
        </w:rPr>
        <w:t>alterations</w:t>
      </w:r>
      <w:r w:rsidR="0090706E">
        <w:rPr>
          <w:rFonts w:ascii="Calibri" w:hAnsi="Calibri" w:cs="Calibri"/>
          <w:szCs w:val="17"/>
        </w:rPr>
        <w:t xml:space="preserve">. After conferring with </w:t>
      </w:r>
      <w:proofErr w:type="spellStart"/>
      <w:r w:rsidR="0090706E">
        <w:rPr>
          <w:rFonts w:ascii="Calibri" w:hAnsi="Calibri" w:cs="Calibri"/>
          <w:szCs w:val="17"/>
        </w:rPr>
        <w:t>EnergyCodeAce</w:t>
      </w:r>
      <w:proofErr w:type="spellEnd"/>
      <w:r w:rsidR="0090706E">
        <w:rPr>
          <w:rFonts w:ascii="Calibri" w:hAnsi="Calibri" w:cs="Calibri"/>
          <w:szCs w:val="17"/>
        </w:rPr>
        <w:t xml:space="preserve">, a support organization for Title 24 compliance (among other facets), it was concluded that only replacing the circulator pump, such as with an ROB program, is considered a “repair” and </w:t>
      </w:r>
      <w:r>
        <w:rPr>
          <w:rFonts w:ascii="Calibri" w:hAnsi="Calibri" w:cs="Calibri"/>
          <w:szCs w:val="17"/>
        </w:rPr>
        <w:t xml:space="preserve">is </w:t>
      </w:r>
      <w:r w:rsidR="0090706E">
        <w:rPr>
          <w:rFonts w:ascii="Calibri" w:hAnsi="Calibri" w:cs="Calibri"/>
          <w:szCs w:val="17"/>
        </w:rPr>
        <w:t>not subject to this requirement</w:t>
      </w:r>
      <w:r w:rsidR="00FC1180">
        <w:rPr>
          <w:rStyle w:val="FootnoteReference"/>
          <w:rFonts w:ascii="Calibri" w:hAnsi="Calibri" w:cs="Calibri"/>
          <w:szCs w:val="17"/>
        </w:rPr>
        <w:footnoteReference w:id="8"/>
      </w:r>
      <w:r w:rsidR="0090706E">
        <w:rPr>
          <w:rFonts w:ascii="Calibri" w:hAnsi="Calibri" w:cs="Calibri"/>
          <w:szCs w:val="17"/>
        </w:rPr>
        <w:t>.</w:t>
      </w:r>
    </w:p>
    <w:p w14:paraId="64888CAB" w14:textId="77777777" w:rsidR="0090706E" w:rsidRPr="00562994" w:rsidRDefault="0090706E" w:rsidP="0090706E">
      <w:pPr>
        <w:rPr>
          <w:rFonts w:ascii="Calibri" w:hAnsi="Calibri" w:cs="Calibri"/>
          <w:szCs w:val="17"/>
          <w:u w:val="single"/>
        </w:rPr>
      </w:pPr>
      <w:r>
        <w:rPr>
          <w:rFonts w:ascii="Calibri" w:hAnsi="Calibri" w:cs="Calibri"/>
          <w:szCs w:val="17"/>
          <w:u w:val="single"/>
        </w:rPr>
        <w:t>Operating Hours</w:t>
      </w:r>
    </w:p>
    <w:p w14:paraId="658970DB" w14:textId="77777777" w:rsidR="0090706E" w:rsidRDefault="0090706E" w:rsidP="0090706E">
      <w:pPr>
        <w:rPr>
          <w:rFonts w:ascii="Calibri" w:hAnsi="Calibri" w:cs="Calibri"/>
          <w:szCs w:val="17"/>
        </w:rPr>
      </w:pPr>
      <w:r>
        <w:rPr>
          <w:rFonts w:ascii="Calibri" w:hAnsi="Calibri" w:cs="Calibri"/>
          <w:szCs w:val="17"/>
        </w:rPr>
        <w:t>Comparing the CLASS survey results of 2012 with those of the Alpha Field test and the DOE ASRAC accepted weights for residential applications results in the following table:</w:t>
      </w:r>
    </w:p>
    <w:tbl>
      <w:tblPr>
        <w:tblW w:w="5660" w:type="dxa"/>
        <w:jc w:val="center"/>
        <w:tblLook w:val="04A0" w:firstRow="1" w:lastRow="0" w:firstColumn="1" w:lastColumn="0" w:noHBand="0" w:noVBand="1"/>
      </w:tblPr>
      <w:tblGrid>
        <w:gridCol w:w="1720"/>
        <w:gridCol w:w="1120"/>
        <w:gridCol w:w="1300"/>
        <w:gridCol w:w="1520"/>
      </w:tblGrid>
      <w:tr w:rsidR="0090706E" w:rsidRPr="005157DF" w14:paraId="086827C6" w14:textId="77777777" w:rsidTr="009C4D4C">
        <w:trPr>
          <w:trHeight w:val="435"/>
          <w:jc w:val="center"/>
        </w:trPr>
        <w:tc>
          <w:tcPr>
            <w:tcW w:w="5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BB819C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i/>
                <w:iCs/>
                <w:color w:val="000000"/>
              </w:rPr>
              <w:t>Installed Controls Weight</w:t>
            </w:r>
          </w:p>
        </w:tc>
      </w:tr>
      <w:tr w:rsidR="0090706E" w:rsidRPr="005157DF" w14:paraId="33B6A3FB" w14:textId="77777777" w:rsidTr="009C4D4C">
        <w:trPr>
          <w:trHeight w:val="585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ECA9233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b/>
                <w:bCs/>
                <w:color w:val="000000"/>
              </w:rPr>
              <w:t>Control Option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C577C00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b/>
                <w:bCs/>
                <w:color w:val="000000"/>
              </w:rPr>
              <w:t>CLASS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33D0529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b/>
                <w:bCs/>
                <w:color w:val="000000"/>
              </w:rPr>
              <w:t>Alpha Field Test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FBC4B7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b/>
                <w:bCs/>
                <w:color w:val="000000"/>
              </w:rPr>
              <w:t>DOE Circulator ASRAC</w:t>
            </w:r>
          </w:p>
        </w:tc>
      </w:tr>
      <w:tr w:rsidR="0090706E" w:rsidRPr="005157DF" w14:paraId="7B4EA068" w14:textId="77777777" w:rsidTr="009C4D4C">
        <w:trPr>
          <w:trHeight w:val="402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A5A3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No Controls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FC57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33%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49D5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31%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4681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50%</w:t>
            </w:r>
          </w:p>
        </w:tc>
      </w:tr>
      <w:tr w:rsidR="0090706E" w:rsidRPr="005157DF" w14:paraId="0043F35A" w14:textId="77777777" w:rsidTr="009C4D4C">
        <w:trPr>
          <w:trHeight w:val="402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C0B4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Timer w/ Hours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63DF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39%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61D7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23%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4A73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12.5%</w:t>
            </w:r>
          </w:p>
        </w:tc>
      </w:tr>
      <w:tr w:rsidR="0090706E" w:rsidRPr="005157DF" w14:paraId="078ECE02" w14:textId="77777777" w:rsidTr="009C4D4C">
        <w:trPr>
          <w:trHeight w:val="402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6171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Timer w/o Hours</w:t>
            </w: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60A2B" w14:textId="77777777" w:rsidR="0090706E" w:rsidRPr="005157DF" w:rsidRDefault="0090706E" w:rsidP="009C4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B484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15%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FBD4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12.5%</w:t>
            </w:r>
          </w:p>
        </w:tc>
      </w:tr>
      <w:tr w:rsidR="0090706E" w:rsidRPr="005157DF" w14:paraId="5269A24E" w14:textId="77777777" w:rsidTr="009C4D4C">
        <w:trPr>
          <w:trHeight w:val="402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DBFA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Timer +</w:t>
            </w:r>
            <w:r w:rsidRPr="005157DF">
              <w:rPr>
                <w:rFonts w:ascii="Calibri" w:eastAsia="Times New Roman" w:hAnsi="Calibri" w:cs="Times New Roman"/>
                <w:color w:val="000000"/>
              </w:rPr>
              <w:t xml:space="preserve"> Aquastat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B09A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11%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F949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31%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2A60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0%</w:t>
            </w:r>
          </w:p>
        </w:tc>
      </w:tr>
      <w:tr w:rsidR="0090706E" w:rsidRPr="005157DF" w14:paraId="08B7EAA3" w14:textId="77777777" w:rsidTr="009C4D4C">
        <w:trPr>
          <w:trHeight w:val="402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7DCD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Aquastat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F7CB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17%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E3D0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7DD2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20%</w:t>
            </w:r>
          </w:p>
        </w:tc>
      </w:tr>
      <w:tr w:rsidR="0090706E" w:rsidRPr="005157DF" w14:paraId="4230F8C2" w14:textId="77777777" w:rsidTr="009C4D4C">
        <w:trPr>
          <w:trHeight w:val="402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20BF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On-Demand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F556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B5B0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0BCA" w14:textId="77777777" w:rsidR="0090706E" w:rsidRPr="005157DF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7DF">
              <w:rPr>
                <w:rFonts w:ascii="Calibri" w:eastAsia="Times New Roman" w:hAnsi="Calibri" w:cs="Times New Roman"/>
                <w:color w:val="000000"/>
              </w:rPr>
              <w:t>5%</w:t>
            </w:r>
          </w:p>
        </w:tc>
      </w:tr>
    </w:tbl>
    <w:p w14:paraId="6BC4030A" w14:textId="77777777" w:rsidR="0090706E" w:rsidRDefault="0090706E" w:rsidP="0090706E">
      <w:pPr>
        <w:rPr>
          <w:rFonts w:ascii="Calibri" w:hAnsi="Calibri" w:cs="Calibri"/>
          <w:szCs w:val="17"/>
        </w:rPr>
      </w:pPr>
    </w:p>
    <w:p w14:paraId="59B58B4C" w14:textId="66FDEAB7" w:rsidR="0090706E" w:rsidRDefault="0090706E" w:rsidP="0090706E">
      <w:pPr>
        <w:rPr>
          <w:rFonts w:ascii="Calibri" w:hAnsi="Calibri" w:cs="Calibri"/>
          <w:szCs w:val="17"/>
        </w:rPr>
      </w:pPr>
      <w:r>
        <w:rPr>
          <w:rFonts w:ascii="Calibri" w:hAnsi="Calibri" w:cs="Calibri"/>
          <w:szCs w:val="17"/>
        </w:rPr>
        <w:t>As noted by the reviewer, the CLASS results more closely mirror that of the Alpha field test. We can update the overall market weighted average by making a few assumptions to reflect the controls distribution found in</w:t>
      </w:r>
      <w:r w:rsidR="00144009">
        <w:rPr>
          <w:rFonts w:ascii="Calibri" w:hAnsi="Calibri" w:cs="Calibri"/>
          <w:szCs w:val="17"/>
        </w:rPr>
        <w:t xml:space="preserve"> the</w:t>
      </w:r>
      <w:r>
        <w:rPr>
          <w:rFonts w:ascii="Calibri" w:hAnsi="Calibri" w:cs="Calibri"/>
          <w:szCs w:val="17"/>
        </w:rPr>
        <w:t xml:space="preserve"> CLASS. </w:t>
      </w:r>
    </w:p>
    <w:p w14:paraId="24ADB568" w14:textId="3F94F3C2" w:rsidR="0090706E" w:rsidRDefault="0090706E" w:rsidP="0090706E">
      <w:pPr>
        <w:pStyle w:val="ListParagraph"/>
        <w:numPr>
          <w:ilvl w:val="0"/>
          <w:numId w:val="2"/>
        </w:numPr>
        <w:rPr>
          <w:rFonts w:ascii="Calibri" w:hAnsi="Calibri" w:cs="Calibri"/>
          <w:szCs w:val="17"/>
        </w:rPr>
      </w:pPr>
      <w:r>
        <w:rPr>
          <w:rFonts w:ascii="Calibri" w:hAnsi="Calibri" w:cs="Calibri"/>
          <w:szCs w:val="17"/>
        </w:rPr>
        <w:t xml:space="preserve">For pumps installed with timers, we </w:t>
      </w:r>
      <w:r w:rsidR="00144009">
        <w:rPr>
          <w:rFonts w:ascii="Calibri" w:hAnsi="Calibri" w:cs="Calibri"/>
          <w:szCs w:val="17"/>
        </w:rPr>
        <w:t xml:space="preserve">will use the weighted </w:t>
      </w:r>
      <w:r>
        <w:rPr>
          <w:rFonts w:ascii="Calibri" w:hAnsi="Calibri" w:cs="Calibri"/>
          <w:szCs w:val="17"/>
        </w:rPr>
        <w:t>operating hours found in the Alpha field test to represent the overall timer category of the CLASS results.</w:t>
      </w:r>
    </w:p>
    <w:p w14:paraId="3715259B" w14:textId="505833C4" w:rsidR="0090706E" w:rsidRDefault="0090706E" w:rsidP="0090706E">
      <w:pPr>
        <w:pStyle w:val="ListParagraph"/>
        <w:numPr>
          <w:ilvl w:val="0"/>
          <w:numId w:val="2"/>
        </w:numPr>
        <w:rPr>
          <w:rFonts w:ascii="Calibri" w:hAnsi="Calibri" w:cs="Calibri"/>
          <w:szCs w:val="17"/>
        </w:rPr>
      </w:pPr>
      <w:r>
        <w:rPr>
          <w:rFonts w:ascii="Calibri" w:hAnsi="Calibri" w:cs="Calibri"/>
          <w:szCs w:val="17"/>
        </w:rPr>
        <w:t xml:space="preserve">As aquastat operating hours are unknown, we </w:t>
      </w:r>
      <w:r w:rsidR="00144009">
        <w:rPr>
          <w:rFonts w:ascii="Calibri" w:hAnsi="Calibri" w:cs="Calibri"/>
          <w:szCs w:val="17"/>
        </w:rPr>
        <w:t>will</w:t>
      </w:r>
      <w:r>
        <w:rPr>
          <w:rFonts w:ascii="Calibri" w:hAnsi="Calibri" w:cs="Calibri"/>
          <w:szCs w:val="17"/>
        </w:rPr>
        <w:t xml:space="preserve"> carry the ASRAC DOE accepted value of 1095 hours/year or 3 hours/day. This value would cover both the timer + aquastat and only aquastat control categories from CLASS. </w:t>
      </w:r>
    </w:p>
    <w:p w14:paraId="24B4CF8A" w14:textId="0CE68371" w:rsidR="002C687F" w:rsidRDefault="002C687F">
      <w:pPr>
        <w:rPr>
          <w:rFonts w:ascii="Calibri" w:hAnsi="Calibri" w:cs="Calibri"/>
          <w:szCs w:val="17"/>
        </w:rPr>
      </w:pPr>
    </w:p>
    <w:p w14:paraId="56A2946D" w14:textId="77777777" w:rsidR="008C4125" w:rsidRDefault="008C4125">
      <w:pPr>
        <w:rPr>
          <w:rFonts w:ascii="Calibri" w:hAnsi="Calibri" w:cs="Calibri"/>
          <w:szCs w:val="17"/>
        </w:rPr>
      </w:pPr>
      <w:r>
        <w:rPr>
          <w:rFonts w:ascii="Calibri" w:hAnsi="Calibri" w:cs="Calibri"/>
          <w:szCs w:val="17"/>
        </w:rPr>
        <w:br w:type="page"/>
      </w:r>
    </w:p>
    <w:p w14:paraId="41508872" w14:textId="14F358CE" w:rsidR="0090706E" w:rsidRDefault="0090706E" w:rsidP="0090706E">
      <w:pPr>
        <w:rPr>
          <w:rFonts w:ascii="Calibri" w:hAnsi="Calibri" w:cs="Calibri"/>
          <w:szCs w:val="17"/>
        </w:rPr>
      </w:pPr>
      <w:r>
        <w:rPr>
          <w:rFonts w:ascii="Calibri" w:hAnsi="Calibri" w:cs="Calibri"/>
          <w:szCs w:val="17"/>
        </w:rPr>
        <w:lastRenderedPageBreak/>
        <w:t>Carrying these two assumptions results in the following overall market operating hours:</w:t>
      </w:r>
    </w:p>
    <w:tbl>
      <w:tblPr>
        <w:tblW w:w="4800" w:type="dxa"/>
        <w:jc w:val="center"/>
        <w:tblLook w:val="04A0" w:firstRow="1" w:lastRow="0" w:firstColumn="1" w:lastColumn="0" w:noHBand="0" w:noVBand="1"/>
      </w:tblPr>
      <w:tblGrid>
        <w:gridCol w:w="2440"/>
        <w:gridCol w:w="1226"/>
        <w:gridCol w:w="1134"/>
      </w:tblGrid>
      <w:tr w:rsidR="0090706E" w:rsidRPr="00C51A3C" w14:paraId="19CE58E7" w14:textId="77777777" w:rsidTr="009C4D4C">
        <w:trPr>
          <w:trHeight w:val="435"/>
          <w:jc w:val="center"/>
        </w:trPr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4EC9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i/>
                <w:iCs/>
                <w:color w:val="000000"/>
              </w:rPr>
              <w:t>Updated Operating Hours Weighting</w:t>
            </w:r>
          </w:p>
        </w:tc>
      </w:tr>
      <w:tr w:rsidR="0090706E" w:rsidRPr="00C51A3C" w14:paraId="152DEFC1" w14:textId="77777777" w:rsidTr="009C4D4C">
        <w:trPr>
          <w:trHeight w:val="585"/>
          <w:jc w:val="center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C354E44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b/>
                <w:bCs/>
                <w:color w:val="000000"/>
              </w:rPr>
              <w:t>Control Option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40850F5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b/>
                <w:bCs/>
                <w:color w:val="000000"/>
              </w:rPr>
              <w:t>Weight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E16A112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b/>
                <w:bCs/>
                <w:color w:val="000000"/>
              </w:rPr>
              <w:t>Operating Hours</w:t>
            </w:r>
          </w:p>
        </w:tc>
      </w:tr>
      <w:tr w:rsidR="0090706E" w:rsidRPr="00C51A3C" w14:paraId="0A7045B2" w14:textId="77777777" w:rsidTr="009C4D4C">
        <w:trPr>
          <w:trHeight w:val="402"/>
          <w:jc w:val="center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8C24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color w:val="000000"/>
              </w:rPr>
              <w:t>No Controls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106E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color w:val="000000"/>
              </w:rPr>
              <w:t>33%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0D27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color w:val="000000"/>
              </w:rPr>
              <w:t>8,760</w:t>
            </w:r>
          </w:p>
        </w:tc>
      </w:tr>
      <w:tr w:rsidR="0090706E" w:rsidRPr="00C51A3C" w14:paraId="0D868393" w14:textId="77777777" w:rsidTr="009C4D4C">
        <w:trPr>
          <w:trHeight w:val="402"/>
          <w:jc w:val="center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7DCE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color w:val="000000"/>
              </w:rPr>
              <w:t>Timer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D0DE4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color w:val="000000"/>
              </w:rPr>
              <w:t>39%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DDA9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color w:val="000000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</w:rPr>
              <w:t>,</w:t>
            </w:r>
            <w:r w:rsidRPr="00C51A3C">
              <w:rPr>
                <w:rFonts w:ascii="Calibri" w:eastAsia="Times New Roman" w:hAnsi="Calibri" w:cs="Times New Roman"/>
                <w:color w:val="000000"/>
              </w:rPr>
              <w:t>891*</w:t>
            </w:r>
          </w:p>
        </w:tc>
      </w:tr>
      <w:tr w:rsidR="0090706E" w:rsidRPr="00C51A3C" w14:paraId="6605993B" w14:textId="77777777" w:rsidTr="009C4D4C">
        <w:trPr>
          <w:trHeight w:val="402"/>
          <w:jc w:val="center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5672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color w:val="000000"/>
              </w:rPr>
              <w:t>Timer + Aquastat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4E85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color w:val="000000"/>
              </w:rPr>
              <w:t>11%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2EF1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color w:val="000000"/>
              </w:rPr>
              <w:t>1,095</w:t>
            </w:r>
          </w:p>
        </w:tc>
      </w:tr>
      <w:tr w:rsidR="0090706E" w:rsidRPr="00C51A3C" w14:paraId="7B37CB13" w14:textId="77777777" w:rsidTr="009C4D4C">
        <w:trPr>
          <w:trHeight w:val="402"/>
          <w:jc w:val="center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69C9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color w:val="000000"/>
              </w:rPr>
              <w:t>Aquastat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3FCE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color w:val="000000"/>
              </w:rPr>
              <w:t>17%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7802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color w:val="000000"/>
              </w:rPr>
              <w:t>1,095</w:t>
            </w:r>
          </w:p>
        </w:tc>
      </w:tr>
      <w:tr w:rsidR="0090706E" w:rsidRPr="00C51A3C" w14:paraId="1A562298" w14:textId="77777777" w:rsidTr="009C4D4C">
        <w:trPr>
          <w:trHeight w:val="810"/>
          <w:jc w:val="center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9CC1" w14:textId="77777777" w:rsidR="0090706E" w:rsidRPr="00C51A3C" w:rsidRDefault="0090706E" w:rsidP="009C4D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</w:rPr>
            </w:pPr>
            <w:r w:rsidRPr="00C51A3C">
              <w:rPr>
                <w:rFonts w:ascii="Calibri" w:eastAsia="Times New Roman" w:hAnsi="Calibri" w:cs="Times New Roman"/>
                <w:b/>
                <w:bCs/>
              </w:rPr>
              <w:t>Total w/ Alpha Field Results Timer Average: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4D8A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b/>
                <w:bCs/>
                <w:color w:val="000000"/>
              </w:rPr>
              <w:t>100%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F736E2A" w14:textId="77777777" w:rsidR="0090706E" w:rsidRPr="00C51A3C" w:rsidRDefault="0090706E" w:rsidP="009C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51A3C">
              <w:rPr>
                <w:rFonts w:ascii="Calibri" w:eastAsia="Times New Roman" w:hAnsi="Calibri" w:cs="Times New Roman"/>
                <w:b/>
                <w:bCs/>
                <w:color w:val="000000"/>
              </w:rPr>
              <w:t>5,885</w:t>
            </w:r>
          </w:p>
        </w:tc>
      </w:tr>
      <w:tr w:rsidR="0090706E" w:rsidRPr="00C51A3C" w14:paraId="5D99A591" w14:textId="77777777" w:rsidTr="009C4D4C">
        <w:trPr>
          <w:trHeight w:val="495"/>
          <w:jc w:val="center"/>
        </w:trPr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9D2D1" w14:textId="77777777" w:rsidR="0090706E" w:rsidRPr="00C51A3C" w:rsidRDefault="0090706E" w:rsidP="009C4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51A3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*In the Alpha field test, 5 pumps with timers were found. Two were set to operate 24/7 while three had limited schedules.</w:t>
            </w:r>
          </w:p>
        </w:tc>
      </w:tr>
    </w:tbl>
    <w:p w14:paraId="6A719F70" w14:textId="6877D12E" w:rsidR="0090706E" w:rsidRDefault="00692E18" w:rsidP="0090706E">
      <w:pPr>
        <w:rPr>
          <w:rFonts w:ascii="Calibri" w:hAnsi="Calibri" w:cs="Calibri"/>
          <w:szCs w:val="17"/>
        </w:rPr>
      </w:pPr>
      <w:r>
        <w:rPr>
          <w:rFonts w:ascii="Calibri" w:hAnsi="Calibri" w:cs="Calibri"/>
          <w:szCs w:val="17"/>
        </w:rPr>
        <w:t xml:space="preserve">We </w:t>
      </w:r>
      <w:r w:rsidR="0090706E">
        <w:rPr>
          <w:rFonts w:ascii="Calibri" w:hAnsi="Calibri" w:cs="Calibri"/>
          <w:szCs w:val="17"/>
        </w:rPr>
        <w:t>update</w:t>
      </w:r>
      <w:r>
        <w:rPr>
          <w:rFonts w:ascii="Calibri" w:hAnsi="Calibri" w:cs="Calibri"/>
          <w:szCs w:val="17"/>
        </w:rPr>
        <w:t>d</w:t>
      </w:r>
      <w:r w:rsidR="0090706E">
        <w:rPr>
          <w:rFonts w:ascii="Calibri" w:hAnsi="Calibri" w:cs="Calibri"/>
          <w:szCs w:val="17"/>
        </w:rPr>
        <w:t xml:space="preserve"> the</w:t>
      </w:r>
      <w:r>
        <w:rPr>
          <w:rFonts w:ascii="Calibri" w:hAnsi="Calibri" w:cs="Calibri"/>
          <w:szCs w:val="17"/>
        </w:rPr>
        <w:t xml:space="preserve"> work paper </w:t>
      </w:r>
      <w:r w:rsidR="00144009">
        <w:rPr>
          <w:rFonts w:ascii="Calibri" w:hAnsi="Calibri" w:cs="Calibri"/>
          <w:szCs w:val="17"/>
        </w:rPr>
        <w:t xml:space="preserve">to </w:t>
      </w:r>
      <w:r w:rsidR="003E120B">
        <w:rPr>
          <w:rFonts w:ascii="Calibri" w:hAnsi="Calibri" w:cs="Calibri"/>
          <w:szCs w:val="17"/>
        </w:rPr>
        <w:t>change the</w:t>
      </w:r>
      <w:r w:rsidR="00144009">
        <w:rPr>
          <w:rFonts w:ascii="Calibri" w:hAnsi="Calibri" w:cs="Calibri"/>
          <w:szCs w:val="17"/>
        </w:rPr>
        <w:t xml:space="preserve"> previously carried value of 6,427 operating hours per year to</w:t>
      </w:r>
      <w:r>
        <w:rPr>
          <w:rFonts w:ascii="Calibri" w:hAnsi="Calibri" w:cs="Calibri"/>
          <w:szCs w:val="17"/>
        </w:rPr>
        <w:t xml:space="preserve"> 5,885 </w:t>
      </w:r>
      <w:r w:rsidR="00144009">
        <w:rPr>
          <w:rFonts w:ascii="Calibri" w:hAnsi="Calibri" w:cs="Calibri"/>
          <w:szCs w:val="17"/>
        </w:rPr>
        <w:t>hours per year</w:t>
      </w:r>
      <w:r>
        <w:rPr>
          <w:rFonts w:ascii="Calibri" w:hAnsi="Calibri" w:cs="Calibri"/>
          <w:szCs w:val="17"/>
        </w:rPr>
        <w:t>.  This resulted in annual deemed savings of 338 kWh/year per unit instead of</w:t>
      </w:r>
      <w:r w:rsidR="00144009">
        <w:rPr>
          <w:rFonts w:ascii="Calibri" w:hAnsi="Calibri" w:cs="Calibri"/>
          <w:szCs w:val="17"/>
        </w:rPr>
        <w:t xml:space="preserve"> the originally carried value of</w:t>
      </w:r>
      <w:r>
        <w:rPr>
          <w:rFonts w:ascii="Calibri" w:hAnsi="Calibri" w:cs="Calibri"/>
          <w:szCs w:val="17"/>
        </w:rPr>
        <w:t xml:space="preserve"> 370</w:t>
      </w:r>
      <w:r w:rsidR="008C4125">
        <w:rPr>
          <w:rFonts w:ascii="Calibri" w:hAnsi="Calibri" w:cs="Calibri"/>
          <w:szCs w:val="17"/>
        </w:rPr>
        <w:t xml:space="preserve"> kWh/yr</w:t>
      </w:r>
      <w:r>
        <w:rPr>
          <w:rFonts w:ascii="Calibri" w:hAnsi="Calibri" w:cs="Calibri"/>
          <w:szCs w:val="17"/>
        </w:rPr>
        <w:t>.</w:t>
      </w:r>
    </w:p>
    <w:p w14:paraId="223E95FF" w14:textId="77777777" w:rsidR="00692E18" w:rsidRPr="005157DF" w:rsidRDefault="00692E18" w:rsidP="0090706E">
      <w:pPr>
        <w:rPr>
          <w:rFonts w:ascii="Calibri" w:hAnsi="Calibri" w:cs="Calibri"/>
          <w:szCs w:val="17"/>
        </w:rPr>
      </w:pPr>
    </w:p>
    <w:p w14:paraId="23FE7DE1" w14:textId="77777777" w:rsidR="0090706E" w:rsidRDefault="0090706E" w:rsidP="0090706E"/>
    <w:p w14:paraId="752FF3AE" w14:textId="77777777" w:rsidR="00CD0ACC" w:rsidRDefault="00CD0ACC"/>
    <w:sectPr w:rsidR="00CD0ACC" w:rsidSect="00BE6463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798A83" w14:textId="77777777" w:rsidR="006E15D2" w:rsidRDefault="006E15D2" w:rsidP="00A934F9">
      <w:pPr>
        <w:spacing w:after="0" w:line="240" w:lineRule="auto"/>
      </w:pPr>
      <w:r>
        <w:separator/>
      </w:r>
    </w:p>
  </w:endnote>
  <w:endnote w:type="continuationSeparator" w:id="0">
    <w:p w14:paraId="711EACCE" w14:textId="77777777" w:rsidR="006E15D2" w:rsidRDefault="006E15D2" w:rsidP="00A93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6F0C9" w14:textId="77777777" w:rsidR="006E15D2" w:rsidRDefault="006E15D2" w:rsidP="00A934F9">
      <w:pPr>
        <w:spacing w:after="0" w:line="240" w:lineRule="auto"/>
      </w:pPr>
      <w:r>
        <w:separator/>
      </w:r>
    </w:p>
  </w:footnote>
  <w:footnote w:type="continuationSeparator" w:id="0">
    <w:p w14:paraId="2FDABB5A" w14:textId="77777777" w:rsidR="006E15D2" w:rsidRDefault="006E15D2" w:rsidP="00A934F9">
      <w:pPr>
        <w:spacing w:after="0" w:line="240" w:lineRule="auto"/>
      </w:pPr>
      <w:r>
        <w:continuationSeparator/>
      </w:r>
    </w:p>
  </w:footnote>
  <w:footnote w:id="1">
    <w:p w14:paraId="02CB7F71" w14:textId="0AE535F1" w:rsidR="00692A5A" w:rsidRDefault="00692A5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Per </w:t>
      </w:r>
      <w:hyperlink r:id="rId1" w:history="1">
        <w:r w:rsidRPr="006C3D02">
          <w:rPr>
            <w:rStyle w:val="Hyperlink"/>
          </w:rPr>
          <w:t>meeting notes</w:t>
        </w:r>
      </w:hyperlink>
      <w:r>
        <w:t xml:space="preserve"> of the February 23</w:t>
      </w:r>
      <w:r w:rsidRPr="007770C2">
        <w:rPr>
          <w:vertAlign w:val="superscript"/>
        </w:rPr>
        <w:t>rd</w:t>
      </w:r>
      <w:r>
        <w:t>, 2017 California Technical Forum meeting.</w:t>
      </w:r>
      <w:proofErr w:type="gramEnd"/>
      <w:r>
        <w:t xml:space="preserve"> </w:t>
      </w:r>
      <w:proofErr w:type="gramStart"/>
      <w:r>
        <w:t>Direct comment from Chan Paek of SoCalGas.</w:t>
      </w:r>
      <w:proofErr w:type="gramEnd"/>
      <w:r>
        <w:t xml:space="preserve"> </w:t>
      </w:r>
    </w:p>
  </w:footnote>
  <w:footnote w:id="2">
    <w:p w14:paraId="2FFC659A" w14:textId="30240DCA" w:rsidR="00E635F3" w:rsidRDefault="00E635F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Per phone correspondence between Bill Schwartz, Vice President of Osborne Company, and Zyg Kunczynski, PG&amp;E Product Manager on June 14, 2017.</w:t>
      </w:r>
      <w:proofErr w:type="gramEnd"/>
    </w:p>
  </w:footnote>
  <w:footnote w:id="3">
    <w:p w14:paraId="001E65C2" w14:textId="77777777" w:rsidR="008B5CDB" w:rsidRDefault="008B5CDB" w:rsidP="008B5CDB">
      <w:pPr>
        <w:pStyle w:val="FootnoteText"/>
      </w:pPr>
      <w:r>
        <w:rPr>
          <w:rStyle w:val="FootnoteReference"/>
        </w:rPr>
        <w:footnoteRef/>
      </w:r>
      <w:r>
        <w:t xml:space="preserve"> Email from Andrew Januszewski, Armstrong Fluid Technology Marketing Manager, to Zyg Kunczynski, PG&amp;E Product Manager, dated June 3, 2017.</w:t>
      </w:r>
    </w:p>
  </w:footnote>
  <w:footnote w:id="4">
    <w:p w14:paraId="2932838B" w14:textId="77777777" w:rsidR="008B5CDB" w:rsidRDefault="008B5CDB" w:rsidP="008B5CDB">
      <w:pPr>
        <w:pStyle w:val="FootnoteText"/>
      </w:pPr>
      <w:r>
        <w:rPr>
          <w:rStyle w:val="FootnoteReference"/>
        </w:rPr>
        <w:footnoteRef/>
      </w:r>
      <w:r>
        <w:t xml:space="preserve"> Email from Stephen Putnam, Grundfos National Accounts Manager, to Zyg Kunczynski, PG&amp;E Product Manager, dated May 25, 2017.</w:t>
      </w:r>
    </w:p>
  </w:footnote>
  <w:footnote w:id="5">
    <w:p w14:paraId="11ED2A97" w14:textId="77777777" w:rsidR="008B5CDB" w:rsidRDefault="008B5CDB" w:rsidP="008B5CDB">
      <w:pPr>
        <w:pStyle w:val="FootnoteText"/>
      </w:pPr>
      <w:r>
        <w:rPr>
          <w:rStyle w:val="FootnoteReference"/>
        </w:rPr>
        <w:footnoteRef/>
      </w:r>
      <w:r>
        <w:t xml:space="preserve"> Email from Bill Kapane</w:t>
      </w:r>
      <w:r w:rsidRPr="00741467">
        <w:t xml:space="preserve">n, </w:t>
      </w:r>
      <w:r w:rsidRPr="00C1697A">
        <w:t xml:space="preserve">VP of Business Development/Tech at California Hydronics Corporation, the Northern California distributor for Xylem, </w:t>
      </w:r>
      <w:r w:rsidRPr="00741467">
        <w:t>to Zyg</w:t>
      </w:r>
      <w:r>
        <w:t xml:space="preserve"> Kunczynski, PG&amp;E Product Manager, dated May 31, 2017.  464 unit sales in 2016 were for 55W, 92W, and 125W models.</w:t>
      </w:r>
    </w:p>
  </w:footnote>
  <w:footnote w:id="6">
    <w:p w14:paraId="5B0C59F6" w14:textId="77777777" w:rsidR="003C3AE6" w:rsidRDefault="003C3AE6" w:rsidP="003C3AE6">
      <w:pPr>
        <w:pStyle w:val="FootnoteText"/>
      </w:pPr>
      <w:r>
        <w:rPr>
          <w:rStyle w:val="FootnoteReference"/>
        </w:rPr>
        <w:footnoteRef/>
      </w:r>
      <w:r>
        <w:t xml:space="preserve"> Per email correspondence between Bill Schwartz, Vice President of Osborne Company, and Zyg Kunczynski, PG&amp;E Product Manager on June 13, 2017.</w:t>
      </w:r>
    </w:p>
  </w:footnote>
  <w:footnote w:id="7">
    <w:p w14:paraId="5BA68F6C" w14:textId="77777777" w:rsidR="00512724" w:rsidRDefault="00512724" w:rsidP="00512724">
      <w:pPr>
        <w:pStyle w:val="FootnoteText"/>
      </w:pPr>
      <w:r>
        <w:rPr>
          <w:rStyle w:val="FootnoteReference"/>
        </w:rPr>
        <w:footnoteRef/>
      </w:r>
      <w:r>
        <w:t xml:space="preserve"> Phone calls to Pace Supply and Cal Steam from Bryan Boyce, Energy Solutions Engineer, dated August 30</w:t>
      </w:r>
      <w:r w:rsidRPr="006F0CE0">
        <w:rPr>
          <w:vertAlign w:val="superscript"/>
        </w:rPr>
        <w:t>th</w:t>
      </w:r>
      <w:r>
        <w:t>, 2016. Documented in an e-mail the same day.</w:t>
      </w:r>
    </w:p>
  </w:footnote>
  <w:footnote w:id="8">
    <w:p w14:paraId="48378510" w14:textId="109AB21E" w:rsidR="00FC1180" w:rsidRDefault="00FC1180">
      <w:pPr>
        <w:pStyle w:val="FootnoteText"/>
      </w:pPr>
      <w:r>
        <w:rPr>
          <w:rStyle w:val="FootnoteReference"/>
        </w:rPr>
        <w:footnoteRef/>
      </w:r>
      <w:r>
        <w:t xml:space="preserve"> E-mail from Gina Rodda of EnergyCodeAce to David Jagger, Energy Solutions Engineer, dated February 20</w:t>
      </w:r>
      <w:r w:rsidRPr="006F0CE0">
        <w:rPr>
          <w:vertAlign w:val="superscript"/>
        </w:rPr>
        <w:t>th</w:t>
      </w:r>
      <w:r>
        <w:t xml:space="preserve">, 2017.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26C38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AD611F"/>
    <w:multiLevelType w:val="hybridMultilevel"/>
    <w:tmpl w:val="3C808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0462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9B15F82"/>
    <w:multiLevelType w:val="hybridMultilevel"/>
    <w:tmpl w:val="A6E88E18"/>
    <w:lvl w:ilvl="0" w:tplc="0409000F">
      <w:start w:val="1"/>
      <w:numFmt w:val="decimal"/>
      <w:lvlText w:val="%1."/>
      <w:lvlJc w:val="left"/>
      <w:pPr>
        <w:ind w:left="776" w:hanging="360"/>
      </w:p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4">
    <w:nsid w:val="2A3D1093"/>
    <w:multiLevelType w:val="hybridMultilevel"/>
    <w:tmpl w:val="1C7AB6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3435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FF078E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vid Jagger">
    <w15:presenceInfo w15:providerId="AD" w15:userId="S-1-5-21-3028490421-1107417051-591112678-71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DE"/>
    <w:rsid w:val="00010D79"/>
    <w:rsid w:val="000541E6"/>
    <w:rsid w:val="00070430"/>
    <w:rsid w:val="00094A8C"/>
    <w:rsid w:val="000A453E"/>
    <w:rsid w:val="000E737C"/>
    <w:rsid w:val="000E7F59"/>
    <w:rsid w:val="00100858"/>
    <w:rsid w:val="001265A3"/>
    <w:rsid w:val="00144009"/>
    <w:rsid w:val="00153BB2"/>
    <w:rsid w:val="00174B40"/>
    <w:rsid w:val="00213CD8"/>
    <w:rsid w:val="00242783"/>
    <w:rsid w:val="00256446"/>
    <w:rsid w:val="0026328D"/>
    <w:rsid w:val="00277824"/>
    <w:rsid w:val="00296C26"/>
    <w:rsid w:val="002A47BE"/>
    <w:rsid w:val="002A5091"/>
    <w:rsid w:val="002B01E8"/>
    <w:rsid w:val="002C687F"/>
    <w:rsid w:val="00321754"/>
    <w:rsid w:val="003226CD"/>
    <w:rsid w:val="00324753"/>
    <w:rsid w:val="00332245"/>
    <w:rsid w:val="00373455"/>
    <w:rsid w:val="003874F7"/>
    <w:rsid w:val="003B2050"/>
    <w:rsid w:val="003C3AE6"/>
    <w:rsid w:val="003E120B"/>
    <w:rsid w:val="003E7724"/>
    <w:rsid w:val="003F27D5"/>
    <w:rsid w:val="00401C8A"/>
    <w:rsid w:val="00417801"/>
    <w:rsid w:val="0044474C"/>
    <w:rsid w:val="0046552D"/>
    <w:rsid w:val="004A0E1D"/>
    <w:rsid w:val="004A3955"/>
    <w:rsid w:val="004A5EDE"/>
    <w:rsid w:val="00506D46"/>
    <w:rsid w:val="00512724"/>
    <w:rsid w:val="005157DF"/>
    <w:rsid w:val="005412C7"/>
    <w:rsid w:val="005431F8"/>
    <w:rsid w:val="00562994"/>
    <w:rsid w:val="00567F37"/>
    <w:rsid w:val="00573113"/>
    <w:rsid w:val="00573B90"/>
    <w:rsid w:val="00584E21"/>
    <w:rsid w:val="005A6078"/>
    <w:rsid w:val="005B3179"/>
    <w:rsid w:val="005B747D"/>
    <w:rsid w:val="005D2551"/>
    <w:rsid w:val="006525DE"/>
    <w:rsid w:val="00656CF0"/>
    <w:rsid w:val="00673A1A"/>
    <w:rsid w:val="00692A5A"/>
    <w:rsid w:val="00692E18"/>
    <w:rsid w:val="006A77DE"/>
    <w:rsid w:val="006C3D02"/>
    <w:rsid w:val="006E15D2"/>
    <w:rsid w:val="006E4ABF"/>
    <w:rsid w:val="006F0CE0"/>
    <w:rsid w:val="0070770F"/>
    <w:rsid w:val="007409DA"/>
    <w:rsid w:val="007650B3"/>
    <w:rsid w:val="007770C2"/>
    <w:rsid w:val="00782340"/>
    <w:rsid w:val="0078787E"/>
    <w:rsid w:val="007E274B"/>
    <w:rsid w:val="007F4509"/>
    <w:rsid w:val="0080036F"/>
    <w:rsid w:val="00823B0A"/>
    <w:rsid w:val="00836496"/>
    <w:rsid w:val="00844026"/>
    <w:rsid w:val="008458C8"/>
    <w:rsid w:val="0088158E"/>
    <w:rsid w:val="008A7B94"/>
    <w:rsid w:val="008B5CDB"/>
    <w:rsid w:val="008C4125"/>
    <w:rsid w:val="008C5977"/>
    <w:rsid w:val="0090706E"/>
    <w:rsid w:val="0091061A"/>
    <w:rsid w:val="0091420F"/>
    <w:rsid w:val="0094152D"/>
    <w:rsid w:val="009475C8"/>
    <w:rsid w:val="009847A0"/>
    <w:rsid w:val="0099794F"/>
    <w:rsid w:val="009A722A"/>
    <w:rsid w:val="009B2DC5"/>
    <w:rsid w:val="009C3E97"/>
    <w:rsid w:val="00A934F9"/>
    <w:rsid w:val="00AA0DBD"/>
    <w:rsid w:val="00AA2759"/>
    <w:rsid w:val="00AA2F67"/>
    <w:rsid w:val="00AB4644"/>
    <w:rsid w:val="00AD6E69"/>
    <w:rsid w:val="00AE1913"/>
    <w:rsid w:val="00AE6E71"/>
    <w:rsid w:val="00AF25BF"/>
    <w:rsid w:val="00B33CCE"/>
    <w:rsid w:val="00B361EF"/>
    <w:rsid w:val="00B40453"/>
    <w:rsid w:val="00B4089C"/>
    <w:rsid w:val="00B84959"/>
    <w:rsid w:val="00BC7EE4"/>
    <w:rsid w:val="00BE6463"/>
    <w:rsid w:val="00C1697A"/>
    <w:rsid w:val="00C30D48"/>
    <w:rsid w:val="00C51A3C"/>
    <w:rsid w:val="00C53626"/>
    <w:rsid w:val="00C56F55"/>
    <w:rsid w:val="00C6537A"/>
    <w:rsid w:val="00C659F5"/>
    <w:rsid w:val="00C72DC7"/>
    <w:rsid w:val="00C80144"/>
    <w:rsid w:val="00CA017D"/>
    <w:rsid w:val="00CA3ECE"/>
    <w:rsid w:val="00CB5F91"/>
    <w:rsid w:val="00CD0ACC"/>
    <w:rsid w:val="00CE3E40"/>
    <w:rsid w:val="00D15D29"/>
    <w:rsid w:val="00D52719"/>
    <w:rsid w:val="00D66555"/>
    <w:rsid w:val="00DA6602"/>
    <w:rsid w:val="00E24CA5"/>
    <w:rsid w:val="00E32FFA"/>
    <w:rsid w:val="00E635F3"/>
    <w:rsid w:val="00E72F66"/>
    <w:rsid w:val="00EA7FDC"/>
    <w:rsid w:val="00ED6503"/>
    <w:rsid w:val="00F11CD2"/>
    <w:rsid w:val="00F13569"/>
    <w:rsid w:val="00F45EBF"/>
    <w:rsid w:val="00F62A16"/>
    <w:rsid w:val="00F62F00"/>
    <w:rsid w:val="00F65241"/>
    <w:rsid w:val="00FA5CD2"/>
    <w:rsid w:val="00FC1180"/>
    <w:rsid w:val="00FD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1D7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2B01E8"/>
    <w:pPr>
      <w:numPr>
        <w:numId w:val="1"/>
      </w:numPr>
      <w:contextualSpacing/>
    </w:pPr>
  </w:style>
  <w:style w:type="paragraph" w:styleId="ListParagraph">
    <w:name w:val="List Paragraph"/>
    <w:basedOn w:val="Normal"/>
    <w:uiPriority w:val="34"/>
    <w:qFormat/>
    <w:rsid w:val="005157D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A50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50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50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0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0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09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34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34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34F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B3179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3F27D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C53626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226C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2B01E8"/>
    <w:pPr>
      <w:numPr>
        <w:numId w:val="1"/>
      </w:numPr>
      <w:contextualSpacing/>
    </w:pPr>
  </w:style>
  <w:style w:type="paragraph" w:styleId="ListParagraph">
    <w:name w:val="List Paragraph"/>
    <w:basedOn w:val="Normal"/>
    <w:uiPriority w:val="34"/>
    <w:qFormat/>
    <w:rsid w:val="005157D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A50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50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50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0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0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09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34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34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34F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B3179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3F27D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C53626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226C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s.grundfos.com/content/dam/GPU/Literature/ALPHA2/UP%20Series%20Data%20Book%2098532861_0217_Internet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upplyhouse.com/Grundfos-99163906-ALPHA-15-55-F-LC-Cast-Iron-Circulator-Pump-w-Line-Cor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upplyhouse.com/Grundfos-99163972-ALPHA-15-55-F-LC-Stainless-Steel-Circulator-Pump-w-Line-Cord" TargetMode="External"/><Relationship Id="rId14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tatic1.squarespace.com/static/53c96e16e4b003bdba4f4fee/t/58d0282bd1758e2e9224f315/1490036779843/February232017_Meeting_Not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E1CCA-7344-40B2-BA1E-96702E130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Pacific Gas and Electric</Company>
  <LinksUpToDate>false</LinksUpToDate>
  <CharactersWithSpaces>6823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Kunczynski, Zyg</dc:creator>
  <cp:lastModifiedBy>Huang, Jia Chang</cp:lastModifiedBy>
  <cp:revision>6</cp:revision>
  <cp:lastPrinted>2017-06-16T16:11:00Z</cp:lastPrinted>
  <dcterms:created xsi:type="dcterms:W3CDTF">2017-06-17T00:00:00Z</dcterms:created>
  <dcterms:modified xsi:type="dcterms:W3CDTF">2017-06-17T00:32:00Z</dcterms:modified>
</cp:coreProperties>
</file>