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339" w:rsidRPr="00F74339" w:rsidRDefault="00F74339" w:rsidP="00F74339">
      <w:pPr>
        <w:jc w:val="right"/>
        <w:rPr>
          <w:rFonts w:ascii="Arial" w:hAnsi="Arial" w:cs="Arial"/>
          <w:b/>
          <w:sz w:val="48"/>
          <w:szCs w:val="48"/>
        </w:rPr>
      </w:pPr>
      <w:bookmarkStart w:id="0" w:name="_Toc153189646"/>
      <w:bookmarkStart w:id="1" w:name="_Toc214003082"/>
      <w:r w:rsidRPr="00F74339">
        <w:rPr>
          <w:rFonts w:ascii="Arial" w:hAnsi="Arial" w:cs="Arial"/>
          <w:b/>
          <w:sz w:val="48"/>
          <w:szCs w:val="48"/>
        </w:rPr>
        <w:t>Work Paper PGECOPRO110</w:t>
      </w:r>
    </w:p>
    <w:p w:rsidR="00F74339" w:rsidRPr="00F74339" w:rsidRDefault="00F74339" w:rsidP="00F74339">
      <w:pPr>
        <w:jc w:val="right"/>
        <w:rPr>
          <w:rFonts w:ascii="Arial" w:hAnsi="Arial" w:cs="Arial"/>
          <w:b/>
          <w:sz w:val="48"/>
          <w:szCs w:val="48"/>
        </w:rPr>
      </w:pPr>
      <w:r w:rsidRPr="00F74339">
        <w:rPr>
          <w:rFonts w:ascii="Arial" w:hAnsi="Arial" w:cs="Arial"/>
          <w:b/>
          <w:sz w:val="48"/>
          <w:szCs w:val="48"/>
        </w:rPr>
        <w:t>Process Fan</w:t>
      </w:r>
      <w:bookmarkStart w:id="2" w:name="_GoBack"/>
      <w:bookmarkEnd w:id="2"/>
      <w:r w:rsidRPr="00F74339">
        <w:rPr>
          <w:rFonts w:ascii="Arial" w:hAnsi="Arial" w:cs="Arial"/>
          <w:b/>
          <w:sz w:val="48"/>
          <w:szCs w:val="48"/>
        </w:rPr>
        <w:t xml:space="preserve"> VSD</w:t>
      </w:r>
    </w:p>
    <w:p w:rsidR="00F74339" w:rsidRPr="00F74339" w:rsidRDefault="00F74339" w:rsidP="00F74339">
      <w:pPr>
        <w:jc w:val="right"/>
        <w:rPr>
          <w:rFonts w:ascii="Arial" w:hAnsi="Arial" w:cs="Arial"/>
          <w:b/>
          <w:sz w:val="48"/>
          <w:szCs w:val="48"/>
        </w:rPr>
      </w:pPr>
      <w:r w:rsidRPr="00F74339">
        <w:rPr>
          <w:rFonts w:ascii="Arial" w:hAnsi="Arial" w:cs="Arial"/>
          <w:b/>
          <w:sz w:val="48"/>
          <w:szCs w:val="48"/>
        </w:rPr>
        <w:t>Revision # 0</w:t>
      </w:r>
    </w:p>
    <w:p w:rsidR="00F74339" w:rsidRPr="00F74339" w:rsidRDefault="00F74339" w:rsidP="00F74339">
      <w:pPr>
        <w:rPr>
          <w:rFonts w:ascii="Arial" w:hAnsi="Arial" w:cs="Arial"/>
        </w:rPr>
      </w:pPr>
    </w:p>
    <w:p w:rsidR="00F74339" w:rsidRPr="00F74339" w:rsidRDefault="00F74339" w:rsidP="00F74339">
      <w:pPr>
        <w:pBdr>
          <w:bottom w:val="single" w:sz="4" w:space="1" w:color="auto"/>
        </w:pBdr>
        <w:rPr>
          <w:rFonts w:ascii="Arial" w:hAnsi="Arial" w:cs="Arial"/>
          <w:b/>
          <w:sz w:val="36"/>
          <w:szCs w:val="36"/>
        </w:rPr>
      </w:pPr>
      <w:r w:rsidRPr="00F74339">
        <w:rPr>
          <w:rFonts w:ascii="Arial" w:hAnsi="Arial" w:cs="Arial"/>
          <w:b/>
          <w:sz w:val="36"/>
          <w:szCs w:val="36"/>
        </w:rPr>
        <w:t>Pacific Gas &amp; Electric Company</w:t>
      </w:r>
    </w:p>
    <w:p w:rsidR="00F74339" w:rsidRPr="00F74339" w:rsidRDefault="00F74339" w:rsidP="00F74339">
      <w:pPr>
        <w:rPr>
          <w:rFonts w:ascii="Arial" w:hAnsi="Arial" w:cs="Arial"/>
          <w:b/>
          <w:sz w:val="32"/>
          <w:szCs w:val="32"/>
        </w:rPr>
      </w:pPr>
      <w:r w:rsidRPr="00F74339">
        <w:rPr>
          <w:rFonts w:ascii="Arial" w:hAnsi="Arial" w:cs="Arial"/>
          <w:b/>
          <w:sz w:val="32"/>
          <w:szCs w:val="32"/>
        </w:rPr>
        <w:t xml:space="preserve">Customer Energy Solutions </w:t>
      </w:r>
    </w:p>
    <w:p w:rsidR="00F74339" w:rsidRPr="00F74339" w:rsidRDefault="00F74339" w:rsidP="00F74339">
      <w:pPr>
        <w:rPr>
          <w:rFonts w:ascii="Arial" w:hAnsi="Arial" w:cs="Arial"/>
          <w:b/>
          <w:highlight w:val="cyan"/>
        </w:rPr>
      </w:pPr>
    </w:p>
    <w:p w:rsidR="00F74339" w:rsidRPr="00F74339" w:rsidRDefault="00F74339" w:rsidP="00F74339">
      <w:pPr>
        <w:rPr>
          <w:rFonts w:ascii="Arial" w:hAnsi="Arial" w:cs="Arial"/>
          <w:b/>
          <w:highlight w:val="cyan"/>
        </w:rPr>
      </w:pPr>
    </w:p>
    <w:p w:rsidR="00F74339" w:rsidRPr="00F74339" w:rsidRDefault="00F74339" w:rsidP="00F74339">
      <w:pPr>
        <w:rPr>
          <w:rFonts w:ascii="Arial" w:hAnsi="Arial" w:cs="Arial"/>
          <w:b/>
          <w:highlight w:val="cyan"/>
        </w:rPr>
      </w:pPr>
    </w:p>
    <w:p w:rsidR="00F74339" w:rsidRPr="00F74339" w:rsidRDefault="00F74339" w:rsidP="00F74339">
      <w:pPr>
        <w:rPr>
          <w:rFonts w:ascii="Arial" w:hAnsi="Arial" w:cs="Arial"/>
          <w:b/>
          <w:bCs/>
          <w:i/>
        </w:rPr>
      </w:pPr>
    </w:p>
    <w:p w:rsidR="00F74339" w:rsidRPr="00F74339" w:rsidRDefault="00F74339" w:rsidP="00F74339">
      <w:pPr>
        <w:ind w:right="-720"/>
        <w:rPr>
          <w:rFonts w:ascii="Arial" w:hAnsi="Arial" w:cs="Arial"/>
          <w:b/>
          <w:sz w:val="72"/>
          <w:szCs w:val="72"/>
        </w:rPr>
      </w:pPr>
      <w:r w:rsidRPr="00F74339">
        <w:rPr>
          <w:rFonts w:ascii="Arial" w:hAnsi="Arial" w:cs="Arial"/>
          <w:b/>
          <w:sz w:val="72"/>
          <w:szCs w:val="72"/>
        </w:rPr>
        <w:t>Process Fan VSD</w:t>
      </w:r>
    </w:p>
    <w:p w:rsidR="00F74339" w:rsidRPr="00F74339" w:rsidRDefault="00F74339" w:rsidP="00F74339">
      <w:pPr>
        <w:ind w:right="-720"/>
        <w:rPr>
          <w:rFonts w:ascii="Arial" w:hAnsi="Arial" w:cs="Arial"/>
          <w:b/>
        </w:rPr>
      </w:pPr>
      <w:r w:rsidRPr="00F74339">
        <w:rPr>
          <w:rFonts w:ascii="Arial" w:hAnsi="Arial" w:cs="Arial"/>
          <w:b/>
        </w:rPr>
        <w:t>Measure Codes PR002</w:t>
      </w:r>
    </w:p>
    <w:p w:rsidR="00F74339" w:rsidRPr="00F74339" w:rsidRDefault="00F74339" w:rsidP="00F74339">
      <w:pPr>
        <w:rPr>
          <w:rFonts w:ascii="Arial" w:hAnsi="Arial" w:cs="Arial"/>
          <w:b/>
          <w:i/>
          <w:highlight w:val="cyan"/>
        </w:rPr>
      </w:pPr>
    </w:p>
    <w:p w:rsidR="00F74339" w:rsidRPr="00F74339" w:rsidRDefault="00F74339" w:rsidP="00F74339">
      <w:pPr>
        <w:rPr>
          <w:rFonts w:ascii="Arial" w:hAnsi="Arial" w:cs="Arial"/>
          <w:b/>
          <w:i/>
          <w:highlight w:val="cyan"/>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pPr>
    </w:p>
    <w:p w:rsidR="00F74339" w:rsidRPr="00F74339" w:rsidRDefault="00F74339" w:rsidP="00F74339">
      <w:pPr>
        <w:rPr>
          <w:rFonts w:ascii="Arial" w:hAnsi="Arial" w:cs="Arial"/>
          <w:b/>
          <w:i/>
        </w:rPr>
        <w:sectPr w:rsidR="00F74339" w:rsidRPr="00F74339" w:rsidSect="00EF5EF5">
          <w:headerReference w:type="even" r:id="rId9"/>
          <w:headerReference w:type="default" r:id="rId10"/>
          <w:footerReference w:type="even" r:id="rId11"/>
          <w:footerReference w:type="default" r:id="rId12"/>
          <w:headerReference w:type="first" r:id="rId13"/>
          <w:endnotePr>
            <w:numFmt w:val="decimal"/>
          </w:endnotePr>
          <w:pgSz w:w="12240" w:h="15840" w:code="1"/>
          <w:pgMar w:top="1440" w:right="1800" w:bottom="1440" w:left="1800" w:header="720" w:footer="720" w:gutter="0"/>
          <w:pgNumType w:fmt="lowerRoman"/>
          <w:cols w:space="720"/>
          <w:titlePg/>
          <w:docGrid w:linePitch="360"/>
        </w:sectPr>
      </w:pPr>
    </w:p>
    <w:p w:rsidR="00F74339" w:rsidRPr="00F74339" w:rsidRDefault="00F74339" w:rsidP="00F74339">
      <w:pPr>
        <w:pStyle w:val="Heading1"/>
        <w:rPr>
          <w:rFonts w:ascii="Arial" w:hAnsi="Arial"/>
          <w:sz w:val="32"/>
        </w:rPr>
      </w:pPr>
      <w:bookmarkStart w:id="3" w:name="_Toc383441979"/>
      <w:r w:rsidRPr="00F74339">
        <w:rPr>
          <w:rFonts w:ascii="Arial" w:hAnsi="Arial"/>
          <w:sz w:val="32"/>
        </w:rPr>
        <w:lastRenderedPageBreak/>
        <w:t>At-a-Glance Summary</w:t>
      </w:r>
      <w:bookmarkEnd w:id="3"/>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F74339" w:rsidRPr="00F74339" w:rsidTr="00D10654">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Applicable Measure Codes:</w:t>
            </w:r>
          </w:p>
        </w:tc>
        <w:tc>
          <w:tcPr>
            <w:tcW w:w="5487" w:type="dxa"/>
            <w:shd w:val="pct20" w:color="000000" w:fill="FFFFFF"/>
          </w:tcPr>
          <w:p w:rsidR="00F74339" w:rsidRPr="00F74339" w:rsidRDefault="00F74339" w:rsidP="00616FB7">
            <w:pPr>
              <w:rPr>
                <w:rFonts w:ascii="Arial" w:hAnsi="Arial" w:cs="Arial"/>
                <w:bCs/>
                <w:sz w:val="20"/>
                <w:szCs w:val="20"/>
              </w:rPr>
            </w:pPr>
            <w:r w:rsidRPr="00F74339">
              <w:rPr>
                <w:rFonts w:ascii="Arial" w:hAnsi="Arial" w:cs="Arial"/>
                <w:bCs/>
                <w:sz w:val="20"/>
                <w:szCs w:val="20"/>
              </w:rPr>
              <w:t>PR002</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 xml:space="preserve">Measure Description: </w:t>
            </w:r>
          </w:p>
        </w:tc>
        <w:tc>
          <w:tcPr>
            <w:tcW w:w="5487" w:type="dxa"/>
            <w:shd w:val="pct5" w:color="000000" w:fill="FFFFFF"/>
          </w:tcPr>
          <w:p w:rsidR="00F74339" w:rsidRPr="00F74339" w:rsidRDefault="00F74339" w:rsidP="00F74339">
            <w:pPr>
              <w:rPr>
                <w:rFonts w:ascii="Arial" w:hAnsi="Arial" w:cs="Arial"/>
                <w:sz w:val="20"/>
                <w:szCs w:val="20"/>
              </w:rPr>
            </w:pPr>
            <w:r w:rsidRPr="00F74339">
              <w:rPr>
                <w:rFonts w:ascii="Arial" w:hAnsi="Arial" w:cs="Arial"/>
                <w:sz w:val="20"/>
                <w:szCs w:val="20"/>
              </w:rPr>
              <w:t>VARIABLE SPEED DRIVE ON PROCESS FAN CONTROL</w:t>
            </w:r>
          </w:p>
          <w:p w:rsidR="00F74339" w:rsidRPr="00F74339" w:rsidRDefault="00F74339" w:rsidP="00616FB7">
            <w:pPr>
              <w:rPr>
                <w:rFonts w:ascii="Arial" w:hAnsi="Arial" w:cs="Arial"/>
                <w:sz w:val="20"/>
                <w:szCs w:val="20"/>
              </w:rPr>
            </w:pP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 xml:space="preserve">Energy Impact Common Units: </w:t>
            </w:r>
          </w:p>
        </w:tc>
        <w:tc>
          <w:tcPr>
            <w:tcW w:w="5487" w:type="dxa"/>
            <w:shd w:val="pct20" w:color="000000" w:fill="FFFFFF"/>
          </w:tcPr>
          <w:p w:rsidR="00F74339" w:rsidRPr="00F74339" w:rsidRDefault="00F74339" w:rsidP="00616FB7">
            <w:pPr>
              <w:rPr>
                <w:rFonts w:ascii="Arial" w:hAnsi="Arial" w:cs="Arial"/>
                <w:sz w:val="20"/>
                <w:szCs w:val="20"/>
              </w:rPr>
            </w:pPr>
            <w:r>
              <w:rPr>
                <w:rFonts w:ascii="Arial" w:hAnsi="Arial" w:cs="Arial"/>
                <w:sz w:val="20"/>
                <w:szCs w:val="20"/>
              </w:rPr>
              <w:t>Rated-HP</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Base Case Description:</w:t>
            </w:r>
          </w:p>
        </w:tc>
        <w:tc>
          <w:tcPr>
            <w:tcW w:w="5487" w:type="dxa"/>
            <w:shd w:val="pct5" w:color="000000" w:fill="FFFFFF"/>
          </w:tcPr>
          <w:p w:rsidR="00F74339" w:rsidRPr="00F74339" w:rsidRDefault="00F74339" w:rsidP="00616FB7">
            <w:pPr>
              <w:rPr>
                <w:rFonts w:ascii="Arial" w:hAnsi="Arial" w:cs="Arial"/>
                <w:sz w:val="20"/>
                <w:szCs w:val="20"/>
              </w:rPr>
            </w:pPr>
            <w:r w:rsidRPr="00F74339">
              <w:rPr>
                <w:rFonts w:ascii="Arial" w:hAnsi="Arial" w:cs="Arial"/>
                <w:sz w:val="20"/>
                <w:szCs w:val="20"/>
              </w:rPr>
              <w:t>Non-HVAC and non-refrigeration fan used for exhaust, ventilation, pressurization, or other process</w:t>
            </w: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 xml:space="preserve">Base Case Energy Consumption: </w:t>
            </w:r>
          </w:p>
        </w:tc>
        <w:tc>
          <w:tcPr>
            <w:tcW w:w="5487" w:type="dxa"/>
            <w:shd w:val="pct20" w:color="000000" w:fill="FFFFFF"/>
          </w:tcPr>
          <w:p w:rsidR="00F74339" w:rsidRDefault="00F74339" w:rsidP="00F74339">
            <w:pPr>
              <w:rPr>
                <w:rFonts w:ascii="Arial" w:hAnsi="Arial" w:cs="Arial"/>
                <w:sz w:val="20"/>
                <w:szCs w:val="20"/>
              </w:rPr>
            </w:pPr>
            <w:r w:rsidRPr="00F74339">
              <w:rPr>
                <w:rFonts w:ascii="Arial" w:hAnsi="Arial" w:cs="Arial"/>
                <w:sz w:val="20"/>
                <w:szCs w:val="20"/>
              </w:rPr>
              <w:t xml:space="preserve">Source: </w:t>
            </w:r>
            <w:r>
              <w:rPr>
                <w:rFonts w:ascii="Arial" w:hAnsi="Arial" w:cs="Arial"/>
                <w:sz w:val="20"/>
                <w:szCs w:val="20"/>
              </w:rPr>
              <w:t>SCE Calculations</w:t>
            </w:r>
          </w:p>
          <w:p w:rsidR="00F74339" w:rsidRPr="00F74339" w:rsidRDefault="00F74339" w:rsidP="00F74339">
            <w:pPr>
              <w:rPr>
                <w:rFonts w:ascii="Arial" w:hAnsi="Arial" w:cs="Arial"/>
                <w:sz w:val="20"/>
                <w:szCs w:val="20"/>
              </w:rPr>
            </w:pPr>
            <w:r>
              <w:rPr>
                <w:rFonts w:ascii="Arial" w:hAnsi="Arial" w:cs="Arial"/>
                <w:sz w:val="20"/>
                <w:szCs w:val="20"/>
              </w:rPr>
              <w:t>1552.21 kWh</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Measure Energy Consumption:</w:t>
            </w:r>
          </w:p>
          <w:p w:rsidR="00F74339" w:rsidRPr="00F74339" w:rsidRDefault="00F74339" w:rsidP="00616FB7">
            <w:pPr>
              <w:rPr>
                <w:rFonts w:ascii="Arial" w:hAnsi="Arial" w:cs="Arial"/>
                <w:b/>
                <w:sz w:val="20"/>
                <w:szCs w:val="20"/>
              </w:rPr>
            </w:pPr>
          </w:p>
        </w:tc>
        <w:tc>
          <w:tcPr>
            <w:tcW w:w="5487" w:type="dxa"/>
            <w:shd w:val="pct5" w:color="000000" w:fill="FFFFFF"/>
          </w:tcPr>
          <w:p w:rsidR="00F74339" w:rsidRDefault="00F74339" w:rsidP="00F74339">
            <w:pPr>
              <w:rPr>
                <w:rFonts w:ascii="Arial" w:hAnsi="Arial" w:cs="Arial"/>
                <w:sz w:val="20"/>
                <w:szCs w:val="20"/>
              </w:rPr>
            </w:pPr>
            <w:r w:rsidRPr="00F74339">
              <w:rPr>
                <w:rFonts w:ascii="Arial" w:hAnsi="Arial" w:cs="Arial"/>
                <w:sz w:val="20"/>
                <w:szCs w:val="20"/>
              </w:rPr>
              <w:t xml:space="preserve">Source: </w:t>
            </w:r>
            <w:r>
              <w:rPr>
                <w:rFonts w:ascii="Arial" w:hAnsi="Arial" w:cs="Arial"/>
                <w:sz w:val="20"/>
                <w:szCs w:val="20"/>
              </w:rPr>
              <w:t>SCE Calculations</w:t>
            </w:r>
          </w:p>
          <w:p w:rsidR="00F74339" w:rsidRPr="00F74339" w:rsidRDefault="00F74339" w:rsidP="00F74339">
            <w:pPr>
              <w:rPr>
                <w:rFonts w:ascii="Arial" w:hAnsi="Arial" w:cs="Arial"/>
                <w:sz w:val="20"/>
                <w:szCs w:val="20"/>
              </w:rPr>
            </w:pPr>
            <w:r>
              <w:rPr>
                <w:rFonts w:ascii="Arial" w:hAnsi="Arial" w:cs="Arial"/>
                <w:sz w:val="20"/>
                <w:szCs w:val="20"/>
              </w:rPr>
              <w:t>853.96 kWh</w:t>
            </w: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 xml:space="preserve">Energy Savings </w:t>
            </w:r>
          </w:p>
          <w:p w:rsidR="00F74339" w:rsidRPr="00F74339" w:rsidRDefault="00F74339" w:rsidP="00616FB7">
            <w:pPr>
              <w:rPr>
                <w:rStyle w:val="Strong1"/>
                <w:rFonts w:ascii="Arial" w:hAnsi="Arial" w:cs="Arial"/>
                <w:b w:val="0"/>
              </w:rPr>
            </w:pPr>
            <w:r w:rsidRPr="00F74339">
              <w:rPr>
                <w:rStyle w:val="Strong"/>
                <w:rFonts w:cs="Arial"/>
              </w:rPr>
              <w:t>(Base Case – Measure):</w:t>
            </w:r>
          </w:p>
        </w:tc>
        <w:tc>
          <w:tcPr>
            <w:tcW w:w="5487" w:type="dxa"/>
            <w:shd w:val="pct20" w:color="000000" w:fill="FFFFFF"/>
          </w:tcPr>
          <w:p w:rsidR="00F74339" w:rsidRDefault="00F74339" w:rsidP="00F74339">
            <w:pPr>
              <w:rPr>
                <w:rFonts w:ascii="Arial" w:hAnsi="Arial" w:cs="Arial"/>
                <w:sz w:val="20"/>
                <w:szCs w:val="20"/>
              </w:rPr>
            </w:pPr>
            <w:r w:rsidRPr="00F74339">
              <w:rPr>
                <w:rFonts w:ascii="Arial" w:hAnsi="Arial" w:cs="Arial"/>
                <w:sz w:val="20"/>
                <w:szCs w:val="20"/>
              </w:rPr>
              <w:t xml:space="preserve">Source: </w:t>
            </w:r>
            <w:r>
              <w:rPr>
                <w:rFonts w:ascii="Arial" w:hAnsi="Arial" w:cs="Arial"/>
                <w:sz w:val="20"/>
                <w:szCs w:val="20"/>
              </w:rPr>
              <w:t>SCE Calculations</w:t>
            </w:r>
          </w:p>
          <w:p w:rsidR="00F74339" w:rsidRPr="00F74339" w:rsidRDefault="00F74339" w:rsidP="00F74339">
            <w:pPr>
              <w:rPr>
                <w:rFonts w:ascii="Arial" w:hAnsi="Arial" w:cs="Arial"/>
                <w:sz w:val="20"/>
                <w:szCs w:val="20"/>
              </w:rPr>
            </w:pPr>
            <w:r>
              <w:rPr>
                <w:rFonts w:ascii="Arial" w:hAnsi="Arial" w:cs="Arial"/>
                <w:sz w:val="20"/>
                <w:szCs w:val="20"/>
              </w:rPr>
              <w:t>698.25 kWh</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 xml:space="preserve">Costs Common Units: </w:t>
            </w:r>
          </w:p>
        </w:tc>
        <w:tc>
          <w:tcPr>
            <w:tcW w:w="5487" w:type="dxa"/>
            <w:shd w:val="pct5" w:color="000000" w:fill="FFFFFF"/>
          </w:tcPr>
          <w:p w:rsidR="00F74339" w:rsidRPr="00F74339" w:rsidRDefault="00377B6B" w:rsidP="00616FB7">
            <w:pPr>
              <w:rPr>
                <w:rFonts w:ascii="Arial" w:hAnsi="Arial" w:cs="Arial"/>
                <w:sz w:val="20"/>
                <w:szCs w:val="20"/>
              </w:rPr>
            </w:pPr>
            <w:r>
              <w:rPr>
                <w:rFonts w:ascii="Arial" w:hAnsi="Arial" w:cs="Arial"/>
                <w:sz w:val="20"/>
                <w:szCs w:val="20"/>
              </w:rPr>
              <w:t>Rated-HP</w:t>
            </w: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highlight w:val="cyan"/>
              </w:rPr>
            </w:pPr>
            <w:r w:rsidRPr="00F74339">
              <w:rPr>
                <w:rStyle w:val="Strong"/>
                <w:rFonts w:cs="Arial"/>
              </w:rPr>
              <w:t>Base Case Equipment Cost ($/unit):</w:t>
            </w:r>
          </w:p>
          <w:p w:rsidR="00F74339" w:rsidRPr="00F74339" w:rsidRDefault="00F74339" w:rsidP="00616FB7">
            <w:pPr>
              <w:rPr>
                <w:rFonts w:ascii="Arial" w:hAnsi="Arial" w:cs="Arial"/>
                <w:highlight w:val="cyan"/>
              </w:rPr>
            </w:pPr>
          </w:p>
        </w:tc>
        <w:tc>
          <w:tcPr>
            <w:tcW w:w="5487" w:type="dxa"/>
            <w:shd w:val="pct20" w:color="000000" w:fill="FFFFFF"/>
          </w:tcPr>
          <w:p w:rsidR="00F74339" w:rsidRPr="00F74339" w:rsidRDefault="00377B6B" w:rsidP="00616FB7">
            <w:pPr>
              <w:rPr>
                <w:rFonts w:ascii="Arial" w:hAnsi="Arial" w:cs="Arial"/>
                <w:sz w:val="20"/>
                <w:szCs w:val="20"/>
              </w:rPr>
            </w:pPr>
            <w:r>
              <w:rPr>
                <w:rFonts w:ascii="Arial" w:hAnsi="Arial" w:cs="Arial"/>
                <w:sz w:val="20"/>
                <w:szCs w:val="20"/>
              </w:rPr>
              <w:t>$0</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 xml:space="preserve">Measure Equipment Cost ($/unit): </w:t>
            </w:r>
          </w:p>
        </w:tc>
        <w:tc>
          <w:tcPr>
            <w:tcW w:w="5487" w:type="dxa"/>
            <w:shd w:val="pct5" w:color="000000" w:fill="FFFFFF"/>
          </w:tcPr>
          <w:p w:rsidR="00F74339" w:rsidRDefault="00F74339" w:rsidP="00377B6B">
            <w:pPr>
              <w:rPr>
                <w:rFonts w:ascii="Arial" w:hAnsi="Arial" w:cs="Arial"/>
                <w:sz w:val="20"/>
                <w:szCs w:val="20"/>
              </w:rPr>
            </w:pPr>
            <w:r w:rsidRPr="00F74339">
              <w:rPr>
                <w:rFonts w:ascii="Arial" w:hAnsi="Arial" w:cs="Arial"/>
                <w:sz w:val="20"/>
                <w:szCs w:val="20"/>
              </w:rPr>
              <w:t xml:space="preserve">Source: </w:t>
            </w:r>
            <w:r w:rsidR="00377B6B">
              <w:rPr>
                <w:rFonts w:ascii="Arial" w:hAnsi="Arial" w:cs="Arial"/>
                <w:sz w:val="20"/>
                <w:szCs w:val="20"/>
              </w:rPr>
              <w:t>2012 RS Means Electrical Cost Data</w:t>
            </w:r>
          </w:p>
          <w:p w:rsidR="00377B6B" w:rsidRPr="00F74339" w:rsidRDefault="00377B6B" w:rsidP="00377B6B">
            <w:pPr>
              <w:rPr>
                <w:rFonts w:ascii="Arial" w:hAnsi="Arial" w:cs="Arial"/>
                <w:sz w:val="20"/>
                <w:szCs w:val="20"/>
              </w:rPr>
            </w:pPr>
            <w:r>
              <w:rPr>
                <w:rFonts w:ascii="Arial" w:hAnsi="Arial" w:cs="Arial"/>
                <w:sz w:val="20"/>
                <w:szCs w:val="20"/>
              </w:rPr>
              <w:t>$157.90</w:t>
            </w: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Gross Measure Cost ($/unit)</w:t>
            </w:r>
          </w:p>
        </w:tc>
        <w:tc>
          <w:tcPr>
            <w:tcW w:w="5487" w:type="dxa"/>
            <w:shd w:val="pct20" w:color="000000" w:fill="FFFFFF"/>
          </w:tcPr>
          <w:p w:rsidR="00F74339" w:rsidRPr="00F74339" w:rsidRDefault="00377B6B" w:rsidP="00616FB7">
            <w:pPr>
              <w:rPr>
                <w:rFonts w:ascii="Arial" w:hAnsi="Arial" w:cs="Arial"/>
                <w:sz w:val="20"/>
                <w:szCs w:val="20"/>
              </w:rPr>
            </w:pPr>
            <w:r>
              <w:rPr>
                <w:rFonts w:ascii="Arial" w:hAnsi="Arial" w:cs="Arial"/>
                <w:sz w:val="20"/>
                <w:szCs w:val="20"/>
              </w:rPr>
              <w:t>$196.04</w:t>
            </w: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 xml:space="preserve">Measure Incremental Cost ($/unit): </w:t>
            </w:r>
          </w:p>
        </w:tc>
        <w:tc>
          <w:tcPr>
            <w:tcW w:w="5487" w:type="dxa"/>
            <w:shd w:val="pct20" w:color="000000" w:fill="FFFFFF"/>
          </w:tcPr>
          <w:p w:rsidR="00F74339" w:rsidRPr="00F74339" w:rsidRDefault="00377B6B" w:rsidP="00616FB7">
            <w:pPr>
              <w:rPr>
                <w:rFonts w:ascii="Arial" w:hAnsi="Arial" w:cs="Arial"/>
                <w:sz w:val="20"/>
                <w:szCs w:val="20"/>
              </w:rPr>
            </w:pPr>
            <w:r>
              <w:rPr>
                <w:rFonts w:ascii="Arial" w:hAnsi="Arial" w:cs="Arial"/>
                <w:sz w:val="20"/>
                <w:szCs w:val="20"/>
              </w:rPr>
              <w:t>$196.04</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 xml:space="preserve">Effective Useful Life (years): </w:t>
            </w:r>
          </w:p>
        </w:tc>
        <w:tc>
          <w:tcPr>
            <w:tcW w:w="5487" w:type="dxa"/>
            <w:shd w:val="pct5" w:color="000000" w:fill="FFFFFF"/>
          </w:tcPr>
          <w:p w:rsidR="00F74339" w:rsidRDefault="00F74339" w:rsidP="00377B6B">
            <w:pPr>
              <w:rPr>
                <w:rFonts w:ascii="Arial" w:hAnsi="Arial" w:cs="Arial"/>
                <w:sz w:val="20"/>
                <w:szCs w:val="20"/>
              </w:rPr>
            </w:pPr>
            <w:r w:rsidRPr="00F74339">
              <w:rPr>
                <w:rFonts w:ascii="Arial" w:hAnsi="Arial" w:cs="Arial"/>
                <w:sz w:val="20"/>
                <w:szCs w:val="20"/>
              </w:rPr>
              <w:t xml:space="preserve">Source: </w:t>
            </w:r>
            <w:r w:rsidR="00377B6B">
              <w:rPr>
                <w:rFonts w:ascii="Arial" w:hAnsi="Arial" w:cs="Arial"/>
                <w:sz w:val="20"/>
                <w:szCs w:val="20"/>
              </w:rPr>
              <w:t>DEER 2011</w:t>
            </w:r>
          </w:p>
          <w:p w:rsidR="00377B6B" w:rsidRPr="00F74339" w:rsidRDefault="00377B6B" w:rsidP="00377B6B">
            <w:pPr>
              <w:rPr>
                <w:rFonts w:ascii="Arial" w:hAnsi="Arial" w:cs="Arial"/>
                <w:sz w:val="20"/>
                <w:szCs w:val="20"/>
              </w:rPr>
            </w:pPr>
            <w:r>
              <w:rPr>
                <w:rFonts w:ascii="Arial" w:hAnsi="Arial" w:cs="Arial"/>
                <w:sz w:val="20"/>
                <w:szCs w:val="20"/>
              </w:rPr>
              <w:t>EUL ID: Motors-fan, EUL = 15 years, RUL = 5 years</w:t>
            </w: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Measure Application Type:</w:t>
            </w:r>
          </w:p>
        </w:tc>
        <w:tc>
          <w:tcPr>
            <w:tcW w:w="5487" w:type="dxa"/>
            <w:shd w:val="pct20" w:color="000000" w:fill="FFFFFF"/>
          </w:tcPr>
          <w:p w:rsidR="00F74339" w:rsidRPr="00F74339" w:rsidRDefault="00377B6B" w:rsidP="00616FB7">
            <w:pPr>
              <w:rPr>
                <w:rFonts w:ascii="Arial" w:hAnsi="Arial" w:cs="Arial"/>
                <w:sz w:val="20"/>
                <w:szCs w:val="20"/>
              </w:rPr>
            </w:pPr>
            <w:r>
              <w:rPr>
                <w:rFonts w:ascii="Arial" w:hAnsi="Arial" w:cs="Arial"/>
                <w:sz w:val="20"/>
                <w:szCs w:val="20"/>
              </w:rPr>
              <w:t>REA</w:t>
            </w:r>
          </w:p>
        </w:tc>
      </w:tr>
      <w:tr w:rsidR="00F74339" w:rsidRPr="00F74339" w:rsidTr="00616FB7">
        <w:trPr>
          <w:trHeight w:val="465"/>
        </w:trPr>
        <w:tc>
          <w:tcPr>
            <w:tcW w:w="4161" w:type="dxa"/>
            <w:shd w:val="pct5" w:color="000000" w:fill="FFFFFF"/>
          </w:tcPr>
          <w:p w:rsidR="00F74339" w:rsidRPr="00F74339" w:rsidRDefault="00F74339" w:rsidP="00616FB7">
            <w:pPr>
              <w:rPr>
                <w:rStyle w:val="Strong"/>
                <w:rFonts w:cs="Arial"/>
              </w:rPr>
            </w:pPr>
            <w:r w:rsidRPr="00F74339">
              <w:rPr>
                <w:rStyle w:val="Strong"/>
                <w:rFonts w:cs="Arial"/>
              </w:rPr>
              <w:t xml:space="preserve">Net-to-Gross Ratios: </w:t>
            </w:r>
          </w:p>
        </w:tc>
        <w:tc>
          <w:tcPr>
            <w:tcW w:w="5487" w:type="dxa"/>
            <w:shd w:val="pct5" w:color="000000" w:fill="FFFFFF"/>
          </w:tcPr>
          <w:p w:rsidR="00F74339" w:rsidRDefault="00F74339" w:rsidP="00377B6B">
            <w:pPr>
              <w:rPr>
                <w:rFonts w:ascii="Arial" w:hAnsi="Arial" w:cs="Arial"/>
                <w:sz w:val="20"/>
                <w:szCs w:val="20"/>
              </w:rPr>
            </w:pPr>
            <w:r w:rsidRPr="00F74339">
              <w:rPr>
                <w:rFonts w:ascii="Arial" w:hAnsi="Arial" w:cs="Arial"/>
                <w:sz w:val="20"/>
                <w:szCs w:val="20"/>
              </w:rPr>
              <w:t xml:space="preserve">Source: </w:t>
            </w:r>
            <w:r w:rsidR="00377B6B">
              <w:rPr>
                <w:rFonts w:ascii="Arial" w:hAnsi="Arial" w:cs="Arial"/>
                <w:sz w:val="20"/>
                <w:szCs w:val="20"/>
              </w:rPr>
              <w:t>DEER 2011</w:t>
            </w:r>
          </w:p>
          <w:p w:rsidR="00377B6B" w:rsidRDefault="00377B6B" w:rsidP="00377B6B">
            <w:pPr>
              <w:rPr>
                <w:rFonts w:ascii="Calibri" w:hAnsi="Calibri" w:cs="Calibri"/>
                <w:color w:val="000000"/>
                <w:sz w:val="22"/>
                <w:szCs w:val="22"/>
              </w:rPr>
            </w:pPr>
            <w:r>
              <w:rPr>
                <w:rFonts w:ascii="Calibri" w:hAnsi="Calibri" w:cs="Calibri"/>
                <w:color w:val="000000"/>
                <w:sz w:val="22"/>
                <w:szCs w:val="22"/>
              </w:rPr>
              <w:t xml:space="preserve">NTG ID: </w:t>
            </w:r>
            <w:proofErr w:type="spellStart"/>
            <w:r>
              <w:rPr>
                <w:rFonts w:ascii="Calibri" w:hAnsi="Calibri" w:cs="Calibri"/>
                <w:color w:val="000000"/>
                <w:sz w:val="22"/>
                <w:szCs w:val="22"/>
              </w:rPr>
              <w:t>Ind</w:t>
            </w:r>
            <w:proofErr w:type="spellEnd"/>
            <w:r>
              <w:rPr>
                <w:rFonts w:ascii="Calibri" w:hAnsi="Calibri" w:cs="Calibri"/>
                <w:color w:val="000000"/>
                <w:sz w:val="22"/>
                <w:szCs w:val="22"/>
              </w:rPr>
              <w:t>-Default&gt;2yrs, NTG = 0.60</w:t>
            </w:r>
          </w:p>
          <w:p w:rsidR="00377B6B" w:rsidRPr="00F74339" w:rsidRDefault="00377B6B" w:rsidP="00377B6B">
            <w:pPr>
              <w:rPr>
                <w:rFonts w:ascii="Arial" w:hAnsi="Arial" w:cs="Arial"/>
                <w:sz w:val="20"/>
                <w:szCs w:val="20"/>
              </w:rPr>
            </w:pPr>
          </w:p>
        </w:tc>
      </w:tr>
      <w:tr w:rsidR="00F74339" w:rsidRPr="00F74339" w:rsidTr="00616FB7">
        <w:trPr>
          <w:trHeight w:val="465"/>
        </w:trPr>
        <w:tc>
          <w:tcPr>
            <w:tcW w:w="4161" w:type="dxa"/>
            <w:shd w:val="pct20" w:color="000000" w:fill="FFFFFF"/>
          </w:tcPr>
          <w:p w:rsidR="00F74339" w:rsidRPr="00F74339" w:rsidRDefault="00F74339" w:rsidP="00616FB7">
            <w:pPr>
              <w:rPr>
                <w:rStyle w:val="Strong"/>
                <w:rFonts w:cs="Arial"/>
              </w:rPr>
            </w:pPr>
            <w:r w:rsidRPr="00F74339">
              <w:rPr>
                <w:rStyle w:val="Strong"/>
                <w:rFonts w:cs="Arial"/>
              </w:rPr>
              <w:t>Important Comments:</w:t>
            </w:r>
          </w:p>
        </w:tc>
        <w:tc>
          <w:tcPr>
            <w:tcW w:w="5487" w:type="dxa"/>
            <w:shd w:val="pct20" w:color="000000" w:fill="FFFFFF"/>
          </w:tcPr>
          <w:p w:rsidR="00F74339" w:rsidRPr="00F74339" w:rsidRDefault="00F74339" w:rsidP="00616FB7">
            <w:pPr>
              <w:rPr>
                <w:rFonts w:ascii="Arial" w:hAnsi="Arial" w:cs="Arial"/>
                <w:sz w:val="20"/>
                <w:szCs w:val="20"/>
              </w:rPr>
            </w:pPr>
          </w:p>
        </w:tc>
      </w:tr>
    </w:tbl>
    <w:p w:rsidR="00F74339" w:rsidRPr="00F74339" w:rsidRDefault="00F74339" w:rsidP="00F74339">
      <w:pPr>
        <w:rPr>
          <w:rFonts w:ascii="Arial" w:hAnsi="Arial" w:cs="Arial"/>
          <w:b/>
          <w:i/>
          <w:color w:val="FF0000"/>
          <w:sz w:val="20"/>
          <w:szCs w:val="20"/>
        </w:rPr>
      </w:pPr>
    </w:p>
    <w:p w:rsidR="00F74339" w:rsidRDefault="00F74339"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Default="0053705B" w:rsidP="00F74339">
      <w:pPr>
        <w:rPr>
          <w:rFonts w:ascii="Arial" w:hAnsi="Arial" w:cs="Arial"/>
          <w:b/>
          <w:color w:val="FF0000"/>
          <w:sz w:val="20"/>
          <w:szCs w:val="20"/>
        </w:rPr>
      </w:pPr>
    </w:p>
    <w:p w:rsidR="0053705B" w:rsidRPr="00F74339" w:rsidRDefault="0053705B" w:rsidP="0053705B">
      <w:pPr>
        <w:pStyle w:val="Heading1"/>
        <w:rPr>
          <w:rFonts w:ascii="Arial" w:hAnsi="Arial"/>
          <w:sz w:val="32"/>
        </w:rPr>
      </w:pPr>
      <w:bookmarkStart w:id="4" w:name="_Toc342311739"/>
      <w:bookmarkStart w:id="5" w:name="_Toc383441980"/>
      <w:r w:rsidRPr="00F74339">
        <w:rPr>
          <w:rFonts w:ascii="Arial" w:hAnsi="Arial"/>
          <w:sz w:val="32"/>
        </w:rPr>
        <w:lastRenderedPageBreak/>
        <w:t>Work Paper Approvals</w:t>
      </w:r>
      <w:bookmarkEnd w:id="4"/>
      <w:bookmarkEnd w:id="5"/>
    </w:p>
    <w:p w:rsidR="0053705B" w:rsidRPr="00F74339" w:rsidRDefault="0053705B" w:rsidP="0053705B">
      <w:pPr>
        <w:rPr>
          <w:rFonts w:ascii="Arial" w:eastAsiaTheme="minorHAnsi" w:hAnsi="Arial" w:cs="Arial"/>
          <w:sz w:val="22"/>
          <w:szCs w:val="22"/>
        </w:rPr>
      </w:pPr>
      <w:r w:rsidRPr="00F74339">
        <w:rPr>
          <w:rFonts w:ascii="Arial" w:hAnsi="Arial" w:cs="Arial"/>
          <w:sz w:val="22"/>
          <w:szCs w:val="22"/>
        </w:rPr>
        <w:t xml:space="preserve">The following Manager(s) approved this </w:t>
      </w:r>
      <w:proofErr w:type="spellStart"/>
      <w:r w:rsidRPr="00F74339">
        <w:rPr>
          <w:rFonts w:ascii="Arial" w:hAnsi="Arial" w:cs="Arial"/>
          <w:sz w:val="22"/>
          <w:szCs w:val="22"/>
        </w:rPr>
        <w:t>workpaper</w:t>
      </w:r>
      <w:proofErr w:type="spellEnd"/>
      <w:r w:rsidRPr="00F74339">
        <w:rPr>
          <w:rFonts w:ascii="Arial" w:hAnsi="Arial" w:cs="Arial"/>
          <w:sz w:val="22"/>
          <w:szCs w:val="22"/>
        </w:rPr>
        <w:t xml:space="preserve"> through the PG&amp;E Electronic Data Routing System under Routing Requisition # </w:t>
      </w:r>
      <w:r w:rsidRPr="00F74339">
        <w:rPr>
          <w:rFonts w:ascii="Arial" w:hAnsi="Arial" w:cs="Arial"/>
          <w:sz w:val="22"/>
          <w:szCs w:val="22"/>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53705B" w:rsidRPr="00F74339" w:rsidTr="00616FB7">
        <w:tc>
          <w:tcPr>
            <w:tcW w:w="5000" w:type="pct"/>
            <w:tcMar>
              <w:top w:w="0" w:type="dxa"/>
              <w:left w:w="108" w:type="dxa"/>
              <w:bottom w:w="0" w:type="dxa"/>
              <w:right w:w="108" w:type="dxa"/>
            </w:tcMar>
          </w:tcPr>
          <w:p w:rsidR="0053705B" w:rsidRPr="00F74339" w:rsidRDefault="0053705B" w:rsidP="00616FB7">
            <w:pPr>
              <w:rPr>
                <w:rFonts w:ascii="Arial" w:eastAsiaTheme="minorHAnsi" w:hAnsi="Arial" w:cs="Arial"/>
                <w:szCs w:val="22"/>
              </w:rPr>
            </w:pPr>
          </w:p>
        </w:tc>
      </w:tr>
      <w:tr w:rsidR="0053705B" w:rsidRPr="00F74339" w:rsidTr="00616FB7">
        <w:tc>
          <w:tcPr>
            <w:tcW w:w="5000" w:type="pct"/>
            <w:tcMar>
              <w:top w:w="0" w:type="dxa"/>
              <w:left w:w="108" w:type="dxa"/>
              <w:bottom w:w="0" w:type="dxa"/>
              <w:right w:w="108" w:type="dxa"/>
            </w:tcMar>
            <w:hideMark/>
          </w:tcPr>
          <w:p w:rsidR="0053705B" w:rsidRPr="00F74339" w:rsidRDefault="0053705B" w:rsidP="00616FB7">
            <w:pPr>
              <w:rPr>
                <w:rFonts w:ascii="Arial" w:eastAsiaTheme="minorHAnsi" w:hAnsi="Arial" w:cs="Arial"/>
                <w:b/>
                <w:bCs/>
                <w:sz w:val="22"/>
                <w:szCs w:val="22"/>
              </w:rPr>
            </w:pPr>
            <w:r w:rsidRPr="00F74339">
              <w:rPr>
                <w:rFonts w:ascii="Arial" w:hAnsi="Arial" w:cs="Arial"/>
                <w:b/>
                <w:bCs/>
                <w:sz w:val="22"/>
              </w:rPr>
              <w:t xml:space="preserve">Grant </w:t>
            </w:r>
            <w:proofErr w:type="spellStart"/>
            <w:r w:rsidRPr="00F74339">
              <w:rPr>
                <w:rFonts w:ascii="Arial" w:hAnsi="Arial" w:cs="Arial"/>
                <w:b/>
                <w:bCs/>
                <w:sz w:val="22"/>
              </w:rPr>
              <w:t>Brohard</w:t>
            </w:r>
            <w:proofErr w:type="spellEnd"/>
          </w:p>
          <w:p w:rsidR="0053705B" w:rsidRPr="00F74339" w:rsidRDefault="0053705B" w:rsidP="00616FB7">
            <w:pPr>
              <w:rPr>
                <w:rFonts w:ascii="Arial" w:eastAsiaTheme="minorHAnsi" w:hAnsi="Arial" w:cs="Arial"/>
                <w:sz w:val="22"/>
                <w:szCs w:val="22"/>
              </w:rPr>
            </w:pPr>
            <w:r w:rsidRPr="00F74339">
              <w:rPr>
                <w:rFonts w:ascii="Arial" w:hAnsi="Arial" w:cs="Arial"/>
                <w:sz w:val="22"/>
              </w:rPr>
              <w:t>Manager, Technical Product Support</w:t>
            </w:r>
          </w:p>
        </w:tc>
      </w:tr>
      <w:tr w:rsidR="0053705B" w:rsidRPr="00F74339" w:rsidTr="00616FB7">
        <w:tc>
          <w:tcPr>
            <w:tcW w:w="5000" w:type="pct"/>
            <w:tcMar>
              <w:top w:w="0" w:type="dxa"/>
              <w:left w:w="108" w:type="dxa"/>
              <w:bottom w:w="0" w:type="dxa"/>
              <w:right w:w="108" w:type="dxa"/>
            </w:tcMar>
          </w:tcPr>
          <w:p w:rsidR="0053705B" w:rsidRPr="00F74339" w:rsidRDefault="0053705B" w:rsidP="00616FB7">
            <w:pPr>
              <w:rPr>
                <w:rFonts w:ascii="Arial" w:eastAsiaTheme="minorHAnsi" w:hAnsi="Arial" w:cs="Arial"/>
                <w:b/>
                <w:bCs/>
                <w:sz w:val="22"/>
                <w:szCs w:val="22"/>
              </w:rPr>
            </w:pPr>
          </w:p>
          <w:p w:rsidR="0053705B" w:rsidRPr="00F74339" w:rsidRDefault="0053705B" w:rsidP="00616FB7">
            <w:pPr>
              <w:rPr>
                <w:rFonts w:ascii="Arial" w:hAnsi="Arial" w:cs="Arial"/>
                <w:b/>
                <w:bCs/>
                <w:sz w:val="22"/>
              </w:rPr>
            </w:pPr>
            <w:r>
              <w:rPr>
                <w:rFonts w:ascii="Arial" w:hAnsi="Arial" w:cs="Arial"/>
                <w:b/>
                <w:bCs/>
                <w:sz w:val="22"/>
              </w:rPr>
              <w:t>Carolyn Weiner</w:t>
            </w:r>
          </w:p>
          <w:p w:rsidR="0053705B" w:rsidRPr="00F74339" w:rsidRDefault="0053705B" w:rsidP="00616FB7">
            <w:pPr>
              <w:rPr>
                <w:rFonts w:ascii="Arial" w:hAnsi="Arial" w:cs="Arial"/>
                <w:sz w:val="22"/>
              </w:rPr>
            </w:pPr>
            <w:r w:rsidRPr="00F74339">
              <w:rPr>
                <w:rFonts w:ascii="Arial" w:hAnsi="Arial" w:cs="Arial"/>
                <w:sz w:val="22"/>
              </w:rPr>
              <w:t xml:space="preserve">Manager, </w:t>
            </w:r>
            <w:r>
              <w:rPr>
                <w:rFonts w:ascii="Arial" w:hAnsi="Arial" w:cs="Arial"/>
                <w:sz w:val="22"/>
              </w:rPr>
              <w:t>Core</w:t>
            </w:r>
            <w:r w:rsidRPr="00F74339">
              <w:rPr>
                <w:rFonts w:ascii="Arial" w:hAnsi="Arial" w:cs="Arial"/>
                <w:sz w:val="22"/>
              </w:rPr>
              <w:t xml:space="preserve"> Products </w:t>
            </w:r>
          </w:p>
          <w:p w:rsidR="0053705B" w:rsidRPr="00F74339" w:rsidRDefault="0053705B" w:rsidP="00616FB7">
            <w:pPr>
              <w:rPr>
                <w:rFonts w:ascii="Arial" w:hAnsi="Arial" w:cs="Arial"/>
                <w:b/>
                <w:bCs/>
                <w:sz w:val="22"/>
              </w:rPr>
            </w:pPr>
          </w:p>
          <w:p w:rsidR="0053705B" w:rsidRPr="00F74339" w:rsidRDefault="0053705B" w:rsidP="00616FB7">
            <w:pPr>
              <w:rPr>
                <w:rFonts w:ascii="Arial" w:eastAsiaTheme="minorHAnsi" w:hAnsi="Arial" w:cs="Arial"/>
                <w:sz w:val="22"/>
                <w:szCs w:val="22"/>
              </w:rPr>
            </w:pPr>
          </w:p>
        </w:tc>
      </w:tr>
    </w:tbl>
    <w:p w:rsidR="0053705B" w:rsidRDefault="0053705B" w:rsidP="00F74339">
      <w:pPr>
        <w:rPr>
          <w:rFonts w:ascii="Arial" w:hAnsi="Arial" w:cs="Arial"/>
          <w:b/>
          <w:color w:val="FF0000"/>
          <w:sz w:val="20"/>
          <w:szCs w:val="20"/>
        </w:rPr>
      </w:pPr>
    </w:p>
    <w:p w:rsidR="0053705B" w:rsidRDefault="0053705B">
      <w:pPr>
        <w:spacing w:after="200" w:line="276" w:lineRule="auto"/>
        <w:rPr>
          <w:rFonts w:ascii="Arial" w:hAnsi="Arial" w:cs="Arial"/>
          <w:b/>
          <w:color w:val="FF0000"/>
          <w:sz w:val="20"/>
          <w:szCs w:val="20"/>
        </w:rPr>
      </w:pPr>
      <w:r>
        <w:rPr>
          <w:rFonts w:ascii="Arial" w:hAnsi="Arial" w:cs="Arial"/>
          <w:b/>
          <w:color w:val="FF0000"/>
          <w:sz w:val="20"/>
          <w:szCs w:val="20"/>
        </w:rPr>
        <w:br w:type="page"/>
      </w:r>
    </w:p>
    <w:p w:rsidR="0053705B" w:rsidRPr="00710710" w:rsidRDefault="0053705B" w:rsidP="0053705B">
      <w:pPr>
        <w:rPr>
          <w:rFonts w:ascii="Arial" w:hAnsi="Arial" w:cs="Arial"/>
          <w:b/>
          <w:i/>
        </w:rPr>
      </w:pPr>
      <w:r>
        <w:rPr>
          <w:rFonts w:ascii="Arial" w:hAnsi="Arial" w:cs="Arial"/>
          <w:b/>
          <w:sz w:val="22"/>
          <w:szCs w:val="22"/>
        </w:rPr>
        <w:lastRenderedPageBreak/>
        <w:t>PGECOPRO111 R0</w:t>
      </w:r>
    </w:p>
    <w:p w:rsidR="0053705B" w:rsidRDefault="0053705B" w:rsidP="0053705B">
      <w:pPr>
        <w:rPr>
          <w:rFonts w:ascii="Arial" w:hAnsi="Arial" w:cs="Arial"/>
          <w:sz w:val="22"/>
          <w:szCs w:val="22"/>
        </w:rPr>
      </w:pPr>
    </w:p>
    <w:p w:rsidR="0053705B" w:rsidRDefault="0053705B" w:rsidP="0053705B">
      <w:pPr>
        <w:rPr>
          <w:rFonts w:ascii="Arial" w:hAnsi="Arial" w:cs="Arial"/>
          <w:sz w:val="22"/>
          <w:szCs w:val="22"/>
        </w:rPr>
      </w:pPr>
      <w:r>
        <w:rPr>
          <w:rFonts w:ascii="Arial" w:hAnsi="Arial" w:cs="Arial"/>
          <w:sz w:val="22"/>
          <w:szCs w:val="22"/>
        </w:rPr>
        <w:t xml:space="preserve">PG&amp;E will use SCE’s </w:t>
      </w:r>
      <w:proofErr w:type="spellStart"/>
      <w:r>
        <w:rPr>
          <w:rFonts w:ascii="Arial" w:hAnsi="Arial" w:cs="Arial"/>
          <w:sz w:val="22"/>
          <w:szCs w:val="22"/>
        </w:rPr>
        <w:t>workpaper</w:t>
      </w:r>
      <w:proofErr w:type="spellEnd"/>
      <w:r>
        <w:rPr>
          <w:rFonts w:ascii="Arial" w:hAnsi="Arial" w:cs="Arial"/>
          <w:sz w:val="22"/>
          <w:szCs w:val="22"/>
        </w:rPr>
        <w:t xml:space="preserve"> for these measures. PG&amp;E’s measure codes are defined as follows:</w:t>
      </w:r>
    </w:p>
    <w:p w:rsidR="0053705B" w:rsidRDefault="0053705B" w:rsidP="0053705B">
      <w:pPr>
        <w:rPr>
          <w:rFonts w:ascii="Arial" w:hAnsi="Arial" w:cs="Arial"/>
          <w:sz w:val="22"/>
          <w:szCs w:val="22"/>
        </w:rPr>
      </w:pPr>
    </w:p>
    <w:tbl>
      <w:tblPr>
        <w:tblStyle w:val="TableGrid"/>
        <w:tblW w:w="0" w:type="auto"/>
        <w:tblLook w:val="04A0" w:firstRow="1" w:lastRow="0" w:firstColumn="1" w:lastColumn="0" w:noHBand="0" w:noVBand="1"/>
      </w:tblPr>
      <w:tblGrid>
        <w:gridCol w:w="3192"/>
        <w:gridCol w:w="3192"/>
      </w:tblGrid>
      <w:tr w:rsidR="0053705B" w:rsidTr="00616FB7">
        <w:tc>
          <w:tcPr>
            <w:tcW w:w="3192" w:type="dxa"/>
            <w:shd w:val="clear" w:color="auto" w:fill="BFBFBF" w:themeFill="background1" w:themeFillShade="BF"/>
          </w:tcPr>
          <w:p w:rsidR="0053705B" w:rsidRDefault="0053705B" w:rsidP="00616FB7">
            <w:pPr>
              <w:rPr>
                <w:rFonts w:ascii="Arial" w:hAnsi="Arial" w:cs="Arial"/>
                <w:sz w:val="22"/>
                <w:szCs w:val="22"/>
              </w:rPr>
            </w:pPr>
            <w:r>
              <w:rPr>
                <w:rFonts w:ascii="Arial" w:hAnsi="Arial" w:cs="Arial"/>
                <w:sz w:val="22"/>
                <w:szCs w:val="22"/>
              </w:rPr>
              <w:t>Measure Code</w:t>
            </w:r>
          </w:p>
        </w:tc>
        <w:tc>
          <w:tcPr>
            <w:tcW w:w="3192" w:type="dxa"/>
            <w:shd w:val="clear" w:color="auto" w:fill="BFBFBF" w:themeFill="background1" w:themeFillShade="BF"/>
          </w:tcPr>
          <w:p w:rsidR="0053705B" w:rsidRDefault="0053705B" w:rsidP="00616FB7">
            <w:pPr>
              <w:rPr>
                <w:rFonts w:ascii="Arial" w:hAnsi="Arial" w:cs="Arial"/>
                <w:sz w:val="22"/>
                <w:szCs w:val="22"/>
              </w:rPr>
            </w:pPr>
            <w:r>
              <w:rPr>
                <w:rFonts w:ascii="Arial" w:hAnsi="Arial" w:cs="Arial"/>
                <w:sz w:val="22"/>
                <w:szCs w:val="22"/>
              </w:rPr>
              <w:t>Measure Description</w:t>
            </w:r>
          </w:p>
        </w:tc>
      </w:tr>
      <w:tr w:rsidR="0053705B" w:rsidTr="00616FB7">
        <w:tc>
          <w:tcPr>
            <w:tcW w:w="3192" w:type="dxa"/>
          </w:tcPr>
          <w:p w:rsidR="0053705B" w:rsidRDefault="0053705B" w:rsidP="00616FB7">
            <w:pPr>
              <w:rPr>
                <w:rFonts w:ascii="Arial" w:hAnsi="Arial" w:cs="Arial"/>
                <w:sz w:val="22"/>
                <w:szCs w:val="22"/>
              </w:rPr>
            </w:pPr>
            <w:r>
              <w:rPr>
                <w:rFonts w:ascii="Arial" w:hAnsi="Arial" w:cs="Arial"/>
                <w:sz w:val="22"/>
                <w:szCs w:val="22"/>
              </w:rPr>
              <w:t>PR002</w:t>
            </w:r>
          </w:p>
        </w:tc>
        <w:tc>
          <w:tcPr>
            <w:tcW w:w="3192" w:type="dxa"/>
          </w:tcPr>
          <w:p w:rsidR="0053705B" w:rsidRPr="00801BB9" w:rsidRDefault="0053705B" w:rsidP="00616FB7">
            <w:pPr>
              <w:rPr>
                <w:rFonts w:ascii="Arial" w:hAnsi="Arial" w:cs="Arial"/>
                <w:sz w:val="20"/>
                <w:szCs w:val="20"/>
              </w:rPr>
            </w:pPr>
            <w:r w:rsidRPr="00F74339">
              <w:rPr>
                <w:rFonts w:ascii="Arial" w:hAnsi="Arial" w:cs="Arial"/>
                <w:sz w:val="20"/>
                <w:szCs w:val="20"/>
              </w:rPr>
              <w:t>VARIABLE SPEED DRIVE ON PROCESS FAN CONTROL</w:t>
            </w:r>
          </w:p>
        </w:tc>
      </w:tr>
    </w:tbl>
    <w:p w:rsidR="0053705B" w:rsidRDefault="0053705B" w:rsidP="0053705B">
      <w:pPr>
        <w:spacing w:after="200" w:line="276" w:lineRule="auto"/>
        <w:rPr>
          <w:rFonts w:ascii="Arial" w:hAnsi="Arial" w:cs="Arial"/>
          <w:sz w:val="22"/>
          <w:szCs w:val="22"/>
        </w:rPr>
      </w:pPr>
    </w:p>
    <w:p w:rsidR="0053705B" w:rsidRPr="00F74339" w:rsidRDefault="0053705B" w:rsidP="0053705B">
      <w:pPr>
        <w:spacing w:after="200" w:line="276" w:lineRule="auto"/>
        <w:rPr>
          <w:rFonts w:ascii="Arial" w:hAnsi="Arial" w:cs="Arial"/>
          <w:b/>
          <w:color w:val="FF0000"/>
          <w:sz w:val="20"/>
          <w:szCs w:val="20"/>
        </w:rPr>
        <w:sectPr w:rsidR="0053705B" w:rsidRPr="00F74339" w:rsidSect="00EF5EF5">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pgMar w:top="1440" w:right="1440" w:bottom="1440" w:left="1440" w:header="720" w:footer="720" w:gutter="0"/>
          <w:pgNumType w:fmt="lowerRoman"/>
          <w:cols w:space="720"/>
          <w:docGrid w:linePitch="360"/>
        </w:sectPr>
      </w:pPr>
      <w:r>
        <w:rPr>
          <w:rFonts w:ascii="Arial" w:hAnsi="Arial" w:cs="Arial"/>
          <w:sz w:val="22"/>
          <w:szCs w:val="22"/>
        </w:rPr>
        <w:t xml:space="preserve">PG&amp;E will use </w:t>
      </w:r>
      <w:proofErr w:type="gramStart"/>
      <w:r>
        <w:rPr>
          <w:rFonts w:ascii="Arial" w:hAnsi="Arial" w:cs="Arial"/>
          <w:sz w:val="22"/>
          <w:szCs w:val="22"/>
        </w:rPr>
        <w:t>an</w:t>
      </w:r>
      <w:proofErr w:type="gramEnd"/>
      <w:r>
        <w:rPr>
          <w:rFonts w:ascii="Arial" w:hAnsi="Arial" w:cs="Arial"/>
          <w:sz w:val="22"/>
          <w:szCs w:val="22"/>
        </w:rPr>
        <w:t xml:space="preserve"> EUL of 5 years for the VSD, which is equal to the RUL of the existing motor (EUL ID: Motors-fan, HVAC fan motors).</w:t>
      </w:r>
      <w:r>
        <w:rPr>
          <w:rFonts w:asciiTheme="minorHAnsi" w:hAnsiTheme="minorHAnsi" w:cstheme="minorHAnsi"/>
          <w:b/>
          <w:sz w:val="48"/>
          <w:szCs w:val="48"/>
        </w:rPr>
        <w:br w:type="page"/>
      </w:r>
    </w:p>
    <w:bookmarkEnd w:id="0"/>
    <w:p w:rsidR="00F233C5" w:rsidRPr="00697868" w:rsidRDefault="00F233C5" w:rsidP="00F233C5">
      <w:pPr>
        <w:jc w:val="right"/>
        <w:rPr>
          <w:rFonts w:asciiTheme="minorHAnsi" w:hAnsiTheme="minorHAnsi" w:cstheme="minorHAnsi"/>
          <w:b/>
          <w:sz w:val="48"/>
          <w:szCs w:val="48"/>
        </w:rPr>
      </w:pPr>
      <w:r w:rsidRPr="00697868">
        <w:rPr>
          <w:rFonts w:asciiTheme="minorHAnsi" w:hAnsiTheme="minorHAnsi" w:cstheme="minorHAnsi"/>
          <w:b/>
          <w:sz w:val="48"/>
          <w:szCs w:val="48"/>
        </w:rPr>
        <w:lastRenderedPageBreak/>
        <w:t>Work Paper SCE1</w:t>
      </w:r>
      <w:r>
        <w:rPr>
          <w:rFonts w:asciiTheme="minorHAnsi" w:hAnsiTheme="minorHAnsi" w:cstheme="minorHAnsi"/>
          <w:b/>
          <w:sz w:val="48"/>
          <w:szCs w:val="48"/>
        </w:rPr>
        <w:t>3PR008</w:t>
      </w:r>
    </w:p>
    <w:p w:rsidR="00F233C5" w:rsidRPr="00697868" w:rsidRDefault="00F233C5" w:rsidP="00F233C5">
      <w:pPr>
        <w:jc w:val="right"/>
        <w:rPr>
          <w:rFonts w:asciiTheme="minorHAnsi" w:hAnsiTheme="minorHAnsi" w:cstheme="minorHAnsi"/>
          <w:b/>
          <w:sz w:val="48"/>
          <w:szCs w:val="48"/>
        </w:rPr>
      </w:pPr>
      <w:bookmarkStart w:id="6" w:name="_Toc153189647"/>
      <w:r w:rsidRPr="00697868">
        <w:rPr>
          <w:rFonts w:asciiTheme="minorHAnsi" w:hAnsiTheme="minorHAnsi" w:cstheme="minorHAnsi"/>
          <w:b/>
          <w:sz w:val="48"/>
          <w:szCs w:val="48"/>
        </w:rPr>
        <w:t>Revision</w:t>
      </w:r>
      <w:bookmarkEnd w:id="6"/>
      <w:r w:rsidRPr="00697868">
        <w:rPr>
          <w:rFonts w:asciiTheme="minorHAnsi" w:hAnsiTheme="minorHAnsi" w:cstheme="minorHAnsi"/>
          <w:b/>
          <w:sz w:val="48"/>
          <w:szCs w:val="48"/>
        </w:rPr>
        <w:t xml:space="preserve"> </w:t>
      </w:r>
      <w:r>
        <w:rPr>
          <w:rFonts w:asciiTheme="minorHAnsi" w:hAnsiTheme="minorHAnsi" w:cstheme="minorHAnsi"/>
          <w:b/>
          <w:sz w:val="48"/>
          <w:szCs w:val="48"/>
        </w:rPr>
        <w:t>1</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pBdr>
          <w:bottom w:val="single" w:sz="4" w:space="1" w:color="auto"/>
        </w:pBdr>
        <w:rPr>
          <w:rFonts w:asciiTheme="minorHAnsi" w:hAnsiTheme="minorHAnsi" w:cstheme="minorHAnsi"/>
          <w:b/>
          <w:sz w:val="36"/>
          <w:szCs w:val="36"/>
        </w:rPr>
      </w:pPr>
      <w:r w:rsidRPr="00697868">
        <w:rPr>
          <w:rFonts w:asciiTheme="minorHAnsi" w:hAnsiTheme="minorHAnsi" w:cstheme="minorHAnsi"/>
          <w:b/>
          <w:sz w:val="36"/>
          <w:szCs w:val="36"/>
        </w:rPr>
        <w:t>Southern California Edison Company</w:t>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9D0753" w:rsidP="009D0753">
      <w:pPr>
        <w:tabs>
          <w:tab w:val="left" w:pos="8190"/>
        </w:tabs>
        <w:rPr>
          <w:rFonts w:asciiTheme="minorHAnsi" w:hAnsiTheme="minorHAnsi" w:cstheme="minorHAnsi"/>
        </w:rPr>
      </w:pPr>
      <w:r w:rsidRPr="00697868">
        <w:rPr>
          <w:rFonts w:asciiTheme="minorHAnsi" w:hAnsiTheme="minorHAnsi" w:cstheme="minorHAnsi"/>
        </w:rPr>
        <w:tab/>
      </w: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DA690B" w:rsidP="00DA690B">
      <w:pPr>
        <w:rPr>
          <w:rFonts w:asciiTheme="minorHAnsi" w:hAnsiTheme="minorHAnsi" w:cstheme="minorHAnsi"/>
        </w:rPr>
      </w:pPr>
    </w:p>
    <w:p w:rsidR="00DA690B" w:rsidRPr="00697868" w:rsidRDefault="00A02CA5" w:rsidP="00DA690B">
      <w:pPr>
        <w:rPr>
          <w:rFonts w:asciiTheme="minorHAnsi" w:hAnsiTheme="minorHAnsi" w:cstheme="minorHAnsi"/>
          <w:b/>
          <w:sz w:val="72"/>
          <w:szCs w:val="72"/>
        </w:rPr>
      </w:pPr>
      <w:r>
        <w:rPr>
          <w:rFonts w:asciiTheme="minorHAnsi" w:hAnsiTheme="minorHAnsi" w:cstheme="minorHAnsi"/>
          <w:b/>
          <w:sz w:val="72"/>
          <w:szCs w:val="72"/>
        </w:rPr>
        <w:t>Process Fan VSD</w:t>
      </w:r>
    </w:p>
    <w:p w:rsidR="00EB34FC" w:rsidRPr="00697868" w:rsidRDefault="00EB34FC" w:rsidP="00EB34FC">
      <w:pPr>
        <w:rPr>
          <w:rFonts w:asciiTheme="minorHAnsi" w:hAnsiTheme="minorHAnsi" w:cstheme="minorHAnsi"/>
          <w:sz w:val="22"/>
          <w:szCs w:val="22"/>
        </w:rPr>
      </w:pPr>
    </w:p>
    <w:p w:rsidR="00EB34FC" w:rsidRPr="00697868" w:rsidRDefault="00EB34FC" w:rsidP="00DA690B">
      <w:pPr>
        <w:rPr>
          <w:rFonts w:asciiTheme="minorHAnsi" w:hAnsiTheme="minorHAnsi" w:cstheme="minorHAnsi"/>
          <w:sz w:val="22"/>
          <w:szCs w:val="22"/>
        </w:rPr>
        <w:sectPr w:rsidR="00EB34FC" w:rsidRPr="00697868">
          <w:footerReference w:type="default" r:id="rId20"/>
          <w:pgSz w:w="12240" w:h="15840"/>
          <w:pgMar w:top="1440" w:right="1440" w:bottom="1440" w:left="1440" w:header="720" w:footer="720" w:gutter="0"/>
          <w:cols w:space="720"/>
          <w:docGrid w:linePitch="360"/>
        </w:sectPr>
      </w:pPr>
    </w:p>
    <w:p w:rsidR="00290ED8" w:rsidRPr="00697868" w:rsidRDefault="00290ED8" w:rsidP="00AC5309">
      <w:pPr>
        <w:pStyle w:val="Heading1"/>
        <w:rPr>
          <w:rFonts w:asciiTheme="minorHAnsi" w:hAnsiTheme="minorHAnsi"/>
        </w:rPr>
      </w:pPr>
      <w:bookmarkStart w:id="7" w:name="_Toc304800192"/>
      <w:bookmarkStart w:id="8" w:name="_Toc324318330"/>
      <w:bookmarkStart w:id="9" w:name="_Toc324340474"/>
      <w:bookmarkStart w:id="10" w:name="_Toc324433427"/>
      <w:r w:rsidRPr="00697868">
        <w:rPr>
          <w:rFonts w:asciiTheme="minorHAnsi" w:hAnsiTheme="minorHAnsi"/>
        </w:rPr>
        <w:lastRenderedPageBreak/>
        <w:t>At-a-Glance Summary</w:t>
      </w:r>
      <w:bookmarkEnd w:id="7"/>
      <w:bookmarkEnd w:id="8"/>
      <w:bookmarkEnd w:id="9"/>
      <w:bookmarkEnd w:id="10"/>
    </w:p>
    <w:tbl>
      <w:tblPr>
        <w:tblStyle w:val="TableContemporary"/>
        <w:tblW w:w="9648" w:type="dxa"/>
        <w:tblLook w:val="01E0" w:firstRow="1" w:lastRow="1" w:firstColumn="1" w:lastColumn="1" w:noHBand="0" w:noVBand="0"/>
      </w:tblPr>
      <w:tblGrid>
        <w:gridCol w:w="3618"/>
        <w:gridCol w:w="6030"/>
      </w:tblGrid>
      <w:tr w:rsidR="00AC5309" w:rsidRPr="00697868"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rsidR="00AC5309" w:rsidRPr="00697868" w:rsidRDefault="00AC5309" w:rsidP="009824E9">
            <w:pPr>
              <w:rPr>
                <w:rStyle w:val="Strong"/>
                <w:rFonts w:asciiTheme="minorHAnsi" w:hAnsiTheme="minorHAnsi"/>
                <w:b/>
              </w:rPr>
            </w:pPr>
            <w:r w:rsidRPr="00697868">
              <w:rPr>
                <w:rStyle w:val="Strong"/>
                <w:rFonts w:asciiTheme="minorHAnsi" w:hAnsiTheme="minorHAnsi"/>
                <w:b/>
              </w:rPr>
              <w:t>Applicable Measure Codes:</w:t>
            </w:r>
          </w:p>
        </w:tc>
        <w:tc>
          <w:tcPr>
            <w:tcW w:w="6030" w:type="dxa"/>
          </w:tcPr>
          <w:p w:rsidR="00AC5309" w:rsidRPr="00697868" w:rsidRDefault="003B4DD3" w:rsidP="00A02CA5">
            <w:pPr>
              <w:rPr>
                <w:rFonts w:asciiTheme="minorHAnsi" w:hAnsiTheme="minorHAnsi" w:cs="Arial"/>
                <w:b w:val="0"/>
                <w:bCs w:val="0"/>
                <w:sz w:val="20"/>
                <w:szCs w:val="20"/>
              </w:rPr>
            </w:pPr>
            <w:r>
              <w:rPr>
                <w:rFonts w:asciiTheme="minorHAnsi" w:hAnsiTheme="minorHAnsi" w:cs="Arial"/>
                <w:i/>
                <w:sz w:val="20"/>
                <w:szCs w:val="20"/>
              </w:rPr>
              <w:t>PR-</w:t>
            </w:r>
            <w:r w:rsidR="00A02CA5">
              <w:rPr>
                <w:rFonts w:asciiTheme="minorHAnsi" w:hAnsiTheme="minorHAnsi" w:cs="Arial"/>
                <w:i/>
                <w:sz w:val="20"/>
                <w:szCs w:val="20"/>
              </w:rPr>
              <w:t>90127</w:t>
            </w:r>
          </w:p>
        </w:tc>
      </w:tr>
      <w:tr w:rsidR="00AC5309"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Description: </w:t>
            </w:r>
          </w:p>
        </w:tc>
        <w:tc>
          <w:tcPr>
            <w:tcW w:w="6030" w:type="dxa"/>
          </w:tcPr>
          <w:p w:rsidR="00290ED8" w:rsidRPr="00697868" w:rsidRDefault="00740AD2" w:rsidP="00740AD2">
            <w:pPr>
              <w:rPr>
                <w:rFonts w:asciiTheme="minorHAnsi" w:hAnsiTheme="minorHAnsi" w:cs="Arial"/>
                <w:sz w:val="20"/>
                <w:szCs w:val="20"/>
              </w:rPr>
            </w:pPr>
            <w:r>
              <w:rPr>
                <w:rFonts w:asciiTheme="minorHAnsi" w:hAnsiTheme="minorHAnsi" w:cs="Arial"/>
                <w:sz w:val="20"/>
                <w:szCs w:val="20"/>
              </w:rPr>
              <w:t>Add a variable frequency drive to</w:t>
            </w:r>
            <w:r w:rsidR="00C9543E">
              <w:rPr>
                <w:rFonts w:asciiTheme="minorHAnsi" w:hAnsiTheme="minorHAnsi" w:cs="Arial"/>
                <w:sz w:val="20"/>
                <w:szCs w:val="20"/>
              </w:rPr>
              <w:t xml:space="preserve"> an existing </w:t>
            </w:r>
            <w:r w:rsidR="00A02CA5">
              <w:rPr>
                <w:rFonts w:asciiTheme="minorHAnsi" w:hAnsiTheme="minorHAnsi" w:cs="Arial"/>
                <w:sz w:val="20"/>
                <w:szCs w:val="20"/>
              </w:rPr>
              <w:t>process fan (75 hp or less)</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Base Case Description:</w:t>
            </w:r>
          </w:p>
        </w:tc>
        <w:tc>
          <w:tcPr>
            <w:tcW w:w="6030" w:type="dxa"/>
          </w:tcPr>
          <w:p w:rsidR="00290ED8" w:rsidRPr="00697868" w:rsidRDefault="00A02CA5" w:rsidP="009824E9">
            <w:pPr>
              <w:rPr>
                <w:rFonts w:asciiTheme="minorHAnsi" w:hAnsiTheme="minorHAnsi" w:cs="Arial"/>
                <w:sz w:val="20"/>
                <w:szCs w:val="20"/>
              </w:rPr>
            </w:pPr>
            <w:r>
              <w:rPr>
                <w:rFonts w:asciiTheme="minorHAnsi" w:hAnsiTheme="minorHAnsi" w:cs="Arial"/>
                <w:sz w:val="20"/>
                <w:szCs w:val="20"/>
              </w:rPr>
              <w:t>Non-HVAC and non-refrigeration fan used for exhaust, ventilation, pressurization, or other process</w:t>
            </w:r>
          </w:p>
        </w:tc>
      </w:tr>
      <w:tr w:rsidR="00D36798" w:rsidRPr="00697868"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D36798" w:rsidRPr="00697868" w:rsidRDefault="00D36798" w:rsidP="0011394F">
            <w:pPr>
              <w:rPr>
                <w:rStyle w:val="Strong"/>
                <w:rFonts w:asciiTheme="minorHAnsi" w:hAnsiTheme="minorHAnsi"/>
              </w:rPr>
            </w:pPr>
            <w:r w:rsidRPr="00697868">
              <w:rPr>
                <w:rStyle w:val="Strong"/>
                <w:rFonts w:asciiTheme="minorHAnsi" w:hAnsiTheme="minorHAnsi"/>
              </w:rPr>
              <w:t xml:space="preserve">Energy Impact Common Units: </w:t>
            </w:r>
          </w:p>
        </w:tc>
        <w:tc>
          <w:tcPr>
            <w:tcW w:w="6030" w:type="dxa"/>
          </w:tcPr>
          <w:p w:rsidR="00D36798" w:rsidRPr="00697868" w:rsidRDefault="00C9543E" w:rsidP="0011394F">
            <w:pPr>
              <w:rPr>
                <w:rFonts w:asciiTheme="minorHAnsi" w:hAnsiTheme="minorHAnsi" w:cs="Arial"/>
                <w:sz w:val="20"/>
                <w:szCs w:val="20"/>
              </w:rPr>
            </w:pPr>
            <w:r>
              <w:rPr>
                <w:rFonts w:asciiTheme="minorHAnsi" w:hAnsiTheme="minorHAnsi" w:cs="Arial"/>
                <w:sz w:val="20"/>
                <w:szCs w:val="20"/>
              </w:rPr>
              <w:t>Horsepower (hp)</w:t>
            </w:r>
            <w:r w:rsidR="00D36798" w:rsidRPr="00697868">
              <w:rPr>
                <w:rFonts w:asciiTheme="minorHAnsi" w:hAnsiTheme="minorHAnsi" w:cs="Arial"/>
                <w:sz w:val="20"/>
                <w:szCs w:val="20"/>
              </w:rPr>
              <w:t xml:space="preserve"> </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D36798" w:rsidRDefault="00290ED8" w:rsidP="009824E9">
            <w:pPr>
              <w:rPr>
                <w:rStyle w:val="Strong1"/>
                <w:rFonts w:asciiTheme="minorHAnsi" w:hAnsiTheme="minorHAnsi"/>
                <w:sz w:val="22"/>
              </w:rPr>
            </w:pPr>
            <w:r w:rsidRPr="00697868">
              <w:rPr>
                <w:rStyle w:val="Strong"/>
                <w:rFonts w:asciiTheme="minorHAnsi" w:hAnsiTheme="minorHAnsi"/>
              </w:rPr>
              <w:t>Energy Savings :</w:t>
            </w:r>
          </w:p>
        </w:tc>
        <w:tc>
          <w:tcPr>
            <w:tcW w:w="6030" w:type="dxa"/>
          </w:tcPr>
          <w:p w:rsidR="00290ED8" w:rsidRPr="00697868" w:rsidRDefault="00D36798" w:rsidP="00AC530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Gross Measure Cost ($/unit)</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Measure Incremental Cost ($/unit): </w:t>
            </w:r>
          </w:p>
        </w:tc>
        <w:tc>
          <w:tcPr>
            <w:tcW w:w="6030" w:type="dxa"/>
          </w:tcPr>
          <w:p w:rsidR="00290ED8" w:rsidRPr="00697868" w:rsidRDefault="00D36798" w:rsidP="009824E9">
            <w:pPr>
              <w:rPr>
                <w:rFonts w:asciiTheme="minorHAnsi" w:hAnsiTheme="minorHAnsi" w:cs="Arial"/>
                <w:sz w:val="20"/>
                <w:szCs w:val="20"/>
              </w:rPr>
            </w:pPr>
            <w:r>
              <w:rPr>
                <w:rFonts w:asciiTheme="minorHAnsi" w:hAnsiTheme="minorHAnsi" w:cs="Arial"/>
                <w:sz w:val="20"/>
                <w:szCs w:val="20"/>
              </w:rPr>
              <w:t>Refer to Excel Calculation Attachment</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Effective Useful Life (years): </w:t>
            </w:r>
          </w:p>
        </w:tc>
        <w:tc>
          <w:tcPr>
            <w:tcW w:w="6030" w:type="dxa"/>
          </w:tcPr>
          <w:p w:rsidR="00290ED8" w:rsidRPr="00697868" w:rsidRDefault="00740AD2" w:rsidP="00AC5309">
            <w:pPr>
              <w:rPr>
                <w:rFonts w:asciiTheme="minorHAnsi" w:hAnsiTheme="minorHAnsi" w:cs="Arial"/>
                <w:sz w:val="20"/>
                <w:szCs w:val="20"/>
              </w:rPr>
            </w:pPr>
            <w:r>
              <w:rPr>
                <w:rFonts w:asciiTheme="minorHAnsi" w:hAnsiTheme="minorHAnsi" w:cs="Arial"/>
                <w:sz w:val="20"/>
                <w:szCs w:val="20"/>
              </w:rPr>
              <w:t>13</w:t>
            </w:r>
            <w:r w:rsidR="00C9543E">
              <w:rPr>
                <w:rFonts w:asciiTheme="minorHAnsi" w:hAnsiTheme="minorHAnsi" w:cs="Arial"/>
                <w:sz w:val="20"/>
                <w:szCs w:val="20"/>
              </w:rPr>
              <w:t xml:space="preserve"> years</w:t>
            </w:r>
            <w:r w:rsidR="003D54F3">
              <w:rPr>
                <w:rFonts w:asciiTheme="minorHAnsi" w:hAnsiTheme="minorHAnsi" w:cs="Arial"/>
                <w:sz w:val="20"/>
                <w:szCs w:val="20"/>
              </w:rPr>
              <w:t xml:space="preserve">, per </w:t>
            </w:r>
            <w:r w:rsidR="003D54F3" w:rsidRPr="00FB2026">
              <w:rPr>
                <w:rFonts w:ascii="Calibri" w:hAnsi="Calibri"/>
                <w:color w:val="000000"/>
                <w:sz w:val="22"/>
                <w:szCs w:val="22"/>
              </w:rPr>
              <w:t>UI and CL&amp;P Program Savings Documentation</w:t>
            </w:r>
          </w:p>
        </w:tc>
      </w:tr>
      <w:tr w:rsidR="00AC5309"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Measure Application Type:</w:t>
            </w:r>
          </w:p>
        </w:tc>
        <w:tc>
          <w:tcPr>
            <w:tcW w:w="6030" w:type="dxa"/>
          </w:tcPr>
          <w:p w:rsidR="00290ED8" w:rsidRPr="00697868" w:rsidRDefault="00C9543E" w:rsidP="009824E9">
            <w:pPr>
              <w:rPr>
                <w:rFonts w:asciiTheme="minorHAnsi" w:hAnsiTheme="minorHAnsi" w:cs="Arial"/>
                <w:sz w:val="20"/>
                <w:szCs w:val="20"/>
              </w:rPr>
            </w:pPr>
            <w:r>
              <w:rPr>
                <w:rFonts w:asciiTheme="minorHAnsi" w:hAnsiTheme="minorHAnsi" w:cs="Arial"/>
                <w:sz w:val="20"/>
                <w:szCs w:val="20"/>
              </w:rPr>
              <w:t>Retrofit Add-on (REA)</w:t>
            </w:r>
            <w:r w:rsidR="00290ED8" w:rsidRPr="00697868">
              <w:rPr>
                <w:rFonts w:asciiTheme="minorHAnsi" w:hAnsiTheme="minorHAnsi" w:cs="Arial"/>
                <w:sz w:val="20"/>
                <w:szCs w:val="20"/>
              </w:rPr>
              <w:t xml:space="preserve"> </w:t>
            </w:r>
          </w:p>
        </w:tc>
      </w:tr>
      <w:tr w:rsidR="00290ED8" w:rsidRPr="00697868"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 xml:space="preserve">Net-to-Gross Ratios: </w:t>
            </w:r>
          </w:p>
        </w:tc>
        <w:tc>
          <w:tcPr>
            <w:tcW w:w="6030" w:type="dxa"/>
          </w:tcPr>
          <w:p w:rsidR="00290ED8" w:rsidRPr="00697868" w:rsidRDefault="003C6B36" w:rsidP="003C6B36">
            <w:pPr>
              <w:rPr>
                <w:rFonts w:asciiTheme="minorHAnsi" w:hAnsiTheme="minorHAnsi" w:cs="Arial"/>
                <w:sz w:val="20"/>
                <w:szCs w:val="20"/>
              </w:rPr>
            </w:pPr>
            <w:r>
              <w:rPr>
                <w:rFonts w:asciiTheme="minorHAnsi" w:hAnsiTheme="minorHAnsi" w:cs="Arial"/>
                <w:sz w:val="20"/>
                <w:szCs w:val="20"/>
              </w:rPr>
              <w:t>0.6</w:t>
            </w:r>
          </w:p>
        </w:tc>
      </w:tr>
      <w:tr w:rsidR="00290ED8" w:rsidRPr="00697868"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rsidR="00290ED8" w:rsidRPr="00697868" w:rsidRDefault="00290ED8" w:rsidP="009824E9">
            <w:pPr>
              <w:rPr>
                <w:rStyle w:val="Strong"/>
                <w:rFonts w:asciiTheme="minorHAnsi" w:hAnsiTheme="minorHAnsi"/>
              </w:rPr>
            </w:pPr>
            <w:r w:rsidRPr="00697868">
              <w:rPr>
                <w:rStyle w:val="Strong"/>
                <w:rFonts w:asciiTheme="minorHAnsi" w:hAnsiTheme="minorHAnsi"/>
              </w:rPr>
              <w:t>Important Comments:</w:t>
            </w:r>
          </w:p>
        </w:tc>
        <w:tc>
          <w:tcPr>
            <w:tcW w:w="6030" w:type="dxa"/>
          </w:tcPr>
          <w:p w:rsidR="00290ED8" w:rsidRPr="00697868" w:rsidRDefault="00CF5119" w:rsidP="009824E9">
            <w:pPr>
              <w:rPr>
                <w:rFonts w:asciiTheme="minorHAnsi" w:hAnsiTheme="minorHAnsi" w:cs="Arial"/>
                <w:sz w:val="20"/>
                <w:szCs w:val="20"/>
              </w:rPr>
            </w:pPr>
            <w:r w:rsidRPr="00B94226">
              <w:rPr>
                <w:rFonts w:asciiTheme="minorHAnsi" w:hAnsiTheme="minorHAnsi" w:cs="Arial"/>
                <w:b/>
                <w:sz w:val="20"/>
                <w:szCs w:val="20"/>
              </w:rPr>
              <w:t>This work paper document does not contain a data set in conformance with the 4/1/14 CPUC Ex Ante Database Specification; SCE will provide that data set separately.</w:t>
            </w:r>
          </w:p>
        </w:tc>
      </w:tr>
    </w:tbl>
    <w:p w:rsidR="00AC5309" w:rsidRPr="00697868" w:rsidRDefault="00AC5309">
      <w:pPr>
        <w:spacing w:after="200" w:line="276" w:lineRule="auto"/>
        <w:rPr>
          <w:rFonts w:asciiTheme="minorHAnsi" w:hAnsiTheme="minorHAnsi" w:cstheme="minorHAnsi"/>
          <w:b/>
          <w:bCs/>
          <w:smallCaps/>
          <w:kern w:val="32"/>
          <w:sz w:val="36"/>
          <w:szCs w:val="32"/>
        </w:rPr>
      </w:pPr>
    </w:p>
    <w:p w:rsidR="00AC5309" w:rsidRPr="00697868" w:rsidRDefault="00AC5309">
      <w:pPr>
        <w:spacing w:after="200" w:line="276" w:lineRule="auto"/>
        <w:rPr>
          <w:rFonts w:asciiTheme="minorHAnsi" w:hAnsiTheme="minorHAnsi" w:cstheme="minorHAnsi"/>
          <w:b/>
          <w:bCs/>
          <w:smallCaps/>
          <w:kern w:val="32"/>
          <w:sz w:val="36"/>
          <w:szCs w:val="32"/>
        </w:rPr>
      </w:pPr>
      <w:r w:rsidRPr="00697868">
        <w:rPr>
          <w:rFonts w:asciiTheme="minorHAnsi" w:hAnsiTheme="minorHAnsi" w:cstheme="minorHAnsi"/>
          <w:b/>
          <w:bCs/>
          <w:smallCaps/>
          <w:kern w:val="32"/>
          <w:sz w:val="36"/>
          <w:szCs w:val="32"/>
        </w:rPr>
        <w:br w:type="page"/>
      </w:r>
    </w:p>
    <w:p w:rsidR="00EB34FC" w:rsidRPr="00697868" w:rsidRDefault="00EB34FC" w:rsidP="00AC5309">
      <w:pPr>
        <w:pStyle w:val="Heading1"/>
        <w:rPr>
          <w:rFonts w:asciiTheme="minorHAnsi" w:hAnsiTheme="minorHAnsi"/>
        </w:rPr>
      </w:pPr>
      <w:r w:rsidRPr="00697868">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58"/>
        <w:gridCol w:w="990"/>
        <w:gridCol w:w="1260"/>
        <w:gridCol w:w="1800"/>
        <w:gridCol w:w="4068"/>
      </w:tblGrid>
      <w:tr w:rsidR="00413CDB" w:rsidRPr="00CE28CF"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rsidR="00CE28CF" w:rsidRPr="00CE28CF" w:rsidRDefault="00413CDB" w:rsidP="00413CDB">
            <w:pPr>
              <w:rPr>
                <w:rFonts w:asciiTheme="minorHAnsi" w:hAnsiTheme="minorHAnsi" w:cstheme="minorHAnsi"/>
                <w:b w:val="0"/>
                <w:bCs w:val="0"/>
                <w:sz w:val="20"/>
                <w:szCs w:val="20"/>
              </w:rPr>
            </w:pPr>
            <w:r>
              <w:rPr>
                <w:rFonts w:asciiTheme="minorHAnsi" w:hAnsiTheme="minorHAnsi" w:cstheme="minorHAnsi"/>
                <w:sz w:val="20"/>
                <w:szCs w:val="20"/>
              </w:rPr>
              <w:t xml:space="preserve">Workpaper and </w:t>
            </w:r>
            <w:r w:rsidR="00CE28CF" w:rsidRPr="00CE28CF">
              <w:rPr>
                <w:rFonts w:asciiTheme="minorHAnsi" w:hAnsiTheme="minorHAnsi" w:cstheme="minorHAnsi"/>
                <w:sz w:val="20"/>
                <w:szCs w:val="20"/>
              </w:rPr>
              <w:t>Revision #</w:t>
            </w:r>
          </w:p>
        </w:tc>
        <w:tc>
          <w:tcPr>
            <w:tcW w:w="517" w:type="pct"/>
          </w:tcPr>
          <w:p w:rsidR="00CE28CF" w:rsidRPr="00CE28CF" w:rsidRDefault="00CE28CF" w:rsidP="00413CDB">
            <w:pPr>
              <w:rPr>
                <w:rFonts w:asciiTheme="minorHAnsi" w:hAnsiTheme="minorHAnsi" w:cstheme="minorHAnsi"/>
                <w:sz w:val="20"/>
                <w:szCs w:val="20"/>
              </w:rPr>
            </w:pPr>
            <w:r w:rsidRPr="00CE28CF">
              <w:rPr>
                <w:rFonts w:asciiTheme="minorHAnsi" w:hAnsiTheme="minorHAnsi" w:cstheme="minorHAnsi"/>
                <w:sz w:val="20"/>
                <w:szCs w:val="20"/>
              </w:rPr>
              <w:t>Tech</w:t>
            </w:r>
            <w:r w:rsidR="00413CDB">
              <w:rPr>
                <w:rFonts w:asciiTheme="minorHAnsi" w:hAnsiTheme="minorHAnsi" w:cstheme="minorHAnsi"/>
                <w:sz w:val="20"/>
                <w:szCs w:val="20"/>
              </w:rPr>
              <w:t>.</w:t>
            </w:r>
            <w:r w:rsidRPr="00CE28CF">
              <w:rPr>
                <w:rFonts w:asciiTheme="minorHAnsi" w:hAnsiTheme="minorHAnsi" w:cstheme="minorHAnsi"/>
                <w:sz w:val="20"/>
                <w:szCs w:val="20"/>
              </w:rPr>
              <w:t xml:space="preserve"> Revision</w:t>
            </w:r>
          </w:p>
        </w:tc>
        <w:tc>
          <w:tcPr>
            <w:tcW w:w="658"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MM/DD/YY</w:t>
            </w:r>
          </w:p>
        </w:tc>
        <w:tc>
          <w:tcPr>
            <w:tcW w:w="940"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Author/Affiliation</w:t>
            </w:r>
          </w:p>
        </w:tc>
        <w:tc>
          <w:tcPr>
            <w:tcW w:w="2124" w:type="pct"/>
          </w:tcPr>
          <w:p w:rsidR="00CE28CF" w:rsidRPr="00CE28CF" w:rsidRDefault="00CE28CF" w:rsidP="007048AC">
            <w:pPr>
              <w:rPr>
                <w:rFonts w:asciiTheme="minorHAnsi" w:hAnsiTheme="minorHAnsi" w:cstheme="minorHAnsi"/>
                <w:b w:val="0"/>
                <w:bCs w:val="0"/>
                <w:sz w:val="20"/>
                <w:szCs w:val="20"/>
              </w:rPr>
            </w:pPr>
            <w:r w:rsidRPr="00CE28CF">
              <w:rPr>
                <w:rFonts w:asciiTheme="minorHAnsi" w:hAnsiTheme="minorHAnsi" w:cstheme="minorHAnsi"/>
                <w:sz w:val="20"/>
                <w:szCs w:val="20"/>
              </w:rPr>
              <w:t>Summary of Changes</w:t>
            </w:r>
          </w:p>
        </w:tc>
      </w:tr>
      <w:tr w:rsidR="00C9543E" w:rsidRPr="00697868"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rsidR="00C9543E" w:rsidRDefault="00960E44" w:rsidP="00C9543E">
            <w:pPr>
              <w:rPr>
                <w:rFonts w:asciiTheme="minorHAnsi" w:hAnsiTheme="minorHAnsi" w:cstheme="minorHAnsi"/>
                <w:sz w:val="20"/>
                <w:szCs w:val="20"/>
              </w:rPr>
            </w:pPr>
            <w:r>
              <w:rPr>
                <w:rFonts w:asciiTheme="minorHAnsi" w:hAnsiTheme="minorHAnsi" w:cstheme="minorHAnsi"/>
                <w:sz w:val="20"/>
                <w:szCs w:val="20"/>
              </w:rPr>
              <w:t>SCE13PR008</w:t>
            </w:r>
            <w:r w:rsidR="00C9543E">
              <w:rPr>
                <w:rFonts w:asciiTheme="minorHAnsi" w:hAnsiTheme="minorHAnsi" w:cstheme="minorHAnsi"/>
                <w:sz w:val="20"/>
                <w:szCs w:val="20"/>
              </w:rPr>
              <w:t>.0</w:t>
            </w:r>
          </w:p>
        </w:tc>
        <w:tc>
          <w:tcPr>
            <w:tcW w:w="517" w:type="pct"/>
          </w:tcPr>
          <w:p w:rsidR="00C9543E" w:rsidRDefault="00C9543E" w:rsidP="00E81F3E">
            <w:pPr>
              <w:jc w:val="center"/>
              <w:rPr>
                <w:rFonts w:asciiTheme="minorHAnsi" w:hAnsiTheme="minorHAnsi" w:cstheme="minorHAnsi"/>
                <w:sz w:val="20"/>
                <w:szCs w:val="20"/>
              </w:rPr>
            </w:pPr>
            <w:r>
              <w:rPr>
                <w:rFonts w:asciiTheme="minorHAnsi" w:hAnsiTheme="minorHAnsi" w:cstheme="minorHAnsi"/>
                <w:sz w:val="20"/>
                <w:szCs w:val="20"/>
              </w:rPr>
              <w:t>No</w:t>
            </w:r>
          </w:p>
        </w:tc>
        <w:tc>
          <w:tcPr>
            <w:tcW w:w="658" w:type="pct"/>
          </w:tcPr>
          <w:p w:rsidR="00C9543E" w:rsidRDefault="00C9543E" w:rsidP="00C9543E">
            <w:pPr>
              <w:jc w:val="center"/>
              <w:rPr>
                <w:rFonts w:asciiTheme="minorHAnsi" w:hAnsiTheme="minorHAnsi" w:cstheme="minorHAnsi"/>
                <w:sz w:val="20"/>
                <w:szCs w:val="20"/>
              </w:rPr>
            </w:pPr>
            <w:r>
              <w:rPr>
                <w:rFonts w:asciiTheme="minorHAnsi" w:hAnsiTheme="minorHAnsi" w:cstheme="minorHAnsi"/>
                <w:sz w:val="20"/>
                <w:szCs w:val="20"/>
              </w:rPr>
              <w:t>4/30/2012</w:t>
            </w:r>
          </w:p>
        </w:tc>
        <w:tc>
          <w:tcPr>
            <w:tcW w:w="940" w:type="pct"/>
          </w:tcPr>
          <w:p w:rsidR="00C9543E" w:rsidRDefault="00C9543E" w:rsidP="007048AC">
            <w:pPr>
              <w:rPr>
                <w:rFonts w:asciiTheme="minorHAnsi" w:hAnsiTheme="minorHAnsi" w:cstheme="minorHAnsi"/>
                <w:sz w:val="20"/>
                <w:szCs w:val="20"/>
              </w:rPr>
            </w:pPr>
            <w:r>
              <w:rPr>
                <w:rFonts w:asciiTheme="minorHAnsi" w:hAnsiTheme="minorHAnsi" w:cstheme="minorHAnsi"/>
                <w:sz w:val="20"/>
                <w:szCs w:val="20"/>
              </w:rPr>
              <w:t>Mike Casey/AESC</w:t>
            </w:r>
          </w:p>
        </w:tc>
        <w:tc>
          <w:tcPr>
            <w:tcW w:w="2124" w:type="pct"/>
          </w:tcPr>
          <w:p w:rsidR="00C9543E" w:rsidRDefault="00C9543E" w:rsidP="00C9543E">
            <w:pPr>
              <w:rPr>
                <w:rFonts w:asciiTheme="minorHAnsi" w:hAnsiTheme="minorHAnsi" w:cstheme="minorHAnsi"/>
                <w:bCs/>
                <w:sz w:val="20"/>
                <w:szCs w:val="20"/>
              </w:rPr>
            </w:pPr>
            <w:r>
              <w:rPr>
                <w:rFonts w:asciiTheme="minorHAnsi" w:hAnsiTheme="minorHAnsi" w:cstheme="minorHAnsi"/>
                <w:bCs/>
                <w:sz w:val="20"/>
                <w:szCs w:val="20"/>
              </w:rPr>
              <w:t>Original work paper for 2013-14 program cycle</w:t>
            </w:r>
          </w:p>
        </w:tc>
      </w:tr>
      <w:tr w:rsidR="00413CDB" w:rsidRPr="00697868"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rsidR="00CE28CF" w:rsidRPr="00697868" w:rsidRDefault="00FF74FD" w:rsidP="00FF74FD">
            <w:pPr>
              <w:rPr>
                <w:rFonts w:asciiTheme="minorHAnsi" w:hAnsiTheme="minorHAnsi" w:cstheme="minorHAnsi"/>
                <w:sz w:val="20"/>
                <w:szCs w:val="20"/>
              </w:rPr>
            </w:pPr>
            <w:r>
              <w:rPr>
                <w:rFonts w:asciiTheme="minorHAnsi" w:hAnsiTheme="minorHAnsi" w:cstheme="minorHAnsi"/>
                <w:sz w:val="20"/>
                <w:szCs w:val="20"/>
              </w:rPr>
              <w:t>SCE13</w:t>
            </w:r>
            <w:r w:rsidR="00960E44">
              <w:rPr>
                <w:rFonts w:asciiTheme="minorHAnsi" w:hAnsiTheme="minorHAnsi" w:cstheme="minorHAnsi"/>
                <w:sz w:val="20"/>
                <w:szCs w:val="20"/>
              </w:rPr>
              <w:t>PR008</w:t>
            </w:r>
            <w:r w:rsidR="00D36798">
              <w:rPr>
                <w:rFonts w:asciiTheme="minorHAnsi" w:hAnsiTheme="minorHAnsi" w:cstheme="minorHAnsi"/>
                <w:sz w:val="20"/>
                <w:szCs w:val="20"/>
              </w:rPr>
              <w:t>.</w:t>
            </w:r>
            <w:r>
              <w:rPr>
                <w:rFonts w:asciiTheme="minorHAnsi" w:hAnsiTheme="minorHAnsi" w:cstheme="minorHAnsi"/>
                <w:sz w:val="20"/>
                <w:szCs w:val="20"/>
              </w:rPr>
              <w:t>1</w:t>
            </w:r>
          </w:p>
        </w:tc>
        <w:tc>
          <w:tcPr>
            <w:tcW w:w="517" w:type="pct"/>
          </w:tcPr>
          <w:p w:rsidR="00CE28CF" w:rsidRPr="00697868" w:rsidRDefault="00FF74FD" w:rsidP="00E81F3E">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rsidR="00CE28CF" w:rsidRPr="00697868" w:rsidRDefault="00FF74FD" w:rsidP="00FF74FD">
            <w:pPr>
              <w:jc w:val="center"/>
              <w:rPr>
                <w:rFonts w:asciiTheme="minorHAnsi" w:hAnsiTheme="minorHAnsi" w:cstheme="minorHAnsi"/>
                <w:sz w:val="20"/>
                <w:szCs w:val="20"/>
              </w:rPr>
            </w:pPr>
            <w:r>
              <w:rPr>
                <w:rFonts w:asciiTheme="minorHAnsi" w:hAnsiTheme="minorHAnsi" w:cstheme="minorHAnsi"/>
                <w:sz w:val="20"/>
                <w:szCs w:val="20"/>
              </w:rPr>
              <w:t>4/16</w:t>
            </w:r>
            <w:r w:rsidR="00CE28CF" w:rsidRPr="00697868">
              <w:rPr>
                <w:rFonts w:asciiTheme="minorHAnsi" w:hAnsiTheme="minorHAnsi" w:cstheme="minorHAnsi"/>
                <w:sz w:val="20"/>
                <w:szCs w:val="20"/>
              </w:rPr>
              <w:t>/2014</w:t>
            </w:r>
          </w:p>
        </w:tc>
        <w:tc>
          <w:tcPr>
            <w:tcW w:w="940" w:type="pct"/>
          </w:tcPr>
          <w:p w:rsidR="00CE28CF" w:rsidRPr="00697868" w:rsidRDefault="00C9543E" w:rsidP="007048AC">
            <w:pPr>
              <w:rPr>
                <w:rFonts w:asciiTheme="minorHAnsi" w:hAnsiTheme="minorHAnsi" w:cstheme="minorHAnsi"/>
                <w:sz w:val="20"/>
                <w:szCs w:val="20"/>
              </w:rPr>
            </w:pPr>
            <w:r>
              <w:rPr>
                <w:rFonts w:asciiTheme="minorHAnsi" w:hAnsiTheme="minorHAnsi" w:cstheme="minorHAnsi"/>
                <w:sz w:val="20"/>
                <w:szCs w:val="20"/>
              </w:rPr>
              <w:t>Jason Wang</w:t>
            </w:r>
            <w:r w:rsidR="00CE28CF" w:rsidRPr="00697868">
              <w:rPr>
                <w:rFonts w:asciiTheme="minorHAnsi" w:hAnsiTheme="minorHAnsi" w:cstheme="minorHAnsi"/>
                <w:sz w:val="20"/>
                <w:szCs w:val="20"/>
              </w:rPr>
              <w:t>/SCE</w:t>
            </w:r>
          </w:p>
        </w:tc>
        <w:tc>
          <w:tcPr>
            <w:tcW w:w="2124" w:type="pct"/>
          </w:tcPr>
          <w:p w:rsidR="00827D24" w:rsidRDefault="00960E44" w:rsidP="003B4DD3">
            <w:pPr>
              <w:pStyle w:val="ListParagraph"/>
              <w:numPr>
                <w:ilvl w:val="0"/>
                <w:numId w:val="13"/>
              </w:numPr>
              <w:rPr>
                <w:rFonts w:asciiTheme="minorHAnsi" w:hAnsiTheme="minorHAnsi" w:cstheme="minorHAnsi"/>
                <w:bCs/>
                <w:sz w:val="20"/>
                <w:szCs w:val="20"/>
              </w:rPr>
            </w:pPr>
            <w:r>
              <w:rPr>
                <w:rFonts w:asciiTheme="minorHAnsi" w:hAnsiTheme="minorHAnsi" w:cstheme="minorHAnsi"/>
                <w:bCs/>
                <w:sz w:val="20"/>
                <w:szCs w:val="20"/>
              </w:rPr>
              <w:t>Updated with Title 24 (2013) requirements</w:t>
            </w:r>
          </w:p>
          <w:p w:rsidR="00546949" w:rsidRDefault="00546949" w:rsidP="003B4DD3">
            <w:pPr>
              <w:pStyle w:val="ListParagraph"/>
              <w:numPr>
                <w:ilvl w:val="0"/>
                <w:numId w:val="13"/>
              </w:numPr>
              <w:rPr>
                <w:rFonts w:asciiTheme="minorHAnsi" w:hAnsiTheme="minorHAnsi" w:cstheme="minorHAnsi"/>
                <w:bCs/>
                <w:sz w:val="20"/>
                <w:szCs w:val="20"/>
              </w:rPr>
            </w:pPr>
            <w:r>
              <w:rPr>
                <w:rFonts w:asciiTheme="minorHAnsi" w:hAnsiTheme="minorHAnsi" w:cstheme="minorHAnsi"/>
                <w:bCs/>
                <w:sz w:val="20"/>
                <w:szCs w:val="20"/>
              </w:rPr>
              <w:t>Added Agricultural building type</w:t>
            </w:r>
          </w:p>
          <w:p w:rsidR="008615BE" w:rsidRDefault="008615BE" w:rsidP="003B4DD3">
            <w:pPr>
              <w:pStyle w:val="ListParagraph"/>
              <w:numPr>
                <w:ilvl w:val="0"/>
                <w:numId w:val="13"/>
              </w:numPr>
              <w:rPr>
                <w:rFonts w:asciiTheme="minorHAnsi" w:hAnsiTheme="minorHAnsi" w:cstheme="minorHAnsi"/>
                <w:bCs/>
                <w:sz w:val="20"/>
                <w:szCs w:val="20"/>
              </w:rPr>
            </w:pPr>
            <w:r>
              <w:rPr>
                <w:rFonts w:asciiTheme="minorHAnsi" w:hAnsiTheme="minorHAnsi" w:cstheme="minorHAnsi"/>
                <w:bCs/>
                <w:sz w:val="20"/>
                <w:szCs w:val="20"/>
              </w:rPr>
              <w:t>Updated using DEER 2014 operating hours</w:t>
            </w:r>
          </w:p>
          <w:p w:rsidR="00A11AD3" w:rsidRPr="004B01F8" w:rsidRDefault="00A11AD3" w:rsidP="003B4DD3">
            <w:pPr>
              <w:pStyle w:val="ListParagraph"/>
              <w:numPr>
                <w:ilvl w:val="0"/>
                <w:numId w:val="13"/>
              </w:numPr>
              <w:rPr>
                <w:rFonts w:asciiTheme="minorHAnsi" w:hAnsiTheme="minorHAnsi" w:cstheme="minorHAnsi"/>
                <w:bCs/>
                <w:sz w:val="20"/>
                <w:szCs w:val="20"/>
              </w:rPr>
            </w:pPr>
            <w:r>
              <w:rPr>
                <w:rFonts w:asciiTheme="minorHAnsi" w:hAnsiTheme="minorHAnsi" w:cstheme="minorHAnsi"/>
                <w:bCs/>
                <w:sz w:val="20"/>
                <w:szCs w:val="20"/>
              </w:rPr>
              <w:t>Work paper updated for reporting period, effective 7/1/14 – 12/31/14.</w:t>
            </w:r>
          </w:p>
        </w:tc>
      </w:tr>
    </w:tbl>
    <w:p w:rsidR="009500DC" w:rsidRPr="00697868" w:rsidRDefault="009500DC" w:rsidP="00DA690B">
      <w:pPr>
        <w:rPr>
          <w:rFonts w:asciiTheme="minorHAnsi" w:hAnsiTheme="minorHAnsi" w:cstheme="minorHAnsi"/>
        </w:rPr>
        <w:sectPr w:rsidR="009500DC" w:rsidRPr="00697868" w:rsidSect="007F7FBA">
          <w:footerReference w:type="default" r:id="rId21"/>
          <w:pgSz w:w="12240" w:h="15840"/>
          <w:pgMar w:top="1440" w:right="1440" w:bottom="1440" w:left="1440" w:header="720" w:footer="720" w:gutter="0"/>
          <w:pgNumType w:fmt="lowerRoman" w:start="1"/>
          <w:cols w:space="720"/>
          <w:docGrid w:linePitch="360"/>
        </w:sectPr>
      </w:pPr>
    </w:p>
    <w:p w:rsidR="00E16609" w:rsidRDefault="00E16609" w:rsidP="00E16609">
      <w:pPr>
        <w:pStyle w:val="Heading1"/>
        <w:rPr>
          <w:rFonts w:asciiTheme="minorHAnsi" w:hAnsiTheme="minorHAnsi" w:cstheme="minorHAnsi"/>
        </w:rPr>
      </w:pPr>
      <w:proofErr w:type="gramStart"/>
      <w:r w:rsidRPr="00697868">
        <w:rPr>
          <w:rFonts w:asciiTheme="minorHAnsi" w:hAnsiTheme="minorHAnsi" w:cstheme="minorHAnsi"/>
        </w:rPr>
        <w:lastRenderedPageBreak/>
        <w:t>Section 1.</w:t>
      </w:r>
      <w:proofErr w:type="gramEnd"/>
      <w:r w:rsidRPr="00697868">
        <w:rPr>
          <w:rFonts w:asciiTheme="minorHAnsi" w:hAnsiTheme="minorHAnsi" w:cstheme="minorHAnsi"/>
        </w:rPr>
        <w:t xml:space="preserve"> General Measure &amp; Baseline Data</w:t>
      </w:r>
      <w:bookmarkEnd w:id="1"/>
    </w:p>
    <w:p w:rsidR="00E16609" w:rsidRPr="00697868" w:rsidRDefault="00824F1C" w:rsidP="00697868">
      <w:pPr>
        <w:pStyle w:val="Heading2"/>
        <w:rPr>
          <w:rFonts w:asciiTheme="minorHAnsi" w:hAnsiTheme="minorHAnsi"/>
        </w:rPr>
      </w:pPr>
      <w:bookmarkStart w:id="11" w:name="_Toc214003083"/>
      <w:r w:rsidRPr="00697868">
        <w:rPr>
          <w:rFonts w:asciiTheme="minorHAnsi" w:hAnsiTheme="minorHAnsi"/>
        </w:rPr>
        <w:t xml:space="preserve">1.1 </w:t>
      </w:r>
      <w:r w:rsidR="00AC5309" w:rsidRPr="00697868">
        <w:rPr>
          <w:rFonts w:asciiTheme="minorHAnsi" w:hAnsiTheme="minorHAnsi"/>
        </w:rPr>
        <w:t xml:space="preserve">Measure Description </w:t>
      </w:r>
      <w:r w:rsidR="00E16609" w:rsidRPr="00697868">
        <w:rPr>
          <w:rFonts w:asciiTheme="minorHAnsi" w:hAnsiTheme="minorHAnsi"/>
        </w:rPr>
        <w:t xml:space="preserve">&amp; </w:t>
      </w:r>
      <w:r w:rsidR="00AC5309" w:rsidRPr="00697868">
        <w:rPr>
          <w:rFonts w:asciiTheme="minorHAnsi" w:hAnsiTheme="minorHAnsi"/>
        </w:rPr>
        <w:t>Background</w:t>
      </w:r>
      <w:r w:rsidR="00E16609" w:rsidRPr="00697868">
        <w:rPr>
          <w:rFonts w:asciiTheme="minorHAnsi" w:hAnsiTheme="minorHAnsi"/>
        </w:rPr>
        <w:t xml:space="preserve"> </w:t>
      </w:r>
      <w:bookmarkEnd w:id="11"/>
    </w:p>
    <w:p w:rsidR="00FB70C5" w:rsidRPr="00CE6394" w:rsidRDefault="00497FB8" w:rsidP="00697868">
      <w:pPr>
        <w:pStyle w:val="Reminders"/>
        <w:tabs>
          <w:tab w:val="num" w:pos="360"/>
        </w:tabs>
        <w:rPr>
          <w:rFonts w:ascii="Calibri" w:hAnsi="Calibri"/>
          <w:i w:val="0"/>
          <w:color w:val="auto"/>
          <w:sz w:val="22"/>
          <w:szCs w:val="22"/>
        </w:rPr>
      </w:pPr>
      <w:r>
        <w:rPr>
          <w:rFonts w:ascii="Calibri" w:hAnsi="Calibri"/>
          <w:i w:val="0"/>
          <w:color w:val="auto"/>
          <w:sz w:val="22"/>
          <w:szCs w:val="22"/>
        </w:rPr>
        <w:t>The measure case is</w:t>
      </w:r>
      <w:r w:rsidR="0011394F">
        <w:rPr>
          <w:rFonts w:ascii="Calibri" w:hAnsi="Calibri"/>
          <w:i w:val="0"/>
          <w:color w:val="auto"/>
          <w:sz w:val="22"/>
          <w:szCs w:val="22"/>
        </w:rPr>
        <w:t xml:space="preserve"> a </w:t>
      </w:r>
      <w:r>
        <w:rPr>
          <w:rFonts w:ascii="Calibri" w:hAnsi="Calibri"/>
          <w:i w:val="0"/>
          <w:color w:val="auto"/>
          <w:sz w:val="22"/>
          <w:szCs w:val="22"/>
        </w:rPr>
        <w:t xml:space="preserve">variable </w:t>
      </w:r>
      <w:r w:rsidR="0011394F">
        <w:rPr>
          <w:rFonts w:ascii="Calibri" w:hAnsi="Calibri"/>
          <w:i w:val="0"/>
          <w:color w:val="auto"/>
          <w:sz w:val="22"/>
          <w:szCs w:val="22"/>
        </w:rPr>
        <w:t>speed</w:t>
      </w:r>
      <w:r>
        <w:rPr>
          <w:rFonts w:ascii="Calibri" w:hAnsi="Calibri"/>
          <w:i w:val="0"/>
          <w:color w:val="auto"/>
          <w:sz w:val="22"/>
          <w:szCs w:val="22"/>
        </w:rPr>
        <w:t xml:space="preserve"> drive (VSD)</w:t>
      </w:r>
      <w:r w:rsidR="0011394F">
        <w:rPr>
          <w:rFonts w:ascii="Calibri" w:hAnsi="Calibri"/>
          <w:i w:val="0"/>
          <w:color w:val="auto"/>
          <w:sz w:val="22"/>
          <w:szCs w:val="22"/>
        </w:rPr>
        <w:t xml:space="preserve"> on</w:t>
      </w:r>
      <w:r w:rsidR="00FB70C5" w:rsidRPr="00CE6394">
        <w:rPr>
          <w:rFonts w:ascii="Calibri" w:hAnsi="Calibri"/>
          <w:i w:val="0"/>
          <w:color w:val="auto"/>
          <w:sz w:val="22"/>
          <w:szCs w:val="22"/>
        </w:rPr>
        <w:t xml:space="preserve"> an existing </w:t>
      </w:r>
      <w:r w:rsidR="00D276D5">
        <w:rPr>
          <w:rFonts w:ascii="Calibri" w:hAnsi="Calibri"/>
          <w:i w:val="0"/>
          <w:color w:val="auto"/>
          <w:sz w:val="22"/>
          <w:szCs w:val="22"/>
        </w:rPr>
        <w:t>process fan</w:t>
      </w:r>
      <w:r w:rsidR="00FB70C5" w:rsidRPr="00CE6394">
        <w:rPr>
          <w:rFonts w:ascii="Calibri" w:hAnsi="Calibri"/>
          <w:i w:val="0"/>
          <w:color w:val="auto"/>
          <w:sz w:val="22"/>
          <w:szCs w:val="22"/>
        </w:rPr>
        <w:t>.</w:t>
      </w:r>
    </w:p>
    <w:p w:rsidR="00FB70C5" w:rsidRPr="00CE6394" w:rsidRDefault="00FB70C5" w:rsidP="00FB70C5">
      <w:pPr>
        <w:pStyle w:val="Reminder"/>
        <w:rPr>
          <w:rFonts w:ascii="Calibri" w:hAnsi="Calibri"/>
          <w:i w:val="0"/>
          <w:color w:val="auto"/>
          <w:sz w:val="22"/>
          <w:szCs w:val="22"/>
        </w:rPr>
      </w:pPr>
      <w:r w:rsidRPr="00CE6394">
        <w:rPr>
          <w:rFonts w:ascii="Calibri" w:hAnsi="Calibri"/>
          <w:i w:val="0"/>
          <w:color w:val="auto"/>
          <w:sz w:val="22"/>
          <w:szCs w:val="22"/>
        </w:rPr>
        <w:t>The base case is a</w:t>
      </w:r>
      <w:r w:rsidR="0011394F">
        <w:rPr>
          <w:rFonts w:ascii="Calibri" w:hAnsi="Calibri"/>
          <w:i w:val="0"/>
          <w:color w:val="auto"/>
          <w:sz w:val="22"/>
          <w:szCs w:val="22"/>
        </w:rPr>
        <w:t>n existing</w:t>
      </w:r>
      <w:r w:rsidR="00D276D5">
        <w:rPr>
          <w:rFonts w:ascii="Calibri" w:hAnsi="Calibri"/>
          <w:i w:val="0"/>
          <w:color w:val="auto"/>
          <w:sz w:val="22"/>
          <w:szCs w:val="22"/>
        </w:rPr>
        <w:t xml:space="preserve"> process fan</w:t>
      </w:r>
      <w:r w:rsidRPr="00CE6394">
        <w:rPr>
          <w:rFonts w:ascii="Calibri" w:hAnsi="Calibri"/>
          <w:i w:val="0"/>
          <w:color w:val="auto"/>
          <w:sz w:val="22"/>
          <w:szCs w:val="22"/>
        </w:rPr>
        <w:t xml:space="preserve"> with rated</w:t>
      </w:r>
      <w:r w:rsidR="003473FB">
        <w:rPr>
          <w:rFonts w:ascii="Calibri" w:hAnsi="Calibri"/>
          <w:i w:val="0"/>
          <w:color w:val="auto"/>
          <w:sz w:val="22"/>
          <w:szCs w:val="22"/>
        </w:rPr>
        <w:t xml:space="preserve"> motor</w:t>
      </w:r>
      <w:r w:rsidRPr="00CE6394">
        <w:rPr>
          <w:rFonts w:ascii="Calibri" w:hAnsi="Calibri"/>
          <w:i w:val="0"/>
          <w:color w:val="auto"/>
          <w:sz w:val="22"/>
          <w:szCs w:val="22"/>
        </w:rPr>
        <w:t xml:space="preserve"> capacity </w:t>
      </w:r>
      <w:r w:rsidR="000A2A20">
        <w:rPr>
          <w:rFonts w:ascii="Calibri" w:hAnsi="Calibri"/>
          <w:i w:val="0"/>
          <w:color w:val="auto"/>
          <w:sz w:val="22"/>
          <w:szCs w:val="22"/>
        </w:rPr>
        <w:t>≤</w:t>
      </w:r>
      <w:r w:rsidR="00D276D5">
        <w:rPr>
          <w:rFonts w:ascii="Calibri" w:hAnsi="Calibri"/>
          <w:i w:val="0"/>
          <w:color w:val="auto"/>
          <w:sz w:val="22"/>
          <w:szCs w:val="22"/>
        </w:rPr>
        <w:t xml:space="preserve"> 75</w:t>
      </w:r>
      <w:r w:rsidRPr="00CE6394">
        <w:rPr>
          <w:rFonts w:ascii="Calibri" w:hAnsi="Calibri"/>
          <w:i w:val="0"/>
          <w:color w:val="auto"/>
          <w:sz w:val="22"/>
          <w:szCs w:val="22"/>
        </w:rPr>
        <w:t xml:space="preserve"> </w:t>
      </w:r>
      <w:r w:rsidR="005D53E7">
        <w:rPr>
          <w:rFonts w:ascii="Calibri" w:hAnsi="Calibri"/>
          <w:i w:val="0"/>
          <w:color w:val="auto"/>
          <w:sz w:val="22"/>
          <w:szCs w:val="22"/>
        </w:rPr>
        <w:t>hp</w:t>
      </w:r>
      <w:r w:rsidR="00D276D5">
        <w:rPr>
          <w:rFonts w:ascii="Calibri" w:hAnsi="Calibri"/>
          <w:i w:val="0"/>
          <w:color w:val="auto"/>
          <w:sz w:val="22"/>
          <w:szCs w:val="22"/>
        </w:rPr>
        <w:t>.</w:t>
      </w:r>
      <w:r w:rsidR="00C334E5">
        <w:rPr>
          <w:rFonts w:ascii="Calibri" w:hAnsi="Calibri"/>
          <w:i w:val="0"/>
          <w:color w:val="auto"/>
          <w:sz w:val="22"/>
          <w:szCs w:val="22"/>
        </w:rPr>
        <w:t xml:space="preserve"> The base case fan will either operate continuously or have on/off controls.</w:t>
      </w:r>
    </w:p>
    <w:p w:rsidR="00697868" w:rsidRPr="005419BC" w:rsidRDefault="00697868" w:rsidP="00697868">
      <w:pPr>
        <w:pStyle w:val="Reminder"/>
        <w:rPr>
          <w:rFonts w:asciiTheme="minorHAnsi" w:hAnsiTheme="minorHAnsi" w:cstheme="minorHAnsi"/>
          <w:i w:val="0"/>
          <w:sz w:val="22"/>
          <w:szCs w:val="22"/>
        </w:rPr>
      </w:pPr>
    </w:p>
    <w:p w:rsidR="00AC5309" w:rsidRPr="00697868" w:rsidRDefault="00AC5309" w:rsidP="00AC5309">
      <w:pPr>
        <w:pStyle w:val="Caption"/>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CF6DDC">
        <w:rPr>
          <w:rFonts w:asciiTheme="minorHAnsi" w:hAnsiTheme="minorHAnsi" w:cstheme="minorHAnsi"/>
          <w:noProof/>
          <w:sz w:val="22"/>
          <w:szCs w:val="22"/>
        </w:rPr>
        <w:t>1</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Measure Names</w:t>
      </w:r>
    </w:p>
    <w:tbl>
      <w:tblPr>
        <w:tblStyle w:val="TableContemporary"/>
        <w:tblW w:w="0" w:type="auto"/>
        <w:jc w:val="center"/>
        <w:tblLook w:val="04A0" w:firstRow="1" w:lastRow="0" w:firstColumn="1" w:lastColumn="0" w:noHBand="0" w:noVBand="1"/>
      </w:tblPr>
      <w:tblGrid>
        <w:gridCol w:w="1490"/>
        <w:gridCol w:w="5629"/>
      </w:tblGrid>
      <w:tr w:rsidR="00AC5309" w:rsidRPr="00697868" w:rsidTr="00FB70C5">
        <w:trPr>
          <w:cnfStyle w:val="100000000000" w:firstRow="1" w:lastRow="0" w:firstColumn="0" w:lastColumn="0" w:oddVBand="0" w:evenVBand="0" w:oddHBand="0" w:evenHBand="0" w:firstRowFirstColumn="0" w:firstRowLastColumn="0" w:lastRowFirstColumn="0" w:lastRowLastColumn="0"/>
          <w:jc w:val="center"/>
        </w:trPr>
        <w:tc>
          <w:tcPr>
            <w:tcW w:w="1490"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Solution Code</w:t>
            </w:r>
          </w:p>
        </w:tc>
        <w:tc>
          <w:tcPr>
            <w:tcW w:w="5629" w:type="dxa"/>
          </w:tcPr>
          <w:p w:rsidR="00AC5309" w:rsidRPr="00697868" w:rsidRDefault="00AC5309" w:rsidP="009824E9">
            <w:pPr>
              <w:rPr>
                <w:rFonts w:asciiTheme="minorHAnsi" w:hAnsiTheme="minorHAnsi" w:cstheme="minorHAnsi"/>
                <w:sz w:val="20"/>
                <w:szCs w:val="20"/>
              </w:rPr>
            </w:pPr>
            <w:r w:rsidRPr="00697868">
              <w:rPr>
                <w:rFonts w:asciiTheme="minorHAnsi" w:hAnsiTheme="minorHAnsi" w:cstheme="minorHAnsi"/>
                <w:sz w:val="20"/>
                <w:szCs w:val="20"/>
              </w:rPr>
              <w:t>Measure name</w:t>
            </w:r>
          </w:p>
        </w:tc>
      </w:tr>
      <w:tr w:rsidR="00FB70C5" w:rsidRPr="00697868" w:rsidTr="00FB70C5">
        <w:trPr>
          <w:cnfStyle w:val="000000100000" w:firstRow="0" w:lastRow="0" w:firstColumn="0" w:lastColumn="0" w:oddVBand="0" w:evenVBand="0" w:oddHBand="1" w:evenHBand="0" w:firstRowFirstColumn="0" w:firstRowLastColumn="0" w:lastRowFirstColumn="0" w:lastRowLastColumn="0"/>
          <w:trHeight w:val="243"/>
          <w:jc w:val="center"/>
        </w:trPr>
        <w:tc>
          <w:tcPr>
            <w:tcW w:w="1490" w:type="dxa"/>
          </w:tcPr>
          <w:p w:rsidR="00FB70C5" w:rsidRPr="00697868" w:rsidRDefault="00FB70C5" w:rsidP="00A02CA5">
            <w:pPr>
              <w:rPr>
                <w:rFonts w:asciiTheme="minorHAnsi" w:hAnsiTheme="minorHAnsi" w:cstheme="minorHAnsi"/>
                <w:sz w:val="20"/>
                <w:szCs w:val="20"/>
              </w:rPr>
            </w:pPr>
            <w:r>
              <w:rPr>
                <w:rFonts w:asciiTheme="minorHAnsi" w:hAnsiTheme="minorHAnsi" w:cstheme="minorHAnsi"/>
                <w:sz w:val="20"/>
                <w:szCs w:val="20"/>
              </w:rPr>
              <w:t>P</w:t>
            </w:r>
            <w:r w:rsidR="00582374">
              <w:rPr>
                <w:rFonts w:asciiTheme="minorHAnsi" w:hAnsiTheme="minorHAnsi" w:cstheme="minorHAnsi"/>
                <w:sz w:val="20"/>
                <w:szCs w:val="20"/>
              </w:rPr>
              <w:t>R-</w:t>
            </w:r>
            <w:r w:rsidR="00A02CA5">
              <w:rPr>
                <w:rFonts w:asciiTheme="minorHAnsi" w:hAnsiTheme="minorHAnsi" w:cstheme="minorHAnsi"/>
                <w:sz w:val="20"/>
                <w:szCs w:val="20"/>
              </w:rPr>
              <w:t>90127</w:t>
            </w:r>
          </w:p>
        </w:tc>
        <w:tc>
          <w:tcPr>
            <w:tcW w:w="5629" w:type="dxa"/>
          </w:tcPr>
          <w:p w:rsidR="00FB70C5" w:rsidRPr="00FB70C5" w:rsidRDefault="00A02CA5" w:rsidP="005D53E7">
            <w:pPr>
              <w:rPr>
                <w:rFonts w:asciiTheme="minorHAnsi" w:hAnsiTheme="minorHAnsi" w:cstheme="minorHAnsi"/>
                <w:sz w:val="20"/>
                <w:szCs w:val="20"/>
              </w:rPr>
            </w:pPr>
            <w:r>
              <w:rPr>
                <w:rFonts w:asciiTheme="minorHAnsi" w:hAnsiTheme="minorHAnsi" w:cstheme="minorHAnsi"/>
                <w:sz w:val="20"/>
                <w:szCs w:val="20"/>
              </w:rPr>
              <w:t>≤ 75 HP Variable Speed Drive on Process Fan Control</w:t>
            </w:r>
          </w:p>
        </w:tc>
      </w:tr>
    </w:tbl>
    <w:p w:rsidR="00697868" w:rsidRPr="00CE6394" w:rsidRDefault="00697868" w:rsidP="00697868">
      <w:pPr>
        <w:pStyle w:val="Reminders"/>
        <w:rPr>
          <w:rFonts w:ascii="Calibri" w:hAnsi="Calibri"/>
          <w:i w:val="0"/>
          <w:color w:val="auto"/>
          <w:sz w:val="22"/>
          <w:szCs w:val="22"/>
        </w:rPr>
      </w:pPr>
    </w:p>
    <w:p w:rsidR="00CE6394" w:rsidRPr="00CE6394" w:rsidRDefault="00CE6394" w:rsidP="00CE6394">
      <w:pPr>
        <w:rPr>
          <w:rFonts w:ascii="Calibri" w:hAnsi="Calibri"/>
          <w:sz w:val="22"/>
          <w:szCs w:val="22"/>
        </w:rPr>
      </w:pPr>
      <w:r w:rsidRPr="00CE6394">
        <w:rPr>
          <w:rFonts w:ascii="Calibri" w:hAnsi="Calibri"/>
          <w:sz w:val="22"/>
          <w:szCs w:val="22"/>
        </w:rPr>
        <w:t xml:space="preserve">The existing </w:t>
      </w:r>
      <w:r w:rsidR="00D276D5">
        <w:rPr>
          <w:rFonts w:ascii="Calibri" w:hAnsi="Calibri"/>
          <w:sz w:val="22"/>
          <w:szCs w:val="22"/>
        </w:rPr>
        <w:t>fan</w:t>
      </w:r>
      <w:r w:rsidRPr="00CE6394">
        <w:rPr>
          <w:rFonts w:ascii="Calibri" w:hAnsi="Calibri"/>
          <w:sz w:val="22"/>
          <w:szCs w:val="22"/>
        </w:rPr>
        <w:t xml:space="preserve"> </w:t>
      </w:r>
      <w:r w:rsidR="005419BC">
        <w:rPr>
          <w:rFonts w:ascii="Calibri" w:hAnsi="Calibri"/>
          <w:sz w:val="22"/>
          <w:szCs w:val="22"/>
        </w:rPr>
        <w:t>shall</w:t>
      </w:r>
      <w:r w:rsidRPr="00CE6394">
        <w:rPr>
          <w:rFonts w:ascii="Calibri" w:hAnsi="Calibri"/>
          <w:sz w:val="22"/>
          <w:szCs w:val="22"/>
        </w:rPr>
        <w:t xml:space="preserve"> meet the following requirements:</w:t>
      </w:r>
    </w:p>
    <w:p w:rsidR="005419BC" w:rsidRDefault="005419BC" w:rsidP="00CE6394">
      <w:pPr>
        <w:pStyle w:val="ListParagraph"/>
        <w:numPr>
          <w:ilvl w:val="0"/>
          <w:numId w:val="9"/>
        </w:numPr>
        <w:rPr>
          <w:szCs w:val="22"/>
        </w:rPr>
      </w:pPr>
      <w:r>
        <w:rPr>
          <w:szCs w:val="22"/>
        </w:rPr>
        <w:t>M</w:t>
      </w:r>
      <w:r w:rsidR="00CE6394" w:rsidRPr="00CE6394">
        <w:rPr>
          <w:szCs w:val="22"/>
        </w:rPr>
        <w:t xml:space="preserve">ust </w:t>
      </w:r>
      <w:r w:rsidR="007249D0">
        <w:rPr>
          <w:szCs w:val="22"/>
        </w:rPr>
        <w:t>not be a</w:t>
      </w:r>
      <w:r w:rsidR="00D276D5">
        <w:rPr>
          <w:szCs w:val="22"/>
        </w:rPr>
        <w:t xml:space="preserve"> HVAC or refrigeration fan.</w:t>
      </w:r>
    </w:p>
    <w:p w:rsidR="00D276D5" w:rsidRDefault="00D276D5" w:rsidP="00CE6394">
      <w:pPr>
        <w:pStyle w:val="ListParagraph"/>
        <w:numPr>
          <w:ilvl w:val="0"/>
          <w:numId w:val="9"/>
        </w:numPr>
        <w:rPr>
          <w:szCs w:val="22"/>
        </w:rPr>
      </w:pPr>
      <w:r>
        <w:rPr>
          <w:szCs w:val="22"/>
        </w:rPr>
        <w:t>May be used for exhaust, ventilation, pressurization, or other process applications.</w:t>
      </w:r>
      <w:r w:rsidR="00CE12FE">
        <w:rPr>
          <w:szCs w:val="22"/>
        </w:rPr>
        <w:t xml:space="preserve"> Air compressor systems are not eligible.</w:t>
      </w:r>
    </w:p>
    <w:p w:rsidR="005419BC" w:rsidRDefault="005419BC" w:rsidP="00CE6394">
      <w:pPr>
        <w:pStyle w:val="ListParagraph"/>
        <w:numPr>
          <w:ilvl w:val="0"/>
          <w:numId w:val="9"/>
        </w:numPr>
        <w:rPr>
          <w:szCs w:val="22"/>
        </w:rPr>
      </w:pPr>
      <w:r>
        <w:rPr>
          <w:szCs w:val="22"/>
        </w:rPr>
        <w:t>Must have</w:t>
      </w:r>
      <w:r w:rsidR="00CE6394" w:rsidRPr="00CE6394">
        <w:rPr>
          <w:szCs w:val="22"/>
        </w:rPr>
        <w:t xml:space="preserve"> a</w:t>
      </w:r>
      <w:r w:rsidR="003473FB">
        <w:rPr>
          <w:szCs w:val="22"/>
        </w:rPr>
        <w:t xml:space="preserve"> motor</w:t>
      </w:r>
      <w:r w:rsidR="00CE6394" w:rsidRPr="00CE6394">
        <w:rPr>
          <w:szCs w:val="22"/>
        </w:rPr>
        <w:t xml:space="preserve"> horse</w:t>
      </w:r>
      <w:r>
        <w:rPr>
          <w:szCs w:val="22"/>
        </w:rPr>
        <w:t>power rating</w:t>
      </w:r>
      <w:r w:rsidR="003473FB">
        <w:rPr>
          <w:szCs w:val="22"/>
        </w:rPr>
        <w:t xml:space="preserve"> </w:t>
      </w:r>
      <w:r w:rsidR="000A2A20">
        <w:rPr>
          <w:szCs w:val="22"/>
        </w:rPr>
        <w:t>≥</w:t>
      </w:r>
      <w:r w:rsidR="003473FB">
        <w:rPr>
          <w:szCs w:val="22"/>
        </w:rPr>
        <w:t xml:space="preserve"> 3 hp and</w:t>
      </w:r>
      <w:r>
        <w:rPr>
          <w:szCs w:val="22"/>
        </w:rPr>
        <w:t xml:space="preserve"> </w:t>
      </w:r>
      <w:r w:rsidR="000A2A20">
        <w:rPr>
          <w:szCs w:val="22"/>
        </w:rPr>
        <w:t>≤</w:t>
      </w:r>
      <w:r>
        <w:rPr>
          <w:szCs w:val="22"/>
        </w:rPr>
        <w:t xml:space="preserve"> </w:t>
      </w:r>
      <w:r w:rsidR="00D276D5">
        <w:rPr>
          <w:szCs w:val="22"/>
        </w:rPr>
        <w:t>7</w:t>
      </w:r>
      <w:r>
        <w:rPr>
          <w:szCs w:val="22"/>
        </w:rPr>
        <w:t>5 hp</w:t>
      </w:r>
      <w:r w:rsidR="000A2A20">
        <w:rPr>
          <w:szCs w:val="22"/>
        </w:rPr>
        <w:t xml:space="preserve"> because s</w:t>
      </w:r>
      <w:r w:rsidR="003473FB">
        <w:rPr>
          <w:szCs w:val="22"/>
        </w:rPr>
        <w:t>avings for motors below 3 hp are minimal and do not justify the cost of a VSD retrofit.</w:t>
      </w:r>
    </w:p>
    <w:p w:rsidR="00C334E5" w:rsidRDefault="00C334E5" w:rsidP="00CE6394">
      <w:pPr>
        <w:pStyle w:val="ListParagraph"/>
        <w:numPr>
          <w:ilvl w:val="0"/>
          <w:numId w:val="9"/>
        </w:numPr>
        <w:rPr>
          <w:szCs w:val="22"/>
        </w:rPr>
      </w:pPr>
      <w:r>
        <w:rPr>
          <w:szCs w:val="22"/>
        </w:rPr>
        <w:t>Must operate continuously or be manually operated with</w:t>
      </w:r>
      <w:r w:rsidR="003473FB">
        <w:rPr>
          <w:szCs w:val="22"/>
        </w:rPr>
        <w:t xml:space="preserve"> an</w:t>
      </w:r>
      <w:r>
        <w:rPr>
          <w:szCs w:val="22"/>
        </w:rPr>
        <w:t xml:space="preserve"> </w:t>
      </w:r>
      <w:r w:rsidR="003473FB">
        <w:rPr>
          <w:szCs w:val="22"/>
        </w:rPr>
        <w:t>ON/OFF control switch</w:t>
      </w:r>
      <w:r>
        <w:rPr>
          <w:szCs w:val="22"/>
        </w:rPr>
        <w:t>.</w:t>
      </w:r>
      <w:r w:rsidR="00740AD2">
        <w:rPr>
          <w:szCs w:val="22"/>
        </w:rPr>
        <w:t xml:space="preserve"> Two-speed fans do not qualify.</w:t>
      </w:r>
    </w:p>
    <w:p w:rsidR="00CE6394" w:rsidRPr="00CE6394" w:rsidRDefault="00CE6394" w:rsidP="00CE6394">
      <w:pPr>
        <w:rPr>
          <w:rFonts w:ascii="Calibri" w:hAnsi="Calibri"/>
          <w:sz w:val="22"/>
          <w:szCs w:val="22"/>
        </w:rPr>
      </w:pPr>
    </w:p>
    <w:p w:rsidR="00CE6394" w:rsidRPr="00CE6394" w:rsidRDefault="00CE6394" w:rsidP="00CE6394">
      <w:pPr>
        <w:rPr>
          <w:rFonts w:ascii="Calibri" w:hAnsi="Calibri"/>
          <w:sz w:val="22"/>
          <w:szCs w:val="22"/>
        </w:rPr>
      </w:pPr>
      <w:r w:rsidRPr="00CE6394">
        <w:rPr>
          <w:rFonts w:ascii="Calibri" w:hAnsi="Calibri"/>
          <w:sz w:val="22"/>
          <w:szCs w:val="22"/>
        </w:rPr>
        <w:t>This measure is applicable only to the following building types:</w:t>
      </w:r>
    </w:p>
    <w:p w:rsidR="00CE6394" w:rsidRPr="00CE6394" w:rsidRDefault="00CE6394" w:rsidP="00CE6394">
      <w:pPr>
        <w:numPr>
          <w:ilvl w:val="0"/>
          <w:numId w:val="10"/>
        </w:numPr>
        <w:rPr>
          <w:rFonts w:ascii="Calibri" w:hAnsi="Calibri"/>
          <w:sz w:val="22"/>
          <w:szCs w:val="22"/>
        </w:rPr>
      </w:pPr>
      <w:r w:rsidRPr="00CE6394">
        <w:rPr>
          <w:rFonts w:ascii="Calibri" w:hAnsi="Calibri"/>
          <w:sz w:val="22"/>
          <w:szCs w:val="22"/>
        </w:rPr>
        <w:t>Manufacturing - Bio/Tech</w:t>
      </w:r>
    </w:p>
    <w:p w:rsidR="00CE6394" w:rsidRPr="00CE6394" w:rsidRDefault="00CE6394" w:rsidP="00CE6394">
      <w:pPr>
        <w:numPr>
          <w:ilvl w:val="0"/>
          <w:numId w:val="10"/>
        </w:numPr>
        <w:rPr>
          <w:rFonts w:ascii="Calibri" w:hAnsi="Calibri"/>
          <w:sz w:val="22"/>
          <w:szCs w:val="22"/>
        </w:rPr>
      </w:pPr>
      <w:r w:rsidRPr="00CE6394">
        <w:rPr>
          <w:rFonts w:ascii="Calibri" w:hAnsi="Calibri"/>
          <w:sz w:val="22"/>
          <w:szCs w:val="22"/>
        </w:rPr>
        <w:t>Manufacturing - Light Industrial</w:t>
      </w:r>
    </w:p>
    <w:p w:rsidR="00CE6394" w:rsidRDefault="00CE6394" w:rsidP="00CE6394">
      <w:pPr>
        <w:numPr>
          <w:ilvl w:val="0"/>
          <w:numId w:val="10"/>
        </w:numPr>
        <w:rPr>
          <w:rFonts w:ascii="Calibri" w:hAnsi="Calibri"/>
          <w:sz w:val="22"/>
          <w:szCs w:val="22"/>
        </w:rPr>
      </w:pPr>
      <w:r w:rsidRPr="00CE6394">
        <w:rPr>
          <w:rFonts w:ascii="Calibri" w:hAnsi="Calibri"/>
          <w:sz w:val="22"/>
          <w:szCs w:val="22"/>
        </w:rPr>
        <w:t>Industrial</w:t>
      </w:r>
    </w:p>
    <w:p w:rsidR="008B499C" w:rsidRPr="00CE6394" w:rsidRDefault="008B499C" w:rsidP="00CE6394">
      <w:pPr>
        <w:numPr>
          <w:ilvl w:val="0"/>
          <w:numId w:val="10"/>
        </w:numPr>
        <w:rPr>
          <w:rFonts w:ascii="Calibri" w:hAnsi="Calibri"/>
          <w:sz w:val="22"/>
          <w:szCs w:val="22"/>
        </w:rPr>
      </w:pPr>
      <w:r>
        <w:rPr>
          <w:rFonts w:ascii="Calibri" w:hAnsi="Calibri"/>
          <w:sz w:val="22"/>
          <w:szCs w:val="22"/>
        </w:rPr>
        <w:t>Agricultural</w:t>
      </w:r>
    </w:p>
    <w:p w:rsidR="00E16609" w:rsidRPr="00697868" w:rsidRDefault="00E16609" w:rsidP="00697868">
      <w:pPr>
        <w:pStyle w:val="Heading2"/>
        <w:rPr>
          <w:rFonts w:asciiTheme="minorHAnsi" w:hAnsiTheme="minorHAnsi"/>
        </w:rPr>
      </w:pPr>
      <w:r w:rsidRPr="00697868">
        <w:rPr>
          <w:rFonts w:asciiTheme="minorHAnsi" w:hAnsiTheme="minorHAnsi"/>
        </w:rPr>
        <w:t>1.</w:t>
      </w:r>
      <w:r w:rsidR="00AC5309" w:rsidRPr="00697868">
        <w:rPr>
          <w:rFonts w:asciiTheme="minorHAnsi" w:hAnsiTheme="minorHAnsi"/>
        </w:rPr>
        <w:t>2</w:t>
      </w:r>
      <w:r w:rsidRPr="00697868">
        <w:rPr>
          <w:rFonts w:asciiTheme="minorHAnsi" w:hAnsiTheme="minorHAnsi"/>
        </w:rPr>
        <w:t xml:space="preserve"> </w:t>
      </w:r>
      <w:r w:rsidR="00697868" w:rsidRPr="00697868">
        <w:rPr>
          <w:rFonts w:asciiTheme="minorHAnsi" w:hAnsiTheme="minorHAnsi"/>
        </w:rPr>
        <w:t>Technical</w:t>
      </w:r>
      <w:r w:rsidRPr="00697868">
        <w:rPr>
          <w:rFonts w:asciiTheme="minorHAnsi" w:hAnsiTheme="minorHAnsi"/>
        </w:rPr>
        <w:t xml:space="preserve"> Description</w:t>
      </w:r>
    </w:p>
    <w:p w:rsidR="00D276D5" w:rsidRPr="00D276D5" w:rsidRDefault="008E243E" w:rsidP="00FB70C5">
      <w:pPr>
        <w:pStyle w:val="Reminder"/>
        <w:rPr>
          <w:rFonts w:ascii="Calibri" w:hAnsi="Calibri"/>
          <w:i w:val="0"/>
          <w:color w:val="auto"/>
          <w:sz w:val="22"/>
          <w:szCs w:val="22"/>
        </w:rPr>
      </w:pPr>
      <w:r w:rsidRPr="008E243E">
        <w:rPr>
          <w:rFonts w:ascii="Calibri" w:hAnsi="Calibri"/>
          <w:i w:val="0"/>
          <w:color w:val="auto"/>
          <w:sz w:val="22"/>
          <w:szCs w:val="22"/>
          <w:u w:val="single"/>
        </w:rPr>
        <w:t>V</w:t>
      </w:r>
      <w:r w:rsidR="00D276D5">
        <w:rPr>
          <w:rFonts w:ascii="Calibri" w:hAnsi="Calibri"/>
          <w:i w:val="0"/>
          <w:color w:val="auto"/>
          <w:sz w:val="22"/>
          <w:szCs w:val="22"/>
          <w:u w:val="single"/>
        </w:rPr>
        <w:t>S</w:t>
      </w:r>
      <w:r w:rsidRPr="008E243E">
        <w:rPr>
          <w:rFonts w:ascii="Calibri" w:hAnsi="Calibri"/>
          <w:i w:val="0"/>
          <w:color w:val="auto"/>
          <w:sz w:val="22"/>
          <w:szCs w:val="22"/>
          <w:u w:val="single"/>
        </w:rPr>
        <w:t>D control:</w:t>
      </w:r>
      <w:r w:rsidR="00D276D5">
        <w:rPr>
          <w:rFonts w:ascii="Calibri" w:hAnsi="Calibri"/>
          <w:i w:val="0"/>
          <w:color w:val="auto"/>
          <w:sz w:val="22"/>
          <w:szCs w:val="22"/>
        </w:rPr>
        <w:t xml:space="preserve"> The demand on process fans is often variable, so 100% speed fan operation is not always required. A VSD enables the fan to operate at a reduced speed during part load conditions in order to match the demand</w:t>
      </w:r>
      <w:r w:rsidR="00740AD2">
        <w:rPr>
          <w:rFonts w:ascii="Calibri" w:hAnsi="Calibri"/>
          <w:i w:val="0"/>
          <w:color w:val="auto"/>
          <w:sz w:val="22"/>
          <w:szCs w:val="22"/>
        </w:rPr>
        <w:t xml:space="preserve">; typically there are sensors in the </w:t>
      </w:r>
      <w:r w:rsidR="00520408">
        <w:rPr>
          <w:rFonts w:ascii="Calibri" w:hAnsi="Calibri"/>
          <w:i w:val="0"/>
          <w:color w:val="auto"/>
          <w:sz w:val="22"/>
          <w:szCs w:val="22"/>
        </w:rPr>
        <w:t xml:space="preserve">system, </w:t>
      </w:r>
      <w:r w:rsidR="00740AD2">
        <w:rPr>
          <w:rFonts w:ascii="Calibri" w:hAnsi="Calibri"/>
          <w:i w:val="0"/>
          <w:color w:val="auto"/>
          <w:sz w:val="22"/>
          <w:szCs w:val="22"/>
        </w:rPr>
        <w:t>which send control signals to the VSD</w:t>
      </w:r>
      <w:r w:rsidR="00D276D5">
        <w:rPr>
          <w:rFonts w:ascii="Calibri" w:hAnsi="Calibri"/>
          <w:i w:val="0"/>
          <w:color w:val="auto"/>
          <w:sz w:val="22"/>
          <w:szCs w:val="22"/>
        </w:rPr>
        <w:t>. This saves energy due to the cubic nature of th</w:t>
      </w:r>
      <w:r w:rsidR="00740AD2">
        <w:rPr>
          <w:rFonts w:ascii="Calibri" w:hAnsi="Calibri"/>
          <w:i w:val="0"/>
          <w:color w:val="auto"/>
          <w:sz w:val="22"/>
          <w:szCs w:val="22"/>
        </w:rPr>
        <w:t>e fan affinity laws. Fan power is proportial to the fan speed, e.g. operating at half speed theoretically requires only one-eighth of the power draw at full speed.</w:t>
      </w:r>
      <w:r w:rsidR="00EC2278">
        <w:rPr>
          <w:rFonts w:ascii="Calibri" w:hAnsi="Calibri"/>
          <w:i w:val="0"/>
          <w:color w:val="auto"/>
          <w:sz w:val="22"/>
          <w:szCs w:val="22"/>
        </w:rPr>
        <w:t xml:space="preserve"> Depending on the </w:t>
      </w:r>
      <w:r w:rsidR="009E68D7">
        <w:rPr>
          <w:rFonts w:ascii="Calibri" w:hAnsi="Calibri"/>
          <w:i w:val="0"/>
          <w:color w:val="auto"/>
          <w:sz w:val="22"/>
          <w:szCs w:val="22"/>
        </w:rPr>
        <w:t>system</w:t>
      </w:r>
      <w:r w:rsidR="00EC2278">
        <w:rPr>
          <w:rFonts w:ascii="Calibri" w:hAnsi="Calibri"/>
          <w:i w:val="0"/>
          <w:color w:val="auto"/>
          <w:sz w:val="22"/>
          <w:szCs w:val="22"/>
        </w:rPr>
        <w:t>, there may be minimum and maximum speed requirements that apply</w:t>
      </w:r>
      <w:r w:rsidR="009E68D7">
        <w:rPr>
          <w:rFonts w:ascii="Calibri" w:hAnsi="Calibri"/>
          <w:i w:val="0"/>
          <w:color w:val="auto"/>
          <w:sz w:val="22"/>
          <w:szCs w:val="22"/>
        </w:rPr>
        <w:t>, e.g. minimum speed of 30%</w:t>
      </w:r>
      <w:r w:rsidR="00EC2278">
        <w:rPr>
          <w:rFonts w:ascii="Calibri" w:hAnsi="Calibri"/>
          <w:i w:val="0"/>
          <w:color w:val="auto"/>
          <w:sz w:val="22"/>
          <w:szCs w:val="22"/>
        </w:rPr>
        <w:t>.</w:t>
      </w:r>
    </w:p>
    <w:p w:rsidR="00697868" w:rsidRPr="00697868" w:rsidRDefault="00697868" w:rsidP="00697868">
      <w:pPr>
        <w:pStyle w:val="Heading2"/>
        <w:rPr>
          <w:rFonts w:asciiTheme="minorHAnsi" w:hAnsiTheme="minorHAnsi"/>
        </w:rPr>
      </w:pPr>
      <w:r w:rsidRPr="00697868">
        <w:rPr>
          <w:rFonts w:asciiTheme="minorHAnsi" w:hAnsiTheme="minorHAnsi"/>
        </w:rPr>
        <w:t>1.</w:t>
      </w:r>
      <w:r>
        <w:rPr>
          <w:rFonts w:asciiTheme="minorHAnsi" w:hAnsiTheme="minorHAnsi"/>
        </w:rPr>
        <w:t>3 Measure Application Type</w:t>
      </w:r>
    </w:p>
    <w:p w:rsidR="00CE28CF" w:rsidRPr="008D56EE" w:rsidRDefault="00CE28CF" w:rsidP="00697868">
      <w:pPr>
        <w:pStyle w:val="Reminders"/>
        <w:tabs>
          <w:tab w:val="num" w:pos="360"/>
        </w:tabs>
        <w:rPr>
          <w:rFonts w:asciiTheme="minorHAnsi" w:hAnsiTheme="minorHAnsi" w:cstheme="minorHAnsi"/>
          <w:i w:val="0"/>
          <w:color w:val="auto"/>
          <w:sz w:val="22"/>
          <w:szCs w:val="22"/>
        </w:rPr>
      </w:pPr>
      <w:r w:rsidRPr="008D56EE">
        <w:rPr>
          <w:rFonts w:asciiTheme="minorHAnsi" w:hAnsiTheme="minorHAnsi" w:cstheme="minorHAnsi"/>
          <w:i w:val="0"/>
          <w:color w:val="auto"/>
          <w:sz w:val="22"/>
          <w:szCs w:val="22"/>
        </w:rPr>
        <w:t>Note: See Appendix A for a comparison of the application types used by</w:t>
      </w:r>
      <w:r w:rsidR="00413CDB" w:rsidRPr="008D56EE">
        <w:rPr>
          <w:rFonts w:asciiTheme="minorHAnsi" w:hAnsiTheme="minorHAnsi" w:cstheme="minorHAnsi"/>
          <w:i w:val="0"/>
          <w:color w:val="auto"/>
          <w:sz w:val="22"/>
          <w:szCs w:val="22"/>
        </w:rPr>
        <w:t xml:space="preserve"> </w:t>
      </w:r>
      <w:r w:rsidRPr="008D56EE">
        <w:rPr>
          <w:rFonts w:asciiTheme="minorHAnsi" w:hAnsiTheme="minorHAnsi" w:cstheme="minorHAnsi"/>
          <w:i w:val="0"/>
          <w:color w:val="auto"/>
          <w:sz w:val="22"/>
          <w:szCs w:val="22"/>
        </w:rPr>
        <w:t xml:space="preserve">and incorporated </w:t>
      </w:r>
      <w:r w:rsidR="00413CDB" w:rsidRPr="008D56EE">
        <w:rPr>
          <w:rFonts w:asciiTheme="minorHAnsi" w:hAnsiTheme="minorHAnsi" w:cstheme="minorHAnsi"/>
          <w:i w:val="0"/>
          <w:color w:val="auto"/>
          <w:sz w:val="22"/>
          <w:szCs w:val="22"/>
        </w:rPr>
        <w:t>into SCE</w:t>
      </w:r>
      <w:r w:rsidRPr="008D56EE">
        <w:rPr>
          <w:rFonts w:asciiTheme="minorHAnsi" w:hAnsiTheme="minorHAnsi" w:cstheme="minorHAnsi"/>
          <w:i w:val="0"/>
          <w:color w:val="auto"/>
          <w:sz w:val="22"/>
          <w:szCs w:val="22"/>
        </w:rPr>
        <w:t xml:space="preserve"> systems versus the application types available in the newest revision of DEER 2014. Appendix A will serve as a translation between the outputs of this workpaper and application types used by READi. </w:t>
      </w:r>
    </w:p>
    <w:p w:rsidR="00CE28CF" w:rsidRPr="00CE6394" w:rsidRDefault="00CE28CF" w:rsidP="00697868">
      <w:pPr>
        <w:pStyle w:val="Reminders"/>
        <w:tabs>
          <w:tab w:val="num" w:pos="360"/>
        </w:tabs>
        <w:rPr>
          <w:rFonts w:ascii="Calibri" w:hAnsi="Calibri"/>
          <w:i w:val="0"/>
          <w:color w:val="auto"/>
          <w:sz w:val="22"/>
          <w:szCs w:val="22"/>
        </w:rPr>
      </w:pPr>
    </w:p>
    <w:p w:rsidR="00CE6394" w:rsidRPr="00CE6394" w:rsidRDefault="00CE6394" w:rsidP="00CE6394">
      <w:pPr>
        <w:rPr>
          <w:rFonts w:ascii="Calibri" w:hAnsi="Calibri"/>
          <w:sz w:val="22"/>
          <w:szCs w:val="22"/>
        </w:rPr>
      </w:pPr>
      <w:bookmarkStart w:id="12" w:name="_Toc214003084"/>
      <w:r w:rsidRPr="00CE6394">
        <w:rPr>
          <w:rFonts w:ascii="Calibri" w:hAnsi="Calibri"/>
          <w:sz w:val="22"/>
          <w:szCs w:val="22"/>
        </w:rPr>
        <w:t>The delivery methods are:</w:t>
      </w:r>
    </w:p>
    <w:p w:rsidR="00CE6394" w:rsidRPr="00CE6394" w:rsidRDefault="00D20C5C" w:rsidP="00CE6394">
      <w:pPr>
        <w:numPr>
          <w:ilvl w:val="0"/>
          <w:numId w:val="11"/>
        </w:numPr>
        <w:rPr>
          <w:rFonts w:ascii="Calibri" w:hAnsi="Calibri"/>
          <w:sz w:val="22"/>
          <w:szCs w:val="22"/>
        </w:rPr>
      </w:pPr>
      <w:r>
        <w:rPr>
          <w:rFonts w:ascii="Calibri" w:hAnsi="Calibri"/>
          <w:sz w:val="22"/>
          <w:szCs w:val="22"/>
        </w:rPr>
        <w:t>Financial Support –</w:t>
      </w:r>
      <w:r w:rsidR="00CE6394" w:rsidRPr="00CE6394">
        <w:rPr>
          <w:rFonts w:ascii="Calibri" w:hAnsi="Calibri"/>
          <w:sz w:val="22"/>
          <w:szCs w:val="22"/>
        </w:rPr>
        <w:t xml:space="preserve"> Down-Stream Incentive – Deemed </w:t>
      </w:r>
    </w:p>
    <w:p w:rsidR="00CE6394" w:rsidRPr="00CE6394" w:rsidRDefault="00CE6394" w:rsidP="00CE6394">
      <w:pPr>
        <w:numPr>
          <w:ilvl w:val="0"/>
          <w:numId w:val="11"/>
        </w:numPr>
        <w:rPr>
          <w:rFonts w:ascii="Calibri" w:hAnsi="Calibri"/>
          <w:sz w:val="22"/>
          <w:szCs w:val="22"/>
        </w:rPr>
      </w:pPr>
      <w:r w:rsidRPr="00CE6394">
        <w:rPr>
          <w:rFonts w:ascii="Calibri" w:hAnsi="Calibri"/>
          <w:sz w:val="22"/>
          <w:szCs w:val="22"/>
        </w:rPr>
        <w:t>Partnership – Down-Stream Incentive – Deemed</w:t>
      </w:r>
    </w:p>
    <w:p w:rsidR="00CE6394" w:rsidRPr="00CE6394" w:rsidRDefault="00CE6394" w:rsidP="00CE6394">
      <w:pPr>
        <w:rPr>
          <w:rFonts w:ascii="Calibri" w:hAnsi="Calibri"/>
          <w:sz w:val="22"/>
          <w:szCs w:val="22"/>
        </w:rPr>
      </w:pPr>
    </w:p>
    <w:p w:rsidR="00CE6394" w:rsidRPr="00CE6394" w:rsidRDefault="00CE6394" w:rsidP="00D20C5C">
      <w:pPr>
        <w:rPr>
          <w:szCs w:val="22"/>
        </w:rPr>
      </w:pPr>
      <w:r w:rsidRPr="00CE6394">
        <w:rPr>
          <w:rFonts w:ascii="Calibri" w:hAnsi="Calibri"/>
          <w:sz w:val="22"/>
          <w:szCs w:val="22"/>
        </w:rPr>
        <w:t xml:space="preserve">The program/install type </w:t>
      </w:r>
      <w:r w:rsidR="00D20C5C">
        <w:rPr>
          <w:rFonts w:ascii="Calibri" w:hAnsi="Calibri"/>
          <w:sz w:val="22"/>
          <w:szCs w:val="22"/>
        </w:rPr>
        <w:t xml:space="preserve">is </w:t>
      </w:r>
      <w:r w:rsidRPr="00D20C5C">
        <w:rPr>
          <w:rFonts w:ascii="Calibri" w:hAnsi="Calibri"/>
          <w:sz w:val="22"/>
          <w:szCs w:val="22"/>
        </w:rPr>
        <w:t>Retrofit Add-On (REA)</w:t>
      </w:r>
      <w:r w:rsidR="00D20C5C" w:rsidRPr="00D20C5C">
        <w:rPr>
          <w:rFonts w:ascii="Calibri" w:hAnsi="Calibri"/>
          <w:sz w:val="22"/>
          <w:szCs w:val="22"/>
        </w:rPr>
        <w:t>.</w:t>
      </w:r>
    </w:p>
    <w:p w:rsidR="00E16609" w:rsidRDefault="00824F1C" w:rsidP="00824F1C">
      <w:pPr>
        <w:pStyle w:val="Heading2"/>
        <w:rPr>
          <w:rFonts w:asciiTheme="minorHAnsi" w:hAnsiTheme="minorHAnsi" w:cstheme="minorHAnsi"/>
        </w:rPr>
      </w:pPr>
      <w:proofErr w:type="gramStart"/>
      <w:r w:rsidRPr="00697868">
        <w:rPr>
          <w:rFonts w:asciiTheme="minorHAnsi" w:hAnsiTheme="minorHAnsi" w:cstheme="minorHAnsi"/>
        </w:rPr>
        <w:t>1.</w:t>
      </w:r>
      <w:r w:rsidR="00697868">
        <w:rPr>
          <w:rFonts w:asciiTheme="minorHAnsi" w:hAnsiTheme="minorHAnsi" w:cstheme="minorHAnsi"/>
        </w:rPr>
        <w:t>4</w:t>
      </w:r>
      <w:r w:rsidRPr="00697868">
        <w:rPr>
          <w:rFonts w:asciiTheme="minorHAnsi" w:hAnsiTheme="minorHAnsi" w:cstheme="minorHAnsi"/>
        </w:rPr>
        <w:t xml:space="preserve">  </w:t>
      </w:r>
      <w:r w:rsidR="00697868">
        <w:rPr>
          <w:rFonts w:asciiTheme="minorHAnsi" w:hAnsiTheme="minorHAnsi" w:cstheme="minorHAnsi"/>
        </w:rPr>
        <w:t>Measure</w:t>
      </w:r>
      <w:proofErr w:type="gramEnd"/>
      <w:r w:rsidR="00697868">
        <w:rPr>
          <w:rFonts w:asciiTheme="minorHAnsi" w:hAnsiTheme="minorHAnsi" w:cstheme="minorHAnsi"/>
        </w:rPr>
        <w:t xml:space="preserve"> and Base Case</w:t>
      </w:r>
      <w:r w:rsidR="00E16609" w:rsidRPr="00697868">
        <w:rPr>
          <w:rFonts w:asciiTheme="minorHAnsi" w:hAnsiTheme="minorHAnsi" w:cstheme="minorHAnsi"/>
        </w:rPr>
        <w:t xml:space="preserve"> </w:t>
      </w:r>
      <w:r w:rsidR="00F06CCF">
        <w:rPr>
          <w:rFonts w:asciiTheme="minorHAnsi" w:hAnsiTheme="minorHAnsi" w:cstheme="minorHAnsi"/>
        </w:rPr>
        <w:t>Cost Effectiveness Data</w:t>
      </w:r>
      <w:bookmarkEnd w:id="12"/>
    </w:p>
    <w:p w:rsidR="00F06CCF" w:rsidRPr="00F06CCF" w:rsidRDefault="00F06CCF" w:rsidP="00F06CCF">
      <w:pPr>
        <w:pStyle w:val="Heading3"/>
        <w:rPr>
          <w:rFonts w:asciiTheme="minorHAnsi" w:hAnsiTheme="minorHAnsi"/>
        </w:rPr>
      </w:pPr>
      <w:r w:rsidRPr="00F06CCF">
        <w:rPr>
          <w:rFonts w:asciiTheme="minorHAnsi" w:hAnsiTheme="minorHAnsi"/>
        </w:rPr>
        <w:t>1.4.1</w:t>
      </w:r>
      <w:r>
        <w:rPr>
          <w:rFonts w:asciiTheme="minorHAnsi" w:hAnsiTheme="minorHAnsi"/>
        </w:rPr>
        <w:t xml:space="preserve"> DEER Measure and Base Case Analysis</w:t>
      </w:r>
    </w:p>
    <w:p w:rsidR="003F668F" w:rsidRPr="003F668F" w:rsidRDefault="003473FB" w:rsidP="003F668F">
      <w:pPr>
        <w:rPr>
          <w:rFonts w:ascii="Calibri" w:hAnsi="Calibri"/>
          <w:sz w:val="22"/>
          <w:szCs w:val="22"/>
        </w:rPr>
      </w:pPr>
      <w:r>
        <w:rPr>
          <w:rFonts w:ascii="Calibri" w:hAnsi="Calibri"/>
          <w:sz w:val="22"/>
          <w:szCs w:val="22"/>
        </w:rPr>
        <w:t>This specific measure is</w:t>
      </w:r>
      <w:r w:rsidR="003F668F" w:rsidRPr="003F668F">
        <w:rPr>
          <w:rFonts w:ascii="Calibri" w:hAnsi="Calibri"/>
          <w:sz w:val="22"/>
          <w:szCs w:val="22"/>
        </w:rPr>
        <w:t xml:space="preserve"> not included in the Database for Energy Efficient Resources (DEER</w:t>
      </w:r>
      <w:r w:rsidR="003F668F" w:rsidRPr="003F668F">
        <w:rPr>
          <w:rFonts w:ascii="Calibri" w:hAnsi="Calibri"/>
          <w:sz w:val="22"/>
          <w:szCs w:val="22"/>
        </w:rPr>
        <w:fldChar w:fldCharType="begin"/>
      </w:r>
      <w:r w:rsidR="003F668F" w:rsidRPr="003F668F">
        <w:rPr>
          <w:rFonts w:ascii="Calibri" w:hAnsi="Calibri"/>
          <w:sz w:val="22"/>
          <w:szCs w:val="22"/>
        </w:rPr>
        <w:instrText>xe "DEER"</w:instrText>
      </w:r>
      <w:r w:rsidR="003F668F" w:rsidRPr="003F668F">
        <w:rPr>
          <w:rFonts w:ascii="Calibri" w:hAnsi="Calibri"/>
          <w:sz w:val="22"/>
          <w:szCs w:val="22"/>
        </w:rPr>
        <w:fldChar w:fldCharType="end"/>
      </w:r>
      <w:r w:rsidR="003F668F" w:rsidRPr="003F668F">
        <w:rPr>
          <w:rFonts w:ascii="Calibri" w:hAnsi="Calibri"/>
          <w:sz w:val="22"/>
          <w:szCs w:val="22"/>
        </w:rPr>
        <w:t xml:space="preserve">) Version </w:t>
      </w:r>
      <w:r w:rsidR="005D53E7">
        <w:rPr>
          <w:rFonts w:ascii="Calibri" w:hAnsi="Calibri"/>
          <w:sz w:val="22"/>
          <w:szCs w:val="22"/>
        </w:rPr>
        <w:t>2014</w:t>
      </w:r>
      <w:r w:rsidR="003F668F" w:rsidRPr="003F668F">
        <w:rPr>
          <w:rFonts w:ascii="Calibri" w:hAnsi="Calibri"/>
          <w:sz w:val="22"/>
          <w:szCs w:val="22"/>
        </w:rPr>
        <w:t>.</w:t>
      </w:r>
    </w:p>
    <w:p w:rsidR="009E1CDE" w:rsidRPr="00697868" w:rsidRDefault="009E1CDE" w:rsidP="00E16609">
      <w:pPr>
        <w:rPr>
          <w:rFonts w:asciiTheme="minorHAnsi" w:hAnsiTheme="minorHAnsi" w:cstheme="minorHAnsi"/>
          <w:sz w:val="22"/>
          <w:szCs w:val="22"/>
        </w:rPr>
      </w:pPr>
    </w:p>
    <w:p w:rsidR="009E1CDE" w:rsidRPr="00697868" w:rsidRDefault="009E1CDE" w:rsidP="009E1CDE">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CF6DDC">
        <w:rPr>
          <w:rFonts w:asciiTheme="minorHAnsi" w:hAnsiTheme="minorHAnsi" w:cstheme="minorHAnsi"/>
          <w:noProof/>
          <w:sz w:val="22"/>
          <w:szCs w:val="22"/>
        </w:rPr>
        <w:t>2</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DEER Difference </w:t>
      </w:r>
      <w:r w:rsidR="00E81F3E" w:rsidRPr="00697868">
        <w:rPr>
          <w:rFonts w:asciiTheme="minorHAnsi" w:hAnsiTheme="minorHAnsi" w:cstheme="minorHAnsi"/>
          <w:sz w:val="22"/>
          <w:szCs w:val="22"/>
        </w:rPr>
        <w:t>Summary</w:t>
      </w:r>
    </w:p>
    <w:tbl>
      <w:tblPr>
        <w:tblStyle w:val="TableContemporary"/>
        <w:tblW w:w="0" w:type="auto"/>
        <w:jc w:val="center"/>
        <w:tblInd w:w="-4618" w:type="dxa"/>
        <w:tblLook w:val="04A0" w:firstRow="1" w:lastRow="0" w:firstColumn="1" w:lastColumn="0" w:noHBand="0" w:noVBand="1"/>
      </w:tblPr>
      <w:tblGrid>
        <w:gridCol w:w="3173"/>
        <w:gridCol w:w="5513"/>
      </w:tblGrid>
      <w:tr w:rsidR="006D2809" w:rsidRPr="00697868" w:rsidTr="0088603B">
        <w:trPr>
          <w:cnfStyle w:val="100000000000" w:firstRow="1" w:lastRow="0" w:firstColumn="0" w:lastColumn="0" w:oddVBand="0" w:evenVBand="0" w:oddHBand="0" w:evenHBand="0" w:firstRowFirstColumn="0" w:firstRowLastColumn="0" w:lastRowFirstColumn="0" w:lastRowLastColumn="0"/>
          <w:jc w:val="center"/>
        </w:trPr>
        <w:tc>
          <w:tcPr>
            <w:tcW w:w="8686" w:type="dxa"/>
            <w:gridSpan w:val="2"/>
            <w:vAlign w:val="center"/>
          </w:tcPr>
          <w:p w:rsidR="006D2809" w:rsidRPr="00697868" w:rsidRDefault="006D2809" w:rsidP="00602799">
            <w:pPr>
              <w:jc w:val="center"/>
              <w:rPr>
                <w:rFonts w:asciiTheme="minorHAnsi" w:hAnsiTheme="minorHAnsi" w:cstheme="minorHAnsi"/>
                <w:color w:val="FF0000"/>
                <w:sz w:val="20"/>
                <w:szCs w:val="20"/>
              </w:rPr>
            </w:pPr>
            <w:r w:rsidRPr="00697868">
              <w:rPr>
                <w:rFonts w:asciiTheme="minorHAnsi" w:hAnsiTheme="minorHAnsi" w:cstheme="minorHAnsi"/>
                <w:sz w:val="20"/>
                <w:szCs w:val="20"/>
              </w:rPr>
              <w:t>DEER Difference Summary Table</w:t>
            </w:r>
          </w:p>
        </w:tc>
      </w:tr>
      <w:tr w:rsidR="003F668F"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3F668F" w:rsidRPr="00697868" w:rsidRDefault="003F668F" w:rsidP="00447CE5">
            <w:pPr>
              <w:rPr>
                <w:rFonts w:asciiTheme="minorHAnsi" w:hAnsiTheme="minorHAnsi" w:cstheme="minorHAnsi"/>
                <w:sz w:val="20"/>
                <w:szCs w:val="20"/>
              </w:rPr>
            </w:pPr>
            <w:r w:rsidRPr="00697868">
              <w:rPr>
                <w:rFonts w:asciiTheme="minorHAnsi" w:hAnsiTheme="minorHAnsi" w:cstheme="minorHAnsi"/>
                <w:sz w:val="20"/>
                <w:szCs w:val="20"/>
              </w:rPr>
              <w:t>Modified DEER Methodology</w:t>
            </w:r>
          </w:p>
        </w:tc>
        <w:tc>
          <w:tcPr>
            <w:tcW w:w="5513" w:type="dxa"/>
            <w:vAlign w:val="center"/>
          </w:tcPr>
          <w:p w:rsidR="003F668F" w:rsidRPr="003F668F" w:rsidRDefault="003F668F" w:rsidP="0011394F">
            <w:pPr>
              <w:jc w:val="center"/>
              <w:rPr>
                <w:rFonts w:asciiTheme="minorHAnsi" w:hAnsiTheme="minorHAnsi" w:cstheme="minorHAnsi"/>
                <w:sz w:val="20"/>
                <w:szCs w:val="20"/>
              </w:rPr>
            </w:pPr>
            <w:r w:rsidRPr="003F668F">
              <w:rPr>
                <w:rFonts w:asciiTheme="minorHAnsi" w:hAnsiTheme="minorHAnsi" w:cstheme="minorHAnsi"/>
                <w:sz w:val="20"/>
                <w:szCs w:val="20"/>
              </w:rPr>
              <w:t>No</w:t>
            </w:r>
          </w:p>
        </w:tc>
      </w:tr>
      <w:tr w:rsidR="003F668F"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3F668F" w:rsidRPr="00697868" w:rsidRDefault="003F668F" w:rsidP="00E81F3E">
            <w:pPr>
              <w:rPr>
                <w:rFonts w:asciiTheme="minorHAnsi" w:hAnsiTheme="minorHAnsi" w:cstheme="minorHAnsi"/>
                <w:sz w:val="20"/>
                <w:szCs w:val="20"/>
              </w:rPr>
            </w:pPr>
            <w:r w:rsidRPr="00697868">
              <w:rPr>
                <w:rFonts w:asciiTheme="minorHAnsi" w:hAnsiTheme="minorHAnsi" w:cstheme="minorHAnsi"/>
                <w:sz w:val="20"/>
                <w:szCs w:val="20"/>
              </w:rPr>
              <w:t>Scaled DEER Measure</w:t>
            </w:r>
          </w:p>
        </w:tc>
        <w:tc>
          <w:tcPr>
            <w:tcW w:w="5513" w:type="dxa"/>
            <w:vAlign w:val="center"/>
          </w:tcPr>
          <w:p w:rsidR="003F668F" w:rsidRPr="003F668F" w:rsidRDefault="003F668F" w:rsidP="0011394F">
            <w:pPr>
              <w:jc w:val="center"/>
              <w:rPr>
                <w:rFonts w:asciiTheme="minorHAnsi" w:hAnsiTheme="minorHAnsi" w:cstheme="minorHAnsi"/>
                <w:sz w:val="20"/>
                <w:szCs w:val="20"/>
              </w:rPr>
            </w:pPr>
            <w:r w:rsidRPr="003F668F">
              <w:rPr>
                <w:rFonts w:asciiTheme="minorHAnsi" w:hAnsiTheme="minorHAnsi" w:cstheme="minorHAnsi"/>
                <w:sz w:val="20"/>
                <w:szCs w:val="20"/>
              </w:rPr>
              <w:t>No</w:t>
            </w:r>
          </w:p>
        </w:tc>
      </w:tr>
      <w:tr w:rsidR="003F668F"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3F668F" w:rsidRPr="00697868" w:rsidRDefault="003F668F" w:rsidP="00E81F3E">
            <w:pPr>
              <w:rPr>
                <w:rFonts w:asciiTheme="minorHAnsi" w:hAnsiTheme="minorHAnsi" w:cstheme="minorHAnsi"/>
                <w:sz w:val="20"/>
                <w:szCs w:val="20"/>
              </w:rPr>
            </w:pPr>
            <w:r w:rsidRPr="00697868">
              <w:rPr>
                <w:rFonts w:asciiTheme="minorHAnsi" w:hAnsiTheme="minorHAnsi" w:cstheme="minorHAnsi"/>
                <w:sz w:val="20"/>
                <w:szCs w:val="20"/>
              </w:rPr>
              <w:t>DEER Building Prototypes Used</w:t>
            </w:r>
          </w:p>
        </w:tc>
        <w:tc>
          <w:tcPr>
            <w:tcW w:w="5513" w:type="dxa"/>
            <w:vAlign w:val="center"/>
          </w:tcPr>
          <w:p w:rsidR="003F668F" w:rsidRPr="003F668F" w:rsidRDefault="003F668F" w:rsidP="0011394F">
            <w:pPr>
              <w:jc w:val="center"/>
              <w:rPr>
                <w:rFonts w:asciiTheme="minorHAnsi" w:hAnsiTheme="minorHAnsi" w:cstheme="minorHAnsi"/>
                <w:sz w:val="20"/>
                <w:szCs w:val="20"/>
              </w:rPr>
            </w:pPr>
            <w:r w:rsidRPr="003F668F">
              <w:rPr>
                <w:rFonts w:asciiTheme="minorHAnsi" w:hAnsiTheme="minorHAnsi" w:cstheme="minorHAnsi"/>
                <w:sz w:val="20"/>
                <w:szCs w:val="20"/>
              </w:rPr>
              <w:t xml:space="preserve">No </w:t>
            </w:r>
          </w:p>
        </w:tc>
      </w:tr>
      <w:tr w:rsidR="003F668F"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3F668F" w:rsidRPr="00697868" w:rsidRDefault="003F668F" w:rsidP="00E81F3E">
            <w:pPr>
              <w:rPr>
                <w:rFonts w:asciiTheme="minorHAnsi" w:hAnsiTheme="minorHAnsi" w:cstheme="minorHAnsi"/>
                <w:sz w:val="20"/>
                <w:szCs w:val="20"/>
              </w:rPr>
            </w:pPr>
            <w:r w:rsidRPr="00697868">
              <w:rPr>
                <w:rFonts w:asciiTheme="minorHAnsi" w:hAnsiTheme="minorHAnsi" w:cstheme="minorHAnsi"/>
                <w:sz w:val="20"/>
                <w:szCs w:val="20"/>
              </w:rPr>
              <w:t>Deviation from DEER</w:t>
            </w:r>
          </w:p>
        </w:tc>
        <w:tc>
          <w:tcPr>
            <w:tcW w:w="5513" w:type="dxa"/>
            <w:vAlign w:val="center"/>
          </w:tcPr>
          <w:p w:rsidR="003F668F" w:rsidRPr="003F668F" w:rsidRDefault="003F668F" w:rsidP="0011394F">
            <w:pPr>
              <w:jc w:val="center"/>
              <w:rPr>
                <w:rFonts w:asciiTheme="minorHAnsi" w:hAnsiTheme="minorHAnsi" w:cstheme="minorHAnsi"/>
                <w:sz w:val="20"/>
                <w:szCs w:val="20"/>
              </w:rPr>
            </w:pPr>
            <w:r w:rsidRPr="003F668F">
              <w:rPr>
                <w:rFonts w:asciiTheme="minorHAnsi" w:hAnsiTheme="minorHAnsi" w:cstheme="minorHAnsi"/>
                <w:sz w:val="20"/>
                <w:szCs w:val="20"/>
              </w:rPr>
              <w:t>DEER does not contain this type of measure.</w:t>
            </w:r>
          </w:p>
        </w:tc>
      </w:tr>
      <w:tr w:rsidR="003F668F" w:rsidRPr="00697868" w:rsidTr="00E81F3E">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vAlign w:val="center"/>
          </w:tcPr>
          <w:p w:rsidR="003F668F" w:rsidRPr="00697868" w:rsidRDefault="003F668F" w:rsidP="00E81F3E">
            <w:pPr>
              <w:rPr>
                <w:rFonts w:asciiTheme="minorHAnsi" w:hAnsiTheme="minorHAnsi" w:cstheme="minorHAnsi"/>
                <w:sz w:val="20"/>
                <w:szCs w:val="20"/>
              </w:rPr>
            </w:pPr>
            <w:r w:rsidRPr="00697868">
              <w:rPr>
                <w:rFonts w:asciiTheme="minorHAnsi" w:hAnsiTheme="minorHAnsi" w:cstheme="minorHAnsi"/>
                <w:sz w:val="20"/>
                <w:szCs w:val="20"/>
              </w:rPr>
              <w:t>DEER Version</w:t>
            </w:r>
          </w:p>
        </w:tc>
        <w:tc>
          <w:tcPr>
            <w:tcW w:w="5513" w:type="dxa"/>
            <w:vAlign w:val="center"/>
          </w:tcPr>
          <w:p w:rsidR="003F668F" w:rsidRPr="003F668F" w:rsidRDefault="003F668F" w:rsidP="0011394F">
            <w:pPr>
              <w:jc w:val="center"/>
              <w:rPr>
                <w:rFonts w:asciiTheme="minorHAnsi" w:hAnsiTheme="minorHAnsi" w:cstheme="minorHAnsi"/>
                <w:sz w:val="20"/>
                <w:szCs w:val="20"/>
              </w:rPr>
            </w:pPr>
            <w:r w:rsidRPr="003F668F">
              <w:rPr>
                <w:rFonts w:asciiTheme="minorHAnsi" w:hAnsiTheme="minorHAnsi" w:cstheme="minorHAnsi"/>
                <w:sz w:val="20"/>
                <w:szCs w:val="20"/>
              </w:rPr>
              <w:t>N/A</w:t>
            </w:r>
          </w:p>
        </w:tc>
      </w:tr>
      <w:tr w:rsidR="003F668F" w:rsidRPr="00697868" w:rsidTr="00E81F3E">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vAlign w:val="center"/>
          </w:tcPr>
          <w:p w:rsidR="003F668F" w:rsidRPr="00697868" w:rsidRDefault="003F668F" w:rsidP="00E81F3E">
            <w:pPr>
              <w:rPr>
                <w:rFonts w:asciiTheme="minorHAnsi" w:hAnsiTheme="minorHAnsi" w:cstheme="minorHAnsi"/>
                <w:sz w:val="20"/>
                <w:szCs w:val="20"/>
              </w:rPr>
            </w:pPr>
            <w:r w:rsidRPr="00697868">
              <w:rPr>
                <w:rFonts w:asciiTheme="minorHAnsi" w:hAnsiTheme="minorHAnsi" w:cstheme="minorHAnsi"/>
                <w:sz w:val="20"/>
                <w:szCs w:val="20"/>
              </w:rPr>
              <w:t>DEER Run ID and Measure Name (Sample)</w:t>
            </w:r>
          </w:p>
        </w:tc>
        <w:tc>
          <w:tcPr>
            <w:tcW w:w="5513" w:type="dxa"/>
            <w:vAlign w:val="center"/>
          </w:tcPr>
          <w:p w:rsidR="003F668F" w:rsidRPr="003F668F" w:rsidRDefault="003F668F" w:rsidP="0011394F">
            <w:pPr>
              <w:jc w:val="center"/>
              <w:rPr>
                <w:rFonts w:asciiTheme="minorHAnsi" w:hAnsiTheme="minorHAnsi" w:cstheme="minorHAnsi"/>
                <w:sz w:val="20"/>
                <w:szCs w:val="20"/>
              </w:rPr>
            </w:pPr>
            <w:r w:rsidRPr="003F668F">
              <w:rPr>
                <w:rFonts w:asciiTheme="minorHAnsi" w:hAnsiTheme="minorHAnsi" w:cstheme="minorHAnsi"/>
                <w:sz w:val="20"/>
                <w:szCs w:val="20"/>
              </w:rPr>
              <w:t>N/A</w:t>
            </w:r>
          </w:p>
        </w:tc>
      </w:tr>
    </w:tbl>
    <w:p w:rsidR="000968C6" w:rsidRDefault="000968C6" w:rsidP="000968C6">
      <w:pPr>
        <w:pStyle w:val="Reminders"/>
        <w:rPr>
          <w:rFonts w:asciiTheme="minorHAnsi" w:hAnsiTheme="minorHAnsi" w:cstheme="minorHAnsi"/>
          <w:sz w:val="22"/>
          <w:szCs w:val="22"/>
        </w:rPr>
      </w:pPr>
      <w:bookmarkStart w:id="13" w:name="_Toc214003087"/>
    </w:p>
    <w:p w:rsid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Net to Gross</w:t>
      </w:r>
    </w:p>
    <w:p w:rsidR="000968C6" w:rsidRPr="00697868" w:rsidRDefault="000968C6" w:rsidP="000968C6">
      <w:pPr>
        <w:rPr>
          <w:rFonts w:asciiTheme="minorHAnsi" w:hAnsiTheme="minorHAnsi" w:cstheme="minorHAnsi"/>
          <w:sz w:val="22"/>
          <w:szCs w:val="22"/>
        </w:rPr>
      </w:pPr>
      <w:r w:rsidRPr="00697868">
        <w:rPr>
          <w:rFonts w:asciiTheme="minorHAnsi" w:hAnsiTheme="minorHAnsi" w:cstheme="minorHAnsi"/>
          <w:sz w:val="22"/>
          <w:szCs w:val="22"/>
        </w:rPr>
        <w:t xml:space="preserve">The NTG value was obtained from the “DEER2011_NTGR_2012-05-16.xls” on the DEER website as required by Version </w:t>
      </w:r>
      <w:r w:rsidR="006B4A48">
        <w:rPr>
          <w:rFonts w:asciiTheme="minorHAnsi" w:hAnsiTheme="minorHAnsi" w:cstheme="minorHAnsi"/>
          <w:sz w:val="22"/>
          <w:szCs w:val="22"/>
        </w:rPr>
        <w:t>5</w:t>
      </w:r>
      <w:r w:rsidRPr="00697868">
        <w:rPr>
          <w:rFonts w:asciiTheme="minorHAnsi" w:hAnsiTheme="minorHAnsi" w:cstheme="minorHAnsi"/>
          <w:sz w:val="22"/>
          <w:szCs w:val="22"/>
        </w:rPr>
        <w:t xml:space="preserve"> of the California Public Utilities Commission (CPUC) Energy Efficiency Policy Manual </w:t>
      </w:r>
      <w:r w:rsidR="009138A0">
        <w:rPr>
          <w:rFonts w:asciiTheme="minorHAnsi" w:hAnsiTheme="minorHAnsi" w:cstheme="minorHAnsi"/>
          <w:sz w:val="22"/>
          <w:szCs w:val="22"/>
        </w:rPr>
        <w:t>[351]</w:t>
      </w:r>
      <w:r w:rsidRPr="00697868">
        <w:rPr>
          <w:rFonts w:asciiTheme="minorHAnsi" w:hAnsiTheme="minorHAnsi" w:cstheme="minorHAnsi"/>
          <w:sz w:val="22"/>
          <w:szCs w:val="22"/>
        </w:rPr>
        <w:t>. The relevant NTGR for this measure is shown</w:t>
      </w:r>
      <w:r w:rsidR="003473FB">
        <w:rPr>
          <w:rFonts w:asciiTheme="minorHAnsi" w:hAnsiTheme="minorHAnsi" w:cstheme="minorHAnsi"/>
          <w:sz w:val="22"/>
          <w:szCs w:val="22"/>
        </w:rPr>
        <w:t xml:space="preserve"> in</w:t>
      </w:r>
      <w:r w:rsidRPr="00697868">
        <w:rPr>
          <w:rFonts w:asciiTheme="minorHAnsi" w:hAnsiTheme="minorHAnsi" w:cstheme="minorHAnsi"/>
          <w:sz w:val="22"/>
          <w:szCs w:val="22"/>
        </w:rPr>
        <w:t xml:space="preserve"> </w:t>
      </w:r>
      <w:r w:rsidR="006B4A48">
        <w:rPr>
          <w:rFonts w:asciiTheme="minorHAnsi" w:hAnsiTheme="minorHAnsi" w:cstheme="minorHAnsi"/>
          <w:sz w:val="22"/>
          <w:szCs w:val="22"/>
        </w:rPr>
        <w:fldChar w:fldCharType="begin"/>
      </w:r>
      <w:r w:rsidR="006B4A48">
        <w:rPr>
          <w:rFonts w:asciiTheme="minorHAnsi" w:hAnsiTheme="minorHAnsi" w:cstheme="minorHAnsi"/>
          <w:sz w:val="22"/>
          <w:szCs w:val="22"/>
        </w:rPr>
        <w:instrText xml:space="preserve"> REF _Ref377904128 \h </w:instrText>
      </w:r>
      <w:r w:rsidR="006B4A48">
        <w:rPr>
          <w:rFonts w:asciiTheme="minorHAnsi" w:hAnsiTheme="minorHAnsi" w:cstheme="minorHAnsi"/>
          <w:sz w:val="22"/>
          <w:szCs w:val="22"/>
        </w:rPr>
      </w:r>
      <w:r w:rsidR="006B4A48">
        <w:rPr>
          <w:rFonts w:asciiTheme="minorHAnsi" w:hAnsiTheme="minorHAnsi" w:cstheme="minorHAnsi"/>
          <w:sz w:val="22"/>
          <w:szCs w:val="22"/>
        </w:rPr>
        <w:fldChar w:fldCharType="separate"/>
      </w:r>
      <w:r w:rsidR="00CF6DDC" w:rsidRPr="00697868">
        <w:rPr>
          <w:rFonts w:asciiTheme="minorHAnsi" w:hAnsiTheme="minorHAnsi" w:cstheme="minorHAnsi"/>
          <w:sz w:val="22"/>
          <w:szCs w:val="22"/>
        </w:rPr>
        <w:t xml:space="preserve">Table </w:t>
      </w:r>
      <w:r w:rsidR="00CF6DDC">
        <w:rPr>
          <w:rFonts w:asciiTheme="minorHAnsi" w:hAnsiTheme="minorHAnsi" w:cstheme="minorHAnsi"/>
          <w:noProof/>
          <w:sz w:val="22"/>
          <w:szCs w:val="22"/>
        </w:rPr>
        <w:t>3</w:t>
      </w:r>
      <w:r w:rsidR="006B4A48">
        <w:rPr>
          <w:rFonts w:asciiTheme="minorHAnsi" w:hAnsiTheme="minorHAnsi" w:cstheme="minorHAnsi"/>
          <w:sz w:val="22"/>
          <w:szCs w:val="22"/>
        </w:rPr>
        <w:fldChar w:fldCharType="end"/>
      </w:r>
      <w:r w:rsidR="006B4A48">
        <w:rPr>
          <w:rFonts w:asciiTheme="minorHAnsi" w:hAnsiTheme="minorHAnsi" w:cstheme="minorHAnsi"/>
          <w:sz w:val="22"/>
          <w:szCs w:val="22"/>
        </w:rPr>
        <w:t xml:space="preserve"> </w:t>
      </w:r>
      <w:r w:rsidRPr="00697868">
        <w:rPr>
          <w:rFonts w:asciiTheme="minorHAnsi" w:hAnsiTheme="minorHAnsi" w:cstheme="minorHAnsi"/>
          <w:sz w:val="22"/>
          <w:szCs w:val="22"/>
        </w:rPr>
        <w:t>below.</w:t>
      </w:r>
    </w:p>
    <w:p w:rsidR="000968C6" w:rsidRPr="00697868" w:rsidRDefault="000968C6" w:rsidP="000968C6">
      <w:pPr>
        <w:rPr>
          <w:rFonts w:asciiTheme="minorHAnsi" w:hAnsiTheme="minorHAnsi" w:cstheme="minorHAnsi"/>
          <w:sz w:val="22"/>
          <w:szCs w:val="22"/>
        </w:rPr>
      </w:pPr>
    </w:p>
    <w:p w:rsidR="000968C6" w:rsidRPr="00697868" w:rsidRDefault="000968C6" w:rsidP="000968C6">
      <w:pPr>
        <w:pStyle w:val="Caption"/>
        <w:jc w:val="center"/>
        <w:rPr>
          <w:rFonts w:asciiTheme="minorHAnsi" w:hAnsiTheme="minorHAnsi" w:cstheme="minorHAnsi"/>
          <w:sz w:val="22"/>
          <w:szCs w:val="22"/>
        </w:rPr>
      </w:pPr>
      <w:bookmarkStart w:id="14" w:name="_Ref37790412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CF6DDC">
        <w:rPr>
          <w:rFonts w:asciiTheme="minorHAnsi" w:hAnsiTheme="minorHAnsi" w:cstheme="minorHAnsi"/>
          <w:noProof/>
          <w:sz w:val="22"/>
          <w:szCs w:val="22"/>
        </w:rPr>
        <w:t>3</w:t>
      </w:r>
      <w:r w:rsidRPr="00697868">
        <w:rPr>
          <w:rFonts w:asciiTheme="minorHAnsi" w:hAnsiTheme="minorHAnsi" w:cstheme="minorHAnsi"/>
          <w:sz w:val="22"/>
          <w:szCs w:val="22"/>
        </w:rPr>
        <w:fldChar w:fldCharType="end"/>
      </w:r>
      <w:bookmarkEnd w:id="14"/>
      <w:r w:rsidRPr="00697868">
        <w:rPr>
          <w:rFonts w:asciiTheme="minorHAnsi" w:hAnsiTheme="minorHAnsi" w:cstheme="minorHAnsi"/>
          <w:sz w:val="22"/>
          <w:szCs w:val="22"/>
        </w:rPr>
        <w:t xml:space="preserve"> Net-to-Gross Ratio</w:t>
      </w:r>
    </w:p>
    <w:tbl>
      <w:tblPr>
        <w:tblStyle w:val="TableContemporary"/>
        <w:tblW w:w="4381" w:type="pct"/>
        <w:jc w:val="center"/>
        <w:tblInd w:w="1186" w:type="dxa"/>
        <w:tblLook w:val="01E0" w:firstRow="1" w:lastRow="1" w:firstColumn="1" w:lastColumn="1" w:noHBand="0" w:noVBand="0"/>
      </w:tblPr>
      <w:tblGrid>
        <w:gridCol w:w="1253"/>
        <w:gridCol w:w="3187"/>
        <w:gridCol w:w="843"/>
        <w:gridCol w:w="1237"/>
        <w:gridCol w:w="1195"/>
        <w:gridCol w:w="675"/>
      </w:tblGrid>
      <w:tr w:rsidR="003F668F" w:rsidRPr="00697868" w:rsidTr="008B499C">
        <w:trPr>
          <w:cnfStyle w:val="100000000000" w:firstRow="1" w:lastRow="0" w:firstColumn="0" w:lastColumn="0" w:oddVBand="0" w:evenVBand="0" w:oddHBand="0" w:evenHBand="0" w:firstRowFirstColumn="0" w:firstRowLastColumn="0" w:lastRowFirstColumn="0" w:lastRowLastColumn="0"/>
          <w:jc w:val="center"/>
        </w:trPr>
        <w:tc>
          <w:tcPr>
            <w:tcW w:w="747"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NTGR_ID*</w:t>
            </w:r>
          </w:p>
        </w:tc>
        <w:tc>
          <w:tcPr>
            <w:tcW w:w="1899"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502"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737"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12" w:type="pct"/>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402" w:type="pct"/>
            <w:vAlign w:val="center"/>
          </w:tcPr>
          <w:p w:rsidR="000968C6" w:rsidRPr="00697868" w:rsidRDefault="000968C6" w:rsidP="009824E9">
            <w:pPr>
              <w:jc w:val="center"/>
              <w:rPr>
                <w:rFonts w:asciiTheme="minorHAnsi" w:hAnsiTheme="minorHAnsi" w:cstheme="minorHAnsi"/>
                <w:sz w:val="20"/>
                <w:szCs w:val="20"/>
              </w:rPr>
            </w:pPr>
            <w:r w:rsidRPr="00697868">
              <w:rPr>
                <w:rFonts w:asciiTheme="minorHAnsi" w:hAnsiTheme="minorHAnsi" w:cstheme="minorHAnsi"/>
                <w:sz w:val="20"/>
                <w:szCs w:val="20"/>
              </w:rPr>
              <w:t>NTG*</w:t>
            </w:r>
          </w:p>
        </w:tc>
      </w:tr>
      <w:tr w:rsidR="003F668F" w:rsidRPr="00697868" w:rsidTr="008B499C">
        <w:trPr>
          <w:cnfStyle w:val="000000100000" w:firstRow="0" w:lastRow="0" w:firstColumn="0" w:lastColumn="0" w:oddVBand="0" w:evenVBand="0" w:oddHBand="1" w:evenHBand="0" w:firstRowFirstColumn="0" w:firstRowLastColumn="0" w:lastRowFirstColumn="0" w:lastRowLastColumn="0"/>
          <w:jc w:val="center"/>
        </w:trPr>
        <w:tc>
          <w:tcPr>
            <w:tcW w:w="747" w:type="pct"/>
            <w:vAlign w:val="center"/>
          </w:tcPr>
          <w:p w:rsidR="003F668F" w:rsidRPr="003F668F" w:rsidRDefault="003F668F" w:rsidP="003F668F">
            <w:pPr>
              <w:jc w:val="center"/>
              <w:rPr>
                <w:rFonts w:asciiTheme="minorHAnsi" w:hAnsiTheme="minorHAnsi" w:cstheme="minorHAnsi"/>
                <w:sz w:val="20"/>
                <w:szCs w:val="20"/>
              </w:rPr>
            </w:pPr>
            <w:r w:rsidRPr="003F668F">
              <w:rPr>
                <w:rFonts w:asciiTheme="minorHAnsi" w:hAnsiTheme="minorHAnsi" w:cstheme="minorHAnsi"/>
                <w:sz w:val="20"/>
                <w:szCs w:val="20"/>
              </w:rPr>
              <w:t>Com-Default&gt;2yrs</w:t>
            </w:r>
          </w:p>
        </w:tc>
        <w:tc>
          <w:tcPr>
            <w:tcW w:w="1899" w:type="pct"/>
            <w:vAlign w:val="center"/>
          </w:tcPr>
          <w:p w:rsidR="003F668F" w:rsidRPr="003F668F" w:rsidRDefault="003F668F" w:rsidP="003F668F">
            <w:pPr>
              <w:jc w:val="center"/>
              <w:rPr>
                <w:rFonts w:asciiTheme="minorHAnsi" w:hAnsiTheme="minorHAnsi" w:cstheme="minorHAnsi"/>
                <w:sz w:val="20"/>
                <w:szCs w:val="20"/>
              </w:rPr>
            </w:pPr>
            <w:r w:rsidRPr="003F668F">
              <w:rPr>
                <w:rFonts w:asciiTheme="minorHAnsi" w:hAnsiTheme="minorHAnsi" w:cstheme="minorHAnsi"/>
                <w:sz w:val="20"/>
                <w:szCs w:val="20"/>
              </w:rPr>
              <w:t>All other EEMs with no evaluated NTGR; existing EEM in programs with same delivery mechanism for more than 2 years</w:t>
            </w:r>
          </w:p>
        </w:tc>
        <w:tc>
          <w:tcPr>
            <w:tcW w:w="502" w:type="pct"/>
            <w:vAlign w:val="center"/>
          </w:tcPr>
          <w:p w:rsidR="003F668F" w:rsidRPr="00697868" w:rsidRDefault="003F668F" w:rsidP="003F668F">
            <w:pPr>
              <w:jc w:val="center"/>
              <w:rPr>
                <w:rFonts w:asciiTheme="minorHAnsi" w:hAnsiTheme="minorHAnsi" w:cstheme="minorHAnsi"/>
                <w:sz w:val="20"/>
                <w:szCs w:val="20"/>
              </w:rPr>
            </w:pPr>
            <w:r w:rsidRPr="00697868">
              <w:rPr>
                <w:rFonts w:asciiTheme="minorHAnsi" w:hAnsiTheme="minorHAnsi" w:cstheme="minorHAnsi"/>
                <w:sz w:val="20"/>
                <w:szCs w:val="20"/>
              </w:rPr>
              <w:t>Com</w:t>
            </w:r>
          </w:p>
        </w:tc>
        <w:tc>
          <w:tcPr>
            <w:tcW w:w="737" w:type="pct"/>
            <w:vAlign w:val="center"/>
          </w:tcPr>
          <w:p w:rsidR="003F668F" w:rsidRPr="00697868" w:rsidRDefault="003F668F" w:rsidP="003F668F">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12" w:type="pct"/>
            <w:vAlign w:val="center"/>
          </w:tcPr>
          <w:p w:rsidR="003F668F" w:rsidRPr="00697868" w:rsidRDefault="003F668F" w:rsidP="003F668F">
            <w:pPr>
              <w:jc w:val="center"/>
              <w:rPr>
                <w:rFonts w:asciiTheme="minorHAnsi" w:hAnsiTheme="minorHAnsi" w:cstheme="minorHAnsi"/>
                <w:sz w:val="20"/>
                <w:szCs w:val="20"/>
              </w:rPr>
            </w:pPr>
            <w:r>
              <w:rPr>
                <w:rFonts w:asciiTheme="minorHAnsi" w:hAnsiTheme="minorHAnsi" w:cstheme="minorHAnsi"/>
                <w:sz w:val="20"/>
                <w:szCs w:val="20"/>
              </w:rPr>
              <w:t>Any</w:t>
            </w:r>
          </w:p>
        </w:tc>
        <w:tc>
          <w:tcPr>
            <w:tcW w:w="402" w:type="pct"/>
            <w:vAlign w:val="center"/>
          </w:tcPr>
          <w:p w:rsidR="003F668F" w:rsidRPr="00697868" w:rsidRDefault="003F668F" w:rsidP="003F668F">
            <w:pPr>
              <w:jc w:val="center"/>
              <w:rPr>
                <w:rFonts w:asciiTheme="minorHAnsi" w:hAnsiTheme="minorHAnsi" w:cstheme="minorHAnsi"/>
                <w:sz w:val="20"/>
                <w:szCs w:val="20"/>
              </w:rPr>
            </w:pPr>
            <w:r>
              <w:rPr>
                <w:rFonts w:asciiTheme="minorHAnsi" w:hAnsiTheme="minorHAnsi" w:cstheme="minorHAnsi"/>
                <w:sz w:val="20"/>
                <w:szCs w:val="20"/>
              </w:rPr>
              <w:t>0.6</w:t>
            </w:r>
          </w:p>
        </w:tc>
      </w:tr>
      <w:tr w:rsidR="00CF5119" w:rsidRPr="00697868" w:rsidTr="008B499C">
        <w:trPr>
          <w:cnfStyle w:val="000000010000" w:firstRow="0" w:lastRow="0" w:firstColumn="0" w:lastColumn="0" w:oddVBand="0" w:evenVBand="0" w:oddHBand="0" w:evenHBand="1" w:firstRowFirstColumn="0" w:firstRowLastColumn="0" w:lastRowFirstColumn="0" w:lastRowLastColumn="0"/>
          <w:jc w:val="center"/>
        </w:trPr>
        <w:tc>
          <w:tcPr>
            <w:tcW w:w="747" w:type="pct"/>
            <w:vAlign w:val="center"/>
          </w:tcPr>
          <w:p w:rsidR="00CF5119" w:rsidRPr="003F668F" w:rsidRDefault="00CF5119" w:rsidP="003F668F">
            <w:pPr>
              <w:jc w:val="center"/>
              <w:rPr>
                <w:rFonts w:asciiTheme="minorHAnsi" w:hAnsiTheme="minorHAnsi" w:cstheme="minorHAnsi"/>
                <w:sz w:val="20"/>
                <w:szCs w:val="20"/>
              </w:rPr>
            </w:pPr>
            <w:r w:rsidRPr="00CF5119">
              <w:rPr>
                <w:rFonts w:asciiTheme="minorHAnsi" w:hAnsiTheme="minorHAnsi" w:cstheme="minorHAnsi"/>
                <w:sz w:val="20"/>
                <w:szCs w:val="20"/>
              </w:rPr>
              <w:t>Ind-Default&gt;2yrs</w:t>
            </w:r>
          </w:p>
        </w:tc>
        <w:tc>
          <w:tcPr>
            <w:tcW w:w="1899" w:type="pct"/>
            <w:vAlign w:val="center"/>
          </w:tcPr>
          <w:p w:rsidR="00CF5119" w:rsidRPr="003F668F" w:rsidRDefault="00CF5119" w:rsidP="009E68D7">
            <w:pPr>
              <w:jc w:val="center"/>
              <w:rPr>
                <w:rFonts w:asciiTheme="minorHAnsi" w:hAnsiTheme="minorHAnsi" w:cstheme="minorHAnsi"/>
                <w:sz w:val="20"/>
                <w:szCs w:val="20"/>
              </w:rPr>
            </w:pPr>
            <w:r w:rsidRPr="003F668F">
              <w:rPr>
                <w:rFonts w:asciiTheme="minorHAnsi" w:hAnsiTheme="minorHAnsi" w:cstheme="minorHAnsi"/>
                <w:sz w:val="20"/>
                <w:szCs w:val="20"/>
              </w:rPr>
              <w:t>All other EEMs with no evaluated NTGR; existing EEM in programs with same delivery mechanism for more than 2 years</w:t>
            </w:r>
          </w:p>
        </w:tc>
        <w:tc>
          <w:tcPr>
            <w:tcW w:w="502" w:type="pct"/>
            <w:vAlign w:val="center"/>
          </w:tcPr>
          <w:p w:rsidR="00CF5119" w:rsidRPr="00697868" w:rsidRDefault="00CF5119" w:rsidP="009E68D7">
            <w:pPr>
              <w:jc w:val="center"/>
              <w:rPr>
                <w:rFonts w:asciiTheme="minorHAnsi" w:hAnsiTheme="minorHAnsi" w:cstheme="minorHAnsi"/>
                <w:sz w:val="20"/>
                <w:szCs w:val="20"/>
              </w:rPr>
            </w:pPr>
            <w:r>
              <w:rPr>
                <w:rFonts w:asciiTheme="minorHAnsi" w:hAnsiTheme="minorHAnsi" w:cstheme="minorHAnsi"/>
                <w:sz w:val="20"/>
                <w:szCs w:val="20"/>
              </w:rPr>
              <w:t>Ind</w:t>
            </w:r>
          </w:p>
        </w:tc>
        <w:tc>
          <w:tcPr>
            <w:tcW w:w="737" w:type="pct"/>
            <w:vAlign w:val="center"/>
          </w:tcPr>
          <w:p w:rsidR="00CF5119" w:rsidRPr="00697868" w:rsidRDefault="00CF5119" w:rsidP="009E68D7">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12" w:type="pct"/>
            <w:vAlign w:val="center"/>
          </w:tcPr>
          <w:p w:rsidR="00CF5119" w:rsidRPr="00697868" w:rsidRDefault="00CF5119" w:rsidP="009E68D7">
            <w:pPr>
              <w:jc w:val="center"/>
              <w:rPr>
                <w:rFonts w:asciiTheme="minorHAnsi" w:hAnsiTheme="minorHAnsi" w:cstheme="minorHAnsi"/>
                <w:sz w:val="20"/>
                <w:szCs w:val="20"/>
              </w:rPr>
            </w:pPr>
            <w:r>
              <w:rPr>
                <w:rFonts w:asciiTheme="minorHAnsi" w:hAnsiTheme="minorHAnsi" w:cstheme="minorHAnsi"/>
                <w:sz w:val="20"/>
                <w:szCs w:val="20"/>
              </w:rPr>
              <w:t>Any</w:t>
            </w:r>
          </w:p>
        </w:tc>
        <w:tc>
          <w:tcPr>
            <w:tcW w:w="402" w:type="pct"/>
            <w:vAlign w:val="center"/>
          </w:tcPr>
          <w:p w:rsidR="00CF5119" w:rsidRPr="00697868" w:rsidRDefault="00CF5119" w:rsidP="009E68D7">
            <w:pPr>
              <w:jc w:val="center"/>
              <w:rPr>
                <w:rFonts w:asciiTheme="minorHAnsi" w:hAnsiTheme="minorHAnsi" w:cstheme="minorHAnsi"/>
                <w:sz w:val="20"/>
                <w:szCs w:val="20"/>
              </w:rPr>
            </w:pPr>
            <w:r>
              <w:rPr>
                <w:rFonts w:asciiTheme="minorHAnsi" w:hAnsiTheme="minorHAnsi" w:cstheme="minorHAnsi"/>
                <w:sz w:val="20"/>
                <w:szCs w:val="20"/>
              </w:rPr>
              <w:t>0.6</w:t>
            </w:r>
          </w:p>
        </w:tc>
      </w:tr>
      <w:tr w:rsidR="008B499C" w:rsidRPr="00697868" w:rsidTr="008B499C">
        <w:trPr>
          <w:cnfStyle w:val="000000100000" w:firstRow="0" w:lastRow="0" w:firstColumn="0" w:lastColumn="0" w:oddVBand="0" w:evenVBand="0" w:oddHBand="1" w:evenHBand="0" w:firstRowFirstColumn="0" w:firstRowLastColumn="0" w:lastRowFirstColumn="0" w:lastRowLastColumn="0"/>
          <w:jc w:val="center"/>
        </w:trPr>
        <w:tc>
          <w:tcPr>
            <w:tcW w:w="747" w:type="pct"/>
            <w:vAlign w:val="center"/>
          </w:tcPr>
          <w:p w:rsidR="008B499C" w:rsidRPr="00CF5119" w:rsidRDefault="008B499C" w:rsidP="003F668F">
            <w:pPr>
              <w:jc w:val="center"/>
              <w:rPr>
                <w:rFonts w:asciiTheme="minorHAnsi" w:hAnsiTheme="minorHAnsi" w:cstheme="minorHAnsi"/>
                <w:sz w:val="20"/>
                <w:szCs w:val="20"/>
              </w:rPr>
            </w:pPr>
            <w:r w:rsidRPr="008B499C">
              <w:rPr>
                <w:rFonts w:asciiTheme="minorHAnsi" w:hAnsiTheme="minorHAnsi" w:cstheme="minorHAnsi"/>
                <w:sz w:val="20"/>
                <w:szCs w:val="20"/>
              </w:rPr>
              <w:t>Agric-Default&gt;2yrs</w:t>
            </w:r>
          </w:p>
        </w:tc>
        <w:tc>
          <w:tcPr>
            <w:tcW w:w="1899" w:type="pct"/>
            <w:vAlign w:val="center"/>
          </w:tcPr>
          <w:p w:rsidR="008B499C" w:rsidRPr="003F668F" w:rsidRDefault="008B499C" w:rsidP="008B499C">
            <w:pPr>
              <w:jc w:val="center"/>
              <w:rPr>
                <w:rFonts w:asciiTheme="minorHAnsi" w:hAnsiTheme="minorHAnsi" w:cstheme="minorHAnsi"/>
                <w:sz w:val="20"/>
                <w:szCs w:val="20"/>
              </w:rPr>
            </w:pPr>
            <w:r w:rsidRPr="003F668F">
              <w:rPr>
                <w:rFonts w:asciiTheme="minorHAnsi" w:hAnsiTheme="minorHAnsi" w:cstheme="minorHAnsi"/>
                <w:sz w:val="20"/>
                <w:szCs w:val="20"/>
              </w:rPr>
              <w:t>All other EEMs with no evaluated NTGR; existing EEM in programs with same delivery mechanism for more than 2 years</w:t>
            </w:r>
          </w:p>
        </w:tc>
        <w:tc>
          <w:tcPr>
            <w:tcW w:w="502" w:type="pct"/>
            <w:vAlign w:val="center"/>
          </w:tcPr>
          <w:p w:rsidR="008B499C" w:rsidRPr="00697868" w:rsidRDefault="008B499C" w:rsidP="008B499C">
            <w:pPr>
              <w:jc w:val="center"/>
              <w:rPr>
                <w:rFonts w:asciiTheme="minorHAnsi" w:hAnsiTheme="minorHAnsi" w:cstheme="minorHAnsi"/>
                <w:sz w:val="20"/>
                <w:szCs w:val="20"/>
              </w:rPr>
            </w:pPr>
            <w:r>
              <w:rPr>
                <w:rFonts w:asciiTheme="minorHAnsi" w:hAnsiTheme="minorHAnsi" w:cstheme="minorHAnsi"/>
                <w:sz w:val="20"/>
                <w:szCs w:val="20"/>
              </w:rPr>
              <w:t>Ind</w:t>
            </w:r>
          </w:p>
        </w:tc>
        <w:tc>
          <w:tcPr>
            <w:tcW w:w="737" w:type="pct"/>
            <w:vAlign w:val="center"/>
          </w:tcPr>
          <w:p w:rsidR="008B499C" w:rsidRPr="00697868" w:rsidRDefault="008B499C" w:rsidP="008B499C">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12" w:type="pct"/>
            <w:vAlign w:val="center"/>
          </w:tcPr>
          <w:p w:rsidR="008B499C" w:rsidRPr="00697868" w:rsidRDefault="008B499C" w:rsidP="008B499C">
            <w:pPr>
              <w:jc w:val="center"/>
              <w:rPr>
                <w:rFonts w:asciiTheme="minorHAnsi" w:hAnsiTheme="minorHAnsi" w:cstheme="minorHAnsi"/>
                <w:sz w:val="20"/>
                <w:szCs w:val="20"/>
              </w:rPr>
            </w:pPr>
            <w:r>
              <w:rPr>
                <w:rFonts w:asciiTheme="minorHAnsi" w:hAnsiTheme="minorHAnsi" w:cstheme="minorHAnsi"/>
                <w:sz w:val="20"/>
                <w:szCs w:val="20"/>
              </w:rPr>
              <w:t>Any</w:t>
            </w:r>
          </w:p>
        </w:tc>
        <w:tc>
          <w:tcPr>
            <w:tcW w:w="402" w:type="pct"/>
            <w:vAlign w:val="center"/>
          </w:tcPr>
          <w:p w:rsidR="008B499C" w:rsidRPr="00697868" w:rsidRDefault="008B499C" w:rsidP="008B499C">
            <w:pPr>
              <w:jc w:val="center"/>
              <w:rPr>
                <w:rFonts w:asciiTheme="minorHAnsi" w:hAnsiTheme="minorHAnsi" w:cstheme="minorHAnsi"/>
                <w:sz w:val="20"/>
                <w:szCs w:val="20"/>
              </w:rPr>
            </w:pPr>
            <w:r>
              <w:rPr>
                <w:rFonts w:asciiTheme="minorHAnsi" w:hAnsiTheme="minorHAnsi" w:cstheme="minorHAnsi"/>
                <w:sz w:val="20"/>
                <w:szCs w:val="20"/>
              </w:rPr>
              <w:t>0.6</w:t>
            </w:r>
          </w:p>
        </w:tc>
      </w:tr>
    </w:tbl>
    <w:p w:rsidR="000968C6" w:rsidRPr="00697868" w:rsidRDefault="000968C6" w:rsidP="000968C6">
      <w:pPr>
        <w:ind w:firstLine="720"/>
        <w:rPr>
          <w:rFonts w:asciiTheme="minorHAnsi" w:hAnsiTheme="minorHAnsi" w:cstheme="minorHAnsi"/>
          <w:sz w:val="20"/>
          <w:szCs w:val="20"/>
        </w:rPr>
      </w:pPr>
      <w:r w:rsidRPr="00697868">
        <w:rPr>
          <w:rFonts w:asciiTheme="minorHAnsi" w:hAnsiTheme="minorHAnsi" w:cstheme="minorHAnsi"/>
          <w:sz w:val="20"/>
          <w:szCs w:val="20"/>
        </w:rPr>
        <w:t>*Denotes that the column is taken from the DEER NTG Table.</w:t>
      </w:r>
    </w:p>
    <w:p w:rsidR="000968C6" w:rsidRPr="000968C6" w:rsidRDefault="000968C6" w:rsidP="000968C6">
      <w:pPr>
        <w:pStyle w:val="Reminders"/>
        <w:rPr>
          <w:rFonts w:asciiTheme="minorHAnsi" w:hAnsiTheme="minorHAnsi" w:cstheme="minorHAnsi"/>
          <w:i w:val="0"/>
          <w:color w:val="auto"/>
          <w:sz w:val="22"/>
          <w:szCs w:val="22"/>
        </w:rPr>
      </w:pPr>
    </w:p>
    <w:p w:rsidR="000968C6" w:rsidRPr="000968C6" w:rsidRDefault="000968C6" w:rsidP="000968C6">
      <w:pPr>
        <w:pStyle w:val="Reminders"/>
        <w:rPr>
          <w:rFonts w:asciiTheme="minorHAnsi" w:hAnsiTheme="minorHAnsi" w:cstheme="minorHAnsi"/>
          <w:b/>
          <w:i w:val="0"/>
          <w:color w:val="auto"/>
          <w:sz w:val="22"/>
          <w:szCs w:val="22"/>
        </w:rPr>
      </w:pPr>
      <w:r w:rsidRPr="000968C6">
        <w:rPr>
          <w:rFonts w:asciiTheme="minorHAnsi" w:hAnsiTheme="minorHAnsi" w:cstheme="minorHAnsi"/>
          <w:b/>
          <w:i w:val="0"/>
          <w:color w:val="auto"/>
          <w:sz w:val="22"/>
          <w:szCs w:val="22"/>
        </w:rPr>
        <w:t>Installation Rate</w:t>
      </w:r>
    </w:p>
    <w:p w:rsidR="006B4A48"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 xml:space="preserve">The installation rate (IR) is identified in the calculation attachment. This value is obtained from </w:t>
      </w:r>
      <w:r w:rsidR="00240B74">
        <w:rPr>
          <w:rFonts w:asciiTheme="minorHAnsi" w:hAnsiTheme="minorHAnsi" w:cstheme="minorHAnsi"/>
          <w:i w:val="0"/>
          <w:color w:val="auto"/>
          <w:sz w:val="22"/>
          <w:szCs w:val="22"/>
        </w:rPr>
        <w:t xml:space="preserve">the support table available in READi. Currently </w:t>
      </w:r>
      <w:r w:rsidR="00413CDB">
        <w:rPr>
          <w:rFonts w:asciiTheme="minorHAnsi" w:hAnsiTheme="minorHAnsi" w:cstheme="minorHAnsi"/>
          <w:i w:val="0"/>
          <w:color w:val="auto"/>
          <w:sz w:val="22"/>
          <w:szCs w:val="22"/>
        </w:rPr>
        <w:t>there is no versioning on</w:t>
      </w:r>
      <w:r w:rsidR="00240B74">
        <w:rPr>
          <w:rFonts w:asciiTheme="minorHAnsi" w:hAnsiTheme="minorHAnsi" w:cstheme="minorHAnsi"/>
          <w:i w:val="0"/>
          <w:color w:val="auto"/>
          <w:sz w:val="22"/>
          <w:szCs w:val="22"/>
        </w:rPr>
        <w:t xml:space="preserve"> the installation rate table</w:t>
      </w:r>
      <w:r w:rsidR="00413CDB">
        <w:rPr>
          <w:rFonts w:asciiTheme="minorHAnsi" w:hAnsiTheme="minorHAnsi" w:cstheme="minorHAnsi"/>
          <w:i w:val="0"/>
          <w:color w:val="auto"/>
          <w:sz w:val="22"/>
          <w:szCs w:val="22"/>
        </w:rPr>
        <w:t>. To address appropriate selection of the installation rate</w:t>
      </w:r>
      <w:r w:rsidR="00240B74">
        <w:rPr>
          <w:rFonts w:asciiTheme="minorHAnsi" w:hAnsiTheme="minorHAnsi" w:cstheme="minorHAnsi"/>
          <w:i w:val="0"/>
          <w:color w:val="auto"/>
          <w:sz w:val="22"/>
          <w:szCs w:val="22"/>
        </w:rPr>
        <w:t xml:space="preserve"> the date of the workpaper will serve as the last date checked for updated IR values.</w:t>
      </w:r>
      <w:r w:rsidRPr="000968C6">
        <w:rPr>
          <w:rFonts w:asciiTheme="minorHAnsi" w:hAnsiTheme="minorHAnsi" w:cstheme="minorHAnsi"/>
          <w:i w:val="0"/>
          <w:color w:val="auto"/>
          <w:sz w:val="22"/>
          <w:szCs w:val="22"/>
        </w:rPr>
        <w:t xml:space="preserve"> The installation rate varies by end use, sector, technology, application, and delivery method.</w:t>
      </w:r>
      <w:r w:rsidR="006B4A48" w:rsidRPr="006B4A48">
        <w:rPr>
          <w:rFonts w:asciiTheme="minorHAnsi" w:hAnsiTheme="minorHAnsi" w:cstheme="minorHAnsi"/>
          <w:i w:val="0"/>
          <w:color w:val="auto"/>
          <w:sz w:val="22"/>
          <w:szCs w:val="22"/>
        </w:rPr>
        <w:t xml:space="preserve"> The relevant </w:t>
      </w:r>
      <w:r w:rsidR="006B4A48">
        <w:rPr>
          <w:rFonts w:asciiTheme="minorHAnsi" w:hAnsiTheme="minorHAnsi" w:cstheme="minorHAnsi"/>
          <w:i w:val="0"/>
          <w:color w:val="auto"/>
          <w:sz w:val="22"/>
          <w:szCs w:val="22"/>
        </w:rPr>
        <w:t>IR values</w:t>
      </w:r>
      <w:r w:rsidR="006B4A48" w:rsidRPr="006B4A48">
        <w:rPr>
          <w:rFonts w:asciiTheme="minorHAnsi" w:hAnsiTheme="minorHAnsi" w:cstheme="minorHAnsi"/>
          <w:i w:val="0"/>
          <w:color w:val="auto"/>
          <w:sz w:val="22"/>
          <w:szCs w:val="22"/>
        </w:rPr>
        <w:t xml:space="preserve"> for this measure are shown in </w:t>
      </w:r>
      <w:r w:rsidR="00413CDB">
        <w:rPr>
          <w:rFonts w:asciiTheme="minorHAnsi" w:hAnsiTheme="minorHAnsi" w:cstheme="minorHAnsi"/>
          <w:i w:val="0"/>
          <w:color w:val="auto"/>
          <w:sz w:val="22"/>
          <w:szCs w:val="22"/>
        </w:rPr>
        <w:fldChar w:fldCharType="begin"/>
      </w:r>
      <w:r w:rsidR="00413CDB">
        <w:rPr>
          <w:rFonts w:asciiTheme="minorHAnsi" w:hAnsiTheme="minorHAnsi" w:cstheme="minorHAnsi"/>
          <w:i w:val="0"/>
          <w:color w:val="auto"/>
          <w:sz w:val="22"/>
          <w:szCs w:val="22"/>
        </w:rPr>
        <w:instrText xml:space="preserve"> REF _Ref377965904 \h  \* MERGEFORMAT </w:instrText>
      </w:r>
      <w:r w:rsidR="00413CDB">
        <w:rPr>
          <w:rFonts w:asciiTheme="minorHAnsi" w:hAnsiTheme="minorHAnsi" w:cstheme="minorHAnsi"/>
          <w:i w:val="0"/>
          <w:color w:val="auto"/>
          <w:sz w:val="22"/>
          <w:szCs w:val="22"/>
        </w:rPr>
      </w:r>
      <w:r w:rsidR="00413CDB">
        <w:rPr>
          <w:rFonts w:asciiTheme="minorHAnsi" w:hAnsiTheme="minorHAnsi" w:cstheme="minorHAnsi"/>
          <w:i w:val="0"/>
          <w:color w:val="auto"/>
          <w:sz w:val="22"/>
          <w:szCs w:val="22"/>
        </w:rPr>
        <w:fldChar w:fldCharType="separate"/>
      </w:r>
      <w:r w:rsidR="00CF6DDC" w:rsidRPr="00CF6DDC">
        <w:rPr>
          <w:rFonts w:asciiTheme="minorHAnsi" w:hAnsiTheme="minorHAnsi" w:cstheme="minorHAnsi"/>
          <w:i w:val="0"/>
          <w:color w:val="auto"/>
          <w:sz w:val="22"/>
          <w:szCs w:val="22"/>
        </w:rPr>
        <w:t>Table 4</w:t>
      </w:r>
      <w:r w:rsidR="00413CDB">
        <w:rPr>
          <w:rFonts w:asciiTheme="minorHAnsi" w:hAnsiTheme="minorHAnsi" w:cstheme="minorHAnsi"/>
          <w:i w:val="0"/>
          <w:color w:val="auto"/>
          <w:sz w:val="22"/>
          <w:szCs w:val="22"/>
        </w:rPr>
        <w:fldChar w:fldCharType="end"/>
      </w:r>
      <w:r w:rsidR="003233DC">
        <w:rPr>
          <w:rFonts w:asciiTheme="minorHAnsi" w:hAnsiTheme="minorHAnsi" w:cstheme="minorHAnsi"/>
          <w:i w:val="0"/>
          <w:color w:val="auto"/>
          <w:sz w:val="22"/>
          <w:szCs w:val="22"/>
        </w:rPr>
        <w:t xml:space="preserve"> below.</w:t>
      </w:r>
    </w:p>
    <w:p w:rsidR="003233DC" w:rsidRDefault="003233DC"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bookmarkStart w:id="15" w:name="_Ref377965904"/>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CF6DDC">
        <w:rPr>
          <w:rFonts w:asciiTheme="minorHAnsi" w:hAnsiTheme="minorHAnsi" w:cstheme="minorHAnsi"/>
          <w:noProof/>
          <w:sz w:val="22"/>
          <w:szCs w:val="22"/>
        </w:rPr>
        <w:t>4</w:t>
      </w:r>
      <w:r w:rsidRPr="00240B74">
        <w:rPr>
          <w:rFonts w:asciiTheme="minorHAnsi" w:hAnsiTheme="minorHAnsi" w:cstheme="minorHAnsi"/>
          <w:sz w:val="22"/>
          <w:szCs w:val="22"/>
        </w:rPr>
        <w:fldChar w:fldCharType="end"/>
      </w:r>
      <w:bookmarkEnd w:id="15"/>
      <w:r>
        <w:rPr>
          <w:rFonts w:asciiTheme="minorHAnsi" w:hAnsiTheme="minorHAnsi" w:cstheme="minorHAnsi"/>
          <w:sz w:val="22"/>
          <w:szCs w:val="22"/>
        </w:rPr>
        <w:t xml:space="preserve"> Installation Rate</w:t>
      </w:r>
    </w:p>
    <w:tbl>
      <w:tblPr>
        <w:tblStyle w:val="TableContemporary"/>
        <w:tblW w:w="4381" w:type="pct"/>
        <w:jc w:val="center"/>
        <w:tblInd w:w="1186" w:type="dxa"/>
        <w:tblLook w:val="01E0" w:firstRow="1" w:lastRow="1" w:firstColumn="1" w:lastColumn="1" w:noHBand="0" w:noVBand="0"/>
      </w:tblPr>
      <w:tblGrid>
        <w:gridCol w:w="1331"/>
        <w:gridCol w:w="1695"/>
        <w:gridCol w:w="1290"/>
        <w:gridCol w:w="1608"/>
        <w:gridCol w:w="1279"/>
        <w:gridCol w:w="1187"/>
      </w:tblGrid>
      <w:tr w:rsidR="006B4A48" w:rsidRPr="00697868" w:rsidTr="00240B74">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GSIA_ID</w:t>
            </w:r>
            <w:r w:rsidRPr="00697868">
              <w:rPr>
                <w:rFonts w:asciiTheme="minorHAnsi" w:hAnsiTheme="minorHAnsi" w:cstheme="minorHAnsi"/>
                <w:sz w:val="20"/>
                <w:szCs w:val="20"/>
              </w:rPr>
              <w:t>*</w:t>
            </w:r>
          </w:p>
        </w:tc>
        <w:tc>
          <w:tcPr>
            <w:tcW w:w="1010"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Description*</w:t>
            </w:r>
          </w:p>
        </w:tc>
        <w:tc>
          <w:tcPr>
            <w:tcW w:w="769"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Sector*</w:t>
            </w:r>
          </w:p>
        </w:tc>
        <w:tc>
          <w:tcPr>
            <w:tcW w:w="958" w:type="pct"/>
            <w:vAlign w:val="center"/>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BldgType*</w:t>
            </w:r>
          </w:p>
        </w:tc>
        <w:tc>
          <w:tcPr>
            <w:tcW w:w="762" w:type="pct"/>
          </w:tcPr>
          <w:p w:rsidR="006B4A48" w:rsidRPr="00697868" w:rsidRDefault="006B4A48" w:rsidP="009824E9">
            <w:pPr>
              <w:jc w:val="center"/>
              <w:rPr>
                <w:rFonts w:asciiTheme="minorHAnsi" w:hAnsiTheme="minorHAnsi" w:cstheme="minorHAnsi"/>
                <w:sz w:val="20"/>
                <w:szCs w:val="20"/>
              </w:rPr>
            </w:pPr>
            <w:r w:rsidRPr="00697868">
              <w:rPr>
                <w:rFonts w:asciiTheme="minorHAnsi" w:hAnsiTheme="minorHAnsi" w:cstheme="minorHAnsi"/>
                <w:sz w:val="20"/>
                <w:szCs w:val="20"/>
              </w:rPr>
              <w:t>ProgDelivID</w:t>
            </w:r>
          </w:p>
        </w:tc>
        <w:tc>
          <w:tcPr>
            <w:tcW w:w="707" w:type="pct"/>
            <w:vAlign w:val="center"/>
          </w:tcPr>
          <w:p w:rsidR="006B4A48" w:rsidRPr="00697868" w:rsidRDefault="006B4A48" w:rsidP="009824E9">
            <w:pPr>
              <w:jc w:val="center"/>
              <w:rPr>
                <w:rFonts w:asciiTheme="minorHAnsi" w:hAnsiTheme="minorHAnsi" w:cstheme="minorHAnsi"/>
                <w:sz w:val="20"/>
                <w:szCs w:val="20"/>
              </w:rPr>
            </w:pPr>
            <w:r w:rsidRPr="006B4A48">
              <w:rPr>
                <w:rFonts w:asciiTheme="minorHAnsi" w:hAnsiTheme="minorHAnsi" w:cstheme="minorHAnsi"/>
                <w:sz w:val="20"/>
                <w:szCs w:val="20"/>
              </w:rPr>
              <w:t>GSIAValue</w:t>
            </w:r>
            <w:r w:rsidRPr="00697868">
              <w:rPr>
                <w:rFonts w:asciiTheme="minorHAnsi" w:hAnsiTheme="minorHAnsi" w:cstheme="minorHAnsi"/>
                <w:sz w:val="20"/>
                <w:szCs w:val="20"/>
              </w:rPr>
              <w:t>*</w:t>
            </w:r>
          </w:p>
        </w:tc>
      </w:tr>
      <w:tr w:rsidR="006B4A48" w:rsidRPr="00697868" w:rsidTr="00537055">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rsidR="006B4A48" w:rsidRPr="00537055" w:rsidRDefault="00537055" w:rsidP="00537055">
            <w:pPr>
              <w:jc w:val="center"/>
              <w:rPr>
                <w:rFonts w:asciiTheme="minorHAnsi" w:hAnsiTheme="minorHAnsi" w:cstheme="minorHAnsi"/>
                <w:sz w:val="20"/>
                <w:szCs w:val="20"/>
              </w:rPr>
            </w:pPr>
            <w:r w:rsidRPr="00537055">
              <w:rPr>
                <w:rFonts w:asciiTheme="minorHAnsi" w:hAnsiTheme="minorHAnsi" w:cstheme="minorHAnsi"/>
                <w:sz w:val="20"/>
                <w:szCs w:val="20"/>
              </w:rPr>
              <w:t>Def-GSIA</w:t>
            </w:r>
          </w:p>
        </w:tc>
        <w:tc>
          <w:tcPr>
            <w:tcW w:w="1010" w:type="pct"/>
            <w:vAlign w:val="center"/>
          </w:tcPr>
          <w:p w:rsidR="006B4A48" w:rsidRPr="00537055" w:rsidRDefault="00537055" w:rsidP="00537055">
            <w:pPr>
              <w:jc w:val="center"/>
              <w:rPr>
                <w:rFonts w:asciiTheme="minorHAnsi" w:hAnsiTheme="minorHAnsi" w:cstheme="minorHAnsi"/>
                <w:sz w:val="20"/>
                <w:szCs w:val="20"/>
              </w:rPr>
            </w:pPr>
            <w:r w:rsidRPr="00537055">
              <w:rPr>
                <w:rFonts w:asciiTheme="minorHAnsi" w:hAnsiTheme="minorHAnsi" w:cstheme="minorHAnsi"/>
                <w:sz w:val="20"/>
                <w:szCs w:val="20"/>
              </w:rPr>
              <w:t>Default GSIA values</w:t>
            </w:r>
          </w:p>
        </w:tc>
        <w:tc>
          <w:tcPr>
            <w:tcW w:w="769" w:type="pct"/>
            <w:vAlign w:val="center"/>
          </w:tcPr>
          <w:p w:rsidR="006B4A48" w:rsidRPr="00697868" w:rsidRDefault="00537055" w:rsidP="00537055">
            <w:pPr>
              <w:jc w:val="center"/>
              <w:rPr>
                <w:rFonts w:asciiTheme="minorHAnsi" w:hAnsiTheme="minorHAnsi" w:cstheme="minorHAnsi"/>
                <w:sz w:val="20"/>
                <w:szCs w:val="20"/>
              </w:rPr>
            </w:pPr>
            <w:r>
              <w:rPr>
                <w:rFonts w:asciiTheme="minorHAnsi" w:hAnsiTheme="minorHAnsi" w:cstheme="minorHAnsi"/>
                <w:sz w:val="20"/>
                <w:szCs w:val="20"/>
              </w:rPr>
              <w:t>Any</w:t>
            </w:r>
          </w:p>
        </w:tc>
        <w:tc>
          <w:tcPr>
            <w:tcW w:w="958" w:type="pct"/>
            <w:vAlign w:val="center"/>
          </w:tcPr>
          <w:p w:rsidR="006B4A48" w:rsidRPr="00697868" w:rsidRDefault="006B4A48" w:rsidP="00537055">
            <w:pPr>
              <w:jc w:val="center"/>
              <w:rPr>
                <w:rFonts w:asciiTheme="minorHAnsi" w:hAnsiTheme="minorHAnsi" w:cstheme="minorHAnsi"/>
                <w:sz w:val="20"/>
                <w:szCs w:val="20"/>
              </w:rPr>
            </w:pPr>
            <w:r w:rsidRPr="00697868">
              <w:rPr>
                <w:rFonts w:asciiTheme="minorHAnsi" w:hAnsiTheme="minorHAnsi" w:cstheme="minorHAnsi"/>
                <w:sz w:val="20"/>
                <w:szCs w:val="20"/>
              </w:rPr>
              <w:t>Any</w:t>
            </w:r>
          </w:p>
        </w:tc>
        <w:tc>
          <w:tcPr>
            <w:tcW w:w="762" w:type="pct"/>
            <w:vAlign w:val="center"/>
          </w:tcPr>
          <w:p w:rsidR="006B4A48" w:rsidRPr="00697868" w:rsidRDefault="00537055" w:rsidP="00537055">
            <w:pPr>
              <w:jc w:val="center"/>
              <w:rPr>
                <w:rFonts w:asciiTheme="minorHAnsi" w:hAnsiTheme="minorHAnsi" w:cstheme="minorHAnsi"/>
                <w:sz w:val="20"/>
                <w:szCs w:val="20"/>
              </w:rPr>
            </w:pPr>
            <w:r>
              <w:rPr>
                <w:rFonts w:asciiTheme="minorHAnsi" w:hAnsiTheme="minorHAnsi" w:cstheme="minorHAnsi"/>
                <w:sz w:val="20"/>
                <w:szCs w:val="20"/>
              </w:rPr>
              <w:t>Any</w:t>
            </w:r>
          </w:p>
        </w:tc>
        <w:tc>
          <w:tcPr>
            <w:tcW w:w="707" w:type="pct"/>
            <w:vAlign w:val="center"/>
          </w:tcPr>
          <w:p w:rsidR="006B4A48" w:rsidRPr="00697868" w:rsidRDefault="00537055" w:rsidP="00537055">
            <w:pPr>
              <w:jc w:val="center"/>
              <w:rPr>
                <w:rFonts w:asciiTheme="minorHAnsi" w:hAnsiTheme="minorHAnsi" w:cstheme="minorHAnsi"/>
                <w:sz w:val="20"/>
                <w:szCs w:val="20"/>
              </w:rPr>
            </w:pPr>
            <w:r>
              <w:rPr>
                <w:rFonts w:asciiTheme="minorHAnsi" w:hAnsiTheme="minorHAnsi" w:cstheme="minorHAnsi"/>
                <w:sz w:val="20"/>
                <w:szCs w:val="20"/>
              </w:rPr>
              <w:t>1</w:t>
            </w:r>
          </w:p>
        </w:tc>
      </w:tr>
    </w:tbl>
    <w:p w:rsidR="000968C6" w:rsidRDefault="000968C6" w:rsidP="000968C6">
      <w:pPr>
        <w:pStyle w:val="Reminders"/>
        <w:rPr>
          <w:rFonts w:asciiTheme="minorHAnsi" w:hAnsiTheme="minorHAnsi" w:cstheme="minorHAnsi"/>
          <w:b/>
          <w:i w:val="0"/>
          <w:color w:val="auto"/>
          <w:sz w:val="22"/>
          <w:szCs w:val="22"/>
        </w:rPr>
      </w:pPr>
    </w:p>
    <w:p w:rsidR="006B4A48" w:rsidRDefault="006B4A48" w:rsidP="000968C6">
      <w:pPr>
        <w:pStyle w:val="Reminders"/>
        <w:rPr>
          <w:rFonts w:asciiTheme="minorHAnsi" w:hAnsiTheme="minorHAnsi" w:cstheme="minorHAnsi"/>
          <w:b/>
          <w:i w:val="0"/>
          <w:color w:val="auto"/>
          <w:sz w:val="22"/>
          <w:szCs w:val="22"/>
        </w:rPr>
      </w:pPr>
    </w:p>
    <w:p w:rsidR="000968C6" w:rsidRDefault="000968C6" w:rsidP="000968C6">
      <w:pPr>
        <w:pStyle w:val="Reminders"/>
        <w:rPr>
          <w:rFonts w:asciiTheme="minorHAnsi" w:hAnsiTheme="minorHAnsi" w:cstheme="minorHAnsi"/>
          <w:i w:val="0"/>
          <w:color w:val="auto"/>
          <w:sz w:val="22"/>
          <w:szCs w:val="22"/>
        </w:rPr>
      </w:pPr>
      <w:r>
        <w:rPr>
          <w:rFonts w:asciiTheme="minorHAnsi" w:hAnsiTheme="minorHAnsi" w:cstheme="minorHAnsi"/>
          <w:b/>
          <w:i w:val="0"/>
          <w:color w:val="auto"/>
          <w:sz w:val="22"/>
          <w:szCs w:val="22"/>
        </w:rPr>
        <w:t>Spillage</w:t>
      </w:r>
      <w:r w:rsidRPr="000968C6">
        <w:rPr>
          <w:rFonts w:asciiTheme="minorHAnsi" w:hAnsiTheme="minorHAnsi" w:cstheme="minorHAnsi"/>
          <w:b/>
          <w:i w:val="0"/>
          <w:color w:val="auto"/>
          <w:sz w:val="22"/>
          <w:szCs w:val="22"/>
        </w:rPr>
        <w:t xml:space="preserve"> Rate</w:t>
      </w:r>
    </w:p>
    <w:p w:rsidR="000968C6" w:rsidRDefault="000968C6" w:rsidP="000968C6">
      <w:pPr>
        <w:pStyle w:val="Reminders"/>
        <w:rPr>
          <w:rFonts w:asciiTheme="minorHAnsi" w:hAnsiTheme="minorHAnsi" w:cstheme="minorHAnsi"/>
          <w:i w:val="0"/>
          <w:color w:val="auto"/>
          <w:sz w:val="22"/>
          <w:szCs w:val="22"/>
        </w:rPr>
      </w:pPr>
      <w:r w:rsidRPr="000968C6">
        <w:rPr>
          <w:rFonts w:asciiTheme="minorHAnsi" w:hAnsiTheme="minorHAnsi" w:cstheme="minorHAnsi"/>
          <w:i w:val="0"/>
          <w:color w:val="auto"/>
          <w:sz w:val="22"/>
          <w:szCs w:val="22"/>
        </w:rPr>
        <w:t>Spillage rate will also be applied to measures however the values will not be tracked in the workpapers. The spillage rate will be tracked in an external table to be supplied to the Energy Division</w:t>
      </w:r>
      <w:r w:rsidR="00240B74">
        <w:rPr>
          <w:rFonts w:asciiTheme="minorHAnsi" w:hAnsiTheme="minorHAnsi" w:cstheme="minorHAnsi"/>
          <w:i w:val="0"/>
          <w:color w:val="auto"/>
          <w:sz w:val="22"/>
          <w:szCs w:val="22"/>
        </w:rPr>
        <w:t>.</w:t>
      </w:r>
    </w:p>
    <w:p w:rsidR="00E37F72" w:rsidRDefault="00E37F72" w:rsidP="000968C6">
      <w:pPr>
        <w:pStyle w:val="Reminders"/>
        <w:rPr>
          <w:rFonts w:asciiTheme="minorHAnsi" w:hAnsiTheme="minorHAnsi" w:cstheme="minorHAnsi"/>
          <w:i w:val="0"/>
          <w:color w:val="auto"/>
          <w:sz w:val="22"/>
          <w:szCs w:val="22"/>
        </w:rPr>
      </w:pPr>
    </w:p>
    <w:p w:rsidR="00E37F72" w:rsidRDefault="00E37F72" w:rsidP="000968C6">
      <w:pPr>
        <w:pStyle w:val="Reminders"/>
        <w:rPr>
          <w:rFonts w:asciiTheme="minorHAnsi" w:hAnsiTheme="minorHAnsi" w:cstheme="minorHAnsi"/>
          <w:b/>
          <w:i w:val="0"/>
          <w:color w:val="auto"/>
          <w:sz w:val="22"/>
          <w:szCs w:val="22"/>
        </w:rPr>
      </w:pPr>
      <w:r w:rsidRPr="00E37F72">
        <w:rPr>
          <w:rFonts w:asciiTheme="minorHAnsi" w:hAnsiTheme="minorHAnsi" w:cstheme="minorHAnsi"/>
          <w:b/>
          <w:i w:val="0"/>
          <w:color w:val="auto"/>
          <w:sz w:val="22"/>
          <w:szCs w:val="22"/>
        </w:rPr>
        <w:t xml:space="preserve">READi </w:t>
      </w:r>
      <w:r>
        <w:rPr>
          <w:rFonts w:asciiTheme="minorHAnsi" w:hAnsiTheme="minorHAnsi" w:cstheme="minorHAnsi"/>
          <w:b/>
          <w:i w:val="0"/>
          <w:color w:val="auto"/>
          <w:sz w:val="22"/>
          <w:szCs w:val="22"/>
        </w:rPr>
        <w:t>Technology Fields</w:t>
      </w:r>
    </w:p>
    <w:p w:rsidR="00240B74" w:rsidRDefault="00240B74" w:rsidP="000968C6">
      <w:pPr>
        <w:pStyle w:val="Reminders"/>
        <w:rPr>
          <w:rFonts w:asciiTheme="minorHAnsi" w:hAnsiTheme="minorHAnsi" w:cstheme="minorHAnsi"/>
          <w:i w:val="0"/>
          <w:color w:val="auto"/>
          <w:sz w:val="22"/>
          <w:szCs w:val="22"/>
        </w:rPr>
      </w:pPr>
      <w:r w:rsidRPr="00240B74">
        <w:rPr>
          <w:rFonts w:asciiTheme="minorHAnsi" w:hAnsiTheme="minorHAnsi" w:cstheme="minorHAnsi"/>
          <w:i w:val="0"/>
          <w:color w:val="auto"/>
          <w:sz w:val="22"/>
          <w:szCs w:val="22"/>
        </w:rPr>
        <w:t xml:space="preserve">To support the development of the ED ex ante tables, select fields from the ex ante database will be identified in the workpaper. For a full set of values associated with the measures in the workpaper refer the Excel calculation template. </w:t>
      </w:r>
      <w:r w:rsidR="00413CDB">
        <w:rPr>
          <w:rFonts w:asciiTheme="minorHAnsi" w:hAnsiTheme="minorHAnsi" w:cstheme="minorHAnsi"/>
          <w:i w:val="0"/>
          <w:color w:val="auto"/>
          <w:sz w:val="22"/>
          <w:szCs w:val="22"/>
        </w:rPr>
        <w:t>(In the event that the READi IDs do not support the technology in this workpaper simply indicate “Non-DEER”.)</w:t>
      </w:r>
    </w:p>
    <w:p w:rsidR="00240B74" w:rsidRDefault="00240B74" w:rsidP="000968C6">
      <w:pPr>
        <w:pStyle w:val="Reminders"/>
        <w:rPr>
          <w:rFonts w:asciiTheme="minorHAnsi" w:hAnsiTheme="minorHAnsi" w:cstheme="minorHAnsi"/>
          <w:i w:val="0"/>
          <w:color w:val="auto"/>
          <w:sz w:val="22"/>
          <w:szCs w:val="22"/>
        </w:rPr>
      </w:pPr>
    </w:p>
    <w:p w:rsidR="00240B74" w:rsidRPr="00240B74" w:rsidRDefault="00240B74" w:rsidP="00240B74">
      <w:pPr>
        <w:pStyle w:val="Caption"/>
        <w:jc w:val="center"/>
        <w:rPr>
          <w:rFonts w:asciiTheme="minorHAnsi" w:hAnsiTheme="minorHAnsi" w:cstheme="minorHAnsi"/>
          <w:sz w:val="22"/>
          <w:szCs w:val="22"/>
        </w:rPr>
      </w:pPr>
      <w:r w:rsidRPr="00240B74">
        <w:rPr>
          <w:rFonts w:asciiTheme="minorHAnsi" w:hAnsiTheme="minorHAnsi" w:cstheme="minorHAnsi"/>
          <w:sz w:val="22"/>
          <w:szCs w:val="22"/>
        </w:rPr>
        <w:t xml:space="preserve">Table </w:t>
      </w:r>
      <w:r w:rsidRPr="00240B74">
        <w:rPr>
          <w:rFonts w:asciiTheme="minorHAnsi" w:hAnsiTheme="minorHAnsi" w:cstheme="minorHAnsi"/>
          <w:sz w:val="22"/>
          <w:szCs w:val="22"/>
        </w:rPr>
        <w:fldChar w:fldCharType="begin"/>
      </w:r>
      <w:r w:rsidRPr="00240B74">
        <w:rPr>
          <w:rFonts w:asciiTheme="minorHAnsi" w:hAnsiTheme="minorHAnsi" w:cstheme="minorHAnsi"/>
          <w:sz w:val="22"/>
          <w:szCs w:val="22"/>
        </w:rPr>
        <w:instrText xml:space="preserve"> SEQ Table \* ARABIC </w:instrText>
      </w:r>
      <w:r w:rsidRPr="00240B74">
        <w:rPr>
          <w:rFonts w:asciiTheme="minorHAnsi" w:hAnsiTheme="minorHAnsi" w:cstheme="minorHAnsi"/>
          <w:sz w:val="22"/>
          <w:szCs w:val="22"/>
        </w:rPr>
        <w:fldChar w:fldCharType="separate"/>
      </w:r>
      <w:r w:rsidR="00CF6DDC">
        <w:rPr>
          <w:rFonts w:asciiTheme="minorHAnsi" w:hAnsiTheme="minorHAnsi" w:cstheme="minorHAnsi"/>
          <w:noProof/>
          <w:sz w:val="22"/>
          <w:szCs w:val="22"/>
        </w:rPr>
        <w:t>5</w:t>
      </w:r>
      <w:r w:rsidRPr="00240B74">
        <w:rPr>
          <w:rFonts w:asciiTheme="minorHAnsi" w:hAnsiTheme="minorHAnsi" w:cstheme="minorHAnsi"/>
          <w:sz w:val="22"/>
          <w:szCs w:val="22"/>
        </w:rPr>
        <w:fldChar w:fldCharType="end"/>
      </w:r>
      <w:r w:rsidRPr="00240B74">
        <w:rPr>
          <w:rFonts w:asciiTheme="minorHAnsi" w:hAnsiTheme="minorHAnsi" w:cstheme="minorHAnsi"/>
          <w:sz w:val="22"/>
          <w:szCs w:val="22"/>
        </w:rPr>
        <w:t xml:space="preserve"> </w:t>
      </w:r>
      <w:r>
        <w:rPr>
          <w:rFonts w:asciiTheme="minorHAnsi" w:hAnsiTheme="minorHAnsi" w:cstheme="minorHAnsi"/>
          <w:sz w:val="22"/>
          <w:szCs w:val="22"/>
        </w:rPr>
        <w:t>READi Tech IDs</w:t>
      </w:r>
    </w:p>
    <w:tbl>
      <w:tblPr>
        <w:tblStyle w:val="TableContemporary"/>
        <w:tblW w:w="0" w:type="auto"/>
        <w:jc w:val="center"/>
        <w:tblLook w:val="04A0" w:firstRow="1" w:lastRow="0" w:firstColumn="1" w:lastColumn="0" w:noHBand="0" w:noVBand="1"/>
      </w:tblPr>
      <w:tblGrid>
        <w:gridCol w:w="2448"/>
        <w:gridCol w:w="6030"/>
      </w:tblGrid>
      <w:tr w:rsidR="00240B74" w:rsidRPr="00240B74" w:rsidTr="00240B74">
        <w:trPr>
          <w:cnfStyle w:val="100000000000" w:firstRow="1" w:lastRow="0" w:firstColumn="0" w:lastColumn="0" w:oddVBand="0" w:evenVBand="0" w:oddHBand="0"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READi Field Name</w:t>
            </w:r>
          </w:p>
        </w:tc>
        <w:tc>
          <w:tcPr>
            <w:tcW w:w="6030"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Values included in this workpaper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Measue Case UseCategory</w:t>
            </w:r>
          </w:p>
        </w:tc>
        <w:tc>
          <w:tcPr>
            <w:tcW w:w="6030" w:type="dxa"/>
          </w:tcPr>
          <w:p w:rsidR="00F23A21" w:rsidRPr="00240B74" w:rsidRDefault="0041123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w:t>
            </w:r>
            <w:r w:rsidR="007249D0">
              <w:rPr>
                <w:rFonts w:asciiTheme="minorHAnsi" w:hAnsiTheme="minorHAnsi" w:cstheme="minorHAnsi"/>
                <w:i w:val="0"/>
                <w:color w:val="auto"/>
                <w:sz w:val="20"/>
                <w:szCs w:val="22"/>
              </w:rPr>
              <w:t>-</w:t>
            </w:r>
            <w:r>
              <w:rPr>
                <w:rFonts w:asciiTheme="minorHAnsi" w:hAnsiTheme="minorHAnsi" w:cstheme="minorHAnsi"/>
                <w:i w:val="0"/>
                <w:color w:val="auto"/>
                <w:sz w:val="20"/>
                <w:szCs w:val="22"/>
              </w:rPr>
              <w:t>DEER</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UseSubCats</w:t>
            </w:r>
          </w:p>
        </w:tc>
        <w:tc>
          <w:tcPr>
            <w:tcW w:w="6030" w:type="dxa"/>
          </w:tcPr>
          <w:p w:rsidR="00240B74" w:rsidRPr="00240B74" w:rsidRDefault="0041123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Non</w:t>
            </w:r>
            <w:r w:rsidR="007249D0">
              <w:rPr>
                <w:rFonts w:asciiTheme="minorHAnsi" w:hAnsiTheme="minorHAnsi" w:cstheme="minorHAnsi"/>
                <w:i w:val="0"/>
                <w:color w:val="auto"/>
                <w:sz w:val="20"/>
                <w:szCs w:val="22"/>
              </w:rPr>
              <w:t>-</w:t>
            </w:r>
            <w:r>
              <w:rPr>
                <w:rFonts w:asciiTheme="minorHAnsi" w:hAnsiTheme="minorHAnsi" w:cstheme="minorHAnsi"/>
                <w:i w:val="0"/>
                <w:color w:val="auto"/>
                <w:sz w:val="20"/>
                <w:szCs w:val="22"/>
              </w:rPr>
              <w:t>DEER</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TechGroups</w:t>
            </w:r>
          </w:p>
        </w:tc>
        <w:tc>
          <w:tcPr>
            <w:tcW w:w="6030" w:type="dxa"/>
          </w:tcPr>
          <w:p w:rsidR="00240B74" w:rsidRPr="00240B74" w:rsidRDefault="0041123E" w:rsidP="00F23A21">
            <w:pPr>
              <w:pStyle w:val="Reminders"/>
              <w:rPr>
                <w:rFonts w:asciiTheme="minorHAnsi" w:hAnsiTheme="minorHAnsi" w:cstheme="minorHAnsi"/>
                <w:i w:val="0"/>
                <w:color w:val="auto"/>
                <w:sz w:val="20"/>
                <w:szCs w:val="22"/>
              </w:rPr>
            </w:pPr>
            <w:r w:rsidRPr="0041123E">
              <w:rPr>
                <w:rFonts w:asciiTheme="minorHAnsi" w:hAnsiTheme="minorHAnsi" w:cstheme="minorHAnsi"/>
                <w:i w:val="0"/>
                <w:color w:val="auto"/>
                <w:sz w:val="20"/>
                <w:szCs w:val="22"/>
              </w:rPr>
              <w:t>Motor_Spd</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Measure Case TechTypes</w:t>
            </w:r>
          </w:p>
        </w:tc>
        <w:tc>
          <w:tcPr>
            <w:tcW w:w="6030" w:type="dxa"/>
          </w:tcPr>
          <w:p w:rsidR="00240B74" w:rsidRPr="00240B74" w:rsidRDefault="0041123E" w:rsidP="000968C6">
            <w:pPr>
              <w:pStyle w:val="Reminders"/>
              <w:rPr>
                <w:rFonts w:asciiTheme="minorHAnsi" w:hAnsiTheme="minorHAnsi" w:cstheme="minorHAnsi"/>
                <w:i w:val="0"/>
                <w:color w:val="auto"/>
                <w:sz w:val="20"/>
                <w:szCs w:val="22"/>
              </w:rPr>
            </w:pPr>
            <w:r>
              <w:rPr>
                <w:rFonts w:asciiTheme="minorHAnsi" w:hAnsiTheme="minorHAnsi" w:cstheme="minorHAnsi"/>
                <w:i w:val="0"/>
                <w:color w:val="auto"/>
                <w:sz w:val="20"/>
                <w:szCs w:val="22"/>
              </w:rPr>
              <w:t>ASD</w:t>
            </w:r>
          </w:p>
        </w:tc>
      </w:tr>
      <w:tr w:rsidR="00240B74" w:rsidRPr="00240B74" w:rsidTr="00240B74">
        <w:trPr>
          <w:cnfStyle w:val="000000100000" w:firstRow="0" w:lastRow="0" w:firstColumn="0" w:lastColumn="0" w:oddVBand="0" w:evenVBand="0" w:oddHBand="1" w:evenHBand="0"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TechGroups</w:t>
            </w:r>
          </w:p>
        </w:tc>
        <w:tc>
          <w:tcPr>
            <w:tcW w:w="6030" w:type="dxa"/>
          </w:tcPr>
          <w:p w:rsidR="00240B74" w:rsidRPr="00240B74" w:rsidRDefault="0041123E" w:rsidP="000968C6">
            <w:pPr>
              <w:pStyle w:val="Reminders"/>
              <w:rPr>
                <w:rFonts w:asciiTheme="minorHAnsi" w:hAnsiTheme="minorHAnsi" w:cstheme="minorHAnsi"/>
                <w:i w:val="0"/>
                <w:color w:val="auto"/>
                <w:sz w:val="20"/>
                <w:szCs w:val="22"/>
              </w:rPr>
            </w:pPr>
            <w:r w:rsidRPr="0041123E">
              <w:rPr>
                <w:rFonts w:asciiTheme="minorHAnsi" w:hAnsiTheme="minorHAnsi" w:cstheme="minorHAnsi"/>
                <w:i w:val="0"/>
                <w:color w:val="auto"/>
                <w:sz w:val="20"/>
                <w:szCs w:val="22"/>
              </w:rPr>
              <w:t>Motor_gen</w:t>
            </w:r>
          </w:p>
        </w:tc>
      </w:tr>
      <w:tr w:rsidR="00240B74" w:rsidRPr="00240B74" w:rsidTr="00240B74">
        <w:trPr>
          <w:cnfStyle w:val="000000010000" w:firstRow="0" w:lastRow="0" w:firstColumn="0" w:lastColumn="0" w:oddVBand="0" w:evenVBand="0" w:oddHBand="0" w:evenHBand="1" w:firstRowFirstColumn="0" w:firstRowLastColumn="0" w:lastRowFirstColumn="0" w:lastRowLastColumn="0"/>
          <w:jc w:val="center"/>
        </w:trPr>
        <w:tc>
          <w:tcPr>
            <w:tcW w:w="2448" w:type="dxa"/>
          </w:tcPr>
          <w:p w:rsidR="00240B74" w:rsidRPr="00240B74" w:rsidRDefault="00240B74" w:rsidP="000968C6">
            <w:pPr>
              <w:pStyle w:val="Reminders"/>
              <w:rPr>
                <w:rFonts w:asciiTheme="minorHAnsi" w:hAnsiTheme="minorHAnsi" w:cstheme="minorHAnsi"/>
                <w:i w:val="0"/>
                <w:color w:val="auto"/>
                <w:sz w:val="20"/>
                <w:szCs w:val="22"/>
              </w:rPr>
            </w:pPr>
            <w:r w:rsidRPr="00240B74">
              <w:rPr>
                <w:rFonts w:asciiTheme="minorHAnsi" w:hAnsiTheme="minorHAnsi" w:cstheme="minorHAnsi"/>
                <w:i w:val="0"/>
                <w:color w:val="auto"/>
                <w:sz w:val="20"/>
                <w:szCs w:val="22"/>
              </w:rPr>
              <w:t>Base Case TechTypes</w:t>
            </w:r>
          </w:p>
        </w:tc>
        <w:tc>
          <w:tcPr>
            <w:tcW w:w="6030" w:type="dxa"/>
          </w:tcPr>
          <w:p w:rsidR="00240B74" w:rsidRPr="00240B74" w:rsidRDefault="0041123E" w:rsidP="000968C6">
            <w:pPr>
              <w:pStyle w:val="Reminders"/>
              <w:rPr>
                <w:rFonts w:asciiTheme="minorHAnsi" w:hAnsiTheme="minorHAnsi" w:cstheme="minorHAnsi"/>
                <w:i w:val="0"/>
                <w:color w:val="auto"/>
                <w:sz w:val="20"/>
                <w:szCs w:val="22"/>
              </w:rPr>
            </w:pPr>
            <w:r w:rsidRPr="0041123E">
              <w:rPr>
                <w:rFonts w:asciiTheme="minorHAnsi" w:hAnsiTheme="minorHAnsi" w:cstheme="minorHAnsi"/>
                <w:i w:val="0"/>
                <w:color w:val="auto"/>
                <w:sz w:val="20"/>
                <w:szCs w:val="22"/>
              </w:rPr>
              <w:t>GenPurpose</w:t>
            </w:r>
          </w:p>
        </w:tc>
      </w:tr>
    </w:tbl>
    <w:p w:rsidR="00240B74" w:rsidRPr="00240B74" w:rsidRDefault="00240B74" w:rsidP="000968C6">
      <w:pPr>
        <w:pStyle w:val="Reminders"/>
        <w:rPr>
          <w:rFonts w:asciiTheme="minorHAnsi" w:hAnsiTheme="minorHAnsi" w:cstheme="minorHAnsi"/>
          <w:i w:val="0"/>
          <w:color w:val="auto"/>
          <w:sz w:val="22"/>
          <w:szCs w:val="22"/>
        </w:rPr>
      </w:pPr>
    </w:p>
    <w:p w:rsidR="00E16609" w:rsidRPr="00F06CCF" w:rsidRDefault="00F06CCF" w:rsidP="00F06CCF">
      <w:pPr>
        <w:pStyle w:val="Heading3"/>
        <w:rPr>
          <w:rFonts w:asciiTheme="minorHAnsi" w:hAnsiTheme="minorHAnsi"/>
        </w:rPr>
      </w:pPr>
      <w:r>
        <w:rPr>
          <w:rFonts w:asciiTheme="minorHAnsi" w:hAnsiTheme="minorHAnsi"/>
        </w:rPr>
        <w:t>1.4.2</w:t>
      </w:r>
      <w:r w:rsidR="00824F1C" w:rsidRPr="00F06CCF">
        <w:rPr>
          <w:rFonts w:asciiTheme="minorHAnsi" w:hAnsiTheme="minorHAnsi"/>
        </w:rPr>
        <w:t xml:space="preserve"> </w:t>
      </w:r>
      <w:r w:rsidR="00E16609" w:rsidRPr="00F06CCF">
        <w:rPr>
          <w:rFonts w:asciiTheme="minorHAnsi" w:hAnsiTheme="minorHAnsi"/>
        </w:rPr>
        <w:t>Code</w:t>
      </w:r>
      <w:r w:rsidR="00B26778">
        <w:rPr>
          <w:rFonts w:asciiTheme="minorHAnsi" w:hAnsiTheme="minorHAnsi"/>
        </w:rPr>
        <w:t xml:space="preserve">s and Standards </w:t>
      </w:r>
      <w:r w:rsidR="00E16609" w:rsidRPr="00F06CCF">
        <w:rPr>
          <w:rFonts w:asciiTheme="minorHAnsi" w:hAnsiTheme="minorHAnsi"/>
        </w:rPr>
        <w:t xml:space="preserve">Analysis </w:t>
      </w:r>
      <w:bookmarkEnd w:id="13"/>
    </w:p>
    <w:p w:rsidR="00CE12FE" w:rsidRDefault="004B01F8" w:rsidP="00E16609">
      <w:pPr>
        <w:pStyle w:val="Reminders"/>
        <w:rPr>
          <w:rFonts w:asciiTheme="minorHAnsi" w:hAnsiTheme="minorHAnsi" w:cstheme="minorHAnsi"/>
          <w:i w:val="0"/>
          <w:color w:val="auto"/>
          <w:sz w:val="22"/>
          <w:szCs w:val="22"/>
        </w:rPr>
      </w:pPr>
      <w:r w:rsidRPr="0076181D">
        <w:rPr>
          <w:rFonts w:asciiTheme="minorHAnsi" w:hAnsiTheme="minorHAnsi" w:cstheme="minorHAnsi"/>
          <w:i w:val="0"/>
          <w:color w:val="auto"/>
          <w:sz w:val="22"/>
          <w:szCs w:val="22"/>
        </w:rPr>
        <w:t>Title 24 (2013), Section 120.6</w:t>
      </w:r>
      <w:r w:rsidR="007249D0">
        <w:rPr>
          <w:rFonts w:asciiTheme="minorHAnsi" w:hAnsiTheme="minorHAnsi" w:cstheme="minorHAnsi"/>
          <w:i w:val="0"/>
          <w:color w:val="auto"/>
          <w:sz w:val="22"/>
          <w:szCs w:val="22"/>
        </w:rPr>
        <w:t xml:space="preserve"> [355]</w:t>
      </w:r>
      <w:r w:rsidR="0076181D">
        <w:rPr>
          <w:rFonts w:asciiTheme="minorHAnsi" w:hAnsiTheme="minorHAnsi" w:cstheme="minorHAnsi"/>
          <w:i w:val="0"/>
          <w:color w:val="auto"/>
          <w:sz w:val="22"/>
          <w:szCs w:val="22"/>
        </w:rPr>
        <w:t xml:space="preserve"> provides the following </w:t>
      </w:r>
      <w:r w:rsidR="009E68D7">
        <w:rPr>
          <w:rFonts w:asciiTheme="minorHAnsi" w:hAnsiTheme="minorHAnsi" w:cstheme="minorHAnsi"/>
          <w:i w:val="0"/>
          <w:color w:val="auto"/>
          <w:sz w:val="22"/>
          <w:szCs w:val="22"/>
        </w:rPr>
        <w:t xml:space="preserve">mandatory </w:t>
      </w:r>
      <w:r w:rsidR="0076181D">
        <w:rPr>
          <w:rFonts w:asciiTheme="minorHAnsi" w:hAnsiTheme="minorHAnsi" w:cstheme="minorHAnsi"/>
          <w:i w:val="0"/>
          <w:color w:val="auto"/>
          <w:sz w:val="22"/>
          <w:szCs w:val="22"/>
        </w:rPr>
        <w:t xml:space="preserve">requirements for </w:t>
      </w:r>
      <w:r w:rsidR="00D27BCA">
        <w:rPr>
          <w:rFonts w:asciiTheme="minorHAnsi" w:hAnsiTheme="minorHAnsi" w:cstheme="minorHAnsi"/>
          <w:i w:val="0"/>
          <w:color w:val="auto"/>
          <w:sz w:val="22"/>
          <w:szCs w:val="22"/>
        </w:rPr>
        <w:t>cov</w:t>
      </w:r>
      <w:r w:rsidR="007249D0">
        <w:rPr>
          <w:rFonts w:asciiTheme="minorHAnsi" w:hAnsiTheme="minorHAnsi" w:cstheme="minorHAnsi"/>
          <w:i w:val="0"/>
          <w:color w:val="auto"/>
          <w:sz w:val="22"/>
          <w:szCs w:val="22"/>
        </w:rPr>
        <w:t>e</w:t>
      </w:r>
      <w:r w:rsidR="00D27BCA">
        <w:rPr>
          <w:rFonts w:asciiTheme="minorHAnsi" w:hAnsiTheme="minorHAnsi" w:cstheme="minorHAnsi"/>
          <w:i w:val="0"/>
          <w:color w:val="auto"/>
          <w:sz w:val="22"/>
          <w:szCs w:val="22"/>
        </w:rPr>
        <w:t>red processes</w:t>
      </w:r>
      <w:r w:rsidR="00CE12FE">
        <w:rPr>
          <w:rFonts w:asciiTheme="minorHAnsi" w:hAnsiTheme="minorHAnsi" w:cstheme="minorHAnsi"/>
          <w:i w:val="0"/>
          <w:color w:val="auto"/>
          <w:sz w:val="22"/>
          <w:szCs w:val="22"/>
        </w:rPr>
        <w:t>:</w:t>
      </w:r>
    </w:p>
    <w:p w:rsidR="003D54F3" w:rsidRDefault="003D54F3" w:rsidP="009E68D7">
      <w:pPr>
        <w:pStyle w:val="Reminders"/>
        <w:numPr>
          <w:ilvl w:val="0"/>
          <w:numId w:val="18"/>
        </w:numPr>
        <w:rPr>
          <w:rFonts w:asciiTheme="minorHAnsi" w:hAnsiTheme="minorHAnsi" w:cstheme="minorHAnsi"/>
          <w:i w:val="0"/>
          <w:color w:val="auto"/>
          <w:sz w:val="22"/>
          <w:szCs w:val="22"/>
        </w:rPr>
      </w:pPr>
      <w:r>
        <w:rPr>
          <w:rFonts w:asciiTheme="minorHAnsi" w:hAnsiTheme="minorHAnsi" w:cstheme="minorHAnsi"/>
          <w:i w:val="0"/>
          <w:color w:val="auto"/>
          <w:sz w:val="22"/>
          <w:szCs w:val="22"/>
        </w:rPr>
        <w:t>120.6(a)3 Evaporators:</w:t>
      </w:r>
    </w:p>
    <w:tbl>
      <w:tblPr>
        <w:tblStyle w:val="TableGrid"/>
        <w:tblW w:w="9000" w:type="dxa"/>
        <w:tblInd w:w="828" w:type="dxa"/>
        <w:tblLayout w:type="fixed"/>
        <w:tblLook w:val="04A0" w:firstRow="1" w:lastRow="0" w:firstColumn="1" w:lastColumn="0" w:noHBand="0" w:noVBand="1"/>
      </w:tblPr>
      <w:tblGrid>
        <w:gridCol w:w="9000"/>
      </w:tblGrid>
      <w:tr w:rsidR="003D54F3" w:rsidTr="008B499C">
        <w:tc>
          <w:tcPr>
            <w:tcW w:w="9000" w:type="dxa"/>
          </w:tcPr>
          <w:p w:rsidR="003D54F3" w:rsidRDefault="003D54F3" w:rsidP="008B499C">
            <w:pPr>
              <w:pStyle w:val="Reminders"/>
              <w:jc w:val="right"/>
              <w:rPr>
                <w:rFonts w:asciiTheme="minorHAnsi" w:hAnsiTheme="minorHAnsi" w:cstheme="minorHAnsi"/>
                <w:i w:val="0"/>
                <w:color w:val="auto"/>
                <w:sz w:val="22"/>
                <w:szCs w:val="22"/>
              </w:rPr>
            </w:pPr>
            <w:r>
              <w:rPr>
                <w:noProof/>
              </w:rPr>
              <w:lastRenderedPageBreak/>
              <w:drawing>
                <wp:inline distT="0" distB="0" distL="0" distR="0" wp14:anchorId="07725EFA" wp14:editId="49B24F3F">
                  <wp:extent cx="5672601" cy="2544792"/>
                  <wp:effectExtent l="0" t="0" r="444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674310" cy="2545559"/>
                          </a:xfrm>
                          <a:prstGeom prst="rect">
                            <a:avLst/>
                          </a:prstGeom>
                        </pic:spPr>
                      </pic:pic>
                    </a:graphicData>
                  </a:graphic>
                </wp:inline>
              </w:drawing>
            </w:r>
            <w:r>
              <w:rPr>
                <w:noProof/>
              </w:rPr>
              <w:drawing>
                <wp:inline distT="0" distB="0" distL="0" distR="0" wp14:anchorId="58970717" wp14:editId="34F7EA14">
                  <wp:extent cx="5357003" cy="967809"/>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396460" cy="974937"/>
                          </a:xfrm>
                          <a:prstGeom prst="rect">
                            <a:avLst/>
                          </a:prstGeom>
                        </pic:spPr>
                      </pic:pic>
                    </a:graphicData>
                  </a:graphic>
                </wp:inline>
              </w:drawing>
            </w:r>
          </w:p>
        </w:tc>
      </w:tr>
    </w:tbl>
    <w:p w:rsidR="009E68D7" w:rsidRPr="009E68D7" w:rsidRDefault="009E68D7" w:rsidP="009E68D7">
      <w:pPr>
        <w:pStyle w:val="Reminders"/>
        <w:numPr>
          <w:ilvl w:val="0"/>
          <w:numId w:val="18"/>
        </w:numPr>
        <w:rPr>
          <w:rFonts w:asciiTheme="minorHAnsi" w:hAnsiTheme="minorHAnsi" w:cstheme="minorHAnsi"/>
          <w:i w:val="0"/>
          <w:color w:val="auto"/>
          <w:sz w:val="22"/>
          <w:szCs w:val="22"/>
        </w:rPr>
      </w:pPr>
      <w:r>
        <w:rPr>
          <w:rFonts w:asciiTheme="minorHAnsi" w:hAnsiTheme="minorHAnsi" w:cstheme="minorHAnsi"/>
          <w:i w:val="0"/>
          <w:color w:val="auto"/>
          <w:sz w:val="22"/>
          <w:szCs w:val="22"/>
        </w:rPr>
        <w:t>120.6(c) Enclosed Parking Garag</w:t>
      </w:r>
      <w:r w:rsidR="008D56EE">
        <w:rPr>
          <w:rFonts w:asciiTheme="minorHAnsi" w:hAnsiTheme="minorHAnsi" w:cstheme="minorHAnsi"/>
          <w:i w:val="0"/>
          <w:color w:val="auto"/>
          <w:sz w:val="22"/>
          <w:szCs w:val="22"/>
        </w:rPr>
        <w:t>e</w:t>
      </w:r>
      <w:r w:rsidR="008D56EE">
        <w:rPr>
          <w:noProof/>
        </w:rPr>
        <w:drawing>
          <wp:inline distT="0" distB="0" distL="0" distR="0" wp14:anchorId="05989921" wp14:editId="4A373E0F">
            <wp:extent cx="5676181" cy="1163132"/>
            <wp:effectExtent l="19050" t="19050" r="2032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76181" cy="1163132"/>
                    </a:xfrm>
                    <a:prstGeom prst="rect">
                      <a:avLst/>
                    </a:prstGeom>
                    <a:ln>
                      <a:solidFill>
                        <a:schemeClr val="tx1"/>
                      </a:solidFill>
                    </a:ln>
                  </pic:spPr>
                </pic:pic>
              </a:graphicData>
            </a:graphic>
          </wp:inline>
        </w:drawing>
      </w:r>
      <w:r>
        <w:rPr>
          <w:rFonts w:asciiTheme="minorHAnsi" w:hAnsiTheme="minorHAnsi" w:cstheme="minorHAnsi"/>
          <w:i w:val="0"/>
          <w:color w:val="auto"/>
          <w:sz w:val="22"/>
          <w:szCs w:val="22"/>
        </w:rPr>
        <w:t>es:</w:t>
      </w:r>
    </w:p>
    <w:p w:rsidR="00CE12FE" w:rsidRDefault="00CE12FE" w:rsidP="00E16609">
      <w:pPr>
        <w:pStyle w:val="Reminders"/>
        <w:numPr>
          <w:ilvl w:val="0"/>
          <w:numId w:val="18"/>
        </w:numPr>
        <w:rPr>
          <w:rFonts w:asciiTheme="minorHAnsi" w:hAnsiTheme="minorHAnsi" w:cstheme="minorHAnsi"/>
          <w:i w:val="0"/>
          <w:color w:val="auto"/>
          <w:sz w:val="22"/>
          <w:szCs w:val="22"/>
        </w:rPr>
      </w:pPr>
      <w:r>
        <w:rPr>
          <w:rFonts w:asciiTheme="minorHAnsi" w:hAnsiTheme="minorHAnsi" w:cstheme="minorHAnsi"/>
          <w:i w:val="0"/>
          <w:color w:val="auto"/>
          <w:sz w:val="22"/>
          <w:szCs w:val="22"/>
        </w:rPr>
        <w:t>120.6(d)</w:t>
      </w:r>
      <w:r w:rsidR="009E68D7">
        <w:rPr>
          <w:rFonts w:asciiTheme="minorHAnsi" w:hAnsiTheme="minorHAnsi" w:cstheme="minorHAnsi"/>
          <w:i w:val="0"/>
          <w:color w:val="auto"/>
          <w:sz w:val="22"/>
          <w:szCs w:val="22"/>
        </w:rPr>
        <w:t>2 Boilers:</w:t>
      </w:r>
    </w:p>
    <w:p w:rsidR="009E68D7" w:rsidRDefault="009E68D7" w:rsidP="009E68D7">
      <w:pPr>
        <w:pStyle w:val="Reminders"/>
        <w:ind w:left="720"/>
        <w:rPr>
          <w:rFonts w:asciiTheme="minorHAnsi" w:hAnsiTheme="minorHAnsi" w:cstheme="minorHAnsi"/>
          <w:i w:val="0"/>
          <w:color w:val="auto"/>
          <w:sz w:val="22"/>
          <w:szCs w:val="22"/>
        </w:rPr>
      </w:pPr>
      <w:r>
        <w:rPr>
          <w:noProof/>
        </w:rPr>
        <w:drawing>
          <wp:inline distT="0" distB="0" distL="0" distR="0" wp14:anchorId="2446B2E6" wp14:editId="3FEAF6E4">
            <wp:extent cx="5684807" cy="943824"/>
            <wp:effectExtent l="19050" t="19050" r="11430"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704340" cy="947067"/>
                    </a:xfrm>
                    <a:prstGeom prst="rect">
                      <a:avLst/>
                    </a:prstGeom>
                    <a:ln>
                      <a:solidFill>
                        <a:schemeClr val="tx1"/>
                      </a:solidFill>
                    </a:ln>
                  </pic:spPr>
                </pic:pic>
              </a:graphicData>
            </a:graphic>
          </wp:inline>
        </w:drawing>
      </w:r>
    </w:p>
    <w:p w:rsidR="00CE12FE" w:rsidRPr="00CE12FE" w:rsidRDefault="00CE12FE" w:rsidP="00E16609">
      <w:pPr>
        <w:pStyle w:val="Reminders"/>
        <w:numPr>
          <w:ilvl w:val="0"/>
          <w:numId w:val="18"/>
        </w:numPr>
        <w:rPr>
          <w:rFonts w:asciiTheme="minorHAnsi" w:hAnsiTheme="minorHAnsi" w:cstheme="minorHAnsi"/>
          <w:i w:val="0"/>
          <w:color w:val="auto"/>
          <w:sz w:val="22"/>
          <w:szCs w:val="22"/>
        </w:rPr>
      </w:pPr>
      <w:r>
        <w:rPr>
          <w:rFonts w:asciiTheme="minorHAnsi" w:hAnsiTheme="minorHAnsi" w:cstheme="minorHAnsi"/>
          <w:i w:val="0"/>
          <w:color w:val="auto"/>
          <w:sz w:val="22"/>
          <w:szCs w:val="22"/>
        </w:rPr>
        <w:t>120.6(e) provides requirements for air compressor systems, but a</w:t>
      </w:r>
      <w:r w:rsidRPr="00CE12FE">
        <w:rPr>
          <w:rFonts w:asciiTheme="minorHAnsi" w:hAnsiTheme="minorHAnsi" w:cstheme="minorHAnsi"/>
          <w:i w:val="0"/>
          <w:color w:val="auto"/>
          <w:sz w:val="22"/>
          <w:szCs w:val="22"/>
        </w:rPr>
        <w:t>ir c</w:t>
      </w:r>
      <w:r>
        <w:rPr>
          <w:rFonts w:asciiTheme="minorHAnsi" w:hAnsiTheme="minorHAnsi" w:cstheme="minorHAnsi"/>
          <w:i w:val="0"/>
          <w:color w:val="auto"/>
          <w:sz w:val="22"/>
          <w:szCs w:val="22"/>
        </w:rPr>
        <w:t>ompressor systems</w:t>
      </w:r>
      <w:r w:rsidRPr="00CE12FE">
        <w:rPr>
          <w:rFonts w:asciiTheme="minorHAnsi" w:hAnsiTheme="minorHAnsi" w:cstheme="minorHAnsi"/>
          <w:i w:val="0"/>
          <w:color w:val="auto"/>
          <w:sz w:val="22"/>
          <w:szCs w:val="22"/>
        </w:rPr>
        <w:t xml:space="preserve"> are not covered in this work paper.</w:t>
      </w:r>
    </w:p>
    <w:p w:rsidR="00B07EE5" w:rsidRDefault="00B07EE5" w:rsidP="00B07EE5">
      <w:pPr>
        <w:rPr>
          <w:rFonts w:asciiTheme="minorHAnsi" w:hAnsiTheme="minorHAnsi" w:cstheme="minorHAnsi"/>
          <w:sz w:val="22"/>
          <w:szCs w:val="22"/>
        </w:rPr>
      </w:pPr>
    </w:p>
    <w:p w:rsidR="006162EB" w:rsidRDefault="00CE12FE" w:rsidP="00B07EE5">
      <w:pPr>
        <w:rPr>
          <w:rFonts w:asciiTheme="minorHAnsi" w:hAnsiTheme="minorHAnsi" w:cstheme="minorHAnsi"/>
          <w:sz w:val="22"/>
          <w:szCs w:val="22"/>
        </w:rPr>
      </w:pPr>
      <w:r>
        <w:rPr>
          <w:rFonts w:asciiTheme="minorHAnsi" w:hAnsiTheme="minorHAnsi" w:cstheme="minorHAnsi"/>
          <w:sz w:val="22"/>
          <w:szCs w:val="22"/>
        </w:rPr>
        <w:t>The Title 24 (2013) requirements mentioned above do not affect this work paper because they apply to new systems</w:t>
      </w:r>
      <w:r w:rsidR="007249D0">
        <w:rPr>
          <w:rFonts w:asciiTheme="minorHAnsi" w:hAnsiTheme="minorHAnsi" w:cstheme="minorHAnsi"/>
          <w:sz w:val="22"/>
          <w:szCs w:val="22"/>
        </w:rPr>
        <w:t xml:space="preserve"> only</w:t>
      </w:r>
      <w:r w:rsidR="006162EB">
        <w:rPr>
          <w:rFonts w:asciiTheme="minorHAnsi" w:hAnsiTheme="minorHAnsi" w:cstheme="minorHAnsi"/>
          <w:sz w:val="22"/>
          <w:szCs w:val="22"/>
        </w:rPr>
        <w:t>.</w:t>
      </w:r>
      <w:r>
        <w:rPr>
          <w:rFonts w:asciiTheme="minorHAnsi" w:hAnsiTheme="minorHAnsi" w:cstheme="minorHAnsi"/>
          <w:sz w:val="22"/>
          <w:szCs w:val="22"/>
        </w:rPr>
        <w:t xml:space="preserve"> </w:t>
      </w:r>
      <w:r w:rsidR="000B7660">
        <w:rPr>
          <w:rFonts w:asciiTheme="minorHAnsi" w:hAnsiTheme="minorHAnsi" w:cstheme="minorHAnsi"/>
          <w:sz w:val="22"/>
          <w:szCs w:val="22"/>
        </w:rPr>
        <w:t>T</w:t>
      </w:r>
      <w:r w:rsidR="00C5690D">
        <w:rPr>
          <w:rFonts w:asciiTheme="minorHAnsi" w:hAnsiTheme="minorHAnsi" w:cstheme="minorHAnsi"/>
          <w:sz w:val="22"/>
          <w:szCs w:val="22"/>
        </w:rPr>
        <w:t>he Process VSD measure</w:t>
      </w:r>
      <w:r w:rsidR="000B7660">
        <w:rPr>
          <w:rFonts w:asciiTheme="minorHAnsi" w:hAnsiTheme="minorHAnsi" w:cstheme="minorHAnsi"/>
          <w:sz w:val="22"/>
          <w:szCs w:val="22"/>
        </w:rPr>
        <w:t xml:space="preserve"> is an add-on to</w:t>
      </w:r>
      <w:r w:rsidR="007249D0">
        <w:rPr>
          <w:rFonts w:asciiTheme="minorHAnsi" w:hAnsiTheme="minorHAnsi" w:cstheme="minorHAnsi"/>
          <w:sz w:val="22"/>
          <w:szCs w:val="22"/>
        </w:rPr>
        <w:t xml:space="preserve"> an existing system</w:t>
      </w:r>
      <w:r w:rsidR="000B7660">
        <w:rPr>
          <w:rFonts w:asciiTheme="minorHAnsi" w:hAnsiTheme="minorHAnsi" w:cstheme="minorHAnsi"/>
          <w:sz w:val="22"/>
          <w:szCs w:val="22"/>
        </w:rPr>
        <w:t xml:space="preserve"> and therefore does not trigger Title 24.</w:t>
      </w:r>
      <w:r w:rsidR="009E68D7">
        <w:rPr>
          <w:rFonts w:asciiTheme="minorHAnsi" w:hAnsiTheme="minorHAnsi" w:cstheme="minorHAnsi"/>
          <w:sz w:val="22"/>
          <w:szCs w:val="22"/>
        </w:rPr>
        <w:t xml:space="preserve"> </w:t>
      </w:r>
    </w:p>
    <w:p w:rsidR="006162EB" w:rsidRPr="00697868" w:rsidRDefault="006162EB" w:rsidP="00B07EE5">
      <w:pPr>
        <w:rPr>
          <w:rFonts w:asciiTheme="minorHAnsi" w:hAnsiTheme="minorHAnsi" w:cstheme="minorHAnsi"/>
          <w:sz w:val="22"/>
          <w:szCs w:val="22"/>
        </w:rPr>
      </w:pPr>
    </w:p>
    <w:p w:rsidR="00B07EE5" w:rsidRPr="00697868" w:rsidRDefault="00B07EE5" w:rsidP="00B07EE5">
      <w:pPr>
        <w:pStyle w:val="Caption"/>
        <w:keepNext/>
        <w:jc w:val="center"/>
        <w:rPr>
          <w:rFonts w:asciiTheme="minorHAnsi" w:hAnsiTheme="minorHAnsi" w:cstheme="minorHAnsi"/>
          <w:sz w:val="22"/>
          <w:szCs w:val="22"/>
        </w:rPr>
      </w:pPr>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CF6DDC">
        <w:rPr>
          <w:rFonts w:asciiTheme="minorHAnsi" w:hAnsiTheme="minorHAnsi" w:cstheme="minorHAnsi"/>
          <w:noProof/>
          <w:sz w:val="22"/>
          <w:szCs w:val="22"/>
        </w:rPr>
        <w:t>6</w: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 </w:t>
      </w:r>
      <w:r w:rsidR="005A1078" w:rsidRPr="00697868">
        <w:rPr>
          <w:rFonts w:asciiTheme="minorHAnsi" w:hAnsiTheme="minorHAnsi" w:cstheme="minorHAnsi"/>
          <w:sz w:val="22"/>
          <w:szCs w:val="22"/>
        </w:rPr>
        <w:t>Code Summary</w:t>
      </w:r>
    </w:p>
    <w:tbl>
      <w:tblPr>
        <w:tblStyle w:val="TableContemporary"/>
        <w:tblW w:w="8027" w:type="dxa"/>
        <w:jc w:val="center"/>
        <w:tblInd w:w="-4933" w:type="dxa"/>
        <w:tblLook w:val="04A0" w:firstRow="1" w:lastRow="0" w:firstColumn="1" w:lastColumn="0" w:noHBand="0" w:noVBand="1"/>
      </w:tblPr>
      <w:tblGrid>
        <w:gridCol w:w="1854"/>
        <w:gridCol w:w="4352"/>
        <w:gridCol w:w="1821"/>
      </w:tblGrid>
      <w:tr w:rsidR="00881A42" w:rsidRPr="00697868" w:rsidTr="00C25E61">
        <w:trPr>
          <w:cnfStyle w:val="100000000000" w:firstRow="1" w:lastRow="0" w:firstColumn="0" w:lastColumn="0" w:oddVBand="0" w:evenVBand="0" w:oddHBand="0" w:evenHBand="0" w:firstRowFirstColumn="0" w:firstRowLastColumn="0" w:lastRowFirstColumn="0" w:lastRowLastColumn="0"/>
          <w:jc w:val="center"/>
        </w:trPr>
        <w:tc>
          <w:tcPr>
            <w:tcW w:w="1854"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Code</w:t>
            </w:r>
          </w:p>
        </w:tc>
        <w:tc>
          <w:tcPr>
            <w:tcW w:w="4352" w:type="dxa"/>
          </w:tcPr>
          <w:p w:rsidR="00881A42" w:rsidRPr="00697868" w:rsidRDefault="00CB0100" w:rsidP="00283DE8">
            <w:pPr>
              <w:jc w:val="center"/>
              <w:rPr>
                <w:rFonts w:asciiTheme="minorHAnsi" w:hAnsiTheme="minorHAnsi" w:cstheme="minorHAnsi"/>
                <w:sz w:val="20"/>
                <w:szCs w:val="20"/>
              </w:rPr>
            </w:pPr>
            <w:r w:rsidRPr="00697868">
              <w:rPr>
                <w:rFonts w:asciiTheme="minorHAnsi" w:hAnsiTheme="minorHAnsi" w:cstheme="minorHAnsi"/>
                <w:sz w:val="20"/>
                <w:szCs w:val="20"/>
              </w:rPr>
              <w:t xml:space="preserve">Applicable </w:t>
            </w:r>
            <w:r w:rsidR="00881A42" w:rsidRPr="00697868">
              <w:rPr>
                <w:rFonts w:asciiTheme="minorHAnsi" w:hAnsiTheme="minorHAnsi" w:cstheme="minorHAnsi"/>
                <w:sz w:val="20"/>
                <w:szCs w:val="20"/>
              </w:rPr>
              <w:t>Code Reference</w:t>
            </w:r>
          </w:p>
        </w:tc>
        <w:tc>
          <w:tcPr>
            <w:tcW w:w="1821" w:type="dxa"/>
          </w:tcPr>
          <w:p w:rsidR="00881A42" w:rsidRPr="00697868" w:rsidRDefault="00881A42" w:rsidP="00283DE8">
            <w:pPr>
              <w:jc w:val="center"/>
              <w:rPr>
                <w:rFonts w:asciiTheme="minorHAnsi" w:hAnsiTheme="minorHAnsi" w:cstheme="minorHAnsi"/>
                <w:sz w:val="20"/>
                <w:szCs w:val="20"/>
              </w:rPr>
            </w:pPr>
            <w:r w:rsidRPr="00697868">
              <w:rPr>
                <w:rFonts w:asciiTheme="minorHAnsi" w:hAnsiTheme="minorHAnsi" w:cstheme="minorHAnsi"/>
                <w:sz w:val="20"/>
                <w:szCs w:val="20"/>
              </w:rPr>
              <w:t>Effective Dates</w:t>
            </w:r>
          </w:p>
        </w:tc>
      </w:tr>
      <w:tr w:rsidR="007F467A" w:rsidRPr="007F467A" w:rsidTr="00C25E61">
        <w:trPr>
          <w:cnfStyle w:val="000000100000" w:firstRow="0" w:lastRow="0" w:firstColumn="0" w:lastColumn="0" w:oddVBand="0" w:evenVBand="0" w:oddHBand="1" w:evenHBand="0" w:firstRowFirstColumn="0" w:firstRowLastColumn="0" w:lastRowFirstColumn="0" w:lastRowLastColumn="0"/>
          <w:trHeight w:val="243"/>
          <w:jc w:val="center"/>
        </w:trPr>
        <w:tc>
          <w:tcPr>
            <w:tcW w:w="1854" w:type="dxa"/>
            <w:vAlign w:val="center"/>
          </w:tcPr>
          <w:p w:rsidR="00881A42" w:rsidRPr="007F467A" w:rsidRDefault="00881A42" w:rsidP="004B01F8">
            <w:pPr>
              <w:jc w:val="center"/>
              <w:rPr>
                <w:rFonts w:asciiTheme="minorHAnsi" w:hAnsiTheme="minorHAnsi" w:cstheme="minorHAnsi"/>
                <w:sz w:val="20"/>
                <w:szCs w:val="20"/>
              </w:rPr>
            </w:pPr>
            <w:r w:rsidRPr="007F467A">
              <w:rPr>
                <w:rFonts w:asciiTheme="minorHAnsi" w:hAnsiTheme="minorHAnsi" w:cstheme="minorHAnsi"/>
                <w:sz w:val="20"/>
                <w:szCs w:val="20"/>
              </w:rPr>
              <w:t>Title 24 (20</w:t>
            </w:r>
            <w:r w:rsidR="004B01F8" w:rsidRPr="007F467A">
              <w:rPr>
                <w:rFonts w:asciiTheme="minorHAnsi" w:hAnsiTheme="minorHAnsi" w:cstheme="minorHAnsi"/>
                <w:sz w:val="20"/>
                <w:szCs w:val="20"/>
              </w:rPr>
              <w:t>13</w:t>
            </w:r>
            <w:r w:rsidRPr="007F467A">
              <w:rPr>
                <w:rFonts w:asciiTheme="minorHAnsi" w:hAnsiTheme="minorHAnsi" w:cstheme="minorHAnsi"/>
                <w:sz w:val="20"/>
                <w:szCs w:val="20"/>
              </w:rPr>
              <w:t>)</w:t>
            </w:r>
          </w:p>
        </w:tc>
        <w:tc>
          <w:tcPr>
            <w:tcW w:w="4352" w:type="dxa"/>
            <w:vAlign w:val="center"/>
          </w:tcPr>
          <w:p w:rsidR="00881A42" w:rsidRPr="007F467A" w:rsidRDefault="007F467A" w:rsidP="00CE12FE">
            <w:pPr>
              <w:jc w:val="center"/>
              <w:rPr>
                <w:rFonts w:asciiTheme="minorHAnsi" w:hAnsiTheme="minorHAnsi" w:cstheme="minorHAnsi"/>
                <w:sz w:val="20"/>
                <w:szCs w:val="20"/>
              </w:rPr>
            </w:pPr>
            <w:r w:rsidRPr="007F467A">
              <w:rPr>
                <w:rFonts w:asciiTheme="minorHAnsi" w:hAnsiTheme="minorHAnsi" w:cstheme="minorHAnsi"/>
                <w:sz w:val="20"/>
                <w:szCs w:val="20"/>
              </w:rPr>
              <w:t>Section 120.6</w:t>
            </w:r>
            <w:r w:rsidR="00CE12FE">
              <w:rPr>
                <w:rFonts w:asciiTheme="minorHAnsi" w:hAnsiTheme="minorHAnsi" w:cstheme="minorHAnsi"/>
                <w:sz w:val="20"/>
                <w:szCs w:val="20"/>
              </w:rPr>
              <w:t xml:space="preserve"> Mandatory Requirements for </w:t>
            </w:r>
            <w:r w:rsidR="00CE12FE">
              <w:rPr>
                <w:rFonts w:asciiTheme="minorHAnsi" w:hAnsiTheme="minorHAnsi" w:cstheme="minorHAnsi"/>
                <w:sz w:val="20"/>
                <w:szCs w:val="20"/>
              </w:rPr>
              <w:lastRenderedPageBreak/>
              <w:t>Covered Processes</w:t>
            </w:r>
          </w:p>
        </w:tc>
        <w:tc>
          <w:tcPr>
            <w:tcW w:w="1821" w:type="dxa"/>
            <w:vAlign w:val="center"/>
          </w:tcPr>
          <w:p w:rsidR="00881A42" w:rsidRPr="007F467A" w:rsidRDefault="004B01F8" w:rsidP="007E43F8">
            <w:pPr>
              <w:jc w:val="center"/>
              <w:rPr>
                <w:rFonts w:asciiTheme="minorHAnsi" w:hAnsiTheme="minorHAnsi" w:cstheme="minorHAnsi"/>
                <w:sz w:val="20"/>
                <w:szCs w:val="20"/>
              </w:rPr>
            </w:pPr>
            <w:r w:rsidRPr="007F467A">
              <w:rPr>
                <w:rFonts w:asciiTheme="minorHAnsi" w:hAnsiTheme="minorHAnsi" w:cstheme="minorHAnsi"/>
                <w:sz w:val="20"/>
                <w:szCs w:val="20"/>
              </w:rPr>
              <w:lastRenderedPageBreak/>
              <w:t>July 1, 2014</w:t>
            </w:r>
          </w:p>
        </w:tc>
      </w:tr>
    </w:tbl>
    <w:p w:rsidR="00B07EE5" w:rsidRPr="00697868" w:rsidRDefault="00B07EE5" w:rsidP="00E16609">
      <w:pPr>
        <w:pStyle w:val="Reminders"/>
        <w:rPr>
          <w:rFonts w:asciiTheme="minorHAnsi" w:hAnsiTheme="minorHAnsi" w:cstheme="minorHAnsi"/>
          <w:sz w:val="22"/>
          <w:szCs w:val="22"/>
        </w:rPr>
      </w:pPr>
    </w:p>
    <w:p w:rsidR="00AB21F5" w:rsidRDefault="00AB21F5" w:rsidP="00F06CCF">
      <w:pPr>
        <w:pStyle w:val="Heading3"/>
        <w:rPr>
          <w:rFonts w:asciiTheme="minorHAnsi" w:hAnsiTheme="minorHAnsi"/>
        </w:rPr>
      </w:pPr>
      <w:bookmarkStart w:id="16" w:name="_Toc214003088"/>
      <w:r w:rsidRPr="00AB21F5">
        <w:rPr>
          <w:rFonts w:asciiTheme="minorHAnsi" w:hAnsiTheme="minorHAnsi"/>
        </w:rPr>
        <w:t>1.4.3 Non-DEER Study Review</w:t>
      </w:r>
    </w:p>
    <w:p w:rsidR="007E3801" w:rsidRPr="007E3801" w:rsidRDefault="009E0929" w:rsidP="00AB21F5">
      <w:pPr>
        <w:pStyle w:val="Reminder"/>
        <w:rPr>
          <w:rFonts w:asciiTheme="minorHAnsi" w:hAnsiTheme="minorHAnsi" w:cstheme="minorHAnsi"/>
          <w:i w:val="0"/>
          <w:color w:val="auto"/>
          <w:sz w:val="22"/>
          <w:szCs w:val="22"/>
        </w:rPr>
      </w:pPr>
      <w:r>
        <w:rPr>
          <w:rFonts w:asciiTheme="minorHAnsi" w:hAnsiTheme="minorHAnsi" w:cstheme="minorHAnsi"/>
          <w:i w:val="0"/>
          <w:color w:val="auto"/>
          <w:sz w:val="22"/>
          <w:szCs w:val="22"/>
        </w:rPr>
        <w:t xml:space="preserve">No studies were used in this work paper. </w:t>
      </w:r>
      <w:r w:rsidR="000A2A20">
        <w:rPr>
          <w:rFonts w:asciiTheme="minorHAnsi" w:hAnsiTheme="minorHAnsi" w:cstheme="minorHAnsi"/>
          <w:i w:val="0"/>
          <w:color w:val="auto"/>
          <w:sz w:val="22"/>
          <w:szCs w:val="22"/>
        </w:rPr>
        <w:t>The SCE Online Application Tool</w:t>
      </w:r>
      <w:r>
        <w:rPr>
          <w:rFonts w:asciiTheme="minorHAnsi" w:hAnsiTheme="minorHAnsi" w:cstheme="minorHAnsi"/>
          <w:i w:val="0"/>
          <w:color w:val="auto"/>
          <w:sz w:val="22"/>
          <w:szCs w:val="22"/>
        </w:rPr>
        <w:t xml:space="preserve"> was used.</w:t>
      </w:r>
    </w:p>
    <w:p w:rsidR="00E16609" w:rsidRPr="00F06CCF" w:rsidRDefault="00824F1C" w:rsidP="00F06CCF">
      <w:pPr>
        <w:pStyle w:val="Heading3"/>
        <w:rPr>
          <w:rFonts w:asciiTheme="minorHAnsi" w:hAnsiTheme="minorHAnsi"/>
        </w:rPr>
      </w:pPr>
      <w:proofErr w:type="gramStart"/>
      <w:r w:rsidRPr="00F06CCF">
        <w:rPr>
          <w:rFonts w:asciiTheme="minorHAnsi" w:hAnsiTheme="minorHAnsi"/>
        </w:rPr>
        <w:t>1.4</w:t>
      </w:r>
      <w:r w:rsidR="00F06CCF">
        <w:rPr>
          <w:rFonts w:asciiTheme="minorHAnsi" w:hAnsiTheme="minorHAnsi"/>
        </w:rPr>
        <w:t>.</w:t>
      </w:r>
      <w:r w:rsidR="00AB21F5">
        <w:rPr>
          <w:rFonts w:asciiTheme="minorHAnsi" w:hAnsiTheme="minorHAnsi"/>
        </w:rPr>
        <w:t>4</w:t>
      </w:r>
      <w:r w:rsidRPr="00F06CCF">
        <w:rPr>
          <w:rFonts w:asciiTheme="minorHAnsi" w:hAnsiTheme="minorHAnsi"/>
        </w:rPr>
        <w:t xml:space="preserve">  </w:t>
      </w:r>
      <w:r w:rsidR="00E16609" w:rsidRPr="00F06CCF">
        <w:rPr>
          <w:rFonts w:asciiTheme="minorHAnsi" w:hAnsiTheme="minorHAnsi"/>
        </w:rPr>
        <w:t>Measure</w:t>
      </w:r>
      <w:proofErr w:type="gramEnd"/>
      <w:r w:rsidR="00F06CCF">
        <w:rPr>
          <w:rFonts w:asciiTheme="minorHAnsi" w:hAnsiTheme="minorHAnsi"/>
        </w:rPr>
        <w:t xml:space="preserve"> and Base Case</w:t>
      </w:r>
      <w:r w:rsidR="00E16609" w:rsidRPr="00F06CCF">
        <w:rPr>
          <w:rFonts w:asciiTheme="minorHAnsi" w:hAnsiTheme="minorHAnsi"/>
        </w:rPr>
        <w:t xml:space="preserve"> Effective Useful Life</w:t>
      </w:r>
      <w:bookmarkEnd w:id="16"/>
    </w:p>
    <w:p w:rsidR="005B28C1" w:rsidRPr="00697868" w:rsidRDefault="000F130A" w:rsidP="000F130A">
      <w:pPr>
        <w:rPr>
          <w:rFonts w:asciiTheme="minorHAnsi" w:hAnsiTheme="minorHAnsi" w:cstheme="minorHAnsi"/>
          <w:sz w:val="22"/>
          <w:szCs w:val="22"/>
        </w:rPr>
      </w:pPr>
      <w:r w:rsidRPr="00697868">
        <w:rPr>
          <w:rFonts w:asciiTheme="minorHAnsi" w:hAnsiTheme="minorHAnsi" w:cstheme="minorHAnsi"/>
          <w:sz w:val="22"/>
          <w:szCs w:val="22"/>
        </w:rPr>
        <w:t>DEER</w:t>
      </w:r>
      <w:r w:rsidR="00F06CCF">
        <w:rPr>
          <w:rFonts w:asciiTheme="minorHAnsi" w:hAnsiTheme="minorHAnsi" w:cstheme="minorHAnsi"/>
          <w:sz w:val="22"/>
          <w:szCs w:val="22"/>
        </w:rPr>
        <w:t>14 update</w:t>
      </w:r>
      <w:r w:rsidRPr="00697868">
        <w:rPr>
          <w:rFonts w:asciiTheme="minorHAnsi" w:hAnsiTheme="minorHAnsi" w:cstheme="minorHAnsi"/>
          <w:sz w:val="22"/>
          <w:szCs w:val="22"/>
        </w:rPr>
        <w:t xml:space="preserve"> documentation provides EUL and RUL information to be used for the </w:t>
      </w:r>
      <w:r w:rsidR="00F06CCF">
        <w:rPr>
          <w:rFonts w:asciiTheme="minorHAnsi" w:hAnsiTheme="minorHAnsi" w:cstheme="minorHAnsi"/>
          <w:sz w:val="22"/>
          <w:szCs w:val="22"/>
        </w:rPr>
        <w:t>201</w:t>
      </w:r>
      <w:r w:rsidR="00FF74FD">
        <w:rPr>
          <w:rFonts w:asciiTheme="minorHAnsi" w:hAnsiTheme="minorHAnsi" w:cstheme="minorHAnsi"/>
          <w:sz w:val="22"/>
          <w:szCs w:val="22"/>
        </w:rPr>
        <w:t>3-14</w:t>
      </w:r>
      <w:r w:rsidRPr="00697868">
        <w:rPr>
          <w:rFonts w:asciiTheme="minorHAnsi" w:hAnsiTheme="minorHAnsi" w:cstheme="minorHAnsi"/>
          <w:sz w:val="22"/>
          <w:szCs w:val="22"/>
        </w:rPr>
        <w:t xml:space="preserve"> program cycle</w:t>
      </w:r>
      <w:r w:rsidR="00F06CCF">
        <w:rPr>
          <w:rFonts w:asciiTheme="minorHAnsi" w:hAnsiTheme="minorHAnsi" w:cstheme="minorHAnsi"/>
          <w:sz w:val="22"/>
          <w:szCs w:val="22"/>
        </w:rPr>
        <w:t xml:space="preserve"> </w:t>
      </w:r>
      <w:r w:rsidRPr="00697868">
        <w:rPr>
          <w:rFonts w:asciiTheme="minorHAnsi" w:hAnsiTheme="minorHAnsi" w:cstheme="minorHAnsi"/>
          <w:sz w:val="22"/>
          <w:szCs w:val="22"/>
        </w:rPr>
        <w:t xml:space="preserve">on </w:t>
      </w:r>
      <w:hyperlink r:id="rId26" w:history="1">
        <w:r w:rsidRPr="00697868">
          <w:rPr>
            <w:rFonts w:asciiTheme="minorHAnsi" w:hAnsiTheme="minorHAnsi" w:cstheme="minorHAnsi"/>
            <w:sz w:val="22"/>
            <w:szCs w:val="22"/>
          </w:rPr>
          <w:t>www.deeresources.com</w:t>
        </w:r>
      </w:hyperlink>
      <w:r w:rsidR="00056947" w:rsidRPr="00697868">
        <w:rPr>
          <w:rFonts w:asciiTheme="minorHAnsi" w:hAnsiTheme="minorHAnsi" w:cstheme="minorHAnsi"/>
          <w:sz w:val="22"/>
          <w:szCs w:val="22"/>
        </w:rPr>
        <w:t xml:space="preserve">. </w:t>
      </w:r>
      <w:r w:rsidRPr="00697868">
        <w:rPr>
          <w:rFonts w:asciiTheme="minorHAnsi" w:hAnsiTheme="minorHAnsi" w:cstheme="minorHAnsi"/>
          <w:sz w:val="22"/>
          <w:szCs w:val="22"/>
        </w:rPr>
        <w:t>The DEER documentation “Summary of EUL-RUL Analysis for the April 2008 Update to DEER” provides the RUL value as a flat 1/3 of the EUL value.</w:t>
      </w:r>
      <w:r w:rsidR="009D0753" w:rsidRPr="00697868">
        <w:rPr>
          <w:rFonts w:asciiTheme="minorHAnsi" w:hAnsiTheme="minorHAnsi" w:cstheme="minorHAnsi"/>
          <w:sz w:val="22"/>
          <w:szCs w:val="22"/>
        </w:rPr>
        <w:t xml:space="preserv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rsidR="00661666" w:rsidRDefault="00661666" w:rsidP="000F130A">
      <w:pPr>
        <w:rPr>
          <w:rFonts w:asciiTheme="minorHAnsi" w:hAnsiTheme="minorHAnsi" w:cstheme="minorHAnsi"/>
          <w:sz w:val="22"/>
          <w:szCs w:val="22"/>
        </w:rPr>
      </w:pPr>
    </w:p>
    <w:p w:rsidR="00DA31B9" w:rsidRDefault="00661666" w:rsidP="00DA31B9">
      <w:pPr>
        <w:rPr>
          <w:rFonts w:asciiTheme="minorHAnsi" w:hAnsiTheme="minorHAnsi" w:cstheme="minorHAnsi"/>
          <w:sz w:val="22"/>
          <w:szCs w:val="22"/>
        </w:rPr>
      </w:pPr>
      <w:r>
        <w:rPr>
          <w:rFonts w:asciiTheme="minorHAnsi" w:hAnsiTheme="minorHAnsi" w:cstheme="minorHAnsi"/>
          <w:sz w:val="22"/>
          <w:szCs w:val="22"/>
        </w:rPr>
        <w:t xml:space="preserve">The EUL is taken from program savings documentation from </w:t>
      </w:r>
      <w:r w:rsidRPr="00B12629">
        <w:rPr>
          <w:rFonts w:asciiTheme="minorHAnsi" w:hAnsiTheme="minorHAnsi" w:cstheme="minorHAnsi"/>
          <w:sz w:val="22"/>
          <w:szCs w:val="22"/>
        </w:rPr>
        <w:t>The Connecticut Light and Power Company and The United Illuminating Company</w:t>
      </w:r>
      <w:r w:rsidR="00C5076C">
        <w:rPr>
          <w:rFonts w:asciiTheme="minorHAnsi" w:hAnsiTheme="minorHAnsi" w:cstheme="minorHAnsi"/>
          <w:sz w:val="22"/>
          <w:szCs w:val="22"/>
        </w:rPr>
        <w:t xml:space="preserve"> [353]</w:t>
      </w:r>
      <w:r>
        <w:rPr>
          <w:rFonts w:asciiTheme="minorHAnsi" w:hAnsiTheme="minorHAnsi" w:cstheme="minorHAnsi"/>
          <w:sz w:val="22"/>
          <w:szCs w:val="22"/>
        </w:rPr>
        <w:t>.</w:t>
      </w:r>
      <w:r w:rsidR="00DA31B9" w:rsidRPr="00DA31B9">
        <w:rPr>
          <w:rFonts w:asciiTheme="minorHAnsi" w:hAnsiTheme="minorHAnsi" w:cstheme="minorHAnsi"/>
          <w:sz w:val="22"/>
          <w:szCs w:val="22"/>
        </w:rPr>
        <w:t xml:space="preserve"> </w:t>
      </w:r>
      <w:r w:rsidR="00DA31B9" w:rsidRPr="00697868">
        <w:rPr>
          <w:rFonts w:asciiTheme="minorHAnsi" w:hAnsiTheme="minorHAnsi" w:cstheme="minorHAnsi"/>
          <w:sz w:val="22"/>
          <w:szCs w:val="22"/>
        </w:rPr>
        <w:fldChar w:fldCharType="begin"/>
      </w:r>
      <w:r w:rsidR="00DA31B9" w:rsidRPr="00697868">
        <w:rPr>
          <w:rFonts w:asciiTheme="minorHAnsi" w:hAnsiTheme="minorHAnsi" w:cstheme="minorHAnsi"/>
          <w:sz w:val="22"/>
          <w:szCs w:val="22"/>
        </w:rPr>
        <w:instrText xml:space="preserve"> REF _Ref296591307 \h  \* MERGEFORMAT </w:instrText>
      </w:r>
      <w:r w:rsidR="00DA31B9" w:rsidRPr="00697868">
        <w:rPr>
          <w:rFonts w:asciiTheme="minorHAnsi" w:hAnsiTheme="minorHAnsi" w:cstheme="minorHAnsi"/>
          <w:sz w:val="22"/>
          <w:szCs w:val="22"/>
        </w:rPr>
      </w:r>
      <w:r w:rsidR="00DA31B9" w:rsidRPr="00697868">
        <w:rPr>
          <w:rFonts w:asciiTheme="minorHAnsi" w:hAnsiTheme="minorHAnsi" w:cstheme="minorHAnsi"/>
          <w:sz w:val="22"/>
          <w:szCs w:val="22"/>
        </w:rPr>
        <w:fldChar w:fldCharType="separate"/>
      </w:r>
      <w:r w:rsidR="00CF6DDC" w:rsidRPr="00697868">
        <w:rPr>
          <w:rFonts w:asciiTheme="minorHAnsi" w:hAnsiTheme="minorHAnsi" w:cstheme="minorHAnsi"/>
          <w:sz w:val="22"/>
          <w:szCs w:val="22"/>
        </w:rPr>
        <w:t xml:space="preserve">Table </w:t>
      </w:r>
      <w:r w:rsidR="00CF6DDC">
        <w:rPr>
          <w:rFonts w:asciiTheme="minorHAnsi" w:hAnsiTheme="minorHAnsi" w:cstheme="minorHAnsi"/>
          <w:noProof/>
          <w:sz w:val="22"/>
          <w:szCs w:val="22"/>
        </w:rPr>
        <w:t>7</w:t>
      </w:r>
      <w:r w:rsidR="00DA31B9" w:rsidRPr="00697868">
        <w:rPr>
          <w:rFonts w:asciiTheme="minorHAnsi" w:hAnsiTheme="minorHAnsi" w:cstheme="minorHAnsi"/>
          <w:sz w:val="22"/>
          <w:szCs w:val="22"/>
        </w:rPr>
        <w:fldChar w:fldCharType="end"/>
      </w:r>
      <w:r w:rsidR="00DA31B9" w:rsidRPr="00697868">
        <w:rPr>
          <w:rFonts w:asciiTheme="minorHAnsi" w:hAnsiTheme="minorHAnsi" w:cstheme="minorHAnsi"/>
          <w:sz w:val="22"/>
          <w:szCs w:val="22"/>
        </w:rPr>
        <w:t xml:space="preserve"> below identifies the value/methodology used for the measures in this work paper.</w:t>
      </w:r>
    </w:p>
    <w:p w:rsidR="00BD3931" w:rsidRPr="00697868" w:rsidRDefault="00BD3931" w:rsidP="000F130A">
      <w:pPr>
        <w:rPr>
          <w:rFonts w:asciiTheme="minorHAnsi" w:hAnsiTheme="minorHAnsi" w:cstheme="minorHAnsi"/>
          <w:sz w:val="22"/>
          <w:szCs w:val="22"/>
        </w:rPr>
      </w:pPr>
    </w:p>
    <w:p w:rsidR="005B28C1" w:rsidRPr="00697868" w:rsidRDefault="005B28C1" w:rsidP="005B28C1">
      <w:pPr>
        <w:pStyle w:val="Caption"/>
        <w:jc w:val="center"/>
        <w:rPr>
          <w:rFonts w:asciiTheme="minorHAnsi" w:hAnsiTheme="minorHAnsi" w:cstheme="minorHAnsi"/>
          <w:sz w:val="22"/>
          <w:szCs w:val="22"/>
        </w:rPr>
      </w:pPr>
      <w:bookmarkStart w:id="17" w:name="_Ref296591307"/>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CF6DDC">
        <w:rPr>
          <w:rFonts w:asciiTheme="minorHAnsi" w:hAnsiTheme="minorHAnsi" w:cstheme="minorHAnsi"/>
          <w:noProof/>
          <w:sz w:val="22"/>
          <w:szCs w:val="22"/>
        </w:rPr>
        <w:t>7</w:t>
      </w:r>
      <w:r w:rsidRPr="00697868">
        <w:rPr>
          <w:rFonts w:asciiTheme="minorHAnsi" w:hAnsiTheme="minorHAnsi" w:cstheme="minorHAnsi"/>
          <w:sz w:val="22"/>
          <w:szCs w:val="22"/>
        </w:rPr>
        <w:fldChar w:fldCharType="end"/>
      </w:r>
      <w:bookmarkEnd w:id="17"/>
      <w:r w:rsidRPr="00697868">
        <w:rPr>
          <w:rFonts w:asciiTheme="minorHAnsi" w:hAnsiTheme="minorHAnsi" w:cstheme="minorHAnsi"/>
          <w:sz w:val="22"/>
          <w:szCs w:val="22"/>
        </w:rPr>
        <w:t xml:space="preserve"> DEER</w:t>
      </w:r>
      <w:r w:rsidR="003832D2">
        <w:rPr>
          <w:rFonts w:asciiTheme="minorHAnsi" w:hAnsiTheme="minorHAnsi" w:cstheme="minorHAnsi"/>
          <w:sz w:val="22"/>
          <w:szCs w:val="22"/>
        </w:rPr>
        <w:t>14</w:t>
      </w:r>
      <w:r w:rsidRPr="00697868">
        <w:rPr>
          <w:rFonts w:asciiTheme="minorHAnsi" w:hAnsiTheme="minorHAnsi" w:cstheme="minorHAnsi"/>
          <w:sz w:val="22"/>
          <w:szCs w:val="22"/>
        </w:rPr>
        <w:t xml:space="preserve"> EUL Value/Methodology</w:t>
      </w:r>
    </w:p>
    <w:tbl>
      <w:tblPr>
        <w:tblStyle w:val="TableContemporary"/>
        <w:tblW w:w="0" w:type="auto"/>
        <w:jc w:val="center"/>
        <w:tblLook w:val="04A0" w:firstRow="1" w:lastRow="0" w:firstColumn="1" w:lastColumn="0" w:noHBand="0" w:noVBand="1"/>
      </w:tblPr>
      <w:tblGrid>
        <w:gridCol w:w="1461"/>
        <w:gridCol w:w="1731"/>
        <w:gridCol w:w="1214"/>
        <w:gridCol w:w="2161"/>
        <w:gridCol w:w="1566"/>
        <w:gridCol w:w="1443"/>
      </w:tblGrid>
      <w:tr w:rsidR="001C5A94" w:rsidRPr="00697868" w:rsidTr="001C5A94">
        <w:trPr>
          <w:cnfStyle w:val="100000000000" w:firstRow="1" w:lastRow="0" w:firstColumn="0" w:lastColumn="0" w:oddVBand="0" w:evenVBand="0" w:oddHBand="0" w:evenHBand="0" w:firstRowFirstColumn="0" w:firstRowLastColumn="0" w:lastRowFirstColumn="0" w:lastRowLastColumn="0"/>
          <w:jc w:val="center"/>
        </w:trPr>
        <w:tc>
          <w:tcPr>
            <w:tcW w:w="1461" w:type="dxa"/>
          </w:tcPr>
          <w:p w:rsidR="001C5A94" w:rsidRPr="00697868" w:rsidRDefault="001C5A94" w:rsidP="000F130A">
            <w:pPr>
              <w:rPr>
                <w:rFonts w:asciiTheme="minorHAnsi" w:hAnsiTheme="minorHAnsi" w:cstheme="minorHAnsi"/>
                <w:sz w:val="20"/>
                <w:szCs w:val="20"/>
              </w:rPr>
            </w:pPr>
            <w:r>
              <w:rPr>
                <w:rFonts w:asciiTheme="minorHAnsi" w:hAnsiTheme="minorHAnsi" w:cstheme="minorHAnsi"/>
                <w:sz w:val="20"/>
                <w:szCs w:val="20"/>
              </w:rPr>
              <w:t>READi EUL ID</w:t>
            </w:r>
          </w:p>
        </w:tc>
        <w:tc>
          <w:tcPr>
            <w:tcW w:w="173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Market</w:t>
            </w:r>
          </w:p>
        </w:tc>
        <w:tc>
          <w:tcPr>
            <w:tcW w:w="1214"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Enduse</w:t>
            </w:r>
          </w:p>
        </w:tc>
        <w:tc>
          <w:tcPr>
            <w:tcW w:w="2161"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Measure</w:t>
            </w:r>
          </w:p>
        </w:tc>
        <w:tc>
          <w:tcPr>
            <w:tcW w:w="1566"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EUL (Years)</w:t>
            </w:r>
          </w:p>
        </w:tc>
        <w:tc>
          <w:tcPr>
            <w:tcW w:w="1443" w:type="dxa"/>
          </w:tcPr>
          <w:p w:rsidR="001C5A94" w:rsidRPr="00697868" w:rsidRDefault="001C5A94" w:rsidP="000F130A">
            <w:pPr>
              <w:rPr>
                <w:rFonts w:asciiTheme="minorHAnsi" w:hAnsiTheme="minorHAnsi" w:cstheme="minorHAnsi"/>
                <w:sz w:val="20"/>
                <w:szCs w:val="20"/>
              </w:rPr>
            </w:pPr>
            <w:r w:rsidRPr="00697868">
              <w:rPr>
                <w:rFonts w:asciiTheme="minorHAnsi" w:hAnsiTheme="minorHAnsi" w:cstheme="minorHAnsi"/>
                <w:sz w:val="20"/>
                <w:szCs w:val="20"/>
              </w:rPr>
              <w:t>RUL (Years)</w:t>
            </w:r>
          </w:p>
        </w:tc>
      </w:tr>
      <w:tr w:rsidR="001C5A94" w:rsidRPr="00697868" w:rsidTr="001C5A94">
        <w:trPr>
          <w:cnfStyle w:val="000000100000" w:firstRow="0" w:lastRow="0" w:firstColumn="0" w:lastColumn="0" w:oddVBand="0" w:evenVBand="0" w:oddHBand="1" w:evenHBand="0" w:firstRowFirstColumn="0" w:firstRowLastColumn="0" w:lastRowFirstColumn="0" w:lastRowLastColumn="0"/>
          <w:trHeight w:val="243"/>
          <w:jc w:val="center"/>
        </w:trPr>
        <w:tc>
          <w:tcPr>
            <w:tcW w:w="1461" w:type="dxa"/>
          </w:tcPr>
          <w:p w:rsidR="001C5A94" w:rsidRPr="00697868" w:rsidRDefault="000A2A20" w:rsidP="000F130A">
            <w:pPr>
              <w:rPr>
                <w:rFonts w:asciiTheme="minorHAnsi" w:hAnsiTheme="minorHAnsi" w:cstheme="minorHAnsi"/>
                <w:sz w:val="20"/>
                <w:szCs w:val="20"/>
              </w:rPr>
            </w:pPr>
            <w:r>
              <w:rPr>
                <w:rFonts w:asciiTheme="minorHAnsi" w:hAnsiTheme="minorHAnsi" w:cstheme="minorHAnsi"/>
                <w:sz w:val="20"/>
                <w:szCs w:val="20"/>
              </w:rPr>
              <w:t>NonDEER</w:t>
            </w:r>
          </w:p>
        </w:tc>
        <w:tc>
          <w:tcPr>
            <w:tcW w:w="1731" w:type="dxa"/>
          </w:tcPr>
          <w:p w:rsidR="001C5A94" w:rsidRPr="00697868" w:rsidRDefault="004D3B93" w:rsidP="004D3B93">
            <w:pPr>
              <w:rPr>
                <w:rFonts w:asciiTheme="minorHAnsi" w:hAnsiTheme="minorHAnsi" w:cstheme="minorHAnsi"/>
                <w:sz w:val="20"/>
                <w:szCs w:val="20"/>
              </w:rPr>
            </w:pPr>
            <w:r>
              <w:rPr>
                <w:rFonts w:asciiTheme="minorHAnsi" w:hAnsiTheme="minorHAnsi" w:cstheme="minorHAnsi"/>
                <w:sz w:val="20"/>
                <w:szCs w:val="20"/>
              </w:rPr>
              <w:t>Non-Residential</w:t>
            </w:r>
          </w:p>
        </w:tc>
        <w:tc>
          <w:tcPr>
            <w:tcW w:w="1214" w:type="dxa"/>
          </w:tcPr>
          <w:p w:rsidR="001C5A94" w:rsidRPr="00697868" w:rsidRDefault="000A2A20" w:rsidP="00661666">
            <w:pPr>
              <w:rPr>
                <w:rFonts w:asciiTheme="minorHAnsi" w:hAnsiTheme="minorHAnsi" w:cstheme="minorHAnsi"/>
                <w:sz w:val="20"/>
                <w:szCs w:val="20"/>
              </w:rPr>
            </w:pPr>
            <w:r>
              <w:rPr>
                <w:rFonts w:asciiTheme="minorHAnsi" w:hAnsiTheme="minorHAnsi" w:cstheme="minorHAnsi"/>
                <w:sz w:val="20"/>
                <w:szCs w:val="20"/>
              </w:rPr>
              <w:t>Process</w:t>
            </w:r>
          </w:p>
        </w:tc>
        <w:tc>
          <w:tcPr>
            <w:tcW w:w="2161" w:type="dxa"/>
          </w:tcPr>
          <w:p w:rsidR="001C5A94" w:rsidRPr="00697868" w:rsidRDefault="000A2A20" w:rsidP="000F130A">
            <w:pPr>
              <w:rPr>
                <w:rFonts w:asciiTheme="minorHAnsi" w:hAnsiTheme="minorHAnsi" w:cstheme="minorHAnsi"/>
                <w:sz w:val="20"/>
                <w:szCs w:val="20"/>
              </w:rPr>
            </w:pPr>
            <w:r>
              <w:rPr>
                <w:rFonts w:asciiTheme="minorHAnsi" w:hAnsiTheme="minorHAnsi" w:cstheme="minorHAnsi"/>
                <w:sz w:val="20"/>
                <w:szCs w:val="20"/>
              </w:rPr>
              <w:t>Variable Speed Drive on Process Fan Control</w:t>
            </w:r>
          </w:p>
        </w:tc>
        <w:tc>
          <w:tcPr>
            <w:tcW w:w="1566" w:type="dxa"/>
          </w:tcPr>
          <w:p w:rsidR="001C5A94" w:rsidRPr="00697868" w:rsidRDefault="000A2A20" w:rsidP="000F130A">
            <w:pPr>
              <w:rPr>
                <w:rFonts w:asciiTheme="minorHAnsi" w:hAnsiTheme="minorHAnsi" w:cstheme="minorHAnsi"/>
                <w:sz w:val="20"/>
                <w:szCs w:val="20"/>
              </w:rPr>
            </w:pPr>
            <w:r>
              <w:rPr>
                <w:rFonts w:asciiTheme="minorHAnsi" w:hAnsiTheme="minorHAnsi" w:cstheme="minorHAnsi"/>
                <w:sz w:val="20"/>
                <w:szCs w:val="20"/>
              </w:rPr>
              <w:t>13</w:t>
            </w:r>
          </w:p>
        </w:tc>
        <w:tc>
          <w:tcPr>
            <w:tcW w:w="1443" w:type="dxa"/>
          </w:tcPr>
          <w:p w:rsidR="001C5A94" w:rsidRPr="00697868" w:rsidRDefault="00725236" w:rsidP="000F130A">
            <w:pPr>
              <w:rPr>
                <w:rFonts w:asciiTheme="minorHAnsi" w:hAnsiTheme="minorHAnsi" w:cstheme="minorHAnsi"/>
                <w:sz w:val="20"/>
                <w:szCs w:val="20"/>
              </w:rPr>
            </w:pPr>
            <w:r>
              <w:rPr>
                <w:rFonts w:asciiTheme="minorHAnsi" w:hAnsiTheme="minorHAnsi" w:cstheme="minorHAnsi"/>
                <w:sz w:val="20"/>
                <w:szCs w:val="20"/>
              </w:rPr>
              <w:t>N/A</w:t>
            </w:r>
          </w:p>
        </w:tc>
      </w:tr>
    </w:tbl>
    <w:p w:rsidR="00E16609" w:rsidRPr="00697868" w:rsidRDefault="00E16609" w:rsidP="00560934">
      <w:pPr>
        <w:pStyle w:val="Heading1"/>
        <w:keepNext w:val="0"/>
        <w:rPr>
          <w:rFonts w:asciiTheme="minorHAnsi" w:hAnsiTheme="minorHAnsi" w:cstheme="minorHAnsi"/>
        </w:rPr>
      </w:pPr>
      <w:bookmarkStart w:id="18" w:name="_Toc214003090"/>
      <w:proofErr w:type="gramStart"/>
      <w:r w:rsidRPr="00697868">
        <w:rPr>
          <w:rFonts w:asciiTheme="minorHAnsi" w:hAnsiTheme="minorHAnsi" w:cstheme="minorHAnsi"/>
        </w:rPr>
        <w:t>Section 2.</w:t>
      </w:r>
      <w:proofErr w:type="gramEnd"/>
      <w:r w:rsidRPr="00697868">
        <w:rPr>
          <w:rFonts w:asciiTheme="minorHAnsi" w:hAnsiTheme="minorHAnsi" w:cstheme="minorHAnsi"/>
        </w:rPr>
        <w:t xml:space="preserve"> Energy Savings &amp; Demand Reduction Calculations</w:t>
      </w:r>
      <w:bookmarkEnd w:id="18"/>
    </w:p>
    <w:p w:rsidR="00EE7437" w:rsidRPr="00AD6D86" w:rsidRDefault="00AD6D86" w:rsidP="00AD6D86">
      <w:pPr>
        <w:rPr>
          <w:rFonts w:asciiTheme="minorHAnsi" w:hAnsiTheme="minorHAnsi"/>
          <w:sz w:val="22"/>
          <w:szCs w:val="22"/>
        </w:rPr>
      </w:pPr>
      <w:bookmarkStart w:id="19" w:name="_Toc214003093"/>
      <w:r w:rsidRPr="00AD6D86">
        <w:rPr>
          <w:rFonts w:asciiTheme="minorHAnsi" w:hAnsiTheme="minorHAnsi" w:cs="Calibri"/>
          <w:sz w:val="22"/>
          <w:szCs w:val="22"/>
        </w:rPr>
        <w:t>This measure achieves energy savings and demand reduction by enabling a</w:t>
      </w:r>
      <w:r w:rsidR="00EE7437" w:rsidRPr="00AD6D86">
        <w:rPr>
          <w:rFonts w:asciiTheme="minorHAnsi" w:hAnsiTheme="minorHAnsi" w:cs="Calibri"/>
          <w:sz w:val="22"/>
          <w:szCs w:val="22"/>
        </w:rPr>
        <w:t xml:space="preserve"> process fan to operate</w:t>
      </w:r>
      <w:r w:rsidR="00EE7437">
        <w:rPr>
          <w:rFonts w:asciiTheme="minorHAnsi" w:hAnsiTheme="minorHAnsi" w:cs="Calibri"/>
          <w:sz w:val="22"/>
          <w:szCs w:val="22"/>
        </w:rPr>
        <w:t xml:space="preserve"> more efficiently at part load conditions.</w:t>
      </w:r>
      <w:r w:rsidRPr="00AD6D86">
        <w:rPr>
          <w:rFonts w:asciiTheme="minorHAnsi" w:hAnsiTheme="minorHAnsi"/>
          <w:sz w:val="22"/>
          <w:szCs w:val="22"/>
        </w:rPr>
        <w:t xml:space="preserve"> </w:t>
      </w:r>
      <w:r>
        <w:rPr>
          <w:rFonts w:asciiTheme="minorHAnsi" w:hAnsiTheme="minorHAnsi"/>
          <w:sz w:val="22"/>
          <w:szCs w:val="22"/>
        </w:rPr>
        <w:t>Savings</w:t>
      </w:r>
      <w:r w:rsidRPr="008E3459">
        <w:rPr>
          <w:rFonts w:asciiTheme="minorHAnsi" w:hAnsiTheme="minorHAnsi"/>
          <w:sz w:val="22"/>
          <w:szCs w:val="22"/>
        </w:rPr>
        <w:t xml:space="preserve"> do not vary by climate zone or building type.</w:t>
      </w:r>
    </w:p>
    <w:p w:rsidR="00EE7437" w:rsidRDefault="00EE7437" w:rsidP="00EE7437">
      <w:pPr>
        <w:pStyle w:val="Reminder"/>
        <w:rPr>
          <w:rFonts w:asciiTheme="minorHAnsi" w:hAnsiTheme="minorHAnsi" w:cs="Calibri"/>
          <w:i w:val="0"/>
          <w:color w:val="auto"/>
          <w:sz w:val="22"/>
          <w:szCs w:val="22"/>
        </w:rPr>
      </w:pPr>
    </w:p>
    <w:p w:rsidR="00AD6D86" w:rsidRPr="00AD6D86" w:rsidRDefault="00AD6D86" w:rsidP="00EE7437">
      <w:pPr>
        <w:pStyle w:val="Reminder"/>
        <w:rPr>
          <w:rFonts w:asciiTheme="minorHAnsi" w:hAnsiTheme="minorHAnsi" w:cs="Calibri"/>
          <w:b/>
          <w:i w:val="0"/>
          <w:color w:val="auto"/>
          <w:sz w:val="22"/>
          <w:szCs w:val="22"/>
        </w:rPr>
      </w:pPr>
      <w:r w:rsidRPr="00AD6D86">
        <w:rPr>
          <w:rFonts w:asciiTheme="minorHAnsi" w:hAnsiTheme="minorHAnsi" w:cs="Calibri"/>
          <w:b/>
          <w:i w:val="0"/>
          <w:color w:val="auto"/>
          <w:sz w:val="22"/>
          <w:szCs w:val="22"/>
        </w:rPr>
        <w:t>Online Application Tool</w:t>
      </w:r>
    </w:p>
    <w:p w:rsidR="00EE7437" w:rsidRDefault="00EE7437" w:rsidP="00EE7437">
      <w:pPr>
        <w:pStyle w:val="Reminder"/>
        <w:rPr>
          <w:rFonts w:asciiTheme="minorHAnsi" w:hAnsiTheme="minorHAnsi" w:cs="Calibri"/>
          <w:i w:val="0"/>
          <w:color w:val="auto"/>
          <w:sz w:val="22"/>
          <w:szCs w:val="22"/>
        </w:rPr>
      </w:pPr>
      <w:r>
        <w:rPr>
          <w:rFonts w:asciiTheme="minorHAnsi" w:hAnsiTheme="minorHAnsi" w:cs="Calibri"/>
          <w:i w:val="0"/>
          <w:color w:val="auto"/>
          <w:sz w:val="22"/>
          <w:szCs w:val="22"/>
        </w:rPr>
        <w:t>The Fan Systems Upgrade Tool in SCE’s Online Application Tool is a preferred calculation tool for th</w:t>
      </w:r>
      <w:r w:rsidR="003C2B9F">
        <w:rPr>
          <w:rFonts w:asciiTheme="minorHAnsi" w:hAnsiTheme="minorHAnsi" w:cs="Calibri"/>
          <w:i w:val="0"/>
          <w:color w:val="auto"/>
          <w:sz w:val="22"/>
          <w:szCs w:val="22"/>
        </w:rPr>
        <w:t>e Statewide Customized Offering. It</w:t>
      </w:r>
      <w:r>
        <w:rPr>
          <w:rFonts w:asciiTheme="minorHAnsi" w:hAnsiTheme="minorHAnsi" w:cs="Calibri"/>
          <w:i w:val="0"/>
          <w:color w:val="auto"/>
          <w:sz w:val="22"/>
          <w:szCs w:val="22"/>
        </w:rPr>
        <w:t xml:space="preserve"> allows the user to input a baseline fan system and calculate the savings associated with the </w:t>
      </w:r>
      <w:r w:rsidR="003C2B9F">
        <w:rPr>
          <w:rFonts w:asciiTheme="minorHAnsi" w:hAnsiTheme="minorHAnsi"/>
          <w:i w:val="0"/>
          <w:color w:val="auto"/>
          <w:sz w:val="22"/>
          <w:szCs w:val="22"/>
        </w:rPr>
        <w:t>installation of a VS</w:t>
      </w:r>
      <w:r>
        <w:rPr>
          <w:rFonts w:asciiTheme="minorHAnsi" w:hAnsiTheme="minorHAnsi"/>
          <w:i w:val="0"/>
          <w:color w:val="auto"/>
          <w:sz w:val="22"/>
          <w:szCs w:val="22"/>
        </w:rPr>
        <w:t>D on the fan drive motor</w:t>
      </w:r>
      <w:r w:rsidR="003C2B9F">
        <w:rPr>
          <w:rFonts w:asciiTheme="minorHAnsi" w:hAnsiTheme="minorHAnsi" w:cs="Calibri"/>
          <w:i w:val="0"/>
          <w:color w:val="auto"/>
          <w:sz w:val="22"/>
          <w:szCs w:val="22"/>
        </w:rPr>
        <w:t>. This software tool us</w:t>
      </w:r>
      <w:r>
        <w:rPr>
          <w:rFonts w:asciiTheme="minorHAnsi" w:hAnsiTheme="minorHAnsi" w:cs="Calibri"/>
          <w:i w:val="0"/>
          <w:color w:val="auto"/>
          <w:sz w:val="22"/>
          <w:szCs w:val="22"/>
        </w:rPr>
        <w:t xml:space="preserve">es information </w:t>
      </w:r>
      <w:r w:rsidR="003C2B9F">
        <w:rPr>
          <w:rFonts w:asciiTheme="minorHAnsi" w:hAnsiTheme="minorHAnsi" w:cs="Calibri"/>
          <w:i w:val="0"/>
          <w:color w:val="auto"/>
          <w:sz w:val="22"/>
          <w:szCs w:val="22"/>
        </w:rPr>
        <w:t>from the</w:t>
      </w:r>
      <w:r>
        <w:rPr>
          <w:rFonts w:asciiTheme="minorHAnsi" w:hAnsiTheme="minorHAnsi" w:cs="Calibri"/>
          <w:i w:val="0"/>
          <w:color w:val="auto"/>
          <w:sz w:val="22"/>
          <w:szCs w:val="22"/>
        </w:rPr>
        <w:t xml:space="preserve"> FSAT (Fan System Assessment Tool created under the direction of the DOE) </w:t>
      </w:r>
      <w:r w:rsidR="00371AA7">
        <w:rPr>
          <w:rFonts w:asciiTheme="minorHAnsi" w:hAnsiTheme="minorHAnsi" w:cs="Calibri"/>
          <w:i w:val="0"/>
          <w:color w:val="auto"/>
          <w:sz w:val="22"/>
          <w:szCs w:val="22"/>
        </w:rPr>
        <w:t>in conjunction with fan</w:t>
      </w:r>
      <w:r w:rsidR="009E68D7">
        <w:rPr>
          <w:rFonts w:asciiTheme="minorHAnsi" w:hAnsiTheme="minorHAnsi" w:cs="Calibri"/>
          <w:i w:val="0"/>
          <w:color w:val="auto"/>
          <w:sz w:val="22"/>
          <w:szCs w:val="22"/>
        </w:rPr>
        <w:t xml:space="preserve"> affinity</w:t>
      </w:r>
      <w:r w:rsidR="00371AA7">
        <w:rPr>
          <w:rFonts w:asciiTheme="minorHAnsi" w:hAnsiTheme="minorHAnsi" w:cs="Calibri"/>
          <w:i w:val="0"/>
          <w:color w:val="auto"/>
          <w:sz w:val="22"/>
          <w:szCs w:val="22"/>
        </w:rPr>
        <w:t xml:space="preserve"> law</w:t>
      </w:r>
      <w:r w:rsidR="009E68D7">
        <w:rPr>
          <w:rFonts w:asciiTheme="minorHAnsi" w:hAnsiTheme="minorHAnsi" w:cs="Calibri"/>
          <w:i w:val="0"/>
          <w:color w:val="auto"/>
          <w:sz w:val="22"/>
          <w:szCs w:val="22"/>
        </w:rPr>
        <w:t>s</w:t>
      </w:r>
      <w:r w:rsidR="00371AA7">
        <w:rPr>
          <w:rFonts w:asciiTheme="minorHAnsi" w:hAnsiTheme="minorHAnsi" w:cs="Calibri"/>
          <w:i w:val="0"/>
          <w:color w:val="auto"/>
          <w:sz w:val="22"/>
          <w:szCs w:val="22"/>
        </w:rPr>
        <w:t>; see Attachment 4 for the Fan Systems Upgrade Tool documentation</w:t>
      </w:r>
      <w:r>
        <w:rPr>
          <w:rFonts w:asciiTheme="minorHAnsi" w:hAnsiTheme="minorHAnsi" w:cs="Calibri"/>
          <w:i w:val="0"/>
          <w:color w:val="auto"/>
          <w:sz w:val="22"/>
          <w:szCs w:val="22"/>
        </w:rPr>
        <w:t xml:space="preserve">. </w:t>
      </w:r>
      <w:r w:rsidR="009E68D7">
        <w:rPr>
          <w:rFonts w:asciiTheme="minorHAnsi" w:hAnsiTheme="minorHAnsi" w:cs="Calibri"/>
          <w:i w:val="0"/>
          <w:color w:val="auto"/>
          <w:sz w:val="22"/>
          <w:szCs w:val="22"/>
        </w:rPr>
        <w:t>See the equation below for the relationship between fan power</w:t>
      </w:r>
      <w:r w:rsidR="00ED79D1">
        <w:rPr>
          <w:rFonts w:asciiTheme="minorHAnsi" w:hAnsiTheme="minorHAnsi" w:cs="Calibri"/>
          <w:i w:val="0"/>
          <w:color w:val="auto"/>
          <w:sz w:val="22"/>
          <w:szCs w:val="22"/>
        </w:rPr>
        <w:t xml:space="preserve"> (P)</w:t>
      </w:r>
      <w:r w:rsidR="009E68D7">
        <w:rPr>
          <w:rFonts w:asciiTheme="minorHAnsi" w:hAnsiTheme="minorHAnsi" w:cs="Calibri"/>
          <w:i w:val="0"/>
          <w:color w:val="auto"/>
          <w:sz w:val="22"/>
          <w:szCs w:val="22"/>
        </w:rPr>
        <w:t xml:space="preserve"> and speed</w:t>
      </w:r>
      <w:r w:rsidR="00ED79D1">
        <w:rPr>
          <w:rFonts w:asciiTheme="minorHAnsi" w:hAnsiTheme="minorHAnsi" w:cs="Calibri"/>
          <w:i w:val="0"/>
          <w:color w:val="auto"/>
          <w:sz w:val="22"/>
          <w:szCs w:val="22"/>
        </w:rPr>
        <w:t xml:space="preserve"> (n)</w:t>
      </w:r>
      <w:r w:rsidR="009E68D7">
        <w:rPr>
          <w:rFonts w:asciiTheme="minorHAnsi" w:hAnsiTheme="minorHAnsi" w:cs="Calibri"/>
          <w:i w:val="0"/>
          <w:color w:val="auto"/>
          <w:sz w:val="22"/>
          <w:szCs w:val="22"/>
        </w:rPr>
        <w:t>:</w:t>
      </w:r>
    </w:p>
    <w:p w:rsidR="009E68D7" w:rsidRDefault="009E68D7" w:rsidP="00EE7437">
      <w:pPr>
        <w:pStyle w:val="Reminder"/>
        <w:rPr>
          <w:rFonts w:asciiTheme="minorHAnsi" w:hAnsiTheme="minorHAnsi" w:cs="Calibri"/>
          <w:i w:val="0"/>
          <w:color w:val="auto"/>
          <w:sz w:val="22"/>
          <w:szCs w:val="22"/>
        </w:rPr>
      </w:pPr>
    </w:p>
    <w:p w:rsidR="00EE7437" w:rsidRDefault="004A7A26" w:rsidP="00EE7437">
      <w:pPr>
        <w:pStyle w:val="Reminder"/>
        <w:rPr>
          <w:rFonts w:asciiTheme="minorHAnsi" w:hAnsiTheme="minorHAnsi" w:cs="Calibri"/>
          <w:i w:val="0"/>
          <w:color w:val="auto"/>
          <w:sz w:val="22"/>
          <w:szCs w:val="22"/>
        </w:rPr>
      </w:pPr>
      <m:oMathPara>
        <m:oMath>
          <m:f>
            <m:fPr>
              <m:ctrlPr>
                <w:rPr>
                  <w:rFonts w:ascii="Cambria Math" w:hAnsi="Cambria Math" w:cs="Calibri"/>
                  <w:color w:val="auto"/>
                  <w:sz w:val="22"/>
                  <w:szCs w:val="22"/>
                </w:rPr>
              </m:ctrlPr>
            </m:fPr>
            <m:num>
              <m:sSub>
                <m:sSubPr>
                  <m:ctrlPr>
                    <w:rPr>
                      <w:rFonts w:ascii="Cambria Math" w:hAnsi="Cambria Math" w:cs="Calibri"/>
                      <w:color w:val="auto"/>
                      <w:sz w:val="22"/>
                      <w:szCs w:val="22"/>
                    </w:rPr>
                  </m:ctrlPr>
                </m:sSubPr>
                <m:e>
                  <m:r>
                    <w:rPr>
                      <w:rFonts w:ascii="Cambria Math" w:hAnsi="Cambria Math" w:cs="Calibri"/>
                      <w:color w:val="auto"/>
                      <w:sz w:val="22"/>
                      <w:szCs w:val="22"/>
                    </w:rPr>
                    <m:t>P</m:t>
                  </m:r>
                </m:e>
                <m:sub>
                  <m:r>
                    <w:rPr>
                      <w:rFonts w:ascii="Cambria Math" w:hAnsi="Cambria Math" w:cs="Calibri"/>
                      <w:color w:val="auto"/>
                      <w:sz w:val="22"/>
                      <w:szCs w:val="22"/>
                    </w:rPr>
                    <m:t>1</m:t>
                  </m:r>
                </m:sub>
              </m:sSub>
            </m:num>
            <m:den>
              <m:sSub>
                <m:sSubPr>
                  <m:ctrlPr>
                    <w:rPr>
                      <w:rFonts w:ascii="Cambria Math" w:hAnsi="Cambria Math" w:cs="Calibri"/>
                      <w:color w:val="auto"/>
                      <w:sz w:val="22"/>
                      <w:szCs w:val="22"/>
                    </w:rPr>
                  </m:ctrlPr>
                </m:sSubPr>
                <m:e>
                  <m:r>
                    <w:rPr>
                      <w:rFonts w:ascii="Cambria Math" w:hAnsi="Cambria Math" w:cs="Calibri"/>
                      <w:color w:val="auto"/>
                      <w:sz w:val="22"/>
                      <w:szCs w:val="22"/>
                    </w:rPr>
                    <m:t>P</m:t>
                  </m:r>
                </m:e>
                <m:sub>
                  <m:r>
                    <w:rPr>
                      <w:rFonts w:ascii="Cambria Math" w:hAnsi="Cambria Math" w:cs="Calibri"/>
                      <w:color w:val="auto"/>
                      <w:sz w:val="22"/>
                      <w:szCs w:val="22"/>
                    </w:rPr>
                    <m:t>2</m:t>
                  </m:r>
                </m:sub>
              </m:sSub>
            </m:den>
          </m:f>
          <m:r>
            <w:rPr>
              <w:rFonts w:ascii="Cambria Math" w:hAnsi="Cambria Math" w:cs="Calibri"/>
              <w:color w:val="auto"/>
              <w:sz w:val="22"/>
              <w:szCs w:val="22"/>
            </w:rPr>
            <m:t>=</m:t>
          </m:r>
          <m:sSup>
            <m:sSupPr>
              <m:ctrlPr>
                <w:rPr>
                  <w:rFonts w:ascii="Cambria Math" w:hAnsi="Cambria Math" w:cs="Calibri"/>
                  <w:color w:val="auto"/>
                  <w:sz w:val="22"/>
                  <w:szCs w:val="22"/>
                </w:rPr>
              </m:ctrlPr>
            </m:sSupPr>
            <m:e>
              <m:d>
                <m:dPr>
                  <m:ctrlPr>
                    <w:rPr>
                      <w:rFonts w:ascii="Cambria Math" w:hAnsi="Cambria Math" w:cs="Calibri"/>
                      <w:color w:val="auto"/>
                      <w:sz w:val="22"/>
                      <w:szCs w:val="22"/>
                    </w:rPr>
                  </m:ctrlPr>
                </m:dPr>
                <m:e>
                  <m:f>
                    <m:fPr>
                      <m:ctrlPr>
                        <w:rPr>
                          <w:rFonts w:ascii="Cambria Math" w:hAnsi="Cambria Math" w:cs="Calibri"/>
                          <w:color w:val="auto"/>
                          <w:sz w:val="22"/>
                          <w:szCs w:val="22"/>
                        </w:rPr>
                      </m:ctrlPr>
                    </m:fPr>
                    <m:num>
                      <m:sSub>
                        <m:sSubPr>
                          <m:ctrlPr>
                            <w:rPr>
                              <w:rFonts w:ascii="Cambria Math" w:hAnsi="Cambria Math" w:cs="Calibri"/>
                              <w:color w:val="auto"/>
                              <w:sz w:val="22"/>
                              <w:szCs w:val="22"/>
                            </w:rPr>
                          </m:ctrlPr>
                        </m:sSubPr>
                        <m:e>
                          <m:r>
                            <w:rPr>
                              <w:rFonts w:ascii="Cambria Math" w:hAnsi="Cambria Math" w:cs="Calibri"/>
                              <w:color w:val="auto"/>
                              <w:sz w:val="22"/>
                              <w:szCs w:val="22"/>
                            </w:rPr>
                            <m:t>n</m:t>
                          </m:r>
                        </m:e>
                        <m:sub>
                          <m:r>
                            <w:rPr>
                              <w:rFonts w:ascii="Cambria Math" w:hAnsi="Cambria Math" w:cs="Calibri"/>
                              <w:color w:val="auto"/>
                              <w:sz w:val="22"/>
                              <w:szCs w:val="22"/>
                            </w:rPr>
                            <m:t>1</m:t>
                          </m:r>
                        </m:sub>
                      </m:sSub>
                    </m:num>
                    <m:den>
                      <m:sSub>
                        <m:sSubPr>
                          <m:ctrlPr>
                            <w:rPr>
                              <w:rFonts w:ascii="Cambria Math" w:hAnsi="Cambria Math" w:cs="Calibri"/>
                              <w:color w:val="auto"/>
                              <w:sz w:val="22"/>
                              <w:szCs w:val="22"/>
                            </w:rPr>
                          </m:ctrlPr>
                        </m:sSubPr>
                        <m:e>
                          <m:r>
                            <w:rPr>
                              <w:rFonts w:ascii="Cambria Math" w:hAnsi="Cambria Math" w:cs="Calibri"/>
                              <w:color w:val="auto"/>
                              <w:sz w:val="22"/>
                              <w:szCs w:val="22"/>
                            </w:rPr>
                            <m:t>n</m:t>
                          </m:r>
                        </m:e>
                        <m:sub>
                          <m:r>
                            <w:rPr>
                              <w:rFonts w:ascii="Cambria Math" w:hAnsi="Cambria Math" w:cs="Calibri"/>
                              <w:color w:val="auto"/>
                              <w:sz w:val="22"/>
                              <w:szCs w:val="22"/>
                            </w:rPr>
                            <m:t>2</m:t>
                          </m:r>
                        </m:sub>
                      </m:sSub>
                    </m:den>
                  </m:f>
                </m:e>
              </m:d>
            </m:e>
            <m:sup>
              <m:r>
                <w:rPr>
                  <w:rFonts w:ascii="Cambria Math" w:hAnsi="Cambria Math" w:cs="Calibri"/>
                  <w:color w:val="auto"/>
                  <w:sz w:val="22"/>
                  <w:szCs w:val="22"/>
                </w:rPr>
                <m:t>3</m:t>
              </m:r>
            </m:sup>
          </m:sSup>
        </m:oMath>
      </m:oMathPara>
    </w:p>
    <w:p w:rsidR="009E68D7" w:rsidRDefault="009E68D7" w:rsidP="00EE7437">
      <w:pPr>
        <w:pStyle w:val="Reminder"/>
        <w:rPr>
          <w:rFonts w:asciiTheme="minorHAnsi" w:hAnsiTheme="minorHAnsi" w:cs="Calibri"/>
          <w:i w:val="0"/>
          <w:color w:val="auto"/>
          <w:sz w:val="22"/>
          <w:szCs w:val="22"/>
        </w:rPr>
      </w:pPr>
    </w:p>
    <w:p w:rsidR="00EE7437" w:rsidRDefault="00EE7437" w:rsidP="00EE7437">
      <w:pPr>
        <w:pStyle w:val="Reminder"/>
        <w:rPr>
          <w:rFonts w:asciiTheme="minorHAnsi" w:hAnsiTheme="minorHAnsi" w:cs="Calibri"/>
          <w:i w:val="0"/>
          <w:color w:val="auto"/>
          <w:sz w:val="22"/>
          <w:szCs w:val="22"/>
        </w:rPr>
      </w:pPr>
      <w:r>
        <w:rPr>
          <w:rFonts w:asciiTheme="minorHAnsi" w:hAnsiTheme="minorHAnsi" w:cs="Calibri"/>
          <w:i w:val="0"/>
          <w:color w:val="auto"/>
          <w:sz w:val="22"/>
          <w:szCs w:val="22"/>
        </w:rPr>
        <w:t>Savings were modeled for eleven different baseline fan systems, usi</w:t>
      </w:r>
      <w:r w:rsidR="00783A3A">
        <w:rPr>
          <w:rFonts w:asciiTheme="minorHAnsi" w:hAnsiTheme="minorHAnsi" w:cs="Calibri"/>
          <w:i w:val="0"/>
          <w:color w:val="auto"/>
          <w:sz w:val="22"/>
          <w:szCs w:val="22"/>
        </w:rPr>
        <w:t>ng NEC standard motor sizes (5 hp</w:t>
      </w:r>
      <w:r>
        <w:rPr>
          <w:rFonts w:asciiTheme="minorHAnsi" w:hAnsiTheme="minorHAnsi" w:cs="Calibri"/>
          <w:i w:val="0"/>
          <w:color w:val="auto"/>
          <w:sz w:val="22"/>
          <w:szCs w:val="22"/>
        </w:rPr>
        <w:t>, 7.5</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10</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15</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20</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25</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30</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40</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50</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60</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75</w:t>
      </w:r>
      <w:r w:rsidR="00783A3A">
        <w:rPr>
          <w:rFonts w:asciiTheme="minorHAnsi" w:hAnsiTheme="minorHAnsi" w:cs="Calibri"/>
          <w:i w:val="0"/>
          <w:color w:val="auto"/>
          <w:sz w:val="22"/>
          <w:szCs w:val="22"/>
        </w:rPr>
        <w:t xml:space="preserve"> hp</w:t>
      </w:r>
      <w:r>
        <w:rPr>
          <w:rFonts w:asciiTheme="minorHAnsi" w:hAnsiTheme="minorHAnsi" w:cs="Calibri"/>
          <w:i w:val="0"/>
          <w:color w:val="auto"/>
          <w:sz w:val="22"/>
          <w:szCs w:val="22"/>
        </w:rPr>
        <w:t>). Inputs were u</w:t>
      </w:r>
      <w:r w:rsidR="00783A3A">
        <w:rPr>
          <w:rFonts w:asciiTheme="minorHAnsi" w:hAnsiTheme="minorHAnsi" w:cs="Calibri"/>
          <w:i w:val="0"/>
          <w:color w:val="auto"/>
          <w:sz w:val="22"/>
          <w:szCs w:val="22"/>
        </w:rPr>
        <w:t>s</w:t>
      </w:r>
      <w:r>
        <w:rPr>
          <w:rFonts w:asciiTheme="minorHAnsi" w:hAnsiTheme="minorHAnsi" w:cs="Calibri"/>
          <w:i w:val="0"/>
          <w:color w:val="auto"/>
          <w:sz w:val="22"/>
          <w:szCs w:val="22"/>
        </w:rPr>
        <w:t xml:space="preserve">ed to create a typical process fan system. Centrifugal fans are more common for process fans due to their size advantage, and were therefore assumed as the baseline fan type. Since process fans are not weather dependent, the savings will not vary </w:t>
      </w:r>
      <w:r w:rsidR="00371AA7">
        <w:rPr>
          <w:rFonts w:asciiTheme="minorHAnsi" w:hAnsiTheme="minorHAnsi" w:cs="Calibri"/>
          <w:i w:val="0"/>
          <w:color w:val="auto"/>
          <w:sz w:val="22"/>
          <w:szCs w:val="22"/>
        </w:rPr>
        <w:t>among</w:t>
      </w:r>
      <w:r>
        <w:rPr>
          <w:rFonts w:asciiTheme="minorHAnsi" w:hAnsiTheme="minorHAnsi" w:cs="Calibri"/>
          <w:i w:val="0"/>
          <w:color w:val="auto"/>
          <w:sz w:val="22"/>
          <w:szCs w:val="22"/>
        </w:rPr>
        <w:t xml:space="preserve"> climate zones. For simulation purposes only, Los Angeles was selected as a typical city, and since the calculations are not dependent on climate zone, the results are applicable to all climate zones. Fan static pressures vary widely by application and the Fan Tool </w:t>
      </w:r>
      <w:r>
        <w:rPr>
          <w:rFonts w:asciiTheme="minorHAnsi" w:hAnsiTheme="minorHAnsi" w:cs="Calibri"/>
          <w:i w:val="0"/>
          <w:color w:val="auto"/>
          <w:sz w:val="22"/>
          <w:szCs w:val="22"/>
        </w:rPr>
        <w:lastRenderedPageBreak/>
        <w:t>allows for a range from 0-35</w:t>
      </w:r>
      <w:proofErr w:type="gramStart"/>
      <w:r>
        <w:rPr>
          <w:rFonts w:asciiTheme="minorHAnsi" w:hAnsiTheme="minorHAnsi" w:cs="Calibri"/>
          <w:i w:val="0"/>
          <w:color w:val="auto"/>
          <w:sz w:val="22"/>
          <w:szCs w:val="22"/>
        </w:rPr>
        <w:t>“ Wg</w:t>
      </w:r>
      <w:proofErr w:type="gramEnd"/>
      <w:r>
        <w:rPr>
          <w:rFonts w:asciiTheme="minorHAnsi" w:hAnsiTheme="minorHAnsi" w:cs="Calibri"/>
          <w:i w:val="0"/>
          <w:color w:val="auto"/>
          <w:sz w:val="22"/>
          <w:szCs w:val="22"/>
        </w:rPr>
        <w:t xml:space="preserve"> to be chosen. An average static pressure of 5“ Wg was assumed because process fans vary from exhaust fans that can have less than 1“ Wg static pressure to large dust collection fans that can have around 10“ Wg static pressure. </w:t>
      </w:r>
      <w:r>
        <w:rPr>
          <w:rFonts w:asciiTheme="minorHAnsi" w:hAnsiTheme="minorHAnsi"/>
          <w:i w:val="0"/>
          <w:color w:val="auto"/>
          <w:sz w:val="22"/>
          <w:szCs w:val="22"/>
        </w:rPr>
        <w:t xml:space="preserve"> Brake horse</w:t>
      </w:r>
      <w:r w:rsidR="00783A3A">
        <w:rPr>
          <w:rFonts w:asciiTheme="minorHAnsi" w:hAnsiTheme="minorHAnsi"/>
          <w:i w:val="0"/>
          <w:color w:val="auto"/>
          <w:sz w:val="22"/>
          <w:szCs w:val="22"/>
        </w:rPr>
        <w:t>power (BHP</w:t>
      </w:r>
      <w:r>
        <w:rPr>
          <w:rFonts w:asciiTheme="minorHAnsi" w:hAnsiTheme="minorHAnsi"/>
          <w:i w:val="0"/>
          <w:color w:val="auto"/>
          <w:sz w:val="22"/>
          <w:szCs w:val="22"/>
        </w:rPr>
        <w:t>) is equal to flow times pressure. For each run, BHP is held constant because energ</w:t>
      </w:r>
      <w:r w:rsidR="00783A3A">
        <w:rPr>
          <w:rFonts w:asciiTheme="minorHAnsi" w:hAnsiTheme="minorHAnsi"/>
          <w:i w:val="0"/>
          <w:color w:val="auto"/>
          <w:sz w:val="22"/>
          <w:szCs w:val="22"/>
        </w:rPr>
        <w:t>y savings are normalized over hp</w:t>
      </w:r>
      <w:r>
        <w:rPr>
          <w:rFonts w:asciiTheme="minorHAnsi" w:hAnsiTheme="minorHAnsi"/>
          <w:i w:val="0"/>
          <w:color w:val="auto"/>
          <w:sz w:val="22"/>
          <w:szCs w:val="22"/>
        </w:rPr>
        <w:t>. Energy savings are not affected by the chosen pressure since the CFM was adjusted in the simulations to keep the BHP constant.</w:t>
      </w:r>
      <w:r>
        <w:rPr>
          <w:rFonts w:asciiTheme="minorHAnsi" w:hAnsiTheme="minorHAnsi"/>
          <w:i w:val="0"/>
          <w:sz w:val="22"/>
          <w:szCs w:val="22"/>
        </w:rPr>
        <w:t xml:space="preserve"> </w:t>
      </w:r>
      <w:r>
        <w:rPr>
          <w:rFonts w:asciiTheme="minorHAnsi" w:hAnsiTheme="minorHAnsi" w:cs="Calibri"/>
          <w:i w:val="0"/>
          <w:color w:val="auto"/>
          <w:sz w:val="22"/>
          <w:szCs w:val="22"/>
        </w:rPr>
        <w:t xml:space="preserve">CFM was determined using specification sheets from a fan manufacturer </w:t>
      </w:r>
      <w:r w:rsidR="003743FF">
        <w:rPr>
          <w:rFonts w:asciiTheme="minorHAnsi" w:hAnsiTheme="minorHAnsi" w:cs="Calibri"/>
          <w:i w:val="0"/>
          <w:color w:val="auto"/>
          <w:sz w:val="22"/>
          <w:szCs w:val="22"/>
        </w:rPr>
        <w:t>(see Attachment 5)</w:t>
      </w:r>
      <w:r>
        <w:rPr>
          <w:rFonts w:asciiTheme="minorHAnsi" w:hAnsiTheme="minorHAnsi" w:cs="Calibri"/>
          <w:i w:val="0"/>
          <w:color w:val="auto"/>
          <w:sz w:val="22"/>
          <w:szCs w:val="22"/>
        </w:rPr>
        <w:t xml:space="preserve">. For each motor, the </w:t>
      </w:r>
      <w:r w:rsidR="00783A3A">
        <w:rPr>
          <w:rFonts w:asciiTheme="minorHAnsi" w:hAnsiTheme="minorHAnsi" w:cs="Calibri"/>
          <w:i w:val="0"/>
          <w:color w:val="auto"/>
          <w:sz w:val="22"/>
          <w:szCs w:val="22"/>
        </w:rPr>
        <w:t>BHP</w:t>
      </w:r>
      <w:r>
        <w:rPr>
          <w:rFonts w:asciiTheme="minorHAnsi" w:hAnsiTheme="minorHAnsi" w:cs="Calibri"/>
          <w:i w:val="0"/>
          <w:color w:val="auto"/>
          <w:sz w:val="22"/>
          <w:szCs w:val="22"/>
        </w:rPr>
        <w:t xml:space="preserve"> was calculated for each of the eleven baseline fan systems, and a fan was selected that best met both the BHP and the 5“ Wg static pressure </w:t>
      </w:r>
      <w:r w:rsidR="003743FF">
        <w:rPr>
          <w:rFonts w:asciiTheme="minorHAnsi" w:hAnsiTheme="minorHAnsi" w:cs="Calibri"/>
          <w:i w:val="0"/>
          <w:color w:val="auto"/>
          <w:sz w:val="22"/>
          <w:szCs w:val="22"/>
        </w:rPr>
        <w:t>assumption (see Attachment 6)</w:t>
      </w:r>
      <w:r>
        <w:rPr>
          <w:rFonts w:asciiTheme="minorHAnsi" w:hAnsiTheme="minorHAnsi" w:cs="Calibri"/>
          <w:i w:val="0"/>
          <w:color w:val="auto"/>
          <w:sz w:val="22"/>
          <w:szCs w:val="22"/>
        </w:rPr>
        <w:t>. The appropriate CFM was then identified from the specification sheets and used for the maximum and design flow software inputs. CFM selected will be consistent across various manufactures since the specific fan type being modeled was chosen because it is the typical type used for process fan. As such the fans efficiency and operating points will not vary significantly across different manufacture</w:t>
      </w:r>
      <w:r w:rsidR="00783A3A">
        <w:rPr>
          <w:rFonts w:asciiTheme="minorHAnsi" w:hAnsiTheme="minorHAnsi" w:cs="Calibri"/>
          <w:i w:val="0"/>
          <w:color w:val="auto"/>
          <w:sz w:val="22"/>
          <w:szCs w:val="22"/>
        </w:rPr>
        <w:t>r</w:t>
      </w:r>
      <w:r>
        <w:rPr>
          <w:rFonts w:asciiTheme="minorHAnsi" w:hAnsiTheme="minorHAnsi" w:cs="Calibri"/>
          <w:i w:val="0"/>
          <w:color w:val="auto"/>
          <w:sz w:val="22"/>
          <w:szCs w:val="22"/>
        </w:rPr>
        <w:t xml:space="preserve">s. Based on the specified CFM and pressure, fan efficiency was calculated using the following equation: </w:t>
      </w:r>
    </w:p>
    <w:p w:rsidR="00EE7437" w:rsidRDefault="00EE7437" w:rsidP="00EE7437">
      <w:pPr>
        <w:pStyle w:val="Reminder"/>
        <w:jc w:val="center"/>
        <w:rPr>
          <w:rFonts w:asciiTheme="minorHAnsi" w:hAnsiTheme="minorHAnsi" w:cs="Calibri"/>
          <w:i w:val="0"/>
          <w:color w:val="auto"/>
          <w:sz w:val="22"/>
          <w:szCs w:val="22"/>
        </w:rPr>
      </w:pPr>
    </w:p>
    <w:p w:rsidR="00EE7437" w:rsidRDefault="00EE7437" w:rsidP="00EE7437">
      <w:pPr>
        <w:pStyle w:val="Reminder"/>
        <w:jc w:val="center"/>
        <w:rPr>
          <w:rFonts w:asciiTheme="minorHAnsi" w:hAnsiTheme="minorHAnsi" w:cs="Calibri"/>
          <w:i w:val="0"/>
          <w:color w:val="auto"/>
          <w:sz w:val="22"/>
          <w:szCs w:val="22"/>
        </w:rPr>
      </w:pPr>
      <w:r>
        <w:rPr>
          <w:rFonts w:asciiTheme="minorHAnsi" w:eastAsia="Calibri" w:hAnsiTheme="minorHAnsi" w:cs="Calibri"/>
          <w:i w:val="0"/>
          <w:color w:val="auto"/>
          <w:position w:val="-24"/>
          <w:sz w:val="22"/>
          <w:szCs w:val="22"/>
        </w:rPr>
        <w:object w:dxaOrig="5745" w:dyaOrig="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7.25pt;height:30.75pt" o:ole="">
            <v:imagedata r:id="rId27" o:title=""/>
          </v:shape>
          <o:OLEObject Type="Embed" ProgID="Equation.3" ShapeID="_x0000_i1025" DrawAspect="Content" ObjectID="_1489304055" r:id="rId28"/>
        </w:object>
      </w:r>
    </w:p>
    <w:p w:rsidR="00EE7437" w:rsidRDefault="00EE7437" w:rsidP="00EE7437">
      <w:pPr>
        <w:pStyle w:val="Reminder"/>
        <w:rPr>
          <w:rFonts w:asciiTheme="minorHAnsi" w:hAnsiTheme="minorHAnsi" w:cs="Calibri"/>
          <w:i w:val="0"/>
          <w:color w:val="auto"/>
          <w:sz w:val="22"/>
          <w:szCs w:val="22"/>
        </w:rPr>
      </w:pPr>
    </w:p>
    <w:p w:rsidR="00EE7437" w:rsidRDefault="00EE7437" w:rsidP="00EE7437">
      <w:pPr>
        <w:pStyle w:val="Reminder"/>
        <w:rPr>
          <w:rFonts w:asciiTheme="minorHAnsi" w:hAnsiTheme="minorHAnsi" w:cs="Calibri"/>
          <w:i w:val="0"/>
          <w:color w:val="auto"/>
          <w:sz w:val="22"/>
          <w:szCs w:val="22"/>
        </w:rPr>
      </w:pPr>
      <w:r>
        <w:rPr>
          <w:rFonts w:asciiTheme="minorHAnsi" w:hAnsiTheme="minorHAnsi" w:cs="Calibri"/>
          <w:i w:val="0"/>
          <w:color w:val="auto"/>
          <w:sz w:val="22"/>
          <w:szCs w:val="22"/>
        </w:rPr>
        <w:t>S</w:t>
      </w:r>
      <w:r w:rsidR="00783A3A">
        <w:rPr>
          <w:rFonts w:asciiTheme="minorHAnsi" w:hAnsiTheme="minorHAnsi" w:cs="Calibri"/>
          <w:i w:val="0"/>
          <w:color w:val="auto"/>
          <w:sz w:val="22"/>
          <w:szCs w:val="22"/>
        </w:rPr>
        <w:t>ince the CFM changed based on hp</w:t>
      </w:r>
      <w:r>
        <w:rPr>
          <w:rFonts w:asciiTheme="minorHAnsi" w:hAnsiTheme="minorHAnsi" w:cs="Calibri"/>
          <w:i w:val="0"/>
          <w:color w:val="auto"/>
          <w:sz w:val="22"/>
          <w:szCs w:val="22"/>
        </w:rPr>
        <w:t>, the fan efficiency varied with each run. The motor efficiency was set to the minimum efficien</w:t>
      </w:r>
      <w:r w:rsidR="003743FF">
        <w:rPr>
          <w:rFonts w:asciiTheme="minorHAnsi" w:hAnsiTheme="minorHAnsi" w:cs="Calibri"/>
          <w:i w:val="0"/>
          <w:color w:val="auto"/>
          <w:sz w:val="22"/>
          <w:szCs w:val="22"/>
        </w:rPr>
        <w:t>cy allowed per NEMA standards [357</w:t>
      </w:r>
      <w:r>
        <w:rPr>
          <w:rFonts w:asciiTheme="minorHAnsi" w:hAnsiTheme="minorHAnsi" w:cs="Calibri"/>
          <w:i w:val="0"/>
          <w:color w:val="auto"/>
          <w:sz w:val="22"/>
          <w:szCs w:val="22"/>
        </w:rPr>
        <w:t>]. Nominal motor and fan revolutions per minute (RPM) were chosen to be 1800</w:t>
      </w:r>
      <w:r w:rsidR="006E484C">
        <w:rPr>
          <w:rFonts w:asciiTheme="minorHAnsi" w:hAnsiTheme="minorHAnsi" w:cs="Calibri"/>
          <w:i w:val="0"/>
          <w:color w:val="auto"/>
          <w:sz w:val="22"/>
          <w:szCs w:val="22"/>
        </w:rPr>
        <w:t xml:space="preserve"> </w:t>
      </w:r>
      <w:r w:rsidR="003B2925">
        <w:rPr>
          <w:rFonts w:asciiTheme="minorHAnsi" w:hAnsiTheme="minorHAnsi" w:cs="Calibri"/>
          <w:i w:val="0"/>
          <w:color w:val="auto"/>
          <w:sz w:val="22"/>
          <w:szCs w:val="22"/>
        </w:rPr>
        <w:t xml:space="preserve">since most </w:t>
      </w:r>
      <w:r w:rsidR="006E484C">
        <w:rPr>
          <w:rFonts w:asciiTheme="minorHAnsi" w:hAnsiTheme="minorHAnsi" w:cs="Calibri"/>
          <w:i w:val="0"/>
          <w:color w:val="auto"/>
          <w:sz w:val="22"/>
          <w:szCs w:val="22"/>
        </w:rPr>
        <w:t xml:space="preserve">motor </w:t>
      </w:r>
      <w:r w:rsidR="003B2925">
        <w:rPr>
          <w:rFonts w:asciiTheme="minorHAnsi" w:hAnsiTheme="minorHAnsi" w:cs="Calibri"/>
          <w:i w:val="0"/>
          <w:color w:val="auto"/>
          <w:sz w:val="22"/>
          <w:szCs w:val="22"/>
        </w:rPr>
        <w:t xml:space="preserve">process applications are expected to </w:t>
      </w:r>
      <w:r w:rsidR="006E484C">
        <w:rPr>
          <w:rFonts w:asciiTheme="minorHAnsi" w:hAnsiTheme="minorHAnsi" w:cs="Calibri"/>
          <w:i w:val="0"/>
          <w:color w:val="auto"/>
          <w:sz w:val="22"/>
          <w:szCs w:val="22"/>
        </w:rPr>
        <w:t>utilize</w:t>
      </w:r>
      <w:r w:rsidR="003B2925">
        <w:rPr>
          <w:rFonts w:asciiTheme="minorHAnsi" w:hAnsiTheme="minorHAnsi" w:cs="Calibri"/>
          <w:i w:val="0"/>
          <w:color w:val="auto"/>
          <w:sz w:val="22"/>
          <w:szCs w:val="22"/>
        </w:rPr>
        <w:t xml:space="preserve"> this RPM</w:t>
      </w:r>
      <w:r>
        <w:rPr>
          <w:rFonts w:asciiTheme="minorHAnsi" w:hAnsiTheme="minorHAnsi" w:cs="Calibri"/>
          <w:i w:val="0"/>
          <w:color w:val="auto"/>
          <w:sz w:val="22"/>
          <w:szCs w:val="22"/>
        </w:rPr>
        <w:t xml:space="preserve">. Initially, the software model was run at different RPMs; however, the results were consistent. As such, 1800 RPM was kept as a constant input. The tool was then run at an assumed 70% average flow. </w:t>
      </w:r>
      <w:r>
        <w:rPr>
          <w:rFonts w:asciiTheme="minorHAnsi" w:hAnsiTheme="minorHAnsi"/>
          <w:i w:val="0"/>
          <w:color w:val="auto"/>
          <w:sz w:val="22"/>
          <w:szCs w:val="22"/>
        </w:rPr>
        <w:t xml:space="preserve">70% loading was chosen as the midpoint of a range between which savings would be minimal at the high end and the motor would be considered oversized at the low end. </w:t>
      </w:r>
      <w:r>
        <w:rPr>
          <w:rFonts w:asciiTheme="minorHAnsi" w:hAnsiTheme="minorHAnsi" w:cs="Calibri"/>
          <w:i w:val="0"/>
          <w:color w:val="auto"/>
          <w:sz w:val="22"/>
          <w:szCs w:val="22"/>
        </w:rPr>
        <w:t>The Fan Systems Upgrade tool defaults for VFD full load efficiency and minimum operating speeds were used for the proposed system. Operating ho</w:t>
      </w:r>
      <w:r w:rsidR="00783A3A">
        <w:rPr>
          <w:rFonts w:asciiTheme="minorHAnsi" w:hAnsiTheme="minorHAnsi" w:cs="Calibri"/>
          <w:i w:val="0"/>
          <w:color w:val="auto"/>
          <w:sz w:val="22"/>
          <w:szCs w:val="22"/>
        </w:rPr>
        <w:t>urs were determined using DEER14</w:t>
      </w:r>
      <w:r>
        <w:rPr>
          <w:rFonts w:asciiTheme="minorHAnsi" w:hAnsiTheme="minorHAnsi" w:cs="Calibri"/>
          <w:i w:val="0"/>
          <w:color w:val="auto"/>
          <w:sz w:val="22"/>
          <w:szCs w:val="22"/>
        </w:rPr>
        <w:t xml:space="preserve"> for</w:t>
      </w:r>
      <w:r w:rsidR="00783A3A">
        <w:rPr>
          <w:rFonts w:asciiTheme="minorHAnsi" w:hAnsiTheme="minorHAnsi" w:cs="Calibri"/>
          <w:i w:val="0"/>
          <w:color w:val="auto"/>
          <w:sz w:val="22"/>
          <w:szCs w:val="22"/>
        </w:rPr>
        <w:t xml:space="preserve"> the</w:t>
      </w:r>
      <w:r w:rsidR="00343933">
        <w:rPr>
          <w:rFonts w:asciiTheme="minorHAnsi" w:hAnsiTheme="minorHAnsi" w:cs="Calibri"/>
          <w:i w:val="0"/>
          <w:color w:val="auto"/>
          <w:sz w:val="22"/>
          <w:szCs w:val="22"/>
        </w:rPr>
        <w:t xml:space="preserve"> Industrial building type, 3375 hours/year</w:t>
      </w:r>
      <w:r w:rsidR="00173488">
        <w:rPr>
          <w:rFonts w:asciiTheme="minorHAnsi" w:hAnsiTheme="minorHAnsi" w:cs="Calibri"/>
          <w:i w:val="0"/>
          <w:color w:val="auto"/>
          <w:sz w:val="22"/>
          <w:szCs w:val="22"/>
        </w:rPr>
        <w:t>, and the Agricultural building type, 3094 hours/year</w:t>
      </w:r>
      <w:r w:rsidR="00107334">
        <w:rPr>
          <w:rFonts w:asciiTheme="minorHAnsi" w:hAnsiTheme="minorHAnsi" w:cs="Calibri"/>
          <w:i w:val="0"/>
          <w:color w:val="auto"/>
          <w:sz w:val="22"/>
          <w:szCs w:val="22"/>
        </w:rPr>
        <w:t>.</w:t>
      </w:r>
    </w:p>
    <w:p w:rsidR="00EE7437" w:rsidRDefault="00EE7437" w:rsidP="00EE7437">
      <w:pPr>
        <w:pStyle w:val="Reminder"/>
        <w:rPr>
          <w:rFonts w:asciiTheme="minorHAnsi" w:hAnsiTheme="minorHAnsi" w:cs="Calibri"/>
          <w:i w:val="0"/>
          <w:color w:val="auto"/>
          <w:sz w:val="22"/>
          <w:szCs w:val="22"/>
        </w:rPr>
      </w:pPr>
    </w:p>
    <w:p w:rsidR="00EE7437" w:rsidRDefault="00EE7437" w:rsidP="00EE7437">
      <w:pPr>
        <w:pStyle w:val="Reminder"/>
        <w:rPr>
          <w:rFonts w:asciiTheme="minorHAnsi" w:hAnsiTheme="minorHAnsi" w:cs="Calibri"/>
          <w:i w:val="0"/>
          <w:color w:val="auto"/>
          <w:sz w:val="22"/>
          <w:szCs w:val="22"/>
        </w:rPr>
      </w:pPr>
      <w:r>
        <w:rPr>
          <w:rFonts w:asciiTheme="minorHAnsi" w:hAnsiTheme="minorHAnsi" w:cs="Calibri"/>
          <w:i w:val="0"/>
          <w:color w:val="auto"/>
          <w:sz w:val="22"/>
          <w:szCs w:val="22"/>
        </w:rPr>
        <w:t>For each of the software runs, the following inputs were kept constant:</w:t>
      </w:r>
    </w:p>
    <w:p w:rsidR="00EE7437" w:rsidRDefault="00EE7437" w:rsidP="00EE7437">
      <w:pPr>
        <w:pStyle w:val="Reminder"/>
        <w:rPr>
          <w:rFonts w:asciiTheme="minorHAnsi" w:hAnsiTheme="minorHAnsi" w:cs="Calibri"/>
          <w:i w:val="0"/>
          <w:color w:val="auto"/>
          <w:sz w:val="22"/>
          <w:szCs w:val="22"/>
        </w:rPr>
      </w:pP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Fan System Type: Centrifugal</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Number of Fans: 1</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Location/City: Los Angeles CO (Los Angeles)</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Exhaust Fan? : No</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Estimate Ambient Air Temperature? : No</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 xml:space="preserve">Inlet Air Temperature: 85 </w:t>
      </w:r>
      <w:r>
        <w:rPr>
          <w:rFonts w:asciiTheme="minorHAnsi" w:hAnsiTheme="minorHAnsi" w:cs="Calibri"/>
          <w:i w:val="0"/>
          <w:color w:val="auto"/>
          <w:sz w:val="22"/>
          <w:szCs w:val="22"/>
          <w:vertAlign w:val="superscript"/>
        </w:rPr>
        <w:t>o</w:t>
      </w:r>
      <w:r>
        <w:rPr>
          <w:rFonts w:asciiTheme="minorHAnsi" w:hAnsiTheme="minorHAnsi" w:cs="Calibri"/>
          <w:i w:val="0"/>
          <w:color w:val="auto"/>
          <w:sz w:val="22"/>
          <w:szCs w:val="22"/>
        </w:rPr>
        <w:t>F</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Sys. Total Static Press. @ Max Flow: 5.0 “Wg</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Fan Type: Centrifugal Airfoil DIDW</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Control Type: Centrifugal On/OFF</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Drive Type: Std. V-Belt Drive</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Fan Speed: 1800 rpm</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Total Static Pressure: 5“ Wg</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lastRenderedPageBreak/>
        <w:t>Speed (RPM): 1800</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Service Factor: 1.15</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FL Speed: 1790</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Enclosure: ODP</w:t>
      </w:r>
    </w:p>
    <w:p w:rsidR="00EE7437" w:rsidRDefault="00107334"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Annual Operating Hours: 3372</w:t>
      </w:r>
      <w:r w:rsidR="008615BE">
        <w:rPr>
          <w:rFonts w:asciiTheme="minorHAnsi" w:hAnsiTheme="minorHAnsi" w:cs="Calibri"/>
          <w:i w:val="0"/>
          <w:color w:val="auto"/>
          <w:sz w:val="22"/>
          <w:szCs w:val="22"/>
        </w:rPr>
        <w:t xml:space="preserve"> (the previous work paper revision used DEER11 operating hours of 3372 hours/ye</w:t>
      </w:r>
      <w:r w:rsidR="00E97477">
        <w:rPr>
          <w:rFonts w:asciiTheme="minorHAnsi" w:hAnsiTheme="minorHAnsi" w:cs="Calibri"/>
          <w:i w:val="0"/>
          <w:color w:val="auto"/>
          <w:sz w:val="22"/>
          <w:szCs w:val="22"/>
        </w:rPr>
        <w:t>ar, so the savings were scaled f</w:t>
      </w:r>
      <w:r w:rsidR="008615BE">
        <w:rPr>
          <w:rFonts w:asciiTheme="minorHAnsi" w:hAnsiTheme="minorHAnsi" w:cs="Calibri"/>
          <w:i w:val="0"/>
          <w:color w:val="auto"/>
          <w:sz w:val="22"/>
          <w:szCs w:val="22"/>
        </w:rPr>
        <w:t>o</w:t>
      </w:r>
      <w:r w:rsidR="00E97477">
        <w:rPr>
          <w:rFonts w:asciiTheme="minorHAnsi" w:hAnsiTheme="minorHAnsi" w:cs="Calibri"/>
          <w:i w:val="0"/>
          <w:color w:val="auto"/>
          <w:sz w:val="22"/>
          <w:szCs w:val="22"/>
        </w:rPr>
        <w:t>r the</w:t>
      </w:r>
      <w:r w:rsidR="008615BE">
        <w:rPr>
          <w:rFonts w:asciiTheme="minorHAnsi" w:hAnsiTheme="minorHAnsi" w:cs="Calibri"/>
          <w:i w:val="0"/>
          <w:color w:val="auto"/>
          <w:sz w:val="22"/>
          <w:szCs w:val="22"/>
        </w:rPr>
        <w:t xml:space="preserve"> DEER14</w:t>
      </w:r>
      <w:r w:rsidR="00E97477">
        <w:rPr>
          <w:rFonts w:asciiTheme="minorHAnsi" w:hAnsiTheme="minorHAnsi" w:cs="Calibri"/>
          <w:i w:val="0"/>
          <w:color w:val="auto"/>
          <w:sz w:val="22"/>
          <w:szCs w:val="22"/>
        </w:rPr>
        <w:t xml:space="preserve"> Industrial building type by a factor of 3375/3372, and the Agricultural building type by a factor of 3094/3372</w:t>
      </w:r>
      <w:r w:rsidR="008615BE">
        <w:rPr>
          <w:rFonts w:asciiTheme="minorHAnsi" w:hAnsiTheme="minorHAnsi" w:cs="Calibri"/>
          <w:i w:val="0"/>
          <w:color w:val="auto"/>
          <w:sz w:val="22"/>
          <w:szCs w:val="22"/>
        </w:rPr>
        <w:t>)</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VFD Full Load Efficiency: 96%</w:t>
      </w:r>
    </w:p>
    <w:p w:rsidR="00EE7437" w:rsidRDefault="00EE7437" w:rsidP="00EE7437">
      <w:pPr>
        <w:pStyle w:val="Reminder"/>
        <w:numPr>
          <w:ilvl w:val="0"/>
          <w:numId w:val="19"/>
        </w:numPr>
        <w:rPr>
          <w:rFonts w:asciiTheme="minorHAnsi" w:hAnsiTheme="minorHAnsi" w:cs="Calibri"/>
          <w:i w:val="0"/>
          <w:color w:val="auto"/>
          <w:sz w:val="22"/>
          <w:szCs w:val="22"/>
        </w:rPr>
      </w:pPr>
      <w:r>
        <w:rPr>
          <w:rFonts w:asciiTheme="minorHAnsi" w:hAnsiTheme="minorHAnsi" w:cs="Calibri"/>
          <w:i w:val="0"/>
          <w:color w:val="auto"/>
          <w:sz w:val="22"/>
          <w:szCs w:val="22"/>
        </w:rPr>
        <w:t>VFD Minimum Operating Speed: 50%</w:t>
      </w:r>
    </w:p>
    <w:p w:rsidR="00EE7437" w:rsidRDefault="00EE7437" w:rsidP="00EE7437">
      <w:pPr>
        <w:pStyle w:val="Reminder"/>
        <w:rPr>
          <w:rFonts w:asciiTheme="minorHAnsi" w:hAnsiTheme="minorHAnsi" w:cs="Calibri"/>
          <w:i w:val="0"/>
          <w:color w:val="auto"/>
          <w:sz w:val="22"/>
          <w:szCs w:val="22"/>
        </w:rPr>
      </w:pPr>
    </w:p>
    <w:p w:rsidR="008E3459" w:rsidRPr="008E3459" w:rsidRDefault="00EE7437" w:rsidP="008E3459">
      <w:pPr>
        <w:rPr>
          <w:rFonts w:asciiTheme="minorHAnsi" w:hAnsiTheme="minorHAnsi"/>
          <w:sz w:val="22"/>
          <w:szCs w:val="22"/>
        </w:rPr>
      </w:pPr>
      <w:r>
        <w:rPr>
          <w:rFonts w:asciiTheme="minorHAnsi" w:hAnsiTheme="minorHAnsi" w:cs="Calibri"/>
          <w:sz w:val="22"/>
          <w:szCs w:val="22"/>
        </w:rPr>
        <w:t xml:space="preserve">The Fan tool </w:t>
      </w:r>
      <w:r w:rsidR="00303635">
        <w:rPr>
          <w:rFonts w:asciiTheme="minorHAnsi" w:hAnsiTheme="minorHAnsi"/>
          <w:sz w:val="22"/>
          <w:szCs w:val="22"/>
        </w:rPr>
        <w:t>yielded</w:t>
      </w:r>
      <w:r w:rsidR="00303635" w:rsidRPr="008E3459">
        <w:rPr>
          <w:rFonts w:asciiTheme="minorHAnsi" w:hAnsiTheme="minorHAnsi"/>
          <w:sz w:val="22"/>
          <w:szCs w:val="22"/>
        </w:rPr>
        <w:t xml:space="preserve"> kWh/year</w:t>
      </w:r>
      <w:r w:rsidR="00303635">
        <w:rPr>
          <w:rFonts w:asciiTheme="minorHAnsi" w:hAnsiTheme="minorHAnsi"/>
          <w:sz w:val="22"/>
          <w:szCs w:val="22"/>
        </w:rPr>
        <w:t xml:space="preserve"> energy savings</w:t>
      </w:r>
      <w:r w:rsidR="00303635" w:rsidRPr="008E3459">
        <w:rPr>
          <w:rFonts w:asciiTheme="minorHAnsi" w:hAnsiTheme="minorHAnsi"/>
          <w:sz w:val="22"/>
          <w:szCs w:val="22"/>
        </w:rPr>
        <w:t xml:space="preserve"> and kW peak demand</w:t>
      </w:r>
      <w:r w:rsidR="00303635">
        <w:rPr>
          <w:rFonts w:asciiTheme="minorHAnsi" w:hAnsiTheme="minorHAnsi"/>
          <w:sz w:val="22"/>
          <w:szCs w:val="22"/>
        </w:rPr>
        <w:t>, which were divided by hp ratings to obtain specific energy savings (kWh/hp/year and kW/hp) and then averaged.</w:t>
      </w:r>
      <w:r w:rsidR="006F4336">
        <w:rPr>
          <w:rFonts w:asciiTheme="minorHAnsi" w:hAnsiTheme="minorHAnsi"/>
          <w:sz w:val="22"/>
          <w:szCs w:val="22"/>
        </w:rPr>
        <w:t xml:space="preserve"> </w:t>
      </w:r>
      <w:r w:rsidR="00AA0C37">
        <w:rPr>
          <w:rFonts w:asciiTheme="minorHAnsi" w:hAnsiTheme="minorHAnsi"/>
          <w:sz w:val="22"/>
          <w:szCs w:val="22"/>
        </w:rPr>
        <w:fldChar w:fldCharType="begin"/>
      </w:r>
      <w:r w:rsidR="00AA0C37">
        <w:rPr>
          <w:rFonts w:asciiTheme="minorHAnsi" w:hAnsiTheme="minorHAnsi"/>
          <w:sz w:val="22"/>
          <w:szCs w:val="22"/>
        </w:rPr>
        <w:instrText xml:space="preserve"> REF _Ref380581404 \h </w:instrText>
      </w:r>
      <w:r w:rsidR="00AA0C37">
        <w:rPr>
          <w:rFonts w:asciiTheme="minorHAnsi" w:hAnsiTheme="minorHAnsi"/>
          <w:sz w:val="22"/>
          <w:szCs w:val="22"/>
        </w:rPr>
      </w:r>
      <w:r w:rsidR="00AA0C37">
        <w:rPr>
          <w:rFonts w:asciiTheme="minorHAnsi" w:hAnsiTheme="minorHAnsi"/>
          <w:sz w:val="22"/>
          <w:szCs w:val="22"/>
        </w:rPr>
        <w:fldChar w:fldCharType="separate"/>
      </w:r>
      <w:r w:rsidR="00CF6DDC" w:rsidRPr="008E3459">
        <w:rPr>
          <w:rFonts w:asciiTheme="minorHAnsi" w:hAnsiTheme="minorHAnsi" w:cs="Calibri"/>
          <w:sz w:val="22"/>
          <w:szCs w:val="22"/>
        </w:rPr>
        <w:t xml:space="preserve">Table </w:t>
      </w:r>
      <w:r w:rsidR="00CF6DDC">
        <w:rPr>
          <w:rFonts w:asciiTheme="minorHAnsi" w:hAnsiTheme="minorHAnsi" w:cs="Calibri"/>
          <w:noProof/>
          <w:sz w:val="22"/>
          <w:szCs w:val="22"/>
        </w:rPr>
        <w:t>8</w:t>
      </w:r>
      <w:r w:rsidR="00AA0C37">
        <w:rPr>
          <w:rFonts w:asciiTheme="minorHAnsi" w:hAnsiTheme="minorHAnsi"/>
          <w:sz w:val="22"/>
          <w:szCs w:val="22"/>
        </w:rPr>
        <w:fldChar w:fldCharType="end"/>
      </w:r>
      <w:r w:rsidR="00AA0C37">
        <w:rPr>
          <w:rFonts w:asciiTheme="minorHAnsi" w:hAnsiTheme="minorHAnsi"/>
          <w:sz w:val="22"/>
          <w:szCs w:val="22"/>
        </w:rPr>
        <w:t xml:space="preserve"> </w:t>
      </w:r>
      <w:r w:rsidR="008E3459" w:rsidRPr="008E3459">
        <w:rPr>
          <w:rFonts w:asciiTheme="minorHAnsi" w:hAnsiTheme="minorHAnsi"/>
          <w:sz w:val="22"/>
          <w:szCs w:val="22"/>
        </w:rPr>
        <w:t xml:space="preserve">shows the energy savings from the measures covered in this work paper.  </w:t>
      </w:r>
      <w:bookmarkStart w:id="20" w:name="_Ref221607939"/>
      <w:bookmarkStart w:id="21" w:name="_Toc221616648"/>
    </w:p>
    <w:bookmarkEnd w:id="20"/>
    <w:bookmarkEnd w:id="21"/>
    <w:p w:rsidR="008E3459" w:rsidRPr="008E3459" w:rsidRDefault="008E3459" w:rsidP="008E3459">
      <w:pPr>
        <w:pStyle w:val="Caption"/>
        <w:jc w:val="center"/>
        <w:rPr>
          <w:rFonts w:asciiTheme="minorHAnsi" w:hAnsiTheme="minorHAnsi"/>
          <w:sz w:val="22"/>
          <w:szCs w:val="22"/>
        </w:rPr>
      </w:pPr>
    </w:p>
    <w:p w:rsidR="008E3459" w:rsidRPr="008E3459" w:rsidRDefault="008E3459" w:rsidP="008E3459">
      <w:pPr>
        <w:pStyle w:val="Caption"/>
        <w:keepNext/>
        <w:jc w:val="center"/>
        <w:rPr>
          <w:rFonts w:asciiTheme="minorHAnsi" w:hAnsiTheme="minorHAnsi"/>
          <w:sz w:val="22"/>
          <w:szCs w:val="22"/>
        </w:rPr>
      </w:pPr>
      <w:bookmarkStart w:id="22" w:name="_Ref380581404"/>
      <w:r w:rsidRPr="008E3459">
        <w:rPr>
          <w:rFonts w:asciiTheme="minorHAnsi" w:hAnsiTheme="minorHAnsi" w:cs="Calibri"/>
          <w:sz w:val="22"/>
          <w:szCs w:val="22"/>
        </w:rPr>
        <w:t xml:space="preserve">Table </w:t>
      </w:r>
      <w:r w:rsidRPr="008E3459">
        <w:rPr>
          <w:rFonts w:asciiTheme="minorHAnsi" w:hAnsiTheme="minorHAnsi" w:cs="Calibri"/>
          <w:sz w:val="22"/>
          <w:szCs w:val="22"/>
        </w:rPr>
        <w:fldChar w:fldCharType="begin"/>
      </w:r>
      <w:r w:rsidRPr="008E3459">
        <w:rPr>
          <w:rFonts w:asciiTheme="minorHAnsi" w:hAnsiTheme="minorHAnsi" w:cs="Calibri"/>
          <w:sz w:val="22"/>
          <w:szCs w:val="22"/>
        </w:rPr>
        <w:instrText xml:space="preserve"> SEQ Table \* ARABIC </w:instrText>
      </w:r>
      <w:r w:rsidRPr="008E3459">
        <w:rPr>
          <w:rFonts w:asciiTheme="minorHAnsi" w:hAnsiTheme="minorHAnsi" w:cs="Calibri"/>
          <w:sz w:val="22"/>
          <w:szCs w:val="22"/>
        </w:rPr>
        <w:fldChar w:fldCharType="separate"/>
      </w:r>
      <w:r w:rsidR="00CF6DDC">
        <w:rPr>
          <w:rFonts w:asciiTheme="minorHAnsi" w:hAnsiTheme="minorHAnsi" w:cs="Calibri"/>
          <w:noProof/>
          <w:sz w:val="22"/>
          <w:szCs w:val="22"/>
        </w:rPr>
        <w:t>8</w:t>
      </w:r>
      <w:r w:rsidRPr="008E3459">
        <w:rPr>
          <w:rFonts w:asciiTheme="minorHAnsi" w:hAnsiTheme="minorHAnsi" w:cs="Calibri"/>
          <w:sz w:val="22"/>
          <w:szCs w:val="22"/>
        </w:rPr>
        <w:fldChar w:fldCharType="end"/>
      </w:r>
      <w:bookmarkEnd w:id="22"/>
      <w:r w:rsidR="001B4531">
        <w:rPr>
          <w:rFonts w:asciiTheme="minorHAnsi" w:hAnsiTheme="minorHAnsi" w:cs="Calibri"/>
          <w:sz w:val="22"/>
          <w:szCs w:val="22"/>
        </w:rPr>
        <w:t xml:space="preserve"> </w:t>
      </w:r>
      <w:r w:rsidRPr="008E3459">
        <w:rPr>
          <w:rFonts w:asciiTheme="minorHAnsi" w:hAnsiTheme="minorHAnsi"/>
          <w:sz w:val="22"/>
          <w:szCs w:val="22"/>
        </w:rPr>
        <w:t>Annual Energy Savings</w:t>
      </w:r>
      <w:r w:rsidR="00CF6DDC">
        <w:rPr>
          <w:rFonts w:asciiTheme="minorHAnsi" w:hAnsiTheme="minorHAnsi"/>
          <w:sz w:val="22"/>
          <w:szCs w:val="22"/>
        </w:rPr>
        <w:t xml:space="preserve"> and Demand Reduction</w:t>
      </w:r>
    </w:p>
    <w:tbl>
      <w:tblPr>
        <w:tblW w:w="9708" w:type="dxa"/>
        <w:jc w:val="center"/>
        <w:tblInd w:w="-66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546"/>
        <w:gridCol w:w="2162"/>
        <w:gridCol w:w="2434"/>
        <w:gridCol w:w="1946"/>
        <w:gridCol w:w="1620"/>
      </w:tblGrid>
      <w:tr w:rsidR="00E97477" w:rsidRPr="00E97477" w:rsidTr="00E97477">
        <w:trPr>
          <w:trHeight w:val="765"/>
          <w:jc w:val="center"/>
        </w:trPr>
        <w:tc>
          <w:tcPr>
            <w:tcW w:w="1546" w:type="dxa"/>
            <w:shd w:val="clear" w:color="auto" w:fill="D9D9D9" w:themeFill="background1" w:themeFillShade="D9"/>
            <w:vAlign w:val="center"/>
          </w:tcPr>
          <w:p w:rsidR="00E97477" w:rsidRPr="00E97477" w:rsidRDefault="00E97477" w:rsidP="00960E44">
            <w:pPr>
              <w:jc w:val="center"/>
              <w:rPr>
                <w:rFonts w:asciiTheme="minorHAnsi" w:hAnsiTheme="minorHAnsi" w:cs="Calibri"/>
                <w:b/>
                <w:sz w:val="20"/>
                <w:szCs w:val="20"/>
              </w:rPr>
            </w:pPr>
            <w:r w:rsidRPr="00E97477">
              <w:rPr>
                <w:rFonts w:asciiTheme="minorHAnsi" w:hAnsiTheme="minorHAnsi" w:cs="Calibri"/>
                <w:b/>
                <w:sz w:val="20"/>
                <w:szCs w:val="20"/>
              </w:rPr>
              <w:t>Solution Code</w:t>
            </w:r>
          </w:p>
        </w:tc>
        <w:tc>
          <w:tcPr>
            <w:tcW w:w="2162" w:type="dxa"/>
            <w:shd w:val="clear" w:color="auto" w:fill="D9D9D9" w:themeFill="background1" w:themeFillShade="D9"/>
            <w:vAlign w:val="center"/>
          </w:tcPr>
          <w:p w:rsidR="00E97477" w:rsidRPr="00E97477" w:rsidRDefault="00E97477" w:rsidP="00960E44">
            <w:pPr>
              <w:jc w:val="center"/>
              <w:rPr>
                <w:rFonts w:asciiTheme="minorHAnsi" w:hAnsiTheme="minorHAnsi" w:cs="Calibri"/>
                <w:b/>
                <w:sz w:val="20"/>
                <w:szCs w:val="20"/>
              </w:rPr>
            </w:pPr>
            <w:r w:rsidRPr="00E97477">
              <w:rPr>
                <w:rFonts w:asciiTheme="minorHAnsi" w:hAnsiTheme="minorHAnsi" w:cs="Calibri"/>
                <w:b/>
                <w:sz w:val="20"/>
                <w:szCs w:val="20"/>
              </w:rPr>
              <w:t>Measure name</w:t>
            </w:r>
          </w:p>
        </w:tc>
        <w:tc>
          <w:tcPr>
            <w:tcW w:w="2434" w:type="dxa"/>
            <w:shd w:val="clear" w:color="auto" w:fill="D9D9D9" w:themeFill="background1" w:themeFillShade="D9"/>
          </w:tcPr>
          <w:p w:rsidR="00E97477" w:rsidRPr="00E97477" w:rsidRDefault="00E97477" w:rsidP="00960E44">
            <w:pPr>
              <w:jc w:val="center"/>
              <w:rPr>
                <w:rFonts w:asciiTheme="minorHAnsi" w:hAnsiTheme="minorHAnsi"/>
                <w:b/>
                <w:sz w:val="20"/>
                <w:szCs w:val="20"/>
              </w:rPr>
            </w:pPr>
            <w:r w:rsidRPr="00E97477">
              <w:rPr>
                <w:rFonts w:asciiTheme="minorHAnsi" w:hAnsiTheme="minorHAnsi"/>
                <w:b/>
                <w:sz w:val="20"/>
                <w:szCs w:val="20"/>
              </w:rPr>
              <w:t>Building Type</w:t>
            </w:r>
          </w:p>
        </w:tc>
        <w:tc>
          <w:tcPr>
            <w:tcW w:w="1946" w:type="dxa"/>
            <w:shd w:val="clear" w:color="auto" w:fill="D9D9D9" w:themeFill="background1" w:themeFillShade="D9"/>
            <w:vAlign w:val="center"/>
          </w:tcPr>
          <w:p w:rsidR="00E97477" w:rsidRPr="00E97477" w:rsidRDefault="00E97477" w:rsidP="00960E44">
            <w:pPr>
              <w:jc w:val="center"/>
              <w:rPr>
                <w:rFonts w:asciiTheme="minorHAnsi" w:hAnsiTheme="minorHAnsi"/>
                <w:b/>
                <w:sz w:val="20"/>
                <w:szCs w:val="20"/>
              </w:rPr>
            </w:pPr>
            <w:r w:rsidRPr="00E97477">
              <w:rPr>
                <w:rFonts w:asciiTheme="minorHAnsi" w:hAnsiTheme="minorHAnsi"/>
                <w:b/>
                <w:sz w:val="20"/>
                <w:szCs w:val="20"/>
              </w:rPr>
              <w:t>Annual Electric Savings (kWh/HP/year)</w:t>
            </w:r>
          </w:p>
        </w:tc>
        <w:tc>
          <w:tcPr>
            <w:tcW w:w="1620" w:type="dxa"/>
            <w:shd w:val="clear" w:color="auto" w:fill="D9D9D9" w:themeFill="background1" w:themeFillShade="D9"/>
            <w:vAlign w:val="center"/>
          </w:tcPr>
          <w:p w:rsidR="00E97477" w:rsidRPr="00E97477" w:rsidRDefault="00E97477" w:rsidP="00CF6DDC">
            <w:pPr>
              <w:jc w:val="center"/>
              <w:rPr>
                <w:rFonts w:asciiTheme="minorHAnsi" w:hAnsiTheme="minorHAnsi"/>
                <w:b/>
                <w:sz w:val="20"/>
                <w:szCs w:val="20"/>
              </w:rPr>
            </w:pPr>
            <w:r w:rsidRPr="00E97477">
              <w:rPr>
                <w:rFonts w:asciiTheme="minorHAnsi" w:hAnsiTheme="minorHAnsi"/>
                <w:b/>
                <w:sz w:val="20"/>
                <w:szCs w:val="20"/>
              </w:rPr>
              <w:t>Demand Reduction (kW/HP)</w:t>
            </w:r>
          </w:p>
        </w:tc>
      </w:tr>
      <w:tr w:rsidR="00E97477" w:rsidRPr="00E97477" w:rsidTr="00E97477">
        <w:trPr>
          <w:trHeight w:val="255"/>
          <w:jc w:val="center"/>
        </w:trPr>
        <w:tc>
          <w:tcPr>
            <w:tcW w:w="1546" w:type="dxa"/>
            <w:vMerge w:val="restart"/>
            <w:shd w:val="clear" w:color="auto" w:fill="F3F3F3"/>
            <w:vAlign w:val="center"/>
          </w:tcPr>
          <w:p w:rsidR="00E97477" w:rsidRPr="00E97477" w:rsidRDefault="00E97477" w:rsidP="000A6DB2">
            <w:pPr>
              <w:jc w:val="center"/>
              <w:rPr>
                <w:rFonts w:asciiTheme="minorHAnsi" w:hAnsiTheme="minorHAnsi" w:cstheme="minorHAnsi"/>
                <w:sz w:val="20"/>
                <w:szCs w:val="20"/>
              </w:rPr>
            </w:pPr>
            <w:r w:rsidRPr="00E97477">
              <w:rPr>
                <w:rFonts w:asciiTheme="minorHAnsi" w:hAnsiTheme="minorHAnsi" w:cstheme="minorHAnsi"/>
                <w:sz w:val="20"/>
                <w:szCs w:val="20"/>
              </w:rPr>
              <w:t>PR-90127</w:t>
            </w:r>
          </w:p>
        </w:tc>
        <w:tc>
          <w:tcPr>
            <w:tcW w:w="2162" w:type="dxa"/>
            <w:vMerge w:val="restart"/>
            <w:shd w:val="clear" w:color="auto" w:fill="F3F3F3"/>
            <w:vAlign w:val="center"/>
          </w:tcPr>
          <w:p w:rsidR="00E97477" w:rsidRPr="00E97477" w:rsidRDefault="00E97477" w:rsidP="000A6DB2">
            <w:pPr>
              <w:jc w:val="center"/>
              <w:rPr>
                <w:rFonts w:asciiTheme="minorHAnsi" w:hAnsiTheme="minorHAnsi" w:cstheme="minorHAnsi"/>
                <w:sz w:val="20"/>
                <w:szCs w:val="20"/>
              </w:rPr>
            </w:pPr>
            <w:r w:rsidRPr="00E97477">
              <w:rPr>
                <w:rFonts w:asciiTheme="minorHAnsi" w:hAnsiTheme="minorHAnsi" w:cstheme="minorHAnsi"/>
                <w:sz w:val="20"/>
                <w:szCs w:val="20"/>
              </w:rPr>
              <w:t>≤ 75 HP Variable Speed Drive on Process Fan Control</w:t>
            </w:r>
          </w:p>
        </w:tc>
        <w:tc>
          <w:tcPr>
            <w:tcW w:w="2434" w:type="dxa"/>
            <w:shd w:val="clear" w:color="auto" w:fill="F3F3F3"/>
          </w:tcPr>
          <w:p w:rsidR="00E97477" w:rsidRPr="00E97477" w:rsidRDefault="00E97477" w:rsidP="00E97477">
            <w:pPr>
              <w:jc w:val="center"/>
              <w:rPr>
                <w:rFonts w:asciiTheme="minorHAnsi" w:hAnsiTheme="minorHAnsi"/>
                <w:sz w:val="20"/>
                <w:szCs w:val="20"/>
              </w:rPr>
            </w:pPr>
            <w:r w:rsidRPr="00E97477">
              <w:rPr>
                <w:rFonts w:ascii="Calibri" w:hAnsi="Calibri"/>
                <w:sz w:val="20"/>
                <w:szCs w:val="20"/>
              </w:rPr>
              <w:t xml:space="preserve">Manufacturing - Bio/Tech, Manufacturing - Light Industrial, </w:t>
            </w:r>
            <w:r w:rsidRPr="00E97477">
              <w:rPr>
                <w:rFonts w:asciiTheme="minorHAnsi" w:hAnsiTheme="minorHAnsi"/>
                <w:sz w:val="20"/>
                <w:szCs w:val="20"/>
              </w:rPr>
              <w:t>Industrial</w:t>
            </w:r>
          </w:p>
        </w:tc>
        <w:tc>
          <w:tcPr>
            <w:tcW w:w="1946" w:type="dxa"/>
            <w:shd w:val="clear" w:color="auto" w:fill="F3F3F3"/>
            <w:vAlign w:val="center"/>
          </w:tcPr>
          <w:p w:rsidR="00E97477" w:rsidRPr="00E97477" w:rsidRDefault="00E97477" w:rsidP="00960E44">
            <w:pPr>
              <w:jc w:val="center"/>
              <w:rPr>
                <w:rFonts w:asciiTheme="minorHAnsi" w:hAnsiTheme="minorHAnsi"/>
                <w:sz w:val="20"/>
                <w:szCs w:val="20"/>
              </w:rPr>
            </w:pPr>
            <w:r w:rsidRPr="00E97477">
              <w:rPr>
                <w:rFonts w:asciiTheme="minorHAnsi" w:hAnsiTheme="minorHAnsi"/>
                <w:sz w:val="20"/>
                <w:szCs w:val="20"/>
              </w:rPr>
              <w:t>698.87</w:t>
            </w:r>
          </w:p>
        </w:tc>
        <w:tc>
          <w:tcPr>
            <w:tcW w:w="1620" w:type="dxa"/>
            <w:shd w:val="clear" w:color="auto" w:fill="F3F3F3"/>
            <w:vAlign w:val="center"/>
          </w:tcPr>
          <w:p w:rsidR="00E97477" w:rsidRPr="00E97477" w:rsidRDefault="00E97477" w:rsidP="008615BE">
            <w:pPr>
              <w:jc w:val="center"/>
              <w:rPr>
                <w:rFonts w:asciiTheme="minorHAnsi" w:hAnsiTheme="minorHAnsi"/>
                <w:sz w:val="20"/>
                <w:szCs w:val="20"/>
              </w:rPr>
            </w:pPr>
            <w:r w:rsidRPr="00E97477">
              <w:rPr>
                <w:rFonts w:asciiTheme="minorHAnsi" w:hAnsiTheme="minorHAnsi"/>
                <w:sz w:val="20"/>
                <w:szCs w:val="20"/>
              </w:rPr>
              <w:t>0.40304</w:t>
            </w:r>
          </w:p>
        </w:tc>
      </w:tr>
      <w:tr w:rsidR="00E97477" w:rsidRPr="00E97477" w:rsidTr="00E97477">
        <w:trPr>
          <w:trHeight w:val="255"/>
          <w:jc w:val="center"/>
        </w:trPr>
        <w:tc>
          <w:tcPr>
            <w:tcW w:w="1546" w:type="dxa"/>
            <w:vMerge/>
            <w:shd w:val="clear" w:color="auto" w:fill="F3F3F3"/>
            <w:vAlign w:val="center"/>
          </w:tcPr>
          <w:p w:rsidR="00E97477" w:rsidRPr="00E97477" w:rsidRDefault="00E97477" w:rsidP="000A6DB2">
            <w:pPr>
              <w:jc w:val="center"/>
              <w:rPr>
                <w:rFonts w:asciiTheme="minorHAnsi" w:hAnsiTheme="minorHAnsi" w:cstheme="minorHAnsi"/>
                <w:sz w:val="20"/>
                <w:szCs w:val="20"/>
              </w:rPr>
            </w:pPr>
          </w:p>
        </w:tc>
        <w:tc>
          <w:tcPr>
            <w:tcW w:w="2162" w:type="dxa"/>
            <w:vMerge/>
            <w:shd w:val="clear" w:color="auto" w:fill="F3F3F3"/>
            <w:vAlign w:val="center"/>
          </w:tcPr>
          <w:p w:rsidR="00E97477" w:rsidRPr="00E97477" w:rsidRDefault="00E97477" w:rsidP="000A6DB2">
            <w:pPr>
              <w:jc w:val="center"/>
              <w:rPr>
                <w:rFonts w:asciiTheme="minorHAnsi" w:hAnsiTheme="minorHAnsi" w:cstheme="minorHAnsi"/>
                <w:sz w:val="20"/>
                <w:szCs w:val="20"/>
              </w:rPr>
            </w:pPr>
          </w:p>
        </w:tc>
        <w:tc>
          <w:tcPr>
            <w:tcW w:w="2434" w:type="dxa"/>
            <w:shd w:val="clear" w:color="auto" w:fill="F3F3F3"/>
          </w:tcPr>
          <w:p w:rsidR="00E97477" w:rsidRPr="00E97477" w:rsidRDefault="00E97477" w:rsidP="00E97477">
            <w:pPr>
              <w:jc w:val="center"/>
              <w:rPr>
                <w:rFonts w:asciiTheme="minorHAnsi" w:hAnsiTheme="minorHAnsi"/>
                <w:sz w:val="20"/>
                <w:szCs w:val="20"/>
              </w:rPr>
            </w:pPr>
            <w:r>
              <w:rPr>
                <w:rFonts w:asciiTheme="minorHAnsi" w:hAnsiTheme="minorHAnsi"/>
                <w:sz w:val="20"/>
                <w:szCs w:val="20"/>
              </w:rPr>
              <w:t>Agricultural</w:t>
            </w:r>
          </w:p>
        </w:tc>
        <w:tc>
          <w:tcPr>
            <w:tcW w:w="1946" w:type="dxa"/>
            <w:shd w:val="clear" w:color="auto" w:fill="F3F3F3"/>
            <w:vAlign w:val="center"/>
          </w:tcPr>
          <w:p w:rsidR="00E97477" w:rsidRPr="00E97477" w:rsidRDefault="00E97477" w:rsidP="00960E44">
            <w:pPr>
              <w:jc w:val="center"/>
              <w:rPr>
                <w:rFonts w:asciiTheme="minorHAnsi" w:hAnsiTheme="minorHAnsi"/>
                <w:sz w:val="20"/>
                <w:szCs w:val="20"/>
              </w:rPr>
            </w:pPr>
            <w:r>
              <w:rPr>
                <w:rFonts w:asciiTheme="minorHAnsi" w:hAnsiTheme="minorHAnsi"/>
                <w:sz w:val="20"/>
                <w:szCs w:val="20"/>
              </w:rPr>
              <w:t>640.69</w:t>
            </w:r>
          </w:p>
        </w:tc>
        <w:tc>
          <w:tcPr>
            <w:tcW w:w="1620" w:type="dxa"/>
            <w:shd w:val="clear" w:color="auto" w:fill="F3F3F3"/>
            <w:vAlign w:val="center"/>
          </w:tcPr>
          <w:p w:rsidR="00E97477" w:rsidRPr="00E97477" w:rsidRDefault="00E97477" w:rsidP="008615BE">
            <w:pPr>
              <w:jc w:val="center"/>
              <w:rPr>
                <w:rFonts w:asciiTheme="minorHAnsi" w:hAnsiTheme="minorHAnsi"/>
                <w:sz w:val="20"/>
                <w:szCs w:val="20"/>
              </w:rPr>
            </w:pPr>
            <w:r>
              <w:rPr>
                <w:rFonts w:asciiTheme="minorHAnsi" w:hAnsiTheme="minorHAnsi"/>
                <w:sz w:val="20"/>
                <w:szCs w:val="20"/>
              </w:rPr>
              <w:t>0.36949</w:t>
            </w:r>
          </w:p>
        </w:tc>
      </w:tr>
    </w:tbl>
    <w:p w:rsidR="00511F5F" w:rsidRDefault="00511F5F" w:rsidP="00511F5F">
      <w:pPr>
        <w:rPr>
          <w:rFonts w:asciiTheme="minorHAnsi" w:hAnsiTheme="minorHAnsi"/>
          <w:sz w:val="22"/>
          <w:szCs w:val="22"/>
        </w:rPr>
      </w:pPr>
    </w:p>
    <w:p w:rsidR="00511F5F" w:rsidRPr="008E3459" w:rsidRDefault="00511F5F" w:rsidP="00511F5F">
      <w:pPr>
        <w:rPr>
          <w:rFonts w:asciiTheme="minorHAnsi" w:hAnsiTheme="minorHAnsi"/>
          <w:sz w:val="22"/>
          <w:szCs w:val="22"/>
        </w:rPr>
      </w:pPr>
      <w:r>
        <w:rPr>
          <w:rFonts w:asciiTheme="minorHAnsi" w:hAnsiTheme="minorHAnsi"/>
          <w:sz w:val="22"/>
          <w:szCs w:val="22"/>
        </w:rPr>
        <w:t>Savings calculations are in Attachment 2.</w:t>
      </w:r>
    </w:p>
    <w:p w:rsidR="00E16609" w:rsidRPr="00697868" w:rsidRDefault="00E16609" w:rsidP="00E16609">
      <w:pPr>
        <w:pStyle w:val="Heading1"/>
        <w:keepNext w:val="0"/>
        <w:rPr>
          <w:rFonts w:asciiTheme="minorHAnsi" w:hAnsiTheme="minorHAnsi" w:cstheme="minorHAnsi"/>
        </w:rPr>
      </w:pPr>
      <w:proofErr w:type="gramStart"/>
      <w:r w:rsidRPr="00697868">
        <w:rPr>
          <w:rFonts w:asciiTheme="minorHAnsi" w:hAnsiTheme="minorHAnsi" w:cstheme="minorHAnsi"/>
        </w:rPr>
        <w:t>Section 3.</w:t>
      </w:r>
      <w:proofErr w:type="gramEnd"/>
      <w:r w:rsidRPr="00697868">
        <w:rPr>
          <w:rFonts w:asciiTheme="minorHAnsi" w:hAnsiTheme="minorHAnsi" w:cstheme="minorHAnsi"/>
        </w:rPr>
        <w:t xml:space="preserve"> Load Shape</w:t>
      </w:r>
      <w:bookmarkEnd w:id="19"/>
      <w:r w:rsidRPr="00697868">
        <w:rPr>
          <w:rFonts w:asciiTheme="minorHAnsi" w:hAnsiTheme="minorHAnsi" w:cstheme="minorHAnsi"/>
        </w:rPr>
        <w:t>s</w:t>
      </w:r>
    </w:p>
    <w:p w:rsidR="00E16609" w:rsidRPr="00697868" w:rsidRDefault="00E16609" w:rsidP="00E16609">
      <w:pPr>
        <w:rPr>
          <w:rFonts w:asciiTheme="minorHAnsi" w:hAnsiTheme="minorHAnsi" w:cstheme="minorHAnsi"/>
          <w:sz w:val="22"/>
          <w:szCs w:val="22"/>
        </w:rPr>
      </w:pPr>
      <w:r w:rsidRPr="00697868">
        <w:rPr>
          <w:rFonts w:asciiTheme="minorHAnsi" w:hAnsiTheme="minorHAnsi" w:cstheme="minorHAnsi"/>
          <w:sz w:val="22"/>
          <w:szCs w:val="22"/>
        </w:rPr>
        <w:t xml:space="preserve">The difference between the base case load shape and the measure load shape would be the most appropriate load shape; however, only end-use profiles are available.  Therefore,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XE "load shape" </w:instrText>
      </w:r>
      <w:r w:rsidRPr="00697868">
        <w:rPr>
          <w:rFonts w:asciiTheme="minorHAnsi" w:hAnsiTheme="minorHAnsi" w:cstheme="minorHAnsi"/>
          <w:sz w:val="22"/>
          <w:szCs w:val="22"/>
        </w:rPr>
        <w:fldChar w:fldCharType="end"/>
      </w:r>
      <w:r w:rsidRPr="00697868">
        <w:rPr>
          <w:rFonts w:asciiTheme="minorHAnsi" w:hAnsiTheme="minorHAnsi" w:cstheme="minorHAnsi"/>
          <w:sz w:val="22"/>
          <w:szCs w:val="22"/>
        </w:rPr>
        <w:t xml:space="preserve">the closest load shape chosen for this measure is the </w:t>
      </w:r>
      <w:r w:rsidR="00CF6DDC">
        <w:rPr>
          <w:rFonts w:asciiTheme="minorHAnsi" w:hAnsiTheme="minorHAnsi" w:cstheme="minorHAnsi"/>
          <w:sz w:val="22"/>
          <w:szCs w:val="22"/>
        </w:rPr>
        <w:t>Industrial</w:t>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 xml:space="preserve">load shape.  See </w:t>
      </w:r>
      <w:r w:rsidR="003F0623" w:rsidRPr="00697868">
        <w:rPr>
          <w:rFonts w:asciiTheme="minorHAnsi" w:hAnsiTheme="minorHAnsi" w:cstheme="minorHAnsi"/>
          <w:sz w:val="22"/>
          <w:szCs w:val="22"/>
        </w:rPr>
        <w:fldChar w:fldCharType="begin"/>
      </w:r>
      <w:r w:rsidR="003F0623" w:rsidRPr="00697868">
        <w:rPr>
          <w:rFonts w:asciiTheme="minorHAnsi" w:hAnsiTheme="minorHAnsi" w:cstheme="minorHAnsi"/>
          <w:sz w:val="22"/>
          <w:szCs w:val="22"/>
        </w:rPr>
        <w:instrText xml:space="preserve"> REF _Ref296597958 \h </w:instrText>
      </w:r>
      <w:r w:rsidR="00443D32" w:rsidRPr="00697868">
        <w:rPr>
          <w:rFonts w:asciiTheme="minorHAnsi" w:hAnsiTheme="minorHAnsi" w:cstheme="minorHAnsi"/>
          <w:sz w:val="22"/>
          <w:szCs w:val="22"/>
        </w:rPr>
        <w:instrText xml:space="preserve"> \* MERGEFORMAT </w:instrText>
      </w:r>
      <w:r w:rsidR="003F0623" w:rsidRPr="00697868">
        <w:rPr>
          <w:rFonts w:asciiTheme="minorHAnsi" w:hAnsiTheme="minorHAnsi" w:cstheme="minorHAnsi"/>
          <w:sz w:val="22"/>
          <w:szCs w:val="22"/>
        </w:rPr>
      </w:r>
      <w:r w:rsidR="003F0623" w:rsidRPr="00697868">
        <w:rPr>
          <w:rFonts w:asciiTheme="minorHAnsi" w:hAnsiTheme="minorHAnsi" w:cstheme="minorHAnsi"/>
          <w:sz w:val="22"/>
          <w:szCs w:val="22"/>
        </w:rPr>
        <w:fldChar w:fldCharType="separate"/>
      </w:r>
      <w:r w:rsidR="00CF6DDC" w:rsidRPr="00697868">
        <w:rPr>
          <w:rFonts w:asciiTheme="minorHAnsi" w:hAnsiTheme="minorHAnsi" w:cstheme="minorHAnsi"/>
          <w:sz w:val="22"/>
          <w:szCs w:val="22"/>
        </w:rPr>
        <w:t xml:space="preserve">Table </w:t>
      </w:r>
      <w:r w:rsidR="00CF6DDC">
        <w:rPr>
          <w:rFonts w:asciiTheme="minorHAnsi" w:hAnsiTheme="minorHAnsi" w:cstheme="minorHAnsi"/>
          <w:noProof/>
          <w:sz w:val="22"/>
          <w:szCs w:val="22"/>
        </w:rPr>
        <w:t>9</w:t>
      </w:r>
      <w:r w:rsidR="003F0623" w:rsidRPr="00697868">
        <w:rPr>
          <w:rFonts w:asciiTheme="minorHAnsi" w:hAnsiTheme="minorHAnsi" w:cstheme="minorHAnsi"/>
          <w:sz w:val="22"/>
          <w:szCs w:val="22"/>
        </w:rPr>
        <w:fldChar w:fldCharType="end"/>
      </w:r>
      <w:r w:rsidR="003F0623" w:rsidRPr="00697868">
        <w:rPr>
          <w:rFonts w:asciiTheme="minorHAnsi" w:hAnsiTheme="minorHAnsi" w:cstheme="minorHAnsi"/>
          <w:sz w:val="22"/>
          <w:szCs w:val="22"/>
        </w:rPr>
        <w:t xml:space="preserve"> </w:t>
      </w:r>
      <w:r w:rsidRPr="00697868">
        <w:rPr>
          <w:rFonts w:asciiTheme="minorHAnsi" w:hAnsiTheme="minorHAnsi" w:cstheme="minorHAnsi"/>
          <w:sz w:val="22"/>
          <w:szCs w:val="22"/>
        </w:rPr>
        <w:t>for a list of all Building Types and Load Shapes.  See the KEMA report [31] for a more thorough discussion regarding the load shapes for this measure.</w:t>
      </w:r>
    </w:p>
    <w:p w:rsidR="00E16609" w:rsidRDefault="003F0623" w:rsidP="003F0623">
      <w:pPr>
        <w:pStyle w:val="Caption"/>
        <w:jc w:val="center"/>
        <w:rPr>
          <w:rFonts w:asciiTheme="minorHAnsi" w:hAnsiTheme="minorHAnsi" w:cstheme="minorHAnsi"/>
          <w:sz w:val="22"/>
          <w:szCs w:val="22"/>
        </w:rPr>
      </w:pPr>
      <w:bookmarkStart w:id="23" w:name="_Ref296597958"/>
      <w:r w:rsidRPr="00697868">
        <w:rPr>
          <w:rFonts w:asciiTheme="minorHAnsi" w:hAnsiTheme="minorHAnsi" w:cstheme="minorHAnsi"/>
          <w:sz w:val="22"/>
          <w:szCs w:val="22"/>
        </w:rPr>
        <w:t xml:space="preserve">Table </w:t>
      </w:r>
      <w:r w:rsidRPr="00697868">
        <w:rPr>
          <w:rFonts w:asciiTheme="minorHAnsi" w:hAnsiTheme="minorHAnsi" w:cstheme="minorHAnsi"/>
          <w:sz w:val="22"/>
          <w:szCs w:val="22"/>
        </w:rPr>
        <w:fldChar w:fldCharType="begin"/>
      </w:r>
      <w:r w:rsidRPr="00697868">
        <w:rPr>
          <w:rFonts w:asciiTheme="minorHAnsi" w:hAnsiTheme="minorHAnsi" w:cstheme="minorHAnsi"/>
          <w:sz w:val="22"/>
          <w:szCs w:val="22"/>
        </w:rPr>
        <w:instrText xml:space="preserve"> SEQ Table \* ARABIC </w:instrText>
      </w:r>
      <w:r w:rsidRPr="00697868">
        <w:rPr>
          <w:rFonts w:asciiTheme="minorHAnsi" w:hAnsiTheme="minorHAnsi" w:cstheme="minorHAnsi"/>
          <w:sz w:val="22"/>
          <w:szCs w:val="22"/>
        </w:rPr>
        <w:fldChar w:fldCharType="separate"/>
      </w:r>
      <w:r w:rsidR="00CF6DDC">
        <w:rPr>
          <w:rFonts w:asciiTheme="minorHAnsi" w:hAnsiTheme="minorHAnsi" w:cstheme="minorHAnsi"/>
          <w:noProof/>
          <w:sz w:val="22"/>
          <w:szCs w:val="22"/>
        </w:rPr>
        <w:t>9</w:t>
      </w:r>
      <w:r w:rsidRPr="00697868">
        <w:rPr>
          <w:rFonts w:asciiTheme="minorHAnsi" w:hAnsiTheme="minorHAnsi" w:cstheme="minorHAnsi"/>
          <w:sz w:val="22"/>
          <w:szCs w:val="22"/>
        </w:rPr>
        <w:fldChar w:fldCharType="end"/>
      </w:r>
      <w:bookmarkEnd w:id="23"/>
      <w:r w:rsidRPr="00697868">
        <w:rPr>
          <w:rFonts w:asciiTheme="minorHAnsi" w:hAnsiTheme="minorHAnsi" w:cstheme="minorHAnsi"/>
          <w:sz w:val="22"/>
          <w:szCs w:val="22"/>
        </w:rPr>
        <w:t xml:space="preserve"> </w:t>
      </w:r>
      <w:r w:rsidR="002A3D26" w:rsidRPr="00697868">
        <w:rPr>
          <w:rFonts w:asciiTheme="minorHAnsi" w:hAnsiTheme="minorHAnsi" w:cstheme="minorHAnsi"/>
          <w:sz w:val="22"/>
          <w:szCs w:val="22"/>
        </w:rPr>
        <w:t>Building Types</w:t>
      </w:r>
      <w:r w:rsidR="00E16609" w:rsidRPr="00697868">
        <w:rPr>
          <w:rFonts w:asciiTheme="minorHAnsi" w:hAnsiTheme="minorHAnsi" w:cstheme="minorHAnsi"/>
          <w:sz w:val="22"/>
          <w:szCs w:val="22"/>
        </w:rPr>
        <w:t xml:space="preserve"> and Load Shapes</w:t>
      </w:r>
    </w:p>
    <w:tbl>
      <w:tblPr>
        <w:tblStyle w:val="TableContemporary"/>
        <w:tblW w:w="4433" w:type="pct"/>
        <w:jc w:val="center"/>
        <w:tblLook w:val="01E0" w:firstRow="1" w:lastRow="1" w:firstColumn="1" w:lastColumn="1" w:noHBand="0" w:noVBand="0"/>
      </w:tblPr>
      <w:tblGrid>
        <w:gridCol w:w="2988"/>
        <w:gridCol w:w="2936"/>
        <w:gridCol w:w="2566"/>
      </w:tblGrid>
      <w:tr w:rsidR="00D9459C" w:rsidRPr="00D9459C" w:rsidTr="00D9459C">
        <w:trPr>
          <w:cnfStyle w:val="100000000000" w:firstRow="1" w:lastRow="0" w:firstColumn="0" w:lastColumn="0" w:oddVBand="0" w:evenVBand="0" w:oddHBand="0" w:evenHBand="0" w:firstRowFirstColumn="0" w:firstRowLastColumn="0" w:lastRowFirstColumn="0" w:lastRowLastColumn="0"/>
          <w:jc w:val="center"/>
        </w:trPr>
        <w:tc>
          <w:tcPr>
            <w:tcW w:w="1760" w:type="pct"/>
          </w:tcPr>
          <w:p w:rsidR="00D9459C" w:rsidRPr="00D9459C" w:rsidRDefault="00D9459C" w:rsidP="00D9459C">
            <w:pPr>
              <w:rPr>
                <w:rFonts w:asciiTheme="minorHAnsi" w:hAnsiTheme="minorHAnsi" w:cs="Calibri"/>
                <w:bCs w:val="0"/>
                <w:sz w:val="20"/>
                <w:szCs w:val="20"/>
                <w:highlight w:val="yellow"/>
              </w:rPr>
            </w:pPr>
            <w:r w:rsidRPr="00D9459C">
              <w:rPr>
                <w:rFonts w:asciiTheme="minorHAnsi" w:hAnsiTheme="minorHAnsi" w:cs="Calibri"/>
                <w:bCs w:val="0"/>
                <w:sz w:val="20"/>
                <w:szCs w:val="20"/>
              </w:rPr>
              <w:t>Building Type</w:t>
            </w:r>
          </w:p>
        </w:tc>
        <w:tc>
          <w:tcPr>
            <w:tcW w:w="1729" w:type="pct"/>
          </w:tcPr>
          <w:p w:rsidR="00D9459C" w:rsidRPr="00D9459C" w:rsidRDefault="00D9459C" w:rsidP="00960E44">
            <w:pPr>
              <w:jc w:val="center"/>
              <w:rPr>
                <w:rFonts w:asciiTheme="minorHAnsi" w:hAnsiTheme="minorHAnsi" w:cs="Calibri"/>
                <w:bCs w:val="0"/>
                <w:sz w:val="20"/>
                <w:szCs w:val="20"/>
                <w:highlight w:val="yellow"/>
              </w:rPr>
            </w:pPr>
            <w:r w:rsidRPr="00D9459C">
              <w:rPr>
                <w:rFonts w:asciiTheme="minorHAnsi" w:hAnsiTheme="minorHAnsi" w:cs="Calibri"/>
                <w:bCs w:val="0"/>
                <w:sz w:val="20"/>
                <w:szCs w:val="20"/>
              </w:rPr>
              <w:t>E3 Alt. Building Type</w:t>
            </w:r>
          </w:p>
        </w:tc>
        <w:tc>
          <w:tcPr>
            <w:tcW w:w="1511" w:type="pct"/>
          </w:tcPr>
          <w:p w:rsidR="00D9459C" w:rsidRPr="00D9459C" w:rsidRDefault="00D9459C" w:rsidP="00960E44">
            <w:pPr>
              <w:jc w:val="center"/>
              <w:rPr>
                <w:rFonts w:asciiTheme="minorHAnsi" w:hAnsiTheme="minorHAnsi" w:cs="Calibri"/>
                <w:bCs w:val="0"/>
                <w:sz w:val="20"/>
                <w:szCs w:val="20"/>
              </w:rPr>
            </w:pPr>
            <w:r w:rsidRPr="00D9459C">
              <w:rPr>
                <w:rFonts w:asciiTheme="minorHAnsi" w:hAnsiTheme="minorHAnsi" w:cs="Calibri"/>
                <w:bCs w:val="0"/>
                <w:sz w:val="20"/>
                <w:szCs w:val="20"/>
              </w:rPr>
              <w:t>Load Shape</w:t>
            </w:r>
          </w:p>
        </w:tc>
      </w:tr>
      <w:tr w:rsidR="00D9459C" w:rsidRPr="00D9459C" w:rsidTr="00D9459C">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9459C" w:rsidRPr="00D9459C" w:rsidRDefault="00D9459C" w:rsidP="00960E44">
            <w:pPr>
              <w:rPr>
                <w:rFonts w:asciiTheme="minorHAnsi" w:hAnsiTheme="minorHAnsi"/>
                <w:sz w:val="20"/>
                <w:szCs w:val="20"/>
              </w:rPr>
            </w:pPr>
            <w:r w:rsidRPr="00D9459C">
              <w:rPr>
                <w:rFonts w:asciiTheme="minorHAnsi" w:hAnsiTheme="minorHAnsi" w:cs="Calibri"/>
                <w:color w:val="000000"/>
                <w:sz w:val="20"/>
                <w:szCs w:val="20"/>
              </w:rPr>
              <w:t>Manufacturing - Bio/Tech</w:t>
            </w:r>
          </w:p>
        </w:tc>
        <w:tc>
          <w:tcPr>
            <w:tcW w:w="1729" w:type="pct"/>
          </w:tcPr>
          <w:p w:rsidR="00D9459C" w:rsidRPr="00D9459C" w:rsidRDefault="00D9459C" w:rsidP="00960E44">
            <w:pPr>
              <w:jc w:val="center"/>
              <w:rPr>
                <w:rFonts w:asciiTheme="minorHAnsi" w:hAnsiTheme="minorHAnsi"/>
                <w:sz w:val="20"/>
                <w:szCs w:val="20"/>
              </w:rPr>
            </w:pPr>
            <w:r w:rsidRPr="00D9459C">
              <w:rPr>
                <w:rFonts w:asciiTheme="minorHAnsi" w:hAnsiTheme="minorHAnsi" w:cs="Calibri"/>
                <w:sz w:val="20"/>
                <w:szCs w:val="20"/>
              </w:rPr>
              <w:t>Industrial</w:t>
            </w:r>
          </w:p>
        </w:tc>
        <w:tc>
          <w:tcPr>
            <w:tcW w:w="1511" w:type="pct"/>
          </w:tcPr>
          <w:p w:rsidR="00D9459C" w:rsidRPr="00D9459C" w:rsidRDefault="00D9459C" w:rsidP="00960E44">
            <w:pPr>
              <w:jc w:val="center"/>
              <w:rPr>
                <w:rFonts w:asciiTheme="minorHAnsi" w:hAnsiTheme="minorHAnsi"/>
                <w:sz w:val="20"/>
                <w:szCs w:val="20"/>
              </w:rPr>
            </w:pPr>
            <w:r w:rsidRPr="00D9459C">
              <w:rPr>
                <w:rFonts w:asciiTheme="minorHAnsi" w:hAnsiTheme="minorHAnsi" w:cs="Calibri"/>
                <w:sz w:val="20"/>
                <w:szCs w:val="20"/>
              </w:rPr>
              <w:t>Industrial</w:t>
            </w:r>
          </w:p>
        </w:tc>
      </w:tr>
      <w:tr w:rsidR="00D9459C" w:rsidRPr="00D9459C" w:rsidTr="00D9459C">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D9459C" w:rsidRPr="00D9459C" w:rsidRDefault="00D9459C" w:rsidP="00960E44">
            <w:pPr>
              <w:rPr>
                <w:rFonts w:asciiTheme="minorHAnsi" w:hAnsiTheme="minorHAnsi"/>
                <w:sz w:val="20"/>
                <w:szCs w:val="20"/>
              </w:rPr>
            </w:pPr>
            <w:r w:rsidRPr="00D9459C">
              <w:rPr>
                <w:rFonts w:asciiTheme="minorHAnsi" w:hAnsiTheme="minorHAnsi" w:cs="Calibri"/>
                <w:color w:val="000000"/>
                <w:sz w:val="20"/>
                <w:szCs w:val="20"/>
              </w:rPr>
              <w:t>Manufacturing - Light Industrial</w:t>
            </w:r>
          </w:p>
        </w:tc>
        <w:tc>
          <w:tcPr>
            <w:tcW w:w="1729" w:type="pct"/>
          </w:tcPr>
          <w:p w:rsidR="00D9459C" w:rsidRPr="00D9459C" w:rsidRDefault="00E97477" w:rsidP="00960E44">
            <w:pPr>
              <w:jc w:val="center"/>
              <w:rPr>
                <w:rFonts w:asciiTheme="minorHAnsi" w:hAnsiTheme="minorHAnsi"/>
                <w:sz w:val="20"/>
                <w:szCs w:val="20"/>
              </w:rPr>
            </w:pPr>
            <w:r>
              <w:rPr>
                <w:rFonts w:asciiTheme="minorHAnsi" w:hAnsiTheme="minorHAnsi"/>
                <w:sz w:val="20"/>
                <w:szCs w:val="20"/>
              </w:rPr>
              <w:t>I</w:t>
            </w:r>
            <w:r w:rsidR="00D9459C" w:rsidRPr="00D9459C">
              <w:rPr>
                <w:rFonts w:asciiTheme="minorHAnsi" w:hAnsiTheme="minorHAnsi"/>
                <w:sz w:val="20"/>
                <w:szCs w:val="20"/>
              </w:rPr>
              <w:t>ndustrial</w:t>
            </w:r>
          </w:p>
        </w:tc>
        <w:tc>
          <w:tcPr>
            <w:tcW w:w="1511" w:type="pct"/>
          </w:tcPr>
          <w:p w:rsidR="00D9459C" w:rsidRPr="00D9459C" w:rsidRDefault="00D9459C" w:rsidP="00960E44">
            <w:pPr>
              <w:jc w:val="center"/>
              <w:rPr>
                <w:rFonts w:asciiTheme="minorHAnsi" w:hAnsiTheme="minorHAnsi"/>
                <w:sz w:val="20"/>
                <w:szCs w:val="20"/>
              </w:rPr>
            </w:pPr>
            <w:r w:rsidRPr="00D9459C">
              <w:rPr>
                <w:rFonts w:asciiTheme="minorHAnsi" w:hAnsiTheme="minorHAnsi"/>
                <w:sz w:val="20"/>
                <w:szCs w:val="20"/>
              </w:rPr>
              <w:t>industrial</w:t>
            </w:r>
          </w:p>
        </w:tc>
      </w:tr>
      <w:tr w:rsidR="00D9459C" w:rsidRPr="00D9459C" w:rsidTr="00D9459C">
        <w:trPr>
          <w:cnfStyle w:val="000000100000" w:firstRow="0" w:lastRow="0" w:firstColumn="0" w:lastColumn="0" w:oddVBand="0" w:evenVBand="0" w:oddHBand="1" w:evenHBand="0" w:firstRowFirstColumn="0" w:firstRowLastColumn="0" w:lastRowFirstColumn="0" w:lastRowLastColumn="0"/>
          <w:jc w:val="center"/>
        </w:trPr>
        <w:tc>
          <w:tcPr>
            <w:tcW w:w="1760" w:type="pct"/>
          </w:tcPr>
          <w:p w:rsidR="00D9459C" w:rsidRPr="00D9459C" w:rsidRDefault="00D9459C" w:rsidP="00960E44">
            <w:pPr>
              <w:rPr>
                <w:rFonts w:asciiTheme="minorHAnsi" w:hAnsiTheme="minorHAnsi"/>
                <w:sz w:val="20"/>
                <w:szCs w:val="20"/>
              </w:rPr>
            </w:pPr>
            <w:r w:rsidRPr="00D9459C">
              <w:rPr>
                <w:rFonts w:asciiTheme="minorHAnsi" w:hAnsiTheme="minorHAnsi" w:cs="Calibri"/>
                <w:color w:val="000000"/>
                <w:sz w:val="20"/>
                <w:szCs w:val="20"/>
              </w:rPr>
              <w:t>Industrial</w:t>
            </w:r>
          </w:p>
        </w:tc>
        <w:tc>
          <w:tcPr>
            <w:tcW w:w="1729" w:type="pct"/>
          </w:tcPr>
          <w:p w:rsidR="00D9459C" w:rsidRPr="00D9459C" w:rsidRDefault="00D9459C" w:rsidP="00960E44">
            <w:pPr>
              <w:jc w:val="center"/>
              <w:rPr>
                <w:rFonts w:asciiTheme="minorHAnsi" w:hAnsiTheme="minorHAnsi" w:cs="Calibri"/>
                <w:sz w:val="20"/>
                <w:szCs w:val="20"/>
              </w:rPr>
            </w:pPr>
            <w:r w:rsidRPr="00D9459C">
              <w:rPr>
                <w:rFonts w:asciiTheme="minorHAnsi" w:hAnsiTheme="minorHAnsi" w:cs="Calibri"/>
                <w:sz w:val="20"/>
                <w:szCs w:val="20"/>
              </w:rPr>
              <w:t>Industrial</w:t>
            </w:r>
          </w:p>
        </w:tc>
        <w:tc>
          <w:tcPr>
            <w:tcW w:w="1511" w:type="pct"/>
          </w:tcPr>
          <w:p w:rsidR="00D9459C" w:rsidRPr="00D9459C" w:rsidRDefault="00D9459C" w:rsidP="00960E44">
            <w:pPr>
              <w:jc w:val="center"/>
              <w:rPr>
                <w:rFonts w:asciiTheme="minorHAnsi" w:hAnsiTheme="minorHAnsi" w:cs="Calibri"/>
                <w:sz w:val="20"/>
                <w:szCs w:val="20"/>
              </w:rPr>
            </w:pPr>
            <w:r w:rsidRPr="00D9459C">
              <w:rPr>
                <w:rFonts w:asciiTheme="minorHAnsi" w:hAnsiTheme="minorHAnsi" w:cs="Calibri"/>
                <w:sz w:val="20"/>
                <w:szCs w:val="20"/>
              </w:rPr>
              <w:t>Industrial</w:t>
            </w:r>
          </w:p>
        </w:tc>
      </w:tr>
      <w:tr w:rsidR="00E97477" w:rsidRPr="00D9459C" w:rsidTr="00D9459C">
        <w:trPr>
          <w:cnfStyle w:val="000000010000" w:firstRow="0" w:lastRow="0" w:firstColumn="0" w:lastColumn="0" w:oddVBand="0" w:evenVBand="0" w:oddHBand="0" w:evenHBand="1" w:firstRowFirstColumn="0" w:firstRowLastColumn="0" w:lastRowFirstColumn="0" w:lastRowLastColumn="0"/>
          <w:jc w:val="center"/>
        </w:trPr>
        <w:tc>
          <w:tcPr>
            <w:tcW w:w="1760" w:type="pct"/>
          </w:tcPr>
          <w:p w:rsidR="00E97477" w:rsidRPr="00D9459C" w:rsidRDefault="00E97477" w:rsidP="00960E44">
            <w:pPr>
              <w:rPr>
                <w:rFonts w:asciiTheme="minorHAnsi" w:hAnsiTheme="minorHAnsi" w:cs="Calibri"/>
                <w:color w:val="000000"/>
                <w:sz w:val="20"/>
                <w:szCs w:val="20"/>
              </w:rPr>
            </w:pPr>
            <w:r>
              <w:rPr>
                <w:rFonts w:asciiTheme="minorHAnsi" w:hAnsiTheme="minorHAnsi" w:cs="Calibri"/>
                <w:color w:val="000000"/>
                <w:sz w:val="20"/>
                <w:szCs w:val="20"/>
              </w:rPr>
              <w:t>Agricultural</w:t>
            </w:r>
          </w:p>
        </w:tc>
        <w:tc>
          <w:tcPr>
            <w:tcW w:w="1729" w:type="pct"/>
          </w:tcPr>
          <w:p w:rsidR="00E97477" w:rsidRPr="00D9459C" w:rsidRDefault="00E97477" w:rsidP="00960E44">
            <w:pPr>
              <w:jc w:val="center"/>
              <w:rPr>
                <w:rFonts w:asciiTheme="minorHAnsi" w:hAnsiTheme="minorHAnsi" w:cs="Calibri"/>
                <w:sz w:val="20"/>
                <w:szCs w:val="20"/>
              </w:rPr>
            </w:pPr>
            <w:r w:rsidRPr="00D9459C">
              <w:rPr>
                <w:rFonts w:asciiTheme="minorHAnsi" w:hAnsiTheme="minorHAnsi" w:cs="Calibri"/>
                <w:sz w:val="20"/>
                <w:szCs w:val="20"/>
              </w:rPr>
              <w:t>Industrial</w:t>
            </w:r>
          </w:p>
        </w:tc>
        <w:tc>
          <w:tcPr>
            <w:tcW w:w="1511" w:type="pct"/>
          </w:tcPr>
          <w:p w:rsidR="00E97477" w:rsidRPr="00D9459C" w:rsidRDefault="00E97477" w:rsidP="00960E44">
            <w:pPr>
              <w:jc w:val="center"/>
              <w:rPr>
                <w:rFonts w:asciiTheme="minorHAnsi" w:hAnsiTheme="minorHAnsi" w:cs="Calibri"/>
                <w:sz w:val="20"/>
                <w:szCs w:val="20"/>
              </w:rPr>
            </w:pPr>
            <w:r w:rsidRPr="00D9459C">
              <w:rPr>
                <w:rFonts w:asciiTheme="minorHAnsi" w:hAnsiTheme="minorHAnsi" w:cs="Calibri"/>
                <w:sz w:val="20"/>
                <w:szCs w:val="20"/>
              </w:rPr>
              <w:t>Industrial</w:t>
            </w:r>
          </w:p>
        </w:tc>
      </w:tr>
    </w:tbl>
    <w:p w:rsidR="00D9459C" w:rsidRPr="00D9459C" w:rsidRDefault="00D9459C" w:rsidP="00D9459C"/>
    <w:p w:rsidR="00E16609" w:rsidRPr="00697868" w:rsidRDefault="00E16609" w:rsidP="00E16609">
      <w:pPr>
        <w:pStyle w:val="Heading1"/>
        <w:keepNext w:val="0"/>
        <w:rPr>
          <w:rFonts w:asciiTheme="minorHAnsi" w:hAnsiTheme="minorHAnsi" w:cstheme="minorHAnsi"/>
        </w:rPr>
      </w:pPr>
      <w:bookmarkStart w:id="24" w:name="_Toc214003096"/>
      <w:proofErr w:type="gramStart"/>
      <w:r w:rsidRPr="00697868">
        <w:rPr>
          <w:rFonts w:asciiTheme="minorHAnsi" w:hAnsiTheme="minorHAnsi" w:cstheme="minorHAnsi"/>
        </w:rPr>
        <w:t>Section 4.</w:t>
      </w:r>
      <w:proofErr w:type="gramEnd"/>
      <w:r w:rsidRPr="00697868">
        <w:rPr>
          <w:rFonts w:asciiTheme="minorHAnsi" w:hAnsiTheme="minorHAnsi" w:cstheme="minorHAnsi"/>
        </w:rPr>
        <w:t xml:space="preserve"> Base Case &amp; Measure Costs</w:t>
      </w:r>
      <w:bookmarkEnd w:id="24"/>
    </w:p>
    <w:p w:rsidR="00E16609" w:rsidRPr="00697868" w:rsidRDefault="00E16609" w:rsidP="00824F1C">
      <w:pPr>
        <w:pStyle w:val="Heading2"/>
        <w:rPr>
          <w:rFonts w:asciiTheme="minorHAnsi" w:hAnsiTheme="minorHAnsi" w:cstheme="minorHAnsi"/>
        </w:rPr>
      </w:pPr>
      <w:bookmarkStart w:id="25" w:name="_MON_1399297811"/>
      <w:bookmarkStart w:id="26" w:name="_Toc214003097"/>
      <w:bookmarkEnd w:id="25"/>
      <w:r w:rsidRPr="00697868">
        <w:rPr>
          <w:rFonts w:asciiTheme="minorHAnsi" w:hAnsiTheme="minorHAnsi" w:cstheme="minorHAnsi"/>
        </w:rPr>
        <w:lastRenderedPageBreak/>
        <w:t>4.1 Base Case Cost</w:t>
      </w:r>
      <w:bookmarkEnd w:id="26"/>
    </w:p>
    <w:p w:rsidR="00E16609" w:rsidRPr="007A2FAD" w:rsidRDefault="007A2FAD" w:rsidP="003D2871">
      <w:pPr>
        <w:pStyle w:val="Reminders"/>
        <w:rPr>
          <w:rFonts w:asciiTheme="minorHAnsi" w:hAnsiTheme="minorHAnsi" w:cstheme="minorHAnsi"/>
          <w:i w:val="0"/>
          <w:color w:val="auto"/>
          <w:sz w:val="22"/>
          <w:szCs w:val="22"/>
        </w:rPr>
      </w:pPr>
      <w:r w:rsidRPr="007A2FAD">
        <w:rPr>
          <w:rFonts w:asciiTheme="minorHAnsi" w:hAnsiTheme="minorHAnsi"/>
          <w:i w:val="0"/>
          <w:color w:val="auto"/>
          <w:sz w:val="22"/>
          <w:szCs w:val="22"/>
        </w:rPr>
        <w:t>For this measure category, the base case cost is assumed to be zero because these are discretionary modifications (retrofit add-on) to the customers’ existing equipment.  The alternative is to make no changes to their existing system.</w:t>
      </w:r>
    </w:p>
    <w:p w:rsidR="005A0E53" w:rsidRPr="00697868" w:rsidRDefault="005A0E53" w:rsidP="005A0E53">
      <w:pPr>
        <w:pStyle w:val="Heading2"/>
        <w:rPr>
          <w:rFonts w:asciiTheme="minorHAnsi" w:hAnsiTheme="minorHAnsi" w:cstheme="minorHAnsi"/>
        </w:rPr>
      </w:pPr>
      <w:bookmarkStart w:id="27" w:name="_Toc214003098"/>
      <w:r w:rsidRPr="00697868">
        <w:rPr>
          <w:rFonts w:asciiTheme="minorHAnsi" w:hAnsiTheme="minorHAnsi" w:cstheme="minorHAnsi"/>
        </w:rPr>
        <w:t>4.</w:t>
      </w:r>
      <w:r>
        <w:rPr>
          <w:rFonts w:asciiTheme="minorHAnsi" w:hAnsiTheme="minorHAnsi" w:cstheme="minorHAnsi"/>
        </w:rPr>
        <w:t>2</w:t>
      </w:r>
      <w:r w:rsidRPr="00697868">
        <w:rPr>
          <w:rFonts w:asciiTheme="minorHAnsi" w:hAnsiTheme="minorHAnsi" w:cstheme="minorHAnsi"/>
        </w:rPr>
        <w:t xml:space="preserve"> </w:t>
      </w:r>
      <w:r>
        <w:rPr>
          <w:rFonts w:asciiTheme="minorHAnsi" w:hAnsiTheme="minorHAnsi" w:cstheme="minorHAnsi"/>
        </w:rPr>
        <w:t>Measure</w:t>
      </w:r>
      <w:r w:rsidRPr="00697868">
        <w:rPr>
          <w:rFonts w:asciiTheme="minorHAnsi" w:hAnsiTheme="minorHAnsi" w:cstheme="minorHAnsi"/>
        </w:rPr>
        <w:t xml:space="preserve"> Case Cost</w:t>
      </w:r>
    </w:p>
    <w:p w:rsidR="007A2FAD" w:rsidRPr="007A2FAD" w:rsidRDefault="007A2FAD" w:rsidP="007A2FAD">
      <w:pPr>
        <w:rPr>
          <w:rFonts w:asciiTheme="minorHAnsi" w:hAnsiTheme="minorHAnsi"/>
          <w:sz w:val="22"/>
          <w:szCs w:val="22"/>
        </w:rPr>
      </w:pPr>
      <w:r w:rsidRPr="007A2FAD">
        <w:rPr>
          <w:rFonts w:asciiTheme="minorHAnsi" w:hAnsiTheme="minorHAnsi"/>
          <w:sz w:val="22"/>
          <w:szCs w:val="22"/>
        </w:rPr>
        <w:t xml:space="preserve">For retrofit add-on measures, the gross measure cost is the full measure cost to purchase and install, as shown </w:t>
      </w:r>
      <w:r w:rsidR="00CF6DDC">
        <w:rPr>
          <w:rFonts w:asciiTheme="minorHAnsi" w:hAnsiTheme="minorHAnsi"/>
          <w:sz w:val="22"/>
          <w:szCs w:val="22"/>
        </w:rPr>
        <w:t>in</w:t>
      </w:r>
      <w:r w:rsidRPr="007A2FAD">
        <w:rPr>
          <w:rFonts w:asciiTheme="minorHAnsi" w:hAnsiTheme="minorHAnsi"/>
          <w:sz w:val="22"/>
          <w:szCs w:val="22"/>
        </w:rPr>
        <w:t xml:space="preserve"> </w:t>
      </w:r>
      <w:r w:rsidR="00CF6DDC">
        <w:rPr>
          <w:rFonts w:asciiTheme="minorHAnsi" w:hAnsiTheme="minorHAnsi"/>
          <w:sz w:val="22"/>
          <w:szCs w:val="22"/>
        </w:rPr>
        <w:fldChar w:fldCharType="begin"/>
      </w:r>
      <w:r w:rsidR="00CF6DDC">
        <w:rPr>
          <w:rFonts w:asciiTheme="minorHAnsi" w:hAnsiTheme="minorHAnsi"/>
          <w:sz w:val="22"/>
          <w:szCs w:val="22"/>
        </w:rPr>
        <w:instrText xml:space="preserve"> REF _Ref380736378 \h  \* MERGEFORMAT </w:instrText>
      </w:r>
      <w:r w:rsidR="00CF6DDC">
        <w:rPr>
          <w:rFonts w:asciiTheme="minorHAnsi" w:hAnsiTheme="minorHAnsi"/>
          <w:sz w:val="22"/>
          <w:szCs w:val="22"/>
        </w:rPr>
      </w:r>
      <w:r w:rsidR="00CF6DDC">
        <w:rPr>
          <w:rFonts w:asciiTheme="minorHAnsi" w:hAnsiTheme="minorHAnsi"/>
          <w:sz w:val="22"/>
          <w:szCs w:val="22"/>
        </w:rPr>
        <w:fldChar w:fldCharType="separate"/>
      </w:r>
      <w:r w:rsidR="00CF6DDC" w:rsidRPr="00CF6DDC">
        <w:rPr>
          <w:rFonts w:asciiTheme="minorHAnsi" w:hAnsiTheme="minorHAnsi"/>
          <w:sz w:val="22"/>
          <w:szCs w:val="22"/>
        </w:rPr>
        <w:t>Table 10</w:t>
      </w:r>
      <w:r w:rsidR="00CF6DDC">
        <w:rPr>
          <w:rFonts w:asciiTheme="minorHAnsi" w:hAnsiTheme="minorHAnsi"/>
          <w:sz w:val="22"/>
          <w:szCs w:val="22"/>
        </w:rPr>
        <w:fldChar w:fldCharType="end"/>
      </w:r>
      <w:r w:rsidR="00CF6DDC">
        <w:rPr>
          <w:rFonts w:asciiTheme="minorHAnsi" w:hAnsiTheme="minorHAnsi"/>
          <w:sz w:val="22"/>
          <w:szCs w:val="22"/>
        </w:rPr>
        <w:t>.</w:t>
      </w:r>
      <w:r w:rsidRPr="007A2FAD">
        <w:rPr>
          <w:rFonts w:asciiTheme="minorHAnsi" w:hAnsiTheme="minorHAnsi"/>
          <w:sz w:val="22"/>
          <w:szCs w:val="22"/>
        </w:rPr>
        <w:t xml:space="preserve"> </w:t>
      </w:r>
      <w:r w:rsidR="00CF6DDC">
        <w:rPr>
          <w:rFonts w:asciiTheme="minorHAnsi" w:hAnsiTheme="minorHAnsi"/>
          <w:sz w:val="22"/>
          <w:szCs w:val="22"/>
        </w:rPr>
        <w:t>The measure cost shown above was obtained using data from the 2012 edition of RS Means Electrical Cost Data.  RSMeans c</w:t>
      </w:r>
      <w:r w:rsidR="00177819">
        <w:rPr>
          <w:rFonts w:asciiTheme="minorHAnsi" w:hAnsiTheme="minorHAnsi"/>
          <w:sz w:val="22"/>
          <w:szCs w:val="22"/>
        </w:rPr>
        <w:t>overs VFDs from 3 hp</w:t>
      </w:r>
      <w:r w:rsidR="00E211C5">
        <w:rPr>
          <w:rFonts w:asciiTheme="minorHAnsi" w:hAnsiTheme="minorHAnsi"/>
          <w:sz w:val="22"/>
          <w:szCs w:val="22"/>
        </w:rPr>
        <w:t xml:space="preserve"> to 75 </w:t>
      </w:r>
      <w:r w:rsidR="00177819">
        <w:rPr>
          <w:rFonts w:asciiTheme="minorHAnsi" w:hAnsiTheme="minorHAnsi"/>
          <w:sz w:val="22"/>
          <w:szCs w:val="22"/>
        </w:rPr>
        <w:t>hp</w:t>
      </w:r>
      <w:r w:rsidR="00E211C5">
        <w:rPr>
          <w:rFonts w:asciiTheme="minorHAnsi" w:hAnsiTheme="minorHAnsi"/>
          <w:sz w:val="22"/>
          <w:szCs w:val="22"/>
        </w:rPr>
        <w:t xml:space="preserve"> [358</w:t>
      </w:r>
      <w:r w:rsidR="00CF6DDC">
        <w:rPr>
          <w:rFonts w:asciiTheme="minorHAnsi" w:hAnsiTheme="minorHAnsi"/>
          <w:sz w:val="22"/>
          <w:szCs w:val="22"/>
        </w:rPr>
        <w:t>]. The total cost from RSMeans for each drive was divided by the rated HP to get a normalized cost. These were then averaged to get an overa</w:t>
      </w:r>
      <w:r w:rsidR="00177819">
        <w:rPr>
          <w:rFonts w:asciiTheme="minorHAnsi" w:hAnsiTheme="minorHAnsi"/>
          <w:sz w:val="22"/>
          <w:szCs w:val="22"/>
        </w:rPr>
        <w:t>ll $/hp which comes to $196.04/hp</w:t>
      </w:r>
      <w:r w:rsidR="00CF6DDC">
        <w:rPr>
          <w:rFonts w:asciiTheme="minorHAnsi" w:hAnsiTheme="minorHAnsi"/>
          <w:sz w:val="22"/>
          <w:szCs w:val="22"/>
        </w:rPr>
        <w:t xml:space="preserve">. </w:t>
      </w:r>
      <w:r w:rsidR="00177819">
        <w:rPr>
          <w:rFonts w:asciiTheme="minorHAnsi" w:hAnsiTheme="minorHAnsi"/>
          <w:sz w:val="22"/>
          <w:szCs w:val="22"/>
        </w:rPr>
        <w:t>T</w:t>
      </w:r>
      <w:r w:rsidR="00CF6DDC">
        <w:rPr>
          <w:rFonts w:asciiTheme="minorHAnsi" w:hAnsiTheme="minorHAnsi"/>
          <w:sz w:val="22"/>
          <w:szCs w:val="22"/>
        </w:rPr>
        <w:t>he labor costs</w:t>
      </w:r>
      <w:r w:rsidR="00177819">
        <w:rPr>
          <w:rFonts w:asciiTheme="minorHAnsi" w:hAnsiTheme="minorHAnsi"/>
          <w:sz w:val="22"/>
          <w:szCs w:val="22"/>
        </w:rPr>
        <w:t xml:space="preserve"> were calculated</w:t>
      </w:r>
      <w:r w:rsidR="00177819" w:rsidRPr="00177819">
        <w:rPr>
          <w:rFonts w:asciiTheme="minorHAnsi" w:hAnsiTheme="minorHAnsi"/>
          <w:sz w:val="22"/>
          <w:szCs w:val="22"/>
        </w:rPr>
        <w:t xml:space="preserve"> </w:t>
      </w:r>
      <w:r w:rsidR="00177819">
        <w:rPr>
          <w:rFonts w:asciiTheme="minorHAnsi" w:hAnsiTheme="minorHAnsi"/>
          <w:sz w:val="22"/>
          <w:szCs w:val="22"/>
        </w:rPr>
        <w:t>similarly and came out to $38.14/hp</w:t>
      </w:r>
      <w:r w:rsidR="00CF6DDC">
        <w:rPr>
          <w:rFonts w:asciiTheme="minorHAnsi" w:hAnsiTheme="minorHAnsi"/>
          <w:sz w:val="22"/>
          <w:szCs w:val="22"/>
        </w:rPr>
        <w:t xml:space="preserve">. Material costs per </w:t>
      </w:r>
      <w:r w:rsidR="00177819">
        <w:rPr>
          <w:rFonts w:asciiTheme="minorHAnsi" w:hAnsiTheme="minorHAnsi"/>
          <w:sz w:val="22"/>
          <w:szCs w:val="22"/>
        </w:rPr>
        <w:t>hp</w:t>
      </w:r>
      <w:r w:rsidR="00CF6DDC">
        <w:rPr>
          <w:rFonts w:asciiTheme="minorHAnsi" w:hAnsiTheme="minorHAnsi"/>
          <w:sz w:val="22"/>
          <w:szCs w:val="22"/>
        </w:rPr>
        <w:t xml:space="preserve"> was taken as the difference between total cost and labor cost</w:t>
      </w:r>
      <w:r w:rsidR="008B6825">
        <w:rPr>
          <w:rFonts w:asciiTheme="minorHAnsi" w:hAnsiTheme="minorHAnsi"/>
          <w:sz w:val="22"/>
          <w:szCs w:val="22"/>
        </w:rPr>
        <w:t>,</w:t>
      </w:r>
      <w:r w:rsidR="00177819">
        <w:rPr>
          <w:rFonts w:asciiTheme="minorHAnsi" w:hAnsiTheme="minorHAnsi"/>
          <w:sz w:val="22"/>
          <w:szCs w:val="22"/>
        </w:rPr>
        <w:t xml:space="preserve"> $157.90/hp</w:t>
      </w:r>
      <w:r w:rsidR="008B6825">
        <w:rPr>
          <w:rFonts w:asciiTheme="minorHAnsi" w:hAnsiTheme="minorHAnsi"/>
          <w:sz w:val="22"/>
          <w:szCs w:val="22"/>
        </w:rPr>
        <w:t>. See Attachment 2 for more details</w:t>
      </w:r>
      <w:r w:rsidR="00CF6DDC">
        <w:rPr>
          <w:rFonts w:asciiTheme="minorHAnsi" w:hAnsiTheme="minorHAnsi"/>
          <w:sz w:val="22"/>
          <w:szCs w:val="22"/>
        </w:rPr>
        <w:t>.</w:t>
      </w:r>
    </w:p>
    <w:p w:rsidR="007A2FAD" w:rsidRPr="007A2FAD" w:rsidRDefault="007A2FAD" w:rsidP="007A2FAD">
      <w:pPr>
        <w:pStyle w:val="Caption"/>
        <w:rPr>
          <w:rFonts w:asciiTheme="minorHAnsi" w:hAnsiTheme="minorHAnsi"/>
          <w:b w:val="0"/>
          <w:bCs w:val="0"/>
          <w:sz w:val="22"/>
          <w:szCs w:val="22"/>
        </w:rPr>
      </w:pPr>
    </w:p>
    <w:p w:rsidR="007A2FAD" w:rsidRPr="007A2FAD" w:rsidRDefault="007A2FAD" w:rsidP="007A2FAD">
      <w:pPr>
        <w:rPr>
          <w:rFonts w:asciiTheme="minorHAnsi" w:hAnsiTheme="minorHAnsi"/>
          <w:sz w:val="22"/>
          <w:szCs w:val="22"/>
        </w:rPr>
      </w:pPr>
      <w:r w:rsidRPr="007A2FAD">
        <w:rPr>
          <w:rFonts w:asciiTheme="minorHAnsi" w:hAnsiTheme="minorHAnsi"/>
          <w:sz w:val="22"/>
          <w:szCs w:val="22"/>
        </w:rPr>
        <w:t>GMC is represented by the equation below:</w:t>
      </w:r>
    </w:p>
    <w:p w:rsidR="007A2FAD" w:rsidRPr="007A2FAD" w:rsidRDefault="007A2FAD" w:rsidP="007A2FAD">
      <w:pPr>
        <w:rPr>
          <w:rFonts w:asciiTheme="minorHAnsi" w:hAnsiTheme="minorHAnsi"/>
          <w:sz w:val="22"/>
          <w:szCs w:val="22"/>
        </w:rPr>
      </w:pPr>
    </w:p>
    <w:p w:rsidR="007A2FAD" w:rsidRPr="007A2FAD" w:rsidRDefault="007A2FAD" w:rsidP="007A2FAD">
      <w:pPr>
        <w:ind w:firstLine="720"/>
        <w:rPr>
          <w:rFonts w:asciiTheme="minorHAnsi" w:hAnsiTheme="minorHAnsi"/>
          <w:sz w:val="22"/>
          <w:szCs w:val="22"/>
        </w:rPr>
      </w:pPr>
      <w:r w:rsidRPr="007A2FAD">
        <w:rPr>
          <w:rFonts w:asciiTheme="minorHAnsi" w:hAnsiTheme="minorHAnsi"/>
          <w:sz w:val="22"/>
          <w:szCs w:val="22"/>
        </w:rPr>
        <w:t>GMC = Measure Equipment Cost + Measure Labor Cost</w:t>
      </w:r>
    </w:p>
    <w:p w:rsidR="007A2FAD" w:rsidRPr="007A2FAD" w:rsidRDefault="007A2FAD" w:rsidP="007A2FAD">
      <w:pPr>
        <w:rPr>
          <w:rFonts w:asciiTheme="minorHAnsi" w:hAnsiTheme="minorHAnsi"/>
          <w:sz w:val="22"/>
          <w:szCs w:val="22"/>
        </w:rPr>
      </w:pPr>
    </w:p>
    <w:p w:rsidR="007A2FAD" w:rsidRPr="007A2FAD" w:rsidRDefault="007A2FAD" w:rsidP="007A2FAD">
      <w:pPr>
        <w:pStyle w:val="Caption"/>
        <w:keepNext/>
        <w:jc w:val="center"/>
        <w:rPr>
          <w:rFonts w:asciiTheme="minorHAnsi" w:hAnsiTheme="minorHAnsi"/>
          <w:sz w:val="22"/>
          <w:szCs w:val="22"/>
        </w:rPr>
      </w:pPr>
      <w:bookmarkStart w:id="28" w:name="_Ref380736378"/>
      <w:bookmarkStart w:id="29" w:name="_Ref320628668"/>
      <w:r w:rsidRPr="007A2FAD">
        <w:rPr>
          <w:rFonts w:asciiTheme="minorHAnsi" w:hAnsiTheme="minorHAnsi" w:cs="Calibri"/>
          <w:sz w:val="22"/>
          <w:szCs w:val="22"/>
        </w:rPr>
        <w:t xml:space="preserve">Table </w:t>
      </w:r>
      <w:r w:rsidRPr="007A2FAD">
        <w:rPr>
          <w:rFonts w:asciiTheme="minorHAnsi" w:hAnsiTheme="minorHAnsi" w:cs="Calibri"/>
          <w:sz w:val="22"/>
          <w:szCs w:val="22"/>
        </w:rPr>
        <w:fldChar w:fldCharType="begin"/>
      </w:r>
      <w:r w:rsidRPr="007A2FAD">
        <w:rPr>
          <w:rFonts w:asciiTheme="minorHAnsi" w:hAnsiTheme="minorHAnsi" w:cs="Calibri"/>
          <w:sz w:val="22"/>
          <w:szCs w:val="22"/>
        </w:rPr>
        <w:instrText xml:space="preserve"> SEQ Table \* ARABIC </w:instrText>
      </w:r>
      <w:r w:rsidRPr="007A2FAD">
        <w:rPr>
          <w:rFonts w:asciiTheme="minorHAnsi" w:hAnsiTheme="minorHAnsi" w:cs="Calibri"/>
          <w:sz w:val="22"/>
          <w:szCs w:val="22"/>
        </w:rPr>
        <w:fldChar w:fldCharType="separate"/>
      </w:r>
      <w:r w:rsidR="00CF6DDC">
        <w:rPr>
          <w:rFonts w:asciiTheme="minorHAnsi" w:hAnsiTheme="minorHAnsi" w:cs="Calibri"/>
          <w:noProof/>
          <w:sz w:val="22"/>
          <w:szCs w:val="22"/>
        </w:rPr>
        <w:t>10</w:t>
      </w:r>
      <w:r w:rsidRPr="007A2FAD">
        <w:rPr>
          <w:rFonts w:asciiTheme="minorHAnsi" w:hAnsiTheme="minorHAnsi" w:cs="Calibri"/>
          <w:sz w:val="22"/>
          <w:szCs w:val="22"/>
        </w:rPr>
        <w:fldChar w:fldCharType="end"/>
      </w:r>
      <w:bookmarkEnd w:id="28"/>
      <w:r w:rsidRPr="007A2FAD">
        <w:rPr>
          <w:rFonts w:asciiTheme="minorHAnsi" w:hAnsiTheme="minorHAnsi" w:cs="Calibri"/>
          <w:sz w:val="22"/>
          <w:szCs w:val="22"/>
        </w:rPr>
        <w:t xml:space="preserve"> </w:t>
      </w:r>
      <w:r w:rsidRPr="007A2FAD">
        <w:rPr>
          <w:rFonts w:asciiTheme="minorHAnsi" w:hAnsiTheme="minorHAnsi"/>
          <w:sz w:val="22"/>
          <w:szCs w:val="22"/>
        </w:rPr>
        <w:t>Measure Cost</w:t>
      </w:r>
      <w:bookmarkEnd w:id="29"/>
    </w:p>
    <w:tbl>
      <w:tblPr>
        <w:tblW w:w="6279" w:type="dxa"/>
        <w:jc w:val="center"/>
        <w:tblInd w:w="1185" w:type="dxa"/>
        <w:tblBorders>
          <w:insideH w:val="single" w:sz="18" w:space="0" w:color="FFFFFF"/>
          <w:insideV w:val="single" w:sz="18" w:space="0" w:color="FFFFFF"/>
        </w:tblBorders>
        <w:tblLook w:val="01E0" w:firstRow="1" w:lastRow="1" w:firstColumn="1" w:lastColumn="1" w:noHBand="0" w:noVBand="0"/>
      </w:tblPr>
      <w:tblGrid>
        <w:gridCol w:w="4643"/>
        <w:gridCol w:w="1636"/>
      </w:tblGrid>
      <w:tr w:rsidR="00511F5F" w:rsidRPr="007A2FAD" w:rsidTr="00511F5F">
        <w:trPr>
          <w:trHeight w:val="255"/>
          <w:jc w:val="center"/>
        </w:trPr>
        <w:tc>
          <w:tcPr>
            <w:tcW w:w="4643" w:type="dxa"/>
            <w:shd w:val="pct20" w:color="000000" w:fill="FFFFFF"/>
          </w:tcPr>
          <w:p w:rsidR="00511F5F" w:rsidRPr="007A2FAD" w:rsidRDefault="00511F5F" w:rsidP="007A2FAD">
            <w:pPr>
              <w:rPr>
                <w:rFonts w:asciiTheme="minorHAnsi" w:hAnsiTheme="minorHAnsi"/>
                <w:b/>
                <w:bCs/>
                <w:sz w:val="20"/>
                <w:szCs w:val="22"/>
              </w:rPr>
            </w:pPr>
            <w:r w:rsidRPr="007A2FAD">
              <w:rPr>
                <w:rFonts w:asciiTheme="minorHAnsi" w:hAnsiTheme="minorHAnsi"/>
                <w:b/>
                <w:bCs/>
                <w:sz w:val="20"/>
                <w:szCs w:val="22"/>
              </w:rPr>
              <w:t>Description</w:t>
            </w:r>
          </w:p>
        </w:tc>
        <w:tc>
          <w:tcPr>
            <w:tcW w:w="1636" w:type="dxa"/>
            <w:shd w:val="pct20" w:color="000000" w:fill="FFFFFF"/>
            <w:noWrap/>
          </w:tcPr>
          <w:p w:rsidR="00511F5F" w:rsidRPr="007A2FAD" w:rsidRDefault="00511F5F" w:rsidP="00511F5F">
            <w:pPr>
              <w:jc w:val="center"/>
              <w:rPr>
                <w:rFonts w:asciiTheme="minorHAnsi" w:hAnsiTheme="minorHAnsi"/>
                <w:b/>
                <w:bCs/>
                <w:sz w:val="20"/>
                <w:szCs w:val="22"/>
              </w:rPr>
            </w:pPr>
            <w:r>
              <w:rPr>
                <w:rFonts w:asciiTheme="minorHAnsi" w:hAnsiTheme="minorHAnsi"/>
                <w:b/>
                <w:bCs/>
                <w:sz w:val="20"/>
                <w:szCs w:val="22"/>
              </w:rPr>
              <w:t>GMC ($/hp)</w:t>
            </w:r>
          </w:p>
        </w:tc>
      </w:tr>
      <w:tr w:rsidR="00511F5F" w:rsidRPr="007A2FAD" w:rsidTr="00511F5F">
        <w:trPr>
          <w:trHeight w:val="255"/>
          <w:jc w:val="center"/>
        </w:trPr>
        <w:tc>
          <w:tcPr>
            <w:tcW w:w="4643" w:type="dxa"/>
            <w:shd w:val="pct5" w:color="000000" w:fill="FFFFFF"/>
            <w:vAlign w:val="bottom"/>
          </w:tcPr>
          <w:p w:rsidR="00511F5F" w:rsidRPr="007A2FAD" w:rsidRDefault="00511F5F" w:rsidP="00960E44">
            <w:pPr>
              <w:rPr>
                <w:rFonts w:asciiTheme="minorHAnsi" w:hAnsiTheme="minorHAnsi"/>
                <w:sz w:val="20"/>
                <w:szCs w:val="22"/>
              </w:rPr>
            </w:pPr>
            <w:r>
              <w:rPr>
                <w:rFonts w:asciiTheme="minorHAnsi" w:hAnsiTheme="minorHAnsi" w:cstheme="minorHAnsi"/>
                <w:sz w:val="20"/>
                <w:szCs w:val="20"/>
              </w:rPr>
              <w:t>≤ 75 HP Variable Speed Drive on Process Fan Control</w:t>
            </w:r>
          </w:p>
        </w:tc>
        <w:tc>
          <w:tcPr>
            <w:tcW w:w="1636" w:type="dxa"/>
            <w:shd w:val="pct5" w:color="000000" w:fill="FFFFFF"/>
            <w:noWrap/>
            <w:vAlign w:val="center"/>
          </w:tcPr>
          <w:p w:rsidR="00511F5F" w:rsidRPr="007A2FAD" w:rsidRDefault="00511F5F" w:rsidP="00CF6DDC">
            <w:pPr>
              <w:jc w:val="center"/>
              <w:rPr>
                <w:rFonts w:asciiTheme="minorHAnsi" w:hAnsiTheme="minorHAnsi"/>
                <w:sz w:val="20"/>
                <w:szCs w:val="22"/>
              </w:rPr>
            </w:pPr>
            <w:r w:rsidRPr="007A2FAD">
              <w:rPr>
                <w:rFonts w:asciiTheme="minorHAnsi" w:hAnsiTheme="minorHAnsi"/>
                <w:sz w:val="20"/>
                <w:szCs w:val="22"/>
              </w:rPr>
              <w:t>$</w:t>
            </w:r>
            <w:r>
              <w:rPr>
                <w:rFonts w:asciiTheme="minorHAnsi" w:hAnsiTheme="minorHAnsi"/>
                <w:sz w:val="20"/>
                <w:szCs w:val="22"/>
              </w:rPr>
              <w:t>196.04</w:t>
            </w:r>
          </w:p>
        </w:tc>
      </w:tr>
    </w:tbl>
    <w:p w:rsidR="00E16609" w:rsidRDefault="005A0E53" w:rsidP="00E16609">
      <w:pPr>
        <w:pStyle w:val="Heading2"/>
        <w:keepNext w:val="0"/>
        <w:rPr>
          <w:rFonts w:asciiTheme="minorHAnsi" w:hAnsiTheme="minorHAnsi" w:cstheme="minorHAnsi"/>
        </w:rPr>
      </w:pPr>
      <w:r>
        <w:rPr>
          <w:rFonts w:asciiTheme="minorHAnsi" w:hAnsiTheme="minorHAnsi" w:cstheme="minorHAnsi"/>
        </w:rPr>
        <w:t>4.3</w:t>
      </w:r>
      <w:r w:rsidR="00E16609" w:rsidRPr="00697868">
        <w:rPr>
          <w:rFonts w:asciiTheme="minorHAnsi" w:hAnsiTheme="minorHAnsi" w:cstheme="minorHAnsi"/>
        </w:rPr>
        <w:t xml:space="preserve"> Gross</w:t>
      </w:r>
      <w:r>
        <w:rPr>
          <w:rFonts w:asciiTheme="minorHAnsi" w:hAnsiTheme="minorHAnsi" w:cstheme="minorHAnsi"/>
        </w:rPr>
        <w:t xml:space="preserve"> and Incremental</w:t>
      </w:r>
      <w:r w:rsidR="00E16609" w:rsidRPr="00697868">
        <w:rPr>
          <w:rFonts w:asciiTheme="minorHAnsi" w:hAnsiTheme="minorHAnsi" w:cstheme="minorHAnsi"/>
        </w:rPr>
        <w:t xml:space="preserve"> Measure Cost</w:t>
      </w:r>
      <w:bookmarkEnd w:id="27"/>
    </w:p>
    <w:p w:rsidR="005A0E53" w:rsidRPr="005A0E53" w:rsidRDefault="005A0E53" w:rsidP="005A0E53">
      <w:pPr>
        <w:pStyle w:val="Heading3"/>
        <w:rPr>
          <w:rFonts w:asciiTheme="minorHAnsi" w:hAnsiTheme="minorHAnsi"/>
        </w:rPr>
      </w:pPr>
      <w:r w:rsidRPr="005A0E53">
        <w:rPr>
          <w:rFonts w:asciiTheme="minorHAnsi" w:hAnsiTheme="minorHAnsi"/>
        </w:rPr>
        <w:t>4.3.1 Gross Measure Cost</w:t>
      </w:r>
    </w:p>
    <w:p w:rsidR="00F56792" w:rsidRPr="00552ED9" w:rsidRDefault="008B4B84" w:rsidP="00E16609">
      <w:pPr>
        <w:pStyle w:val="Reminders"/>
        <w:rPr>
          <w:rFonts w:asciiTheme="minorHAnsi" w:hAnsiTheme="minorHAnsi"/>
          <w:i w:val="0"/>
          <w:color w:val="auto"/>
          <w:sz w:val="22"/>
          <w:szCs w:val="22"/>
        </w:rPr>
      </w:pPr>
      <w:r w:rsidRPr="00237C52">
        <w:rPr>
          <w:rFonts w:asciiTheme="minorHAnsi" w:hAnsiTheme="minorHAnsi"/>
          <w:i w:val="0"/>
          <w:color w:val="auto"/>
          <w:sz w:val="22"/>
          <w:szCs w:val="22"/>
        </w:rPr>
        <w:t>For retrofit add-on measures, the gross measure cost is the full measure cost to purchase and install, as shown in</w:t>
      </w:r>
      <w:r>
        <w:rPr>
          <w:rFonts w:asciiTheme="minorHAnsi" w:hAnsiTheme="minorHAnsi"/>
          <w:i w:val="0"/>
          <w:color w:val="auto"/>
          <w:sz w:val="22"/>
          <w:szCs w:val="22"/>
        </w:rPr>
        <w:t xml:space="preserve"> </w:t>
      </w:r>
      <w:r>
        <w:rPr>
          <w:rFonts w:asciiTheme="minorHAnsi" w:hAnsiTheme="minorHAnsi"/>
          <w:i w:val="0"/>
          <w:color w:val="auto"/>
          <w:sz w:val="22"/>
          <w:szCs w:val="22"/>
        </w:rPr>
        <w:fldChar w:fldCharType="begin"/>
      </w:r>
      <w:r>
        <w:rPr>
          <w:rFonts w:asciiTheme="minorHAnsi" w:hAnsiTheme="minorHAnsi"/>
          <w:i w:val="0"/>
          <w:color w:val="auto"/>
          <w:sz w:val="22"/>
          <w:szCs w:val="22"/>
        </w:rPr>
        <w:instrText xml:space="preserve"> REF _Ref380736378 \h  \* MERGEFORMAT </w:instrText>
      </w:r>
      <w:r>
        <w:rPr>
          <w:rFonts w:asciiTheme="minorHAnsi" w:hAnsiTheme="minorHAnsi"/>
          <w:i w:val="0"/>
          <w:color w:val="auto"/>
          <w:sz w:val="22"/>
          <w:szCs w:val="22"/>
        </w:rPr>
      </w:r>
      <w:r>
        <w:rPr>
          <w:rFonts w:asciiTheme="minorHAnsi" w:hAnsiTheme="minorHAnsi"/>
          <w:i w:val="0"/>
          <w:color w:val="auto"/>
          <w:sz w:val="22"/>
          <w:szCs w:val="22"/>
        </w:rPr>
        <w:fldChar w:fldCharType="separate"/>
      </w:r>
      <w:r w:rsidRPr="008B4B84">
        <w:rPr>
          <w:rFonts w:asciiTheme="minorHAnsi" w:hAnsiTheme="minorHAnsi"/>
          <w:i w:val="0"/>
          <w:color w:val="auto"/>
          <w:sz w:val="22"/>
          <w:szCs w:val="22"/>
        </w:rPr>
        <w:t>Table 10</w:t>
      </w:r>
      <w:r>
        <w:rPr>
          <w:rFonts w:asciiTheme="minorHAnsi" w:hAnsiTheme="minorHAnsi"/>
          <w:i w:val="0"/>
          <w:color w:val="auto"/>
          <w:sz w:val="22"/>
          <w:szCs w:val="22"/>
        </w:rPr>
        <w:fldChar w:fldCharType="end"/>
      </w:r>
      <w:r>
        <w:rPr>
          <w:rFonts w:asciiTheme="minorHAnsi" w:hAnsiTheme="minorHAnsi"/>
          <w:i w:val="0"/>
          <w:color w:val="auto"/>
          <w:sz w:val="22"/>
          <w:szCs w:val="22"/>
        </w:rPr>
        <w:t>.</w:t>
      </w:r>
    </w:p>
    <w:p w:rsidR="005A0E53" w:rsidRPr="005A0E53" w:rsidRDefault="005A0E53" w:rsidP="005A0E53">
      <w:pPr>
        <w:pStyle w:val="Heading3"/>
        <w:rPr>
          <w:rFonts w:asciiTheme="minorHAnsi" w:hAnsiTheme="minorHAnsi"/>
        </w:rPr>
      </w:pPr>
      <w:bookmarkStart w:id="30" w:name="_Toc214003099"/>
      <w:r w:rsidRPr="005A0E53">
        <w:rPr>
          <w:rFonts w:asciiTheme="minorHAnsi" w:hAnsiTheme="minorHAnsi"/>
        </w:rPr>
        <w:t>4.3.</w:t>
      </w:r>
      <w:r>
        <w:rPr>
          <w:rFonts w:asciiTheme="minorHAnsi" w:hAnsiTheme="minorHAnsi"/>
        </w:rPr>
        <w:t>2</w:t>
      </w:r>
      <w:r w:rsidRPr="005A0E53">
        <w:rPr>
          <w:rFonts w:asciiTheme="minorHAnsi" w:hAnsiTheme="minorHAnsi"/>
        </w:rPr>
        <w:t xml:space="preserve"> </w:t>
      </w:r>
      <w:r>
        <w:rPr>
          <w:rFonts w:asciiTheme="minorHAnsi" w:hAnsiTheme="minorHAnsi"/>
        </w:rPr>
        <w:t>Incremental</w:t>
      </w:r>
      <w:r w:rsidRPr="005A0E53">
        <w:rPr>
          <w:rFonts w:asciiTheme="minorHAnsi" w:hAnsiTheme="minorHAnsi"/>
        </w:rPr>
        <w:t xml:space="preserve"> Measure Cost</w:t>
      </w:r>
    </w:p>
    <w:p w:rsidR="00C54EFF" w:rsidRPr="004A7A26" w:rsidRDefault="007A2FAD" w:rsidP="005A78B6">
      <w:pPr>
        <w:rPr>
          <w:rFonts w:asciiTheme="minorHAnsi" w:hAnsiTheme="minorHAnsi" w:cstheme="minorHAnsi"/>
          <w:sz w:val="22"/>
          <w:szCs w:val="22"/>
        </w:rPr>
      </w:pPr>
      <w:r w:rsidRPr="007A2FAD">
        <w:rPr>
          <w:rFonts w:asciiTheme="minorHAnsi" w:hAnsiTheme="minorHAnsi" w:cs="Calibri"/>
          <w:sz w:val="22"/>
          <w:szCs w:val="22"/>
        </w:rPr>
        <w:t xml:space="preserve">Incremental Measure Cost (IMC) is the premium cost to install an energy efficient measure over a standard efficiency measure or code baseline measure. </w:t>
      </w:r>
      <w:r w:rsidRPr="007A2FAD">
        <w:rPr>
          <w:rFonts w:asciiTheme="minorHAnsi" w:hAnsiTheme="minorHAnsi"/>
          <w:sz w:val="22"/>
        </w:rPr>
        <w:t xml:space="preserve">For deemed retrofit add-on measures, </w:t>
      </w:r>
      <w:r w:rsidRPr="007A2FAD">
        <w:rPr>
          <w:rFonts w:asciiTheme="minorHAnsi" w:hAnsiTheme="minorHAnsi"/>
          <w:color w:val="003300"/>
          <w:sz w:val="22"/>
        </w:rPr>
        <w:t xml:space="preserve">the IMC is equal to the gross measure cost, as there </w:t>
      </w:r>
      <w:r w:rsidRPr="007A2FAD">
        <w:rPr>
          <w:rFonts w:asciiTheme="minorHAnsi" w:hAnsiTheme="minorHAnsi" w:cs="Calibri"/>
          <w:sz w:val="22"/>
          <w:szCs w:val="22"/>
        </w:rPr>
        <w:t>exists no base case</w:t>
      </w:r>
      <w:r w:rsidRPr="007A2FAD">
        <w:rPr>
          <w:rFonts w:asciiTheme="minorHAnsi" w:hAnsiTheme="minorHAnsi"/>
          <w:color w:val="003300"/>
          <w:sz w:val="22"/>
        </w:rPr>
        <w:t xml:space="preserve"> from </w:t>
      </w:r>
      <w:r w:rsidR="008B4B84">
        <w:rPr>
          <w:rFonts w:asciiTheme="minorHAnsi" w:hAnsiTheme="minorHAnsi"/>
          <w:color w:val="003300"/>
          <w:sz w:val="22"/>
        </w:rPr>
        <w:t>which to compare the measure.</w:t>
      </w:r>
      <w:bookmarkEnd w:id="30"/>
      <w:r w:rsidR="00C54EFF" w:rsidRPr="00697868">
        <w:rPr>
          <w:rFonts w:asciiTheme="minorHAnsi" w:hAnsiTheme="minorHAnsi" w:cstheme="minorHAnsi"/>
        </w:rPr>
        <w:br w:type="page"/>
      </w:r>
    </w:p>
    <w:p w:rsidR="009824E9" w:rsidRDefault="00006E35" w:rsidP="00006E35">
      <w:pPr>
        <w:pStyle w:val="Heading1"/>
        <w:rPr>
          <w:rFonts w:asciiTheme="minorHAnsi" w:hAnsiTheme="minorHAnsi" w:cstheme="minorHAnsi"/>
        </w:rPr>
      </w:pPr>
      <w:r>
        <w:rPr>
          <w:rFonts w:asciiTheme="minorHAnsi" w:hAnsiTheme="minorHAnsi" w:cstheme="minorHAnsi"/>
        </w:rPr>
        <w:lastRenderedPageBreak/>
        <w:t>References</w:t>
      </w:r>
    </w:p>
    <w:bookmarkStart w:id="31" w:name="_MON_1454916288"/>
    <w:bookmarkEnd w:id="31"/>
    <w:p w:rsidR="009824E9" w:rsidRDefault="006D4484" w:rsidP="009824E9">
      <w:pPr>
        <w:rPr>
          <w:rFonts w:asciiTheme="minorHAnsi" w:hAnsiTheme="minorHAnsi" w:cstheme="minorHAnsi"/>
          <w:sz w:val="22"/>
          <w:szCs w:val="22"/>
        </w:rPr>
      </w:pPr>
      <w:r>
        <w:rPr>
          <w:rFonts w:asciiTheme="minorHAnsi" w:hAnsiTheme="minorHAnsi" w:cstheme="minorHAnsi"/>
          <w:sz w:val="22"/>
          <w:szCs w:val="22"/>
        </w:rPr>
        <w:object w:dxaOrig="2069" w:dyaOrig="1320">
          <v:shape id="_x0000_i1032" type="#_x0000_t75" style="width:103.5pt;height:66pt" o:ole="">
            <v:imagedata r:id="rId29" o:title=""/>
          </v:shape>
          <o:OLEObject Type="Embed" ProgID="Excel.Sheet.12" ShapeID="_x0000_i1032" DrawAspect="Icon" ObjectID="_1489304056" r:id="rId30"/>
        </w:object>
      </w:r>
    </w:p>
    <w:p w:rsidR="000A6DB2" w:rsidRPr="00661666" w:rsidRDefault="000A6DB2" w:rsidP="009824E9">
      <w:pPr>
        <w:rPr>
          <w:rFonts w:asciiTheme="minorHAnsi" w:hAnsiTheme="minorHAnsi" w:cstheme="minorHAnsi"/>
          <w:sz w:val="22"/>
          <w:szCs w:val="22"/>
        </w:rPr>
      </w:pPr>
    </w:p>
    <w:p w:rsidR="00FB2026" w:rsidRPr="00FB2026" w:rsidRDefault="00FB2026" w:rsidP="00CF6DDC">
      <w:pPr>
        <w:rPr>
          <w:rFonts w:ascii="Calibri" w:hAnsi="Calibri"/>
          <w:color w:val="000000"/>
          <w:sz w:val="22"/>
          <w:szCs w:val="22"/>
        </w:rPr>
      </w:pPr>
      <w:r>
        <w:rPr>
          <w:rFonts w:asciiTheme="minorHAnsi" w:hAnsiTheme="minorHAnsi" w:cstheme="minorHAnsi"/>
          <w:sz w:val="22"/>
          <w:szCs w:val="22"/>
        </w:rPr>
        <w:t xml:space="preserve">[31] </w:t>
      </w:r>
      <w:r w:rsidRPr="00FB2026">
        <w:rPr>
          <w:rFonts w:ascii="Calibri" w:hAnsi="Calibri"/>
          <w:color w:val="000000"/>
          <w:sz w:val="22"/>
          <w:szCs w:val="22"/>
        </w:rPr>
        <w:t>Load Shape Update Initiative - KEMA / JJ Hirsch and Assoc. /</w:t>
      </w:r>
      <w:r>
        <w:rPr>
          <w:rFonts w:ascii="Calibri" w:hAnsi="Calibri"/>
          <w:color w:val="000000"/>
          <w:sz w:val="22"/>
          <w:szCs w:val="22"/>
        </w:rPr>
        <w:t xml:space="preserve"> Itron Inc. - November 17, 2006</w:t>
      </w:r>
    </w:p>
    <w:p w:rsidR="00FB2026" w:rsidRPr="00FB2026" w:rsidRDefault="00FB2026" w:rsidP="00FB2026">
      <w:pPr>
        <w:rPr>
          <w:rFonts w:ascii="Calibri" w:hAnsi="Calibri"/>
          <w:color w:val="000000"/>
          <w:sz w:val="22"/>
          <w:szCs w:val="22"/>
        </w:rPr>
      </w:pPr>
      <w:r>
        <w:rPr>
          <w:rFonts w:asciiTheme="minorHAnsi" w:hAnsiTheme="minorHAnsi" w:cstheme="minorHAnsi"/>
          <w:sz w:val="22"/>
          <w:szCs w:val="22"/>
        </w:rPr>
        <w:t>[351]</w:t>
      </w:r>
      <w:r w:rsidRPr="00FB2026">
        <w:rPr>
          <w:rFonts w:ascii="Calibri" w:hAnsi="Calibri"/>
          <w:color w:val="000000"/>
          <w:sz w:val="22"/>
          <w:szCs w:val="22"/>
        </w:rPr>
        <w:t xml:space="preserve"> Energy Efficiency Policy Manual-Version 5</w:t>
      </w:r>
    </w:p>
    <w:p w:rsidR="00FB2026" w:rsidRPr="00FB2026" w:rsidRDefault="00C5076C" w:rsidP="00FB2026">
      <w:pPr>
        <w:rPr>
          <w:rFonts w:ascii="Calibri" w:hAnsi="Calibri"/>
          <w:color w:val="000000"/>
          <w:sz w:val="22"/>
          <w:szCs w:val="22"/>
        </w:rPr>
      </w:pPr>
      <w:r>
        <w:rPr>
          <w:rFonts w:asciiTheme="minorHAnsi" w:hAnsiTheme="minorHAnsi" w:cstheme="minorHAnsi"/>
          <w:sz w:val="22"/>
          <w:szCs w:val="22"/>
        </w:rPr>
        <w:t>[353]</w:t>
      </w:r>
      <w:r w:rsidR="00FB2026" w:rsidRPr="00FB2026">
        <w:rPr>
          <w:rFonts w:ascii="Calibri" w:hAnsi="Calibri"/>
          <w:color w:val="000000"/>
          <w:sz w:val="22"/>
          <w:szCs w:val="22"/>
        </w:rPr>
        <w:t xml:space="preserve"> UI and CL&amp;P Program Savings Documentation for 2011 Program Year</w:t>
      </w:r>
    </w:p>
    <w:p w:rsidR="00FB2026" w:rsidRPr="00FB2026" w:rsidRDefault="00FB2026" w:rsidP="00FB2026">
      <w:pPr>
        <w:rPr>
          <w:rFonts w:ascii="Calibri" w:hAnsi="Calibri"/>
          <w:color w:val="000000"/>
          <w:sz w:val="22"/>
          <w:szCs w:val="22"/>
        </w:rPr>
      </w:pPr>
      <w:r>
        <w:rPr>
          <w:rFonts w:asciiTheme="minorHAnsi" w:hAnsiTheme="minorHAnsi" w:cstheme="minorHAnsi"/>
          <w:sz w:val="22"/>
          <w:szCs w:val="22"/>
        </w:rPr>
        <w:t>[355]</w:t>
      </w:r>
      <w:r w:rsidRPr="00FB2026">
        <w:rPr>
          <w:rFonts w:ascii="Calibri" w:hAnsi="Calibri"/>
          <w:color w:val="000000"/>
          <w:sz w:val="22"/>
          <w:szCs w:val="22"/>
        </w:rPr>
        <w:t xml:space="preserve"> 2013 Building Energy Efficiency Standards for Residential and Nonresidential Buildings (Title 24)</w:t>
      </w:r>
    </w:p>
    <w:p w:rsidR="00FB2026" w:rsidRPr="00FB2026" w:rsidRDefault="003743FF" w:rsidP="00FB2026">
      <w:pPr>
        <w:rPr>
          <w:rFonts w:ascii="Calibri" w:hAnsi="Calibri"/>
          <w:color w:val="000000"/>
          <w:sz w:val="22"/>
          <w:szCs w:val="22"/>
        </w:rPr>
      </w:pPr>
      <w:r>
        <w:rPr>
          <w:rFonts w:asciiTheme="minorHAnsi" w:hAnsiTheme="minorHAnsi" w:cstheme="minorHAnsi"/>
          <w:sz w:val="22"/>
          <w:szCs w:val="22"/>
        </w:rPr>
        <w:t>[357]</w:t>
      </w:r>
      <w:r w:rsidR="00FB2026" w:rsidRPr="00FB2026">
        <w:rPr>
          <w:rFonts w:ascii="Calibri" w:hAnsi="Calibri"/>
          <w:color w:val="000000"/>
          <w:sz w:val="22"/>
          <w:szCs w:val="22"/>
        </w:rPr>
        <w:t xml:space="preserve"> NEMA Premium Product Scope and Nominal Efficiency Levels</w:t>
      </w:r>
    </w:p>
    <w:p w:rsidR="00FB2026" w:rsidRPr="00FB2026" w:rsidRDefault="00E211C5" w:rsidP="00FB2026">
      <w:pPr>
        <w:rPr>
          <w:rFonts w:ascii="Calibri" w:hAnsi="Calibri"/>
          <w:color w:val="000000"/>
          <w:sz w:val="22"/>
          <w:szCs w:val="22"/>
        </w:rPr>
      </w:pPr>
      <w:r>
        <w:rPr>
          <w:rFonts w:asciiTheme="minorHAnsi" w:hAnsiTheme="minorHAnsi" w:cs="Calibri"/>
          <w:sz w:val="22"/>
          <w:szCs w:val="22"/>
        </w:rPr>
        <w:t>[358]</w:t>
      </w:r>
      <w:r w:rsidR="00FB2026">
        <w:rPr>
          <w:rFonts w:asciiTheme="minorHAnsi" w:hAnsiTheme="minorHAnsi" w:cs="Calibri"/>
          <w:sz w:val="22"/>
          <w:szCs w:val="22"/>
        </w:rPr>
        <w:t xml:space="preserve"> </w:t>
      </w:r>
      <w:r w:rsidR="00FB2026" w:rsidRPr="00FB2026">
        <w:rPr>
          <w:rFonts w:ascii="Calibri" w:hAnsi="Calibri"/>
          <w:color w:val="000000"/>
          <w:sz w:val="22"/>
          <w:szCs w:val="22"/>
        </w:rPr>
        <w:t>RSMeans Electrical Cost Data 2012</w:t>
      </w:r>
    </w:p>
    <w:p w:rsidR="00D01AAC" w:rsidRPr="00661666" w:rsidRDefault="00D01AAC" w:rsidP="00661666">
      <w:pPr>
        <w:pStyle w:val="Reminders"/>
        <w:rPr>
          <w:rFonts w:asciiTheme="minorHAnsi" w:hAnsiTheme="minorHAnsi" w:cstheme="minorHAnsi"/>
          <w:i w:val="0"/>
          <w:color w:val="auto"/>
          <w:sz w:val="22"/>
          <w:szCs w:val="22"/>
        </w:rPr>
        <w:sectPr w:rsidR="00D01AAC" w:rsidRPr="00661666" w:rsidSect="00CE69E9">
          <w:pgSz w:w="12240" w:h="15840"/>
          <w:pgMar w:top="1440" w:right="1440" w:bottom="1557" w:left="1440" w:header="720" w:footer="720" w:gutter="0"/>
          <w:pgNumType w:start="1"/>
          <w:cols w:space="720"/>
          <w:docGrid w:linePitch="360"/>
        </w:sectPr>
      </w:pPr>
    </w:p>
    <w:p w:rsidR="009824E9" w:rsidRDefault="009824E9" w:rsidP="009824E9"/>
    <w:p w:rsidR="009824E9" w:rsidRPr="009824E9" w:rsidRDefault="009824E9" w:rsidP="009824E9">
      <w:pPr>
        <w:pStyle w:val="Heading1"/>
        <w:rPr>
          <w:rFonts w:asciiTheme="minorHAnsi" w:hAnsiTheme="minorHAnsi" w:cstheme="minorHAnsi"/>
        </w:rPr>
      </w:pPr>
      <w:r w:rsidRPr="009824E9">
        <w:rPr>
          <w:rFonts w:asciiTheme="minorHAnsi" w:hAnsiTheme="minorHAnsi" w:cstheme="minorHAnsi"/>
        </w:rPr>
        <w:t xml:space="preserve">Appendix </w:t>
      </w:r>
      <w:r w:rsidR="00CE28CF">
        <w:rPr>
          <w:rFonts w:asciiTheme="minorHAnsi" w:hAnsiTheme="minorHAnsi" w:cstheme="minorHAnsi"/>
        </w:rPr>
        <w:t>A</w:t>
      </w:r>
      <w:r>
        <w:rPr>
          <w:rFonts w:asciiTheme="minorHAnsi" w:hAnsiTheme="minorHAnsi" w:cstheme="minorHAnsi"/>
        </w:rPr>
        <w:t xml:space="preserve"> – SCE/ED </w:t>
      </w:r>
      <w:r w:rsidR="00CE28CF">
        <w:rPr>
          <w:rFonts w:asciiTheme="minorHAnsi" w:hAnsiTheme="minorHAnsi" w:cstheme="minorHAnsi"/>
        </w:rPr>
        <w:t>Application</w:t>
      </w:r>
      <w:r>
        <w:rPr>
          <w:rFonts w:asciiTheme="minorHAnsi" w:hAnsiTheme="minorHAnsi" w:cstheme="minorHAnsi"/>
        </w:rPr>
        <w:t xml:space="preserve"> Types </w:t>
      </w:r>
    </w:p>
    <w:tbl>
      <w:tblPr>
        <w:tblStyle w:val="TableContemporary"/>
        <w:tblW w:w="13068" w:type="dxa"/>
        <w:tblLayout w:type="fixed"/>
        <w:tblLook w:val="04A0" w:firstRow="1" w:lastRow="0" w:firstColumn="1" w:lastColumn="0" w:noHBand="0" w:noVBand="1"/>
      </w:tblPr>
      <w:tblGrid>
        <w:gridCol w:w="1818"/>
        <w:gridCol w:w="1800"/>
        <w:gridCol w:w="1890"/>
        <w:gridCol w:w="1890"/>
        <w:gridCol w:w="1620"/>
        <w:gridCol w:w="1620"/>
        <w:gridCol w:w="1170"/>
        <w:gridCol w:w="1260"/>
      </w:tblGrid>
      <w:tr w:rsidR="0023254A" w:rsidRPr="009824E9" w:rsidTr="0023254A">
        <w:trPr>
          <w:cnfStyle w:val="100000000000" w:firstRow="1" w:lastRow="0" w:firstColumn="0" w:lastColumn="0" w:oddVBand="0" w:evenVBand="0" w:oddHBand="0" w:evenHBand="0" w:firstRowFirstColumn="0" w:firstRowLastColumn="0" w:lastRowFirstColumn="0" w:lastRowLastColumn="0"/>
        </w:trPr>
        <w:tc>
          <w:tcPr>
            <w:tcW w:w="1818"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SCE Program Type</w:t>
            </w:r>
          </w:p>
        </w:tc>
        <w:tc>
          <w:tcPr>
            <w:tcW w:w="1800"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ED Application Type</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Savings</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Savings</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Cost</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2</w:t>
            </w:r>
            <w:r w:rsidRPr="009824E9">
              <w:rPr>
                <w:rFonts w:asciiTheme="minorHAnsi" w:hAnsiTheme="minorHAnsi"/>
                <w:sz w:val="20"/>
                <w:szCs w:val="20"/>
                <w:vertAlign w:val="superscript"/>
              </w:rPr>
              <w:t>nd</w:t>
            </w:r>
            <w:r>
              <w:rPr>
                <w:rFonts w:asciiTheme="minorHAnsi" w:hAnsiTheme="minorHAnsi"/>
                <w:sz w:val="20"/>
                <w:szCs w:val="20"/>
              </w:rPr>
              <w:t xml:space="preserve"> Baseline Cost</w:t>
            </w:r>
          </w:p>
        </w:tc>
        <w:tc>
          <w:tcPr>
            <w:tcW w:w="1170" w:type="dxa"/>
          </w:tcPr>
          <w:p w:rsidR="0023254A" w:rsidRDefault="0023254A" w:rsidP="0011394F">
            <w:pPr>
              <w:rPr>
                <w:rFonts w:asciiTheme="minorHAnsi" w:hAnsiTheme="minorHAnsi"/>
                <w:sz w:val="20"/>
                <w:szCs w:val="20"/>
              </w:rPr>
            </w:pPr>
            <w:r>
              <w:rPr>
                <w:rFonts w:asciiTheme="minorHAnsi" w:hAnsiTheme="minorHAnsi"/>
                <w:sz w:val="20"/>
                <w:szCs w:val="20"/>
              </w:rPr>
              <w:t>1</w:t>
            </w:r>
            <w:r w:rsidRPr="009824E9">
              <w:rPr>
                <w:rFonts w:asciiTheme="minorHAnsi" w:hAnsiTheme="minorHAnsi"/>
                <w:sz w:val="20"/>
                <w:szCs w:val="20"/>
                <w:vertAlign w:val="superscript"/>
              </w:rPr>
              <w:t>st</w:t>
            </w:r>
            <w:r>
              <w:rPr>
                <w:rFonts w:asciiTheme="minorHAnsi" w:hAnsiTheme="minorHAnsi"/>
                <w:sz w:val="20"/>
                <w:szCs w:val="20"/>
              </w:rPr>
              <w:t xml:space="preserve"> Baseline Life</w:t>
            </w:r>
          </w:p>
        </w:tc>
        <w:tc>
          <w:tcPr>
            <w:tcW w:w="1260" w:type="dxa"/>
          </w:tcPr>
          <w:p w:rsidR="0023254A" w:rsidRDefault="0023254A" w:rsidP="0011394F">
            <w:pPr>
              <w:rPr>
                <w:rFonts w:asciiTheme="minorHAnsi" w:hAnsiTheme="minorHAnsi"/>
                <w:sz w:val="20"/>
                <w:szCs w:val="20"/>
              </w:rPr>
            </w:pPr>
            <w:r>
              <w:rPr>
                <w:rFonts w:asciiTheme="minorHAnsi" w:hAnsiTheme="minorHAnsi"/>
                <w:sz w:val="20"/>
                <w:szCs w:val="20"/>
              </w:rPr>
              <w:t>2</w:t>
            </w:r>
            <w:r w:rsidRPr="008E647E">
              <w:rPr>
                <w:rFonts w:asciiTheme="minorHAnsi" w:hAnsiTheme="minorHAnsi"/>
                <w:sz w:val="20"/>
                <w:szCs w:val="20"/>
                <w:vertAlign w:val="superscript"/>
              </w:rPr>
              <w:t>nd</w:t>
            </w:r>
            <w:r>
              <w:rPr>
                <w:rFonts w:asciiTheme="minorHAnsi" w:hAnsiTheme="minorHAnsi"/>
                <w:sz w:val="20"/>
                <w:szCs w:val="20"/>
              </w:rPr>
              <w:t xml:space="preserve"> Baseline Life</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Height w:val="549"/>
        </w:trPr>
        <w:tc>
          <w:tcPr>
            <w:tcW w:w="1818"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New</w:t>
            </w:r>
          </w:p>
        </w:tc>
        <w:tc>
          <w:tcPr>
            <w:tcW w:w="1800" w:type="dxa"/>
          </w:tcPr>
          <w:p w:rsidR="0023254A" w:rsidRPr="009824E9" w:rsidRDefault="0023254A" w:rsidP="0011394F">
            <w:pPr>
              <w:rPr>
                <w:rFonts w:asciiTheme="minorHAnsi" w:hAnsiTheme="minorHAnsi"/>
                <w:sz w:val="20"/>
                <w:szCs w:val="20"/>
              </w:rPr>
            </w:pPr>
            <w:r>
              <w:rPr>
                <w:rFonts w:asciiTheme="minorHAnsi" w:hAnsiTheme="minorHAnsi"/>
                <w:sz w:val="20"/>
                <w:szCs w:val="20"/>
              </w:rPr>
              <w:t>New Construction (Nc)</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11394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11394F">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Replace on Burnout (ROB)</w:t>
            </w:r>
          </w:p>
        </w:tc>
        <w:tc>
          <w:tcPr>
            <w:tcW w:w="1800"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Replace on Burnout</w:t>
            </w:r>
            <w:r>
              <w:rPr>
                <w:rFonts w:asciiTheme="minorHAnsi" w:hAnsiTheme="minorHAnsi"/>
                <w:sz w:val="20"/>
                <w:szCs w:val="20"/>
              </w:rPr>
              <w:t xml:space="preserve"> (Rob)/Normal Replacement (NR</w:t>
            </w:r>
            <w:r w:rsidRPr="009824E9">
              <w:rPr>
                <w:rFonts w:asciiTheme="minorHAnsi" w:hAnsiTheme="minorHAnsi"/>
                <w:sz w:val="20"/>
                <w:szCs w:val="20"/>
              </w:rPr>
              <w:t>)</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Above Code/Standard</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Incremental Cost</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11394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11394F">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Retrofit (RET)</w:t>
            </w:r>
          </w:p>
        </w:tc>
        <w:tc>
          <w:tcPr>
            <w:tcW w:w="1800" w:type="dxa"/>
          </w:tcPr>
          <w:p w:rsidR="0023254A" w:rsidRPr="009824E9" w:rsidRDefault="0023254A" w:rsidP="0011394F">
            <w:pPr>
              <w:rPr>
                <w:rFonts w:asciiTheme="minorHAnsi" w:hAnsiTheme="minorHAnsi"/>
                <w:sz w:val="20"/>
                <w:szCs w:val="20"/>
              </w:rPr>
            </w:pPr>
            <w:r>
              <w:rPr>
                <w:rFonts w:asciiTheme="minorHAnsi" w:hAnsiTheme="minorHAnsi"/>
                <w:sz w:val="20"/>
                <w:szCs w:val="20"/>
              </w:rPr>
              <w:t>Early Replacement (ER)</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Above Code/Standard</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Incremental Cost</w:t>
            </w:r>
          </w:p>
        </w:tc>
        <w:tc>
          <w:tcPr>
            <w:tcW w:w="1170" w:type="dxa"/>
          </w:tcPr>
          <w:p w:rsidR="0023254A" w:rsidRDefault="0023254A" w:rsidP="0011394F">
            <w:pPr>
              <w:rPr>
                <w:rFonts w:asciiTheme="minorHAnsi" w:hAnsiTheme="minorHAnsi"/>
                <w:sz w:val="20"/>
                <w:szCs w:val="20"/>
              </w:rPr>
            </w:pPr>
            <w:r>
              <w:rPr>
                <w:rFonts w:asciiTheme="minorHAnsi" w:hAnsiTheme="minorHAnsi"/>
                <w:sz w:val="20"/>
                <w:szCs w:val="20"/>
              </w:rPr>
              <w:t>RUL</w:t>
            </w:r>
          </w:p>
        </w:tc>
        <w:tc>
          <w:tcPr>
            <w:tcW w:w="1260" w:type="dxa"/>
          </w:tcPr>
          <w:p w:rsidR="0023254A" w:rsidRDefault="0023254A" w:rsidP="0011394F">
            <w:pPr>
              <w:rPr>
                <w:rFonts w:asciiTheme="minorHAnsi" w:hAnsiTheme="minorHAnsi"/>
                <w:sz w:val="20"/>
                <w:szCs w:val="20"/>
              </w:rPr>
            </w:pPr>
            <w:r>
              <w:rPr>
                <w:rFonts w:asciiTheme="minorHAnsi" w:hAnsiTheme="minorHAnsi"/>
                <w:sz w:val="20"/>
                <w:szCs w:val="20"/>
              </w:rPr>
              <w:t>EUL-RUL</w:t>
            </w:r>
          </w:p>
        </w:tc>
      </w:tr>
      <w:tr w:rsidR="0023254A" w:rsidRPr="009824E9" w:rsidTr="0023254A">
        <w:trPr>
          <w:cnfStyle w:val="000000010000" w:firstRow="0" w:lastRow="0" w:firstColumn="0" w:lastColumn="0" w:oddVBand="0" w:evenVBand="0" w:oddHBand="0" w:evenHBand="1" w:firstRowFirstColumn="0" w:firstRowLastColumn="0" w:lastRowFirstColumn="0" w:lastRowLastColumn="0"/>
        </w:trPr>
        <w:tc>
          <w:tcPr>
            <w:tcW w:w="1818"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Retrofit</w:t>
            </w:r>
            <w:r>
              <w:rPr>
                <w:rFonts w:asciiTheme="minorHAnsi" w:hAnsiTheme="minorHAnsi"/>
                <w:sz w:val="20"/>
                <w:szCs w:val="20"/>
              </w:rPr>
              <w:t xml:space="preserve"> – First Baseline Only (REF</w:t>
            </w:r>
            <w:r w:rsidRPr="009824E9">
              <w:rPr>
                <w:rFonts w:asciiTheme="minorHAnsi" w:hAnsiTheme="minorHAnsi"/>
                <w:sz w:val="20"/>
                <w:szCs w:val="20"/>
              </w:rPr>
              <w:t>)</w:t>
            </w:r>
          </w:p>
        </w:tc>
        <w:tc>
          <w:tcPr>
            <w:tcW w:w="1800" w:type="dxa"/>
          </w:tcPr>
          <w:p w:rsidR="0023254A" w:rsidRPr="009824E9" w:rsidRDefault="0023254A" w:rsidP="0011394F">
            <w:pPr>
              <w:rPr>
                <w:rFonts w:asciiTheme="minorHAnsi" w:hAnsiTheme="minorHAnsi"/>
                <w:sz w:val="20"/>
                <w:szCs w:val="20"/>
              </w:rPr>
            </w:pPr>
            <w:r>
              <w:rPr>
                <w:rFonts w:asciiTheme="minorHAnsi" w:hAnsiTheme="minorHAnsi"/>
                <w:sz w:val="20"/>
                <w:szCs w:val="20"/>
              </w:rPr>
              <w:t>Early Replacement RUL (ErRul)</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11394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11394F">
            <w:pPr>
              <w:rPr>
                <w:rFonts w:asciiTheme="minorHAnsi" w:hAnsiTheme="minorHAnsi"/>
                <w:sz w:val="20"/>
                <w:szCs w:val="20"/>
              </w:rPr>
            </w:pPr>
            <w:r>
              <w:rPr>
                <w:rFonts w:asciiTheme="minorHAnsi" w:hAnsiTheme="minorHAnsi"/>
                <w:sz w:val="20"/>
                <w:szCs w:val="20"/>
              </w:rPr>
              <w:t>0</w:t>
            </w:r>
          </w:p>
        </w:tc>
      </w:tr>
      <w:tr w:rsidR="0023254A" w:rsidRPr="009824E9" w:rsidTr="0023254A">
        <w:trPr>
          <w:cnfStyle w:val="000000100000" w:firstRow="0" w:lastRow="0" w:firstColumn="0" w:lastColumn="0" w:oddVBand="0" w:evenVBand="0" w:oddHBand="1" w:evenHBand="0" w:firstRowFirstColumn="0" w:firstRowLastColumn="0" w:lastRowFirstColumn="0" w:lastRowLastColumn="0"/>
        </w:trPr>
        <w:tc>
          <w:tcPr>
            <w:tcW w:w="1818" w:type="dxa"/>
          </w:tcPr>
          <w:p w:rsidR="0023254A" w:rsidRPr="009824E9" w:rsidRDefault="0023254A" w:rsidP="0011394F">
            <w:pPr>
              <w:rPr>
                <w:rFonts w:asciiTheme="minorHAnsi" w:hAnsiTheme="minorHAnsi"/>
                <w:sz w:val="20"/>
                <w:szCs w:val="20"/>
              </w:rPr>
            </w:pPr>
            <w:r w:rsidRPr="009824E9">
              <w:rPr>
                <w:rFonts w:asciiTheme="minorHAnsi" w:hAnsiTheme="minorHAnsi"/>
                <w:sz w:val="20"/>
                <w:szCs w:val="20"/>
              </w:rPr>
              <w:t>Retrofit Add-on</w:t>
            </w:r>
            <w:r>
              <w:rPr>
                <w:rFonts w:asciiTheme="minorHAnsi" w:hAnsiTheme="minorHAnsi"/>
                <w:sz w:val="20"/>
                <w:szCs w:val="20"/>
              </w:rPr>
              <w:t xml:space="preserve"> (REA)</w:t>
            </w:r>
          </w:p>
        </w:tc>
        <w:tc>
          <w:tcPr>
            <w:tcW w:w="180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Above Cust. Existing</w:t>
            </w:r>
          </w:p>
        </w:tc>
        <w:tc>
          <w:tcPr>
            <w:tcW w:w="189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Full Cost</w:t>
            </w:r>
          </w:p>
        </w:tc>
        <w:tc>
          <w:tcPr>
            <w:tcW w:w="1620" w:type="dxa"/>
          </w:tcPr>
          <w:p w:rsidR="0023254A" w:rsidRPr="009824E9" w:rsidRDefault="0023254A" w:rsidP="0011394F">
            <w:pPr>
              <w:rPr>
                <w:rFonts w:asciiTheme="minorHAnsi" w:hAnsiTheme="minorHAnsi"/>
                <w:sz w:val="20"/>
                <w:szCs w:val="20"/>
              </w:rPr>
            </w:pPr>
            <w:r>
              <w:rPr>
                <w:rFonts w:asciiTheme="minorHAnsi" w:hAnsiTheme="minorHAnsi"/>
                <w:sz w:val="20"/>
                <w:szCs w:val="20"/>
              </w:rPr>
              <w:t>N/A</w:t>
            </w:r>
          </w:p>
        </w:tc>
        <w:tc>
          <w:tcPr>
            <w:tcW w:w="1170" w:type="dxa"/>
          </w:tcPr>
          <w:p w:rsidR="0023254A" w:rsidRDefault="0023254A" w:rsidP="0011394F">
            <w:pPr>
              <w:rPr>
                <w:rFonts w:asciiTheme="minorHAnsi" w:hAnsiTheme="minorHAnsi"/>
                <w:sz w:val="20"/>
                <w:szCs w:val="20"/>
              </w:rPr>
            </w:pPr>
            <w:r>
              <w:rPr>
                <w:rFonts w:asciiTheme="minorHAnsi" w:hAnsiTheme="minorHAnsi"/>
                <w:sz w:val="20"/>
                <w:szCs w:val="20"/>
              </w:rPr>
              <w:t>EUL</w:t>
            </w:r>
          </w:p>
        </w:tc>
        <w:tc>
          <w:tcPr>
            <w:tcW w:w="1260" w:type="dxa"/>
          </w:tcPr>
          <w:p w:rsidR="0023254A" w:rsidRDefault="0023254A" w:rsidP="0011394F">
            <w:pPr>
              <w:rPr>
                <w:rFonts w:asciiTheme="minorHAnsi" w:hAnsiTheme="minorHAnsi"/>
                <w:sz w:val="20"/>
                <w:szCs w:val="20"/>
              </w:rPr>
            </w:pPr>
            <w:r>
              <w:rPr>
                <w:rFonts w:asciiTheme="minorHAnsi" w:hAnsiTheme="minorHAnsi"/>
                <w:sz w:val="20"/>
                <w:szCs w:val="20"/>
              </w:rPr>
              <w:t>0</w:t>
            </w:r>
          </w:p>
        </w:tc>
      </w:tr>
    </w:tbl>
    <w:p w:rsidR="00697868" w:rsidRPr="00697868" w:rsidRDefault="00697868">
      <w:pPr>
        <w:rPr>
          <w:rFonts w:asciiTheme="minorHAnsi" w:hAnsiTheme="minorHAnsi" w:cstheme="minorHAnsi"/>
        </w:rPr>
      </w:pPr>
    </w:p>
    <w:p w:rsidR="003473FB" w:rsidRPr="00697868" w:rsidRDefault="003473FB">
      <w:pPr>
        <w:rPr>
          <w:rFonts w:asciiTheme="minorHAnsi" w:hAnsiTheme="minorHAnsi" w:cstheme="minorHAnsi"/>
        </w:rPr>
      </w:pPr>
    </w:p>
    <w:sectPr w:rsidR="003473FB" w:rsidRPr="00697868" w:rsidSect="00CE28CF">
      <w:footerReference w:type="default" r:id="rId31"/>
      <w:pgSz w:w="15840" w:h="12240" w:orient="landscape"/>
      <w:pgMar w:top="1440" w:right="1440" w:bottom="1440" w:left="155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484" w:rsidRDefault="006D4484" w:rsidP="00447D6E">
      <w:r>
        <w:separator/>
      </w:r>
    </w:p>
  </w:endnote>
  <w:endnote w:type="continuationSeparator" w:id="0">
    <w:p w:rsidR="006D4484" w:rsidRDefault="006D4484"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F7433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4339" w:rsidRDefault="00F743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Pr="00846195" w:rsidRDefault="00F74339"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F74339" w:rsidRDefault="00F74339" w:rsidP="00D7047A">
    <w:pPr>
      <w:pStyle w:val="Footer"/>
      <w:pBdr>
        <w:top w:val="single" w:sz="4" w:space="1" w:color="auto"/>
      </w:pBdr>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F74339" w:rsidRDefault="00F74339" w:rsidP="00D7047A">
    <w:pPr>
      <w:pStyle w:val="Footer"/>
      <w:rPr>
        <w:b/>
        <w:sz w:val="20"/>
        <w:szCs w:val="20"/>
      </w:rPr>
    </w:pPr>
    <w:r>
      <w:rPr>
        <w:b/>
        <w:sz w:val="20"/>
        <w:szCs w:val="20"/>
      </w:rPr>
      <w:t>Pacific Gas &amp; Electric Company</w:t>
    </w:r>
  </w:p>
  <w:p w:rsidR="00F74339" w:rsidRPr="00844B27" w:rsidRDefault="00F74339"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 140923.docx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F74339"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74339" w:rsidRDefault="00F743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Pr="0053705B" w:rsidRDefault="0053705B" w:rsidP="00C747DF">
    <w:pPr>
      <w:pStyle w:val="Footer"/>
      <w:pBdr>
        <w:top w:val="single" w:sz="4" w:space="1" w:color="auto"/>
      </w:pBdr>
      <w:rPr>
        <w:b/>
        <w:sz w:val="20"/>
        <w:szCs w:val="20"/>
      </w:rPr>
    </w:pPr>
    <w:r w:rsidRPr="0053705B">
      <w:rPr>
        <w:b/>
        <w:sz w:val="20"/>
        <w:szCs w:val="20"/>
      </w:rPr>
      <w:t>PGECOPRO110 Process Fan VFD</w:t>
    </w:r>
    <w:r w:rsidR="00F74339" w:rsidRPr="0053705B">
      <w:rPr>
        <w:b/>
        <w:sz w:val="20"/>
        <w:szCs w:val="20"/>
      </w:rPr>
      <w:t xml:space="preserve">, Revision </w:t>
    </w:r>
    <w:r w:rsidRPr="0053705B">
      <w:rPr>
        <w:b/>
        <w:sz w:val="20"/>
        <w:szCs w:val="20"/>
      </w:rPr>
      <w:t xml:space="preserve">0                                           </w:t>
    </w:r>
    <w:r w:rsidRPr="00F233C5">
      <w:rPr>
        <w:b/>
        <w:sz w:val="20"/>
        <w:szCs w:val="20"/>
      </w:rPr>
      <w:tab/>
    </w:r>
    <w:r>
      <w:rPr>
        <w:b/>
        <w:sz w:val="20"/>
        <w:szCs w:val="20"/>
      </w:rPr>
      <w:t>March 31, 2015</w:t>
    </w:r>
  </w:p>
  <w:p w:rsidR="00F74339" w:rsidRPr="0053705B" w:rsidRDefault="00F74339" w:rsidP="00D7047A">
    <w:pPr>
      <w:pStyle w:val="Footer"/>
      <w:rPr>
        <w:b/>
        <w:sz w:val="20"/>
        <w:szCs w:val="20"/>
      </w:rPr>
    </w:pPr>
    <w:r w:rsidRPr="0053705B">
      <w:rPr>
        <w:b/>
        <w:sz w:val="20"/>
        <w:szCs w:val="20"/>
      </w:rPr>
      <w:t>Pacific Gas &amp; Electric Company</w:t>
    </w:r>
  </w:p>
  <w:p w:rsidR="00F74339" w:rsidRDefault="00F74339" w:rsidP="00C747DF">
    <w:pPr>
      <w:pStyle w:val="Footer"/>
      <w:rPr>
        <w:b/>
        <w:color w:val="0000FF"/>
        <w:sz w:val="20"/>
        <w:szCs w:val="20"/>
      </w:rPr>
    </w:pPr>
    <w:r w:rsidRPr="0053705B">
      <w:rPr>
        <w:b/>
        <w:sz w:val="20"/>
        <w:szCs w:val="20"/>
      </w:rPr>
      <w:fldChar w:fldCharType="begin"/>
    </w:r>
    <w:r w:rsidRPr="0053705B">
      <w:rPr>
        <w:b/>
        <w:sz w:val="20"/>
        <w:szCs w:val="20"/>
      </w:rPr>
      <w:instrText xml:space="preserve"> FILENAME </w:instrText>
    </w:r>
    <w:r w:rsidRPr="0053705B">
      <w:rPr>
        <w:b/>
        <w:sz w:val="20"/>
        <w:szCs w:val="20"/>
      </w:rPr>
      <w:fldChar w:fldCharType="separate"/>
    </w:r>
    <w:r w:rsidR="0053705B" w:rsidRPr="0053705B">
      <w:rPr>
        <w:b/>
        <w:noProof/>
        <w:sz w:val="20"/>
        <w:szCs w:val="20"/>
      </w:rPr>
      <w:t>PGECOPRO110 R0 Process Fan VFD.docx</w:t>
    </w:r>
    <w:r w:rsidRPr="0053705B">
      <w:rPr>
        <w:b/>
        <w:sz w:val="20"/>
        <w:szCs w:val="20"/>
      </w:rPr>
      <w:fldChar w:fldCharType="end"/>
    </w:r>
    <w:r w:rsidRPr="0053705B">
      <w:rPr>
        <w:b/>
        <w:sz w:val="20"/>
        <w:szCs w:val="20"/>
      </w:rPr>
      <w:t xml:space="preserve"> </w:t>
    </w:r>
    <w:r>
      <w:rPr>
        <w:b/>
        <w:color w:val="0000FF"/>
        <w:sz w:val="20"/>
        <w:szCs w:val="20"/>
      </w:rPr>
      <w:tab/>
    </w:r>
    <w:r>
      <w:rPr>
        <w:b/>
        <w:color w:val="0000FF"/>
        <w:sz w:val="20"/>
        <w:szCs w:val="20"/>
      </w:rPr>
      <w:fldChar w:fldCharType="begin"/>
    </w:r>
    <w:r>
      <w:rPr>
        <w:b/>
        <w:color w:val="0000FF"/>
        <w:sz w:val="20"/>
        <w:szCs w:val="20"/>
      </w:rPr>
      <w:instrText xml:space="preserve"> PAGE  \* Arabic  \* MERGEFORMAT </w:instrText>
    </w:r>
    <w:r>
      <w:rPr>
        <w:b/>
        <w:color w:val="0000FF"/>
        <w:sz w:val="20"/>
        <w:szCs w:val="20"/>
      </w:rPr>
      <w:fldChar w:fldCharType="separate"/>
    </w:r>
    <w:r w:rsidR="004A7A26">
      <w:rPr>
        <w:b/>
        <w:noProof/>
        <w:color w:val="0000FF"/>
        <w:sz w:val="20"/>
        <w:szCs w:val="20"/>
      </w:rPr>
      <w:t>2</w:t>
    </w:r>
    <w:r>
      <w:rPr>
        <w:b/>
        <w:color w:val="0000FF"/>
        <w:sz w:val="20"/>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Pr="002E0E3F" w:rsidRDefault="00F74339" w:rsidP="00D7047A">
    <w:pPr>
      <w:pStyle w:val="Footer"/>
      <w:jc w:val="right"/>
      <w:rPr>
        <w:rFonts w:cs="Arial"/>
        <w:b/>
        <w:sz w:val="36"/>
        <w:szCs w:val="36"/>
      </w:rPr>
    </w:pPr>
    <w:r>
      <w:rPr>
        <w:rFonts w:cs="Arial"/>
        <w:b/>
        <w:sz w:val="36"/>
        <w:szCs w:val="36"/>
      </w:rPr>
      <w:t>Date of Last Revision</w:t>
    </w:r>
  </w:p>
  <w:p w:rsidR="00F74339" w:rsidRDefault="00F7433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05B" w:rsidRPr="0053705B" w:rsidRDefault="0053705B" w:rsidP="00447D6E">
    <w:pPr>
      <w:pStyle w:val="Footer"/>
      <w:jc w:val="right"/>
      <w:rPr>
        <w:rFonts w:asciiTheme="minorHAnsi" w:hAnsiTheme="minorHAnsi" w:cstheme="minorHAnsi"/>
        <w:b/>
        <w:sz w:val="36"/>
        <w:szCs w:val="36"/>
      </w:rPr>
    </w:pPr>
    <w:r>
      <w:rPr>
        <w:rFonts w:asciiTheme="minorHAnsi" w:hAnsiTheme="minorHAnsi" w:cstheme="minorHAnsi"/>
        <w:b/>
        <w:sz w:val="36"/>
        <w:szCs w:val="36"/>
      </w:rPr>
      <w:t>April 16, 2014</w:t>
    </w:r>
  </w:p>
  <w:p w:rsidR="006D4484" w:rsidRDefault="006D4484"/>
  <w:p w:rsidR="006D4484" w:rsidRDefault="006D44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484" w:rsidRPr="009500DC" w:rsidRDefault="006D4484"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SCE13PR008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A7A26">
      <w:rPr>
        <w:rFonts w:asciiTheme="minorHAnsi" w:hAnsiTheme="minorHAnsi" w:cstheme="minorHAnsi"/>
        <w:b/>
        <w:noProof/>
        <w:sz w:val="20"/>
        <w:szCs w:val="20"/>
      </w:rPr>
      <w:t>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16, 2014</w:t>
    </w:r>
  </w:p>
  <w:p w:rsidR="006D4484" w:rsidRPr="009500DC" w:rsidRDefault="006D4484"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4484" w:rsidRPr="009500DC" w:rsidRDefault="006D4484"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Pr>
        <w:rFonts w:asciiTheme="minorHAnsi" w:hAnsiTheme="minorHAnsi" w:cstheme="minorHAnsi"/>
        <w:b/>
        <w:sz w:val="20"/>
        <w:szCs w:val="20"/>
      </w:rPr>
      <w:t>SCE13PR008</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1</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4A7A26">
      <w:rPr>
        <w:rFonts w:asciiTheme="minorHAnsi" w:hAnsiTheme="minorHAnsi" w:cstheme="minorHAnsi"/>
        <w:b/>
        <w:noProof/>
        <w:sz w:val="20"/>
        <w:szCs w:val="20"/>
      </w:rPr>
      <w:t>10</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April 16, 2014</w:t>
    </w:r>
  </w:p>
  <w:p w:rsidR="006D4484" w:rsidRPr="009500DC" w:rsidRDefault="006D4484" w:rsidP="00CE28CF">
    <w:pPr>
      <w:pStyle w:val="Footer"/>
      <w:pBdr>
        <w:top w:val="single" w:sz="4" w:space="1" w:color="auto"/>
      </w:pBdr>
      <w:tabs>
        <w:tab w:val="clear" w:pos="9360"/>
        <w:tab w:val="right" w:pos="12870"/>
      </w:tabs>
      <w:rPr>
        <w:rFonts w:asciiTheme="minorHAnsi" w:hAnsiTheme="minorHAnsi" w:cstheme="minorHAnsi"/>
      </w:rPr>
    </w:pPr>
    <w:r w:rsidRPr="009500DC">
      <w:rPr>
        <w:rFonts w:asciiTheme="minorHAnsi" w:hAnsiTheme="minorHAnsi" w:cstheme="minorHAnsi"/>
        <w:b/>
        <w:sz w:val="20"/>
        <w:szCs w:val="20"/>
      </w:rPr>
      <w:t>Southern California Edison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484" w:rsidRDefault="006D4484" w:rsidP="00447D6E">
      <w:r>
        <w:separator/>
      </w:r>
    </w:p>
  </w:footnote>
  <w:footnote w:type="continuationSeparator" w:id="0">
    <w:p w:rsidR="006D4484" w:rsidRDefault="006D4484" w:rsidP="00447D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4A7A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2" type="#_x0000_t136" style="position:absolute;margin-left:0;margin-top:0;width:435.05pt;height:174pt;rotation:315;z-index:-25165414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F74339" w:rsidP="001A573F">
    <w:pPr>
      <w:pStyle w:val="Header"/>
      <w:jc w:val="right"/>
    </w:pPr>
  </w:p>
  <w:p w:rsidR="00F74339" w:rsidRDefault="00F74339"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4A7A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1" type="#_x0000_t136" style="position:absolute;margin-left:0;margin-top:0;width:435.05pt;height:174pt;rotation:315;z-index:-25165516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4A7A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30730" type="#_x0000_t136" style="position:absolute;margin-left:0;margin-top:0;width:435.05pt;height:174pt;rotation:315;z-index:-25165619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F74339" w:rsidP="001A573F">
    <w:pPr>
      <w:pStyle w:val="Header"/>
      <w:jc w:val="right"/>
    </w:pPr>
  </w:p>
  <w:p w:rsidR="00F74339" w:rsidRDefault="00F74339" w:rsidP="001A573F">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339" w:rsidRDefault="004A7A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30729"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FB079D"/>
    <w:multiLevelType w:val="hybridMultilevel"/>
    <w:tmpl w:val="838E4A2A"/>
    <w:lvl w:ilvl="0" w:tplc="53D22D7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C24B46"/>
    <w:multiLevelType w:val="hybridMultilevel"/>
    <w:tmpl w:val="439635C4"/>
    <w:lvl w:ilvl="0" w:tplc="0409000F">
      <w:start w:val="1"/>
      <w:numFmt w:val="decimal"/>
      <w:lvlText w:val="%1."/>
      <w:lvlJc w:val="left"/>
      <w:pPr>
        <w:ind w:left="1080" w:hanging="360"/>
      </w:p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D77F57"/>
    <w:multiLevelType w:val="hybridMultilevel"/>
    <w:tmpl w:val="FEF0D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25B67FA0"/>
    <w:multiLevelType w:val="hybridMultilevel"/>
    <w:tmpl w:val="F1362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8F6935"/>
    <w:multiLevelType w:val="hybridMultilevel"/>
    <w:tmpl w:val="ADFC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9E13429"/>
    <w:multiLevelType w:val="hybridMultilevel"/>
    <w:tmpl w:val="B2A62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581CA0"/>
    <w:multiLevelType w:val="hybridMultilevel"/>
    <w:tmpl w:val="98125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F2874AB"/>
    <w:multiLevelType w:val="hybridMultilevel"/>
    <w:tmpl w:val="2E2C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6"/>
  </w:num>
  <w:num w:numId="5">
    <w:abstractNumId w:val="6"/>
  </w:num>
  <w:num w:numId="6">
    <w:abstractNumId w:val="0"/>
  </w:num>
  <w:num w:numId="7">
    <w:abstractNumId w:val="11"/>
  </w:num>
  <w:num w:numId="8">
    <w:abstractNumId w:val="7"/>
  </w:num>
  <w:num w:numId="9">
    <w:abstractNumId w:val="13"/>
  </w:num>
  <w:num w:numId="10">
    <w:abstractNumId w:val="9"/>
  </w:num>
  <w:num w:numId="11">
    <w:abstractNumId w:val="15"/>
  </w:num>
  <w:num w:numId="12">
    <w:abstractNumId w:val="2"/>
  </w:num>
  <w:num w:numId="13">
    <w:abstractNumId w:val="5"/>
  </w:num>
  <w:num w:numId="14">
    <w:abstractNumId w:val="16"/>
  </w:num>
  <w:num w:numId="15">
    <w:abstractNumId w:val="3"/>
  </w:num>
  <w:num w:numId="16">
    <w:abstractNumId w:val="14"/>
  </w:num>
  <w:num w:numId="17">
    <w:abstractNumId w:val="12"/>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30733"/>
    <o:shapelayout v:ext="edit">
      <o:idmap v:ext="edit" data="30"/>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6E35"/>
    <w:rsid w:val="00027183"/>
    <w:rsid w:val="00033EA1"/>
    <w:rsid w:val="0003480C"/>
    <w:rsid w:val="00056947"/>
    <w:rsid w:val="00076DF4"/>
    <w:rsid w:val="0009074D"/>
    <w:rsid w:val="0009592B"/>
    <w:rsid w:val="000968C6"/>
    <w:rsid w:val="000A2A20"/>
    <w:rsid w:val="000A4A89"/>
    <w:rsid w:val="000A63C9"/>
    <w:rsid w:val="000A6DB2"/>
    <w:rsid w:val="000B7660"/>
    <w:rsid w:val="000C0000"/>
    <w:rsid w:val="000C18CC"/>
    <w:rsid w:val="000D1FC5"/>
    <w:rsid w:val="000D54D5"/>
    <w:rsid w:val="000D6D6F"/>
    <w:rsid w:val="000F130A"/>
    <w:rsid w:val="00107242"/>
    <w:rsid w:val="00107334"/>
    <w:rsid w:val="0011394F"/>
    <w:rsid w:val="001206F7"/>
    <w:rsid w:val="00147155"/>
    <w:rsid w:val="00153CB3"/>
    <w:rsid w:val="00165357"/>
    <w:rsid w:val="00173488"/>
    <w:rsid w:val="00177819"/>
    <w:rsid w:val="001811EE"/>
    <w:rsid w:val="001A0EB4"/>
    <w:rsid w:val="001A5F62"/>
    <w:rsid w:val="001B4531"/>
    <w:rsid w:val="001B618B"/>
    <w:rsid w:val="001C4140"/>
    <w:rsid w:val="001C5A94"/>
    <w:rsid w:val="001D3B23"/>
    <w:rsid w:val="001D491F"/>
    <w:rsid w:val="001E0829"/>
    <w:rsid w:val="001E19C8"/>
    <w:rsid w:val="001F05CE"/>
    <w:rsid w:val="001F4A65"/>
    <w:rsid w:val="002151D5"/>
    <w:rsid w:val="0023254A"/>
    <w:rsid w:val="00240B74"/>
    <w:rsid w:val="00274FBE"/>
    <w:rsid w:val="002762E1"/>
    <w:rsid w:val="002811BC"/>
    <w:rsid w:val="00283DE8"/>
    <w:rsid w:val="00285966"/>
    <w:rsid w:val="00290ED8"/>
    <w:rsid w:val="002A3D26"/>
    <w:rsid w:val="002B1ADF"/>
    <w:rsid w:val="002C444C"/>
    <w:rsid w:val="002C46A1"/>
    <w:rsid w:val="002C6C7A"/>
    <w:rsid w:val="002D250A"/>
    <w:rsid w:val="002F1437"/>
    <w:rsid w:val="002F3943"/>
    <w:rsid w:val="002F40CF"/>
    <w:rsid w:val="00303635"/>
    <w:rsid w:val="0030363A"/>
    <w:rsid w:val="0032150D"/>
    <w:rsid w:val="003233DC"/>
    <w:rsid w:val="00332700"/>
    <w:rsid w:val="00343933"/>
    <w:rsid w:val="00345D80"/>
    <w:rsid w:val="003471D4"/>
    <w:rsid w:val="003473FB"/>
    <w:rsid w:val="003560BA"/>
    <w:rsid w:val="0036714F"/>
    <w:rsid w:val="00371AA7"/>
    <w:rsid w:val="003743FF"/>
    <w:rsid w:val="00377B6B"/>
    <w:rsid w:val="003832D2"/>
    <w:rsid w:val="003B2925"/>
    <w:rsid w:val="003B4DD3"/>
    <w:rsid w:val="003B7A5C"/>
    <w:rsid w:val="003C2B9F"/>
    <w:rsid w:val="003C6B36"/>
    <w:rsid w:val="003D2871"/>
    <w:rsid w:val="003D54F3"/>
    <w:rsid w:val="003D5B83"/>
    <w:rsid w:val="003E6E47"/>
    <w:rsid w:val="003F0623"/>
    <w:rsid w:val="003F668F"/>
    <w:rsid w:val="003F6F66"/>
    <w:rsid w:val="0041123E"/>
    <w:rsid w:val="00413CDB"/>
    <w:rsid w:val="004200FE"/>
    <w:rsid w:val="00421183"/>
    <w:rsid w:val="00441957"/>
    <w:rsid w:val="00443D32"/>
    <w:rsid w:val="00445DF4"/>
    <w:rsid w:val="00447CE5"/>
    <w:rsid w:val="00447D6E"/>
    <w:rsid w:val="0046286E"/>
    <w:rsid w:val="00467E1C"/>
    <w:rsid w:val="00471234"/>
    <w:rsid w:val="00477522"/>
    <w:rsid w:val="004931A1"/>
    <w:rsid w:val="00493457"/>
    <w:rsid w:val="00494628"/>
    <w:rsid w:val="00497FB8"/>
    <w:rsid w:val="004A7A26"/>
    <w:rsid w:val="004B01F8"/>
    <w:rsid w:val="004B4A3A"/>
    <w:rsid w:val="004B7992"/>
    <w:rsid w:val="004C23F1"/>
    <w:rsid w:val="004D3B93"/>
    <w:rsid w:val="004D4C21"/>
    <w:rsid w:val="004E01F5"/>
    <w:rsid w:val="004E76CA"/>
    <w:rsid w:val="0051020F"/>
    <w:rsid w:val="00511F5F"/>
    <w:rsid w:val="005160D9"/>
    <w:rsid w:val="00520216"/>
    <w:rsid w:val="00520408"/>
    <w:rsid w:val="00537055"/>
    <w:rsid w:val="0053705B"/>
    <w:rsid w:val="005419BC"/>
    <w:rsid w:val="00543AC1"/>
    <w:rsid w:val="00546949"/>
    <w:rsid w:val="00547127"/>
    <w:rsid w:val="00552ED9"/>
    <w:rsid w:val="00560934"/>
    <w:rsid w:val="00564960"/>
    <w:rsid w:val="005734A4"/>
    <w:rsid w:val="00582374"/>
    <w:rsid w:val="005A0E53"/>
    <w:rsid w:val="005A1078"/>
    <w:rsid w:val="005A78B6"/>
    <w:rsid w:val="005B28C1"/>
    <w:rsid w:val="005C2E48"/>
    <w:rsid w:val="005D4DD7"/>
    <w:rsid w:val="005D53E7"/>
    <w:rsid w:val="005E12A9"/>
    <w:rsid w:val="00602799"/>
    <w:rsid w:val="00612041"/>
    <w:rsid w:val="006162EB"/>
    <w:rsid w:val="006404E6"/>
    <w:rsid w:val="00641C5C"/>
    <w:rsid w:val="00647ABE"/>
    <w:rsid w:val="00661666"/>
    <w:rsid w:val="00664B05"/>
    <w:rsid w:val="00693E5C"/>
    <w:rsid w:val="00697868"/>
    <w:rsid w:val="006A055F"/>
    <w:rsid w:val="006A5293"/>
    <w:rsid w:val="006B0DF3"/>
    <w:rsid w:val="006B4A48"/>
    <w:rsid w:val="006C430A"/>
    <w:rsid w:val="006D2809"/>
    <w:rsid w:val="006D4484"/>
    <w:rsid w:val="006E3342"/>
    <w:rsid w:val="006E484C"/>
    <w:rsid w:val="006E4B12"/>
    <w:rsid w:val="006F4336"/>
    <w:rsid w:val="007048AC"/>
    <w:rsid w:val="007249D0"/>
    <w:rsid w:val="00725236"/>
    <w:rsid w:val="00731F4B"/>
    <w:rsid w:val="00733C7D"/>
    <w:rsid w:val="00740761"/>
    <w:rsid w:val="00740AD2"/>
    <w:rsid w:val="00745F77"/>
    <w:rsid w:val="0076181D"/>
    <w:rsid w:val="00764D0D"/>
    <w:rsid w:val="00783A3A"/>
    <w:rsid w:val="007933F1"/>
    <w:rsid w:val="007A2FAD"/>
    <w:rsid w:val="007E3801"/>
    <w:rsid w:val="007E43F8"/>
    <w:rsid w:val="007E656B"/>
    <w:rsid w:val="007F0E10"/>
    <w:rsid w:val="007F467A"/>
    <w:rsid w:val="007F50E8"/>
    <w:rsid w:val="007F7FBA"/>
    <w:rsid w:val="00800319"/>
    <w:rsid w:val="00801BB9"/>
    <w:rsid w:val="00801F7F"/>
    <w:rsid w:val="00817B5E"/>
    <w:rsid w:val="00824F1C"/>
    <w:rsid w:val="00827D24"/>
    <w:rsid w:val="008615BE"/>
    <w:rsid w:val="00881A42"/>
    <w:rsid w:val="00885E0A"/>
    <w:rsid w:val="0088603B"/>
    <w:rsid w:val="00893FC3"/>
    <w:rsid w:val="0089577B"/>
    <w:rsid w:val="008A0016"/>
    <w:rsid w:val="008A7590"/>
    <w:rsid w:val="008B499C"/>
    <w:rsid w:val="008B4B84"/>
    <w:rsid w:val="008B6825"/>
    <w:rsid w:val="008C2E0E"/>
    <w:rsid w:val="008D56EE"/>
    <w:rsid w:val="008E17CC"/>
    <w:rsid w:val="008E243E"/>
    <w:rsid w:val="008E3459"/>
    <w:rsid w:val="008F33B4"/>
    <w:rsid w:val="0090077A"/>
    <w:rsid w:val="009138A0"/>
    <w:rsid w:val="00922B85"/>
    <w:rsid w:val="00937A48"/>
    <w:rsid w:val="009500DC"/>
    <w:rsid w:val="00951923"/>
    <w:rsid w:val="00960E44"/>
    <w:rsid w:val="00972C81"/>
    <w:rsid w:val="009824E9"/>
    <w:rsid w:val="00995CB0"/>
    <w:rsid w:val="00997E77"/>
    <w:rsid w:val="009A2734"/>
    <w:rsid w:val="009B5B7B"/>
    <w:rsid w:val="009C1777"/>
    <w:rsid w:val="009C2C86"/>
    <w:rsid w:val="009D0753"/>
    <w:rsid w:val="009E0929"/>
    <w:rsid w:val="009E1802"/>
    <w:rsid w:val="009E1CDE"/>
    <w:rsid w:val="009E51E2"/>
    <w:rsid w:val="009E68D7"/>
    <w:rsid w:val="009F7A61"/>
    <w:rsid w:val="00A02CA5"/>
    <w:rsid w:val="00A053F8"/>
    <w:rsid w:val="00A11AD3"/>
    <w:rsid w:val="00A11C16"/>
    <w:rsid w:val="00A1423E"/>
    <w:rsid w:val="00A221EE"/>
    <w:rsid w:val="00A40FA8"/>
    <w:rsid w:val="00A500D6"/>
    <w:rsid w:val="00A86DA2"/>
    <w:rsid w:val="00AA0C37"/>
    <w:rsid w:val="00AB21F5"/>
    <w:rsid w:val="00AB3386"/>
    <w:rsid w:val="00AC5309"/>
    <w:rsid w:val="00AD4DD0"/>
    <w:rsid w:val="00AD6D86"/>
    <w:rsid w:val="00AE1E94"/>
    <w:rsid w:val="00AF6342"/>
    <w:rsid w:val="00B053FB"/>
    <w:rsid w:val="00B07EE5"/>
    <w:rsid w:val="00B26778"/>
    <w:rsid w:val="00B26B83"/>
    <w:rsid w:val="00B32479"/>
    <w:rsid w:val="00B403ED"/>
    <w:rsid w:val="00B866B4"/>
    <w:rsid w:val="00B94D7B"/>
    <w:rsid w:val="00BA590A"/>
    <w:rsid w:val="00BB0B39"/>
    <w:rsid w:val="00BB5F75"/>
    <w:rsid w:val="00BD3931"/>
    <w:rsid w:val="00BD5B88"/>
    <w:rsid w:val="00BE1B76"/>
    <w:rsid w:val="00C24D03"/>
    <w:rsid w:val="00C25E61"/>
    <w:rsid w:val="00C334E5"/>
    <w:rsid w:val="00C46C48"/>
    <w:rsid w:val="00C5076C"/>
    <w:rsid w:val="00C54EFF"/>
    <w:rsid w:val="00C5690D"/>
    <w:rsid w:val="00C72B8B"/>
    <w:rsid w:val="00C9543E"/>
    <w:rsid w:val="00CA2AB4"/>
    <w:rsid w:val="00CB0100"/>
    <w:rsid w:val="00CE12FE"/>
    <w:rsid w:val="00CE28CF"/>
    <w:rsid w:val="00CE5BEB"/>
    <w:rsid w:val="00CE6394"/>
    <w:rsid w:val="00CE69E9"/>
    <w:rsid w:val="00CF5119"/>
    <w:rsid w:val="00CF6DDC"/>
    <w:rsid w:val="00D01AAC"/>
    <w:rsid w:val="00D01C6E"/>
    <w:rsid w:val="00D20C5C"/>
    <w:rsid w:val="00D25074"/>
    <w:rsid w:val="00D276D5"/>
    <w:rsid w:val="00D27BCA"/>
    <w:rsid w:val="00D36798"/>
    <w:rsid w:val="00D608A7"/>
    <w:rsid w:val="00D664CC"/>
    <w:rsid w:val="00D7380B"/>
    <w:rsid w:val="00D74046"/>
    <w:rsid w:val="00D75D77"/>
    <w:rsid w:val="00D9459C"/>
    <w:rsid w:val="00DA11A0"/>
    <w:rsid w:val="00DA31B9"/>
    <w:rsid w:val="00DA4CB3"/>
    <w:rsid w:val="00DA690B"/>
    <w:rsid w:val="00DA7225"/>
    <w:rsid w:val="00DF2EE9"/>
    <w:rsid w:val="00E07752"/>
    <w:rsid w:val="00E12A4C"/>
    <w:rsid w:val="00E16609"/>
    <w:rsid w:val="00E16F08"/>
    <w:rsid w:val="00E211C5"/>
    <w:rsid w:val="00E233F3"/>
    <w:rsid w:val="00E37F72"/>
    <w:rsid w:val="00E42A30"/>
    <w:rsid w:val="00E436C5"/>
    <w:rsid w:val="00E81F3E"/>
    <w:rsid w:val="00E859BD"/>
    <w:rsid w:val="00E96759"/>
    <w:rsid w:val="00E96A47"/>
    <w:rsid w:val="00E97477"/>
    <w:rsid w:val="00EB34FC"/>
    <w:rsid w:val="00EB76E1"/>
    <w:rsid w:val="00EC2278"/>
    <w:rsid w:val="00ED79D1"/>
    <w:rsid w:val="00EE7437"/>
    <w:rsid w:val="00EF5416"/>
    <w:rsid w:val="00F06CCF"/>
    <w:rsid w:val="00F20DCF"/>
    <w:rsid w:val="00F233C5"/>
    <w:rsid w:val="00F23A21"/>
    <w:rsid w:val="00F31E19"/>
    <w:rsid w:val="00F41762"/>
    <w:rsid w:val="00F4752B"/>
    <w:rsid w:val="00F56792"/>
    <w:rsid w:val="00F60E32"/>
    <w:rsid w:val="00F613E6"/>
    <w:rsid w:val="00F7242E"/>
    <w:rsid w:val="00F74339"/>
    <w:rsid w:val="00FB2026"/>
    <w:rsid w:val="00FB70C5"/>
    <w:rsid w:val="00FD5510"/>
    <w:rsid w:val="00FD5A8C"/>
    <w:rsid w:val="00FE3233"/>
    <w:rsid w:val="00FF74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uiPriority w:val="99"/>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uiPriority w:val="99"/>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uiPriority w:val="99"/>
    <w:semiHidden/>
    <w:rsid w:val="00FB70C5"/>
    <w:rPr>
      <w:rFonts w:ascii="Calibri" w:hAnsi="Calibri"/>
      <w:sz w:val="20"/>
      <w:szCs w:val="20"/>
    </w:rPr>
  </w:style>
  <w:style w:type="character" w:customStyle="1" w:styleId="EndnoteTextChar">
    <w:name w:val="Endnote Text Char"/>
    <w:basedOn w:val="DefaultParagraphFont"/>
    <w:link w:val="EndnoteText"/>
    <w:uiPriority w:val="99"/>
    <w:semiHidden/>
    <w:rsid w:val="00FB70C5"/>
    <w:rPr>
      <w:rFonts w:ascii="Calibri" w:eastAsia="Times New Roman" w:hAnsi="Calibri" w:cs="Times New Roman"/>
      <w:sz w:val="20"/>
      <w:szCs w:val="20"/>
    </w:rPr>
  </w:style>
  <w:style w:type="character" w:styleId="EndnoteReference">
    <w:name w:val="endnote reference"/>
    <w:basedOn w:val="DefaultParagraphFont"/>
    <w:uiPriority w:val="99"/>
    <w:semiHidden/>
    <w:rsid w:val="00FB70C5"/>
    <w:rPr>
      <w:rFonts w:cs="Times New Roman"/>
      <w:vertAlign w:val="superscript"/>
    </w:rPr>
  </w:style>
  <w:style w:type="paragraph" w:styleId="ListParagraph">
    <w:name w:val="List Paragraph"/>
    <w:basedOn w:val="Normal"/>
    <w:uiPriority w:val="99"/>
    <w:qFormat/>
    <w:rsid w:val="00CE6394"/>
    <w:pPr>
      <w:ind w:left="720"/>
      <w:contextualSpacing/>
    </w:pPr>
    <w:rPr>
      <w:rFonts w:ascii="Calibri" w:hAnsi="Calibri"/>
      <w:sz w:val="22"/>
    </w:rPr>
  </w:style>
  <w:style w:type="character" w:styleId="PlaceholderText">
    <w:name w:val="Placeholder Text"/>
    <w:basedOn w:val="DefaultParagraphFont"/>
    <w:uiPriority w:val="99"/>
    <w:semiHidden/>
    <w:rsid w:val="009E68D7"/>
    <w:rPr>
      <w:color w:val="808080"/>
    </w:rPr>
  </w:style>
  <w:style w:type="character" w:styleId="PageNumber">
    <w:name w:val="page number"/>
    <w:basedOn w:val="DefaultParagraphFont"/>
    <w:rsid w:val="00F74339"/>
  </w:style>
  <w:style w:type="paragraph" w:styleId="FootnoteText">
    <w:name w:val="footnote text"/>
    <w:basedOn w:val="Normal"/>
    <w:link w:val="FootnoteTextChar"/>
    <w:semiHidden/>
    <w:rsid w:val="00F74339"/>
    <w:rPr>
      <w:rFonts w:ascii="Arial" w:hAnsi="Arial"/>
      <w:sz w:val="20"/>
      <w:szCs w:val="20"/>
    </w:rPr>
  </w:style>
  <w:style w:type="character" w:customStyle="1" w:styleId="FootnoteTextChar">
    <w:name w:val="Footnote Text Char"/>
    <w:basedOn w:val="DefaultParagraphFont"/>
    <w:link w:val="FootnoteText"/>
    <w:semiHidden/>
    <w:rsid w:val="00F74339"/>
    <w:rPr>
      <w:rFonts w:ascii="Arial" w:eastAsia="Times New Roman" w:hAnsi="Arial" w:cs="Times New Roman"/>
      <w:sz w:val="20"/>
      <w:szCs w:val="20"/>
    </w:rPr>
  </w:style>
  <w:style w:type="character" w:styleId="FootnoteReference">
    <w:name w:val="footnote reference"/>
    <w:semiHidden/>
    <w:rsid w:val="00F7433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uiPriority w:val="99"/>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uiPriority w:val="99"/>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EndnoteText">
    <w:name w:val="endnote text"/>
    <w:basedOn w:val="Normal"/>
    <w:link w:val="EndnoteTextChar"/>
    <w:uiPriority w:val="99"/>
    <w:semiHidden/>
    <w:rsid w:val="00FB70C5"/>
    <w:rPr>
      <w:rFonts w:ascii="Calibri" w:hAnsi="Calibri"/>
      <w:sz w:val="20"/>
      <w:szCs w:val="20"/>
    </w:rPr>
  </w:style>
  <w:style w:type="character" w:customStyle="1" w:styleId="EndnoteTextChar">
    <w:name w:val="Endnote Text Char"/>
    <w:basedOn w:val="DefaultParagraphFont"/>
    <w:link w:val="EndnoteText"/>
    <w:uiPriority w:val="99"/>
    <w:semiHidden/>
    <w:rsid w:val="00FB70C5"/>
    <w:rPr>
      <w:rFonts w:ascii="Calibri" w:eastAsia="Times New Roman" w:hAnsi="Calibri" w:cs="Times New Roman"/>
      <w:sz w:val="20"/>
      <w:szCs w:val="20"/>
    </w:rPr>
  </w:style>
  <w:style w:type="character" w:styleId="EndnoteReference">
    <w:name w:val="endnote reference"/>
    <w:basedOn w:val="DefaultParagraphFont"/>
    <w:uiPriority w:val="99"/>
    <w:semiHidden/>
    <w:rsid w:val="00FB70C5"/>
    <w:rPr>
      <w:rFonts w:cs="Times New Roman"/>
      <w:vertAlign w:val="superscript"/>
    </w:rPr>
  </w:style>
  <w:style w:type="paragraph" w:styleId="ListParagraph">
    <w:name w:val="List Paragraph"/>
    <w:basedOn w:val="Normal"/>
    <w:uiPriority w:val="99"/>
    <w:qFormat/>
    <w:rsid w:val="00CE6394"/>
    <w:pPr>
      <w:ind w:left="720"/>
      <w:contextualSpacing/>
    </w:pPr>
    <w:rPr>
      <w:rFonts w:ascii="Calibri" w:hAnsi="Calibri"/>
      <w:sz w:val="22"/>
    </w:rPr>
  </w:style>
  <w:style w:type="character" w:styleId="PlaceholderText">
    <w:name w:val="Placeholder Text"/>
    <w:basedOn w:val="DefaultParagraphFont"/>
    <w:uiPriority w:val="99"/>
    <w:semiHidden/>
    <w:rsid w:val="009E68D7"/>
    <w:rPr>
      <w:color w:val="808080"/>
    </w:rPr>
  </w:style>
  <w:style w:type="character" w:styleId="PageNumber">
    <w:name w:val="page number"/>
    <w:basedOn w:val="DefaultParagraphFont"/>
    <w:rsid w:val="00F74339"/>
  </w:style>
  <w:style w:type="paragraph" w:styleId="FootnoteText">
    <w:name w:val="footnote text"/>
    <w:basedOn w:val="Normal"/>
    <w:link w:val="FootnoteTextChar"/>
    <w:semiHidden/>
    <w:rsid w:val="00F74339"/>
    <w:rPr>
      <w:rFonts w:ascii="Arial" w:hAnsi="Arial"/>
      <w:sz w:val="20"/>
      <w:szCs w:val="20"/>
    </w:rPr>
  </w:style>
  <w:style w:type="character" w:customStyle="1" w:styleId="FootnoteTextChar">
    <w:name w:val="Footnote Text Char"/>
    <w:basedOn w:val="DefaultParagraphFont"/>
    <w:link w:val="FootnoteText"/>
    <w:semiHidden/>
    <w:rsid w:val="00F74339"/>
    <w:rPr>
      <w:rFonts w:ascii="Arial" w:eastAsia="Times New Roman" w:hAnsi="Arial" w:cs="Times New Roman"/>
      <w:sz w:val="20"/>
      <w:szCs w:val="20"/>
    </w:rPr>
  </w:style>
  <w:style w:type="character" w:styleId="FootnoteReference">
    <w:name w:val="footnote reference"/>
    <w:semiHidden/>
    <w:rsid w:val="00F743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7873">
      <w:bodyDiv w:val="1"/>
      <w:marLeft w:val="0"/>
      <w:marRight w:val="0"/>
      <w:marTop w:val="0"/>
      <w:marBottom w:val="0"/>
      <w:divBdr>
        <w:top w:val="none" w:sz="0" w:space="0" w:color="auto"/>
        <w:left w:val="none" w:sz="0" w:space="0" w:color="auto"/>
        <w:bottom w:val="none" w:sz="0" w:space="0" w:color="auto"/>
        <w:right w:val="none" w:sz="0" w:space="0" w:color="auto"/>
      </w:divBdr>
    </w:div>
    <w:div w:id="313536011">
      <w:bodyDiv w:val="1"/>
      <w:marLeft w:val="0"/>
      <w:marRight w:val="0"/>
      <w:marTop w:val="0"/>
      <w:marBottom w:val="0"/>
      <w:divBdr>
        <w:top w:val="none" w:sz="0" w:space="0" w:color="auto"/>
        <w:left w:val="none" w:sz="0" w:space="0" w:color="auto"/>
        <w:bottom w:val="none" w:sz="0" w:space="0" w:color="auto"/>
        <w:right w:val="none" w:sz="0" w:space="0" w:color="auto"/>
      </w:divBdr>
    </w:div>
    <w:div w:id="385111030">
      <w:bodyDiv w:val="1"/>
      <w:marLeft w:val="0"/>
      <w:marRight w:val="0"/>
      <w:marTop w:val="0"/>
      <w:marBottom w:val="0"/>
      <w:divBdr>
        <w:top w:val="none" w:sz="0" w:space="0" w:color="auto"/>
        <w:left w:val="none" w:sz="0" w:space="0" w:color="auto"/>
        <w:bottom w:val="none" w:sz="0" w:space="0" w:color="auto"/>
        <w:right w:val="none" w:sz="0" w:space="0" w:color="auto"/>
      </w:divBdr>
    </w:div>
    <w:div w:id="519779609">
      <w:bodyDiv w:val="1"/>
      <w:marLeft w:val="0"/>
      <w:marRight w:val="0"/>
      <w:marTop w:val="0"/>
      <w:marBottom w:val="0"/>
      <w:divBdr>
        <w:top w:val="none" w:sz="0" w:space="0" w:color="auto"/>
        <w:left w:val="none" w:sz="0" w:space="0" w:color="auto"/>
        <w:bottom w:val="none" w:sz="0" w:space="0" w:color="auto"/>
        <w:right w:val="none" w:sz="0" w:space="0" w:color="auto"/>
      </w:divBdr>
    </w:div>
    <w:div w:id="529682216">
      <w:bodyDiv w:val="1"/>
      <w:marLeft w:val="0"/>
      <w:marRight w:val="0"/>
      <w:marTop w:val="0"/>
      <w:marBottom w:val="0"/>
      <w:divBdr>
        <w:top w:val="none" w:sz="0" w:space="0" w:color="auto"/>
        <w:left w:val="none" w:sz="0" w:space="0" w:color="auto"/>
        <w:bottom w:val="none" w:sz="0" w:space="0" w:color="auto"/>
        <w:right w:val="none" w:sz="0" w:space="0" w:color="auto"/>
      </w:divBdr>
    </w:div>
    <w:div w:id="585696988">
      <w:bodyDiv w:val="1"/>
      <w:marLeft w:val="0"/>
      <w:marRight w:val="0"/>
      <w:marTop w:val="0"/>
      <w:marBottom w:val="0"/>
      <w:divBdr>
        <w:top w:val="none" w:sz="0" w:space="0" w:color="auto"/>
        <w:left w:val="none" w:sz="0" w:space="0" w:color="auto"/>
        <w:bottom w:val="none" w:sz="0" w:space="0" w:color="auto"/>
        <w:right w:val="none" w:sz="0" w:space="0" w:color="auto"/>
      </w:divBdr>
    </w:div>
    <w:div w:id="69797318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68836287">
      <w:bodyDiv w:val="1"/>
      <w:marLeft w:val="0"/>
      <w:marRight w:val="0"/>
      <w:marTop w:val="0"/>
      <w:marBottom w:val="0"/>
      <w:divBdr>
        <w:top w:val="none" w:sz="0" w:space="0" w:color="auto"/>
        <w:left w:val="none" w:sz="0" w:space="0" w:color="auto"/>
        <w:bottom w:val="none" w:sz="0" w:space="0" w:color="auto"/>
        <w:right w:val="none" w:sz="0" w:space="0" w:color="auto"/>
      </w:divBdr>
    </w:div>
    <w:div w:id="973605043">
      <w:bodyDiv w:val="1"/>
      <w:marLeft w:val="0"/>
      <w:marRight w:val="0"/>
      <w:marTop w:val="0"/>
      <w:marBottom w:val="0"/>
      <w:divBdr>
        <w:top w:val="none" w:sz="0" w:space="0" w:color="auto"/>
        <w:left w:val="none" w:sz="0" w:space="0" w:color="auto"/>
        <w:bottom w:val="none" w:sz="0" w:space="0" w:color="auto"/>
        <w:right w:val="none" w:sz="0" w:space="0" w:color="auto"/>
      </w:divBdr>
    </w:div>
    <w:div w:id="1013535439">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71660007">
      <w:bodyDiv w:val="1"/>
      <w:marLeft w:val="0"/>
      <w:marRight w:val="0"/>
      <w:marTop w:val="0"/>
      <w:marBottom w:val="0"/>
      <w:divBdr>
        <w:top w:val="none" w:sz="0" w:space="0" w:color="auto"/>
        <w:left w:val="none" w:sz="0" w:space="0" w:color="auto"/>
        <w:bottom w:val="none" w:sz="0" w:space="0" w:color="auto"/>
        <w:right w:val="none" w:sz="0" w:space="0" w:color="auto"/>
      </w:divBdr>
    </w:div>
    <w:div w:id="2040274159">
      <w:bodyDiv w:val="1"/>
      <w:marLeft w:val="0"/>
      <w:marRight w:val="0"/>
      <w:marTop w:val="0"/>
      <w:marBottom w:val="0"/>
      <w:divBdr>
        <w:top w:val="none" w:sz="0" w:space="0" w:color="auto"/>
        <w:left w:val="none" w:sz="0" w:space="0" w:color="auto"/>
        <w:bottom w:val="none" w:sz="0" w:space="0" w:color="auto"/>
        <w:right w:val="none" w:sz="0" w:space="0" w:color="auto"/>
      </w:divBdr>
    </w:div>
    <w:div w:id="2108035329">
      <w:bodyDiv w:val="1"/>
      <w:marLeft w:val="0"/>
      <w:marRight w:val="0"/>
      <w:marTop w:val="0"/>
      <w:marBottom w:val="0"/>
      <w:divBdr>
        <w:top w:val="none" w:sz="0" w:space="0" w:color="auto"/>
        <w:left w:val="none" w:sz="0" w:space="0" w:color="auto"/>
        <w:bottom w:val="none" w:sz="0" w:space="0" w:color="auto"/>
        <w:right w:val="none" w:sz="0" w:space="0" w:color="auto"/>
      </w:divBdr>
    </w:div>
    <w:div w:id="2113473750">
      <w:bodyDiv w:val="1"/>
      <w:marLeft w:val="0"/>
      <w:marRight w:val="0"/>
      <w:marTop w:val="0"/>
      <w:marBottom w:val="0"/>
      <w:divBdr>
        <w:top w:val="none" w:sz="0" w:space="0" w:color="auto"/>
        <w:left w:val="none" w:sz="0" w:space="0" w:color="auto"/>
        <w:bottom w:val="none" w:sz="0" w:space="0" w:color="auto"/>
        <w:right w:val="none" w:sz="0" w:space="0" w:color="auto"/>
      </w:divBdr>
    </w:div>
    <w:div w:id="214646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www.deeresources.com" TargetMode="Externa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2.png"/><Relationship Id="rId28"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1.png"/><Relationship Id="rId27" Type="http://schemas.openxmlformats.org/officeDocument/2006/relationships/image" Target="media/image5.wmf"/><Relationship Id="rId30" Type="http://schemas.openxmlformats.org/officeDocument/2006/relationships/package" Target="embeddings/Microsoft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038B0-CEF6-42C8-9A37-236612DE1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2929</Words>
  <Characters>16699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19589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Huang, Jia Chang</cp:lastModifiedBy>
  <cp:revision>8</cp:revision>
  <dcterms:created xsi:type="dcterms:W3CDTF">2015-03-31T17:01:00Z</dcterms:created>
  <dcterms:modified xsi:type="dcterms:W3CDTF">2015-03-31T17:44:00Z</dcterms:modified>
</cp:coreProperties>
</file>