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B55" w:rsidRPr="00A961E9" w:rsidRDefault="00E43B55" w:rsidP="00864083">
      <w:pPr>
        <w:jc w:val="right"/>
        <w:rPr>
          <w:rFonts w:ascii="Arial" w:hAnsi="Arial" w:cs="Arial"/>
          <w:b/>
          <w:sz w:val="40"/>
          <w:szCs w:val="40"/>
        </w:rPr>
      </w:pPr>
      <w:bookmarkStart w:id="0" w:name="_Toc153189646"/>
      <w:r w:rsidRPr="00A961E9">
        <w:rPr>
          <w:rFonts w:ascii="Arial" w:hAnsi="Arial" w:cs="Arial"/>
          <w:b/>
          <w:sz w:val="40"/>
          <w:szCs w:val="40"/>
        </w:rPr>
        <w:t>Work</w:t>
      </w:r>
      <w:r w:rsidR="00E16FD8">
        <w:rPr>
          <w:rFonts w:ascii="Arial" w:hAnsi="Arial" w:cs="Arial"/>
          <w:b/>
          <w:sz w:val="40"/>
          <w:szCs w:val="40"/>
        </w:rPr>
        <w:t xml:space="preserve"> P</w:t>
      </w:r>
      <w:r w:rsidRPr="00A961E9">
        <w:rPr>
          <w:rFonts w:ascii="Arial" w:hAnsi="Arial" w:cs="Arial"/>
          <w:b/>
          <w:sz w:val="40"/>
          <w:szCs w:val="40"/>
        </w:rPr>
        <w:t xml:space="preserve">aper </w:t>
      </w:r>
      <w:bookmarkEnd w:id="0"/>
      <w:r w:rsidRPr="00A961E9">
        <w:rPr>
          <w:rFonts w:ascii="Arial" w:hAnsi="Arial" w:cs="Arial"/>
          <w:b/>
          <w:sz w:val="40"/>
          <w:szCs w:val="40"/>
        </w:rPr>
        <w:t>PGECO</w:t>
      </w:r>
      <w:r w:rsidR="00A961E9" w:rsidRPr="00A961E9">
        <w:rPr>
          <w:rFonts w:ascii="Arial" w:hAnsi="Arial" w:cs="Arial"/>
          <w:b/>
          <w:sz w:val="40"/>
          <w:szCs w:val="40"/>
        </w:rPr>
        <w:t>PRO</w:t>
      </w:r>
      <w:r w:rsidRPr="00A961E9">
        <w:rPr>
          <w:rFonts w:ascii="Arial" w:hAnsi="Arial" w:cs="Arial"/>
          <w:b/>
          <w:sz w:val="40"/>
          <w:szCs w:val="40"/>
        </w:rPr>
        <w:t>101</w:t>
      </w:r>
    </w:p>
    <w:p w:rsidR="00E43B55" w:rsidRPr="00A961E9" w:rsidRDefault="00DD43C2" w:rsidP="00864083">
      <w:pPr>
        <w:jc w:val="right"/>
        <w:rPr>
          <w:rFonts w:ascii="Arial" w:hAnsi="Arial" w:cs="Arial"/>
          <w:b/>
          <w:sz w:val="48"/>
          <w:szCs w:val="48"/>
        </w:rPr>
      </w:pPr>
      <w:r>
        <w:rPr>
          <w:rFonts w:ascii="Arial" w:hAnsi="Arial" w:cs="Arial"/>
          <w:b/>
          <w:sz w:val="48"/>
          <w:szCs w:val="48"/>
        </w:rPr>
        <w:t>Process B</w:t>
      </w:r>
      <w:r w:rsidR="00A961E9" w:rsidRPr="00A961E9">
        <w:rPr>
          <w:rFonts w:ascii="Arial" w:hAnsi="Arial" w:cs="Arial"/>
          <w:b/>
          <w:sz w:val="48"/>
          <w:szCs w:val="48"/>
        </w:rPr>
        <w:t>oiler</w:t>
      </w:r>
    </w:p>
    <w:p w:rsidR="00E43B55" w:rsidRPr="00A961E9" w:rsidRDefault="00E43B55" w:rsidP="00864083">
      <w:pPr>
        <w:jc w:val="right"/>
        <w:rPr>
          <w:rFonts w:ascii="Arial" w:hAnsi="Arial" w:cs="Arial"/>
          <w:b/>
          <w:sz w:val="48"/>
          <w:szCs w:val="48"/>
        </w:rPr>
      </w:pPr>
      <w:bookmarkStart w:id="1" w:name="_Toc153189647"/>
      <w:r w:rsidRPr="00A961E9">
        <w:rPr>
          <w:rFonts w:ascii="Arial" w:hAnsi="Arial" w:cs="Arial"/>
          <w:b/>
          <w:sz w:val="48"/>
          <w:szCs w:val="48"/>
        </w:rPr>
        <w:t>Revision #</w:t>
      </w:r>
      <w:bookmarkEnd w:id="1"/>
      <w:r w:rsidR="00A961E9" w:rsidRPr="00A961E9">
        <w:rPr>
          <w:rFonts w:ascii="Arial" w:hAnsi="Arial" w:cs="Arial"/>
          <w:b/>
          <w:sz w:val="48"/>
          <w:szCs w:val="48"/>
        </w:rPr>
        <w:t xml:space="preserve"> 3</w:t>
      </w: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pBdr>
          <w:bottom w:val="single" w:sz="4" w:space="1" w:color="auto"/>
        </w:pBdr>
        <w:rPr>
          <w:rFonts w:ascii="Arial" w:hAnsi="Arial" w:cs="Arial"/>
          <w:b/>
          <w:sz w:val="36"/>
          <w:szCs w:val="36"/>
        </w:rPr>
      </w:pPr>
      <w:r w:rsidRPr="00A961E9">
        <w:rPr>
          <w:rFonts w:ascii="Arial" w:hAnsi="Arial" w:cs="Arial"/>
          <w:b/>
          <w:sz w:val="36"/>
          <w:szCs w:val="36"/>
        </w:rPr>
        <w:t>Pacific Gas &amp; Electric Company</w:t>
      </w:r>
    </w:p>
    <w:p w:rsidR="00E43B55" w:rsidRPr="00A961E9" w:rsidRDefault="00E43B55" w:rsidP="00864083">
      <w:pPr>
        <w:rPr>
          <w:rFonts w:ascii="Arial" w:hAnsi="Arial" w:cs="Arial"/>
          <w:b/>
          <w:sz w:val="32"/>
          <w:szCs w:val="32"/>
        </w:rPr>
      </w:pPr>
      <w:r w:rsidRPr="00A961E9">
        <w:rPr>
          <w:rFonts w:ascii="Arial" w:hAnsi="Arial" w:cs="Arial"/>
          <w:b/>
          <w:sz w:val="32"/>
          <w:szCs w:val="32"/>
        </w:rPr>
        <w:t xml:space="preserve">Customer Energy </w:t>
      </w:r>
      <w:r w:rsidR="006A60EC" w:rsidRPr="00A961E9">
        <w:rPr>
          <w:rFonts w:ascii="Arial" w:hAnsi="Arial" w:cs="Arial"/>
          <w:b/>
          <w:sz w:val="32"/>
          <w:szCs w:val="32"/>
        </w:rPr>
        <w:t>Solutions</w:t>
      </w: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E16FD8">
      <w:pPr>
        <w:jc w:val="center"/>
        <w:rPr>
          <w:rFonts w:ascii="Arial" w:hAnsi="Arial" w:cs="Arial"/>
        </w:rPr>
      </w:pPr>
    </w:p>
    <w:p w:rsidR="00E43B55" w:rsidRPr="00A961E9" w:rsidRDefault="00A961E9" w:rsidP="00864083">
      <w:pPr>
        <w:rPr>
          <w:rFonts w:ascii="Arial" w:hAnsi="Arial" w:cs="Arial"/>
          <w:b/>
          <w:sz w:val="72"/>
          <w:szCs w:val="72"/>
        </w:rPr>
      </w:pPr>
      <w:r w:rsidRPr="00A961E9">
        <w:rPr>
          <w:rFonts w:ascii="Arial" w:hAnsi="Arial" w:cs="Arial"/>
          <w:b/>
          <w:sz w:val="72"/>
          <w:szCs w:val="72"/>
        </w:rPr>
        <w:t>Process Boiler</w:t>
      </w:r>
    </w:p>
    <w:p w:rsidR="00E43B55" w:rsidRPr="00A961E9" w:rsidRDefault="00E43B55" w:rsidP="003C1A85">
      <w:pPr>
        <w:rPr>
          <w:rFonts w:ascii="Arial" w:hAnsi="Arial" w:cs="Arial"/>
          <w:b/>
        </w:rPr>
      </w:pPr>
      <w:r w:rsidRPr="00A961E9">
        <w:rPr>
          <w:rFonts w:ascii="Arial" w:hAnsi="Arial" w:cs="Arial"/>
          <w:b/>
        </w:rPr>
        <w:t>Meas</w:t>
      </w:r>
      <w:r w:rsidR="00A961E9" w:rsidRPr="00A961E9">
        <w:rPr>
          <w:rFonts w:ascii="Arial" w:hAnsi="Arial" w:cs="Arial"/>
          <w:b/>
        </w:rPr>
        <w:t>ure Codes H11, H15</w:t>
      </w:r>
    </w:p>
    <w:p w:rsidR="00E43B55" w:rsidRPr="00A961E9" w:rsidRDefault="00E43B55" w:rsidP="00864083">
      <w:pPr>
        <w:pStyle w:val="Heading1"/>
        <w:spacing w:before="0" w:after="0"/>
        <w:rPr>
          <w:b w:val="0"/>
        </w:rPr>
      </w:pPr>
    </w:p>
    <w:p w:rsidR="00E43B55" w:rsidRPr="00A961E9" w:rsidRDefault="00E43B55" w:rsidP="00864083">
      <w:pPr>
        <w:pStyle w:val="Heading1"/>
        <w:spacing w:before="0" w:after="0"/>
        <w:rPr>
          <w:b w:val="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sectPr w:rsidR="00E43B55" w:rsidRPr="00A961E9" w:rsidSect="00672230">
          <w:headerReference w:type="even" r:id="rId9"/>
          <w:headerReference w:type="default" r:id="rId10"/>
          <w:footerReference w:type="even" r:id="rId11"/>
          <w:footerReference w:type="default" r:id="rId12"/>
          <w:footerReference w:type="first" r:id="rId13"/>
          <w:endnotePr>
            <w:numFmt w:val="decimal"/>
          </w:endnotePr>
          <w:pgSz w:w="12240" w:h="15840"/>
          <w:pgMar w:top="1440" w:right="1440" w:bottom="1440" w:left="1440" w:header="720" w:footer="720" w:gutter="0"/>
          <w:pgNumType w:fmt="lowerRoman"/>
          <w:cols w:space="720"/>
          <w:titlePg/>
          <w:docGrid w:linePitch="360"/>
        </w:sectPr>
      </w:pPr>
    </w:p>
    <w:p w:rsidR="00E43B55" w:rsidRPr="00DA0FEE" w:rsidRDefault="00E43B55" w:rsidP="00864083">
      <w:pPr>
        <w:rPr>
          <w:rFonts w:ascii="Arial" w:hAnsi="Arial" w:cs="Arial"/>
        </w:rPr>
      </w:pPr>
    </w:p>
    <w:p w:rsidR="00E71EF1" w:rsidRPr="00DA0FEE" w:rsidRDefault="00E731C6" w:rsidP="00864083">
      <w:pPr>
        <w:pStyle w:val="Heading1"/>
        <w:spacing w:before="0" w:after="0"/>
      </w:pPr>
      <w:bookmarkStart w:id="2" w:name="_Toc386966966"/>
      <w:r w:rsidRPr="00DA0FEE">
        <w:t>At-</w:t>
      </w:r>
      <w:r w:rsidR="003E04D8" w:rsidRPr="00DA0FEE">
        <w:t>A</w:t>
      </w:r>
      <w:r w:rsidRPr="00DA0FEE">
        <w:t>-</w:t>
      </w:r>
      <w:r w:rsidR="00E71EF1" w:rsidRPr="00DA0FEE">
        <w:t>Glance Summary</w:t>
      </w:r>
      <w:bookmarkEnd w:id="2"/>
    </w:p>
    <w:p w:rsidR="005F19E0" w:rsidRPr="00A961E9" w:rsidRDefault="005F19E0" w:rsidP="00864083">
      <w:pPr>
        <w:rPr>
          <w:rFonts w:ascii="Arial" w:hAnsi="Arial" w:cs="Arial"/>
          <w:b/>
          <w:color w:val="FF0000"/>
          <w:sz w:val="20"/>
          <w:szCs w:val="20"/>
        </w:rPr>
      </w:pPr>
    </w:p>
    <w:tbl>
      <w:tblPr>
        <w:tblW w:w="4897" w:type="pct"/>
        <w:tblBorders>
          <w:insideH w:val="single" w:sz="18" w:space="0" w:color="FFFFFF"/>
          <w:insideV w:val="single" w:sz="18" w:space="0" w:color="FFFFFF"/>
        </w:tblBorders>
        <w:tblLayout w:type="fixed"/>
        <w:tblLook w:val="01E0" w:firstRow="1" w:lastRow="1" w:firstColumn="1" w:lastColumn="1" w:noHBand="0" w:noVBand="0"/>
      </w:tblPr>
      <w:tblGrid>
        <w:gridCol w:w="2899"/>
        <w:gridCol w:w="3240"/>
        <w:gridCol w:w="3240"/>
      </w:tblGrid>
      <w:tr w:rsidR="00A961E9" w:rsidRPr="00A961E9" w:rsidTr="005E4134">
        <w:trPr>
          <w:trHeight w:val="594"/>
        </w:trPr>
        <w:tc>
          <w:tcPr>
            <w:tcW w:w="1545" w:type="pct"/>
            <w:shd w:val="pct20" w:color="000000" w:fill="FFFFFF"/>
            <w:vAlign w:val="center"/>
          </w:tcPr>
          <w:p w:rsidR="00A961E9" w:rsidRPr="00DA0FEE" w:rsidRDefault="00A961E9" w:rsidP="004C576E">
            <w:pPr>
              <w:rPr>
                <w:rFonts w:ascii="Arial" w:hAnsi="Arial" w:cs="Arial"/>
                <w:b/>
                <w:bCs/>
                <w:sz w:val="20"/>
                <w:szCs w:val="20"/>
              </w:rPr>
            </w:pPr>
            <w:r w:rsidRPr="00DA0FEE">
              <w:rPr>
                <w:rFonts w:ascii="Arial" w:hAnsi="Arial" w:cs="Arial"/>
                <w:b/>
                <w:bCs/>
                <w:sz w:val="20"/>
                <w:szCs w:val="20"/>
              </w:rPr>
              <w:t>Applicable Measure Codes:</w:t>
            </w:r>
          </w:p>
        </w:tc>
        <w:tc>
          <w:tcPr>
            <w:tcW w:w="1727" w:type="pct"/>
            <w:shd w:val="pct20" w:color="000000" w:fill="FFFFFF"/>
            <w:vAlign w:val="center"/>
          </w:tcPr>
          <w:p w:rsidR="00A961E9" w:rsidRPr="00DA0FEE" w:rsidRDefault="004C576E" w:rsidP="004C576E">
            <w:pPr>
              <w:rPr>
                <w:rFonts w:ascii="Arial" w:hAnsi="Arial" w:cs="Arial"/>
                <w:b/>
                <w:bCs/>
                <w:sz w:val="20"/>
                <w:szCs w:val="20"/>
              </w:rPr>
            </w:pPr>
            <w:r w:rsidRPr="00DA0FEE">
              <w:rPr>
                <w:rFonts w:ascii="Arial" w:hAnsi="Arial" w:cs="Arial"/>
                <w:b/>
                <w:bCs/>
                <w:sz w:val="20"/>
                <w:szCs w:val="20"/>
              </w:rPr>
              <w:t>H11</w:t>
            </w:r>
            <w:r w:rsidR="00A961E9" w:rsidRPr="00DA0FEE">
              <w:rPr>
                <w:rFonts w:ascii="Arial" w:hAnsi="Arial" w:cs="Arial"/>
                <w:b/>
                <w:bCs/>
                <w:sz w:val="20"/>
                <w:szCs w:val="20"/>
              </w:rPr>
              <w:t xml:space="preserve"> – </w:t>
            </w:r>
            <w:r w:rsidRPr="00DA0FEE">
              <w:rPr>
                <w:rFonts w:ascii="Arial" w:hAnsi="Arial" w:cs="Arial"/>
                <w:b/>
                <w:bCs/>
                <w:sz w:val="20"/>
                <w:szCs w:val="20"/>
              </w:rPr>
              <w:t>Water Process Boiler</w:t>
            </w:r>
          </w:p>
        </w:tc>
        <w:tc>
          <w:tcPr>
            <w:tcW w:w="1727" w:type="pct"/>
            <w:shd w:val="pct20" w:color="000000" w:fill="FFFFFF"/>
            <w:vAlign w:val="center"/>
          </w:tcPr>
          <w:p w:rsidR="00A961E9" w:rsidRPr="00DA0FEE" w:rsidRDefault="004C576E" w:rsidP="004C576E">
            <w:pPr>
              <w:rPr>
                <w:rFonts w:ascii="Arial" w:hAnsi="Arial" w:cs="Arial"/>
                <w:b/>
                <w:bCs/>
                <w:sz w:val="20"/>
                <w:szCs w:val="20"/>
              </w:rPr>
            </w:pPr>
            <w:r w:rsidRPr="00DA0FEE">
              <w:rPr>
                <w:rFonts w:ascii="Arial" w:hAnsi="Arial" w:cs="Arial"/>
                <w:b/>
                <w:bCs/>
                <w:sz w:val="20"/>
                <w:szCs w:val="20"/>
              </w:rPr>
              <w:t>H15</w:t>
            </w:r>
            <w:r w:rsidR="00A961E9" w:rsidRPr="00DA0FEE">
              <w:rPr>
                <w:rFonts w:ascii="Arial" w:hAnsi="Arial" w:cs="Arial"/>
                <w:b/>
                <w:bCs/>
                <w:sz w:val="20"/>
                <w:szCs w:val="20"/>
              </w:rPr>
              <w:t xml:space="preserve"> –</w:t>
            </w:r>
            <w:r w:rsidRPr="00DA0FEE">
              <w:rPr>
                <w:rFonts w:ascii="Arial" w:hAnsi="Arial" w:cs="Arial"/>
                <w:b/>
                <w:bCs/>
                <w:sz w:val="20"/>
                <w:szCs w:val="20"/>
              </w:rPr>
              <w:t xml:space="preserve"> Steam Process Boiler</w:t>
            </w:r>
          </w:p>
        </w:tc>
      </w:tr>
      <w:tr w:rsidR="00DA0FEE" w:rsidRPr="00A961E9" w:rsidTr="005E4134">
        <w:trPr>
          <w:trHeight w:val="465"/>
        </w:trPr>
        <w:tc>
          <w:tcPr>
            <w:tcW w:w="1545" w:type="pct"/>
            <w:shd w:val="pct5" w:color="000000" w:fill="FFFFFF"/>
          </w:tcPr>
          <w:p w:rsidR="00DA0FEE" w:rsidRPr="00DA0FEE" w:rsidRDefault="00DA0FEE" w:rsidP="00864083">
            <w:pPr>
              <w:rPr>
                <w:rFonts w:ascii="Arial" w:hAnsi="Arial" w:cs="Arial"/>
                <w:b/>
                <w:sz w:val="20"/>
                <w:szCs w:val="20"/>
              </w:rPr>
            </w:pPr>
            <w:r w:rsidRPr="00DA0FEE">
              <w:rPr>
                <w:rFonts w:ascii="Arial" w:hAnsi="Arial" w:cs="Arial"/>
                <w:b/>
                <w:sz w:val="20"/>
                <w:szCs w:val="20"/>
              </w:rPr>
              <w:t xml:space="preserve">Measure Description: </w:t>
            </w:r>
          </w:p>
        </w:tc>
        <w:tc>
          <w:tcPr>
            <w:tcW w:w="1727" w:type="pct"/>
            <w:shd w:val="pct5" w:color="000000" w:fill="FFFFFF"/>
          </w:tcPr>
          <w:p w:rsidR="00DA0FEE" w:rsidRPr="00DA0FEE" w:rsidRDefault="00DA0FEE" w:rsidP="00DA0FEE">
            <w:pPr>
              <w:rPr>
                <w:rFonts w:ascii="Arial" w:hAnsi="Arial" w:cs="Arial"/>
                <w:sz w:val="20"/>
                <w:szCs w:val="20"/>
              </w:rPr>
            </w:pPr>
            <w:r w:rsidRPr="00DA0FEE">
              <w:rPr>
                <w:rFonts w:ascii="Arial" w:hAnsi="Arial" w:cs="Arial"/>
                <w:sz w:val="20"/>
                <w:szCs w:val="20"/>
              </w:rPr>
              <w:t>Replacement of process water boiler with new boiler. Must have combustion test to verify combustion efficiency of 85% or better and input rating &lt; 20,000 kBTUh</w:t>
            </w:r>
          </w:p>
        </w:tc>
        <w:tc>
          <w:tcPr>
            <w:tcW w:w="1727" w:type="pct"/>
            <w:shd w:val="pct5" w:color="000000" w:fill="FFFFFF"/>
          </w:tcPr>
          <w:p w:rsidR="00DA0FEE" w:rsidRPr="00DA0FEE" w:rsidRDefault="00DA0FEE" w:rsidP="00DA0FEE">
            <w:pPr>
              <w:rPr>
                <w:rFonts w:ascii="Arial" w:hAnsi="Arial" w:cs="Arial"/>
                <w:sz w:val="20"/>
                <w:szCs w:val="20"/>
              </w:rPr>
            </w:pPr>
            <w:r w:rsidRPr="00DA0FEE">
              <w:rPr>
                <w:rFonts w:ascii="Arial" w:hAnsi="Arial" w:cs="Arial"/>
                <w:sz w:val="20"/>
                <w:szCs w:val="20"/>
              </w:rPr>
              <w:t>Replacement of process steam boiler with new boiler. Must have combustion test to verify combustion efficiency of 83% or better and input rating &lt; 20,000 kBTUh</w:t>
            </w:r>
          </w:p>
        </w:tc>
      </w:tr>
      <w:tr w:rsidR="00A961E9" w:rsidRPr="00A961E9" w:rsidTr="005E4134">
        <w:trPr>
          <w:trHeight w:val="465"/>
        </w:trPr>
        <w:tc>
          <w:tcPr>
            <w:tcW w:w="1545" w:type="pct"/>
            <w:shd w:val="pct20" w:color="000000" w:fill="FFFFFF"/>
          </w:tcPr>
          <w:p w:rsidR="00A961E9" w:rsidRPr="00DA0FEE" w:rsidRDefault="00A961E9" w:rsidP="00864083">
            <w:pPr>
              <w:rPr>
                <w:rFonts w:ascii="Arial" w:hAnsi="Arial" w:cs="Arial"/>
                <w:b/>
                <w:sz w:val="20"/>
                <w:szCs w:val="20"/>
              </w:rPr>
            </w:pPr>
            <w:r w:rsidRPr="00DA0FEE">
              <w:rPr>
                <w:rFonts w:ascii="Arial" w:hAnsi="Arial" w:cs="Arial"/>
                <w:b/>
                <w:sz w:val="20"/>
                <w:szCs w:val="20"/>
              </w:rPr>
              <w:t xml:space="preserve">Energy Impact Common Units: </w:t>
            </w:r>
          </w:p>
        </w:tc>
        <w:tc>
          <w:tcPr>
            <w:tcW w:w="1727" w:type="pct"/>
            <w:shd w:val="pct20" w:color="000000" w:fill="FFFFFF"/>
          </w:tcPr>
          <w:p w:rsidR="00A961E9" w:rsidRPr="00DA0FEE" w:rsidRDefault="00A961E9" w:rsidP="00864083">
            <w:pPr>
              <w:rPr>
                <w:rFonts w:ascii="Arial" w:hAnsi="Arial" w:cs="Arial"/>
                <w:sz w:val="20"/>
                <w:szCs w:val="20"/>
              </w:rPr>
            </w:pPr>
            <w:r w:rsidRPr="00DA0FEE">
              <w:rPr>
                <w:rFonts w:ascii="Arial" w:hAnsi="Arial" w:cs="Arial"/>
                <w:sz w:val="20"/>
                <w:szCs w:val="20"/>
              </w:rPr>
              <w:t>Per kBTUh of boiler rated input</w:t>
            </w:r>
          </w:p>
        </w:tc>
        <w:tc>
          <w:tcPr>
            <w:tcW w:w="1727" w:type="pct"/>
            <w:shd w:val="pct20" w:color="000000" w:fill="FFFFFF"/>
          </w:tcPr>
          <w:p w:rsidR="00A961E9" w:rsidRPr="00DA0FEE" w:rsidRDefault="00A961E9" w:rsidP="00864083">
            <w:pPr>
              <w:rPr>
                <w:rFonts w:ascii="Arial" w:hAnsi="Arial" w:cs="Arial"/>
                <w:sz w:val="20"/>
                <w:szCs w:val="20"/>
              </w:rPr>
            </w:pPr>
            <w:r w:rsidRPr="00DA0FEE">
              <w:rPr>
                <w:rFonts w:ascii="Arial" w:hAnsi="Arial" w:cs="Arial"/>
                <w:sz w:val="20"/>
                <w:szCs w:val="20"/>
              </w:rPr>
              <w:t>Per kBTUh of boiler rated input</w:t>
            </w:r>
          </w:p>
        </w:tc>
      </w:tr>
      <w:tr w:rsidR="00A961E9" w:rsidRPr="00A961E9" w:rsidTr="005E4134">
        <w:trPr>
          <w:trHeight w:val="465"/>
        </w:trPr>
        <w:tc>
          <w:tcPr>
            <w:tcW w:w="1545" w:type="pct"/>
            <w:shd w:val="pct5" w:color="000000" w:fill="FFFFFF"/>
          </w:tcPr>
          <w:p w:rsidR="00A961E9" w:rsidRPr="00273D84" w:rsidRDefault="00A961E9" w:rsidP="00864083">
            <w:pPr>
              <w:rPr>
                <w:rFonts w:ascii="Arial" w:hAnsi="Arial" w:cs="Arial"/>
                <w:b/>
                <w:sz w:val="20"/>
                <w:szCs w:val="20"/>
              </w:rPr>
            </w:pPr>
            <w:r w:rsidRPr="00273D84">
              <w:rPr>
                <w:rFonts w:ascii="Arial" w:hAnsi="Arial" w:cs="Arial"/>
                <w:b/>
                <w:sz w:val="20"/>
                <w:szCs w:val="20"/>
              </w:rPr>
              <w:t>Base Case Description:</w:t>
            </w:r>
          </w:p>
        </w:tc>
        <w:tc>
          <w:tcPr>
            <w:tcW w:w="1727" w:type="pct"/>
            <w:shd w:val="pct5" w:color="000000" w:fill="FFFFFF"/>
          </w:tcPr>
          <w:p w:rsidR="00A961E9" w:rsidRPr="00273D84" w:rsidRDefault="00273D84" w:rsidP="00456EE0">
            <w:pPr>
              <w:rPr>
                <w:rFonts w:ascii="Arial" w:hAnsi="Arial" w:cs="Arial"/>
                <w:b/>
                <w:sz w:val="20"/>
                <w:szCs w:val="20"/>
              </w:rPr>
            </w:pPr>
            <w:r w:rsidRPr="00273D84">
              <w:rPr>
                <w:rFonts w:ascii="Arial" w:hAnsi="Arial" w:cs="Arial"/>
                <w:sz w:val="20"/>
                <w:szCs w:val="20"/>
              </w:rPr>
              <w:t>Process</w:t>
            </w:r>
            <w:r w:rsidR="00A961E9" w:rsidRPr="00273D84">
              <w:rPr>
                <w:rFonts w:ascii="Arial" w:hAnsi="Arial" w:cs="Arial"/>
                <w:sz w:val="20"/>
                <w:szCs w:val="20"/>
              </w:rPr>
              <w:t xml:space="preserve"> water boiler with</w:t>
            </w:r>
            <w:r w:rsidR="00A961E9" w:rsidRPr="00273D84">
              <w:rPr>
                <w:rFonts w:ascii="Arial" w:hAnsi="Arial" w:cs="Arial"/>
                <w:b/>
                <w:sz w:val="20"/>
                <w:szCs w:val="20"/>
              </w:rPr>
              <w:t xml:space="preserve"> </w:t>
            </w:r>
            <w:r w:rsidRPr="00273D84">
              <w:rPr>
                <w:rFonts w:ascii="Arial" w:hAnsi="Arial" w:cs="Arial"/>
                <w:b/>
                <w:sz w:val="20"/>
                <w:szCs w:val="20"/>
              </w:rPr>
              <w:t>combustion</w:t>
            </w:r>
            <w:r w:rsidR="00A961E9" w:rsidRPr="00273D84">
              <w:rPr>
                <w:rFonts w:ascii="Arial" w:hAnsi="Arial" w:cs="Arial"/>
                <w:b/>
                <w:sz w:val="20"/>
                <w:szCs w:val="20"/>
              </w:rPr>
              <w:t xml:space="preserve"> efficiency of 8</w:t>
            </w:r>
            <w:r w:rsidR="00AE0D53">
              <w:rPr>
                <w:rFonts w:ascii="Arial" w:hAnsi="Arial" w:cs="Arial"/>
                <w:b/>
                <w:sz w:val="20"/>
                <w:szCs w:val="20"/>
              </w:rPr>
              <w:t>2</w:t>
            </w:r>
            <w:r w:rsidR="00A961E9" w:rsidRPr="00273D84">
              <w:rPr>
                <w:rFonts w:ascii="Arial" w:hAnsi="Arial" w:cs="Arial"/>
                <w:b/>
                <w:sz w:val="20"/>
                <w:szCs w:val="20"/>
              </w:rPr>
              <w:t>%.</w:t>
            </w:r>
            <w:r w:rsidR="00A961E9" w:rsidRPr="00273D84">
              <w:rPr>
                <w:rFonts w:ascii="Arial" w:hAnsi="Arial" w:cs="Arial"/>
                <w:b/>
                <w:sz w:val="20"/>
                <w:szCs w:val="20"/>
              </w:rPr>
              <w:br/>
            </w:r>
          </w:p>
          <w:p w:rsidR="00A961E9" w:rsidRPr="00273D84" w:rsidRDefault="005E4134" w:rsidP="0091339B">
            <w:pPr>
              <w:rPr>
                <w:rFonts w:ascii="Arial" w:hAnsi="Arial" w:cs="Arial"/>
                <w:sz w:val="20"/>
                <w:szCs w:val="20"/>
              </w:rPr>
            </w:pPr>
            <w:r>
              <w:rPr>
                <w:rFonts w:ascii="Arial" w:hAnsi="Arial" w:cs="Arial"/>
                <w:sz w:val="20"/>
                <w:szCs w:val="20"/>
              </w:rPr>
              <w:t>Source: 201</w:t>
            </w:r>
            <w:r w:rsidR="00AE0D53">
              <w:rPr>
                <w:rFonts w:ascii="Arial" w:hAnsi="Arial" w:cs="Arial"/>
                <w:sz w:val="20"/>
                <w:szCs w:val="20"/>
              </w:rPr>
              <w:t>3 Title 24</w:t>
            </w:r>
          </w:p>
          <w:p w:rsidR="00A961E9" w:rsidRPr="00273D84" w:rsidRDefault="00A961E9" w:rsidP="00F97E2B">
            <w:pPr>
              <w:rPr>
                <w:rFonts w:ascii="Arial" w:hAnsi="Arial" w:cs="Arial"/>
                <w:sz w:val="20"/>
                <w:szCs w:val="20"/>
              </w:rPr>
            </w:pPr>
          </w:p>
        </w:tc>
        <w:tc>
          <w:tcPr>
            <w:tcW w:w="1727" w:type="pct"/>
            <w:shd w:val="pct5" w:color="000000" w:fill="FFFFFF"/>
          </w:tcPr>
          <w:p w:rsidR="00273D84" w:rsidRPr="00273D84" w:rsidRDefault="00273D84" w:rsidP="00273D84">
            <w:pPr>
              <w:rPr>
                <w:rFonts w:ascii="Arial" w:hAnsi="Arial" w:cs="Arial"/>
                <w:b/>
                <w:sz w:val="20"/>
                <w:szCs w:val="20"/>
              </w:rPr>
            </w:pPr>
            <w:r w:rsidRPr="00273D84">
              <w:rPr>
                <w:rFonts w:ascii="Arial" w:hAnsi="Arial" w:cs="Arial"/>
                <w:sz w:val="20"/>
                <w:szCs w:val="20"/>
              </w:rPr>
              <w:t>Process steam boiler with</w:t>
            </w:r>
            <w:r w:rsidRPr="00273D84">
              <w:rPr>
                <w:rFonts w:ascii="Arial" w:hAnsi="Arial" w:cs="Arial"/>
                <w:b/>
                <w:sz w:val="20"/>
                <w:szCs w:val="20"/>
              </w:rPr>
              <w:t xml:space="preserve"> combustion efficiency of 8</w:t>
            </w:r>
            <w:r w:rsidR="005E4134">
              <w:rPr>
                <w:rFonts w:ascii="Arial" w:hAnsi="Arial" w:cs="Arial"/>
                <w:b/>
                <w:sz w:val="20"/>
                <w:szCs w:val="20"/>
              </w:rPr>
              <w:t>0</w:t>
            </w:r>
            <w:r w:rsidRPr="00273D84">
              <w:rPr>
                <w:rFonts w:ascii="Arial" w:hAnsi="Arial" w:cs="Arial"/>
                <w:b/>
                <w:sz w:val="20"/>
                <w:szCs w:val="20"/>
              </w:rPr>
              <w:t>%.</w:t>
            </w:r>
            <w:r w:rsidRPr="00273D84">
              <w:rPr>
                <w:rFonts w:ascii="Arial" w:hAnsi="Arial" w:cs="Arial"/>
                <w:b/>
                <w:sz w:val="20"/>
                <w:szCs w:val="20"/>
              </w:rPr>
              <w:br/>
            </w:r>
          </w:p>
          <w:p w:rsidR="00273D84" w:rsidRPr="00273D84" w:rsidRDefault="00273D84" w:rsidP="00273D84">
            <w:pPr>
              <w:rPr>
                <w:rFonts w:ascii="Arial" w:hAnsi="Arial" w:cs="Arial"/>
                <w:sz w:val="20"/>
                <w:szCs w:val="20"/>
              </w:rPr>
            </w:pPr>
            <w:r w:rsidRPr="00273D84">
              <w:rPr>
                <w:rFonts w:ascii="Arial" w:hAnsi="Arial" w:cs="Arial"/>
                <w:sz w:val="20"/>
                <w:szCs w:val="20"/>
              </w:rPr>
              <w:t>Source: 201</w:t>
            </w:r>
            <w:r w:rsidR="00AE0D53">
              <w:rPr>
                <w:rFonts w:ascii="Arial" w:hAnsi="Arial" w:cs="Arial"/>
                <w:sz w:val="20"/>
                <w:szCs w:val="20"/>
              </w:rPr>
              <w:t xml:space="preserve">3 Title 24 and DOE </w:t>
            </w:r>
            <w:r w:rsidR="00C72C78">
              <w:rPr>
                <w:rFonts w:ascii="Arial" w:hAnsi="Arial" w:cs="Arial"/>
                <w:sz w:val="20"/>
                <w:szCs w:val="20"/>
              </w:rPr>
              <w:t>Steam Tip Sheet</w:t>
            </w:r>
          </w:p>
          <w:p w:rsidR="00A961E9" w:rsidRPr="00273D84" w:rsidRDefault="00A961E9" w:rsidP="00F97E2B">
            <w:pPr>
              <w:rPr>
                <w:rFonts w:ascii="Arial" w:hAnsi="Arial" w:cs="Arial"/>
                <w:sz w:val="20"/>
                <w:szCs w:val="20"/>
              </w:rPr>
            </w:pPr>
          </w:p>
        </w:tc>
      </w:tr>
      <w:tr w:rsidR="00A961E9" w:rsidRPr="00A961E9" w:rsidTr="005E4134">
        <w:trPr>
          <w:trHeight w:val="465"/>
        </w:trPr>
        <w:tc>
          <w:tcPr>
            <w:tcW w:w="1545" w:type="pct"/>
            <w:shd w:val="pct20" w:color="000000" w:fill="FFFFFF"/>
          </w:tcPr>
          <w:p w:rsidR="00A961E9" w:rsidRPr="005E4134" w:rsidRDefault="00A961E9" w:rsidP="00864083">
            <w:pPr>
              <w:rPr>
                <w:rFonts w:ascii="Arial" w:hAnsi="Arial" w:cs="Arial"/>
                <w:b/>
                <w:sz w:val="20"/>
                <w:szCs w:val="20"/>
              </w:rPr>
            </w:pPr>
            <w:r w:rsidRPr="005E4134">
              <w:rPr>
                <w:rFonts w:ascii="Arial" w:hAnsi="Arial" w:cs="Arial"/>
                <w:b/>
                <w:sz w:val="20"/>
                <w:szCs w:val="20"/>
              </w:rPr>
              <w:t xml:space="preserve">Base Case Energy Consumption: </w:t>
            </w:r>
          </w:p>
        </w:tc>
        <w:tc>
          <w:tcPr>
            <w:tcW w:w="1727" w:type="pct"/>
            <w:shd w:val="pct20" w:color="000000" w:fill="FFFFFF"/>
          </w:tcPr>
          <w:p w:rsidR="00A961E9" w:rsidRPr="005E4134" w:rsidRDefault="005E4134" w:rsidP="00864083">
            <w:pPr>
              <w:rPr>
                <w:rFonts w:ascii="Arial" w:hAnsi="Arial" w:cs="Arial"/>
                <w:b/>
                <w:sz w:val="20"/>
                <w:szCs w:val="20"/>
              </w:rPr>
            </w:pPr>
            <w:r w:rsidRPr="005E4134">
              <w:rPr>
                <w:rFonts w:ascii="Arial" w:hAnsi="Arial" w:cs="Arial"/>
                <w:b/>
                <w:sz w:val="20"/>
                <w:szCs w:val="20"/>
              </w:rPr>
              <w:t>36.7 Therms / kBTUh</w:t>
            </w:r>
          </w:p>
          <w:p w:rsidR="00A961E9" w:rsidRPr="005E4134" w:rsidRDefault="00A961E9" w:rsidP="0066794C">
            <w:pPr>
              <w:rPr>
                <w:rFonts w:ascii="Arial" w:hAnsi="Arial" w:cs="Arial"/>
                <w:sz w:val="20"/>
                <w:szCs w:val="20"/>
              </w:rPr>
            </w:pPr>
          </w:p>
          <w:p w:rsidR="00A961E9" w:rsidRPr="005E4134" w:rsidRDefault="00A961E9" w:rsidP="00CD3C2D">
            <w:pPr>
              <w:rPr>
                <w:rFonts w:ascii="Arial" w:hAnsi="Arial" w:cs="Arial"/>
                <w:sz w:val="20"/>
                <w:szCs w:val="20"/>
              </w:rPr>
            </w:pPr>
            <w:r w:rsidRPr="005E4134">
              <w:rPr>
                <w:rFonts w:ascii="Arial" w:hAnsi="Arial" w:cs="Arial"/>
                <w:sz w:val="20"/>
                <w:szCs w:val="20"/>
              </w:rPr>
              <w:t xml:space="preserve">Source: </w:t>
            </w:r>
            <w:r w:rsidR="00954F35">
              <w:rPr>
                <w:rFonts w:ascii="Arial" w:hAnsi="Arial" w:cs="Arial"/>
                <w:sz w:val="20"/>
                <w:szCs w:val="20"/>
              </w:rPr>
              <w:t>Engineering</w:t>
            </w:r>
            <w:r w:rsidR="00273D84" w:rsidRPr="005E4134">
              <w:rPr>
                <w:rFonts w:ascii="Arial" w:hAnsi="Arial" w:cs="Arial"/>
                <w:sz w:val="20"/>
                <w:szCs w:val="20"/>
              </w:rPr>
              <w:t xml:space="preserve"> Calculations</w:t>
            </w:r>
          </w:p>
          <w:p w:rsidR="00A961E9" w:rsidRPr="005E4134" w:rsidRDefault="00A961E9" w:rsidP="0066794C">
            <w:pPr>
              <w:rPr>
                <w:rFonts w:ascii="Arial" w:hAnsi="Arial" w:cs="Arial"/>
                <w:sz w:val="20"/>
                <w:szCs w:val="20"/>
              </w:rPr>
            </w:pPr>
          </w:p>
        </w:tc>
        <w:tc>
          <w:tcPr>
            <w:tcW w:w="1727" w:type="pct"/>
            <w:shd w:val="pct20" w:color="000000" w:fill="FFFFFF"/>
          </w:tcPr>
          <w:p w:rsidR="005E4134" w:rsidRPr="005E4134" w:rsidRDefault="005E4134" w:rsidP="005E4134">
            <w:pPr>
              <w:rPr>
                <w:rFonts w:ascii="Arial" w:hAnsi="Arial" w:cs="Arial"/>
                <w:b/>
                <w:sz w:val="20"/>
                <w:szCs w:val="20"/>
              </w:rPr>
            </w:pPr>
            <w:r w:rsidRPr="005E4134">
              <w:rPr>
                <w:rFonts w:ascii="Arial" w:hAnsi="Arial" w:cs="Arial"/>
                <w:b/>
                <w:sz w:val="20"/>
                <w:szCs w:val="20"/>
              </w:rPr>
              <w:t>36.7 Therms / kBTUh</w:t>
            </w:r>
          </w:p>
          <w:p w:rsidR="00A961E9" w:rsidRPr="005E4134" w:rsidRDefault="00A961E9" w:rsidP="00864083">
            <w:pPr>
              <w:rPr>
                <w:rFonts w:ascii="Arial" w:hAnsi="Arial" w:cs="Arial"/>
                <w:sz w:val="20"/>
                <w:szCs w:val="20"/>
              </w:rPr>
            </w:pPr>
          </w:p>
          <w:p w:rsidR="00954F35" w:rsidRPr="005E4134" w:rsidRDefault="00954F35" w:rsidP="00954F35">
            <w:pPr>
              <w:rPr>
                <w:rFonts w:ascii="Arial" w:hAnsi="Arial" w:cs="Arial"/>
                <w:sz w:val="20"/>
                <w:szCs w:val="20"/>
              </w:rPr>
            </w:pPr>
            <w:r w:rsidRPr="005E4134">
              <w:rPr>
                <w:rFonts w:ascii="Arial" w:hAnsi="Arial" w:cs="Arial"/>
                <w:sz w:val="20"/>
                <w:szCs w:val="20"/>
              </w:rPr>
              <w:t xml:space="preserve">Source: </w:t>
            </w:r>
            <w:r>
              <w:rPr>
                <w:rFonts w:ascii="Arial" w:hAnsi="Arial" w:cs="Arial"/>
                <w:sz w:val="20"/>
                <w:szCs w:val="20"/>
              </w:rPr>
              <w:t>Engineering</w:t>
            </w:r>
            <w:r w:rsidRPr="005E4134">
              <w:rPr>
                <w:rFonts w:ascii="Arial" w:hAnsi="Arial" w:cs="Arial"/>
                <w:sz w:val="20"/>
                <w:szCs w:val="20"/>
              </w:rPr>
              <w:t xml:space="preserve"> Calculations</w:t>
            </w:r>
          </w:p>
          <w:p w:rsidR="00A961E9" w:rsidRPr="005E4134" w:rsidRDefault="00A961E9" w:rsidP="00864083">
            <w:pPr>
              <w:rPr>
                <w:rFonts w:ascii="Arial" w:hAnsi="Arial" w:cs="Arial"/>
                <w:sz w:val="20"/>
                <w:szCs w:val="20"/>
              </w:rPr>
            </w:pPr>
          </w:p>
        </w:tc>
      </w:tr>
      <w:tr w:rsidR="00A961E9" w:rsidRPr="00A961E9" w:rsidTr="005E4134">
        <w:trPr>
          <w:trHeight w:val="465"/>
        </w:trPr>
        <w:tc>
          <w:tcPr>
            <w:tcW w:w="1545" w:type="pct"/>
            <w:shd w:val="pct5" w:color="000000" w:fill="FFFFFF"/>
          </w:tcPr>
          <w:p w:rsidR="00A961E9" w:rsidRPr="005E4134" w:rsidRDefault="00A961E9" w:rsidP="00864083">
            <w:pPr>
              <w:rPr>
                <w:rFonts w:ascii="Arial" w:hAnsi="Arial" w:cs="Arial"/>
                <w:b/>
                <w:sz w:val="20"/>
                <w:szCs w:val="20"/>
              </w:rPr>
            </w:pPr>
            <w:r w:rsidRPr="005E4134">
              <w:rPr>
                <w:rFonts w:ascii="Arial" w:hAnsi="Arial" w:cs="Arial"/>
                <w:b/>
                <w:sz w:val="20"/>
                <w:szCs w:val="20"/>
              </w:rPr>
              <w:t>Measure Energy Consumption:</w:t>
            </w:r>
          </w:p>
        </w:tc>
        <w:tc>
          <w:tcPr>
            <w:tcW w:w="1727" w:type="pct"/>
            <w:shd w:val="pct5" w:color="000000" w:fill="FFFFFF"/>
          </w:tcPr>
          <w:p w:rsidR="005E4134" w:rsidRPr="005E4134" w:rsidRDefault="00AE0D53" w:rsidP="005E4134">
            <w:pPr>
              <w:rPr>
                <w:rFonts w:ascii="Arial" w:hAnsi="Arial" w:cs="Arial"/>
                <w:b/>
                <w:sz w:val="20"/>
                <w:szCs w:val="20"/>
              </w:rPr>
            </w:pPr>
            <w:r>
              <w:rPr>
                <w:rFonts w:ascii="Arial" w:hAnsi="Arial" w:cs="Arial"/>
                <w:b/>
                <w:sz w:val="20"/>
                <w:szCs w:val="20"/>
              </w:rPr>
              <w:t>33.8</w:t>
            </w:r>
            <w:r w:rsidR="005E4134" w:rsidRPr="005E4134">
              <w:rPr>
                <w:rFonts w:ascii="Arial" w:hAnsi="Arial" w:cs="Arial"/>
                <w:b/>
                <w:sz w:val="20"/>
                <w:szCs w:val="20"/>
              </w:rPr>
              <w:t xml:space="preserve"> Therms / kBTUh</w:t>
            </w:r>
          </w:p>
          <w:p w:rsidR="00A961E9" w:rsidRPr="005E4134" w:rsidRDefault="00A961E9" w:rsidP="00864083">
            <w:pPr>
              <w:rPr>
                <w:rFonts w:ascii="Arial" w:hAnsi="Arial" w:cs="Arial"/>
                <w:sz w:val="20"/>
                <w:szCs w:val="20"/>
              </w:rPr>
            </w:pPr>
          </w:p>
          <w:p w:rsidR="00954F35" w:rsidRPr="005E4134" w:rsidRDefault="00954F35" w:rsidP="00954F35">
            <w:pPr>
              <w:rPr>
                <w:rFonts w:ascii="Arial" w:hAnsi="Arial" w:cs="Arial"/>
                <w:sz w:val="20"/>
                <w:szCs w:val="20"/>
              </w:rPr>
            </w:pPr>
            <w:r w:rsidRPr="005E4134">
              <w:rPr>
                <w:rFonts w:ascii="Arial" w:hAnsi="Arial" w:cs="Arial"/>
                <w:sz w:val="20"/>
                <w:szCs w:val="20"/>
              </w:rPr>
              <w:t xml:space="preserve">Source: </w:t>
            </w:r>
            <w:r>
              <w:rPr>
                <w:rFonts w:ascii="Arial" w:hAnsi="Arial" w:cs="Arial"/>
                <w:sz w:val="20"/>
                <w:szCs w:val="20"/>
              </w:rPr>
              <w:t>Engineering</w:t>
            </w:r>
            <w:r w:rsidRPr="005E4134">
              <w:rPr>
                <w:rFonts w:ascii="Arial" w:hAnsi="Arial" w:cs="Arial"/>
                <w:sz w:val="20"/>
                <w:szCs w:val="20"/>
              </w:rPr>
              <w:t xml:space="preserve"> Calculations</w:t>
            </w:r>
          </w:p>
          <w:p w:rsidR="00A961E9" w:rsidRPr="005E4134" w:rsidRDefault="00A961E9" w:rsidP="00670235">
            <w:pPr>
              <w:rPr>
                <w:rFonts w:ascii="Arial" w:hAnsi="Arial" w:cs="Arial"/>
                <w:sz w:val="20"/>
                <w:szCs w:val="20"/>
              </w:rPr>
            </w:pPr>
          </w:p>
        </w:tc>
        <w:tc>
          <w:tcPr>
            <w:tcW w:w="1727" w:type="pct"/>
            <w:shd w:val="pct5" w:color="000000" w:fill="FFFFFF"/>
          </w:tcPr>
          <w:p w:rsidR="005E4134" w:rsidRPr="005E4134" w:rsidRDefault="005E4134" w:rsidP="005E4134">
            <w:pPr>
              <w:rPr>
                <w:rFonts w:ascii="Arial" w:hAnsi="Arial" w:cs="Arial"/>
                <w:b/>
                <w:sz w:val="20"/>
                <w:szCs w:val="20"/>
              </w:rPr>
            </w:pPr>
            <w:r w:rsidRPr="005E4134">
              <w:rPr>
                <w:rFonts w:ascii="Arial" w:hAnsi="Arial" w:cs="Arial"/>
                <w:b/>
                <w:sz w:val="20"/>
                <w:szCs w:val="20"/>
              </w:rPr>
              <w:t>35.3 Therms / kBTUh</w:t>
            </w:r>
          </w:p>
          <w:p w:rsidR="00A961E9" w:rsidRPr="005E4134" w:rsidRDefault="00A961E9" w:rsidP="00864083">
            <w:pPr>
              <w:rPr>
                <w:rFonts w:ascii="Arial" w:hAnsi="Arial" w:cs="Arial"/>
                <w:sz w:val="20"/>
                <w:szCs w:val="20"/>
              </w:rPr>
            </w:pPr>
          </w:p>
          <w:p w:rsidR="00954F35" w:rsidRPr="005E4134" w:rsidRDefault="00954F35" w:rsidP="00954F35">
            <w:pPr>
              <w:rPr>
                <w:rFonts w:ascii="Arial" w:hAnsi="Arial" w:cs="Arial"/>
                <w:sz w:val="20"/>
                <w:szCs w:val="20"/>
              </w:rPr>
            </w:pPr>
            <w:r w:rsidRPr="005E4134">
              <w:rPr>
                <w:rFonts w:ascii="Arial" w:hAnsi="Arial" w:cs="Arial"/>
                <w:sz w:val="20"/>
                <w:szCs w:val="20"/>
              </w:rPr>
              <w:t xml:space="preserve">Source: </w:t>
            </w:r>
            <w:r>
              <w:rPr>
                <w:rFonts w:ascii="Arial" w:hAnsi="Arial" w:cs="Arial"/>
                <w:sz w:val="20"/>
                <w:szCs w:val="20"/>
              </w:rPr>
              <w:t>Engineering</w:t>
            </w:r>
            <w:r w:rsidRPr="005E4134">
              <w:rPr>
                <w:rFonts w:ascii="Arial" w:hAnsi="Arial" w:cs="Arial"/>
                <w:sz w:val="20"/>
                <w:szCs w:val="20"/>
              </w:rPr>
              <w:t xml:space="preserve"> Calculations</w:t>
            </w:r>
          </w:p>
          <w:p w:rsidR="00A961E9" w:rsidRPr="005E4134" w:rsidRDefault="00A961E9" w:rsidP="00670235">
            <w:pPr>
              <w:rPr>
                <w:rFonts w:ascii="Arial" w:hAnsi="Arial" w:cs="Arial"/>
                <w:sz w:val="20"/>
                <w:szCs w:val="20"/>
              </w:rPr>
            </w:pPr>
          </w:p>
        </w:tc>
      </w:tr>
      <w:tr w:rsidR="005E4134" w:rsidRPr="00A961E9" w:rsidTr="005E4134">
        <w:trPr>
          <w:trHeight w:val="465"/>
        </w:trPr>
        <w:tc>
          <w:tcPr>
            <w:tcW w:w="1545" w:type="pct"/>
            <w:shd w:val="pct20" w:color="000000" w:fill="FFFFFF"/>
          </w:tcPr>
          <w:p w:rsidR="005E4134" w:rsidRPr="005E4134" w:rsidRDefault="005E4134" w:rsidP="00864083">
            <w:pPr>
              <w:rPr>
                <w:rFonts w:ascii="Arial" w:hAnsi="Arial" w:cs="Arial"/>
                <w:b/>
                <w:sz w:val="20"/>
                <w:szCs w:val="20"/>
              </w:rPr>
            </w:pPr>
            <w:r w:rsidRPr="005E4134">
              <w:rPr>
                <w:rFonts w:ascii="Arial" w:hAnsi="Arial" w:cs="Arial"/>
                <w:b/>
                <w:sz w:val="20"/>
                <w:szCs w:val="20"/>
              </w:rPr>
              <w:t>Energy Savings (Base Case – Measure)</w:t>
            </w:r>
          </w:p>
        </w:tc>
        <w:tc>
          <w:tcPr>
            <w:tcW w:w="1727" w:type="pct"/>
            <w:shd w:val="pct20" w:color="000000" w:fill="FFFFFF"/>
          </w:tcPr>
          <w:p w:rsidR="005E4134" w:rsidRPr="005E4134" w:rsidRDefault="00AE0D53" w:rsidP="005E4134">
            <w:pPr>
              <w:rPr>
                <w:rFonts w:ascii="Arial" w:hAnsi="Arial" w:cs="Arial"/>
                <w:b/>
                <w:sz w:val="20"/>
                <w:szCs w:val="20"/>
              </w:rPr>
            </w:pPr>
            <w:r>
              <w:rPr>
                <w:rFonts w:ascii="Arial" w:hAnsi="Arial" w:cs="Arial"/>
                <w:b/>
                <w:sz w:val="20"/>
                <w:szCs w:val="20"/>
              </w:rPr>
              <w:t>2.9</w:t>
            </w:r>
            <w:r w:rsidR="005E4134" w:rsidRPr="005E4134">
              <w:rPr>
                <w:rFonts w:ascii="Arial" w:hAnsi="Arial" w:cs="Arial"/>
                <w:b/>
                <w:sz w:val="20"/>
                <w:szCs w:val="20"/>
              </w:rPr>
              <w:t>Therms / kBTUh</w:t>
            </w:r>
          </w:p>
          <w:p w:rsidR="005E4134" w:rsidRPr="005E4134" w:rsidRDefault="005E4134" w:rsidP="005E4134">
            <w:pPr>
              <w:rPr>
                <w:rFonts w:ascii="Arial" w:hAnsi="Arial" w:cs="Arial"/>
                <w:sz w:val="20"/>
                <w:szCs w:val="20"/>
              </w:rPr>
            </w:pPr>
          </w:p>
          <w:p w:rsidR="00954F35" w:rsidRPr="005E4134" w:rsidRDefault="00954F35" w:rsidP="00954F35">
            <w:pPr>
              <w:rPr>
                <w:rFonts w:ascii="Arial" w:hAnsi="Arial" w:cs="Arial"/>
                <w:sz w:val="20"/>
                <w:szCs w:val="20"/>
              </w:rPr>
            </w:pPr>
            <w:r w:rsidRPr="005E4134">
              <w:rPr>
                <w:rFonts w:ascii="Arial" w:hAnsi="Arial" w:cs="Arial"/>
                <w:sz w:val="20"/>
                <w:szCs w:val="20"/>
              </w:rPr>
              <w:t xml:space="preserve">Source: </w:t>
            </w:r>
            <w:r>
              <w:rPr>
                <w:rFonts w:ascii="Arial" w:hAnsi="Arial" w:cs="Arial"/>
                <w:sz w:val="20"/>
                <w:szCs w:val="20"/>
              </w:rPr>
              <w:t>Engineering</w:t>
            </w:r>
            <w:r w:rsidRPr="005E4134">
              <w:rPr>
                <w:rFonts w:ascii="Arial" w:hAnsi="Arial" w:cs="Arial"/>
                <w:sz w:val="20"/>
                <w:szCs w:val="20"/>
              </w:rPr>
              <w:t xml:space="preserve"> Calculations</w:t>
            </w:r>
          </w:p>
          <w:p w:rsidR="005E4134" w:rsidRPr="005E4134" w:rsidRDefault="005E4134" w:rsidP="005E4134">
            <w:pPr>
              <w:rPr>
                <w:rFonts w:ascii="Arial" w:hAnsi="Arial" w:cs="Arial"/>
                <w:sz w:val="20"/>
                <w:szCs w:val="20"/>
              </w:rPr>
            </w:pPr>
          </w:p>
        </w:tc>
        <w:tc>
          <w:tcPr>
            <w:tcW w:w="1727" w:type="pct"/>
            <w:shd w:val="pct20" w:color="000000" w:fill="FFFFFF"/>
          </w:tcPr>
          <w:p w:rsidR="005E4134" w:rsidRPr="005E4134" w:rsidRDefault="005E4134" w:rsidP="005E4134">
            <w:pPr>
              <w:rPr>
                <w:rFonts w:ascii="Arial" w:hAnsi="Arial" w:cs="Arial"/>
                <w:b/>
                <w:sz w:val="20"/>
                <w:szCs w:val="20"/>
              </w:rPr>
            </w:pPr>
            <w:r w:rsidRPr="005E4134">
              <w:rPr>
                <w:rFonts w:ascii="Arial" w:hAnsi="Arial" w:cs="Arial"/>
                <w:b/>
                <w:sz w:val="20"/>
                <w:szCs w:val="20"/>
              </w:rPr>
              <w:t>1.4 Therms / kBTUh</w:t>
            </w:r>
          </w:p>
          <w:p w:rsidR="005E4134" w:rsidRPr="005E4134" w:rsidRDefault="005E4134" w:rsidP="005E4134">
            <w:pPr>
              <w:rPr>
                <w:rFonts w:ascii="Arial" w:hAnsi="Arial" w:cs="Arial"/>
                <w:sz w:val="20"/>
                <w:szCs w:val="20"/>
              </w:rPr>
            </w:pPr>
          </w:p>
          <w:p w:rsidR="00954F35" w:rsidRPr="005E4134" w:rsidRDefault="00954F35" w:rsidP="00954F35">
            <w:pPr>
              <w:rPr>
                <w:rFonts w:ascii="Arial" w:hAnsi="Arial" w:cs="Arial"/>
                <w:sz w:val="20"/>
                <w:szCs w:val="20"/>
              </w:rPr>
            </w:pPr>
            <w:r w:rsidRPr="005E4134">
              <w:rPr>
                <w:rFonts w:ascii="Arial" w:hAnsi="Arial" w:cs="Arial"/>
                <w:sz w:val="20"/>
                <w:szCs w:val="20"/>
              </w:rPr>
              <w:t xml:space="preserve">Source: </w:t>
            </w:r>
            <w:r>
              <w:rPr>
                <w:rFonts w:ascii="Arial" w:hAnsi="Arial" w:cs="Arial"/>
                <w:sz w:val="20"/>
                <w:szCs w:val="20"/>
              </w:rPr>
              <w:t>Engineering</w:t>
            </w:r>
            <w:r w:rsidRPr="005E4134">
              <w:rPr>
                <w:rFonts w:ascii="Arial" w:hAnsi="Arial" w:cs="Arial"/>
                <w:sz w:val="20"/>
                <w:szCs w:val="20"/>
              </w:rPr>
              <w:t xml:space="preserve"> Calculations</w:t>
            </w:r>
          </w:p>
          <w:p w:rsidR="005E4134" w:rsidRPr="005E4134" w:rsidRDefault="005E4134" w:rsidP="005E4134">
            <w:pPr>
              <w:rPr>
                <w:rFonts w:ascii="Arial" w:hAnsi="Arial" w:cs="Arial"/>
                <w:sz w:val="20"/>
                <w:szCs w:val="20"/>
              </w:rPr>
            </w:pPr>
          </w:p>
        </w:tc>
      </w:tr>
      <w:tr w:rsidR="00A961E9" w:rsidRPr="00A961E9" w:rsidTr="005E4134">
        <w:trPr>
          <w:trHeight w:val="465"/>
        </w:trPr>
        <w:tc>
          <w:tcPr>
            <w:tcW w:w="1545" w:type="pct"/>
            <w:shd w:val="pct5"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 xml:space="preserve">Costs Common Units: </w:t>
            </w:r>
          </w:p>
        </w:tc>
        <w:tc>
          <w:tcPr>
            <w:tcW w:w="1727" w:type="pct"/>
            <w:shd w:val="pct5" w:color="000000" w:fill="FFFFFF"/>
          </w:tcPr>
          <w:p w:rsidR="00A961E9" w:rsidRPr="00D96694" w:rsidRDefault="00A961E9" w:rsidP="00C7036F">
            <w:pPr>
              <w:rPr>
                <w:rFonts w:ascii="Arial" w:hAnsi="Arial" w:cs="Arial"/>
                <w:sz w:val="20"/>
                <w:szCs w:val="20"/>
              </w:rPr>
            </w:pPr>
            <w:r w:rsidRPr="00D96694">
              <w:rPr>
                <w:rFonts w:ascii="Arial" w:hAnsi="Arial" w:cs="Arial"/>
                <w:sz w:val="20"/>
                <w:szCs w:val="20"/>
              </w:rPr>
              <w:t>Per kBTUh of boiler rated input</w:t>
            </w:r>
          </w:p>
        </w:tc>
        <w:tc>
          <w:tcPr>
            <w:tcW w:w="1727" w:type="pct"/>
            <w:shd w:val="pct5" w:color="000000" w:fill="FFFFFF"/>
          </w:tcPr>
          <w:p w:rsidR="00A961E9" w:rsidRPr="00D96694" w:rsidRDefault="00A961E9" w:rsidP="00165364">
            <w:pPr>
              <w:rPr>
                <w:rFonts w:ascii="Arial" w:hAnsi="Arial" w:cs="Arial"/>
                <w:sz w:val="20"/>
                <w:szCs w:val="20"/>
              </w:rPr>
            </w:pPr>
            <w:r w:rsidRPr="00D96694">
              <w:rPr>
                <w:rFonts w:ascii="Arial" w:hAnsi="Arial" w:cs="Arial"/>
                <w:sz w:val="20"/>
                <w:szCs w:val="20"/>
              </w:rPr>
              <w:t>Per kBTUh of boiler rated input</w:t>
            </w:r>
          </w:p>
        </w:tc>
      </w:tr>
      <w:tr w:rsidR="00A961E9" w:rsidRPr="00A961E9" w:rsidTr="005E4134">
        <w:trPr>
          <w:trHeight w:val="465"/>
        </w:trPr>
        <w:tc>
          <w:tcPr>
            <w:tcW w:w="1545" w:type="pct"/>
            <w:shd w:val="pct20"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Base Case Equipment Cost ($/unit):</w:t>
            </w:r>
          </w:p>
        </w:tc>
        <w:tc>
          <w:tcPr>
            <w:tcW w:w="1727" w:type="pct"/>
            <w:shd w:val="pct20" w:color="000000" w:fill="FFFFFF"/>
            <w:vAlign w:val="center"/>
          </w:tcPr>
          <w:p w:rsidR="00C97869" w:rsidRDefault="00C97869" w:rsidP="00C97869">
            <w:pPr>
              <w:rPr>
                <w:rFonts w:ascii="Arial" w:hAnsi="Arial" w:cs="Arial"/>
                <w:sz w:val="20"/>
                <w:szCs w:val="20"/>
              </w:rPr>
            </w:pPr>
            <w:r w:rsidRPr="00D96694">
              <w:rPr>
                <w:rFonts w:ascii="Arial" w:hAnsi="Arial" w:cs="Arial"/>
                <w:b/>
                <w:sz w:val="20"/>
                <w:szCs w:val="20"/>
              </w:rPr>
              <w:t>$</w:t>
            </w:r>
            <w:r w:rsidR="004036F7">
              <w:rPr>
                <w:rFonts w:ascii="Arial" w:hAnsi="Arial" w:cs="Arial"/>
                <w:b/>
                <w:sz w:val="20"/>
                <w:szCs w:val="20"/>
              </w:rPr>
              <w:t>8.43</w:t>
            </w:r>
            <w:r w:rsidRPr="00D96694">
              <w:rPr>
                <w:rFonts w:ascii="Arial" w:hAnsi="Arial" w:cs="Arial"/>
                <w:b/>
                <w:sz w:val="20"/>
                <w:szCs w:val="20"/>
              </w:rPr>
              <w:t>kBTUh</w:t>
            </w:r>
            <w:r w:rsidRPr="00D96694">
              <w:rPr>
                <w:rFonts w:ascii="Arial" w:hAnsi="Arial" w:cs="Arial"/>
                <w:sz w:val="20"/>
                <w:szCs w:val="20"/>
              </w:rPr>
              <w:t xml:space="preserve"> </w:t>
            </w:r>
          </w:p>
          <w:p w:rsidR="00A961E9" w:rsidRPr="00D96694" w:rsidRDefault="00486B45" w:rsidP="007D451F">
            <w:pPr>
              <w:rPr>
                <w:rFonts w:ascii="Arial" w:hAnsi="Arial" w:cs="Arial"/>
                <w:b/>
                <w:sz w:val="20"/>
                <w:szCs w:val="20"/>
              </w:rPr>
            </w:pPr>
            <w:r>
              <w:rPr>
                <w:rFonts w:ascii="Arial" w:hAnsi="Arial" w:cs="Arial"/>
                <w:sz w:val="20"/>
                <w:szCs w:val="20"/>
              </w:rPr>
              <w:t>Source:  DEER 2008</w:t>
            </w:r>
            <w:r w:rsidR="001E436C" w:rsidRPr="00D96694">
              <w:rPr>
                <w:rFonts w:ascii="Arial" w:hAnsi="Arial" w:cs="Arial"/>
                <w:sz w:val="20"/>
                <w:szCs w:val="20"/>
              </w:rPr>
              <w:t xml:space="preserve"> </w:t>
            </w:r>
          </w:p>
        </w:tc>
        <w:tc>
          <w:tcPr>
            <w:tcW w:w="1727" w:type="pct"/>
            <w:shd w:val="pct20" w:color="000000" w:fill="FFFFFF"/>
            <w:vAlign w:val="center"/>
          </w:tcPr>
          <w:p w:rsidR="00C97869" w:rsidRDefault="00486B45" w:rsidP="00C97869">
            <w:pPr>
              <w:rPr>
                <w:rFonts w:ascii="Arial" w:hAnsi="Arial" w:cs="Arial"/>
                <w:sz w:val="20"/>
                <w:szCs w:val="20"/>
              </w:rPr>
            </w:pPr>
            <w:r>
              <w:rPr>
                <w:rFonts w:ascii="Arial" w:hAnsi="Arial" w:cs="Arial"/>
                <w:b/>
                <w:sz w:val="20"/>
                <w:szCs w:val="20"/>
              </w:rPr>
              <w:t>$10.12</w:t>
            </w:r>
            <w:r w:rsidR="00C97869" w:rsidRPr="00D96694">
              <w:rPr>
                <w:rFonts w:ascii="Arial" w:hAnsi="Arial" w:cs="Arial"/>
                <w:b/>
                <w:sz w:val="20"/>
                <w:szCs w:val="20"/>
              </w:rPr>
              <w:t>/kBTUh</w:t>
            </w:r>
          </w:p>
          <w:p w:rsidR="00A961E9" w:rsidRPr="00D96694" w:rsidRDefault="00486B45" w:rsidP="00486B45">
            <w:pPr>
              <w:rPr>
                <w:rFonts w:ascii="Arial" w:hAnsi="Arial" w:cs="Arial"/>
                <w:b/>
                <w:sz w:val="20"/>
                <w:szCs w:val="20"/>
              </w:rPr>
            </w:pPr>
            <w:r>
              <w:rPr>
                <w:rFonts w:ascii="Arial" w:hAnsi="Arial" w:cs="Arial"/>
                <w:sz w:val="20"/>
                <w:szCs w:val="20"/>
              </w:rPr>
              <w:t>Source:  DEER 2008</w:t>
            </w:r>
          </w:p>
        </w:tc>
      </w:tr>
      <w:tr w:rsidR="00A961E9" w:rsidRPr="00A961E9" w:rsidTr="005E4134">
        <w:trPr>
          <w:trHeight w:val="465"/>
        </w:trPr>
        <w:tc>
          <w:tcPr>
            <w:tcW w:w="1545" w:type="pct"/>
            <w:shd w:val="pct5"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 xml:space="preserve">Measure Equipment Cost ($/unit): </w:t>
            </w:r>
          </w:p>
        </w:tc>
        <w:tc>
          <w:tcPr>
            <w:tcW w:w="1727" w:type="pct"/>
            <w:shd w:val="pct5" w:color="000000" w:fill="FFFFFF"/>
          </w:tcPr>
          <w:p w:rsidR="00C97869" w:rsidRDefault="00C97869" w:rsidP="00864083">
            <w:pPr>
              <w:rPr>
                <w:rFonts w:ascii="Arial" w:hAnsi="Arial" w:cs="Arial"/>
                <w:sz w:val="20"/>
                <w:szCs w:val="20"/>
              </w:rPr>
            </w:pPr>
            <w:r w:rsidRPr="00D96694">
              <w:rPr>
                <w:rFonts w:ascii="Arial" w:hAnsi="Arial" w:cs="Arial"/>
                <w:b/>
                <w:sz w:val="20"/>
                <w:szCs w:val="20"/>
              </w:rPr>
              <w:t>$</w:t>
            </w:r>
            <w:r w:rsidR="003135E2">
              <w:rPr>
                <w:rFonts w:ascii="Arial" w:hAnsi="Arial" w:cs="Arial"/>
                <w:b/>
                <w:sz w:val="20"/>
                <w:szCs w:val="20"/>
              </w:rPr>
              <w:t>9.93</w:t>
            </w:r>
            <w:r w:rsidRPr="00D96694">
              <w:rPr>
                <w:rFonts w:ascii="Arial" w:hAnsi="Arial" w:cs="Arial"/>
                <w:b/>
                <w:sz w:val="20"/>
                <w:szCs w:val="20"/>
              </w:rPr>
              <w:t>/kBTUh</w:t>
            </w:r>
            <w:r w:rsidRPr="00D96694">
              <w:rPr>
                <w:rFonts w:ascii="Arial" w:hAnsi="Arial" w:cs="Arial"/>
                <w:sz w:val="20"/>
                <w:szCs w:val="20"/>
              </w:rPr>
              <w:t xml:space="preserve"> </w:t>
            </w:r>
          </w:p>
          <w:p w:rsidR="00A961E9" w:rsidRPr="00C97869" w:rsidRDefault="00A961E9" w:rsidP="00486B45">
            <w:pPr>
              <w:rPr>
                <w:rFonts w:ascii="Arial" w:hAnsi="Arial" w:cs="Arial"/>
                <w:sz w:val="20"/>
                <w:szCs w:val="20"/>
              </w:rPr>
            </w:pPr>
            <w:r w:rsidRPr="00D96694">
              <w:rPr>
                <w:rFonts w:ascii="Arial" w:hAnsi="Arial" w:cs="Arial"/>
                <w:sz w:val="20"/>
                <w:szCs w:val="20"/>
              </w:rPr>
              <w:t>Source:  DEER 20</w:t>
            </w:r>
            <w:r w:rsidR="00486B45">
              <w:rPr>
                <w:rFonts w:ascii="Arial" w:hAnsi="Arial" w:cs="Arial"/>
                <w:sz w:val="20"/>
                <w:szCs w:val="20"/>
              </w:rPr>
              <w:t>08</w:t>
            </w:r>
          </w:p>
        </w:tc>
        <w:tc>
          <w:tcPr>
            <w:tcW w:w="1727" w:type="pct"/>
            <w:shd w:val="pct5" w:color="000000" w:fill="FFFFFF"/>
          </w:tcPr>
          <w:p w:rsidR="00C97869" w:rsidRDefault="00C97869" w:rsidP="00D96694">
            <w:pPr>
              <w:rPr>
                <w:rFonts w:ascii="Arial" w:hAnsi="Arial" w:cs="Arial"/>
                <w:sz w:val="20"/>
                <w:szCs w:val="20"/>
              </w:rPr>
            </w:pPr>
            <w:r w:rsidRPr="00D96694">
              <w:rPr>
                <w:rFonts w:ascii="Arial" w:hAnsi="Arial" w:cs="Arial"/>
                <w:b/>
                <w:sz w:val="20"/>
                <w:szCs w:val="20"/>
              </w:rPr>
              <w:t>$</w:t>
            </w:r>
            <w:r w:rsidR="00486B45">
              <w:rPr>
                <w:rFonts w:ascii="Arial" w:hAnsi="Arial" w:cs="Arial"/>
                <w:b/>
                <w:sz w:val="20"/>
                <w:szCs w:val="20"/>
              </w:rPr>
              <w:t>1</w:t>
            </w:r>
            <w:r w:rsidR="003135E2">
              <w:rPr>
                <w:rFonts w:ascii="Arial" w:hAnsi="Arial" w:cs="Arial"/>
                <w:b/>
                <w:sz w:val="20"/>
                <w:szCs w:val="20"/>
              </w:rPr>
              <w:t>1</w:t>
            </w:r>
            <w:r w:rsidR="00486B45">
              <w:rPr>
                <w:rFonts w:ascii="Arial" w:hAnsi="Arial" w:cs="Arial"/>
                <w:b/>
                <w:sz w:val="20"/>
                <w:szCs w:val="20"/>
              </w:rPr>
              <w:t>.82</w:t>
            </w:r>
            <w:r w:rsidRPr="00D96694">
              <w:rPr>
                <w:rFonts w:ascii="Arial" w:hAnsi="Arial" w:cs="Arial"/>
                <w:b/>
                <w:sz w:val="20"/>
                <w:szCs w:val="20"/>
              </w:rPr>
              <w:t>/kBTUh</w:t>
            </w:r>
            <w:r w:rsidRPr="00D96694">
              <w:rPr>
                <w:rFonts w:ascii="Arial" w:hAnsi="Arial" w:cs="Arial"/>
                <w:sz w:val="20"/>
                <w:szCs w:val="20"/>
              </w:rPr>
              <w:t xml:space="preserve"> </w:t>
            </w:r>
          </w:p>
          <w:p w:rsidR="00A961E9" w:rsidRPr="00C97869" w:rsidRDefault="00D96694" w:rsidP="00D96694">
            <w:pPr>
              <w:rPr>
                <w:rFonts w:ascii="Arial" w:hAnsi="Arial" w:cs="Arial"/>
                <w:sz w:val="20"/>
                <w:szCs w:val="20"/>
              </w:rPr>
            </w:pPr>
            <w:r w:rsidRPr="00D96694">
              <w:rPr>
                <w:rFonts w:ascii="Arial" w:hAnsi="Arial" w:cs="Arial"/>
                <w:sz w:val="20"/>
                <w:szCs w:val="20"/>
              </w:rPr>
              <w:t>Source:  DEER 20</w:t>
            </w:r>
            <w:r w:rsidR="00486B45">
              <w:rPr>
                <w:rFonts w:ascii="Arial" w:hAnsi="Arial" w:cs="Arial"/>
                <w:sz w:val="20"/>
                <w:szCs w:val="20"/>
              </w:rPr>
              <w:t>08</w:t>
            </w:r>
          </w:p>
        </w:tc>
      </w:tr>
      <w:tr w:rsidR="00A961E9" w:rsidRPr="00A961E9" w:rsidTr="00434DD9">
        <w:trPr>
          <w:trHeight w:val="423"/>
        </w:trPr>
        <w:tc>
          <w:tcPr>
            <w:tcW w:w="1545" w:type="pct"/>
            <w:shd w:val="pct20"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Gross Measure Cost ($/unit)</w:t>
            </w:r>
          </w:p>
        </w:tc>
        <w:tc>
          <w:tcPr>
            <w:tcW w:w="1727" w:type="pct"/>
            <w:shd w:val="pct20" w:color="000000" w:fill="FFFFFF"/>
          </w:tcPr>
          <w:p w:rsidR="00A961E9" w:rsidRPr="00D96694" w:rsidRDefault="00A961E9" w:rsidP="00976408">
            <w:pPr>
              <w:rPr>
                <w:rFonts w:ascii="Arial" w:hAnsi="Arial" w:cs="Arial"/>
                <w:sz w:val="20"/>
                <w:szCs w:val="20"/>
              </w:rPr>
            </w:pPr>
            <w:r w:rsidRPr="00D96694">
              <w:rPr>
                <w:rFonts w:ascii="Arial" w:hAnsi="Arial" w:cs="Arial"/>
                <w:b/>
                <w:sz w:val="20"/>
                <w:szCs w:val="20"/>
              </w:rPr>
              <w:t>$</w:t>
            </w:r>
            <w:r w:rsidR="003135E2">
              <w:rPr>
                <w:rFonts w:ascii="Arial" w:hAnsi="Arial" w:cs="Arial"/>
                <w:b/>
                <w:sz w:val="20"/>
                <w:szCs w:val="20"/>
              </w:rPr>
              <w:t>1.50</w:t>
            </w:r>
            <w:r w:rsidRPr="00D96694">
              <w:rPr>
                <w:rFonts w:ascii="Arial" w:hAnsi="Arial" w:cs="Arial"/>
                <w:b/>
                <w:sz w:val="20"/>
                <w:szCs w:val="20"/>
              </w:rPr>
              <w:t>/kBTUh</w:t>
            </w:r>
          </w:p>
          <w:p w:rsidR="00A961E9" w:rsidRPr="00D96694" w:rsidRDefault="00366152" w:rsidP="00976408">
            <w:pPr>
              <w:rPr>
                <w:rFonts w:ascii="Arial" w:hAnsi="Arial" w:cs="Arial"/>
                <w:sz w:val="20"/>
                <w:szCs w:val="20"/>
              </w:rPr>
            </w:pPr>
            <w:r w:rsidRPr="00D96694">
              <w:rPr>
                <w:rFonts w:ascii="Arial" w:hAnsi="Arial" w:cs="Arial"/>
                <w:sz w:val="20"/>
                <w:szCs w:val="20"/>
              </w:rPr>
              <w:t>Source:  DEER 20</w:t>
            </w:r>
            <w:r w:rsidR="00486B45">
              <w:rPr>
                <w:rFonts w:ascii="Arial" w:hAnsi="Arial" w:cs="Arial"/>
                <w:sz w:val="20"/>
                <w:szCs w:val="20"/>
              </w:rPr>
              <w:t>08</w:t>
            </w:r>
          </w:p>
        </w:tc>
        <w:tc>
          <w:tcPr>
            <w:tcW w:w="1727" w:type="pct"/>
            <w:shd w:val="pct20" w:color="000000" w:fill="FFFFFF"/>
          </w:tcPr>
          <w:p w:rsidR="00434DD9" w:rsidRDefault="00434DD9" w:rsidP="00976408">
            <w:pPr>
              <w:rPr>
                <w:rFonts w:ascii="Arial" w:hAnsi="Arial" w:cs="Arial"/>
                <w:sz w:val="20"/>
                <w:szCs w:val="20"/>
              </w:rPr>
            </w:pPr>
            <w:r w:rsidRPr="00D96694">
              <w:rPr>
                <w:rFonts w:ascii="Arial" w:hAnsi="Arial" w:cs="Arial"/>
                <w:b/>
                <w:sz w:val="20"/>
                <w:szCs w:val="20"/>
              </w:rPr>
              <w:t>$</w:t>
            </w:r>
            <w:r w:rsidR="003135E2">
              <w:rPr>
                <w:rFonts w:ascii="Arial" w:hAnsi="Arial" w:cs="Arial"/>
                <w:b/>
                <w:sz w:val="20"/>
                <w:szCs w:val="20"/>
              </w:rPr>
              <w:t>1</w:t>
            </w:r>
            <w:r w:rsidR="00486B45">
              <w:rPr>
                <w:rFonts w:ascii="Arial" w:hAnsi="Arial" w:cs="Arial"/>
                <w:b/>
                <w:sz w:val="20"/>
                <w:szCs w:val="20"/>
              </w:rPr>
              <w:t>.70</w:t>
            </w:r>
            <w:r w:rsidRPr="00D96694">
              <w:rPr>
                <w:rFonts w:ascii="Arial" w:hAnsi="Arial" w:cs="Arial"/>
                <w:b/>
                <w:sz w:val="20"/>
                <w:szCs w:val="20"/>
              </w:rPr>
              <w:t>/kBTUh</w:t>
            </w:r>
          </w:p>
          <w:p w:rsidR="00A961E9" w:rsidRPr="00D96694" w:rsidRDefault="00D96694" w:rsidP="00976408">
            <w:pPr>
              <w:rPr>
                <w:rFonts w:ascii="Arial" w:hAnsi="Arial" w:cs="Arial"/>
                <w:sz w:val="20"/>
                <w:szCs w:val="20"/>
              </w:rPr>
            </w:pPr>
            <w:r w:rsidRPr="00D96694">
              <w:rPr>
                <w:rFonts w:ascii="Arial" w:hAnsi="Arial" w:cs="Arial"/>
                <w:sz w:val="20"/>
                <w:szCs w:val="20"/>
              </w:rPr>
              <w:t>Source:  DEER 20</w:t>
            </w:r>
            <w:r w:rsidR="00486B45">
              <w:rPr>
                <w:rFonts w:ascii="Arial" w:hAnsi="Arial" w:cs="Arial"/>
                <w:sz w:val="20"/>
                <w:szCs w:val="20"/>
              </w:rPr>
              <w:t>08</w:t>
            </w:r>
          </w:p>
        </w:tc>
      </w:tr>
      <w:tr w:rsidR="00A961E9" w:rsidRPr="00A961E9" w:rsidTr="005E4134">
        <w:trPr>
          <w:trHeight w:val="558"/>
        </w:trPr>
        <w:tc>
          <w:tcPr>
            <w:tcW w:w="1545" w:type="pct"/>
            <w:shd w:val="pct20" w:color="000000" w:fill="FFFFFF"/>
          </w:tcPr>
          <w:p w:rsidR="00A961E9" w:rsidRPr="00D96694" w:rsidRDefault="00A961E9" w:rsidP="005E4134">
            <w:pPr>
              <w:rPr>
                <w:rFonts w:ascii="Arial" w:hAnsi="Arial" w:cs="Arial"/>
                <w:b/>
                <w:sz w:val="20"/>
                <w:szCs w:val="20"/>
              </w:rPr>
            </w:pPr>
            <w:r w:rsidRPr="00D96694">
              <w:rPr>
                <w:rFonts w:ascii="Arial" w:hAnsi="Arial" w:cs="Arial"/>
                <w:b/>
                <w:sz w:val="20"/>
                <w:szCs w:val="20"/>
              </w:rPr>
              <w:t xml:space="preserve">Measure Incremental Cost ($/unit): </w:t>
            </w:r>
          </w:p>
        </w:tc>
        <w:tc>
          <w:tcPr>
            <w:tcW w:w="1727" w:type="pct"/>
            <w:shd w:val="pct20" w:color="000000" w:fill="FFFFFF"/>
          </w:tcPr>
          <w:p w:rsidR="00434DD9" w:rsidRDefault="003135E2" w:rsidP="00864083">
            <w:pPr>
              <w:rPr>
                <w:rFonts w:ascii="Arial" w:hAnsi="Arial" w:cs="Arial"/>
                <w:sz w:val="20"/>
                <w:szCs w:val="20"/>
              </w:rPr>
            </w:pPr>
            <w:r>
              <w:rPr>
                <w:rFonts w:ascii="Arial" w:hAnsi="Arial" w:cs="Arial"/>
                <w:b/>
                <w:sz w:val="20"/>
                <w:szCs w:val="20"/>
              </w:rPr>
              <w:t>$1.50</w:t>
            </w:r>
            <w:r w:rsidR="00434DD9" w:rsidRPr="00D96694">
              <w:rPr>
                <w:rFonts w:ascii="Arial" w:hAnsi="Arial" w:cs="Arial"/>
                <w:b/>
                <w:sz w:val="20"/>
                <w:szCs w:val="20"/>
              </w:rPr>
              <w:t>/kBTUh</w:t>
            </w:r>
            <w:r w:rsidR="00434DD9" w:rsidRPr="00D96694">
              <w:rPr>
                <w:rFonts w:ascii="Arial" w:hAnsi="Arial" w:cs="Arial"/>
                <w:sz w:val="20"/>
                <w:szCs w:val="20"/>
              </w:rPr>
              <w:t xml:space="preserve"> </w:t>
            </w:r>
          </w:p>
          <w:p w:rsidR="00A961E9" w:rsidRPr="00D96694" w:rsidRDefault="00D96694" w:rsidP="00434DD9">
            <w:pPr>
              <w:rPr>
                <w:rFonts w:ascii="Arial" w:hAnsi="Arial" w:cs="Arial"/>
                <w:sz w:val="20"/>
                <w:szCs w:val="20"/>
              </w:rPr>
            </w:pPr>
            <w:r w:rsidRPr="00D96694">
              <w:rPr>
                <w:rFonts w:ascii="Arial" w:hAnsi="Arial" w:cs="Arial"/>
                <w:sz w:val="20"/>
                <w:szCs w:val="20"/>
              </w:rPr>
              <w:t>Source:  DEER 20</w:t>
            </w:r>
            <w:r w:rsidR="00486B45">
              <w:rPr>
                <w:rFonts w:ascii="Arial" w:hAnsi="Arial" w:cs="Arial"/>
                <w:sz w:val="20"/>
                <w:szCs w:val="20"/>
              </w:rPr>
              <w:t>08</w:t>
            </w:r>
          </w:p>
        </w:tc>
        <w:tc>
          <w:tcPr>
            <w:tcW w:w="1727" w:type="pct"/>
            <w:shd w:val="pct20" w:color="000000" w:fill="FFFFFF"/>
          </w:tcPr>
          <w:p w:rsidR="00434DD9" w:rsidRPr="00D96694" w:rsidRDefault="003135E2" w:rsidP="00434DD9">
            <w:pPr>
              <w:rPr>
                <w:rFonts w:ascii="Arial" w:hAnsi="Arial" w:cs="Arial"/>
                <w:b/>
                <w:sz w:val="20"/>
                <w:szCs w:val="20"/>
              </w:rPr>
            </w:pPr>
            <w:r>
              <w:rPr>
                <w:rFonts w:ascii="Arial" w:hAnsi="Arial" w:cs="Arial"/>
                <w:b/>
                <w:sz w:val="20"/>
                <w:szCs w:val="20"/>
              </w:rPr>
              <w:t>$1</w:t>
            </w:r>
            <w:r w:rsidR="00486B45">
              <w:rPr>
                <w:rFonts w:ascii="Arial" w:hAnsi="Arial" w:cs="Arial"/>
                <w:b/>
                <w:sz w:val="20"/>
                <w:szCs w:val="20"/>
              </w:rPr>
              <w:t>.70</w:t>
            </w:r>
            <w:r w:rsidR="00434DD9" w:rsidRPr="00D96694">
              <w:rPr>
                <w:rFonts w:ascii="Arial" w:hAnsi="Arial" w:cs="Arial"/>
                <w:b/>
                <w:sz w:val="20"/>
                <w:szCs w:val="20"/>
              </w:rPr>
              <w:t>/kBTUh</w:t>
            </w:r>
          </w:p>
          <w:p w:rsidR="00A961E9" w:rsidRPr="00D96694" w:rsidRDefault="00A961E9" w:rsidP="00434DD9">
            <w:pPr>
              <w:rPr>
                <w:rFonts w:ascii="Arial" w:hAnsi="Arial" w:cs="Arial"/>
                <w:sz w:val="20"/>
                <w:szCs w:val="20"/>
              </w:rPr>
            </w:pPr>
            <w:r w:rsidRPr="00D96694">
              <w:rPr>
                <w:rFonts w:ascii="Arial" w:hAnsi="Arial" w:cs="Arial"/>
                <w:sz w:val="20"/>
                <w:szCs w:val="20"/>
              </w:rPr>
              <w:t>Source:  DEER 20</w:t>
            </w:r>
            <w:r w:rsidR="00486B45">
              <w:rPr>
                <w:rFonts w:ascii="Arial" w:hAnsi="Arial" w:cs="Arial"/>
                <w:sz w:val="20"/>
                <w:szCs w:val="20"/>
              </w:rPr>
              <w:t>08</w:t>
            </w:r>
          </w:p>
        </w:tc>
      </w:tr>
      <w:tr w:rsidR="00A961E9" w:rsidRPr="00A961E9" w:rsidTr="005E4134">
        <w:trPr>
          <w:trHeight w:val="465"/>
        </w:trPr>
        <w:tc>
          <w:tcPr>
            <w:tcW w:w="1545" w:type="pct"/>
            <w:shd w:val="clear" w:color="auto" w:fill="F2F2F2"/>
          </w:tcPr>
          <w:p w:rsidR="00A961E9" w:rsidRPr="00CB3556" w:rsidRDefault="00A961E9" w:rsidP="00864083">
            <w:pPr>
              <w:rPr>
                <w:rFonts w:ascii="Arial" w:hAnsi="Arial" w:cs="Arial"/>
                <w:b/>
                <w:bCs/>
                <w:sz w:val="20"/>
                <w:szCs w:val="20"/>
              </w:rPr>
            </w:pPr>
            <w:r w:rsidRPr="00CB3556">
              <w:rPr>
                <w:rFonts w:ascii="Arial" w:hAnsi="Arial" w:cs="Arial"/>
                <w:b/>
                <w:bCs/>
                <w:sz w:val="20"/>
                <w:szCs w:val="20"/>
              </w:rPr>
              <w:t xml:space="preserve">Effective Useful Life (years): </w:t>
            </w:r>
          </w:p>
        </w:tc>
        <w:tc>
          <w:tcPr>
            <w:tcW w:w="1727" w:type="pct"/>
            <w:shd w:val="clear" w:color="auto" w:fill="F2F2F2"/>
          </w:tcPr>
          <w:p w:rsidR="00366152" w:rsidRPr="00CB3556" w:rsidRDefault="00366152" w:rsidP="00366152">
            <w:pPr>
              <w:rPr>
                <w:rFonts w:ascii="Arial" w:hAnsi="Arial" w:cs="Arial"/>
                <w:bCs/>
                <w:sz w:val="20"/>
                <w:szCs w:val="20"/>
              </w:rPr>
            </w:pPr>
            <w:r w:rsidRPr="00CB3556">
              <w:rPr>
                <w:rFonts w:ascii="Arial" w:hAnsi="Arial" w:cs="Arial"/>
                <w:bCs/>
                <w:sz w:val="20"/>
                <w:szCs w:val="20"/>
              </w:rPr>
              <w:t xml:space="preserve">EUL: 20yrs </w:t>
            </w:r>
          </w:p>
          <w:p w:rsidR="00366152" w:rsidRDefault="00366152" w:rsidP="00366152">
            <w:pPr>
              <w:rPr>
                <w:rFonts w:ascii="Arial" w:hAnsi="Arial" w:cs="Arial"/>
                <w:bCs/>
                <w:sz w:val="20"/>
                <w:szCs w:val="20"/>
              </w:rPr>
            </w:pPr>
            <w:r w:rsidRPr="00CB3556">
              <w:rPr>
                <w:rFonts w:ascii="Arial" w:hAnsi="Arial" w:cs="Arial"/>
                <w:bCs/>
                <w:sz w:val="20"/>
                <w:szCs w:val="20"/>
              </w:rPr>
              <w:t xml:space="preserve">RUL: 6.67yrs </w:t>
            </w:r>
          </w:p>
          <w:p w:rsidR="00A961E9" w:rsidRPr="00CB3556" w:rsidRDefault="00A961E9" w:rsidP="00366152">
            <w:pPr>
              <w:rPr>
                <w:rFonts w:ascii="Arial" w:hAnsi="Arial" w:cs="Arial"/>
                <w:bCs/>
                <w:sz w:val="20"/>
                <w:szCs w:val="20"/>
              </w:rPr>
            </w:pPr>
            <w:r w:rsidRPr="00CB3556">
              <w:rPr>
                <w:rFonts w:ascii="Arial" w:hAnsi="Arial" w:cs="Arial"/>
                <w:bCs/>
                <w:sz w:val="20"/>
                <w:szCs w:val="20"/>
              </w:rPr>
              <w:t>Source: DEER 201</w:t>
            </w:r>
            <w:r w:rsidR="0060384F">
              <w:rPr>
                <w:rFonts w:ascii="Arial" w:hAnsi="Arial" w:cs="Arial"/>
                <w:bCs/>
                <w:sz w:val="20"/>
                <w:szCs w:val="20"/>
              </w:rPr>
              <w:t>4</w:t>
            </w:r>
            <w:r w:rsidRPr="00CB3556">
              <w:rPr>
                <w:rFonts w:ascii="Arial" w:hAnsi="Arial" w:cs="Arial"/>
                <w:bCs/>
                <w:sz w:val="20"/>
                <w:szCs w:val="20"/>
              </w:rPr>
              <w:t xml:space="preserve"> </w:t>
            </w:r>
            <w:r w:rsidRPr="00CB3556">
              <w:rPr>
                <w:rFonts w:ascii="Arial" w:hAnsi="Arial" w:cs="Arial"/>
                <w:bCs/>
                <w:sz w:val="20"/>
                <w:szCs w:val="20"/>
                <w:lang w:val="en-GB"/>
              </w:rPr>
              <w:t>EUL/RUL Values and Summary Documentation</w:t>
            </w:r>
          </w:p>
          <w:p w:rsidR="00A961E9" w:rsidRPr="00CB3556" w:rsidRDefault="00A961E9" w:rsidP="00864083">
            <w:pPr>
              <w:rPr>
                <w:rFonts w:ascii="Arial" w:hAnsi="Arial" w:cs="Arial"/>
                <w:bCs/>
                <w:sz w:val="20"/>
                <w:szCs w:val="20"/>
              </w:rPr>
            </w:pPr>
            <w:r w:rsidRPr="00CB3556">
              <w:rPr>
                <w:rFonts w:ascii="Arial" w:hAnsi="Arial" w:cs="Arial"/>
                <w:bCs/>
                <w:sz w:val="20"/>
                <w:szCs w:val="20"/>
              </w:rPr>
              <w:t xml:space="preserve"> </w:t>
            </w:r>
          </w:p>
        </w:tc>
        <w:tc>
          <w:tcPr>
            <w:tcW w:w="1727" w:type="pct"/>
            <w:shd w:val="clear" w:color="auto" w:fill="F2F2F2"/>
          </w:tcPr>
          <w:p w:rsidR="00434DD9" w:rsidRPr="00CB3556" w:rsidRDefault="00434DD9" w:rsidP="00434DD9">
            <w:pPr>
              <w:rPr>
                <w:rFonts w:ascii="Arial" w:hAnsi="Arial" w:cs="Arial"/>
                <w:bCs/>
                <w:sz w:val="20"/>
                <w:szCs w:val="20"/>
              </w:rPr>
            </w:pPr>
            <w:r w:rsidRPr="00CB3556">
              <w:rPr>
                <w:rFonts w:ascii="Arial" w:hAnsi="Arial" w:cs="Arial"/>
                <w:bCs/>
                <w:sz w:val="20"/>
                <w:szCs w:val="20"/>
              </w:rPr>
              <w:t xml:space="preserve">EUL: 20yrs </w:t>
            </w:r>
          </w:p>
          <w:p w:rsidR="00434DD9" w:rsidRDefault="00434DD9" w:rsidP="00434DD9">
            <w:pPr>
              <w:rPr>
                <w:rFonts w:ascii="Arial" w:hAnsi="Arial" w:cs="Arial"/>
                <w:bCs/>
                <w:sz w:val="20"/>
                <w:szCs w:val="20"/>
              </w:rPr>
            </w:pPr>
            <w:r w:rsidRPr="00CB3556">
              <w:rPr>
                <w:rFonts w:ascii="Arial" w:hAnsi="Arial" w:cs="Arial"/>
                <w:bCs/>
                <w:sz w:val="20"/>
                <w:szCs w:val="20"/>
              </w:rPr>
              <w:t xml:space="preserve">RUL: 6.67yrs </w:t>
            </w:r>
          </w:p>
          <w:p w:rsidR="00A961E9" w:rsidRPr="00CB3556" w:rsidRDefault="00A961E9" w:rsidP="00434DD9">
            <w:pPr>
              <w:rPr>
                <w:rFonts w:ascii="Arial" w:hAnsi="Arial" w:cs="Arial"/>
                <w:bCs/>
                <w:sz w:val="20"/>
                <w:szCs w:val="20"/>
              </w:rPr>
            </w:pPr>
            <w:r w:rsidRPr="00CB3556">
              <w:rPr>
                <w:rFonts w:ascii="Arial" w:hAnsi="Arial" w:cs="Arial"/>
                <w:bCs/>
                <w:sz w:val="20"/>
                <w:szCs w:val="20"/>
              </w:rPr>
              <w:t>Source: DEER 201</w:t>
            </w:r>
            <w:r w:rsidR="0060384F">
              <w:rPr>
                <w:rFonts w:ascii="Arial" w:hAnsi="Arial" w:cs="Arial"/>
                <w:bCs/>
                <w:sz w:val="20"/>
                <w:szCs w:val="20"/>
              </w:rPr>
              <w:t>4</w:t>
            </w:r>
            <w:r w:rsidRPr="00CB3556">
              <w:rPr>
                <w:rFonts w:ascii="Arial" w:hAnsi="Arial" w:cs="Arial"/>
                <w:bCs/>
                <w:sz w:val="20"/>
                <w:szCs w:val="20"/>
              </w:rPr>
              <w:t xml:space="preserve"> </w:t>
            </w:r>
            <w:r w:rsidRPr="00CB3556">
              <w:rPr>
                <w:rFonts w:ascii="Arial" w:hAnsi="Arial" w:cs="Arial"/>
                <w:bCs/>
                <w:sz w:val="20"/>
                <w:szCs w:val="20"/>
                <w:lang w:val="en-GB"/>
              </w:rPr>
              <w:t>EUL/RUL Values and Summary Documentation</w:t>
            </w:r>
          </w:p>
          <w:p w:rsidR="00A961E9" w:rsidRPr="00CB3556" w:rsidRDefault="00A961E9" w:rsidP="00864083">
            <w:pPr>
              <w:rPr>
                <w:rFonts w:ascii="Arial" w:hAnsi="Arial" w:cs="Arial"/>
                <w:bCs/>
                <w:sz w:val="20"/>
                <w:szCs w:val="20"/>
              </w:rPr>
            </w:pPr>
          </w:p>
        </w:tc>
      </w:tr>
      <w:tr w:rsidR="00A961E9" w:rsidRPr="00A961E9" w:rsidTr="005E4134">
        <w:trPr>
          <w:trHeight w:val="252"/>
        </w:trPr>
        <w:tc>
          <w:tcPr>
            <w:tcW w:w="1545" w:type="pct"/>
            <w:shd w:val="pct20" w:color="000000" w:fill="FFFFFF"/>
          </w:tcPr>
          <w:p w:rsidR="00A961E9" w:rsidRPr="00CB3556" w:rsidRDefault="00A961E9" w:rsidP="00864083">
            <w:pPr>
              <w:rPr>
                <w:rFonts w:ascii="Arial" w:hAnsi="Arial" w:cs="Arial"/>
                <w:b/>
                <w:sz w:val="20"/>
                <w:szCs w:val="20"/>
              </w:rPr>
            </w:pPr>
            <w:r w:rsidRPr="00CB3556">
              <w:rPr>
                <w:rFonts w:ascii="Arial" w:hAnsi="Arial" w:cs="Arial"/>
                <w:b/>
                <w:sz w:val="20"/>
                <w:szCs w:val="20"/>
              </w:rPr>
              <w:t>Program Type:</w:t>
            </w:r>
          </w:p>
        </w:tc>
        <w:tc>
          <w:tcPr>
            <w:tcW w:w="1727" w:type="pct"/>
            <w:shd w:val="pct20" w:color="000000" w:fill="FFFFFF"/>
          </w:tcPr>
          <w:p w:rsidR="00A961E9" w:rsidRPr="00CB3556" w:rsidRDefault="00A961E9" w:rsidP="00366152">
            <w:pPr>
              <w:rPr>
                <w:rFonts w:ascii="Arial" w:hAnsi="Arial" w:cs="Arial"/>
                <w:sz w:val="20"/>
                <w:szCs w:val="20"/>
              </w:rPr>
            </w:pPr>
            <w:r w:rsidRPr="00CB3556">
              <w:rPr>
                <w:rFonts w:ascii="Arial" w:hAnsi="Arial" w:cs="Arial"/>
                <w:sz w:val="20"/>
                <w:szCs w:val="20"/>
              </w:rPr>
              <w:t xml:space="preserve">ROB and </w:t>
            </w:r>
            <w:r w:rsidR="00366152">
              <w:rPr>
                <w:rFonts w:ascii="Arial" w:hAnsi="Arial" w:cs="Arial"/>
                <w:sz w:val="20"/>
                <w:szCs w:val="20"/>
              </w:rPr>
              <w:t>NC</w:t>
            </w:r>
          </w:p>
        </w:tc>
        <w:tc>
          <w:tcPr>
            <w:tcW w:w="1727" w:type="pct"/>
            <w:shd w:val="pct20" w:color="000000" w:fill="FFFFFF"/>
          </w:tcPr>
          <w:p w:rsidR="00A961E9" w:rsidRPr="00CB3556" w:rsidRDefault="00A961E9" w:rsidP="00434DD9">
            <w:pPr>
              <w:rPr>
                <w:rFonts w:ascii="Arial" w:hAnsi="Arial" w:cs="Arial"/>
                <w:sz w:val="20"/>
                <w:szCs w:val="20"/>
              </w:rPr>
            </w:pPr>
            <w:r w:rsidRPr="00CB3556">
              <w:rPr>
                <w:rFonts w:ascii="Arial" w:hAnsi="Arial" w:cs="Arial"/>
                <w:sz w:val="20"/>
                <w:szCs w:val="20"/>
              </w:rPr>
              <w:t>ROB and N</w:t>
            </w:r>
            <w:r w:rsidR="00434DD9">
              <w:rPr>
                <w:rFonts w:ascii="Arial" w:hAnsi="Arial" w:cs="Arial"/>
                <w:sz w:val="20"/>
                <w:szCs w:val="20"/>
              </w:rPr>
              <w:t>C</w:t>
            </w:r>
          </w:p>
        </w:tc>
      </w:tr>
      <w:tr w:rsidR="00A961E9" w:rsidRPr="00A961E9" w:rsidTr="005E4134">
        <w:trPr>
          <w:trHeight w:val="465"/>
        </w:trPr>
        <w:tc>
          <w:tcPr>
            <w:tcW w:w="1545" w:type="pct"/>
            <w:shd w:val="clear" w:color="auto" w:fill="F2F2F2"/>
          </w:tcPr>
          <w:p w:rsidR="00A961E9" w:rsidRPr="00CB3556" w:rsidRDefault="00A961E9" w:rsidP="00864083">
            <w:pPr>
              <w:rPr>
                <w:rFonts w:ascii="Arial" w:hAnsi="Arial" w:cs="Arial"/>
                <w:b/>
                <w:sz w:val="20"/>
                <w:szCs w:val="20"/>
              </w:rPr>
            </w:pPr>
            <w:r w:rsidRPr="00CB3556">
              <w:rPr>
                <w:rFonts w:ascii="Arial" w:hAnsi="Arial" w:cs="Arial"/>
                <w:b/>
                <w:sz w:val="20"/>
                <w:szCs w:val="20"/>
              </w:rPr>
              <w:t xml:space="preserve">Net-to-Gross Ratios: </w:t>
            </w:r>
          </w:p>
        </w:tc>
        <w:tc>
          <w:tcPr>
            <w:tcW w:w="1727" w:type="pct"/>
            <w:shd w:val="clear" w:color="auto" w:fill="F2F2F2"/>
          </w:tcPr>
          <w:p w:rsidR="00A961E9" w:rsidRPr="00CB3556" w:rsidRDefault="00A961E9" w:rsidP="00976408">
            <w:pPr>
              <w:rPr>
                <w:rFonts w:ascii="Arial" w:hAnsi="Arial" w:cs="Arial"/>
                <w:sz w:val="20"/>
                <w:szCs w:val="20"/>
              </w:rPr>
            </w:pPr>
            <w:r w:rsidRPr="00CB3556">
              <w:rPr>
                <w:rFonts w:ascii="Arial" w:hAnsi="Arial" w:cs="Arial"/>
                <w:sz w:val="20"/>
                <w:szCs w:val="20"/>
              </w:rPr>
              <w:t xml:space="preserve">0.60 </w:t>
            </w:r>
          </w:p>
          <w:p w:rsidR="00A961E9" w:rsidRPr="00CB3556" w:rsidRDefault="00A961E9" w:rsidP="00976408">
            <w:pPr>
              <w:rPr>
                <w:rFonts w:ascii="Arial" w:hAnsi="Arial" w:cs="Arial"/>
                <w:sz w:val="20"/>
                <w:szCs w:val="20"/>
              </w:rPr>
            </w:pPr>
            <w:r w:rsidRPr="00CB3556">
              <w:rPr>
                <w:rFonts w:ascii="Arial" w:hAnsi="Arial" w:cs="Arial"/>
                <w:sz w:val="20"/>
                <w:szCs w:val="20"/>
              </w:rPr>
              <w:t xml:space="preserve">Source: DEER 2011 NTG Values – </w:t>
            </w:r>
            <w:r w:rsidR="005E4134">
              <w:rPr>
                <w:rFonts w:ascii="Arial" w:hAnsi="Arial" w:cs="Arial"/>
                <w:sz w:val="20"/>
                <w:szCs w:val="20"/>
              </w:rPr>
              <w:t>Industrial</w:t>
            </w:r>
            <w:r w:rsidRPr="00CB3556">
              <w:rPr>
                <w:rFonts w:ascii="Arial" w:hAnsi="Arial" w:cs="Arial"/>
                <w:sz w:val="20"/>
                <w:szCs w:val="20"/>
              </w:rPr>
              <w:t xml:space="preserve">; All other EEMs with </w:t>
            </w:r>
            <w:r w:rsidRPr="00CB3556">
              <w:rPr>
                <w:rFonts w:ascii="Arial" w:hAnsi="Arial" w:cs="Arial"/>
                <w:sz w:val="20"/>
                <w:szCs w:val="20"/>
              </w:rPr>
              <w:lastRenderedPageBreak/>
              <w:t>no evaluated NTGR; existing EEM programs with same delivery mechanism for more than 2 years</w:t>
            </w:r>
          </w:p>
          <w:p w:rsidR="00A961E9" w:rsidRPr="00CB3556" w:rsidRDefault="00A961E9" w:rsidP="00976408">
            <w:pPr>
              <w:rPr>
                <w:rFonts w:ascii="Arial" w:hAnsi="Arial" w:cs="Arial"/>
                <w:sz w:val="20"/>
                <w:szCs w:val="20"/>
              </w:rPr>
            </w:pPr>
          </w:p>
        </w:tc>
        <w:tc>
          <w:tcPr>
            <w:tcW w:w="1727" w:type="pct"/>
            <w:shd w:val="clear" w:color="auto" w:fill="F2F2F2"/>
          </w:tcPr>
          <w:p w:rsidR="00A961E9" w:rsidRPr="00CB3556" w:rsidRDefault="00A961E9" w:rsidP="00976408">
            <w:pPr>
              <w:rPr>
                <w:rFonts w:ascii="Arial" w:hAnsi="Arial" w:cs="Arial"/>
                <w:sz w:val="20"/>
                <w:szCs w:val="20"/>
              </w:rPr>
            </w:pPr>
            <w:r w:rsidRPr="00CB3556">
              <w:rPr>
                <w:rFonts w:ascii="Arial" w:hAnsi="Arial" w:cs="Arial"/>
                <w:sz w:val="20"/>
                <w:szCs w:val="20"/>
              </w:rPr>
              <w:lastRenderedPageBreak/>
              <w:t xml:space="preserve">0.60 </w:t>
            </w:r>
          </w:p>
          <w:p w:rsidR="00A961E9" w:rsidRPr="00CB3556" w:rsidRDefault="00A961E9" w:rsidP="005E4134">
            <w:pPr>
              <w:rPr>
                <w:rFonts w:ascii="Arial" w:hAnsi="Arial" w:cs="Arial"/>
                <w:sz w:val="20"/>
                <w:szCs w:val="20"/>
              </w:rPr>
            </w:pPr>
            <w:r w:rsidRPr="00CB3556">
              <w:rPr>
                <w:rFonts w:ascii="Arial" w:hAnsi="Arial" w:cs="Arial"/>
                <w:sz w:val="20"/>
                <w:szCs w:val="20"/>
              </w:rPr>
              <w:t xml:space="preserve">Source: DEER 2011 NTG Values – </w:t>
            </w:r>
            <w:r w:rsidR="005E4134">
              <w:rPr>
                <w:rFonts w:ascii="Arial" w:hAnsi="Arial" w:cs="Arial"/>
                <w:sz w:val="20"/>
                <w:szCs w:val="20"/>
              </w:rPr>
              <w:t>Industrial</w:t>
            </w:r>
            <w:r w:rsidRPr="00CB3556">
              <w:rPr>
                <w:rFonts w:ascii="Arial" w:hAnsi="Arial" w:cs="Arial"/>
                <w:sz w:val="20"/>
                <w:szCs w:val="20"/>
              </w:rPr>
              <w:t xml:space="preserve">; All other EEMs with </w:t>
            </w:r>
            <w:r w:rsidRPr="00CB3556">
              <w:rPr>
                <w:rFonts w:ascii="Arial" w:hAnsi="Arial" w:cs="Arial"/>
                <w:sz w:val="20"/>
                <w:szCs w:val="20"/>
              </w:rPr>
              <w:lastRenderedPageBreak/>
              <w:t>no evaluated NTGR; existing EEM programs with same delivery mechanism for more than 2 years</w:t>
            </w:r>
          </w:p>
        </w:tc>
      </w:tr>
      <w:tr w:rsidR="00A961E9" w:rsidRPr="00A961E9" w:rsidTr="005E4134">
        <w:trPr>
          <w:trHeight w:val="465"/>
        </w:trPr>
        <w:tc>
          <w:tcPr>
            <w:tcW w:w="1545" w:type="pct"/>
            <w:shd w:val="pct20" w:color="000000" w:fill="FFFFFF"/>
          </w:tcPr>
          <w:p w:rsidR="00A961E9" w:rsidRPr="00CB3556" w:rsidRDefault="00A961E9" w:rsidP="00864083">
            <w:pPr>
              <w:rPr>
                <w:rFonts w:ascii="Arial" w:hAnsi="Arial" w:cs="Arial"/>
                <w:b/>
                <w:sz w:val="20"/>
                <w:szCs w:val="20"/>
              </w:rPr>
            </w:pPr>
            <w:r w:rsidRPr="00CB3556">
              <w:rPr>
                <w:rFonts w:ascii="Arial" w:hAnsi="Arial" w:cs="Arial"/>
                <w:b/>
                <w:sz w:val="20"/>
                <w:szCs w:val="20"/>
              </w:rPr>
              <w:lastRenderedPageBreak/>
              <w:t>Important Comments:</w:t>
            </w:r>
          </w:p>
        </w:tc>
        <w:tc>
          <w:tcPr>
            <w:tcW w:w="1727" w:type="pct"/>
            <w:shd w:val="pct20" w:color="000000" w:fill="FFFFFF"/>
          </w:tcPr>
          <w:p w:rsidR="00A961E9" w:rsidRPr="00CB3556" w:rsidRDefault="00A961E9" w:rsidP="00864083">
            <w:pPr>
              <w:rPr>
                <w:rFonts w:ascii="Arial" w:hAnsi="Arial" w:cs="Arial"/>
                <w:sz w:val="20"/>
                <w:szCs w:val="20"/>
              </w:rPr>
            </w:pPr>
            <w:r w:rsidRPr="00CB3556">
              <w:rPr>
                <w:rFonts w:ascii="Arial" w:hAnsi="Arial" w:cs="Arial"/>
                <w:sz w:val="20"/>
                <w:szCs w:val="20"/>
              </w:rPr>
              <w:t>Gross measure cost is assumed to be the same as the incremental measure cost.</w:t>
            </w:r>
          </w:p>
        </w:tc>
        <w:tc>
          <w:tcPr>
            <w:tcW w:w="1727" w:type="pct"/>
            <w:shd w:val="pct20" w:color="000000" w:fill="FFFFFF"/>
          </w:tcPr>
          <w:p w:rsidR="00A961E9" w:rsidRPr="00CB3556" w:rsidRDefault="00A961E9" w:rsidP="00864083">
            <w:pPr>
              <w:rPr>
                <w:rFonts w:ascii="Arial" w:hAnsi="Arial" w:cs="Arial"/>
                <w:sz w:val="20"/>
                <w:szCs w:val="20"/>
              </w:rPr>
            </w:pPr>
            <w:r w:rsidRPr="00CB3556">
              <w:rPr>
                <w:rFonts w:ascii="Arial" w:hAnsi="Arial" w:cs="Arial"/>
                <w:sz w:val="20"/>
                <w:szCs w:val="20"/>
              </w:rPr>
              <w:t>Gross measure cost is assumed to be the same as the incremental measure cost.</w:t>
            </w:r>
          </w:p>
        </w:tc>
      </w:tr>
    </w:tbl>
    <w:p w:rsidR="00E43B55" w:rsidRPr="00A961E9" w:rsidRDefault="00E43B55" w:rsidP="00864083">
      <w:pPr>
        <w:rPr>
          <w:rFonts w:ascii="Arial" w:hAnsi="Arial" w:cs="Arial"/>
          <w:b/>
          <w:color w:val="FF0000"/>
          <w:sz w:val="20"/>
          <w:szCs w:val="20"/>
        </w:rPr>
        <w:sectPr w:rsidR="00E43B55" w:rsidRPr="00A961E9" w:rsidSect="00A961E9">
          <w:footerReference w:type="default" r:id="rId14"/>
          <w:endnotePr>
            <w:numFmt w:val="decimal"/>
          </w:endnotePr>
          <w:pgSz w:w="12240" w:h="15840" w:code="1"/>
          <w:pgMar w:top="1440" w:right="1440" w:bottom="1440" w:left="1440" w:header="720" w:footer="720" w:gutter="0"/>
          <w:pgNumType w:fmt="lowerRoman" w:start="1"/>
          <w:cols w:space="720"/>
          <w:docGrid w:linePitch="360"/>
        </w:sectPr>
      </w:pPr>
    </w:p>
    <w:p w:rsidR="009048C4" w:rsidRPr="004C576E" w:rsidRDefault="009048C4" w:rsidP="00864083">
      <w:pPr>
        <w:pStyle w:val="Heading1"/>
        <w:spacing w:before="0" w:after="0"/>
      </w:pPr>
      <w:bookmarkStart w:id="3" w:name="_Toc342311739"/>
      <w:bookmarkStart w:id="4" w:name="_Toc386966967"/>
      <w:r w:rsidRPr="004C576E">
        <w:t>Work Paper Approvals</w:t>
      </w:r>
      <w:bookmarkEnd w:id="3"/>
      <w:bookmarkEnd w:id="4"/>
    </w:p>
    <w:p w:rsidR="009048C4" w:rsidRPr="004C576E" w:rsidRDefault="009048C4" w:rsidP="00864083">
      <w:pPr>
        <w:rPr>
          <w:rFonts w:ascii="Arial" w:eastAsia="Calibri" w:hAnsi="Arial" w:cs="Arial"/>
          <w:sz w:val="22"/>
          <w:szCs w:val="22"/>
        </w:rPr>
      </w:pPr>
      <w:r w:rsidRPr="004C576E">
        <w:rPr>
          <w:rFonts w:ascii="Arial" w:hAnsi="Arial" w:cs="Arial"/>
          <w:sz w:val="22"/>
          <w:szCs w:val="22"/>
        </w:rPr>
        <w:t>The following Manager(s) approved this work</w:t>
      </w:r>
      <w:r w:rsidR="00E16FD8">
        <w:rPr>
          <w:rFonts w:ascii="Arial" w:hAnsi="Arial" w:cs="Arial"/>
          <w:sz w:val="22"/>
          <w:szCs w:val="22"/>
        </w:rPr>
        <w:t xml:space="preserve"> </w:t>
      </w:r>
      <w:r w:rsidRPr="004C576E">
        <w:rPr>
          <w:rFonts w:ascii="Arial" w:hAnsi="Arial" w:cs="Arial"/>
          <w:sz w:val="22"/>
          <w:szCs w:val="22"/>
        </w:rPr>
        <w:t xml:space="preserve">paper through the PG&amp;E Electronic Data Routing System under Routing Requisition # </w:t>
      </w:r>
      <w:r w:rsidR="00917D08" w:rsidRPr="00917D08">
        <w:rPr>
          <w:rFonts w:ascii="Arial" w:hAnsi="Arial" w:cs="Arial"/>
          <w:sz w:val="22"/>
          <w:szCs w:val="22"/>
        </w:rPr>
        <w:t xml:space="preserve">2014-36028 </w:t>
      </w:r>
    </w:p>
    <w:tbl>
      <w:tblPr>
        <w:tblW w:w="3064" w:type="pct"/>
        <w:tblCellMar>
          <w:left w:w="0" w:type="dxa"/>
          <w:right w:w="0" w:type="dxa"/>
        </w:tblCellMar>
        <w:tblLook w:val="04A0" w:firstRow="1" w:lastRow="0" w:firstColumn="1" w:lastColumn="0" w:noHBand="0" w:noVBand="1"/>
      </w:tblPr>
      <w:tblGrid>
        <w:gridCol w:w="5868"/>
      </w:tblGrid>
      <w:tr w:rsidR="009048C4" w:rsidRPr="004C576E" w:rsidTr="009048C4">
        <w:tc>
          <w:tcPr>
            <w:tcW w:w="5000" w:type="pct"/>
            <w:tcMar>
              <w:top w:w="0" w:type="dxa"/>
              <w:left w:w="108" w:type="dxa"/>
              <w:bottom w:w="0" w:type="dxa"/>
              <w:right w:w="108" w:type="dxa"/>
            </w:tcMar>
          </w:tcPr>
          <w:p w:rsidR="009048C4" w:rsidRPr="004C576E" w:rsidRDefault="009048C4" w:rsidP="00864083">
            <w:pPr>
              <w:rPr>
                <w:rFonts w:ascii="Arial" w:eastAsia="Calibri" w:hAnsi="Arial" w:cs="Arial"/>
                <w:sz w:val="22"/>
                <w:szCs w:val="22"/>
              </w:rPr>
            </w:pPr>
          </w:p>
        </w:tc>
      </w:tr>
      <w:tr w:rsidR="009048C4" w:rsidRPr="004C576E" w:rsidTr="009048C4">
        <w:tc>
          <w:tcPr>
            <w:tcW w:w="5000" w:type="pct"/>
            <w:tcMar>
              <w:top w:w="0" w:type="dxa"/>
              <w:left w:w="108" w:type="dxa"/>
              <w:bottom w:w="0" w:type="dxa"/>
              <w:right w:w="108" w:type="dxa"/>
            </w:tcMar>
            <w:hideMark/>
          </w:tcPr>
          <w:p w:rsidR="009048C4" w:rsidRPr="004C576E" w:rsidRDefault="009048C4" w:rsidP="00864083">
            <w:pPr>
              <w:rPr>
                <w:rFonts w:ascii="Arial" w:eastAsia="Calibri" w:hAnsi="Arial" w:cs="Arial"/>
                <w:b/>
                <w:bCs/>
                <w:sz w:val="22"/>
                <w:szCs w:val="22"/>
              </w:rPr>
            </w:pPr>
            <w:r w:rsidRPr="004C576E">
              <w:rPr>
                <w:rFonts w:ascii="Arial" w:hAnsi="Arial" w:cs="Arial"/>
                <w:b/>
                <w:bCs/>
                <w:sz w:val="22"/>
                <w:szCs w:val="22"/>
              </w:rPr>
              <w:t>Grant Brohard</w:t>
            </w:r>
          </w:p>
          <w:p w:rsidR="009048C4" w:rsidRPr="004C576E" w:rsidRDefault="009048C4" w:rsidP="00864083">
            <w:pPr>
              <w:rPr>
                <w:rFonts w:ascii="Arial" w:eastAsia="Calibri" w:hAnsi="Arial" w:cs="Arial"/>
                <w:sz w:val="22"/>
                <w:szCs w:val="22"/>
              </w:rPr>
            </w:pPr>
            <w:r w:rsidRPr="004C576E">
              <w:rPr>
                <w:rFonts w:ascii="Arial" w:hAnsi="Arial" w:cs="Arial"/>
                <w:sz w:val="22"/>
                <w:szCs w:val="22"/>
              </w:rPr>
              <w:t>Manager, Technical Product Support</w:t>
            </w:r>
          </w:p>
        </w:tc>
      </w:tr>
      <w:tr w:rsidR="009048C4" w:rsidRPr="004C576E" w:rsidTr="009048C4">
        <w:tc>
          <w:tcPr>
            <w:tcW w:w="5000" w:type="pct"/>
            <w:tcMar>
              <w:top w:w="0" w:type="dxa"/>
              <w:left w:w="108" w:type="dxa"/>
              <w:bottom w:w="0" w:type="dxa"/>
              <w:right w:w="108" w:type="dxa"/>
            </w:tcMar>
          </w:tcPr>
          <w:p w:rsidR="009048C4" w:rsidRPr="004C576E" w:rsidRDefault="009048C4" w:rsidP="00864083">
            <w:pPr>
              <w:rPr>
                <w:rFonts w:ascii="Arial" w:eastAsia="Calibri" w:hAnsi="Arial" w:cs="Arial"/>
                <w:b/>
                <w:bCs/>
                <w:sz w:val="22"/>
                <w:szCs w:val="22"/>
              </w:rPr>
            </w:pPr>
          </w:p>
          <w:p w:rsidR="009048C4" w:rsidRPr="004C576E" w:rsidRDefault="00E16FD8" w:rsidP="00864083">
            <w:pPr>
              <w:rPr>
                <w:rFonts w:ascii="Arial" w:hAnsi="Arial" w:cs="Arial"/>
                <w:b/>
                <w:bCs/>
                <w:sz w:val="22"/>
                <w:szCs w:val="22"/>
              </w:rPr>
            </w:pPr>
            <w:r w:rsidRPr="00E16FD8">
              <w:rPr>
                <w:rFonts w:ascii="Arial" w:hAnsi="Arial" w:cs="Arial"/>
                <w:b/>
                <w:bCs/>
                <w:sz w:val="22"/>
                <w:szCs w:val="22"/>
              </w:rPr>
              <w:t>Carolyn Weiner</w:t>
            </w:r>
          </w:p>
          <w:p w:rsidR="009048C4" w:rsidRPr="004C576E" w:rsidRDefault="009048C4" w:rsidP="00864083">
            <w:pPr>
              <w:rPr>
                <w:rFonts w:ascii="Arial" w:hAnsi="Arial" w:cs="Arial"/>
                <w:sz w:val="22"/>
                <w:szCs w:val="22"/>
              </w:rPr>
            </w:pPr>
            <w:r w:rsidRPr="004C576E">
              <w:rPr>
                <w:rFonts w:ascii="Arial" w:hAnsi="Arial" w:cs="Arial"/>
                <w:sz w:val="22"/>
                <w:szCs w:val="22"/>
              </w:rPr>
              <w:t xml:space="preserve">Manager, Products </w:t>
            </w:r>
          </w:p>
          <w:p w:rsidR="009048C4" w:rsidRPr="004C576E" w:rsidRDefault="009048C4" w:rsidP="00864083">
            <w:pPr>
              <w:rPr>
                <w:rFonts w:ascii="Arial" w:hAnsi="Arial" w:cs="Arial"/>
                <w:b/>
                <w:bCs/>
                <w:sz w:val="22"/>
                <w:szCs w:val="22"/>
              </w:rPr>
            </w:pPr>
          </w:p>
          <w:p w:rsidR="009048C4" w:rsidRPr="004C576E" w:rsidRDefault="009048C4" w:rsidP="00864083">
            <w:pPr>
              <w:rPr>
                <w:rFonts w:ascii="Arial" w:eastAsia="Calibri" w:hAnsi="Arial" w:cs="Arial"/>
                <w:sz w:val="22"/>
                <w:szCs w:val="22"/>
              </w:rPr>
            </w:pPr>
          </w:p>
        </w:tc>
      </w:tr>
    </w:tbl>
    <w:p w:rsidR="00EE7092" w:rsidRPr="00A961E9" w:rsidRDefault="00EE7092" w:rsidP="00864083">
      <w:pPr>
        <w:rPr>
          <w:rFonts w:ascii="Arial" w:hAnsi="Arial" w:cs="Arial"/>
          <w:color w:val="FF0000"/>
        </w:rPr>
      </w:pPr>
    </w:p>
    <w:p w:rsidR="00C40CE2" w:rsidRDefault="00C40CE2" w:rsidP="00672230">
      <w:pPr>
        <w:pStyle w:val="Heading1"/>
        <w:spacing w:before="0" w:after="0"/>
        <w:sectPr w:rsidR="00C40CE2" w:rsidSect="00DB2CE5">
          <w:footerReference w:type="default" r:id="rId15"/>
          <w:endnotePr>
            <w:numFmt w:val="decimal"/>
          </w:endnotePr>
          <w:pgSz w:w="12240" w:h="15840"/>
          <w:pgMar w:top="1440" w:right="1440" w:bottom="1440" w:left="1440" w:header="720" w:footer="720" w:gutter="0"/>
          <w:pgNumType w:fmt="lowerRoman" w:chapStyle="1"/>
          <w:cols w:space="720"/>
          <w:docGrid w:linePitch="360"/>
        </w:sectPr>
      </w:pPr>
      <w:bookmarkStart w:id="6" w:name="_Toc197335199"/>
      <w:bookmarkStart w:id="7" w:name="_Toc186621650"/>
      <w:bookmarkStart w:id="8" w:name="_Toc304800197"/>
    </w:p>
    <w:p w:rsidR="00081FB4" w:rsidRPr="00CB3556" w:rsidRDefault="00BA458B" w:rsidP="00672230">
      <w:pPr>
        <w:pStyle w:val="Heading1"/>
        <w:spacing w:before="0" w:after="0"/>
      </w:pPr>
      <w:bookmarkStart w:id="9" w:name="_Toc386966968"/>
      <w:r w:rsidRPr="00CB3556">
        <w:t>Document Revision History</w:t>
      </w:r>
      <w:bookmarkEnd w:id="6"/>
      <w:bookmarkEnd w:id="9"/>
    </w:p>
    <w:tbl>
      <w:tblPr>
        <w:tblW w:w="4891" w:type="pct"/>
        <w:tblBorders>
          <w:insideH w:val="single" w:sz="18" w:space="0" w:color="FFFFFF"/>
          <w:insideV w:val="single" w:sz="18" w:space="0" w:color="FFFFFF"/>
        </w:tblBorders>
        <w:tblLook w:val="01E0" w:firstRow="1" w:lastRow="1" w:firstColumn="1" w:lastColumn="1" w:noHBand="0" w:noVBand="0"/>
      </w:tblPr>
      <w:tblGrid>
        <w:gridCol w:w="1264"/>
        <w:gridCol w:w="1218"/>
        <w:gridCol w:w="3777"/>
        <w:gridCol w:w="3108"/>
      </w:tblGrid>
      <w:tr w:rsidR="00672230" w:rsidRPr="00CB3556" w:rsidTr="00CB3556">
        <w:trPr>
          <w:trHeight w:val="615"/>
        </w:trPr>
        <w:tc>
          <w:tcPr>
            <w:tcW w:w="675"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Revision #</w:t>
            </w:r>
          </w:p>
        </w:tc>
        <w:tc>
          <w:tcPr>
            <w:tcW w:w="650"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Revision Date</w:t>
            </w:r>
          </w:p>
        </w:tc>
        <w:tc>
          <w:tcPr>
            <w:tcW w:w="2016"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Section-by-Section Description of Revisions</w:t>
            </w:r>
          </w:p>
        </w:tc>
        <w:tc>
          <w:tcPr>
            <w:tcW w:w="1660"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Author (Company)</w:t>
            </w:r>
          </w:p>
        </w:tc>
      </w:tr>
      <w:tr w:rsidR="00CB3556" w:rsidRPr="00CB3556" w:rsidTr="00CB3556">
        <w:trPr>
          <w:trHeight w:val="615"/>
        </w:trPr>
        <w:tc>
          <w:tcPr>
            <w:tcW w:w="675"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Revision 0</w:t>
            </w:r>
          </w:p>
        </w:tc>
        <w:tc>
          <w:tcPr>
            <w:tcW w:w="650"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02/27/08</w:t>
            </w:r>
          </w:p>
        </w:tc>
        <w:tc>
          <w:tcPr>
            <w:tcW w:w="2016"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Original workpaper:</w:t>
            </w:r>
          </w:p>
          <w:p w:rsidR="00CB3556" w:rsidRPr="00CB3556" w:rsidRDefault="00CB3556" w:rsidP="00CB3556">
            <w:pPr>
              <w:rPr>
                <w:rFonts w:ascii="Arial" w:hAnsi="Arial" w:cs="Arial"/>
                <w:b/>
                <w:bCs/>
                <w:sz w:val="20"/>
                <w:szCs w:val="20"/>
              </w:rPr>
            </w:pPr>
            <w:r w:rsidRPr="00CB3556">
              <w:rPr>
                <w:rFonts w:ascii="Arial" w:hAnsi="Arial" w:cs="Arial"/>
                <w:b/>
                <w:bCs/>
                <w:sz w:val="20"/>
                <w:szCs w:val="20"/>
              </w:rPr>
              <w:t>Process BoilerPGECOPRO101 R0.doc</w:t>
            </w:r>
          </w:p>
        </w:tc>
        <w:tc>
          <w:tcPr>
            <w:tcW w:w="1660"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 xml:space="preserve">Jim Kelsey and Nicolas Fauchier-Magnan (kW Engineering) </w:t>
            </w:r>
          </w:p>
        </w:tc>
      </w:tr>
      <w:tr w:rsidR="00CB3556" w:rsidRPr="00CB3556" w:rsidTr="00CB3556">
        <w:trPr>
          <w:trHeight w:val="615"/>
        </w:trPr>
        <w:tc>
          <w:tcPr>
            <w:tcW w:w="675"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Revision 1</w:t>
            </w:r>
          </w:p>
        </w:tc>
        <w:tc>
          <w:tcPr>
            <w:tcW w:w="650"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3/23/2010</w:t>
            </w:r>
          </w:p>
        </w:tc>
        <w:tc>
          <w:tcPr>
            <w:tcW w:w="2016"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Process BoilerPGECOPRO101 R1.doc update including available 2008 DEER cost data, and update NTGR value to 0.46.</w:t>
            </w:r>
          </w:p>
        </w:tc>
        <w:tc>
          <w:tcPr>
            <w:tcW w:w="1660" w:type="pct"/>
            <w:shd w:val="pct5"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Breesa Kassing (PG&amp;E) and Charlie Middleton (PG&amp;E)</w:t>
            </w:r>
          </w:p>
        </w:tc>
      </w:tr>
      <w:tr w:rsidR="00CB3556" w:rsidRPr="00CB3556" w:rsidTr="00CB3556">
        <w:trPr>
          <w:trHeight w:val="615"/>
        </w:trPr>
        <w:tc>
          <w:tcPr>
            <w:tcW w:w="675"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Revision 2</w:t>
            </w:r>
          </w:p>
        </w:tc>
        <w:tc>
          <w:tcPr>
            <w:tcW w:w="650"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5/24/2012</w:t>
            </w:r>
          </w:p>
        </w:tc>
        <w:tc>
          <w:tcPr>
            <w:tcW w:w="2016"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Process BoilerPGECOPRO101 R2.doc update including available 2011 DEER data and update NTGR value to 0.60.</w:t>
            </w:r>
          </w:p>
        </w:tc>
        <w:tc>
          <w:tcPr>
            <w:tcW w:w="1660" w:type="pct"/>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Justin Westmoreland (PG&amp;E)</w:t>
            </w:r>
          </w:p>
        </w:tc>
      </w:tr>
      <w:tr w:rsidR="00CB3556" w:rsidRPr="00CB3556" w:rsidTr="00CB3556">
        <w:trPr>
          <w:trHeight w:val="615"/>
        </w:trPr>
        <w:tc>
          <w:tcPr>
            <w:tcW w:w="675" w:type="pct"/>
            <w:shd w:val="pct5" w:color="000000" w:fill="FFFFFF"/>
          </w:tcPr>
          <w:p w:rsidR="00CB3556" w:rsidRPr="00CB3556" w:rsidRDefault="00CB3556" w:rsidP="00CB3556">
            <w:pPr>
              <w:rPr>
                <w:rFonts w:ascii="Arial" w:hAnsi="Arial" w:cs="Arial"/>
                <w:b/>
              </w:rPr>
            </w:pPr>
          </w:p>
        </w:tc>
        <w:tc>
          <w:tcPr>
            <w:tcW w:w="650"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8/28/2012</w:t>
            </w:r>
          </w:p>
        </w:tc>
        <w:tc>
          <w:tcPr>
            <w:tcW w:w="2016"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 xml:space="preserve">Nomenclature Update </w:t>
            </w:r>
          </w:p>
        </w:tc>
        <w:tc>
          <w:tcPr>
            <w:tcW w:w="1660"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Justin Westmoreland (PG&amp;E)</w:t>
            </w:r>
          </w:p>
        </w:tc>
      </w:tr>
      <w:tr w:rsidR="00081FB4" w:rsidRPr="00CB3556" w:rsidTr="00CB3556">
        <w:trPr>
          <w:trHeight w:val="615"/>
        </w:trPr>
        <w:tc>
          <w:tcPr>
            <w:tcW w:w="675" w:type="pct"/>
            <w:shd w:val="clear" w:color="auto" w:fill="BFBFBF"/>
          </w:tcPr>
          <w:p w:rsidR="00081FB4" w:rsidRPr="00CB3556" w:rsidRDefault="00081FB4" w:rsidP="00864083">
            <w:pPr>
              <w:rPr>
                <w:rFonts w:ascii="Arial" w:hAnsi="Arial" w:cs="Arial"/>
                <w:b/>
                <w:sz w:val="20"/>
                <w:szCs w:val="20"/>
              </w:rPr>
            </w:pPr>
            <w:r w:rsidRPr="00CB3556">
              <w:rPr>
                <w:rFonts w:ascii="Arial" w:hAnsi="Arial" w:cs="Arial"/>
                <w:b/>
                <w:sz w:val="20"/>
                <w:szCs w:val="20"/>
              </w:rPr>
              <w:t>Revision 3</w:t>
            </w:r>
          </w:p>
        </w:tc>
        <w:tc>
          <w:tcPr>
            <w:tcW w:w="650" w:type="pct"/>
            <w:shd w:val="clear" w:color="auto" w:fill="BFBFBF"/>
          </w:tcPr>
          <w:p w:rsidR="00081FB4" w:rsidRPr="00CB3556" w:rsidRDefault="00CB3556" w:rsidP="00D36019">
            <w:pPr>
              <w:rPr>
                <w:rFonts w:ascii="Arial" w:hAnsi="Arial" w:cs="Arial"/>
                <w:b/>
                <w:sz w:val="20"/>
                <w:szCs w:val="20"/>
              </w:rPr>
            </w:pPr>
            <w:r>
              <w:rPr>
                <w:rFonts w:ascii="Arial" w:hAnsi="Arial" w:cs="Arial"/>
                <w:b/>
                <w:sz w:val="20"/>
                <w:szCs w:val="20"/>
              </w:rPr>
              <w:t>04</w:t>
            </w:r>
            <w:r w:rsidR="00D36019">
              <w:rPr>
                <w:rFonts w:ascii="Arial" w:hAnsi="Arial" w:cs="Arial"/>
                <w:b/>
                <w:sz w:val="20"/>
                <w:szCs w:val="20"/>
              </w:rPr>
              <w:t>/25</w:t>
            </w:r>
            <w:r w:rsidR="00672230" w:rsidRPr="00CB3556">
              <w:rPr>
                <w:rFonts w:ascii="Arial" w:hAnsi="Arial" w:cs="Arial"/>
                <w:b/>
                <w:sz w:val="20"/>
                <w:szCs w:val="20"/>
              </w:rPr>
              <w:t>/2014</w:t>
            </w:r>
          </w:p>
        </w:tc>
        <w:tc>
          <w:tcPr>
            <w:tcW w:w="2016" w:type="pct"/>
            <w:shd w:val="clear" w:color="auto" w:fill="BFBFBF"/>
          </w:tcPr>
          <w:p w:rsidR="00081FB4" w:rsidRPr="00CB3556" w:rsidRDefault="00384319" w:rsidP="00D36019">
            <w:pPr>
              <w:rPr>
                <w:rFonts w:ascii="Arial" w:hAnsi="Arial" w:cs="Arial"/>
                <w:b/>
                <w:sz w:val="20"/>
                <w:szCs w:val="20"/>
              </w:rPr>
            </w:pPr>
            <w:r>
              <w:rPr>
                <w:rFonts w:ascii="Arial" w:hAnsi="Arial" w:cs="Arial"/>
                <w:b/>
                <w:sz w:val="20"/>
                <w:szCs w:val="20"/>
              </w:rPr>
              <w:t xml:space="preserve">Formatted to new template. </w:t>
            </w:r>
            <w:r w:rsidR="006A644D">
              <w:rPr>
                <w:rFonts w:ascii="Arial" w:hAnsi="Arial" w:cs="Arial"/>
                <w:b/>
                <w:sz w:val="20"/>
                <w:szCs w:val="20"/>
              </w:rPr>
              <w:t xml:space="preserve">Updated </w:t>
            </w:r>
            <w:r w:rsidR="00386730">
              <w:rPr>
                <w:rFonts w:ascii="Arial" w:hAnsi="Arial" w:cs="Arial"/>
                <w:b/>
                <w:sz w:val="20"/>
                <w:szCs w:val="20"/>
              </w:rPr>
              <w:t xml:space="preserve">for Title 24 code impact. </w:t>
            </w:r>
          </w:p>
        </w:tc>
        <w:tc>
          <w:tcPr>
            <w:tcW w:w="1660" w:type="pct"/>
            <w:shd w:val="clear" w:color="auto" w:fill="BFBFBF"/>
          </w:tcPr>
          <w:p w:rsidR="00081FB4" w:rsidRPr="00CB3556" w:rsidRDefault="00081FB4" w:rsidP="00864083">
            <w:pPr>
              <w:rPr>
                <w:rFonts w:ascii="Arial" w:hAnsi="Arial" w:cs="Arial"/>
                <w:b/>
                <w:sz w:val="20"/>
                <w:szCs w:val="20"/>
              </w:rPr>
            </w:pPr>
            <w:r w:rsidRPr="00CB3556">
              <w:rPr>
                <w:rFonts w:ascii="Arial" w:hAnsi="Arial" w:cs="Arial"/>
                <w:b/>
                <w:sz w:val="20"/>
                <w:szCs w:val="20"/>
              </w:rPr>
              <w:t>Curtis Lee</w:t>
            </w:r>
          </w:p>
          <w:p w:rsidR="00081FB4" w:rsidRDefault="00081FB4" w:rsidP="00864083">
            <w:pPr>
              <w:rPr>
                <w:rFonts w:ascii="Arial" w:hAnsi="Arial" w:cs="Arial"/>
                <w:b/>
                <w:sz w:val="20"/>
                <w:szCs w:val="20"/>
              </w:rPr>
            </w:pPr>
            <w:r w:rsidRPr="00CB3556">
              <w:rPr>
                <w:rFonts w:ascii="Arial" w:hAnsi="Arial" w:cs="Arial"/>
                <w:b/>
                <w:sz w:val="20"/>
                <w:szCs w:val="20"/>
              </w:rPr>
              <w:t>(kW Engineering)</w:t>
            </w:r>
          </w:p>
          <w:p w:rsidR="00E16FD8" w:rsidRPr="00CB3556" w:rsidRDefault="00E16FD8" w:rsidP="00864083">
            <w:pPr>
              <w:rPr>
                <w:rFonts w:ascii="Arial" w:hAnsi="Arial" w:cs="Arial"/>
                <w:b/>
                <w:sz w:val="20"/>
                <w:szCs w:val="20"/>
              </w:rPr>
            </w:pPr>
            <w:r>
              <w:rPr>
                <w:rFonts w:ascii="Arial" w:hAnsi="Arial" w:cs="Arial"/>
                <w:b/>
                <w:sz w:val="20"/>
                <w:szCs w:val="20"/>
              </w:rPr>
              <w:t>Charlie Middleton (PG&amp;E)</w:t>
            </w:r>
          </w:p>
        </w:tc>
      </w:tr>
    </w:tbl>
    <w:p w:rsidR="00161EE3" w:rsidRPr="00A961E9" w:rsidRDefault="00161EE3" w:rsidP="00864083">
      <w:pPr>
        <w:rPr>
          <w:rFonts w:ascii="Arial" w:hAnsi="Arial" w:cs="Arial"/>
          <w:color w:val="FF0000"/>
        </w:rPr>
      </w:pPr>
    </w:p>
    <w:p w:rsidR="00C40CE2" w:rsidRDefault="00C40CE2" w:rsidP="00864083">
      <w:pPr>
        <w:pStyle w:val="Heading1"/>
        <w:spacing w:before="0" w:after="0"/>
        <w:sectPr w:rsidR="00C40CE2" w:rsidSect="00DB2CE5">
          <w:endnotePr>
            <w:numFmt w:val="decimal"/>
          </w:endnotePr>
          <w:pgSz w:w="12240" w:h="15840"/>
          <w:pgMar w:top="1440" w:right="1440" w:bottom="1440" w:left="1440" w:header="720" w:footer="720" w:gutter="0"/>
          <w:pgNumType w:fmt="lowerRoman" w:chapStyle="1"/>
          <w:cols w:space="720"/>
          <w:docGrid w:linePitch="360"/>
        </w:sectPr>
      </w:pPr>
    </w:p>
    <w:p w:rsidR="00E71EF1" w:rsidRPr="00BD7B72" w:rsidRDefault="001248A3" w:rsidP="00864083">
      <w:pPr>
        <w:pStyle w:val="Heading1"/>
        <w:spacing w:before="0" w:after="0"/>
      </w:pPr>
      <w:bookmarkStart w:id="10" w:name="_Toc386966969"/>
      <w:r w:rsidRPr="00BD7B72">
        <w:t>Table</w:t>
      </w:r>
      <w:r w:rsidR="006559C8" w:rsidRPr="00BD7B72">
        <w:t xml:space="preserve"> of Contents</w:t>
      </w:r>
      <w:bookmarkEnd w:id="7"/>
      <w:bookmarkEnd w:id="8"/>
      <w:bookmarkEnd w:id="10"/>
    </w:p>
    <w:bookmarkStart w:id="11" w:name="_GoBack"/>
    <w:bookmarkEnd w:id="11"/>
    <w:p w:rsidR="005E3C06" w:rsidRDefault="00E406EA">
      <w:pPr>
        <w:pStyle w:val="TOC1"/>
        <w:tabs>
          <w:tab w:val="right" w:leader="dot" w:pos="9350"/>
        </w:tabs>
        <w:rPr>
          <w:rFonts w:asciiTheme="minorHAnsi" w:eastAsiaTheme="minorEastAsia" w:hAnsiTheme="minorHAnsi" w:cstheme="minorBidi"/>
          <w:noProof/>
          <w:sz w:val="22"/>
          <w:szCs w:val="22"/>
        </w:rPr>
      </w:pPr>
      <w:r w:rsidRPr="00BD7B72">
        <w:rPr>
          <w:rFonts w:ascii="Arial" w:hAnsi="Arial" w:cs="Arial"/>
          <w:b/>
          <w:bCs/>
          <w:sz w:val="22"/>
          <w:szCs w:val="22"/>
        </w:rPr>
        <w:fldChar w:fldCharType="begin"/>
      </w:r>
      <w:r w:rsidR="009F6F8B" w:rsidRPr="00BD7B72">
        <w:rPr>
          <w:rFonts w:ascii="Arial" w:hAnsi="Arial" w:cs="Arial"/>
          <w:b/>
          <w:bCs/>
          <w:sz w:val="22"/>
          <w:szCs w:val="22"/>
        </w:rPr>
        <w:instrText xml:space="preserve"> TOC \o "1-3" \h \z \u </w:instrText>
      </w:r>
      <w:r w:rsidRPr="00BD7B72">
        <w:rPr>
          <w:rFonts w:ascii="Arial" w:hAnsi="Arial" w:cs="Arial"/>
          <w:b/>
          <w:bCs/>
          <w:sz w:val="22"/>
          <w:szCs w:val="22"/>
        </w:rPr>
        <w:fldChar w:fldCharType="separate"/>
      </w:r>
      <w:hyperlink w:anchor="_Toc386966966" w:history="1">
        <w:r w:rsidR="005E3C06" w:rsidRPr="00C837BA">
          <w:rPr>
            <w:rStyle w:val="Hyperlink"/>
            <w:noProof/>
          </w:rPr>
          <w:t>At-A-Glance Summary</w:t>
        </w:r>
        <w:r w:rsidR="005E3C06">
          <w:rPr>
            <w:noProof/>
            <w:webHidden/>
          </w:rPr>
          <w:tab/>
        </w:r>
        <w:r w:rsidR="005E3C06">
          <w:rPr>
            <w:noProof/>
            <w:webHidden/>
          </w:rPr>
          <w:fldChar w:fldCharType="begin"/>
        </w:r>
        <w:r w:rsidR="005E3C06">
          <w:rPr>
            <w:noProof/>
            <w:webHidden/>
          </w:rPr>
          <w:instrText xml:space="preserve"> PAGEREF _Toc386966966 \h </w:instrText>
        </w:r>
        <w:r w:rsidR="005E3C06">
          <w:rPr>
            <w:noProof/>
            <w:webHidden/>
          </w:rPr>
        </w:r>
        <w:r w:rsidR="005E3C06">
          <w:rPr>
            <w:noProof/>
            <w:webHidden/>
          </w:rPr>
          <w:fldChar w:fldCharType="separate"/>
        </w:r>
        <w:r w:rsidR="005E3C06">
          <w:rPr>
            <w:noProof/>
            <w:webHidden/>
          </w:rPr>
          <w:t>i</w:t>
        </w:r>
        <w:r w:rsidR="005E3C06">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67" w:history="1">
        <w:r w:rsidRPr="00C837BA">
          <w:rPr>
            <w:rStyle w:val="Hyperlink"/>
            <w:noProof/>
          </w:rPr>
          <w:t>Work Paper Approvals</w:t>
        </w:r>
        <w:r>
          <w:rPr>
            <w:noProof/>
            <w:webHidden/>
          </w:rPr>
          <w:tab/>
        </w:r>
        <w:r>
          <w:rPr>
            <w:noProof/>
            <w:webHidden/>
          </w:rPr>
          <w:fldChar w:fldCharType="begin"/>
        </w:r>
        <w:r>
          <w:rPr>
            <w:noProof/>
            <w:webHidden/>
          </w:rPr>
          <w:instrText xml:space="preserve"> PAGEREF _Toc386966967 \h </w:instrText>
        </w:r>
        <w:r>
          <w:rPr>
            <w:noProof/>
            <w:webHidden/>
          </w:rPr>
        </w:r>
        <w:r>
          <w:rPr>
            <w:noProof/>
            <w:webHidden/>
          </w:rPr>
          <w:fldChar w:fldCharType="separate"/>
        </w:r>
        <w:r>
          <w:rPr>
            <w:noProof/>
            <w:webHidden/>
          </w:rPr>
          <w:t>iii</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68" w:history="1">
        <w:r w:rsidRPr="00C837BA">
          <w:rPr>
            <w:rStyle w:val="Hyperlink"/>
            <w:noProof/>
          </w:rPr>
          <w:t>Document Revision History</w:t>
        </w:r>
        <w:r>
          <w:rPr>
            <w:noProof/>
            <w:webHidden/>
          </w:rPr>
          <w:tab/>
        </w:r>
        <w:r>
          <w:rPr>
            <w:noProof/>
            <w:webHidden/>
          </w:rPr>
          <w:fldChar w:fldCharType="begin"/>
        </w:r>
        <w:r>
          <w:rPr>
            <w:noProof/>
            <w:webHidden/>
          </w:rPr>
          <w:instrText xml:space="preserve"> PAGEREF _Toc386966968 \h </w:instrText>
        </w:r>
        <w:r>
          <w:rPr>
            <w:noProof/>
            <w:webHidden/>
          </w:rPr>
        </w:r>
        <w:r>
          <w:rPr>
            <w:noProof/>
            <w:webHidden/>
          </w:rPr>
          <w:fldChar w:fldCharType="separate"/>
        </w:r>
        <w:r>
          <w:rPr>
            <w:noProof/>
            <w:webHidden/>
          </w:rPr>
          <w:t>iv</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69" w:history="1">
        <w:r w:rsidRPr="00C837BA">
          <w:rPr>
            <w:rStyle w:val="Hyperlink"/>
            <w:noProof/>
          </w:rPr>
          <w:t>Table of Contents</w:t>
        </w:r>
        <w:r>
          <w:rPr>
            <w:noProof/>
            <w:webHidden/>
          </w:rPr>
          <w:tab/>
        </w:r>
        <w:r>
          <w:rPr>
            <w:noProof/>
            <w:webHidden/>
          </w:rPr>
          <w:fldChar w:fldCharType="begin"/>
        </w:r>
        <w:r>
          <w:rPr>
            <w:noProof/>
            <w:webHidden/>
          </w:rPr>
          <w:instrText xml:space="preserve"> PAGEREF _Toc386966969 \h </w:instrText>
        </w:r>
        <w:r>
          <w:rPr>
            <w:noProof/>
            <w:webHidden/>
          </w:rPr>
        </w:r>
        <w:r>
          <w:rPr>
            <w:noProof/>
            <w:webHidden/>
          </w:rPr>
          <w:fldChar w:fldCharType="separate"/>
        </w:r>
        <w:r>
          <w:rPr>
            <w:noProof/>
            <w:webHidden/>
          </w:rPr>
          <w:t>v</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70" w:history="1">
        <w:r w:rsidRPr="00C837BA">
          <w:rPr>
            <w:rStyle w:val="Hyperlink"/>
            <w:noProof/>
          </w:rPr>
          <w:t>List of Tables</w:t>
        </w:r>
        <w:r>
          <w:rPr>
            <w:noProof/>
            <w:webHidden/>
          </w:rPr>
          <w:tab/>
        </w:r>
        <w:r>
          <w:rPr>
            <w:noProof/>
            <w:webHidden/>
          </w:rPr>
          <w:fldChar w:fldCharType="begin"/>
        </w:r>
        <w:r>
          <w:rPr>
            <w:noProof/>
            <w:webHidden/>
          </w:rPr>
          <w:instrText xml:space="preserve"> PAGEREF _Toc386966970 \h </w:instrText>
        </w:r>
        <w:r>
          <w:rPr>
            <w:noProof/>
            <w:webHidden/>
          </w:rPr>
        </w:r>
        <w:r>
          <w:rPr>
            <w:noProof/>
            <w:webHidden/>
          </w:rPr>
          <w:fldChar w:fldCharType="separate"/>
        </w:r>
        <w:r>
          <w:rPr>
            <w:noProof/>
            <w:webHidden/>
          </w:rPr>
          <w:t>vi</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71" w:history="1">
        <w:r w:rsidRPr="00C837BA">
          <w:rPr>
            <w:rStyle w:val="Hyperlink"/>
            <w:i/>
            <w:noProof/>
          </w:rPr>
          <w:t>Section 1. General Measure &amp; Baseline Data</w:t>
        </w:r>
        <w:r>
          <w:rPr>
            <w:noProof/>
            <w:webHidden/>
          </w:rPr>
          <w:tab/>
        </w:r>
        <w:r>
          <w:rPr>
            <w:noProof/>
            <w:webHidden/>
          </w:rPr>
          <w:fldChar w:fldCharType="begin"/>
        </w:r>
        <w:r>
          <w:rPr>
            <w:noProof/>
            <w:webHidden/>
          </w:rPr>
          <w:instrText xml:space="preserve"> PAGEREF _Toc386966971 \h </w:instrText>
        </w:r>
        <w:r>
          <w:rPr>
            <w:noProof/>
            <w:webHidden/>
          </w:rPr>
        </w:r>
        <w:r>
          <w:rPr>
            <w:noProof/>
            <w:webHidden/>
          </w:rPr>
          <w:fldChar w:fldCharType="separate"/>
        </w:r>
        <w:r>
          <w:rPr>
            <w:noProof/>
            <w:webHidden/>
          </w:rPr>
          <w:t>1</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72" w:history="1">
        <w:r w:rsidRPr="00C837BA">
          <w:rPr>
            <w:rStyle w:val="Hyperlink"/>
            <w:noProof/>
          </w:rPr>
          <w:t>1.1 Product Measure Description &amp; Background</w:t>
        </w:r>
        <w:r>
          <w:rPr>
            <w:noProof/>
            <w:webHidden/>
          </w:rPr>
          <w:tab/>
        </w:r>
        <w:r>
          <w:rPr>
            <w:noProof/>
            <w:webHidden/>
          </w:rPr>
          <w:fldChar w:fldCharType="begin"/>
        </w:r>
        <w:r>
          <w:rPr>
            <w:noProof/>
            <w:webHidden/>
          </w:rPr>
          <w:instrText xml:space="preserve"> PAGEREF _Toc386966972 \h </w:instrText>
        </w:r>
        <w:r>
          <w:rPr>
            <w:noProof/>
            <w:webHidden/>
          </w:rPr>
        </w:r>
        <w:r>
          <w:rPr>
            <w:noProof/>
            <w:webHidden/>
          </w:rPr>
          <w:fldChar w:fldCharType="separate"/>
        </w:r>
        <w:r>
          <w:rPr>
            <w:noProof/>
            <w:webHidden/>
          </w:rPr>
          <w:t>1</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73" w:history="1">
        <w:r w:rsidRPr="00C837BA">
          <w:rPr>
            <w:rStyle w:val="Hyperlink"/>
            <w:noProof/>
          </w:rPr>
          <w:t>1.2 Product Technical Description</w:t>
        </w:r>
        <w:r>
          <w:rPr>
            <w:noProof/>
            <w:webHidden/>
          </w:rPr>
          <w:tab/>
        </w:r>
        <w:r>
          <w:rPr>
            <w:noProof/>
            <w:webHidden/>
          </w:rPr>
          <w:fldChar w:fldCharType="begin"/>
        </w:r>
        <w:r>
          <w:rPr>
            <w:noProof/>
            <w:webHidden/>
          </w:rPr>
          <w:instrText xml:space="preserve"> PAGEREF _Toc386966973 \h </w:instrText>
        </w:r>
        <w:r>
          <w:rPr>
            <w:noProof/>
            <w:webHidden/>
          </w:rPr>
        </w:r>
        <w:r>
          <w:rPr>
            <w:noProof/>
            <w:webHidden/>
          </w:rPr>
          <w:fldChar w:fldCharType="separate"/>
        </w:r>
        <w:r>
          <w:rPr>
            <w:noProof/>
            <w:webHidden/>
          </w:rPr>
          <w:t>1</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74" w:history="1">
        <w:r w:rsidRPr="00C837BA">
          <w:rPr>
            <w:rStyle w:val="Hyperlink"/>
            <w:noProof/>
          </w:rPr>
          <w:t>1.3 Measure Application Type</w:t>
        </w:r>
        <w:r>
          <w:rPr>
            <w:noProof/>
            <w:webHidden/>
          </w:rPr>
          <w:tab/>
        </w:r>
        <w:r>
          <w:rPr>
            <w:noProof/>
            <w:webHidden/>
          </w:rPr>
          <w:fldChar w:fldCharType="begin"/>
        </w:r>
        <w:r>
          <w:rPr>
            <w:noProof/>
            <w:webHidden/>
          </w:rPr>
          <w:instrText xml:space="preserve"> PAGEREF _Toc386966974 \h </w:instrText>
        </w:r>
        <w:r>
          <w:rPr>
            <w:noProof/>
            <w:webHidden/>
          </w:rPr>
        </w:r>
        <w:r>
          <w:rPr>
            <w:noProof/>
            <w:webHidden/>
          </w:rPr>
          <w:fldChar w:fldCharType="separate"/>
        </w:r>
        <w:r>
          <w:rPr>
            <w:noProof/>
            <w:webHidden/>
          </w:rPr>
          <w:t>2</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75" w:history="1">
        <w:r w:rsidRPr="00C837BA">
          <w:rPr>
            <w:rStyle w:val="Hyperlink"/>
            <w:noProof/>
          </w:rPr>
          <w:t>1.4 Product Base Case and Measure Case Data</w:t>
        </w:r>
        <w:r>
          <w:rPr>
            <w:noProof/>
            <w:webHidden/>
          </w:rPr>
          <w:tab/>
        </w:r>
        <w:r>
          <w:rPr>
            <w:noProof/>
            <w:webHidden/>
          </w:rPr>
          <w:fldChar w:fldCharType="begin"/>
        </w:r>
        <w:r>
          <w:rPr>
            <w:noProof/>
            <w:webHidden/>
          </w:rPr>
          <w:instrText xml:space="preserve"> PAGEREF _Toc386966975 \h </w:instrText>
        </w:r>
        <w:r>
          <w:rPr>
            <w:noProof/>
            <w:webHidden/>
          </w:rPr>
        </w:r>
        <w:r>
          <w:rPr>
            <w:noProof/>
            <w:webHidden/>
          </w:rPr>
          <w:fldChar w:fldCharType="separate"/>
        </w:r>
        <w:r>
          <w:rPr>
            <w:noProof/>
            <w:webHidden/>
          </w:rPr>
          <w:t>2</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76" w:history="1">
        <w:r w:rsidRPr="00C837BA">
          <w:rPr>
            <w:rStyle w:val="Hyperlink"/>
            <w:noProof/>
          </w:rPr>
          <w:t>1.4.1 DEER Base Case and Measure Case Information</w:t>
        </w:r>
        <w:r>
          <w:rPr>
            <w:noProof/>
            <w:webHidden/>
          </w:rPr>
          <w:tab/>
        </w:r>
        <w:r>
          <w:rPr>
            <w:noProof/>
            <w:webHidden/>
          </w:rPr>
          <w:fldChar w:fldCharType="begin"/>
        </w:r>
        <w:r>
          <w:rPr>
            <w:noProof/>
            <w:webHidden/>
          </w:rPr>
          <w:instrText xml:space="preserve"> PAGEREF _Toc386966976 \h </w:instrText>
        </w:r>
        <w:r>
          <w:rPr>
            <w:noProof/>
            <w:webHidden/>
          </w:rPr>
        </w:r>
        <w:r>
          <w:rPr>
            <w:noProof/>
            <w:webHidden/>
          </w:rPr>
          <w:fldChar w:fldCharType="separate"/>
        </w:r>
        <w:r>
          <w:rPr>
            <w:noProof/>
            <w:webHidden/>
          </w:rPr>
          <w:t>2</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77" w:history="1">
        <w:r w:rsidRPr="00C837BA">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_Toc386966977 \h </w:instrText>
        </w:r>
        <w:r>
          <w:rPr>
            <w:noProof/>
            <w:webHidden/>
          </w:rPr>
        </w:r>
        <w:r>
          <w:rPr>
            <w:noProof/>
            <w:webHidden/>
          </w:rPr>
          <w:fldChar w:fldCharType="separate"/>
        </w:r>
        <w:r>
          <w:rPr>
            <w:noProof/>
            <w:webHidden/>
          </w:rPr>
          <w:t>4</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78" w:history="1">
        <w:r w:rsidRPr="00C837BA">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_Toc386966978 \h </w:instrText>
        </w:r>
        <w:r>
          <w:rPr>
            <w:noProof/>
            <w:webHidden/>
          </w:rPr>
        </w:r>
        <w:r>
          <w:rPr>
            <w:noProof/>
            <w:webHidden/>
          </w:rPr>
          <w:fldChar w:fldCharType="separate"/>
        </w:r>
        <w:r>
          <w:rPr>
            <w:noProof/>
            <w:webHidden/>
          </w:rPr>
          <w:t>5</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79" w:history="1">
        <w:r w:rsidRPr="00C837BA">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_Toc386966979 \h </w:instrText>
        </w:r>
        <w:r>
          <w:rPr>
            <w:noProof/>
            <w:webHidden/>
          </w:rPr>
        </w:r>
        <w:r>
          <w:rPr>
            <w:noProof/>
            <w:webHidden/>
          </w:rPr>
          <w:fldChar w:fldCharType="separate"/>
        </w:r>
        <w:r>
          <w:rPr>
            <w:noProof/>
            <w:webHidden/>
          </w:rPr>
          <w:t>5</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80" w:history="1">
        <w:r w:rsidRPr="00C837BA">
          <w:rPr>
            <w:rStyle w:val="Hyperlink"/>
            <w:noProof/>
          </w:rPr>
          <w:t>1.4.5 Time-of-Use Adjustment Factor</w:t>
        </w:r>
        <w:r>
          <w:rPr>
            <w:noProof/>
            <w:webHidden/>
          </w:rPr>
          <w:tab/>
        </w:r>
        <w:r>
          <w:rPr>
            <w:noProof/>
            <w:webHidden/>
          </w:rPr>
          <w:fldChar w:fldCharType="begin"/>
        </w:r>
        <w:r>
          <w:rPr>
            <w:noProof/>
            <w:webHidden/>
          </w:rPr>
          <w:instrText xml:space="preserve"> PAGEREF _Toc386966980 \h </w:instrText>
        </w:r>
        <w:r>
          <w:rPr>
            <w:noProof/>
            <w:webHidden/>
          </w:rPr>
        </w:r>
        <w:r>
          <w:rPr>
            <w:noProof/>
            <w:webHidden/>
          </w:rPr>
          <w:fldChar w:fldCharType="separate"/>
        </w:r>
        <w:r>
          <w:rPr>
            <w:noProof/>
            <w:webHidden/>
          </w:rPr>
          <w:t>6</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81" w:history="1">
        <w:r w:rsidRPr="00C837BA">
          <w:rPr>
            <w:rStyle w:val="Hyperlink"/>
            <w:noProof/>
          </w:rPr>
          <w:t>1.5 Summary of Inputs for Savings Calculations</w:t>
        </w:r>
        <w:r>
          <w:rPr>
            <w:noProof/>
            <w:webHidden/>
          </w:rPr>
          <w:tab/>
        </w:r>
        <w:r>
          <w:rPr>
            <w:noProof/>
            <w:webHidden/>
          </w:rPr>
          <w:fldChar w:fldCharType="begin"/>
        </w:r>
        <w:r>
          <w:rPr>
            <w:noProof/>
            <w:webHidden/>
          </w:rPr>
          <w:instrText xml:space="preserve"> PAGEREF _Toc386966981 \h </w:instrText>
        </w:r>
        <w:r>
          <w:rPr>
            <w:noProof/>
            <w:webHidden/>
          </w:rPr>
        </w:r>
        <w:r>
          <w:rPr>
            <w:noProof/>
            <w:webHidden/>
          </w:rPr>
          <w:fldChar w:fldCharType="separate"/>
        </w:r>
        <w:r>
          <w:rPr>
            <w:noProof/>
            <w:webHidden/>
          </w:rPr>
          <w:t>7</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82" w:history="1">
        <w:r w:rsidRPr="00C837BA">
          <w:rPr>
            <w:rStyle w:val="Hyperlink"/>
            <w:i/>
            <w:noProof/>
          </w:rPr>
          <w:t>Section 2. Calculation Methods</w:t>
        </w:r>
        <w:r>
          <w:rPr>
            <w:noProof/>
            <w:webHidden/>
          </w:rPr>
          <w:tab/>
        </w:r>
        <w:r>
          <w:rPr>
            <w:noProof/>
            <w:webHidden/>
          </w:rPr>
          <w:fldChar w:fldCharType="begin"/>
        </w:r>
        <w:r>
          <w:rPr>
            <w:noProof/>
            <w:webHidden/>
          </w:rPr>
          <w:instrText xml:space="preserve"> PAGEREF _Toc386966982 \h </w:instrText>
        </w:r>
        <w:r>
          <w:rPr>
            <w:noProof/>
            <w:webHidden/>
          </w:rPr>
        </w:r>
        <w:r>
          <w:rPr>
            <w:noProof/>
            <w:webHidden/>
          </w:rPr>
          <w:fldChar w:fldCharType="separate"/>
        </w:r>
        <w:r>
          <w:rPr>
            <w:noProof/>
            <w:webHidden/>
          </w:rPr>
          <w:t>8</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83" w:history="1">
        <w:r w:rsidRPr="00C837BA">
          <w:rPr>
            <w:rStyle w:val="Hyperlink"/>
            <w:noProof/>
          </w:rPr>
          <w:t>2.1 Electric Energy Savings Estimation Methodologies</w:t>
        </w:r>
        <w:r>
          <w:rPr>
            <w:noProof/>
            <w:webHidden/>
          </w:rPr>
          <w:tab/>
        </w:r>
        <w:r>
          <w:rPr>
            <w:noProof/>
            <w:webHidden/>
          </w:rPr>
          <w:fldChar w:fldCharType="begin"/>
        </w:r>
        <w:r>
          <w:rPr>
            <w:noProof/>
            <w:webHidden/>
          </w:rPr>
          <w:instrText xml:space="preserve"> PAGEREF _Toc386966983 \h </w:instrText>
        </w:r>
        <w:r>
          <w:rPr>
            <w:noProof/>
            <w:webHidden/>
          </w:rPr>
        </w:r>
        <w:r>
          <w:rPr>
            <w:noProof/>
            <w:webHidden/>
          </w:rPr>
          <w:fldChar w:fldCharType="separate"/>
        </w:r>
        <w:r>
          <w:rPr>
            <w:noProof/>
            <w:webHidden/>
          </w:rPr>
          <w:t>8</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84" w:history="1">
        <w:r w:rsidRPr="00C837BA">
          <w:rPr>
            <w:rStyle w:val="Hyperlink"/>
            <w:noProof/>
          </w:rPr>
          <w:t>2.2. Demand Reduction Estimation Methodologies</w:t>
        </w:r>
        <w:r>
          <w:rPr>
            <w:noProof/>
            <w:webHidden/>
          </w:rPr>
          <w:tab/>
        </w:r>
        <w:r>
          <w:rPr>
            <w:noProof/>
            <w:webHidden/>
          </w:rPr>
          <w:fldChar w:fldCharType="begin"/>
        </w:r>
        <w:r>
          <w:rPr>
            <w:noProof/>
            <w:webHidden/>
          </w:rPr>
          <w:instrText xml:space="preserve"> PAGEREF _Toc386966984 \h </w:instrText>
        </w:r>
        <w:r>
          <w:rPr>
            <w:noProof/>
            <w:webHidden/>
          </w:rPr>
        </w:r>
        <w:r>
          <w:rPr>
            <w:noProof/>
            <w:webHidden/>
          </w:rPr>
          <w:fldChar w:fldCharType="separate"/>
        </w:r>
        <w:r>
          <w:rPr>
            <w:noProof/>
            <w:webHidden/>
          </w:rPr>
          <w:t>8</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85" w:history="1">
        <w:r w:rsidRPr="00C837BA">
          <w:rPr>
            <w:rStyle w:val="Hyperlink"/>
            <w:noProof/>
          </w:rPr>
          <w:t>2.3. Gas Energy Savings Estimation Methodologies</w:t>
        </w:r>
        <w:r>
          <w:rPr>
            <w:noProof/>
            <w:webHidden/>
          </w:rPr>
          <w:tab/>
        </w:r>
        <w:r>
          <w:rPr>
            <w:noProof/>
            <w:webHidden/>
          </w:rPr>
          <w:fldChar w:fldCharType="begin"/>
        </w:r>
        <w:r>
          <w:rPr>
            <w:noProof/>
            <w:webHidden/>
          </w:rPr>
          <w:instrText xml:space="preserve"> PAGEREF _Toc386966985 \h </w:instrText>
        </w:r>
        <w:r>
          <w:rPr>
            <w:noProof/>
            <w:webHidden/>
          </w:rPr>
        </w:r>
        <w:r>
          <w:rPr>
            <w:noProof/>
            <w:webHidden/>
          </w:rPr>
          <w:fldChar w:fldCharType="separate"/>
        </w:r>
        <w:r>
          <w:rPr>
            <w:noProof/>
            <w:webHidden/>
          </w:rPr>
          <w:t>8</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86" w:history="1">
        <w:r w:rsidRPr="00C837BA">
          <w:rPr>
            <w:rStyle w:val="Hyperlink"/>
            <w:i/>
            <w:noProof/>
          </w:rPr>
          <w:t>Section 3. Load Shapes</w:t>
        </w:r>
        <w:r>
          <w:rPr>
            <w:noProof/>
            <w:webHidden/>
          </w:rPr>
          <w:tab/>
        </w:r>
        <w:r>
          <w:rPr>
            <w:noProof/>
            <w:webHidden/>
          </w:rPr>
          <w:fldChar w:fldCharType="begin"/>
        </w:r>
        <w:r>
          <w:rPr>
            <w:noProof/>
            <w:webHidden/>
          </w:rPr>
          <w:instrText xml:space="preserve"> PAGEREF _Toc386966986 \h </w:instrText>
        </w:r>
        <w:r>
          <w:rPr>
            <w:noProof/>
            <w:webHidden/>
          </w:rPr>
        </w:r>
        <w:r>
          <w:rPr>
            <w:noProof/>
            <w:webHidden/>
          </w:rPr>
          <w:fldChar w:fldCharType="separate"/>
        </w:r>
        <w:r>
          <w:rPr>
            <w:noProof/>
            <w:webHidden/>
          </w:rPr>
          <w:t>11</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87" w:history="1">
        <w:r w:rsidRPr="00C837BA">
          <w:rPr>
            <w:rStyle w:val="Hyperlink"/>
            <w:noProof/>
          </w:rPr>
          <w:t>3.1 Base Case Load Shapes</w:t>
        </w:r>
        <w:r>
          <w:rPr>
            <w:noProof/>
            <w:webHidden/>
          </w:rPr>
          <w:tab/>
        </w:r>
        <w:r>
          <w:rPr>
            <w:noProof/>
            <w:webHidden/>
          </w:rPr>
          <w:fldChar w:fldCharType="begin"/>
        </w:r>
        <w:r>
          <w:rPr>
            <w:noProof/>
            <w:webHidden/>
          </w:rPr>
          <w:instrText xml:space="preserve"> PAGEREF _Toc386966987 \h </w:instrText>
        </w:r>
        <w:r>
          <w:rPr>
            <w:noProof/>
            <w:webHidden/>
          </w:rPr>
        </w:r>
        <w:r>
          <w:rPr>
            <w:noProof/>
            <w:webHidden/>
          </w:rPr>
          <w:fldChar w:fldCharType="separate"/>
        </w:r>
        <w:r>
          <w:rPr>
            <w:noProof/>
            <w:webHidden/>
          </w:rPr>
          <w:t>11</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88" w:history="1">
        <w:r w:rsidRPr="00C837BA">
          <w:rPr>
            <w:rStyle w:val="Hyperlink"/>
            <w:noProof/>
          </w:rPr>
          <w:t>3.2 Measure Load Shapes</w:t>
        </w:r>
        <w:r>
          <w:rPr>
            <w:noProof/>
            <w:webHidden/>
          </w:rPr>
          <w:tab/>
        </w:r>
        <w:r>
          <w:rPr>
            <w:noProof/>
            <w:webHidden/>
          </w:rPr>
          <w:fldChar w:fldCharType="begin"/>
        </w:r>
        <w:r>
          <w:rPr>
            <w:noProof/>
            <w:webHidden/>
          </w:rPr>
          <w:instrText xml:space="preserve"> PAGEREF _Toc386966988 \h </w:instrText>
        </w:r>
        <w:r>
          <w:rPr>
            <w:noProof/>
            <w:webHidden/>
          </w:rPr>
        </w:r>
        <w:r>
          <w:rPr>
            <w:noProof/>
            <w:webHidden/>
          </w:rPr>
          <w:fldChar w:fldCharType="separate"/>
        </w:r>
        <w:r>
          <w:rPr>
            <w:noProof/>
            <w:webHidden/>
          </w:rPr>
          <w:t>11</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89" w:history="1">
        <w:r w:rsidRPr="00C837BA">
          <w:rPr>
            <w:rStyle w:val="Hyperlink"/>
            <w:i/>
            <w:noProof/>
          </w:rPr>
          <w:t>Section 4. Base Case &amp; Measure Costs</w:t>
        </w:r>
        <w:r>
          <w:rPr>
            <w:noProof/>
            <w:webHidden/>
          </w:rPr>
          <w:tab/>
        </w:r>
        <w:r>
          <w:rPr>
            <w:noProof/>
            <w:webHidden/>
          </w:rPr>
          <w:fldChar w:fldCharType="begin"/>
        </w:r>
        <w:r>
          <w:rPr>
            <w:noProof/>
            <w:webHidden/>
          </w:rPr>
          <w:instrText xml:space="preserve"> PAGEREF _Toc386966989 \h </w:instrText>
        </w:r>
        <w:r>
          <w:rPr>
            <w:noProof/>
            <w:webHidden/>
          </w:rPr>
        </w:r>
        <w:r>
          <w:rPr>
            <w:noProof/>
            <w:webHidden/>
          </w:rPr>
          <w:fldChar w:fldCharType="separate"/>
        </w:r>
        <w:r>
          <w:rPr>
            <w:noProof/>
            <w:webHidden/>
          </w:rPr>
          <w:t>12</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90" w:history="1">
        <w:r w:rsidRPr="00C837BA">
          <w:rPr>
            <w:rStyle w:val="Hyperlink"/>
            <w:noProof/>
          </w:rPr>
          <w:t>4.1 Base Case(s) Costs</w:t>
        </w:r>
        <w:r>
          <w:rPr>
            <w:noProof/>
            <w:webHidden/>
          </w:rPr>
          <w:tab/>
        </w:r>
        <w:r>
          <w:rPr>
            <w:noProof/>
            <w:webHidden/>
          </w:rPr>
          <w:fldChar w:fldCharType="begin"/>
        </w:r>
        <w:r>
          <w:rPr>
            <w:noProof/>
            <w:webHidden/>
          </w:rPr>
          <w:instrText xml:space="preserve"> PAGEREF _Toc386966990 \h </w:instrText>
        </w:r>
        <w:r>
          <w:rPr>
            <w:noProof/>
            <w:webHidden/>
          </w:rPr>
        </w:r>
        <w:r>
          <w:rPr>
            <w:noProof/>
            <w:webHidden/>
          </w:rPr>
          <w:fldChar w:fldCharType="separate"/>
        </w:r>
        <w:r>
          <w:rPr>
            <w:noProof/>
            <w:webHidden/>
          </w:rPr>
          <w:t>12</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91" w:history="1">
        <w:r w:rsidRPr="00C837BA">
          <w:rPr>
            <w:rStyle w:val="Hyperlink"/>
            <w:noProof/>
          </w:rPr>
          <w:t>4.2 Measure Case Costs</w:t>
        </w:r>
        <w:r>
          <w:rPr>
            <w:noProof/>
            <w:webHidden/>
          </w:rPr>
          <w:tab/>
        </w:r>
        <w:r>
          <w:rPr>
            <w:noProof/>
            <w:webHidden/>
          </w:rPr>
          <w:fldChar w:fldCharType="begin"/>
        </w:r>
        <w:r>
          <w:rPr>
            <w:noProof/>
            <w:webHidden/>
          </w:rPr>
          <w:instrText xml:space="preserve"> PAGEREF _Toc386966991 \h </w:instrText>
        </w:r>
        <w:r>
          <w:rPr>
            <w:noProof/>
            <w:webHidden/>
          </w:rPr>
        </w:r>
        <w:r>
          <w:rPr>
            <w:noProof/>
            <w:webHidden/>
          </w:rPr>
          <w:fldChar w:fldCharType="separate"/>
        </w:r>
        <w:r>
          <w:rPr>
            <w:noProof/>
            <w:webHidden/>
          </w:rPr>
          <w:t>13</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92" w:history="1">
        <w:r w:rsidRPr="00C837BA">
          <w:rPr>
            <w:rStyle w:val="Hyperlink"/>
            <w:noProof/>
          </w:rPr>
          <w:t>4.3 Incremental &amp; Full Measure Costs</w:t>
        </w:r>
        <w:r>
          <w:rPr>
            <w:noProof/>
            <w:webHidden/>
          </w:rPr>
          <w:tab/>
        </w:r>
        <w:r>
          <w:rPr>
            <w:noProof/>
            <w:webHidden/>
          </w:rPr>
          <w:fldChar w:fldCharType="begin"/>
        </w:r>
        <w:r>
          <w:rPr>
            <w:noProof/>
            <w:webHidden/>
          </w:rPr>
          <w:instrText xml:space="preserve"> PAGEREF _Toc386966992 \h </w:instrText>
        </w:r>
        <w:r>
          <w:rPr>
            <w:noProof/>
            <w:webHidden/>
          </w:rPr>
        </w:r>
        <w:r>
          <w:rPr>
            <w:noProof/>
            <w:webHidden/>
          </w:rPr>
          <w:fldChar w:fldCharType="separate"/>
        </w:r>
        <w:r>
          <w:rPr>
            <w:noProof/>
            <w:webHidden/>
          </w:rPr>
          <w:t>14</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93" w:history="1">
        <w:r w:rsidRPr="00C837BA">
          <w:rPr>
            <w:rStyle w:val="Hyperlink"/>
            <w:noProof/>
          </w:rPr>
          <w:t>4.3.1 Gross Measure Costs</w:t>
        </w:r>
        <w:r>
          <w:rPr>
            <w:noProof/>
            <w:webHidden/>
          </w:rPr>
          <w:tab/>
        </w:r>
        <w:r>
          <w:rPr>
            <w:noProof/>
            <w:webHidden/>
          </w:rPr>
          <w:fldChar w:fldCharType="begin"/>
        </w:r>
        <w:r>
          <w:rPr>
            <w:noProof/>
            <w:webHidden/>
          </w:rPr>
          <w:instrText xml:space="preserve"> PAGEREF _Toc386966993 \h </w:instrText>
        </w:r>
        <w:r>
          <w:rPr>
            <w:noProof/>
            <w:webHidden/>
          </w:rPr>
        </w:r>
        <w:r>
          <w:rPr>
            <w:noProof/>
            <w:webHidden/>
          </w:rPr>
          <w:fldChar w:fldCharType="separate"/>
        </w:r>
        <w:r>
          <w:rPr>
            <w:noProof/>
            <w:webHidden/>
          </w:rPr>
          <w:t>14</w:t>
        </w:r>
        <w:r>
          <w:rPr>
            <w:noProof/>
            <w:webHidden/>
          </w:rPr>
          <w:fldChar w:fldCharType="end"/>
        </w:r>
      </w:hyperlink>
    </w:p>
    <w:p w:rsidR="005E3C06" w:rsidRDefault="005E3C06">
      <w:pPr>
        <w:pStyle w:val="TOC2"/>
        <w:tabs>
          <w:tab w:val="right" w:leader="dot" w:pos="9350"/>
        </w:tabs>
        <w:rPr>
          <w:rFonts w:asciiTheme="minorHAnsi" w:eastAsiaTheme="minorEastAsia" w:hAnsiTheme="minorHAnsi" w:cstheme="minorBidi"/>
          <w:noProof/>
          <w:sz w:val="22"/>
          <w:szCs w:val="22"/>
        </w:rPr>
      </w:pPr>
      <w:hyperlink w:anchor="_Toc386966994" w:history="1">
        <w:r w:rsidRPr="00C837BA">
          <w:rPr>
            <w:rStyle w:val="Hyperlink"/>
            <w:noProof/>
          </w:rPr>
          <w:t>4.3.2 Incremental Measure Costs</w:t>
        </w:r>
        <w:r>
          <w:rPr>
            <w:noProof/>
            <w:webHidden/>
          </w:rPr>
          <w:tab/>
        </w:r>
        <w:r>
          <w:rPr>
            <w:noProof/>
            <w:webHidden/>
          </w:rPr>
          <w:fldChar w:fldCharType="begin"/>
        </w:r>
        <w:r>
          <w:rPr>
            <w:noProof/>
            <w:webHidden/>
          </w:rPr>
          <w:instrText xml:space="preserve"> PAGEREF _Toc386966994 \h </w:instrText>
        </w:r>
        <w:r>
          <w:rPr>
            <w:noProof/>
            <w:webHidden/>
          </w:rPr>
        </w:r>
        <w:r>
          <w:rPr>
            <w:noProof/>
            <w:webHidden/>
          </w:rPr>
          <w:fldChar w:fldCharType="separate"/>
        </w:r>
        <w:r>
          <w:rPr>
            <w:noProof/>
            <w:webHidden/>
          </w:rPr>
          <w:t>14</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95" w:history="1">
        <w:r w:rsidRPr="00C837BA">
          <w:rPr>
            <w:rStyle w:val="Hyperlink"/>
            <w:noProof/>
          </w:rPr>
          <w:t>Index</w:t>
        </w:r>
        <w:r>
          <w:rPr>
            <w:noProof/>
            <w:webHidden/>
          </w:rPr>
          <w:tab/>
        </w:r>
        <w:r>
          <w:rPr>
            <w:noProof/>
            <w:webHidden/>
          </w:rPr>
          <w:fldChar w:fldCharType="begin"/>
        </w:r>
        <w:r>
          <w:rPr>
            <w:noProof/>
            <w:webHidden/>
          </w:rPr>
          <w:instrText xml:space="preserve"> PAGEREF _Toc386966995 \h </w:instrText>
        </w:r>
        <w:r>
          <w:rPr>
            <w:noProof/>
            <w:webHidden/>
          </w:rPr>
        </w:r>
        <w:r>
          <w:rPr>
            <w:noProof/>
            <w:webHidden/>
          </w:rPr>
          <w:fldChar w:fldCharType="separate"/>
        </w:r>
        <w:r>
          <w:rPr>
            <w:noProof/>
            <w:webHidden/>
          </w:rPr>
          <w:t>16</w:t>
        </w:r>
        <w:r>
          <w:rPr>
            <w:noProof/>
            <w:webHidden/>
          </w:rPr>
          <w:fldChar w:fldCharType="end"/>
        </w:r>
      </w:hyperlink>
    </w:p>
    <w:p w:rsidR="005E3C06" w:rsidRDefault="005E3C06">
      <w:pPr>
        <w:pStyle w:val="TOC1"/>
        <w:tabs>
          <w:tab w:val="right" w:leader="dot" w:pos="9350"/>
        </w:tabs>
        <w:rPr>
          <w:rFonts w:asciiTheme="minorHAnsi" w:eastAsiaTheme="minorEastAsia" w:hAnsiTheme="minorHAnsi" w:cstheme="minorBidi"/>
          <w:noProof/>
          <w:sz w:val="22"/>
          <w:szCs w:val="22"/>
        </w:rPr>
      </w:pPr>
      <w:hyperlink w:anchor="_Toc386966996" w:history="1">
        <w:r w:rsidRPr="00C837BA">
          <w:rPr>
            <w:rStyle w:val="Hyperlink"/>
            <w:noProof/>
          </w:rPr>
          <w:t>References</w:t>
        </w:r>
        <w:r>
          <w:rPr>
            <w:noProof/>
            <w:webHidden/>
          </w:rPr>
          <w:tab/>
        </w:r>
        <w:r>
          <w:rPr>
            <w:noProof/>
            <w:webHidden/>
          </w:rPr>
          <w:fldChar w:fldCharType="begin"/>
        </w:r>
        <w:r>
          <w:rPr>
            <w:noProof/>
            <w:webHidden/>
          </w:rPr>
          <w:instrText xml:space="preserve"> PAGEREF _Toc386966996 \h </w:instrText>
        </w:r>
        <w:r>
          <w:rPr>
            <w:noProof/>
            <w:webHidden/>
          </w:rPr>
        </w:r>
        <w:r>
          <w:rPr>
            <w:noProof/>
            <w:webHidden/>
          </w:rPr>
          <w:fldChar w:fldCharType="separate"/>
        </w:r>
        <w:r>
          <w:rPr>
            <w:noProof/>
            <w:webHidden/>
          </w:rPr>
          <w:t>17</w:t>
        </w:r>
        <w:r>
          <w:rPr>
            <w:noProof/>
            <w:webHidden/>
          </w:rPr>
          <w:fldChar w:fldCharType="end"/>
        </w:r>
      </w:hyperlink>
    </w:p>
    <w:p w:rsidR="009048C4" w:rsidRPr="00A961E9" w:rsidRDefault="00E406EA" w:rsidP="00864083">
      <w:pPr>
        <w:pStyle w:val="Heading1"/>
        <w:spacing w:before="0" w:after="0"/>
        <w:rPr>
          <w:color w:val="FF0000"/>
          <w:sz w:val="22"/>
          <w:szCs w:val="22"/>
        </w:rPr>
      </w:pPr>
      <w:r w:rsidRPr="00BD7B72">
        <w:rPr>
          <w:b w:val="0"/>
          <w:bCs w:val="0"/>
          <w:kern w:val="0"/>
          <w:sz w:val="22"/>
          <w:szCs w:val="22"/>
        </w:rPr>
        <w:fldChar w:fldCharType="end"/>
      </w:r>
      <w:r w:rsidR="009048C4" w:rsidRPr="00A961E9">
        <w:rPr>
          <w:color w:val="FF0000"/>
          <w:sz w:val="22"/>
          <w:szCs w:val="22"/>
        </w:rPr>
        <w:t xml:space="preserve"> </w:t>
      </w:r>
    </w:p>
    <w:p w:rsidR="00C40CE2" w:rsidRDefault="00C40CE2" w:rsidP="00864083">
      <w:pPr>
        <w:pStyle w:val="Heading1"/>
        <w:spacing w:before="0" w:after="0"/>
        <w:sectPr w:rsidR="00C40CE2" w:rsidSect="00DB2CE5">
          <w:endnotePr>
            <w:numFmt w:val="decimal"/>
          </w:endnotePr>
          <w:pgSz w:w="12240" w:h="15840"/>
          <w:pgMar w:top="1440" w:right="1440" w:bottom="1440" w:left="1440" w:header="720" w:footer="720" w:gutter="0"/>
          <w:pgNumType w:fmt="lowerRoman" w:chapStyle="1"/>
          <w:cols w:space="720"/>
          <w:docGrid w:linePitch="360"/>
        </w:sectPr>
      </w:pPr>
      <w:bookmarkStart w:id="12" w:name="_Toc172205729"/>
    </w:p>
    <w:p w:rsidR="00ED21EE" w:rsidRPr="007E7CC5" w:rsidRDefault="00ED21EE" w:rsidP="00864083">
      <w:pPr>
        <w:pStyle w:val="Heading1"/>
        <w:spacing w:before="0" w:after="0"/>
      </w:pPr>
      <w:bookmarkStart w:id="13" w:name="_Toc386966970"/>
      <w:r w:rsidRPr="007E7CC5">
        <w:t>List of Tables</w:t>
      </w:r>
      <w:bookmarkEnd w:id="12"/>
      <w:bookmarkEnd w:id="13"/>
    </w:p>
    <w:p w:rsidR="007E7CC5" w:rsidRPr="00432CD8" w:rsidRDefault="00E406EA">
      <w:pPr>
        <w:pStyle w:val="TableofFigures"/>
        <w:tabs>
          <w:tab w:val="right" w:leader="dot" w:pos="9350"/>
        </w:tabs>
        <w:rPr>
          <w:rFonts w:eastAsiaTheme="minorEastAsia"/>
          <w:noProof/>
          <w:sz w:val="22"/>
          <w:szCs w:val="22"/>
        </w:rPr>
      </w:pPr>
      <w:r w:rsidRPr="007E7CC5">
        <w:rPr>
          <w:rFonts w:ascii="Arial" w:hAnsi="Arial" w:cs="Arial"/>
          <w:sz w:val="22"/>
          <w:szCs w:val="22"/>
        </w:rPr>
        <w:fldChar w:fldCharType="begin"/>
      </w:r>
      <w:r w:rsidR="00757EA6" w:rsidRPr="007E7CC5">
        <w:rPr>
          <w:rFonts w:ascii="Arial" w:hAnsi="Arial" w:cs="Arial"/>
          <w:sz w:val="22"/>
          <w:szCs w:val="22"/>
        </w:rPr>
        <w:instrText xml:space="preserve"> TOC \f \h \z \c "Figure" </w:instrText>
      </w:r>
      <w:r w:rsidRPr="007E7CC5">
        <w:rPr>
          <w:rFonts w:ascii="Arial" w:hAnsi="Arial" w:cs="Arial"/>
          <w:sz w:val="22"/>
          <w:szCs w:val="22"/>
        </w:rPr>
        <w:fldChar w:fldCharType="separate"/>
      </w:r>
      <w:hyperlink w:anchor="_Toc384033519" w:history="1">
        <w:r w:rsidR="007E7CC5" w:rsidRPr="00432CD8">
          <w:rPr>
            <w:rStyle w:val="Hyperlink"/>
            <w:noProof/>
            <w:color w:val="auto"/>
          </w:rPr>
          <w:t>Table 1 - Measure Application Type</w:t>
        </w:r>
        <w:r w:rsidR="007E7CC5" w:rsidRPr="00432CD8">
          <w:rPr>
            <w:noProof/>
            <w:webHidden/>
          </w:rPr>
          <w:tab/>
        </w:r>
        <w:r w:rsidRPr="00432CD8">
          <w:rPr>
            <w:noProof/>
            <w:webHidden/>
          </w:rPr>
          <w:fldChar w:fldCharType="begin"/>
        </w:r>
        <w:r w:rsidR="007E7CC5" w:rsidRPr="00432CD8">
          <w:rPr>
            <w:noProof/>
            <w:webHidden/>
          </w:rPr>
          <w:instrText xml:space="preserve"> PAGEREF _Toc384033519 \h </w:instrText>
        </w:r>
        <w:r w:rsidRPr="00432CD8">
          <w:rPr>
            <w:noProof/>
            <w:webHidden/>
          </w:rPr>
        </w:r>
        <w:r w:rsidRPr="00432CD8">
          <w:rPr>
            <w:noProof/>
            <w:webHidden/>
          </w:rPr>
          <w:fldChar w:fldCharType="separate"/>
        </w:r>
        <w:r w:rsidR="00E85B21" w:rsidRPr="00432CD8">
          <w:rPr>
            <w:noProof/>
            <w:webHidden/>
          </w:rPr>
          <w:t>2</w:t>
        </w:r>
        <w:r w:rsidRPr="00432CD8">
          <w:rPr>
            <w:noProof/>
            <w:webHidden/>
          </w:rPr>
          <w:fldChar w:fldCharType="end"/>
        </w:r>
      </w:hyperlink>
    </w:p>
    <w:p w:rsidR="007E7CC5" w:rsidRPr="00432CD8" w:rsidRDefault="00F85990">
      <w:pPr>
        <w:pStyle w:val="TableofFigures"/>
        <w:tabs>
          <w:tab w:val="right" w:leader="dot" w:pos="9350"/>
        </w:tabs>
        <w:rPr>
          <w:rFonts w:eastAsiaTheme="minorEastAsia"/>
          <w:noProof/>
          <w:sz w:val="22"/>
          <w:szCs w:val="22"/>
        </w:rPr>
      </w:pPr>
      <w:hyperlink w:anchor="_Toc384033520" w:history="1">
        <w:r w:rsidR="007E7CC5" w:rsidRPr="00432CD8">
          <w:rPr>
            <w:rStyle w:val="Hyperlink"/>
            <w:noProof/>
            <w:color w:val="auto"/>
          </w:rPr>
          <w:t>Table 2 - Net-to-Gross Ratios</w:t>
        </w:r>
        <w:r w:rsidR="007E7CC5" w:rsidRPr="00432CD8">
          <w:rPr>
            <w:noProof/>
            <w:webHidden/>
          </w:rPr>
          <w:tab/>
        </w:r>
        <w:r w:rsidR="00E406EA" w:rsidRPr="00432CD8">
          <w:rPr>
            <w:noProof/>
            <w:webHidden/>
          </w:rPr>
          <w:fldChar w:fldCharType="begin"/>
        </w:r>
        <w:r w:rsidR="007E7CC5" w:rsidRPr="00432CD8">
          <w:rPr>
            <w:noProof/>
            <w:webHidden/>
          </w:rPr>
          <w:instrText xml:space="preserve"> PAGEREF _Toc384033520 \h </w:instrText>
        </w:r>
        <w:r w:rsidR="00E406EA" w:rsidRPr="00432CD8">
          <w:rPr>
            <w:noProof/>
            <w:webHidden/>
          </w:rPr>
        </w:r>
        <w:r w:rsidR="00E406EA" w:rsidRPr="00432CD8">
          <w:rPr>
            <w:noProof/>
            <w:webHidden/>
          </w:rPr>
          <w:fldChar w:fldCharType="separate"/>
        </w:r>
        <w:r w:rsidR="00E85B21" w:rsidRPr="00432CD8">
          <w:rPr>
            <w:noProof/>
            <w:webHidden/>
          </w:rPr>
          <w:t>3</w:t>
        </w:r>
        <w:r w:rsidR="00E406EA" w:rsidRPr="00432CD8">
          <w:rPr>
            <w:noProof/>
            <w:webHidden/>
          </w:rPr>
          <w:fldChar w:fldCharType="end"/>
        </w:r>
      </w:hyperlink>
    </w:p>
    <w:p w:rsidR="007E7CC5" w:rsidRPr="00432CD8" w:rsidRDefault="00F85990">
      <w:pPr>
        <w:pStyle w:val="TableofFigures"/>
        <w:tabs>
          <w:tab w:val="right" w:leader="dot" w:pos="9350"/>
        </w:tabs>
        <w:rPr>
          <w:rFonts w:eastAsiaTheme="minorEastAsia"/>
          <w:noProof/>
          <w:sz w:val="22"/>
          <w:szCs w:val="22"/>
        </w:rPr>
      </w:pPr>
      <w:hyperlink w:anchor="_Toc384033521" w:history="1">
        <w:r w:rsidR="007E7CC5" w:rsidRPr="00432CD8">
          <w:rPr>
            <w:rStyle w:val="Hyperlink"/>
            <w:noProof/>
            <w:color w:val="auto"/>
          </w:rPr>
          <w:t>Table 3 - Baseline by Measure Application Type</w:t>
        </w:r>
        <w:r w:rsidR="007E7CC5" w:rsidRPr="00432CD8">
          <w:rPr>
            <w:noProof/>
            <w:webHidden/>
          </w:rPr>
          <w:tab/>
        </w:r>
        <w:r w:rsidR="00E406EA" w:rsidRPr="00432CD8">
          <w:rPr>
            <w:noProof/>
            <w:webHidden/>
          </w:rPr>
          <w:fldChar w:fldCharType="begin"/>
        </w:r>
        <w:r w:rsidR="007E7CC5" w:rsidRPr="00432CD8">
          <w:rPr>
            <w:noProof/>
            <w:webHidden/>
          </w:rPr>
          <w:instrText xml:space="preserve"> PAGEREF _Toc384033521 \h </w:instrText>
        </w:r>
        <w:r w:rsidR="00E406EA" w:rsidRPr="00432CD8">
          <w:rPr>
            <w:noProof/>
            <w:webHidden/>
          </w:rPr>
        </w:r>
        <w:r w:rsidR="00E406EA" w:rsidRPr="00432CD8">
          <w:rPr>
            <w:noProof/>
            <w:webHidden/>
          </w:rPr>
          <w:fldChar w:fldCharType="separate"/>
        </w:r>
        <w:r w:rsidR="00E85B21" w:rsidRPr="00432CD8">
          <w:rPr>
            <w:noProof/>
            <w:webHidden/>
          </w:rPr>
          <w:t>8</w:t>
        </w:r>
        <w:r w:rsidR="00E406EA" w:rsidRPr="00432CD8">
          <w:rPr>
            <w:noProof/>
            <w:webHidden/>
          </w:rPr>
          <w:fldChar w:fldCharType="end"/>
        </w:r>
      </w:hyperlink>
    </w:p>
    <w:p w:rsidR="007E7CC5" w:rsidRPr="00432CD8" w:rsidRDefault="00F85990">
      <w:pPr>
        <w:pStyle w:val="TableofFigures"/>
        <w:tabs>
          <w:tab w:val="right" w:leader="dot" w:pos="9350"/>
        </w:tabs>
        <w:rPr>
          <w:rFonts w:eastAsiaTheme="minorEastAsia"/>
          <w:noProof/>
          <w:sz w:val="22"/>
          <w:szCs w:val="22"/>
        </w:rPr>
      </w:pPr>
      <w:hyperlink w:anchor="_Toc384033522" w:history="1">
        <w:r w:rsidR="007E7CC5" w:rsidRPr="00432CD8">
          <w:rPr>
            <w:rStyle w:val="Hyperlink"/>
            <w:noProof/>
            <w:color w:val="auto"/>
          </w:rPr>
          <w:t>Table 4 - Average Capacity Factor</w:t>
        </w:r>
        <w:r w:rsidR="007E7CC5" w:rsidRPr="00432CD8">
          <w:rPr>
            <w:noProof/>
            <w:webHidden/>
          </w:rPr>
          <w:tab/>
        </w:r>
        <w:r w:rsidR="00E406EA" w:rsidRPr="00432CD8">
          <w:rPr>
            <w:noProof/>
            <w:webHidden/>
          </w:rPr>
          <w:fldChar w:fldCharType="begin"/>
        </w:r>
        <w:r w:rsidR="007E7CC5" w:rsidRPr="00432CD8">
          <w:rPr>
            <w:noProof/>
            <w:webHidden/>
          </w:rPr>
          <w:instrText xml:space="preserve"> PAGEREF _Toc384033522 \h </w:instrText>
        </w:r>
        <w:r w:rsidR="00E406EA" w:rsidRPr="00432CD8">
          <w:rPr>
            <w:noProof/>
            <w:webHidden/>
          </w:rPr>
        </w:r>
        <w:r w:rsidR="00E406EA" w:rsidRPr="00432CD8">
          <w:rPr>
            <w:noProof/>
            <w:webHidden/>
          </w:rPr>
          <w:fldChar w:fldCharType="separate"/>
        </w:r>
        <w:r w:rsidR="00E85B21" w:rsidRPr="00432CD8">
          <w:rPr>
            <w:noProof/>
            <w:webHidden/>
          </w:rPr>
          <w:t>9</w:t>
        </w:r>
        <w:r w:rsidR="00E406EA" w:rsidRPr="00432CD8">
          <w:rPr>
            <w:noProof/>
            <w:webHidden/>
          </w:rPr>
          <w:fldChar w:fldCharType="end"/>
        </w:r>
      </w:hyperlink>
    </w:p>
    <w:p w:rsidR="007E7CC5" w:rsidRPr="007E7CC5" w:rsidRDefault="00F85990">
      <w:pPr>
        <w:pStyle w:val="TableofFigures"/>
        <w:tabs>
          <w:tab w:val="right" w:leader="dot" w:pos="9350"/>
        </w:tabs>
        <w:rPr>
          <w:rFonts w:ascii="Arial" w:eastAsiaTheme="minorEastAsia" w:hAnsi="Arial" w:cs="Arial"/>
          <w:noProof/>
          <w:sz w:val="22"/>
          <w:szCs w:val="22"/>
        </w:rPr>
      </w:pPr>
      <w:hyperlink w:anchor="_Toc384033523" w:history="1">
        <w:r w:rsidR="007E7CC5" w:rsidRPr="00432CD8">
          <w:rPr>
            <w:rStyle w:val="Hyperlink"/>
            <w:bCs/>
            <w:noProof/>
            <w:color w:val="auto"/>
          </w:rPr>
          <w:t>Table 5 - Average Combustion Efficiencies</w:t>
        </w:r>
        <w:r w:rsidR="007E7CC5" w:rsidRPr="00432CD8">
          <w:rPr>
            <w:noProof/>
            <w:webHidden/>
          </w:rPr>
          <w:tab/>
        </w:r>
        <w:r w:rsidR="00E406EA" w:rsidRPr="00432CD8">
          <w:rPr>
            <w:noProof/>
            <w:webHidden/>
          </w:rPr>
          <w:fldChar w:fldCharType="begin"/>
        </w:r>
        <w:r w:rsidR="007E7CC5" w:rsidRPr="00432CD8">
          <w:rPr>
            <w:noProof/>
            <w:webHidden/>
          </w:rPr>
          <w:instrText xml:space="preserve"> PAGEREF _Toc384033523 \h </w:instrText>
        </w:r>
        <w:r w:rsidR="00E406EA" w:rsidRPr="00432CD8">
          <w:rPr>
            <w:noProof/>
            <w:webHidden/>
          </w:rPr>
        </w:r>
        <w:r w:rsidR="00E406EA" w:rsidRPr="00432CD8">
          <w:rPr>
            <w:noProof/>
            <w:webHidden/>
          </w:rPr>
          <w:fldChar w:fldCharType="separate"/>
        </w:r>
        <w:r w:rsidR="00E85B21" w:rsidRPr="00432CD8">
          <w:rPr>
            <w:noProof/>
            <w:webHidden/>
          </w:rPr>
          <w:t>10</w:t>
        </w:r>
        <w:r w:rsidR="00E406EA" w:rsidRPr="00432CD8">
          <w:rPr>
            <w:noProof/>
            <w:webHidden/>
          </w:rPr>
          <w:fldChar w:fldCharType="end"/>
        </w:r>
      </w:hyperlink>
    </w:p>
    <w:p w:rsidR="005A1F9D" w:rsidRPr="00A961E9" w:rsidRDefault="00E406EA" w:rsidP="00864083">
      <w:pPr>
        <w:rPr>
          <w:rFonts w:ascii="Arial" w:hAnsi="Arial" w:cs="Arial"/>
          <w:color w:val="FF0000"/>
          <w:sz w:val="22"/>
          <w:szCs w:val="22"/>
        </w:rPr>
      </w:pPr>
      <w:r w:rsidRPr="007E7CC5">
        <w:rPr>
          <w:rFonts w:ascii="Arial" w:hAnsi="Arial" w:cs="Arial"/>
          <w:sz w:val="22"/>
          <w:szCs w:val="22"/>
        </w:rPr>
        <w:fldChar w:fldCharType="end"/>
      </w:r>
      <w:r w:rsidR="005A1F9D" w:rsidRPr="00A961E9">
        <w:rPr>
          <w:rFonts w:ascii="Arial" w:hAnsi="Arial" w:cs="Arial"/>
          <w:color w:val="FF0000"/>
          <w:sz w:val="22"/>
          <w:szCs w:val="22"/>
        </w:rPr>
        <w:t xml:space="preserve"> </w:t>
      </w:r>
    </w:p>
    <w:p w:rsidR="00851FAF" w:rsidRPr="00A961E9" w:rsidRDefault="00851FAF" w:rsidP="00864083">
      <w:pPr>
        <w:pStyle w:val="Heading1"/>
        <w:spacing w:before="0" w:after="0"/>
        <w:rPr>
          <w:color w:val="FF0000"/>
        </w:rPr>
        <w:sectPr w:rsidR="00851FAF" w:rsidRPr="00A961E9" w:rsidSect="00DB2CE5">
          <w:endnotePr>
            <w:numFmt w:val="decimal"/>
          </w:endnotePr>
          <w:pgSz w:w="12240" w:h="15840"/>
          <w:pgMar w:top="1440" w:right="1440" w:bottom="1440" w:left="1440" w:header="720" w:footer="720" w:gutter="0"/>
          <w:pgNumType w:fmt="lowerRoman" w:chapStyle="1"/>
          <w:cols w:space="720"/>
          <w:docGrid w:linePitch="360"/>
        </w:sectPr>
      </w:pPr>
      <w:bookmarkStart w:id="14" w:name="_Toc172205732"/>
    </w:p>
    <w:p w:rsidR="007D229A" w:rsidRPr="00A961E9" w:rsidRDefault="007D229A" w:rsidP="00864083">
      <w:pPr>
        <w:pStyle w:val="Heading1"/>
        <w:spacing w:before="0" w:after="0"/>
        <w:rPr>
          <w:color w:val="FF0000"/>
        </w:rPr>
        <w:sectPr w:rsidR="007D229A" w:rsidRPr="00A961E9" w:rsidSect="007D229A">
          <w:footerReference w:type="default" r:id="rId16"/>
          <w:endnotePr>
            <w:numFmt w:val="decimal"/>
          </w:endnotePr>
          <w:type w:val="continuous"/>
          <w:pgSz w:w="12240" w:h="15840"/>
          <w:pgMar w:top="1440" w:right="1440" w:bottom="1440" w:left="1440" w:header="720" w:footer="720" w:gutter="0"/>
          <w:pgNumType w:start="1" w:chapStyle="1"/>
          <w:cols w:space="720"/>
          <w:docGrid w:linePitch="360"/>
        </w:sectPr>
      </w:pPr>
    </w:p>
    <w:p w:rsidR="00ED21EE" w:rsidRPr="00A72A6A" w:rsidRDefault="00ED21EE" w:rsidP="00864083">
      <w:pPr>
        <w:pStyle w:val="Heading1"/>
        <w:spacing w:before="0" w:after="0"/>
        <w:rPr>
          <w:i/>
        </w:rPr>
      </w:pPr>
      <w:bookmarkStart w:id="15" w:name="_Toc386966971"/>
      <w:r w:rsidRPr="00A72A6A">
        <w:rPr>
          <w:i/>
        </w:rPr>
        <w:t>Section 1. General Measure &amp; Baseline Data</w:t>
      </w:r>
      <w:bookmarkEnd w:id="15"/>
    </w:p>
    <w:p w:rsidR="00864083" w:rsidRPr="00A72A6A" w:rsidRDefault="00864083" w:rsidP="00864083">
      <w:pPr>
        <w:rPr>
          <w:rFonts w:ascii="Arial" w:hAnsi="Arial" w:cs="Arial"/>
        </w:rPr>
      </w:pPr>
    </w:p>
    <w:p w:rsidR="00C219B8" w:rsidRPr="00A72A6A" w:rsidRDefault="001248A3" w:rsidP="00976408">
      <w:pPr>
        <w:pStyle w:val="Heading2"/>
        <w:spacing w:before="0" w:after="0"/>
      </w:pPr>
      <w:bookmarkStart w:id="16" w:name="_Toc386966972"/>
      <w:bookmarkEnd w:id="14"/>
      <w:r w:rsidRPr="00A72A6A">
        <w:t xml:space="preserve">1.1 </w:t>
      </w:r>
      <w:r w:rsidR="008C6AD1" w:rsidRPr="00A72A6A">
        <w:t xml:space="preserve">Product </w:t>
      </w:r>
      <w:r w:rsidR="00E71EF1" w:rsidRPr="00A72A6A">
        <w:t>Measure Description &amp; Background</w:t>
      </w:r>
      <w:bookmarkEnd w:id="16"/>
    </w:p>
    <w:p w:rsidR="0037707D" w:rsidRPr="00A72A6A" w:rsidRDefault="00521920" w:rsidP="00976408">
      <w:pPr>
        <w:rPr>
          <w:rFonts w:ascii="Arial" w:hAnsi="Arial" w:cs="Arial"/>
          <w:b/>
          <w:sz w:val="22"/>
          <w:szCs w:val="22"/>
        </w:rPr>
      </w:pPr>
      <w:r w:rsidRPr="00A72A6A">
        <w:rPr>
          <w:rFonts w:ascii="Arial" w:hAnsi="Arial" w:cs="Arial"/>
          <w:b/>
          <w:sz w:val="22"/>
          <w:szCs w:val="22"/>
        </w:rPr>
        <w:t>Catalog Description</w:t>
      </w:r>
      <w:r w:rsidR="00476B67" w:rsidRPr="00A72A6A">
        <w:rPr>
          <w:rFonts w:ascii="Arial" w:hAnsi="Arial" w:cs="Arial"/>
          <w:b/>
          <w:sz w:val="22"/>
          <w:szCs w:val="22"/>
        </w:rPr>
        <w:t xml:space="preserve"> </w:t>
      </w:r>
    </w:p>
    <w:p w:rsidR="009B3B2B" w:rsidRPr="00A72A6A" w:rsidRDefault="009B3B2B" w:rsidP="009B3B2B">
      <w:pPr>
        <w:widowControl w:val="0"/>
        <w:numPr>
          <w:ilvl w:val="0"/>
          <w:numId w:val="29"/>
        </w:numPr>
        <w:autoSpaceDE w:val="0"/>
        <w:autoSpaceDN w:val="0"/>
        <w:adjustRightInd w:val="0"/>
        <w:rPr>
          <w:rFonts w:ascii="Arial" w:hAnsi="Arial" w:cs="Arial"/>
          <w:sz w:val="22"/>
          <w:szCs w:val="22"/>
        </w:rPr>
      </w:pPr>
      <w:r w:rsidRPr="00A72A6A">
        <w:rPr>
          <w:rFonts w:ascii="Arial" w:hAnsi="Arial" w:cs="Arial"/>
          <w:sz w:val="22"/>
          <w:szCs w:val="22"/>
        </w:rPr>
        <w:t>H1</w:t>
      </w:r>
      <w:r w:rsidR="00A72A6A" w:rsidRPr="00A72A6A">
        <w:rPr>
          <w:rFonts w:ascii="Arial" w:hAnsi="Arial" w:cs="Arial"/>
          <w:sz w:val="22"/>
          <w:szCs w:val="22"/>
        </w:rPr>
        <w:t>1</w:t>
      </w:r>
      <w:r w:rsidRPr="00A72A6A">
        <w:rPr>
          <w:rFonts w:ascii="Arial" w:hAnsi="Arial" w:cs="Arial"/>
          <w:sz w:val="22"/>
          <w:szCs w:val="22"/>
        </w:rPr>
        <w:t xml:space="preserve"> </w:t>
      </w:r>
      <w:r w:rsidR="00A72A6A" w:rsidRPr="00A72A6A">
        <w:rPr>
          <w:rFonts w:ascii="Arial" w:hAnsi="Arial" w:cs="Arial"/>
          <w:sz w:val="22"/>
          <w:szCs w:val="22"/>
        </w:rPr>
        <w:t>Water Process Boiler</w:t>
      </w:r>
    </w:p>
    <w:p w:rsidR="009B3B2B" w:rsidRPr="00A72A6A" w:rsidRDefault="00A72A6A" w:rsidP="009B3B2B">
      <w:pPr>
        <w:widowControl w:val="0"/>
        <w:numPr>
          <w:ilvl w:val="0"/>
          <w:numId w:val="29"/>
        </w:numPr>
        <w:autoSpaceDE w:val="0"/>
        <w:autoSpaceDN w:val="0"/>
        <w:adjustRightInd w:val="0"/>
        <w:rPr>
          <w:rFonts w:ascii="Arial" w:hAnsi="Arial" w:cs="Arial"/>
          <w:sz w:val="22"/>
          <w:szCs w:val="22"/>
        </w:rPr>
      </w:pPr>
      <w:r w:rsidRPr="00A72A6A">
        <w:rPr>
          <w:rFonts w:ascii="Arial" w:hAnsi="Arial" w:cs="Arial"/>
          <w:sz w:val="22"/>
          <w:szCs w:val="22"/>
        </w:rPr>
        <w:t>H15</w:t>
      </w:r>
      <w:r w:rsidR="009B3B2B" w:rsidRPr="00A72A6A">
        <w:rPr>
          <w:rFonts w:ascii="Arial" w:hAnsi="Arial" w:cs="Arial"/>
          <w:sz w:val="22"/>
          <w:szCs w:val="22"/>
        </w:rPr>
        <w:t xml:space="preserve"> </w:t>
      </w:r>
      <w:r w:rsidRPr="00A72A6A">
        <w:rPr>
          <w:rFonts w:ascii="Arial" w:hAnsi="Arial" w:cs="Arial"/>
          <w:sz w:val="22"/>
          <w:szCs w:val="22"/>
        </w:rPr>
        <w:t>Steam Process Boiler</w:t>
      </w:r>
    </w:p>
    <w:p w:rsidR="00864083" w:rsidRPr="00A72A6A" w:rsidRDefault="00864083" w:rsidP="00864083">
      <w:pPr>
        <w:rPr>
          <w:rFonts w:ascii="Arial" w:hAnsi="Arial" w:cs="Arial"/>
          <w:b/>
          <w:i/>
          <w:sz w:val="22"/>
          <w:szCs w:val="22"/>
        </w:rPr>
      </w:pPr>
    </w:p>
    <w:p w:rsidR="00C219B8" w:rsidRPr="00A72A6A" w:rsidRDefault="00C219B8" w:rsidP="00864083">
      <w:pPr>
        <w:rPr>
          <w:rFonts w:ascii="Arial" w:hAnsi="Arial" w:cs="Arial"/>
          <w:b/>
          <w:sz w:val="22"/>
          <w:szCs w:val="22"/>
        </w:rPr>
      </w:pPr>
      <w:r w:rsidRPr="00A72A6A">
        <w:rPr>
          <w:rFonts w:ascii="Arial" w:hAnsi="Arial" w:cs="Arial"/>
          <w:b/>
          <w:sz w:val="22"/>
          <w:szCs w:val="22"/>
        </w:rPr>
        <w:t>Program Restrictions and Guidelines</w:t>
      </w:r>
    </w:p>
    <w:p w:rsidR="00B2258B" w:rsidRPr="002A7EE9" w:rsidRDefault="00B2258B" w:rsidP="00864083">
      <w:pPr>
        <w:rPr>
          <w:rFonts w:ascii="Arial" w:hAnsi="Arial" w:cs="Arial"/>
          <w:sz w:val="22"/>
          <w:szCs w:val="22"/>
        </w:rPr>
      </w:pPr>
      <w:r w:rsidRPr="00A72A6A">
        <w:rPr>
          <w:rFonts w:ascii="Arial" w:hAnsi="Arial" w:cs="Arial"/>
          <w:sz w:val="22"/>
          <w:szCs w:val="22"/>
        </w:rPr>
        <w:t xml:space="preserve">This work paper documents the rationale for the savings methodologies and assumptions for </w:t>
      </w:r>
      <w:r w:rsidR="00A72A6A" w:rsidRPr="00A72A6A">
        <w:rPr>
          <w:rFonts w:ascii="Arial" w:hAnsi="Arial" w:cs="Arial"/>
          <w:sz w:val="22"/>
          <w:szCs w:val="22"/>
        </w:rPr>
        <w:t>Process</w:t>
      </w:r>
      <w:r w:rsidRPr="00A72A6A">
        <w:rPr>
          <w:rFonts w:ascii="Arial" w:hAnsi="Arial" w:cs="Arial"/>
          <w:sz w:val="22"/>
          <w:szCs w:val="22"/>
        </w:rPr>
        <w:t xml:space="preserve"> Boilers, as listed in the Boilers and Water Heating </w:t>
      </w:r>
      <w:r w:rsidR="00885E14" w:rsidRPr="00A72A6A">
        <w:rPr>
          <w:rFonts w:ascii="Arial" w:hAnsi="Arial" w:cs="Arial"/>
          <w:sz w:val="22"/>
          <w:szCs w:val="22"/>
        </w:rPr>
        <w:t xml:space="preserve">Rebate </w:t>
      </w:r>
      <w:r w:rsidRPr="00A72A6A">
        <w:rPr>
          <w:rFonts w:ascii="Arial" w:hAnsi="Arial" w:cs="Arial"/>
          <w:sz w:val="22"/>
          <w:szCs w:val="22"/>
        </w:rPr>
        <w:t>Catalog. The Boilers and Water Heating</w:t>
      </w:r>
      <w:r w:rsidR="00842088">
        <w:rPr>
          <w:rFonts w:ascii="Arial" w:hAnsi="Arial" w:cs="Arial"/>
          <w:sz w:val="22"/>
          <w:szCs w:val="22"/>
        </w:rPr>
        <w:t xml:space="preserve"> Rebate</w:t>
      </w:r>
      <w:r w:rsidRPr="00A72A6A">
        <w:rPr>
          <w:rFonts w:ascii="Arial" w:hAnsi="Arial" w:cs="Arial"/>
          <w:sz w:val="22"/>
          <w:szCs w:val="22"/>
        </w:rPr>
        <w:t xml:space="preserve"> Catalog is part of Pacific Gas and Electric Company’s Customer Energy </w:t>
      </w:r>
      <w:r w:rsidRPr="002A7EE9">
        <w:rPr>
          <w:rFonts w:ascii="Arial" w:hAnsi="Arial" w:cs="Arial"/>
          <w:sz w:val="22"/>
          <w:szCs w:val="22"/>
        </w:rPr>
        <w:t xml:space="preserve">Efficiency Program. PG&amp;E offers incentives to </w:t>
      </w:r>
      <w:r w:rsidR="00DE03FB">
        <w:rPr>
          <w:rFonts w:ascii="Arial" w:hAnsi="Arial" w:cs="Arial"/>
          <w:sz w:val="22"/>
          <w:szCs w:val="22"/>
        </w:rPr>
        <w:t>industrial</w:t>
      </w:r>
      <w:r w:rsidRPr="002A7EE9">
        <w:rPr>
          <w:rFonts w:ascii="Arial" w:hAnsi="Arial" w:cs="Arial"/>
          <w:sz w:val="22"/>
          <w:szCs w:val="22"/>
        </w:rPr>
        <w:t xml:space="preserve"> customers for installing qualifying</w:t>
      </w:r>
      <w:r w:rsidR="009B3B2B" w:rsidRPr="002A7EE9">
        <w:rPr>
          <w:rFonts w:ascii="Arial" w:hAnsi="Arial" w:cs="Arial"/>
          <w:sz w:val="22"/>
          <w:szCs w:val="22"/>
        </w:rPr>
        <w:t>,</w:t>
      </w:r>
      <w:r w:rsidRPr="002A7EE9">
        <w:rPr>
          <w:rFonts w:ascii="Arial" w:hAnsi="Arial" w:cs="Arial"/>
          <w:sz w:val="22"/>
          <w:szCs w:val="22"/>
        </w:rPr>
        <w:t xml:space="preserve"> </w:t>
      </w:r>
      <w:r w:rsidR="009B3B2B" w:rsidRPr="002A7EE9">
        <w:rPr>
          <w:rFonts w:ascii="Arial" w:hAnsi="Arial" w:cs="Arial"/>
          <w:sz w:val="22"/>
          <w:szCs w:val="22"/>
        </w:rPr>
        <w:t>high-</w:t>
      </w:r>
      <w:r w:rsidRPr="002A7EE9">
        <w:rPr>
          <w:rFonts w:ascii="Arial" w:hAnsi="Arial" w:cs="Arial"/>
          <w:sz w:val="22"/>
          <w:szCs w:val="22"/>
        </w:rPr>
        <w:t xml:space="preserve">efficiency equipment. </w:t>
      </w:r>
    </w:p>
    <w:p w:rsidR="00A32930" w:rsidRPr="002A7EE9" w:rsidRDefault="00A32930" w:rsidP="00864083">
      <w:pPr>
        <w:rPr>
          <w:rFonts w:ascii="Arial" w:hAnsi="Arial" w:cs="Arial"/>
          <w:sz w:val="22"/>
          <w:szCs w:val="22"/>
        </w:rPr>
      </w:pPr>
    </w:p>
    <w:p w:rsidR="00F96D19" w:rsidRPr="002A7EE9" w:rsidRDefault="009A3B09" w:rsidP="00864083">
      <w:pPr>
        <w:ind w:left="360"/>
        <w:rPr>
          <w:rFonts w:ascii="Arial" w:hAnsi="Arial" w:cs="Arial"/>
          <w:b/>
          <w:sz w:val="22"/>
          <w:szCs w:val="22"/>
        </w:rPr>
      </w:pPr>
      <w:r w:rsidRPr="002A7EE9">
        <w:rPr>
          <w:rFonts w:ascii="Arial" w:hAnsi="Arial" w:cs="Arial"/>
          <w:b/>
          <w:sz w:val="22"/>
          <w:szCs w:val="22"/>
        </w:rPr>
        <w:t xml:space="preserve">Terms and Conditions: </w:t>
      </w:r>
    </w:p>
    <w:p w:rsidR="009B3B2B" w:rsidRPr="002A7EE9" w:rsidRDefault="009B3B2B" w:rsidP="00864083">
      <w:pPr>
        <w:ind w:left="360"/>
        <w:rPr>
          <w:rFonts w:ascii="Arial" w:hAnsi="Arial" w:cs="Arial"/>
          <w:sz w:val="22"/>
          <w:szCs w:val="22"/>
        </w:rPr>
      </w:pPr>
      <w:r w:rsidRPr="002A7EE9">
        <w:rPr>
          <w:rFonts w:ascii="Arial" w:hAnsi="Arial" w:cs="Arial"/>
          <w:sz w:val="22"/>
          <w:szCs w:val="22"/>
        </w:rPr>
        <w:t>Requirements from Boilers and Water Heating Catalog:</w:t>
      </w:r>
    </w:p>
    <w:p w:rsidR="009B3B2B" w:rsidRPr="002A7EE9" w:rsidRDefault="0007306B" w:rsidP="009B3B2B">
      <w:pPr>
        <w:numPr>
          <w:ilvl w:val="0"/>
          <w:numId w:val="29"/>
        </w:numPr>
        <w:rPr>
          <w:rFonts w:ascii="Arial" w:hAnsi="Arial" w:cs="Arial"/>
          <w:sz w:val="22"/>
          <w:szCs w:val="22"/>
        </w:rPr>
      </w:pPr>
      <w:r w:rsidRPr="002A7EE9">
        <w:rPr>
          <w:rFonts w:ascii="Arial" w:hAnsi="Arial" w:cs="Arial"/>
          <w:sz w:val="22"/>
          <w:szCs w:val="22"/>
        </w:rPr>
        <w:t>This rebate is available to industrial end-use customers who manufacture a saleable product typically in NAICS codes 31-33, but other NAICS codes may apply.</w:t>
      </w:r>
    </w:p>
    <w:p w:rsidR="009B3B2B" w:rsidRPr="002A7EE9" w:rsidRDefault="002A7EE9" w:rsidP="009B3B2B">
      <w:pPr>
        <w:numPr>
          <w:ilvl w:val="0"/>
          <w:numId w:val="29"/>
        </w:numPr>
        <w:rPr>
          <w:rFonts w:ascii="Arial" w:hAnsi="Arial" w:cs="Arial"/>
          <w:sz w:val="22"/>
          <w:szCs w:val="22"/>
        </w:rPr>
      </w:pPr>
      <w:r w:rsidRPr="002A7EE9">
        <w:rPr>
          <w:rFonts w:ascii="Arial" w:hAnsi="Arial" w:cs="Arial"/>
          <w:sz w:val="22"/>
          <w:szCs w:val="22"/>
        </w:rPr>
        <w:t>Application must include the manufacturer’s name and model name/number for the equipment.</w:t>
      </w:r>
    </w:p>
    <w:p w:rsidR="009B3B2B" w:rsidRPr="002A7EE9" w:rsidRDefault="002A7EE9" w:rsidP="009B3B2B">
      <w:pPr>
        <w:numPr>
          <w:ilvl w:val="0"/>
          <w:numId w:val="29"/>
        </w:numPr>
        <w:rPr>
          <w:rFonts w:ascii="Arial" w:hAnsi="Arial" w:cs="Arial"/>
          <w:sz w:val="22"/>
          <w:szCs w:val="22"/>
        </w:rPr>
      </w:pPr>
      <w:r w:rsidRPr="002A7EE9">
        <w:rPr>
          <w:rFonts w:ascii="Arial" w:hAnsi="Arial" w:cs="Arial"/>
          <w:sz w:val="22"/>
          <w:szCs w:val="22"/>
        </w:rPr>
        <w:t>Installation address must have a commercial natural gas account with PG&amp;E</w:t>
      </w:r>
    </w:p>
    <w:p w:rsidR="00B2258B" w:rsidRDefault="002A7EE9" w:rsidP="009B3B2B">
      <w:pPr>
        <w:numPr>
          <w:ilvl w:val="0"/>
          <w:numId w:val="29"/>
        </w:numPr>
        <w:rPr>
          <w:rFonts w:ascii="Arial" w:hAnsi="Arial" w:cs="Arial"/>
          <w:sz w:val="22"/>
          <w:szCs w:val="22"/>
        </w:rPr>
      </w:pPr>
      <w:r w:rsidRPr="002A7EE9">
        <w:rPr>
          <w:rFonts w:ascii="Arial" w:hAnsi="Arial" w:cs="Arial"/>
          <w:sz w:val="22"/>
          <w:szCs w:val="22"/>
        </w:rPr>
        <w:t>Boilers used primarily for domestic hot water, space conditioning</w:t>
      </w:r>
      <w:r w:rsidR="00730011">
        <w:rPr>
          <w:rFonts w:ascii="Arial" w:hAnsi="Arial" w:cs="Arial"/>
          <w:sz w:val="22"/>
          <w:szCs w:val="22"/>
        </w:rPr>
        <w:t>;</w:t>
      </w:r>
      <w:r w:rsidR="00730011" w:rsidRPr="002A7EE9">
        <w:rPr>
          <w:rFonts w:ascii="Arial" w:hAnsi="Arial" w:cs="Arial"/>
          <w:sz w:val="22"/>
          <w:szCs w:val="22"/>
        </w:rPr>
        <w:t xml:space="preserve"> </w:t>
      </w:r>
      <w:r w:rsidRPr="002A7EE9">
        <w:rPr>
          <w:rFonts w:ascii="Arial" w:hAnsi="Arial" w:cs="Arial"/>
          <w:sz w:val="22"/>
          <w:szCs w:val="22"/>
        </w:rPr>
        <w:t>pools or spas do no</w:t>
      </w:r>
      <w:r w:rsidR="00842088">
        <w:rPr>
          <w:rFonts w:ascii="Arial" w:hAnsi="Arial" w:cs="Arial"/>
          <w:sz w:val="22"/>
          <w:szCs w:val="22"/>
        </w:rPr>
        <w:t>t</w:t>
      </w:r>
      <w:r w:rsidRPr="002A7EE9">
        <w:rPr>
          <w:rFonts w:ascii="Arial" w:hAnsi="Arial" w:cs="Arial"/>
          <w:sz w:val="22"/>
          <w:szCs w:val="22"/>
        </w:rPr>
        <w:t xml:space="preserve"> qualify for this rebate.</w:t>
      </w:r>
    </w:p>
    <w:p w:rsidR="002A7EE9" w:rsidRPr="002A7EE9" w:rsidRDefault="002A7EE9" w:rsidP="002A7EE9">
      <w:pPr>
        <w:numPr>
          <w:ilvl w:val="0"/>
          <w:numId w:val="29"/>
        </w:numPr>
        <w:rPr>
          <w:rFonts w:ascii="Arial" w:hAnsi="Arial" w:cs="Arial"/>
          <w:sz w:val="22"/>
          <w:szCs w:val="22"/>
        </w:rPr>
      </w:pPr>
      <w:r w:rsidRPr="00BE12A4">
        <w:rPr>
          <w:rFonts w:ascii="Arial" w:hAnsi="Arial" w:cs="Arial"/>
          <w:sz w:val="22"/>
          <w:szCs w:val="22"/>
        </w:rPr>
        <w:t xml:space="preserve">Must meet efficiency requirements based on input ratings and types shown in the </w:t>
      </w:r>
      <w:r w:rsidRPr="00BE12A4">
        <w:rPr>
          <w:rFonts w:ascii="Arial" w:hAnsi="Arial" w:cs="Arial"/>
          <w:i/>
          <w:sz w:val="22"/>
          <w:szCs w:val="22"/>
        </w:rPr>
        <w:t>Space Heating Boiler Table</w:t>
      </w:r>
      <w:r w:rsidRPr="00BE12A4">
        <w:rPr>
          <w:rFonts w:ascii="Arial" w:hAnsi="Arial" w:cs="Arial"/>
          <w:sz w:val="22"/>
          <w:szCs w:val="22"/>
        </w:rPr>
        <w:t xml:space="preserve"> as listed in the PG&amp;E rebate catal</w:t>
      </w:r>
      <w:r w:rsidRPr="002A7EE9">
        <w:rPr>
          <w:rFonts w:ascii="Arial" w:hAnsi="Arial" w:cs="Arial"/>
          <w:sz w:val="22"/>
          <w:szCs w:val="22"/>
        </w:rPr>
        <w:t>og.</w:t>
      </w:r>
    </w:p>
    <w:p w:rsidR="000F2774" w:rsidRPr="002A7EE9" w:rsidRDefault="000F2774" w:rsidP="00864083">
      <w:pPr>
        <w:ind w:left="360"/>
        <w:rPr>
          <w:rFonts w:ascii="Arial" w:hAnsi="Arial" w:cs="Arial"/>
          <w:sz w:val="22"/>
          <w:szCs w:val="22"/>
        </w:rPr>
      </w:pPr>
    </w:p>
    <w:p w:rsidR="000F2774" w:rsidRPr="002A7EE9" w:rsidRDefault="009A3B09" w:rsidP="00864083">
      <w:pPr>
        <w:ind w:left="360"/>
        <w:rPr>
          <w:rFonts w:ascii="Arial" w:hAnsi="Arial" w:cs="Arial"/>
          <w:b/>
          <w:sz w:val="22"/>
          <w:szCs w:val="22"/>
        </w:rPr>
      </w:pPr>
      <w:r w:rsidRPr="002A7EE9">
        <w:rPr>
          <w:rFonts w:ascii="Arial" w:hAnsi="Arial" w:cs="Arial"/>
          <w:b/>
          <w:sz w:val="22"/>
          <w:szCs w:val="22"/>
        </w:rPr>
        <w:t xml:space="preserve">Market Applicability: </w:t>
      </w:r>
    </w:p>
    <w:p w:rsidR="00F85990" w:rsidRPr="00F85990" w:rsidRDefault="00B2258B" w:rsidP="00F85990">
      <w:pPr>
        <w:ind w:left="360"/>
        <w:rPr>
          <w:rFonts w:ascii="Arial" w:hAnsi="Arial" w:cs="Arial"/>
          <w:sz w:val="22"/>
          <w:szCs w:val="22"/>
        </w:rPr>
      </w:pPr>
      <w:r w:rsidRPr="002A7EE9">
        <w:rPr>
          <w:rFonts w:ascii="Arial" w:hAnsi="Arial" w:cs="Arial"/>
          <w:sz w:val="22"/>
          <w:szCs w:val="22"/>
        </w:rPr>
        <w:t>This measure is applicable to any</w:t>
      </w:r>
      <w:r w:rsidR="002A7EE9" w:rsidRPr="002A7EE9">
        <w:rPr>
          <w:rFonts w:ascii="Arial" w:hAnsi="Arial" w:cs="Arial"/>
          <w:sz w:val="22"/>
          <w:szCs w:val="22"/>
        </w:rPr>
        <w:t xml:space="preserve"> industrial process</w:t>
      </w:r>
      <w:r w:rsidRPr="002A7EE9">
        <w:rPr>
          <w:rFonts w:ascii="Arial" w:hAnsi="Arial" w:cs="Arial"/>
          <w:sz w:val="22"/>
          <w:szCs w:val="22"/>
        </w:rPr>
        <w:t xml:space="preserve"> boiler and not applicable to boilers used for </w:t>
      </w:r>
      <w:r w:rsidR="002A7EE9" w:rsidRPr="002A7EE9">
        <w:rPr>
          <w:rFonts w:ascii="Arial" w:hAnsi="Arial" w:cs="Arial"/>
          <w:sz w:val="22"/>
          <w:szCs w:val="22"/>
        </w:rPr>
        <w:t>space heating</w:t>
      </w:r>
      <w:r w:rsidRPr="002A7EE9">
        <w:rPr>
          <w:rFonts w:ascii="Arial" w:hAnsi="Arial" w:cs="Arial"/>
          <w:sz w:val="22"/>
          <w:szCs w:val="22"/>
        </w:rPr>
        <w:t xml:space="preserve">, domestic hot water, pools, or spas. </w:t>
      </w:r>
      <w:r w:rsidR="00F85990" w:rsidRPr="00F85990">
        <w:rPr>
          <w:rFonts w:ascii="Arial" w:hAnsi="Arial" w:cs="Arial"/>
          <w:sz w:val="22"/>
          <w:szCs w:val="22"/>
        </w:rPr>
        <w:t xml:space="preserve">This measure is applicable to any commercial application through upstream and downstream channels. </w:t>
      </w:r>
    </w:p>
    <w:p w:rsidR="00B2258B" w:rsidRDefault="00B2258B" w:rsidP="00864083">
      <w:pPr>
        <w:ind w:left="360"/>
        <w:rPr>
          <w:rFonts w:ascii="Arial" w:hAnsi="Arial" w:cs="Arial"/>
          <w:sz w:val="22"/>
          <w:szCs w:val="22"/>
        </w:rPr>
      </w:pPr>
    </w:p>
    <w:p w:rsidR="00F96D19" w:rsidRPr="002A7EE9" w:rsidRDefault="00F96D19" w:rsidP="00864083">
      <w:pPr>
        <w:rPr>
          <w:rFonts w:ascii="Arial" w:hAnsi="Arial" w:cs="Arial"/>
          <w:b/>
          <w:i/>
          <w:sz w:val="22"/>
          <w:szCs w:val="22"/>
        </w:rPr>
      </w:pPr>
    </w:p>
    <w:p w:rsidR="00521920" w:rsidRPr="002A7EE9" w:rsidRDefault="00806070" w:rsidP="00E8736C">
      <w:pPr>
        <w:pStyle w:val="Heading2"/>
        <w:spacing w:before="0"/>
      </w:pPr>
      <w:bookmarkStart w:id="17" w:name="_Toc386966973"/>
      <w:r w:rsidRPr="002A7EE9">
        <w:t xml:space="preserve">1.2 Product </w:t>
      </w:r>
      <w:r w:rsidR="00521920" w:rsidRPr="002A7EE9">
        <w:t>Technical Description</w:t>
      </w:r>
      <w:bookmarkEnd w:id="17"/>
    </w:p>
    <w:p w:rsidR="00B2258B" w:rsidRPr="00DE03FB" w:rsidRDefault="002A7EE9" w:rsidP="00864083">
      <w:pPr>
        <w:rPr>
          <w:rFonts w:ascii="Arial" w:hAnsi="Arial" w:cs="Arial"/>
          <w:sz w:val="22"/>
          <w:szCs w:val="22"/>
        </w:rPr>
      </w:pPr>
      <w:r w:rsidRPr="002A7EE9">
        <w:rPr>
          <w:rFonts w:ascii="Arial" w:hAnsi="Arial" w:cs="Arial"/>
          <w:sz w:val="22"/>
          <w:szCs w:val="22"/>
        </w:rPr>
        <w:t>Process</w:t>
      </w:r>
      <w:r w:rsidR="00B2258B" w:rsidRPr="002A7EE9">
        <w:rPr>
          <w:rFonts w:ascii="Arial" w:hAnsi="Arial" w:cs="Arial"/>
          <w:sz w:val="22"/>
          <w:szCs w:val="22"/>
        </w:rPr>
        <w:t xml:space="preserve"> boilers are pressure vessels that transfer heat to water for use primarily in </w:t>
      </w:r>
      <w:r w:rsidRPr="002A7EE9">
        <w:rPr>
          <w:rFonts w:ascii="Arial" w:hAnsi="Arial" w:cs="Arial"/>
          <w:sz w:val="22"/>
          <w:szCs w:val="22"/>
        </w:rPr>
        <w:t xml:space="preserve">process </w:t>
      </w:r>
      <w:r w:rsidR="00B2258B" w:rsidRPr="002A7EE9">
        <w:rPr>
          <w:rFonts w:ascii="Arial" w:hAnsi="Arial" w:cs="Arial"/>
          <w:sz w:val="22"/>
          <w:szCs w:val="22"/>
        </w:rPr>
        <w:t xml:space="preserve">applications. </w:t>
      </w:r>
      <w:r w:rsidR="00B2258B" w:rsidRPr="00DE03FB">
        <w:rPr>
          <w:rFonts w:ascii="Arial" w:hAnsi="Arial" w:cs="Arial"/>
          <w:sz w:val="22"/>
          <w:szCs w:val="22"/>
        </w:rPr>
        <w:t xml:space="preserve">Energy efficient units often feature </w:t>
      </w:r>
      <w:r w:rsidR="009B3B2B" w:rsidRPr="00DE03FB">
        <w:rPr>
          <w:rFonts w:ascii="Arial" w:hAnsi="Arial" w:cs="Arial"/>
          <w:sz w:val="22"/>
          <w:szCs w:val="22"/>
        </w:rPr>
        <w:t>high-</w:t>
      </w:r>
      <w:r w:rsidR="00B2258B" w:rsidRPr="00DE03FB">
        <w:rPr>
          <w:rFonts w:ascii="Arial" w:hAnsi="Arial" w:cs="Arial"/>
          <w:sz w:val="22"/>
          <w:szCs w:val="22"/>
        </w:rPr>
        <w:t xml:space="preserve">efficiency and/or low NOx burners, and typically have features such as forced air burners, relatively large heat exchange surfaces, and/or utilize heat recovery from stack gases. </w:t>
      </w:r>
    </w:p>
    <w:p w:rsidR="00E16FD8" w:rsidRDefault="00E16FD8" w:rsidP="00864083">
      <w:pPr>
        <w:pStyle w:val="Heading2"/>
        <w:keepNext w:val="0"/>
        <w:spacing w:before="0" w:after="0"/>
        <w:sectPr w:rsidR="00E16FD8" w:rsidSect="00E16FD8">
          <w:endnotePr>
            <w:numFmt w:val="decimal"/>
          </w:endnotePr>
          <w:pgSz w:w="12240" w:h="15840"/>
          <w:pgMar w:top="1440" w:right="1440" w:bottom="1440" w:left="1440" w:header="720" w:footer="720" w:gutter="0"/>
          <w:pgNumType w:start="1" w:chapStyle="1"/>
          <w:cols w:space="720"/>
          <w:docGrid w:linePitch="360"/>
        </w:sectPr>
      </w:pPr>
    </w:p>
    <w:p w:rsidR="009C5CA7" w:rsidRPr="00DE03FB" w:rsidRDefault="009C5CA7" w:rsidP="00864083">
      <w:pPr>
        <w:pStyle w:val="Heading2"/>
        <w:keepNext w:val="0"/>
        <w:spacing w:before="0" w:after="0"/>
      </w:pPr>
      <w:bookmarkStart w:id="18" w:name="_Toc386966974"/>
      <w:r w:rsidRPr="00DE03FB">
        <w:t>1.</w:t>
      </w:r>
      <w:r w:rsidR="00806070" w:rsidRPr="00DE03FB">
        <w:t>3</w:t>
      </w:r>
      <w:r w:rsidRPr="00DE03FB">
        <w:t xml:space="preserve"> </w:t>
      </w:r>
      <w:r w:rsidR="009048C4" w:rsidRPr="00DE03FB">
        <w:t>Measure Application Type</w:t>
      </w:r>
      <w:bookmarkEnd w:id="18"/>
    </w:p>
    <w:p w:rsidR="00976408" w:rsidRPr="00DE03FB" w:rsidRDefault="000E1C56" w:rsidP="00976408">
      <w:pPr>
        <w:rPr>
          <w:rFonts w:ascii="Arial" w:hAnsi="Arial" w:cs="Arial"/>
          <w:sz w:val="22"/>
          <w:szCs w:val="22"/>
        </w:rPr>
      </w:pPr>
      <w:bookmarkStart w:id="19" w:name="_Toc324427642"/>
      <w:r w:rsidRPr="00DE03FB">
        <w:rPr>
          <w:rFonts w:ascii="Arial" w:hAnsi="Arial" w:cs="Arial"/>
          <w:sz w:val="22"/>
          <w:szCs w:val="22"/>
        </w:rPr>
        <w:t xml:space="preserve">The DEER </w:t>
      </w:r>
      <w:bookmarkEnd w:id="19"/>
      <w:r w:rsidR="006646F9" w:rsidRPr="00DE03FB">
        <w:rPr>
          <w:rFonts w:ascii="Arial" w:hAnsi="Arial" w:cs="Arial"/>
          <w:sz w:val="22"/>
          <w:szCs w:val="22"/>
        </w:rPr>
        <w:t>measure application types are defined in the table below:</w:t>
      </w:r>
    </w:p>
    <w:p w:rsidR="009B3B2B" w:rsidRPr="00906317" w:rsidRDefault="009B3B2B" w:rsidP="00976408">
      <w:pPr>
        <w:rPr>
          <w:rFonts w:ascii="Arial" w:hAnsi="Arial" w:cs="Arial"/>
          <w:sz w:val="22"/>
          <w:szCs w:val="22"/>
        </w:rPr>
      </w:pPr>
    </w:p>
    <w:p w:rsidR="00976408" w:rsidRPr="00906317" w:rsidRDefault="00976408" w:rsidP="00C218D5">
      <w:pPr>
        <w:pStyle w:val="Caption"/>
        <w:keepNext/>
        <w:jc w:val="center"/>
        <w:rPr>
          <w:rFonts w:ascii="Arial" w:hAnsi="Arial" w:cs="Arial"/>
          <w:sz w:val="22"/>
          <w:szCs w:val="22"/>
        </w:rPr>
      </w:pPr>
      <w:r w:rsidRPr="00906317">
        <w:rPr>
          <w:rFonts w:ascii="Arial" w:hAnsi="Arial" w:cs="Arial"/>
          <w:sz w:val="22"/>
          <w:szCs w:val="22"/>
        </w:rPr>
        <w:t xml:space="preserve">Table </w:t>
      </w:r>
      <w:bookmarkStart w:id="20" w:name="RANGE!B222"/>
      <w:r w:rsidRPr="00906317">
        <w:rPr>
          <w:rFonts w:ascii="Arial" w:hAnsi="Arial" w:cs="Arial"/>
          <w:sz w:val="22"/>
          <w:szCs w:val="22"/>
        </w:rPr>
        <w:t>1 - Measure Application Type</w:t>
      </w:r>
      <w:bookmarkEnd w:id="20"/>
      <w:r w:rsidR="00E406EA" w:rsidRPr="00906317">
        <w:rPr>
          <w:rFonts w:ascii="Arial" w:hAnsi="Arial" w:cs="Arial"/>
          <w:sz w:val="22"/>
          <w:szCs w:val="22"/>
        </w:rPr>
        <w:fldChar w:fldCharType="begin"/>
      </w:r>
      <w:r w:rsidRPr="00906317">
        <w:rPr>
          <w:sz w:val="22"/>
          <w:szCs w:val="22"/>
        </w:rPr>
        <w:instrText xml:space="preserve"> TC "</w:instrText>
      </w:r>
      <w:bookmarkStart w:id="21" w:name="_Toc373323969"/>
      <w:bookmarkStart w:id="22" w:name="_Toc376178527"/>
      <w:bookmarkStart w:id="23" w:name="_Toc384033519"/>
      <w:r w:rsidRPr="00906317">
        <w:rPr>
          <w:rFonts w:ascii="Arial" w:hAnsi="Arial" w:cs="Arial"/>
          <w:sz w:val="22"/>
          <w:szCs w:val="22"/>
        </w:rPr>
        <w:instrText>Table 1 - Measure Application Type</w:instrText>
      </w:r>
      <w:bookmarkEnd w:id="21"/>
      <w:bookmarkEnd w:id="22"/>
      <w:bookmarkEnd w:id="23"/>
      <w:r w:rsidRPr="00906317">
        <w:rPr>
          <w:sz w:val="22"/>
          <w:szCs w:val="22"/>
        </w:rPr>
        <w:instrText xml:space="preserve">" \f C \l "1" </w:instrText>
      </w:r>
      <w:r w:rsidR="00E406EA" w:rsidRPr="00906317">
        <w:rPr>
          <w:rFonts w:ascii="Arial" w:hAnsi="Arial" w:cs="Arial"/>
          <w:sz w:val="22"/>
          <w:szCs w:val="22"/>
        </w:rPr>
        <w:fldChar w:fldCharType="end"/>
      </w:r>
      <w:r w:rsidR="00AB684A" w:rsidRPr="00906317">
        <w:rPr>
          <w:rStyle w:val="EndnoteReference"/>
          <w:rFonts w:ascii="Arial" w:hAnsi="Arial" w:cs="Arial"/>
          <w:sz w:val="22"/>
          <w:szCs w:val="22"/>
        </w:rPr>
        <w:endnoteReference w:id="1"/>
      </w:r>
    </w:p>
    <w:p w:rsidR="00976408" w:rsidRPr="00906317" w:rsidRDefault="00976408" w:rsidP="00976408">
      <w:pPr>
        <w:keepNext/>
        <w:rPr>
          <w:rFonts w:ascii="Arial" w:hAnsi="Arial" w:cs="Arial"/>
          <w:sz w:val="22"/>
          <w:szCs w:val="22"/>
        </w:rPr>
      </w:pPr>
      <w:r w:rsidRPr="00906317">
        <w:rPr>
          <w:rFonts w:ascii="Arial" w:hAnsi="Arial" w:cs="Arial"/>
          <w:i/>
          <w:iCs/>
          <w:sz w:val="22"/>
          <w:szCs w:val="22"/>
        </w:rPr>
        <w:t>Identifies the measure application type in the Measure Implementation table in DEER201</w:t>
      </w:r>
      <w:r w:rsidR="00797ECA" w:rsidRPr="00906317">
        <w:rPr>
          <w:rFonts w:ascii="Arial" w:hAnsi="Arial" w:cs="Arial"/>
          <w:i/>
          <w:iCs/>
          <w:sz w:val="22"/>
          <w:szCs w:val="22"/>
        </w:rPr>
        <w:t>4</w:t>
      </w:r>
      <w:r w:rsidRPr="00906317">
        <w:rPr>
          <w:rFonts w:ascii="Arial" w:hAnsi="Arial" w:cs="Arial"/>
          <w:i/>
          <w:iCs/>
          <w:sz w:val="22"/>
          <w:szCs w:val="22"/>
        </w:rPr>
        <w:t>.</w:t>
      </w:r>
    </w:p>
    <w:tbl>
      <w:tblPr>
        <w:tblW w:w="9090" w:type="dxa"/>
        <w:tblInd w:w="108" w:type="dxa"/>
        <w:tblLook w:val="04A0" w:firstRow="1" w:lastRow="0" w:firstColumn="1" w:lastColumn="0" w:noHBand="0" w:noVBand="1"/>
      </w:tblPr>
      <w:tblGrid>
        <w:gridCol w:w="900"/>
        <w:gridCol w:w="2610"/>
        <w:gridCol w:w="5580"/>
      </w:tblGrid>
      <w:tr w:rsidR="00976408" w:rsidRPr="00906317" w:rsidTr="00976408">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Comment</w:t>
            </w:r>
          </w:p>
        </w:tc>
      </w:tr>
      <w:tr w:rsidR="00976408" w:rsidRPr="00906317" w:rsidTr="00976408">
        <w:trPr>
          <w:trHeight w:val="600"/>
        </w:trPr>
        <w:tc>
          <w:tcPr>
            <w:tcW w:w="900" w:type="dxa"/>
            <w:tcBorders>
              <w:top w:val="nil"/>
              <w:left w:val="single" w:sz="4" w:space="0" w:color="auto"/>
              <w:bottom w:val="nil"/>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ER</w:t>
            </w:r>
          </w:p>
        </w:tc>
        <w:tc>
          <w:tcPr>
            <w:tcW w:w="2610" w:type="dxa"/>
            <w:tcBorders>
              <w:top w:val="nil"/>
              <w:left w:val="nil"/>
              <w:bottom w:val="nil"/>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976408" w:rsidRPr="00906317" w:rsidRDefault="00976408" w:rsidP="00976408">
            <w:pPr>
              <w:keepNext/>
              <w:rPr>
                <w:rFonts w:ascii="Arial" w:hAnsi="Arial" w:cs="Arial"/>
                <w:i/>
                <w:iCs/>
                <w:sz w:val="22"/>
                <w:szCs w:val="22"/>
              </w:rPr>
            </w:pPr>
            <w:r w:rsidRPr="00906317">
              <w:rPr>
                <w:rFonts w:ascii="Arial" w:hAnsi="Arial" w:cs="Arial"/>
                <w:i/>
                <w:iCs/>
                <w:sz w:val="22"/>
                <w:szCs w:val="22"/>
              </w:rPr>
              <w:t>measure applied while existing equipment still viable, or retrofit of existing equipment</w:t>
            </w:r>
          </w:p>
        </w:tc>
      </w:tr>
      <w:tr w:rsidR="00976408" w:rsidRPr="00906317" w:rsidTr="00976408">
        <w:trPr>
          <w:trHeight w:val="600"/>
        </w:trPr>
        <w:tc>
          <w:tcPr>
            <w:tcW w:w="900" w:type="dxa"/>
            <w:tcBorders>
              <w:top w:val="nil"/>
              <w:left w:val="single" w:sz="4" w:space="0" w:color="auto"/>
              <w:bottom w:val="nil"/>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ROB</w:t>
            </w:r>
          </w:p>
        </w:tc>
        <w:tc>
          <w:tcPr>
            <w:tcW w:w="2610" w:type="dxa"/>
            <w:tcBorders>
              <w:top w:val="nil"/>
              <w:left w:val="nil"/>
              <w:bottom w:val="nil"/>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Replace on Burnout</w:t>
            </w:r>
            <w:r w:rsidR="00E406EA" w:rsidRPr="00906317">
              <w:rPr>
                <w:rFonts w:ascii="Arial" w:hAnsi="Arial" w:cs="Arial"/>
                <w:sz w:val="22"/>
                <w:szCs w:val="22"/>
              </w:rPr>
              <w:fldChar w:fldCharType="begin"/>
            </w:r>
            <w:r w:rsidR="00EC6D48" w:rsidRPr="00906317">
              <w:rPr>
                <w:rFonts w:ascii="Arial" w:hAnsi="Arial" w:cs="Arial"/>
              </w:rPr>
              <w:instrText xml:space="preserve"> XE "</w:instrText>
            </w:r>
            <w:r w:rsidR="00EC6D48" w:rsidRPr="00906317">
              <w:rPr>
                <w:rFonts w:ascii="Arial" w:hAnsi="Arial" w:cs="Arial"/>
                <w:sz w:val="22"/>
                <w:szCs w:val="22"/>
              </w:rPr>
              <w:instrText>Replace on Burnout</w:instrText>
            </w:r>
            <w:r w:rsidR="00EC6D48" w:rsidRPr="00906317">
              <w:rPr>
                <w:rFonts w:ascii="Arial" w:hAnsi="Arial" w:cs="Arial"/>
              </w:rPr>
              <w:instrText xml:space="preserve">" </w:instrText>
            </w:r>
            <w:r w:rsidR="00E406EA" w:rsidRPr="00906317">
              <w:rPr>
                <w:rFonts w:ascii="Arial" w:hAnsi="Arial" w:cs="Arial"/>
                <w:sz w:val="22"/>
                <w:szCs w:val="22"/>
              </w:rPr>
              <w:fldChar w:fldCharType="end"/>
            </w:r>
          </w:p>
        </w:tc>
        <w:tc>
          <w:tcPr>
            <w:tcW w:w="5580" w:type="dxa"/>
            <w:tcBorders>
              <w:top w:val="nil"/>
              <w:left w:val="nil"/>
              <w:bottom w:val="nil"/>
              <w:right w:val="single" w:sz="4" w:space="0" w:color="auto"/>
            </w:tcBorders>
            <w:shd w:val="clear" w:color="auto" w:fill="auto"/>
            <w:vAlign w:val="center"/>
            <w:hideMark/>
          </w:tcPr>
          <w:p w:rsidR="00976408" w:rsidRPr="00906317" w:rsidRDefault="00976408" w:rsidP="00976408">
            <w:pPr>
              <w:keepNext/>
              <w:rPr>
                <w:rFonts w:ascii="Arial" w:hAnsi="Arial" w:cs="Arial"/>
                <w:i/>
                <w:iCs/>
                <w:sz w:val="22"/>
                <w:szCs w:val="22"/>
              </w:rPr>
            </w:pPr>
            <w:r w:rsidRPr="00906317">
              <w:rPr>
                <w:rFonts w:ascii="Arial" w:hAnsi="Arial" w:cs="Arial"/>
                <w:i/>
                <w:iCs/>
                <w:sz w:val="22"/>
                <w:szCs w:val="22"/>
              </w:rPr>
              <w:t>measure applied when existing equipment fails or maintenance requires replacement</w:t>
            </w:r>
          </w:p>
        </w:tc>
      </w:tr>
      <w:tr w:rsidR="00976408" w:rsidRPr="00906317" w:rsidTr="00976408">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976408" w:rsidRPr="00906317" w:rsidRDefault="00976408" w:rsidP="00976408">
            <w:pPr>
              <w:rPr>
                <w:rFonts w:ascii="Arial" w:hAnsi="Arial" w:cs="Arial"/>
                <w:sz w:val="22"/>
                <w:szCs w:val="22"/>
              </w:rPr>
            </w:pPr>
            <w:r w:rsidRPr="00906317">
              <w:rPr>
                <w:rFonts w:ascii="Arial" w:hAnsi="Arial" w:cs="Arial"/>
                <w:sz w:val="22"/>
                <w:szCs w:val="22"/>
              </w:rPr>
              <w:t>NC</w:t>
            </w:r>
          </w:p>
        </w:tc>
        <w:tc>
          <w:tcPr>
            <w:tcW w:w="2610" w:type="dxa"/>
            <w:tcBorders>
              <w:top w:val="nil"/>
              <w:left w:val="nil"/>
              <w:bottom w:val="single" w:sz="4" w:space="0" w:color="auto"/>
              <w:right w:val="nil"/>
            </w:tcBorders>
            <w:shd w:val="clear" w:color="auto" w:fill="auto"/>
            <w:noWrap/>
            <w:vAlign w:val="center"/>
            <w:hideMark/>
          </w:tcPr>
          <w:p w:rsidR="00976408" w:rsidRPr="00906317" w:rsidRDefault="00976408" w:rsidP="00976408">
            <w:pPr>
              <w:rPr>
                <w:rFonts w:ascii="Arial" w:hAnsi="Arial" w:cs="Arial"/>
                <w:sz w:val="22"/>
                <w:szCs w:val="22"/>
              </w:rPr>
            </w:pPr>
            <w:r w:rsidRPr="00906317">
              <w:rPr>
                <w:rFonts w:ascii="Arial" w:hAnsi="Arial" w:cs="Arial"/>
                <w:sz w:val="22"/>
                <w:szCs w:val="22"/>
              </w:rPr>
              <w:t>New Construction</w:t>
            </w:r>
            <w:r w:rsidR="00E406EA" w:rsidRPr="00906317">
              <w:rPr>
                <w:rFonts w:ascii="Arial" w:hAnsi="Arial" w:cs="Arial"/>
                <w:sz w:val="22"/>
                <w:szCs w:val="22"/>
              </w:rPr>
              <w:fldChar w:fldCharType="begin"/>
            </w:r>
            <w:r w:rsidR="00EC6D48" w:rsidRPr="00906317">
              <w:instrText xml:space="preserve"> XE "</w:instrText>
            </w:r>
            <w:r w:rsidR="00EC6D48" w:rsidRPr="00906317">
              <w:rPr>
                <w:rFonts w:ascii="Arial" w:hAnsi="Arial" w:cs="Arial"/>
                <w:sz w:val="22"/>
                <w:szCs w:val="22"/>
              </w:rPr>
              <w:instrText>New Construction</w:instrText>
            </w:r>
            <w:r w:rsidR="00EC6D48" w:rsidRPr="00906317">
              <w:instrText xml:space="preserve">" </w:instrText>
            </w:r>
            <w:r w:rsidR="00E406EA" w:rsidRPr="00906317">
              <w:rPr>
                <w:rFonts w:ascii="Arial" w:hAnsi="Arial" w:cs="Arial"/>
                <w:sz w:val="22"/>
                <w:szCs w:val="22"/>
              </w:rPr>
              <w:fldChar w:fldCharType="end"/>
            </w:r>
          </w:p>
        </w:tc>
        <w:tc>
          <w:tcPr>
            <w:tcW w:w="5580" w:type="dxa"/>
            <w:tcBorders>
              <w:top w:val="nil"/>
              <w:left w:val="nil"/>
              <w:bottom w:val="single" w:sz="4" w:space="0" w:color="auto"/>
              <w:right w:val="single" w:sz="4" w:space="0" w:color="auto"/>
            </w:tcBorders>
            <w:shd w:val="clear" w:color="auto" w:fill="auto"/>
            <w:vAlign w:val="center"/>
            <w:hideMark/>
          </w:tcPr>
          <w:p w:rsidR="00976408" w:rsidRPr="00906317" w:rsidRDefault="00976408" w:rsidP="00976408">
            <w:pPr>
              <w:rPr>
                <w:rFonts w:ascii="Arial" w:hAnsi="Arial" w:cs="Arial"/>
                <w:i/>
                <w:iCs/>
                <w:sz w:val="22"/>
                <w:szCs w:val="22"/>
              </w:rPr>
            </w:pPr>
            <w:r w:rsidRPr="00906317">
              <w:rPr>
                <w:rFonts w:ascii="Arial" w:hAnsi="Arial" w:cs="Arial"/>
                <w:i/>
                <w:iCs/>
                <w:sz w:val="22"/>
                <w:szCs w:val="22"/>
              </w:rPr>
              <w:t>measure applied during construction design phase as an alternative to a code-compliant standard design</w:t>
            </w:r>
          </w:p>
        </w:tc>
      </w:tr>
    </w:tbl>
    <w:p w:rsidR="000E1C56" w:rsidRPr="00906317" w:rsidRDefault="000E1C56" w:rsidP="00864083">
      <w:pPr>
        <w:rPr>
          <w:rFonts w:ascii="Arial" w:hAnsi="Arial" w:cs="Arial"/>
          <w:sz w:val="22"/>
          <w:szCs w:val="22"/>
        </w:rPr>
      </w:pPr>
    </w:p>
    <w:p w:rsidR="000E1C56" w:rsidRPr="00A961E9" w:rsidRDefault="00976408" w:rsidP="00864083">
      <w:pPr>
        <w:rPr>
          <w:rFonts w:ascii="Arial" w:hAnsi="Arial" w:cs="Arial"/>
          <w:color w:val="FF0000"/>
          <w:sz w:val="22"/>
          <w:szCs w:val="22"/>
        </w:rPr>
      </w:pPr>
      <w:r w:rsidRPr="00906317">
        <w:rPr>
          <w:rFonts w:ascii="Arial" w:hAnsi="Arial" w:cs="Arial"/>
          <w:sz w:val="22"/>
          <w:szCs w:val="22"/>
        </w:rPr>
        <w:t>Measures H1</w:t>
      </w:r>
      <w:r w:rsidR="00906317" w:rsidRPr="00906317">
        <w:rPr>
          <w:rFonts w:ascii="Arial" w:hAnsi="Arial" w:cs="Arial"/>
          <w:sz w:val="22"/>
          <w:szCs w:val="22"/>
        </w:rPr>
        <w:t>1, and H15</w:t>
      </w:r>
      <w:r w:rsidRPr="00906317">
        <w:rPr>
          <w:rFonts w:ascii="Arial" w:hAnsi="Arial" w:cs="Arial"/>
          <w:sz w:val="22"/>
          <w:szCs w:val="22"/>
        </w:rPr>
        <w:t xml:space="preserve"> </w:t>
      </w:r>
      <w:r w:rsidR="000E1C56" w:rsidRPr="00906317">
        <w:rPr>
          <w:rFonts w:ascii="Arial" w:hAnsi="Arial" w:cs="Arial"/>
          <w:sz w:val="22"/>
          <w:szCs w:val="22"/>
        </w:rPr>
        <w:t xml:space="preserve">are applicable to </w:t>
      </w:r>
      <w:r w:rsidR="00906317" w:rsidRPr="00906317">
        <w:rPr>
          <w:rFonts w:ascii="Arial" w:hAnsi="Arial" w:cs="Arial"/>
          <w:sz w:val="22"/>
          <w:szCs w:val="22"/>
        </w:rPr>
        <w:t xml:space="preserve">industrial </w:t>
      </w:r>
      <w:r w:rsidR="00C6512C" w:rsidRPr="00906317">
        <w:rPr>
          <w:rFonts w:ascii="Arial" w:hAnsi="Arial" w:cs="Arial"/>
          <w:sz w:val="22"/>
          <w:szCs w:val="22"/>
        </w:rPr>
        <w:t xml:space="preserve">installations. </w:t>
      </w:r>
      <w:r w:rsidR="000E1C56" w:rsidRPr="00906317">
        <w:rPr>
          <w:rFonts w:ascii="Arial" w:hAnsi="Arial" w:cs="Arial"/>
          <w:sz w:val="22"/>
          <w:szCs w:val="22"/>
        </w:rPr>
        <w:t xml:space="preserve">The savings for all measures are calculated assuming that the installation is </w:t>
      </w:r>
      <w:r w:rsidR="00906317">
        <w:rPr>
          <w:rFonts w:ascii="Arial" w:hAnsi="Arial" w:cs="Arial"/>
          <w:sz w:val="22"/>
          <w:szCs w:val="22"/>
        </w:rPr>
        <w:t xml:space="preserve">either new construction (NC) or </w:t>
      </w:r>
      <w:r w:rsidR="000E1C56" w:rsidRPr="00906317">
        <w:rPr>
          <w:rFonts w:ascii="Arial" w:hAnsi="Arial" w:cs="Arial"/>
          <w:sz w:val="22"/>
          <w:szCs w:val="22"/>
        </w:rPr>
        <w:t xml:space="preserve">replace-on-burnout (ROB). </w:t>
      </w:r>
    </w:p>
    <w:p w:rsidR="00864083" w:rsidRPr="00E8736C" w:rsidRDefault="00864083" w:rsidP="00864083">
      <w:pPr>
        <w:pStyle w:val="Heading2"/>
        <w:spacing w:before="0" w:after="0"/>
        <w:rPr>
          <w:color w:val="FF0000"/>
          <w:sz w:val="22"/>
          <w:szCs w:val="22"/>
        </w:rPr>
      </w:pPr>
    </w:p>
    <w:p w:rsidR="00806070" w:rsidRPr="00DE03FB" w:rsidRDefault="00806070" w:rsidP="00864083">
      <w:pPr>
        <w:pStyle w:val="Heading2"/>
        <w:spacing w:before="0" w:after="0"/>
      </w:pPr>
      <w:bookmarkStart w:id="24" w:name="_Toc386966975"/>
      <w:r w:rsidRPr="00DE03FB">
        <w:t>1.4 Product Base Case and Measure Case Data</w:t>
      </w:r>
      <w:bookmarkEnd w:id="24"/>
    </w:p>
    <w:p w:rsidR="00750504" w:rsidRPr="00DE03FB" w:rsidRDefault="00750504" w:rsidP="00750504">
      <w:pPr>
        <w:rPr>
          <w:rFonts w:ascii="Arial" w:hAnsi="Arial" w:cs="Arial"/>
        </w:rPr>
      </w:pPr>
    </w:p>
    <w:p w:rsidR="00E71EF1" w:rsidRPr="00DE03FB" w:rsidRDefault="001248A3" w:rsidP="00864083">
      <w:pPr>
        <w:pStyle w:val="Heading2"/>
        <w:spacing w:before="0" w:after="0"/>
        <w:ind w:right="-180"/>
      </w:pPr>
      <w:bookmarkStart w:id="25" w:name="_Toc386966976"/>
      <w:r w:rsidRPr="00DE03FB">
        <w:t>1.</w:t>
      </w:r>
      <w:r w:rsidR="00806070" w:rsidRPr="00DE03FB">
        <w:t>4.1</w:t>
      </w:r>
      <w:r w:rsidR="00FA595F" w:rsidRPr="00DE03FB">
        <w:t xml:space="preserve"> </w:t>
      </w:r>
      <w:r w:rsidR="00C069A2" w:rsidRPr="00DE03FB">
        <w:t xml:space="preserve">DEER </w:t>
      </w:r>
      <w:r w:rsidR="008C6AD1" w:rsidRPr="00DE03FB">
        <w:t>Base Case and Measure Case Information</w:t>
      </w:r>
      <w:bookmarkEnd w:id="25"/>
      <w:r w:rsidR="008C6AD1" w:rsidRPr="00DE03FB">
        <w:t xml:space="preserve"> </w:t>
      </w:r>
    </w:p>
    <w:p w:rsidR="00DE03FB" w:rsidRPr="00BE12A4" w:rsidRDefault="00DE03FB" w:rsidP="00DE03FB">
      <w:pPr>
        <w:rPr>
          <w:rFonts w:ascii="Arial" w:hAnsi="Arial" w:cs="Arial"/>
          <w:sz w:val="22"/>
          <w:szCs w:val="22"/>
        </w:rPr>
      </w:pPr>
      <w:r w:rsidRPr="00BE12A4">
        <w:rPr>
          <w:rFonts w:ascii="Arial" w:hAnsi="Arial" w:cs="Arial"/>
          <w:sz w:val="22"/>
          <w:szCs w:val="22"/>
        </w:rPr>
        <w:t xml:space="preserve">The </w:t>
      </w:r>
      <w:r>
        <w:rPr>
          <w:rFonts w:ascii="Arial" w:hAnsi="Arial" w:cs="Arial"/>
          <w:sz w:val="22"/>
          <w:szCs w:val="22"/>
        </w:rPr>
        <w:t>DEER 2014 data</w:t>
      </w:r>
      <w:r w:rsidR="00842088">
        <w:rPr>
          <w:rFonts w:ascii="Arial" w:hAnsi="Arial" w:cs="Arial"/>
          <w:sz w:val="22"/>
          <w:szCs w:val="22"/>
        </w:rPr>
        <w:t>base</w:t>
      </w:r>
      <w:r>
        <w:rPr>
          <w:rFonts w:ascii="Arial" w:hAnsi="Arial" w:cs="Arial"/>
          <w:sz w:val="22"/>
          <w:szCs w:val="22"/>
        </w:rPr>
        <w:t xml:space="preserve"> does not contain </w:t>
      </w:r>
      <w:r w:rsidR="00842088">
        <w:rPr>
          <w:rFonts w:ascii="Arial" w:hAnsi="Arial" w:cs="Arial"/>
          <w:sz w:val="22"/>
          <w:szCs w:val="22"/>
        </w:rPr>
        <w:t xml:space="preserve">measures equivalent to either of the PG&amp;E catalog measures H11 or H15. </w:t>
      </w:r>
      <w:r w:rsidRPr="00BE12A4">
        <w:rPr>
          <w:rFonts w:ascii="Arial" w:hAnsi="Arial" w:cs="Arial"/>
          <w:sz w:val="22"/>
          <w:szCs w:val="22"/>
        </w:rPr>
        <w:t>Therefore</w:t>
      </w:r>
      <w:r>
        <w:rPr>
          <w:rFonts w:ascii="Arial" w:hAnsi="Arial" w:cs="Arial"/>
          <w:sz w:val="22"/>
          <w:szCs w:val="22"/>
        </w:rPr>
        <w:t xml:space="preserve">, custom temperature bin calculations have been </w:t>
      </w:r>
      <w:r w:rsidR="00842088">
        <w:rPr>
          <w:rFonts w:ascii="Arial" w:hAnsi="Arial" w:cs="Arial"/>
          <w:sz w:val="22"/>
          <w:szCs w:val="22"/>
        </w:rPr>
        <w:t xml:space="preserve">developed </w:t>
      </w:r>
      <w:r>
        <w:rPr>
          <w:rFonts w:ascii="Arial" w:hAnsi="Arial" w:cs="Arial"/>
          <w:sz w:val="22"/>
          <w:szCs w:val="22"/>
        </w:rPr>
        <w:t>to estimate energy savings</w:t>
      </w:r>
      <w:r w:rsidR="00842088">
        <w:rPr>
          <w:rFonts w:ascii="Arial" w:hAnsi="Arial" w:cs="Arial"/>
          <w:sz w:val="22"/>
          <w:szCs w:val="22"/>
        </w:rPr>
        <w:t xml:space="preserve"> resulting from H11 and H15. See</w:t>
      </w:r>
      <w:r>
        <w:rPr>
          <w:rFonts w:ascii="Arial" w:hAnsi="Arial" w:cs="Arial"/>
          <w:sz w:val="22"/>
          <w:szCs w:val="22"/>
        </w:rPr>
        <w:t xml:space="preserve"> Section 2</w:t>
      </w:r>
      <w:r w:rsidR="00842088">
        <w:rPr>
          <w:rFonts w:ascii="Arial" w:hAnsi="Arial" w:cs="Arial"/>
          <w:sz w:val="22"/>
          <w:szCs w:val="22"/>
        </w:rPr>
        <w:t xml:space="preserve"> for further detail</w:t>
      </w:r>
      <w:r w:rsidRPr="00BE12A4">
        <w:rPr>
          <w:rFonts w:ascii="Arial" w:hAnsi="Arial" w:cs="Arial"/>
          <w:sz w:val="22"/>
          <w:szCs w:val="22"/>
        </w:rPr>
        <w:t>.</w:t>
      </w:r>
    </w:p>
    <w:p w:rsidR="002C3770" w:rsidRDefault="002C3770" w:rsidP="002C3770">
      <w:pPr>
        <w:rPr>
          <w:rFonts w:ascii="Arial" w:hAnsi="Arial" w:cs="Arial"/>
          <w:sz w:val="22"/>
          <w:szCs w:val="22"/>
        </w:rPr>
      </w:pPr>
    </w:p>
    <w:p w:rsidR="00822EE1" w:rsidRDefault="00822EE1" w:rsidP="00822EE1">
      <w:pPr>
        <w:rPr>
          <w:rFonts w:ascii="Arial" w:hAnsi="Arial" w:cs="Arial"/>
          <w:sz w:val="22"/>
          <w:szCs w:val="22"/>
        </w:rPr>
      </w:pPr>
      <w:r w:rsidRPr="00BE12A4">
        <w:rPr>
          <w:rFonts w:ascii="Arial" w:hAnsi="Arial" w:cs="Arial"/>
          <w:sz w:val="22"/>
          <w:szCs w:val="22"/>
        </w:rPr>
        <w:t xml:space="preserve">The DEER </w:t>
      </w:r>
      <w:r>
        <w:rPr>
          <w:rFonts w:ascii="Arial" w:hAnsi="Arial" w:cs="Arial"/>
          <w:sz w:val="22"/>
          <w:szCs w:val="22"/>
        </w:rPr>
        <w:t>2014 documentation does contain applicable information for measure cost, equipment-useful</w:t>
      </w:r>
      <w:r w:rsidR="008A1CDC">
        <w:rPr>
          <w:rFonts w:ascii="Arial" w:hAnsi="Arial" w:cs="Arial"/>
          <w:sz w:val="22"/>
          <w:szCs w:val="22"/>
        </w:rPr>
        <w:t xml:space="preserve"> </w:t>
      </w:r>
      <w:r>
        <w:rPr>
          <w:rFonts w:ascii="Arial" w:hAnsi="Arial" w:cs="Arial"/>
          <w:sz w:val="22"/>
          <w:szCs w:val="22"/>
        </w:rPr>
        <w:t>life, net-to-gross, and initial-service</w:t>
      </w:r>
      <w:r w:rsidR="008A1CDC">
        <w:rPr>
          <w:rFonts w:ascii="Arial" w:hAnsi="Arial" w:cs="Arial"/>
          <w:sz w:val="22"/>
          <w:szCs w:val="22"/>
        </w:rPr>
        <w:t xml:space="preserve"> </w:t>
      </w:r>
      <w:r>
        <w:rPr>
          <w:rFonts w:ascii="Arial" w:hAnsi="Arial" w:cs="Arial"/>
          <w:sz w:val="22"/>
          <w:szCs w:val="22"/>
        </w:rPr>
        <w:t xml:space="preserve">rate for measures H11, and H15. </w:t>
      </w:r>
    </w:p>
    <w:p w:rsidR="00822EE1" w:rsidRDefault="00822EE1" w:rsidP="00822EE1">
      <w:pPr>
        <w:rPr>
          <w:rFonts w:ascii="Arial" w:hAnsi="Arial" w:cs="Arial"/>
          <w:sz w:val="22"/>
          <w:szCs w:val="22"/>
        </w:rPr>
      </w:pPr>
    </w:p>
    <w:p w:rsidR="002C3770" w:rsidRDefault="007A3125" w:rsidP="002C3770">
      <w:pPr>
        <w:rPr>
          <w:rFonts w:ascii="Arial" w:hAnsi="Arial" w:cs="Arial"/>
          <w:sz w:val="22"/>
          <w:szCs w:val="22"/>
        </w:rPr>
      </w:pPr>
      <w:r>
        <w:rPr>
          <w:rFonts w:ascii="Arial" w:hAnsi="Arial" w:cs="Arial"/>
          <w:sz w:val="22"/>
          <w:szCs w:val="22"/>
        </w:rPr>
        <w:t>DEER does not contain measure costs for process boilers</w:t>
      </w:r>
      <w:r w:rsidR="009251B2">
        <w:rPr>
          <w:rFonts w:ascii="Arial" w:hAnsi="Arial" w:cs="Arial"/>
          <w:sz w:val="22"/>
          <w:szCs w:val="22"/>
        </w:rPr>
        <w:t>, and only contains data for non-process boilers</w:t>
      </w:r>
      <w:r>
        <w:rPr>
          <w:rFonts w:ascii="Arial" w:hAnsi="Arial" w:cs="Arial"/>
          <w:sz w:val="22"/>
          <w:szCs w:val="22"/>
        </w:rPr>
        <w:t xml:space="preserve">. However, process boilers are assumed to be the same equipment type as </w:t>
      </w:r>
      <w:r w:rsidR="009251B2">
        <w:rPr>
          <w:rFonts w:ascii="Arial" w:hAnsi="Arial" w:cs="Arial"/>
          <w:sz w:val="22"/>
          <w:szCs w:val="22"/>
        </w:rPr>
        <w:t xml:space="preserve">non-process boilers for costing purposes. </w:t>
      </w:r>
      <w:r w:rsidR="002C3770" w:rsidRPr="00DE6D2B">
        <w:rPr>
          <w:rFonts w:ascii="Arial" w:hAnsi="Arial" w:cs="Arial"/>
          <w:sz w:val="22"/>
          <w:szCs w:val="22"/>
        </w:rPr>
        <w:t xml:space="preserve">Therefore, we took </w:t>
      </w:r>
      <w:r w:rsidR="00384319">
        <w:rPr>
          <w:rFonts w:ascii="Arial" w:hAnsi="Arial" w:cs="Arial"/>
          <w:sz w:val="22"/>
          <w:szCs w:val="22"/>
        </w:rPr>
        <w:t>cost</w:t>
      </w:r>
      <w:r w:rsidR="002C3770" w:rsidRPr="00DE6D2B">
        <w:rPr>
          <w:rFonts w:ascii="Arial" w:hAnsi="Arial" w:cs="Arial"/>
          <w:sz w:val="22"/>
          <w:szCs w:val="22"/>
        </w:rPr>
        <w:t xml:space="preserve"> values from the DEER 20</w:t>
      </w:r>
      <w:r w:rsidR="003135E2">
        <w:rPr>
          <w:rFonts w:ascii="Arial" w:hAnsi="Arial" w:cs="Arial"/>
          <w:sz w:val="22"/>
          <w:szCs w:val="22"/>
        </w:rPr>
        <w:t>08</w:t>
      </w:r>
      <w:r w:rsidR="002C3770" w:rsidRPr="00DE6D2B">
        <w:rPr>
          <w:rFonts w:ascii="Arial" w:hAnsi="Arial" w:cs="Arial"/>
          <w:sz w:val="22"/>
          <w:szCs w:val="22"/>
        </w:rPr>
        <w:t xml:space="preserve"> cost data</w:t>
      </w:r>
      <w:r w:rsidR="00384EAE">
        <w:rPr>
          <w:rStyle w:val="EndnoteReference"/>
          <w:rFonts w:ascii="Arial" w:hAnsi="Arial" w:cs="Arial"/>
          <w:sz w:val="22"/>
          <w:szCs w:val="22"/>
        </w:rPr>
        <w:endnoteReference w:id="2"/>
      </w:r>
      <w:r w:rsidR="002C3770" w:rsidRPr="00DE6D2B">
        <w:rPr>
          <w:rFonts w:ascii="Arial" w:hAnsi="Arial" w:cs="Arial"/>
          <w:sz w:val="22"/>
          <w:szCs w:val="22"/>
        </w:rPr>
        <w:t xml:space="preserve"> directly.</w:t>
      </w:r>
      <w:r w:rsidR="002C3770">
        <w:rPr>
          <w:rFonts w:ascii="Arial" w:hAnsi="Arial" w:cs="Arial"/>
          <w:sz w:val="22"/>
          <w:szCs w:val="22"/>
        </w:rPr>
        <w:t xml:space="preserve"> </w:t>
      </w:r>
      <w:r w:rsidR="00343E24">
        <w:rPr>
          <w:rFonts w:ascii="Arial" w:hAnsi="Arial" w:cs="Arial"/>
          <w:sz w:val="22"/>
          <w:szCs w:val="22"/>
        </w:rPr>
        <w:t xml:space="preserve">The following is a sample of the measure costs. See Appendix </w:t>
      </w:r>
      <w:bookmarkStart w:id="26" w:name="_Ref384032658"/>
      <w:r w:rsidR="003459E6">
        <w:rPr>
          <w:rFonts w:ascii="Arial" w:hAnsi="Arial" w:cs="Arial"/>
          <w:sz w:val="22"/>
          <w:szCs w:val="22"/>
        </w:rPr>
        <w:t>C</w:t>
      </w:r>
      <w:bookmarkStart w:id="27" w:name="_Ref384041923"/>
      <w:r w:rsidR="00343E24">
        <w:rPr>
          <w:rStyle w:val="EndnoteReference"/>
          <w:rFonts w:ascii="Arial" w:hAnsi="Arial" w:cs="Arial"/>
          <w:sz w:val="22"/>
          <w:szCs w:val="22"/>
        </w:rPr>
        <w:endnoteReference w:id="3"/>
      </w:r>
      <w:bookmarkEnd w:id="26"/>
      <w:bookmarkEnd w:id="27"/>
      <w:r w:rsidR="00343E24">
        <w:rPr>
          <w:rFonts w:ascii="Arial" w:hAnsi="Arial" w:cs="Arial"/>
          <w:sz w:val="22"/>
          <w:szCs w:val="22"/>
        </w:rPr>
        <w:t xml:space="preserve"> for a complete list of DEER costs.</w:t>
      </w:r>
    </w:p>
    <w:p w:rsidR="002C3770" w:rsidRDefault="002C3770" w:rsidP="002C3770">
      <w:pPr>
        <w:rPr>
          <w:rFonts w:ascii="Arial" w:hAnsi="Arial" w:cs="Arial"/>
          <w:sz w:val="22"/>
          <w:szCs w:val="22"/>
        </w:rPr>
      </w:pPr>
    </w:p>
    <w:tbl>
      <w:tblPr>
        <w:tblW w:w="865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1098"/>
        <w:gridCol w:w="1080"/>
        <w:gridCol w:w="1080"/>
        <w:gridCol w:w="900"/>
        <w:gridCol w:w="1170"/>
        <w:gridCol w:w="900"/>
        <w:gridCol w:w="1332"/>
      </w:tblGrid>
      <w:tr w:rsidR="00D67F2C" w:rsidRPr="00D75084" w:rsidTr="00D67F2C">
        <w:trPr>
          <w:jc w:val="center"/>
        </w:trPr>
        <w:tc>
          <w:tcPr>
            <w:tcW w:w="1098" w:type="dxa"/>
          </w:tcPr>
          <w:p w:rsidR="00D67F2C" w:rsidRPr="00C86848" w:rsidRDefault="00D67F2C" w:rsidP="002C3770">
            <w:pPr>
              <w:keepNext/>
              <w:jc w:val="center"/>
              <w:rPr>
                <w:rFonts w:ascii="Arial" w:hAnsi="Arial" w:cs="Arial"/>
                <w:b/>
                <w:sz w:val="18"/>
                <w:szCs w:val="18"/>
              </w:rPr>
            </w:pPr>
          </w:p>
        </w:tc>
        <w:tc>
          <w:tcPr>
            <w:tcW w:w="1098" w:type="dxa"/>
          </w:tcPr>
          <w:p w:rsidR="00D67F2C" w:rsidRPr="00C86848" w:rsidRDefault="00D67F2C" w:rsidP="002C3770">
            <w:pPr>
              <w:keepNext/>
              <w:jc w:val="center"/>
              <w:rPr>
                <w:rFonts w:ascii="Arial" w:hAnsi="Arial" w:cs="Arial"/>
                <w:b/>
                <w:sz w:val="18"/>
                <w:szCs w:val="18"/>
              </w:rPr>
            </w:pPr>
          </w:p>
        </w:tc>
        <w:tc>
          <w:tcPr>
            <w:tcW w:w="1080" w:type="dxa"/>
          </w:tcPr>
          <w:p w:rsidR="00D67F2C" w:rsidRPr="00C86848" w:rsidRDefault="00D67F2C" w:rsidP="002C3770">
            <w:pPr>
              <w:keepNext/>
              <w:jc w:val="center"/>
              <w:rPr>
                <w:rFonts w:ascii="Arial" w:hAnsi="Arial" w:cs="Arial"/>
                <w:b/>
                <w:sz w:val="18"/>
                <w:szCs w:val="18"/>
              </w:rPr>
            </w:pPr>
          </w:p>
        </w:tc>
        <w:tc>
          <w:tcPr>
            <w:tcW w:w="1080" w:type="dxa"/>
          </w:tcPr>
          <w:p w:rsidR="00D67F2C" w:rsidRPr="00C86848" w:rsidRDefault="00D67F2C" w:rsidP="002C3770">
            <w:pPr>
              <w:keepNext/>
              <w:jc w:val="center"/>
              <w:rPr>
                <w:rFonts w:ascii="Arial" w:hAnsi="Arial" w:cs="Arial"/>
                <w:b/>
                <w:sz w:val="18"/>
                <w:szCs w:val="18"/>
              </w:rPr>
            </w:pPr>
          </w:p>
        </w:tc>
        <w:tc>
          <w:tcPr>
            <w:tcW w:w="2970" w:type="dxa"/>
            <w:gridSpan w:val="3"/>
          </w:tcPr>
          <w:p w:rsidR="00D67F2C" w:rsidRPr="00D75084" w:rsidRDefault="00D67F2C" w:rsidP="002C3770">
            <w:pPr>
              <w:keepNext/>
              <w:jc w:val="center"/>
              <w:rPr>
                <w:rFonts w:ascii="Arial" w:hAnsi="Arial" w:cs="Arial"/>
                <w:b/>
                <w:sz w:val="18"/>
                <w:szCs w:val="18"/>
              </w:rPr>
            </w:pPr>
            <w:r w:rsidRPr="00D75084">
              <w:rPr>
                <w:rFonts w:ascii="Arial" w:hAnsi="Arial" w:cs="Arial"/>
                <w:b/>
                <w:sz w:val="18"/>
                <w:szCs w:val="18"/>
              </w:rPr>
              <w:t>Costs ($)</w:t>
            </w:r>
          </w:p>
        </w:tc>
        <w:tc>
          <w:tcPr>
            <w:tcW w:w="1332" w:type="dxa"/>
          </w:tcPr>
          <w:p w:rsidR="00D67F2C" w:rsidRPr="00D75084" w:rsidRDefault="00D67F2C" w:rsidP="002C3770">
            <w:pPr>
              <w:keepNext/>
              <w:jc w:val="center"/>
              <w:rPr>
                <w:rFonts w:ascii="Arial" w:hAnsi="Arial" w:cs="Arial"/>
                <w:b/>
                <w:sz w:val="18"/>
                <w:szCs w:val="18"/>
              </w:rPr>
            </w:pPr>
          </w:p>
        </w:tc>
      </w:tr>
      <w:tr w:rsidR="00D67F2C" w:rsidRPr="00D75084" w:rsidTr="00D67F2C">
        <w:trPr>
          <w:jc w:val="center"/>
        </w:trPr>
        <w:tc>
          <w:tcPr>
            <w:tcW w:w="1098" w:type="dxa"/>
          </w:tcPr>
          <w:p w:rsidR="00D67F2C" w:rsidRPr="00D75084" w:rsidRDefault="00D67F2C" w:rsidP="00D36019">
            <w:pPr>
              <w:keepNext/>
              <w:jc w:val="center"/>
              <w:rPr>
                <w:rFonts w:ascii="Arial" w:hAnsi="Arial" w:cs="Arial"/>
                <w:b/>
                <w:sz w:val="18"/>
                <w:szCs w:val="18"/>
              </w:rPr>
            </w:pPr>
            <w:r>
              <w:rPr>
                <w:rFonts w:ascii="Arial" w:hAnsi="Arial" w:cs="Arial"/>
                <w:b/>
                <w:sz w:val="18"/>
                <w:szCs w:val="18"/>
              </w:rPr>
              <w:t>Measure Code</w:t>
            </w:r>
          </w:p>
        </w:tc>
        <w:tc>
          <w:tcPr>
            <w:tcW w:w="1098" w:type="dxa"/>
            <w:shd w:val="clear" w:color="auto" w:fill="auto"/>
            <w:vAlign w:val="center"/>
          </w:tcPr>
          <w:p w:rsidR="00D67F2C" w:rsidRPr="00D75084" w:rsidRDefault="00D67F2C" w:rsidP="002C3770">
            <w:pPr>
              <w:keepNext/>
              <w:jc w:val="center"/>
              <w:rPr>
                <w:rFonts w:ascii="Arial" w:hAnsi="Arial" w:cs="Arial"/>
                <w:b/>
                <w:sz w:val="18"/>
                <w:szCs w:val="18"/>
              </w:rPr>
            </w:pPr>
            <w:r w:rsidRPr="00D75084">
              <w:rPr>
                <w:rFonts w:ascii="Arial" w:hAnsi="Arial" w:cs="Arial"/>
                <w:b/>
                <w:sz w:val="18"/>
                <w:szCs w:val="18"/>
              </w:rPr>
              <w:t>Building type</w:t>
            </w:r>
          </w:p>
        </w:tc>
        <w:tc>
          <w:tcPr>
            <w:tcW w:w="1080" w:type="dxa"/>
            <w:shd w:val="clear" w:color="auto" w:fill="auto"/>
            <w:vAlign w:val="center"/>
          </w:tcPr>
          <w:p w:rsidR="00D67F2C" w:rsidRPr="00D75084" w:rsidRDefault="00D67F2C" w:rsidP="002C3770">
            <w:pPr>
              <w:keepNext/>
              <w:jc w:val="center"/>
              <w:rPr>
                <w:rFonts w:ascii="Arial" w:hAnsi="Arial" w:cs="Arial"/>
                <w:b/>
                <w:sz w:val="18"/>
                <w:szCs w:val="18"/>
              </w:rPr>
            </w:pPr>
            <w:r w:rsidRPr="00D75084">
              <w:rPr>
                <w:rFonts w:ascii="Arial" w:hAnsi="Arial" w:cs="Arial"/>
                <w:b/>
                <w:sz w:val="18"/>
                <w:szCs w:val="18"/>
              </w:rPr>
              <w:t>Bldg Vintage</w:t>
            </w:r>
          </w:p>
        </w:tc>
        <w:tc>
          <w:tcPr>
            <w:tcW w:w="1080" w:type="dxa"/>
            <w:shd w:val="clear" w:color="auto" w:fill="auto"/>
            <w:vAlign w:val="center"/>
          </w:tcPr>
          <w:p w:rsidR="00D67F2C" w:rsidRPr="00D75084" w:rsidRDefault="00D67F2C" w:rsidP="002C3770">
            <w:pPr>
              <w:keepNext/>
              <w:jc w:val="center"/>
              <w:rPr>
                <w:rFonts w:ascii="Arial" w:hAnsi="Arial" w:cs="Arial"/>
                <w:b/>
                <w:sz w:val="18"/>
                <w:szCs w:val="18"/>
              </w:rPr>
            </w:pPr>
            <w:r w:rsidRPr="00D75084">
              <w:rPr>
                <w:rFonts w:ascii="Arial" w:hAnsi="Arial" w:cs="Arial"/>
                <w:b/>
                <w:sz w:val="18"/>
                <w:szCs w:val="18"/>
              </w:rPr>
              <w:t>Climate Zone</w:t>
            </w:r>
          </w:p>
        </w:tc>
        <w:tc>
          <w:tcPr>
            <w:tcW w:w="900" w:type="dxa"/>
            <w:shd w:val="clear" w:color="auto" w:fill="auto"/>
            <w:vAlign w:val="center"/>
          </w:tcPr>
          <w:p w:rsidR="00D67F2C" w:rsidRPr="00D75084" w:rsidRDefault="00D67F2C" w:rsidP="002C3770">
            <w:pPr>
              <w:keepNext/>
              <w:jc w:val="center"/>
              <w:rPr>
                <w:rFonts w:ascii="Arial" w:hAnsi="Arial" w:cs="Arial"/>
                <w:b/>
                <w:sz w:val="18"/>
                <w:szCs w:val="18"/>
              </w:rPr>
            </w:pPr>
            <w:r w:rsidRPr="00D75084">
              <w:rPr>
                <w:rFonts w:ascii="Arial" w:hAnsi="Arial" w:cs="Arial"/>
                <w:b/>
                <w:sz w:val="18"/>
                <w:szCs w:val="18"/>
              </w:rPr>
              <w:t>Base Case</w:t>
            </w:r>
          </w:p>
        </w:tc>
        <w:tc>
          <w:tcPr>
            <w:tcW w:w="1170" w:type="dxa"/>
            <w:shd w:val="clear" w:color="auto" w:fill="auto"/>
            <w:vAlign w:val="center"/>
          </w:tcPr>
          <w:p w:rsidR="00D67F2C" w:rsidRPr="00D75084" w:rsidRDefault="00D67F2C" w:rsidP="002C3770">
            <w:pPr>
              <w:keepNext/>
              <w:jc w:val="center"/>
              <w:rPr>
                <w:rFonts w:ascii="Arial" w:hAnsi="Arial" w:cs="Arial"/>
                <w:b/>
                <w:sz w:val="18"/>
                <w:szCs w:val="18"/>
              </w:rPr>
            </w:pPr>
            <w:r w:rsidRPr="00D75084">
              <w:rPr>
                <w:rFonts w:ascii="Arial" w:hAnsi="Arial" w:cs="Arial"/>
                <w:b/>
                <w:sz w:val="18"/>
                <w:szCs w:val="18"/>
              </w:rPr>
              <w:t>Measure Case</w:t>
            </w:r>
          </w:p>
        </w:tc>
        <w:tc>
          <w:tcPr>
            <w:tcW w:w="900" w:type="dxa"/>
            <w:shd w:val="clear" w:color="auto" w:fill="auto"/>
            <w:vAlign w:val="center"/>
          </w:tcPr>
          <w:p w:rsidR="00D67F2C" w:rsidRPr="00D75084" w:rsidRDefault="00D67F2C" w:rsidP="002C3770">
            <w:pPr>
              <w:keepNext/>
              <w:jc w:val="center"/>
              <w:rPr>
                <w:rFonts w:ascii="Arial" w:hAnsi="Arial" w:cs="Arial"/>
                <w:b/>
                <w:sz w:val="18"/>
                <w:szCs w:val="18"/>
              </w:rPr>
            </w:pPr>
            <w:r w:rsidRPr="00D75084">
              <w:rPr>
                <w:rFonts w:ascii="Arial" w:hAnsi="Arial" w:cs="Arial"/>
                <w:b/>
                <w:sz w:val="18"/>
                <w:szCs w:val="18"/>
              </w:rPr>
              <w:t>IMC</w:t>
            </w:r>
          </w:p>
        </w:tc>
        <w:tc>
          <w:tcPr>
            <w:tcW w:w="1332" w:type="dxa"/>
            <w:shd w:val="clear" w:color="auto" w:fill="auto"/>
            <w:vAlign w:val="center"/>
          </w:tcPr>
          <w:p w:rsidR="00D67F2C" w:rsidRPr="00D75084" w:rsidRDefault="00D67F2C" w:rsidP="002C3770">
            <w:pPr>
              <w:keepNext/>
              <w:jc w:val="center"/>
              <w:rPr>
                <w:rFonts w:ascii="Arial" w:hAnsi="Arial" w:cs="Arial"/>
                <w:b/>
                <w:sz w:val="18"/>
                <w:szCs w:val="18"/>
              </w:rPr>
            </w:pPr>
            <w:r w:rsidRPr="00D75084">
              <w:rPr>
                <w:rFonts w:ascii="Arial" w:hAnsi="Arial" w:cs="Arial"/>
                <w:b/>
                <w:sz w:val="18"/>
                <w:szCs w:val="18"/>
              </w:rPr>
              <w:t>DEER Version</w:t>
            </w:r>
          </w:p>
        </w:tc>
      </w:tr>
      <w:tr w:rsidR="00D67F2C" w:rsidRPr="00D75084" w:rsidTr="00D67F2C">
        <w:trPr>
          <w:jc w:val="center"/>
        </w:trPr>
        <w:tc>
          <w:tcPr>
            <w:tcW w:w="1098" w:type="dxa"/>
          </w:tcPr>
          <w:p w:rsidR="00D67F2C" w:rsidRPr="00D75084" w:rsidRDefault="00D67F2C" w:rsidP="00343E24">
            <w:pPr>
              <w:jc w:val="center"/>
              <w:rPr>
                <w:rFonts w:ascii="Arial" w:hAnsi="Arial" w:cs="Arial"/>
                <w:sz w:val="18"/>
                <w:szCs w:val="18"/>
              </w:rPr>
            </w:pPr>
            <w:r>
              <w:rPr>
                <w:rFonts w:ascii="Arial" w:hAnsi="Arial" w:cs="Arial"/>
                <w:sz w:val="18"/>
                <w:szCs w:val="18"/>
              </w:rPr>
              <w:t>H11</w:t>
            </w:r>
          </w:p>
        </w:tc>
        <w:tc>
          <w:tcPr>
            <w:tcW w:w="1098" w:type="dxa"/>
            <w:shd w:val="clear" w:color="auto" w:fill="auto"/>
            <w:vAlign w:val="center"/>
          </w:tcPr>
          <w:p w:rsidR="00D67F2C" w:rsidRPr="00D75084" w:rsidRDefault="00D67F2C" w:rsidP="00343E24">
            <w:pPr>
              <w:jc w:val="center"/>
              <w:rPr>
                <w:rFonts w:ascii="Arial" w:hAnsi="Arial" w:cs="Arial"/>
                <w:sz w:val="18"/>
                <w:szCs w:val="18"/>
              </w:rPr>
            </w:pPr>
            <w:r w:rsidRPr="00D75084">
              <w:rPr>
                <w:rFonts w:ascii="Arial" w:hAnsi="Arial" w:cs="Arial"/>
                <w:sz w:val="18"/>
                <w:szCs w:val="18"/>
              </w:rPr>
              <w:t>ANY</w:t>
            </w:r>
          </w:p>
        </w:tc>
        <w:tc>
          <w:tcPr>
            <w:tcW w:w="1080" w:type="dxa"/>
            <w:shd w:val="clear" w:color="auto" w:fill="auto"/>
            <w:vAlign w:val="center"/>
          </w:tcPr>
          <w:p w:rsidR="00D67F2C" w:rsidRPr="00D75084" w:rsidRDefault="00D67F2C" w:rsidP="00343E24">
            <w:pPr>
              <w:jc w:val="center"/>
              <w:rPr>
                <w:rFonts w:ascii="Arial" w:hAnsi="Arial" w:cs="Arial"/>
                <w:sz w:val="18"/>
                <w:szCs w:val="18"/>
              </w:rPr>
            </w:pPr>
            <w:r w:rsidRPr="00D75084">
              <w:rPr>
                <w:rFonts w:ascii="Arial" w:hAnsi="Arial" w:cs="Arial"/>
                <w:sz w:val="18"/>
                <w:szCs w:val="18"/>
              </w:rPr>
              <w:t>EX</w:t>
            </w:r>
          </w:p>
        </w:tc>
        <w:tc>
          <w:tcPr>
            <w:tcW w:w="1080" w:type="dxa"/>
            <w:shd w:val="clear" w:color="auto" w:fill="auto"/>
            <w:vAlign w:val="center"/>
          </w:tcPr>
          <w:p w:rsidR="00D67F2C" w:rsidRPr="00D75084" w:rsidRDefault="00D67F2C" w:rsidP="00343E24">
            <w:pPr>
              <w:jc w:val="center"/>
              <w:rPr>
                <w:rFonts w:ascii="Arial" w:hAnsi="Arial" w:cs="Arial"/>
                <w:sz w:val="20"/>
                <w:szCs w:val="20"/>
              </w:rPr>
            </w:pPr>
            <w:r w:rsidRPr="00D75084">
              <w:rPr>
                <w:rFonts w:ascii="Arial" w:hAnsi="Arial" w:cs="Arial"/>
                <w:sz w:val="20"/>
                <w:szCs w:val="20"/>
              </w:rPr>
              <w:t>CZ01</w:t>
            </w:r>
          </w:p>
        </w:tc>
        <w:tc>
          <w:tcPr>
            <w:tcW w:w="900" w:type="dxa"/>
            <w:shd w:val="clear" w:color="auto" w:fill="auto"/>
            <w:vAlign w:val="bottom"/>
          </w:tcPr>
          <w:p w:rsidR="00D67F2C" w:rsidRDefault="00D67F2C">
            <w:pPr>
              <w:jc w:val="center"/>
              <w:rPr>
                <w:rFonts w:ascii="Arial" w:hAnsi="Arial" w:cs="Arial"/>
                <w:sz w:val="20"/>
                <w:szCs w:val="20"/>
              </w:rPr>
            </w:pPr>
            <w:r>
              <w:rPr>
                <w:rFonts w:ascii="Arial" w:hAnsi="Arial" w:cs="Arial"/>
                <w:sz w:val="20"/>
                <w:szCs w:val="20"/>
              </w:rPr>
              <w:t xml:space="preserve"> $8.54 </w:t>
            </w:r>
          </w:p>
        </w:tc>
        <w:tc>
          <w:tcPr>
            <w:tcW w:w="1170" w:type="dxa"/>
            <w:shd w:val="clear" w:color="auto" w:fill="auto"/>
            <w:vAlign w:val="bottom"/>
          </w:tcPr>
          <w:p w:rsidR="00D67F2C" w:rsidRDefault="00D67F2C" w:rsidP="00D67F2C">
            <w:pPr>
              <w:jc w:val="center"/>
              <w:rPr>
                <w:rFonts w:ascii="Arial" w:hAnsi="Arial" w:cs="Arial"/>
                <w:sz w:val="20"/>
                <w:szCs w:val="20"/>
              </w:rPr>
            </w:pPr>
            <w:r>
              <w:rPr>
                <w:rFonts w:ascii="Arial" w:hAnsi="Arial" w:cs="Arial"/>
                <w:sz w:val="20"/>
                <w:szCs w:val="20"/>
              </w:rPr>
              <w:t xml:space="preserve"> $10.07</w:t>
            </w:r>
          </w:p>
        </w:tc>
        <w:tc>
          <w:tcPr>
            <w:tcW w:w="900" w:type="dxa"/>
            <w:shd w:val="clear" w:color="auto" w:fill="auto"/>
            <w:vAlign w:val="bottom"/>
          </w:tcPr>
          <w:p w:rsidR="00D67F2C" w:rsidRDefault="00D67F2C">
            <w:pPr>
              <w:jc w:val="center"/>
              <w:rPr>
                <w:rFonts w:ascii="Arial" w:hAnsi="Arial" w:cs="Arial"/>
                <w:sz w:val="20"/>
                <w:szCs w:val="20"/>
              </w:rPr>
            </w:pPr>
            <w:r>
              <w:rPr>
                <w:rFonts w:ascii="Arial" w:hAnsi="Arial" w:cs="Arial"/>
                <w:sz w:val="20"/>
                <w:szCs w:val="20"/>
              </w:rPr>
              <w:t xml:space="preserve"> $1.52 </w:t>
            </w:r>
          </w:p>
        </w:tc>
        <w:tc>
          <w:tcPr>
            <w:tcW w:w="1332" w:type="dxa"/>
            <w:shd w:val="clear" w:color="auto" w:fill="auto"/>
            <w:vAlign w:val="center"/>
          </w:tcPr>
          <w:p w:rsidR="00D67F2C" w:rsidRPr="00D75084" w:rsidRDefault="00D67F2C" w:rsidP="00D36019">
            <w:pPr>
              <w:jc w:val="center"/>
              <w:rPr>
                <w:rFonts w:ascii="Arial" w:hAnsi="Arial" w:cs="Arial"/>
                <w:sz w:val="20"/>
                <w:szCs w:val="20"/>
              </w:rPr>
            </w:pPr>
            <w:r w:rsidRPr="00D75084">
              <w:rPr>
                <w:rFonts w:ascii="Arial" w:hAnsi="Arial" w:cs="Arial"/>
                <w:sz w:val="20"/>
                <w:szCs w:val="20"/>
              </w:rPr>
              <w:t>DEER 20</w:t>
            </w:r>
            <w:r>
              <w:rPr>
                <w:rFonts w:ascii="Arial" w:hAnsi="Arial" w:cs="Arial"/>
                <w:sz w:val="20"/>
                <w:szCs w:val="20"/>
              </w:rPr>
              <w:t>08</w:t>
            </w:r>
          </w:p>
        </w:tc>
      </w:tr>
      <w:tr w:rsidR="00D67F2C" w:rsidRPr="00D75084" w:rsidTr="00D67F2C">
        <w:trPr>
          <w:jc w:val="center"/>
        </w:trPr>
        <w:tc>
          <w:tcPr>
            <w:tcW w:w="1098" w:type="dxa"/>
          </w:tcPr>
          <w:p w:rsidR="00D67F2C" w:rsidRPr="00D75084" w:rsidRDefault="00D67F2C" w:rsidP="00343E24">
            <w:pPr>
              <w:jc w:val="center"/>
              <w:rPr>
                <w:rFonts w:ascii="Arial" w:hAnsi="Arial" w:cs="Arial"/>
                <w:sz w:val="18"/>
                <w:szCs w:val="18"/>
              </w:rPr>
            </w:pPr>
            <w:r>
              <w:rPr>
                <w:rFonts w:ascii="Arial" w:hAnsi="Arial" w:cs="Arial"/>
                <w:sz w:val="18"/>
                <w:szCs w:val="18"/>
              </w:rPr>
              <w:t>H11</w:t>
            </w:r>
          </w:p>
        </w:tc>
        <w:tc>
          <w:tcPr>
            <w:tcW w:w="1098" w:type="dxa"/>
            <w:shd w:val="clear" w:color="auto" w:fill="auto"/>
            <w:vAlign w:val="center"/>
          </w:tcPr>
          <w:p w:rsidR="00D67F2C" w:rsidRPr="00D75084" w:rsidRDefault="00D67F2C" w:rsidP="00343E24">
            <w:pPr>
              <w:jc w:val="center"/>
              <w:rPr>
                <w:rFonts w:ascii="Arial" w:hAnsi="Arial" w:cs="Arial"/>
                <w:sz w:val="18"/>
                <w:szCs w:val="18"/>
              </w:rPr>
            </w:pPr>
            <w:r w:rsidRPr="00D75084">
              <w:rPr>
                <w:rFonts w:ascii="Arial" w:hAnsi="Arial" w:cs="Arial"/>
                <w:sz w:val="18"/>
                <w:szCs w:val="18"/>
              </w:rPr>
              <w:t>ANY</w:t>
            </w:r>
          </w:p>
        </w:tc>
        <w:tc>
          <w:tcPr>
            <w:tcW w:w="1080" w:type="dxa"/>
            <w:shd w:val="clear" w:color="auto" w:fill="auto"/>
            <w:vAlign w:val="center"/>
          </w:tcPr>
          <w:p w:rsidR="00D67F2C" w:rsidRPr="00D75084" w:rsidRDefault="00D67F2C" w:rsidP="00343E24">
            <w:pPr>
              <w:jc w:val="center"/>
              <w:rPr>
                <w:rFonts w:ascii="Arial" w:hAnsi="Arial" w:cs="Arial"/>
                <w:sz w:val="18"/>
                <w:szCs w:val="18"/>
              </w:rPr>
            </w:pPr>
            <w:r w:rsidRPr="00D75084">
              <w:rPr>
                <w:rFonts w:ascii="Arial" w:hAnsi="Arial" w:cs="Arial"/>
                <w:sz w:val="18"/>
                <w:szCs w:val="18"/>
              </w:rPr>
              <w:t>EX</w:t>
            </w:r>
          </w:p>
        </w:tc>
        <w:tc>
          <w:tcPr>
            <w:tcW w:w="1080" w:type="dxa"/>
            <w:shd w:val="clear" w:color="auto" w:fill="auto"/>
            <w:vAlign w:val="center"/>
          </w:tcPr>
          <w:p w:rsidR="00D67F2C" w:rsidRPr="00D75084" w:rsidRDefault="00D67F2C" w:rsidP="00343E24">
            <w:pPr>
              <w:jc w:val="center"/>
              <w:rPr>
                <w:rFonts w:ascii="Arial" w:hAnsi="Arial" w:cs="Arial"/>
                <w:sz w:val="20"/>
                <w:szCs w:val="20"/>
              </w:rPr>
            </w:pPr>
            <w:r w:rsidRPr="00D75084">
              <w:rPr>
                <w:rFonts w:ascii="Arial" w:hAnsi="Arial" w:cs="Arial"/>
                <w:sz w:val="20"/>
                <w:szCs w:val="20"/>
              </w:rPr>
              <w:t>CZ02</w:t>
            </w:r>
          </w:p>
        </w:tc>
        <w:tc>
          <w:tcPr>
            <w:tcW w:w="900" w:type="dxa"/>
            <w:shd w:val="clear" w:color="auto" w:fill="auto"/>
            <w:vAlign w:val="bottom"/>
          </w:tcPr>
          <w:p w:rsidR="00D67F2C" w:rsidRDefault="00D67F2C">
            <w:pPr>
              <w:jc w:val="center"/>
              <w:rPr>
                <w:rFonts w:ascii="Arial" w:hAnsi="Arial" w:cs="Arial"/>
                <w:sz w:val="20"/>
                <w:szCs w:val="20"/>
              </w:rPr>
            </w:pPr>
            <w:r>
              <w:rPr>
                <w:rFonts w:ascii="Arial" w:hAnsi="Arial" w:cs="Arial"/>
                <w:sz w:val="20"/>
                <w:szCs w:val="20"/>
              </w:rPr>
              <w:t xml:space="preserve"> $8.11 </w:t>
            </w:r>
          </w:p>
        </w:tc>
        <w:tc>
          <w:tcPr>
            <w:tcW w:w="1170" w:type="dxa"/>
            <w:shd w:val="clear" w:color="auto" w:fill="auto"/>
            <w:vAlign w:val="bottom"/>
          </w:tcPr>
          <w:p w:rsidR="00D67F2C" w:rsidRDefault="00D67F2C" w:rsidP="00D67F2C">
            <w:pPr>
              <w:jc w:val="center"/>
              <w:rPr>
                <w:rFonts w:ascii="Arial" w:hAnsi="Arial" w:cs="Arial"/>
                <w:sz w:val="20"/>
                <w:szCs w:val="20"/>
              </w:rPr>
            </w:pPr>
            <w:r>
              <w:rPr>
                <w:rFonts w:ascii="Arial" w:hAnsi="Arial" w:cs="Arial"/>
                <w:sz w:val="20"/>
                <w:szCs w:val="20"/>
              </w:rPr>
              <w:t xml:space="preserve"> $9.56 </w:t>
            </w:r>
          </w:p>
        </w:tc>
        <w:tc>
          <w:tcPr>
            <w:tcW w:w="900" w:type="dxa"/>
            <w:shd w:val="clear" w:color="auto" w:fill="auto"/>
            <w:vAlign w:val="bottom"/>
          </w:tcPr>
          <w:p w:rsidR="00D67F2C" w:rsidRDefault="00D67F2C">
            <w:pPr>
              <w:jc w:val="center"/>
              <w:rPr>
                <w:rFonts w:ascii="Arial" w:hAnsi="Arial" w:cs="Arial"/>
                <w:sz w:val="20"/>
                <w:szCs w:val="20"/>
              </w:rPr>
            </w:pPr>
            <w:r>
              <w:rPr>
                <w:rFonts w:ascii="Arial" w:hAnsi="Arial" w:cs="Arial"/>
                <w:sz w:val="20"/>
                <w:szCs w:val="20"/>
              </w:rPr>
              <w:t xml:space="preserve"> $1.45 </w:t>
            </w:r>
          </w:p>
        </w:tc>
        <w:tc>
          <w:tcPr>
            <w:tcW w:w="1332" w:type="dxa"/>
            <w:shd w:val="clear" w:color="auto" w:fill="auto"/>
            <w:vAlign w:val="center"/>
          </w:tcPr>
          <w:p w:rsidR="00D67F2C" w:rsidRPr="00D75084" w:rsidRDefault="00D67F2C" w:rsidP="00D67F2C">
            <w:pPr>
              <w:jc w:val="center"/>
              <w:rPr>
                <w:rFonts w:ascii="Arial" w:hAnsi="Arial" w:cs="Arial"/>
                <w:sz w:val="20"/>
                <w:szCs w:val="20"/>
              </w:rPr>
            </w:pPr>
            <w:r>
              <w:rPr>
                <w:rFonts w:ascii="Arial" w:hAnsi="Arial" w:cs="Arial"/>
                <w:sz w:val="20"/>
                <w:szCs w:val="20"/>
              </w:rPr>
              <w:t>DEER 2008</w:t>
            </w:r>
          </w:p>
        </w:tc>
      </w:tr>
      <w:tr w:rsidR="00D67F2C" w:rsidRPr="00D75084" w:rsidTr="00D67F2C">
        <w:trPr>
          <w:jc w:val="center"/>
        </w:trPr>
        <w:tc>
          <w:tcPr>
            <w:tcW w:w="1098" w:type="dxa"/>
          </w:tcPr>
          <w:p w:rsidR="00D67F2C" w:rsidRPr="00D75084" w:rsidRDefault="00D67F2C" w:rsidP="00343E24">
            <w:pPr>
              <w:jc w:val="center"/>
              <w:rPr>
                <w:rFonts w:ascii="Arial" w:hAnsi="Arial" w:cs="Arial"/>
                <w:sz w:val="18"/>
                <w:szCs w:val="18"/>
              </w:rPr>
            </w:pPr>
            <w:r>
              <w:rPr>
                <w:rFonts w:ascii="Arial" w:hAnsi="Arial" w:cs="Arial"/>
                <w:sz w:val="18"/>
                <w:szCs w:val="18"/>
              </w:rPr>
              <w:t>H11</w:t>
            </w:r>
          </w:p>
        </w:tc>
        <w:tc>
          <w:tcPr>
            <w:tcW w:w="1098" w:type="dxa"/>
            <w:shd w:val="clear" w:color="auto" w:fill="auto"/>
            <w:vAlign w:val="center"/>
          </w:tcPr>
          <w:p w:rsidR="00D67F2C" w:rsidRPr="00D75084" w:rsidRDefault="00D67F2C" w:rsidP="00343E24">
            <w:pPr>
              <w:jc w:val="center"/>
              <w:rPr>
                <w:rFonts w:ascii="Arial" w:hAnsi="Arial" w:cs="Arial"/>
                <w:sz w:val="18"/>
                <w:szCs w:val="18"/>
              </w:rPr>
            </w:pPr>
            <w:r w:rsidRPr="00D75084">
              <w:rPr>
                <w:rFonts w:ascii="Arial" w:hAnsi="Arial" w:cs="Arial"/>
                <w:sz w:val="18"/>
                <w:szCs w:val="18"/>
              </w:rPr>
              <w:t>ANY</w:t>
            </w:r>
          </w:p>
        </w:tc>
        <w:tc>
          <w:tcPr>
            <w:tcW w:w="1080" w:type="dxa"/>
            <w:shd w:val="clear" w:color="auto" w:fill="auto"/>
            <w:vAlign w:val="center"/>
          </w:tcPr>
          <w:p w:rsidR="00D67F2C" w:rsidRPr="00D75084" w:rsidRDefault="00D67F2C" w:rsidP="00343E24">
            <w:pPr>
              <w:jc w:val="center"/>
              <w:rPr>
                <w:rFonts w:ascii="Arial" w:hAnsi="Arial" w:cs="Arial"/>
                <w:sz w:val="18"/>
                <w:szCs w:val="18"/>
              </w:rPr>
            </w:pPr>
            <w:r w:rsidRPr="00D75084">
              <w:rPr>
                <w:rFonts w:ascii="Arial" w:hAnsi="Arial" w:cs="Arial"/>
                <w:sz w:val="18"/>
                <w:szCs w:val="18"/>
              </w:rPr>
              <w:t>EX</w:t>
            </w:r>
          </w:p>
        </w:tc>
        <w:tc>
          <w:tcPr>
            <w:tcW w:w="1080" w:type="dxa"/>
            <w:shd w:val="clear" w:color="auto" w:fill="auto"/>
            <w:vAlign w:val="center"/>
          </w:tcPr>
          <w:p w:rsidR="00D67F2C" w:rsidRPr="00D75084" w:rsidRDefault="00D67F2C" w:rsidP="00343E24">
            <w:pPr>
              <w:jc w:val="center"/>
              <w:rPr>
                <w:rFonts w:ascii="Arial" w:hAnsi="Arial" w:cs="Arial"/>
                <w:sz w:val="20"/>
                <w:szCs w:val="20"/>
              </w:rPr>
            </w:pPr>
            <w:r w:rsidRPr="00D75084">
              <w:rPr>
                <w:rFonts w:ascii="Arial" w:hAnsi="Arial" w:cs="Arial"/>
                <w:sz w:val="20"/>
                <w:szCs w:val="20"/>
              </w:rPr>
              <w:t>CZ03</w:t>
            </w:r>
          </w:p>
        </w:tc>
        <w:tc>
          <w:tcPr>
            <w:tcW w:w="900" w:type="dxa"/>
            <w:shd w:val="clear" w:color="auto" w:fill="auto"/>
            <w:vAlign w:val="bottom"/>
          </w:tcPr>
          <w:p w:rsidR="00D67F2C" w:rsidRDefault="00D67F2C">
            <w:pPr>
              <w:jc w:val="center"/>
              <w:rPr>
                <w:rFonts w:ascii="Arial" w:hAnsi="Arial" w:cs="Arial"/>
                <w:sz w:val="20"/>
                <w:szCs w:val="20"/>
              </w:rPr>
            </w:pPr>
            <w:r>
              <w:rPr>
                <w:rFonts w:ascii="Arial" w:hAnsi="Arial" w:cs="Arial"/>
                <w:sz w:val="20"/>
                <w:szCs w:val="20"/>
              </w:rPr>
              <w:t xml:space="preserve"> $8.87 </w:t>
            </w:r>
          </w:p>
        </w:tc>
        <w:tc>
          <w:tcPr>
            <w:tcW w:w="1170" w:type="dxa"/>
            <w:shd w:val="clear" w:color="auto" w:fill="auto"/>
            <w:vAlign w:val="bottom"/>
          </w:tcPr>
          <w:p w:rsidR="00D67F2C" w:rsidRDefault="00D67F2C">
            <w:pPr>
              <w:jc w:val="center"/>
              <w:rPr>
                <w:rFonts w:ascii="Arial" w:hAnsi="Arial" w:cs="Arial"/>
                <w:sz w:val="20"/>
                <w:szCs w:val="20"/>
              </w:rPr>
            </w:pPr>
            <w:r>
              <w:rPr>
                <w:rFonts w:ascii="Arial" w:hAnsi="Arial" w:cs="Arial"/>
                <w:sz w:val="20"/>
                <w:szCs w:val="20"/>
              </w:rPr>
              <w:t xml:space="preserve"> $10.45 </w:t>
            </w:r>
          </w:p>
        </w:tc>
        <w:tc>
          <w:tcPr>
            <w:tcW w:w="900" w:type="dxa"/>
            <w:shd w:val="clear" w:color="auto" w:fill="auto"/>
            <w:vAlign w:val="bottom"/>
          </w:tcPr>
          <w:p w:rsidR="00D67F2C" w:rsidRDefault="00D67F2C">
            <w:pPr>
              <w:jc w:val="center"/>
              <w:rPr>
                <w:rFonts w:ascii="Arial" w:hAnsi="Arial" w:cs="Arial"/>
                <w:sz w:val="20"/>
                <w:szCs w:val="20"/>
              </w:rPr>
            </w:pPr>
            <w:r>
              <w:rPr>
                <w:rFonts w:ascii="Arial" w:hAnsi="Arial" w:cs="Arial"/>
                <w:sz w:val="20"/>
                <w:szCs w:val="20"/>
              </w:rPr>
              <w:t xml:space="preserve"> $1.58 </w:t>
            </w:r>
          </w:p>
        </w:tc>
        <w:tc>
          <w:tcPr>
            <w:tcW w:w="1332" w:type="dxa"/>
            <w:shd w:val="clear" w:color="auto" w:fill="auto"/>
            <w:vAlign w:val="center"/>
          </w:tcPr>
          <w:p w:rsidR="00D67F2C" w:rsidRPr="00D75084" w:rsidRDefault="00D67F2C" w:rsidP="00403978">
            <w:pPr>
              <w:jc w:val="center"/>
              <w:rPr>
                <w:rFonts w:ascii="Arial" w:hAnsi="Arial" w:cs="Arial"/>
                <w:sz w:val="20"/>
                <w:szCs w:val="20"/>
              </w:rPr>
            </w:pPr>
            <w:r w:rsidRPr="00D75084">
              <w:rPr>
                <w:rFonts w:ascii="Arial" w:hAnsi="Arial" w:cs="Arial"/>
                <w:sz w:val="20"/>
                <w:szCs w:val="20"/>
              </w:rPr>
              <w:t>DEER 20</w:t>
            </w:r>
            <w:r>
              <w:rPr>
                <w:rFonts w:ascii="Arial" w:hAnsi="Arial" w:cs="Arial"/>
                <w:sz w:val="20"/>
                <w:szCs w:val="20"/>
              </w:rPr>
              <w:t>08</w:t>
            </w:r>
          </w:p>
        </w:tc>
      </w:tr>
      <w:tr w:rsidR="00D67F2C" w:rsidRPr="0015447E" w:rsidTr="00D67F2C">
        <w:trPr>
          <w:jc w:val="center"/>
        </w:trPr>
        <w:tc>
          <w:tcPr>
            <w:tcW w:w="1098" w:type="dxa"/>
          </w:tcPr>
          <w:p w:rsidR="00D67F2C" w:rsidRPr="00D75084" w:rsidRDefault="00D67F2C" w:rsidP="00343E24">
            <w:pPr>
              <w:jc w:val="center"/>
              <w:rPr>
                <w:rFonts w:ascii="Arial" w:hAnsi="Arial" w:cs="Arial"/>
                <w:sz w:val="18"/>
                <w:szCs w:val="18"/>
              </w:rPr>
            </w:pPr>
            <w:r>
              <w:rPr>
                <w:rFonts w:ascii="Arial" w:hAnsi="Arial" w:cs="Arial"/>
                <w:sz w:val="18"/>
                <w:szCs w:val="18"/>
              </w:rPr>
              <w:t>H11</w:t>
            </w:r>
          </w:p>
        </w:tc>
        <w:tc>
          <w:tcPr>
            <w:tcW w:w="1098" w:type="dxa"/>
            <w:shd w:val="clear" w:color="auto" w:fill="auto"/>
            <w:vAlign w:val="center"/>
          </w:tcPr>
          <w:p w:rsidR="00D67F2C" w:rsidRPr="00D75084" w:rsidRDefault="00D67F2C" w:rsidP="00343E24">
            <w:pPr>
              <w:jc w:val="center"/>
              <w:rPr>
                <w:rFonts w:ascii="Arial" w:hAnsi="Arial" w:cs="Arial"/>
                <w:sz w:val="18"/>
                <w:szCs w:val="18"/>
              </w:rPr>
            </w:pPr>
            <w:r w:rsidRPr="00D75084">
              <w:rPr>
                <w:rFonts w:ascii="Arial" w:hAnsi="Arial" w:cs="Arial"/>
                <w:sz w:val="18"/>
                <w:szCs w:val="18"/>
              </w:rPr>
              <w:t>ANY</w:t>
            </w:r>
          </w:p>
        </w:tc>
        <w:tc>
          <w:tcPr>
            <w:tcW w:w="1080" w:type="dxa"/>
            <w:shd w:val="clear" w:color="auto" w:fill="auto"/>
            <w:vAlign w:val="center"/>
          </w:tcPr>
          <w:p w:rsidR="00D67F2C" w:rsidRPr="00D75084" w:rsidRDefault="00D67F2C" w:rsidP="00343E24">
            <w:pPr>
              <w:jc w:val="center"/>
              <w:rPr>
                <w:rFonts w:ascii="Arial" w:hAnsi="Arial" w:cs="Arial"/>
                <w:sz w:val="18"/>
                <w:szCs w:val="18"/>
              </w:rPr>
            </w:pPr>
            <w:r w:rsidRPr="00D75084">
              <w:rPr>
                <w:rFonts w:ascii="Arial" w:hAnsi="Arial" w:cs="Arial"/>
                <w:sz w:val="18"/>
                <w:szCs w:val="18"/>
              </w:rPr>
              <w:t>EX</w:t>
            </w:r>
          </w:p>
        </w:tc>
        <w:tc>
          <w:tcPr>
            <w:tcW w:w="1080" w:type="dxa"/>
            <w:shd w:val="clear" w:color="auto" w:fill="auto"/>
            <w:vAlign w:val="center"/>
          </w:tcPr>
          <w:p w:rsidR="00D67F2C" w:rsidRPr="00D75084" w:rsidRDefault="00D67F2C" w:rsidP="00343E24">
            <w:pPr>
              <w:jc w:val="center"/>
              <w:rPr>
                <w:rFonts w:ascii="Arial" w:hAnsi="Arial" w:cs="Arial"/>
                <w:sz w:val="20"/>
                <w:szCs w:val="20"/>
              </w:rPr>
            </w:pPr>
            <w:r w:rsidRPr="00D75084">
              <w:rPr>
                <w:rFonts w:ascii="Arial" w:hAnsi="Arial" w:cs="Arial"/>
                <w:sz w:val="20"/>
                <w:szCs w:val="20"/>
              </w:rPr>
              <w:t>CZ04</w:t>
            </w:r>
          </w:p>
        </w:tc>
        <w:tc>
          <w:tcPr>
            <w:tcW w:w="900" w:type="dxa"/>
            <w:shd w:val="clear" w:color="auto" w:fill="auto"/>
            <w:vAlign w:val="bottom"/>
          </w:tcPr>
          <w:p w:rsidR="00D67F2C" w:rsidRDefault="00D67F2C">
            <w:pPr>
              <w:jc w:val="center"/>
              <w:rPr>
                <w:rFonts w:ascii="Arial" w:hAnsi="Arial" w:cs="Arial"/>
                <w:sz w:val="20"/>
                <w:szCs w:val="20"/>
              </w:rPr>
            </w:pPr>
            <w:r>
              <w:rPr>
                <w:rFonts w:ascii="Arial" w:hAnsi="Arial" w:cs="Arial"/>
                <w:sz w:val="20"/>
                <w:szCs w:val="20"/>
              </w:rPr>
              <w:t xml:space="preserve"> $8.85 </w:t>
            </w:r>
          </w:p>
        </w:tc>
        <w:tc>
          <w:tcPr>
            <w:tcW w:w="1170" w:type="dxa"/>
            <w:shd w:val="clear" w:color="auto" w:fill="auto"/>
            <w:vAlign w:val="bottom"/>
          </w:tcPr>
          <w:p w:rsidR="00D67F2C" w:rsidRDefault="00D67F2C" w:rsidP="00D67F2C">
            <w:pPr>
              <w:jc w:val="center"/>
              <w:rPr>
                <w:rFonts w:ascii="Arial" w:hAnsi="Arial" w:cs="Arial"/>
                <w:sz w:val="20"/>
                <w:szCs w:val="20"/>
              </w:rPr>
            </w:pPr>
            <w:r>
              <w:rPr>
                <w:rFonts w:ascii="Arial" w:hAnsi="Arial" w:cs="Arial"/>
                <w:sz w:val="20"/>
                <w:szCs w:val="20"/>
              </w:rPr>
              <w:t xml:space="preserve"> $10.42 </w:t>
            </w:r>
          </w:p>
        </w:tc>
        <w:tc>
          <w:tcPr>
            <w:tcW w:w="900" w:type="dxa"/>
            <w:shd w:val="clear" w:color="auto" w:fill="auto"/>
            <w:vAlign w:val="bottom"/>
          </w:tcPr>
          <w:p w:rsidR="00D67F2C" w:rsidRDefault="00D67F2C" w:rsidP="00D67F2C">
            <w:pPr>
              <w:jc w:val="center"/>
              <w:rPr>
                <w:rFonts w:ascii="Arial" w:hAnsi="Arial" w:cs="Arial"/>
                <w:sz w:val="20"/>
                <w:szCs w:val="20"/>
              </w:rPr>
            </w:pPr>
            <w:r>
              <w:rPr>
                <w:rFonts w:ascii="Arial" w:hAnsi="Arial" w:cs="Arial"/>
                <w:sz w:val="20"/>
                <w:szCs w:val="20"/>
              </w:rPr>
              <w:t xml:space="preserve"> $1.58 </w:t>
            </w:r>
          </w:p>
        </w:tc>
        <w:tc>
          <w:tcPr>
            <w:tcW w:w="1332" w:type="dxa"/>
            <w:shd w:val="clear" w:color="auto" w:fill="auto"/>
            <w:vAlign w:val="center"/>
          </w:tcPr>
          <w:p w:rsidR="00D67F2C" w:rsidRPr="00D75084" w:rsidRDefault="00D67F2C" w:rsidP="00403978">
            <w:pPr>
              <w:jc w:val="center"/>
              <w:rPr>
                <w:rFonts w:ascii="Arial" w:hAnsi="Arial" w:cs="Arial"/>
                <w:sz w:val="20"/>
                <w:szCs w:val="20"/>
              </w:rPr>
            </w:pPr>
            <w:r w:rsidRPr="00D75084">
              <w:rPr>
                <w:rFonts w:ascii="Arial" w:hAnsi="Arial" w:cs="Arial"/>
                <w:sz w:val="20"/>
                <w:szCs w:val="20"/>
              </w:rPr>
              <w:t>DEER 20</w:t>
            </w:r>
            <w:r>
              <w:rPr>
                <w:rFonts w:ascii="Arial" w:hAnsi="Arial" w:cs="Arial"/>
                <w:sz w:val="20"/>
                <w:szCs w:val="20"/>
              </w:rPr>
              <w:t>08</w:t>
            </w:r>
          </w:p>
        </w:tc>
      </w:tr>
    </w:tbl>
    <w:p w:rsidR="000C6A67" w:rsidRPr="00594B8D" w:rsidRDefault="000C6A67" w:rsidP="000C6A67">
      <w:pPr>
        <w:ind w:firstLine="720"/>
        <w:rPr>
          <w:rFonts w:ascii="Arial" w:hAnsi="Arial" w:cs="Arial"/>
          <w:i/>
          <w:sz w:val="20"/>
          <w:szCs w:val="20"/>
        </w:rPr>
      </w:pPr>
      <w:r w:rsidRPr="00594B8D">
        <w:rPr>
          <w:rFonts w:ascii="Arial" w:hAnsi="Arial" w:cs="Arial"/>
          <w:i/>
          <w:sz w:val="20"/>
          <w:szCs w:val="20"/>
        </w:rPr>
        <w:t>All costs are noted as $ per rated kBTUh</w:t>
      </w:r>
    </w:p>
    <w:p w:rsidR="002C3770" w:rsidRDefault="002C3770" w:rsidP="00451D6B">
      <w:pPr>
        <w:rPr>
          <w:rFonts w:ascii="Arial" w:hAnsi="Arial" w:cs="Arial"/>
          <w:b/>
          <w:sz w:val="22"/>
          <w:szCs w:val="22"/>
        </w:rPr>
      </w:pPr>
    </w:p>
    <w:p w:rsidR="00E16FD8" w:rsidRDefault="00E16FD8">
      <w:pPr>
        <w:rPr>
          <w:rFonts w:ascii="Arial" w:hAnsi="Arial" w:cs="Arial"/>
          <w:b/>
          <w:sz w:val="22"/>
          <w:szCs w:val="22"/>
        </w:rPr>
        <w:sectPr w:rsidR="00E16FD8" w:rsidSect="00DD43C2">
          <w:endnotePr>
            <w:numFmt w:val="decimal"/>
          </w:endnotePr>
          <w:pgSz w:w="12240" w:h="15840"/>
          <w:pgMar w:top="1440" w:right="1440" w:bottom="1440" w:left="1440" w:header="720" w:footer="720" w:gutter="0"/>
          <w:pgNumType w:chapStyle="1"/>
          <w:cols w:space="720"/>
          <w:docGrid w:linePitch="360"/>
        </w:sectPr>
      </w:pPr>
    </w:p>
    <w:p w:rsidR="0072318A" w:rsidRDefault="0072318A">
      <w:pPr>
        <w:rPr>
          <w:rFonts w:ascii="Arial" w:hAnsi="Arial" w:cs="Arial"/>
          <w:b/>
          <w:sz w:val="22"/>
          <w:szCs w:val="22"/>
        </w:rPr>
      </w:pPr>
    </w:p>
    <w:p w:rsidR="00DE03FB" w:rsidRPr="0066794C" w:rsidRDefault="00DE03FB" w:rsidP="00DE03FB">
      <w:pPr>
        <w:rPr>
          <w:rFonts w:ascii="Arial" w:hAnsi="Arial" w:cs="Arial"/>
          <w:sz w:val="22"/>
          <w:szCs w:val="22"/>
        </w:rPr>
      </w:pPr>
      <w:r w:rsidRPr="0066794C">
        <w:rPr>
          <w:rFonts w:ascii="Arial" w:hAnsi="Arial" w:cs="Arial"/>
          <w:b/>
          <w:sz w:val="22"/>
          <w:szCs w:val="22"/>
        </w:rPr>
        <w:t xml:space="preserve">Net-to-Gross Assumption: </w:t>
      </w:r>
      <w:r w:rsidRPr="0066794C">
        <w:rPr>
          <w:rFonts w:ascii="Arial" w:hAnsi="Arial" w:cs="Arial"/>
          <w:b/>
          <w:sz w:val="22"/>
          <w:szCs w:val="22"/>
        </w:rPr>
        <w:tab/>
      </w:r>
      <w:r w:rsidRPr="0066794C">
        <w:rPr>
          <w:rFonts w:ascii="Arial" w:hAnsi="Arial" w:cs="Arial"/>
          <w:b/>
          <w:sz w:val="22"/>
          <w:szCs w:val="22"/>
        </w:rPr>
        <w:tab/>
      </w:r>
      <w:r w:rsidRPr="0066794C">
        <w:rPr>
          <w:rFonts w:ascii="Arial" w:hAnsi="Arial" w:cs="Arial"/>
          <w:b/>
          <w:sz w:val="22"/>
          <w:szCs w:val="22"/>
        </w:rPr>
        <w:tab/>
      </w:r>
    </w:p>
    <w:p w:rsidR="00DE03FB" w:rsidRPr="0066794C" w:rsidRDefault="00DE03FB" w:rsidP="00DE03FB">
      <w:pPr>
        <w:rPr>
          <w:rFonts w:ascii="Arial" w:hAnsi="Arial" w:cs="Arial"/>
          <w:sz w:val="22"/>
          <w:szCs w:val="22"/>
        </w:rPr>
      </w:pPr>
      <w:r w:rsidRPr="0066794C">
        <w:rPr>
          <w:rFonts w:ascii="Arial" w:hAnsi="Arial" w:cs="Arial"/>
          <w:sz w:val="22"/>
          <w:szCs w:val="22"/>
        </w:rPr>
        <w:t xml:space="preserve">Table </w:t>
      </w:r>
      <w:r>
        <w:rPr>
          <w:rFonts w:ascii="Arial" w:hAnsi="Arial" w:cs="Arial"/>
          <w:sz w:val="22"/>
          <w:szCs w:val="22"/>
        </w:rPr>
        <w:t>2</w:t>
      </w:r>
      <w:r w:rsidRPr="0066794C">
        <w:rPr>
          <w:rFonts w:ascii="Arial" w:hAnsi="Arial" w:cs="Arial"/>
          <w:sz w:val="22"/>
          <w:szCs w:val="22"/>
        </w:rPr>
        <w:t xml:space="preserve"> below summarizes all applicable DEER based </w:t>
      </w:r>
      <w:r w:rsidR="00822EE1">
        <w:rPr>
          <w:rFonts w:ascii="Arial" w:hAnsi="Arial" w:cs="Arial"/>
          <w:sz w:val="22"/>
          <w:szCs w:val="22"/>
        </w:rPr>
        <w:t>n</w:t>
      </w:r>
      <w:r w:rsidR="00822EE1" w:rsidRPr="0066794C">
        <w:rPr>
          <w:rFonts w:ascii="Arial" w:hAnsi="Arial" w:cs="Arial"/>
          <w:sz w:val="22"/>
          <w:szCs w:val="22"/>
        </w:rPr>
        <w:t>et</w:t>
      </w:r>
      <w:r w:rsidRPr="0066794C">
        <w:rPr>
          <w:rFonts w:ascii="Arial" w:hAnsi="Arial" w:cs="Arial"/>
          <w:sz w:val="22"/>
          <w:szCs w:val="22"/>
        </w:rPr>
        <w:t>-to-</w:t>
      </w:r>
      <w:r w:rsidR="00822EE1">
        <w:rPr>
          <w:rFonts w:ascii="Arial" w:hAnsi="Arial" w:cs="Arial"/>
          <w:sz w:val="22"/>
          <w:szCs w:val="22"/>
        </w:rPr>
        <w:t>g</w:t>
      </w:r>
      <w:r w:rsidRPr="0066794C">
        <w:rPr>
          <w:rFonts w:ascii="Arial" w:hAnsi="Arial" w:cs="Arial"/>
          <w:sz w:val="22"/>
          <w:szCs w:val="22"/>
        </w:rPr>
        <w:t>ross ratios</w:t>
      </w:r>
      <w:r>
        <w:rPr>
          <w:rStyle w:val="EndnoteReference"/>
          <w:rFonts w:ascii="Arial" w:hAnsi="Arial" w:cs="Arial"/>
          <w:sz w:val="22"/>
          <w:szCs w:val="22"/>
        </w:rPr>
        <w:endnoteReference w:id="4"/>
      </w:r>
      <w:r w:rsidRPr="0066794C">
        <w:rPr>
          <w:rFonts w:ascii="Arial" w:hAnsi="Arial" w:cs="Arial"/>
          <w:sz w:val="22"/>
          <w:szCs w:val="22"/>
        </w:rPr>
        <w:t xml:space="preserve"> for programs that may be used by th</w:t>
      </w:r>
      <w:r>
        <w:rPr>
          <w:rFonts w:ascii="Arial" w:hAnsi="Arial" w:cs="Arial"/>
          <w:sz w:val="22"/>
          <w:szCs w:val="22"/>
        </w:rPr>
        <w:t>ese</w:t>
      </w:r>
      <w:r w:rsidRPr="0066794C">
        <w:rPr>
          <w:rFonts w:ascii="Arial" w:hAnsi="Arial" w:cs="Arial"/>
          <w:sz w:val="22"/>
          <w:szCs w:val="22"/>
        </w:rPr>
        <w:t xml:space="preserve"> measure</w:t>
      </w:r>
      <w:r>
        <w:rPr>
          <w:rFonts w:ascii="Arial" w:hAnsi="Arial" w:cs="Arial"/>
          <w:sz w:val="22"/>
          <w:szCs w:val="22"/>
        </w:rPr>
        <w:t>s</w:t>
      </w:r>
      <w:r w:rsidRPr="0066794C">
        <w:rPr>
          <w:rFonts w:ascii="Arial" w:hAnsi="Arial" w:cs="Arial"/>
          <w:sz w:val="22"/>
          <w:szCs w:val="22"/>
        </w:rPr>
        <w:t>.</w:t>
      </w:r>
    </w:p>
    <w:p w:rsidR="00DE03FB" w:rsidRPr="0066794C" w:rsidRDefault="00DE03FB" w:rsidP="00DE03FB">
      <w:pPr>
        <w:rPr>
          <w:rFonts w:ascii="Arial" w:hAnsi="Arial" w:cs="Arial"/>
          <w:sz w:val="22"/>
          <w:szCs w:val="22"/>
        </w:rPr>
      </w:pPr>
    </w:p>
    <w:p w:rsidR="00DE03FB" w:rsidRPr="0066794C" w:rsidRDefault="00DE03FB" w:rsidP="00DE03FB">
      <w:pPr>
        <w:pStyle w:val="Caption"/>
        <w:jc w:val="center"/>
        <w:rPr>
          <w:rFonts w:ascii="Arial" w:hAnsi="Arial" w:cs="Arial"/>
          <w:sz w:val="22"/>
          <w:szCs w:val="22"/>
        </w:rPr>
      </w:pPr>
      <w:r>
        <w:rPr>
          <w:rFonts w:ascii="Arial" w:hAnsi="Arial" w:cs="Arial"/>
          <w:sz w:val="22"/>
          <w:szCs w:val="22"/>
        </w:rPr>
        <w:t>Table 2</w:t>
      </w:r>
      <w:r w:rsidRPr="0066794C">
        <w:rPr>
          <w:rFonts w:ascii="Arial" w:hAnsi="Arial" w:cs="Arial"/>
          <w:sz w:val="22"/>
          <w:szCs w:val="22"/>
        </w:rPr>
        <w:t xml:space="preserve"> </w:t>
      </w:r>
      <w:r>
        <w:rPr>
          <w:rFonts w:ascii="Arial" w:hAnsi="Arial" w:cs="Arial"/>
          <w:sz w:val="22"/>
          <w:szCs w:val="22"/>
        </w:rPr>
        <w:t>–</w:t>
      </w:r>
      <w:r w:rsidRPr="0066794C">
        <w:rPr>
          <w:rFonts w:ascii="Arial" w:hAnsi="Arial" w:cs="Arial"/>
          <w:sz w:val="22"/>
          <w:szCs w:val="22"/>
        </w:rPr>
        <w:t xml:space="preserve"> </w:t>
      </w:r>
      <w:r>
        <w:rPr>
          <w:rFonts w:ascii="Arial" w:hAnsi="Arial" w:cs="Arial"/>
          <w:sz w:val="22"/>
          <w:szCs w:val="22"/>
        </w:rPr>
        <w:t xml:space="preserve">DEER </w:t>
      </w:r>
      <w:r w:rsidRPr="0066794C">
        <w:rPr>
          <w:rFonts w:ascii="Arial" w:hAnsi="Arial" w:cs="Arial"/>
          <w:sz w:val="22"/>
          <w:szCs w:val="22"/>
        </w:rPr>
        <w:t>Net-to-Gross Ratios</w:t>
      </w:r>
      <w:r w:rsidR="00E406EA">
        <w:rPr>
          <w:rFonts w:ascii="Arial" w:hAnsi="Arial" w:cs="Arial"/>
          <w:sz w:val="22"/>
          <w:szCs w:val="22"/>
        </w:rPr>
        <w:fldChar w:fldCharType="begin"/>
      </w:r>
      <w:r>
        <w:instrText xml:space="preserve"> TC "</w:instrText>
      </w:r>
      <w:bookmarkStart w:id="28" w:name="_Toc383684276"/>
      <w:bookmarkStart w:id="29" w:name="_Toc384033520"/>
      <w:r w:rsidRPr="00DD4B5A">
        <w:rPr>
          <w:rFonts w:ascii="Arial" w:hAnsi="Arial" w:cs="Arial"/>
          <w:sz w:val="22"/>
          <w:szCs w:val="22"/>
        </w:rPr>
        <w:instrText>Table 2 - Net-to-Gross Ratios</w:instrText>
      </w:r>
      <w:bookmarkEnd w:id="28"/>
      <w:bookmarkEnd w:id="29"/>
      <w:r>
        <w:instrText xml:space="preserve">" \f C \l "1" </w:instrText>
      </w:r>
      <w:r w:rsidR="00E406EA">
        <w:rPr>
          <w:rFonts w:ascii="Arial" w:hAnsi="Arial" w:cs="Arial"/>
          <w:sz w:val="22"/>
          <w:szCs w:val="22"/>
        </w:rPr>
        <w:fldChar w:fldCharType="end"/>
      </w:r>
    </w:p>
    <w:tbl>
      <w:tblPr>
        <w:tblW w:w="4745" w:type="pct"/>
        <w:jc w:val="center"/>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80"/>
        <w:gridCol w:w="1220"/>
        <w:gridCol w:w="3601"/>
        <w:gridCol w:w="987"/>
      </w:tblGrid>
      <w:tr w:rsidR="00DE03FB" w:rsidRPr="00FD5A48" w:rsidTr="00DE03FB">
        <w:trPr>
          <w:jc w:val="center"/>
        </w:trPr>
        <w:tc>
          <w:tcPr>
            <w:tcW w:w="1805" w:type="pct"/>
            <w:shd w:val="clear" w:color="auto" w:fill="262626"/>
            <w:vAlign w:val="bottom"/>
          </w:tcPr>
          <w:p w:rsidR="00DE03FB" w:rsidRPr="00FD5A48" w:rsidRDefault="00DE03FB" w:rsidP="00DE03FB">
            <w:pPr>
              <w:keepNext/>
              <w:keepLines/>
              <w:jc w:val="center"/>
              <w:rPr>
                <w:rFonts w:ascii="Arial" w:hAnsi="Arial" w:cs="Arial"/>
                <w:b/>
                <w:bCs/>
                <w:sz w:val="20"/>
                <w:szCs w:val="20"/>
              </w:rPr>
            </w:pPr>
          </w:p>
        </w:tc>
        <w:tc>
          <w:tcPr>
            <w:tcW w:w="671" w:type="pct"/>
            <w:shd w:val="clear" w:color="auto" w:fill="262626"/>
            <w:vAlign w:val="bottom"/>
          </w:tcPr>
          <w:p w:rsidR="00DE03FB" w:rsidRPr="00FD5A48" w:rsidRDefault="00DE03FB" w:rsidP="00DE03FB">
            <w:pPr>
              <w:keepNext/>
              <w:keepLines/>
              <w:jc w:val="center"/>
              <w:rPr>
                <w:rFonts w:ascii="Arial" w:hAnsi="Arial" w:cs="Arial"/>
                <w:b/>
                <w:bCs/>
                <w:sz w:val="20"/>
                <w:szCs w:val="20"/>
              </w:rPr>
            </w:pPr>
          </w:p>
        </w:tc>
        <w:tc>
          <w:tcPr>
            <w:tcW w:w="2524" w:type="pct"/>
            <w:gridSpan w:val="2"/>
            <w:shd w:val="clear" w:color="auto" w:fill="262626"/>
            <w:vAlign w:val="bottom"/>
          </w:tcPr>
          <w:p w:rsidR="00DE03FB" w:rsidRPr="00FD5A48" w:rsidRDefault="00DE03FB" w:rsidP="00DE03FB">
            <w:pPr>
              <w:keepNext/>
              <w:keepLines/>
              <w:jc w:val="center"/>
              <w:rPr>
                <w:rFonts w:ascii="Arial" w:hAnsi="Arial" w:cs="Arial"/>
                <w:b/>
                <w:bCs/>
                <w:sz w:val="20"/>
                <w:szCs w:val="20"/>
              </w:rPr>
            </w:pPr>
            <w:r w:rsidRPr="00FD5A48">
              <w:rPr>
                <w:rFonts w:ascii="Arial" w:hAnsi="Arial" w:cs="Arial"/>
                <w:b/>
                <w:bCs/>
                <w:sz w:val="20"/>
                <w:szCs w:val="20"/>
              </w:rPr>
              <w:t>DEER Spreadsheet</w:t>
            </w:r>
          </w:p>
        </w:tc>
      </w:tr>
      <w:tr w:rsidR="00DE03FB" w:rsidRPr="00FD5A48" w:rsidTr="00DE03FB">
        <w:trPr>
          <w:jc w:val="center"/>
        </w:trPr>
        <w:tc>
          <w:tcPr>
            <w:tcW w:w="1805" w:type="pct"/>
            <w:shd w:val="pct5" w:color="000000" w:fill="FFFFFF"/>
            <w:vAlign w:val="bottom"/>
          </w:tcPr>
          <w:p w:rsidR="00DE03FB" w:rsidRPr="00FD5A48" w:rsidRDefault="00DE03FB" w:rsidP="00DE03FB">
            <w:pPr>
              <w:keepNext/>
              <w:jc w:val="center"/>
              <w:rPr>
                <w:rFonts w:ascii="Arial" w:hAnsi="Arial" w:cs="Arial"/>
                <w:sz w:val="20"/>
                <w:szCs w:val="20"/>
              </w:rPr>
            </w:pPr>
            <w:r w:rsidRPr="00FD5A48">
              <w:rPr>
                <w:rFonts w:ascii="Arial" w:hAnsi="Arial" w:cs="Arial"/>
                <w:sz w:val="20"/>
                <w:szCs w:val="20"/>
              </w:rPr>
              <w:t>Program Approach</w:t>
            </w:r>
          </w:p>
        </w:tc>
        <w:tc>
          <w:tcPr>
            <w:tcW w:w="671" w:type="pct"/>
            <w:shd w:val="pct5" w:color="000000" w:fill="FFFFFF"/>
            <w:vAlign w:val="bottom"/>
          </w:tcPr>
          <w:p w:rsidR="00DE03FB" w:rsidRPr="00FD5A48" w:rsidRDefault="00DE03FB" w:rsidP="00DE03FB">
            <w:pPr>
              <w:keepNext/>
              <w:jc w:val="center"/>
              <w:rPr>
                <w:rFonts w:ascii="Arial" w:hAnsi="Arial" w:cs="Arial"/>
                <w:sz w:val="20"/>
                <w:szCs w:val="20"/>
              </w:rPr>
            </w:pPr>
            <w:r w:rsidRPr="00FD5A48">
              <w:rPr>
                <w:rFonts w:ascii="Arial" w:hAnsi="Arial" w:cs="Arial"/>
                <w:sz w:val="20"/>
                <w:szCs w:val="20"/>
              </w:rPr>
              <w:t>NTG</w:t>
            </w:r>
          </w:p>
        </w:tc>
        <w:tc>
          <w:tcPr>
            <w:tcW w:w="1981" w:type="pct"/>
            <w:shd w:val="pct5" w:color="000000" w:fill="FFFFFF"/>
            <w:vAlign w:val="bottom"/>
          </w:tcPr>
          <w:p w:rsidR="00DE03FB" w:rsidRPr="00FD5A48" w:rsidRDefault="00DE03FB" w:rsidP="00DE03FB">
            <w:pPr>
              <w:keepNext/>
              <w:jc w:val="center"/>
              <w:rPr>
                <w:rFonts w:ascii="Arial" w:hAnsi="Arial" w:cs="Arial"/>
                <w:sz w:val="20"/>
                <w:szCs w:val="20"/>
              </w:rPr>
            </w:pPr>
            <w:r w:rsidRPr="00FD5A48">
              <w:rPr>
                <w:rFonts w:ascii="Arial" w:hAnsi="Arial" w:cs="Arial"/>
                <w:sz w:val="20"/>
                <w:szCs w:val="20"/>
              </w:rPr>
              <w:t>File name</w:t>
            </w:r>
          </w:p>
        </w:tc>
        <w:tc>
          <w:tcPr>
            <w:tcW w:w="543" w:type="pct"/>
            <w:shd w:val="pct5" w:color="000000" w:fill="FFFFFF"/>
          </w:tcPr>
          <w:p w:rsidR="00DE03FB" w:rsidRPr="00FD5A48" w:rsidRDefault="00DE03FB" w:rsidP="00DE03FB">
            <w:pPr>
              <w:keepNext/>
              <w:jc w:val="center"/>
              <w:rPr>
                <w:rFonts w:ascii="Arial" w:hAnsi="Arial" w:cs="Arial"/>
                <w:sz w:val="20"/>
                <w:szCs w:val="20"/>
              </w:rPr>
            </w:pPr>
            <w:r w:rsidRPr="00FD5A48">
              <w:rPr>
                <w:rFonts w:ascii="Arial" w:hAnsi="Arial" w:cs="Arial"/>
                <w:sz w:val="20"/>
                <w:szCs w:val="20"/>
              </w:rPr>
              <w:t>Cell #</w:t>
            </w:r>
          </w:p>
        </w:tc>
      </w:tr>
      <w:tr w:rsidR="00DE03FB" w:rsidRPr="00FD5A48" w:rsidTr="00DE03FB">
        <w:trPr>
          <w:jc w:val="center"/>
        </w:trPr>
        <w:tc>
          <w:tcPr>
            <w:tcW w:w="1805" w:type="pct"/>
            <w:shd w:val="pct20" w:color="000000" w:fill="FFFFFF"/>
            <w:vAlign w:val="bottom"/>
          </w:tcPr>
          <w:p w:rsidR="00DE03FB" w:rsidRPr="00FD5A48" w:rsidRDefault="00DE03FB" w:rsidP="00DE03FB">
            <w:pPr>
              <w:jc w:val="center"/>
              <w:rPr>
                <w:rFonts w:ascii="Arial" w:hAnsi="Arial" w:cs="Arial"/>
                <w:sz w:val="20"/>
                <w:szCs w:val="20"/>
              </w:rPr>
            </w:pPr>
            <w:r>
              <w:rPr>
                <w:rFonts w:ascii="Arial" w:hAnsi="Arial" w:cs="Arial"/>
                <w:sz w:val="20"/>
                <w:szCs w:val="20"/>
              </w:rPr>
              <w:t>Ind</w:t>
            </w:r>
            <w:r w:rsidRPr="00FD5A48">
              <w:rPr>
                <w:rFonts w:ascii="Arial" w:hAnsi="Arial" w:cs="Arial"/>
                <w:sz w:val="20"/>
                <w:szCs w:val="20"/>
              </w:rPr>
              <w:t>-Default&gt;2yrs</w:t>
            </w:r>
          </w:p>
        </w:tc>
        <w:tc>
          <w:tcPr>
            <w:tcW w:w="671" w:type="pct"/>
            <w:shd w:val="pct20" w:color="000000" w:fill="FFFFFF"/>
            <w:vAlign w:val="bottom"/>
          </w:tcPr>
          <w:p w:rsidR="00DE03FB" w:rsidRPr="00FD5A48" w:rsidRDefault="00DE03FB" w:rsidP="00DE03FB">
            <w:pPr>
              <w:jc w:val="center"/>
              <w:rPr>
                <w:rFonts w:ascii="Arial" w:hAnsi="Arial" w:cs="Arial"/>
                <w:sz w:val="20"/>
                <w:szCs w:val="20"/>
              </w:rPr>
            </w:pPr>
            <w:r w:rsidRPr="00FD5A48">
              <w:rPr>
                <w:rFonts w:ascii="Arial" w:hAnsi="Arial" w:cs="Arial"/>
                <w:sz w:val="20"/>
                <w:szCs w:val="20"/>
              </w:rPr>
              <w:t>0.6</w:t>
            </w:r>
          </w:p>
        </w:tc>
        <w:tc>
          <w:tcPr>
            <w:tcW w:w="1981" w:type="pct"/>
            <w:shd w:val="pct20" w:color="000000" w:fill="FFFFFF"/>
            <w:vAlign w:val="bottom"/>
          </w:tcPr>
          <w:p w:rsidR="00DE03FB" w:rsidRPr="00FD5A48" w:rsidRDefault="00DE03FB" w:rsidP="00954F35">
            <w:pPr>
              <w:jc w:val="center"/>
              <w:rPr>
                <w:rFonts w:ascii="Arial" w:hAnsi="Arial" w:cs="Arial"/>
                <w:sz w:val="20"/>
                <w:szCs w:val="20"/>
              </w:rPr>
            </w:pPr>
            <w:r w:rsidRPr="00FD5A48">
              <w:rPr>
                <w:rFonts w:ascii="Arial" w:hAnsi="Arial" w:cs="Arial"/>
                <w:sz w:val="20"/>
                <w:szCs w:val="20"/>
              </w:rPr>
              <w:t xml:space="preserve">Appendix </w:t>
            </w:r>
            <w:r w:rsidR="00954F35">
              <w:rPr>
                <w:rFonts w:ascii="Arial" w:hAnsi="Arial" w:cs="Arial"/>
                <w:sz w:val="20"/>
                <w:szCs w:val="20"/>
              </w:rPr>
              <w:t>D</w:t>
            </w:r>
            <w:r w:rsidRPr="00FD5A48">
              <w:rPr>
                <w:rFonts w:ascii="Arial" w:hAnsi="Arial" w:cs="Arial"/>
                <w:sz w:val="20"/>
                <w:szCs w:val="20"/>
              </w:rPr>
              <w:t xml:space="preserve"> - DEER2014 NTGR</w:t>
            </w:r>
          </w:p>
        </w:tc>
        <w:tc>
          <w:tcPr>
            <w:tcW w:w="543" w:type="pct"/>
            <w:shd w:val="pct20" w:color="000000" w:fill="FFFFFF"/>
            <w:vAlign w:val="bottom"/>
          </w:tcPr>
          <w:p w:rsidR="00DE03FB" w:rsidRPr="00FD5A48" w:rsidRDefault="00DE03FB" w:rsidP="00DE03FB">
            <w:pPr>
              <w:jc w:val="center"/>
              <w:rPr>
                <w:rFonts w:ascii="Arial" w:hAnsi="Arial" w:cs="Arial"/>
                <w:sz w:val="20"/>
                <w:szCs w:val="20"/>
              </w:rPr>
            </w:pPr>
            <w:r>
              <w:rPr>
                <w:rFonts w:ascii="Arial" w:hAnsi="Arial" w:cs="Arial"/>
                <w:sz w:val="20"/>
                <w:szCs w:val="20"/>
              </w:rPr>
              <w:t>48</w:t>
            </w:r>
          </w:p>
        </w:tc>
      </w:tr>
    </w:tbl>
    <w:p w:rsidR="00DE03FB" w:rsidRPr="0065193C" w:rsidRDefault="00DE03FB" w:rsidP="00DE03FB">
      <w:pPr>
        <w:tabs>
          <w:tab w:val="left" w:pos="6435"/>
        </w:tabs>
        <w:rPr>
          <w:rFonts w:ascii="Arial" w:hAnsi="Arial" w:cs="Arial"/>
          <w:sz w:val="22"/>
          <w:szCs w:val="22"/>
        </w:rPr>
      </w:pPr>
    </w:p>
    <w:p w:rsidR="00DE03FB" w:rsidRPr="0065193C" w:rsidRDefault="00DE03FB" w:rsidP="00DE03FB">
      <w:pPr>
        <w:tabs>
          <w:tab w:val="left" w:pos="6435"/>
        </w:tabs>
        <w:rPr>
          <w:rFonts w:ascii="Arial" w:hAnsi="Arial" w:cs="Arial"/>
          <w:sz w:val="22"/>
          <w:szCs w:val="22"/>
        </w:rPr>
      </w:pPr>
      <w:bookmarkStart w:id="30" w:name="OLE_LINK7"/>
      <w:r>
        <w:rPr>
          <w:rFonts w:ascii="Arial" w:hAnsi="Arial" w:cs="Arial"/>
          <w:sz w:val="22"/>
          <w:szCs w:val="22"/>
        </w:rPr>
        <w:t>The NTG Ratios</w:t>
      </w:r>
      <w:r w:rsidR="00E406EA">
        <w:rPr>
          <w:rFonts w:ascii="Arial" w:hAnsi="Arial" w:cs="Arial"/>
          <w:sz w:val="22"/>
          <w:szCs w:val="22"/>
        </w:rPr>
        <w:fldChar w:fldCharType="begin"/>
      </w:r>
      <w:r>
        <w:instrText xml:space="preserve"> XE "</w:instrText>
      </w:r>
      <w:r w:rsidRPr="0064030B">
        <w:rPr>
          <w:rFonts w:ascii="Arial" w:hAnsi="Arial" w:cs="Arial"/>
          <w:sz w:val="22"/>
          <w:szCs w:val="22"/>
        </w:rPr>
        <w:instrText>NTG Ratios</w:instrText>
      </w:r>
      <w:r>
        <w:instrText xml:space="preserve">" </w:instrText>
      </w:r>
      <w:r w:rsidR="00E406EA">
        <w:rPr>
          <w:rFonts w:ascii="Arial" w:hAnsi="Arial" w:cs="Arial"/>
          <w:sz w:val="22"/>
          <w:szCs w:val="22"/>
        </w:rPr>
        <w:fldChar w:fldCharType="end"/>
      </w:r>
      <w:r>
        <w:rPr>
          <w:rFonts w:ascii="Arial" w:hAnsi="Arial" w:cs="Arial"/>
          <w:sz w:val="22"/>
          <w:szCs w:val="22"/>
        </w:rPr>
        <w:t xml:space="preserve"> in Table 2</w:t>
      </w:r>
      <w:r w:rsidRPr="0065193C">
        <w:rPr>
          <w:rFonts w:ascii="Arial" w:hAnsi="Arial" w:cs="Arial"/>
          <w:sz w:val="22"/>
          <w:szCs w:val="22"/>
        </w:rPr>
        <w:t xml:space="preserve"> are appropriate for the measures because:</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 xml:space="preserve">Measures are for </w:t>
      </w:r>
      <w:r>
        <w:rPr>
          <w:rFonts w:ascii="Arial" w:hAnsi="Arial" w:cs="Arial"/>
          <w:sz w:val="22"/>
          <w:szCs w:val="22"/>
        </w:rPr>
        <w:t>industrial</w:t>
      </w:r>
      <w:r w:rsidRPr="0065193C">
        <w:rPr>
          <w:rFonts w:ascii="Arial" w:hAnsi="Arial" w:cs="Arial"/>
          <w:sz w:val="22"/>
          <w:szCs w:val="22"/>
        </w:rPr>
        <w:t xml:space="preserve"> applications</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No evaluated NTGR available for this measure</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Equipment has the same delivery mechanism for more than two years</w:t>
      </w:r>
    </w:p>
    <w:bookmarkEnd w:id="30"/>
    <w:p w:rsidR="001C295C" w:rsidRPr="00A961E9" w:rsidRDefault="001C295C" w:rsidP="00864083">
      <w:pPr>
        <w:tabs>
          <w:tab w:val="left" w:pos="6435"/>
        </w:tabs>
        <w:rPr>
          <w:rFonts w:ascii="Arial" w:hAnsi="Arial" w:cs="Arial"/>
          <w:b/>
          <w:color w:val="FF0000"/>
          <w:sz w:val="22"/>
          <w:szCs w:val="22"/>
        </w:rPr>
      </w:pPr>
    </w:p>
    <w:p w:rsidR="00DE03FB" w:rsidRPr="0066794C" w:rsidRDefault="00DE03FB" w:rsidP="00DE03FB">
      <w:pPr>
        <w:rPr>
          <w:rFonts w:ascii="Arial" w:hAnsi="Arial" w:cs="Arial"/>
          <w:b/>
          <w:sz w:val="22"/>
          <w:szCs w:val="22"/>
        </w:rPr>
      </w:pPr>
      <w:r w:rsidRPr="0066794C">
        <w:rPr>
          <w:rFonts w:ascii="Arial" w:hAnsi="Arial" w:cs="Arial"/>
          <w:b/>
          <w:sz w:val="22"/>
          <w:szCs w:val="22"/>
        </w:rPr>
        <w:t>Effective Useful Life:</w:t>
      </w:r>
      <w:r w:rsidRPr="0066794C">
        <w:rPr>
          <w:rFonts w:ascii="Arial" w:hAnsi="Arial" w:cs="Arial"/>
          <w:b/>
          <w:sz w:val="22"/>
          <w:szCs w:val="22"/>
        </w:rPr>
        <w:tab/>
      </w:r>
      <w:r w:rsidRPr="0066794C">
        <w:rPr>
          <w:rFonts w:ascii="Arial" w:hAnsi="Arial" w:cs="Arial"/>
          <w:b/>
          <w:sz w:val="22"/>
          <w:szCs w:val="22"/>
        </w:rPr>
        <w:tab/>
      </w:r>
    </w:p>
    <w:p w:rsidR="00DE03FB" w:rsidRPr="0066794C" w:rsidRDefault="00DE03FB" w:rsidP="00DE03FB">
      <w:pPr>
        <w:rPr>
          <w:rFonts w:ascii="Arial" w:hAnsi="Arial" w:cs="Arial"/>
          <w:sz w:val="22"/>
          <w:szCs w:val="22"/>
        </w:rPr>
      </w:pPr>
      <w:r w:rsidRPr="0066794C">
        <w:rPr>
          <w:rFonts w:ascii="Arial" w:hAnsi="Arial" w:cs="Arial"/>
          <w:sz w:val="22"/>
          <w:szCs w:val="22"/>
        </w:rPr>
        <w:t xml:space="preserve">The </w:t>
      </w:r>
      <w:r w:rsidR="00822EE1">
        <w:rPr>
          <w:rFonts w:ascii="Arial" w:hAnsi="Arial" w:cs="Arial"/>
          <w:sz w:val="22"/>
          <w:szCs w:val="22"/>
        </w:rPr>
        <w:t>e</w:t>
      </w:r>
      <w:r w:rsidRPr="0066794C">
        <w:rPr>
          <w:rFonts w:ascii="Arial" w:hAnsi="Arial" w:cs="Arial"/>
          <w:sz w:val="22"/>
          <w:szCs w:val="22"/>
        </w:rPr>
        <w:t>ffective</w:t>
      </w:r>
      <w:r w:rsidR="00822EE1">
        <w:rPr>
          <w:rFonts w:ascii="Arial" w:hAnsi="Arial" w:cs="Arial"/>
          <w:sz w:val="22"/>
          <w:szCs w:val="22"/>
        </w:rPr>
        <w:t>-u</w:t>
      </w:r>
      <w:r w:rsidRPr="0066794C">
        <w:rPr>
          <w:rFonts w:ascii="Arial" w:hAnsi="Arial" w:cs="Arial"/>
          <w:sz w:val="22"/>
          <w:szCs w:val="22"/>
        </w:rPr>
        <w:t>seful</w:t>
      </w:r>
      <w:r w:rsidR="008A1CDC">
        <w:rPr>
          <w:rFonts w:ascii="Arial" w:hAnsi="Arial" w:cs="Arial"/>
          <w:sz w:val="22"/>
          <w:szCs w:val="22"/>
        </w:rPr>
        <w:t xml:space="preserve"> </w:t>
      </w:r>
      <w:r w:rsidR="00822EE1">
        <w:rPr>
          <w:rFonts w:ascii="Arial" w:hAnsi="Arial" w:cs="Arial"/>
          <w:sz w:val="22"/>
          <w:szCs w:val="22"/>
        </w:rPr>
        <w:t>l</w:t>
      </w:r>
      <w:r>
        <w:rPr>
          <w:rFonts w:ascii="Arial" w:hAnsi="Arial" w:cs="Arial"/>
          <w:sz w:val="22"/>
          <w:szCs w:val="22"/>
        </w:rPr>
        <w:t xml:space="preserve">ife estimates were </w:t>
      </w:r>
      <w:r w:rsidR="00822EE1">
        <w:rPr>
          <w:rFonts w:ascii="Arial" w:hAnsi="Arial" w:cs="Arial"/>
          <w:sz w:val="22"/>
          <w:szCs w:val="22"/>
        </w:rPr>
        <w:t>taken</w:t>
      </w:r>
      <w:r w:rsidR="00822EE1" w:rsidRPr="0066794C">
        <w:rPr>
          <w:rFonts w:ascii="Arial" w:hAnsi="Arial" w:cs="Arial"/>
          <w:sz w:val="22"/>
          <w:szCs w:val="22"/>
        </w:rPr>
        <w:t xml:space="preserve"> </w:t>
      </w:r>
      <w:r w:rsidR="00822EE1">
        <w:rPr>
          <w:rFonts w:ascii="Arial" w:hAnsi="Arial" w:cs="Arial"/>
          <w:sz w:val="22"/>
          <w:szCs w:val="22"/>
        </w:rPr>
        <w:t xml:space="preserve">directly </w:t>
      </w:r>
      <w:r w:rsidRPr="0066794C">
        <w:rPr>
          <w:rFonts w:ascii="Arial" w:hAnsi="Arial" w:cs="Arial"/>
          <w:sz w:val="22"/>
          <w:szCs w:val="22"/>
        </w:rPr>
        <w:t>from DEER</w:t>
      </w:r>
      <w:r w:rsidR="00822EE1">
        <w:rPr>
          <w:rFonts w:ascii="Arial" w:hAnsi="Arial" w:cs="Arial"/>
          <w:sz w:val="22"/>
          <w:szCs w:val="22"/>
        </w:rPr>
        <w:t xml:space="preserve"> support tables. See Appendix E</w:t>
      </w:r>
      <w:r w:rsidR="009251B2">
        <w:rPr>
          <w:rFonts w:ascii="Arial" w:hAnsi="Arial" w:cs="Arial"/>
          <w:sz w:val="22"/>
          <w:szCs w:val="22"/>
        </w:rPr>
        <w:t>.</w:t>
      </w:r>
      <w:r>
        <w:rPr>
          <w:rStyle w:val="EndnoteReference"/>
          <w:rFonts w:ascii="Arial" w:hAnsi="Arial" w:cs="Arial"/>
          <w:sz w:val="22"/>
          <w:szCs w:val="22"/>
        </w:rPr>
        <w:endnoteReference w:id="5"/>
      </w:r>
    </w:p>
    <w:p w:rsidR="00DE03FB" w:rsidRPr="0066794C" w:rsidRDefault="00DE03FB" w:rsidP="00DE03FB">
      <w:pPr>
        <w:pStyle w:val="Caption"/>
        <w:rPr>
          <w:rFonts w:ascii="Arial" w:hAnsi="Arial" w:cs="Arial"/>
          <w:sz w:val="22"/>
          <w:szCs w:val="22"/>
        </w:rPr>
      </w:pPr>
    </w:p>
    <w:tbl>
      <w:tblPr>
        <w:tblW w:w="4955"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096"/>
        <w:gridCol w:w="1096"/>
        <w:gridCol w:w="1011"/>
        <w:gridCol w:w="693"/>
        <w:gridCol w:w="693"/>
        <w:gridCol w:w="1117"/>
        <w:gridCol w:w="1148"/>
        <w:gridCol w:w="1427"/>
        <w:gridCol w:w="1209"/>
      </w:tblGrid>
      <w:tr w:rsidR="009251B2" w:rsidRPr="0066794C" w:rsidTr="009251B2">
        <w:trPr>
          <w:trHeight w:val="313"/>
        </w:trPr>
        <w:tc>
          <w:tcPr>
            <w:tcW w:w="577" w:type="pct"/>
            <w:shd w:val="clear" w:color="auto" w:fill="auto"/>
            <w:vAlign w:val="center"/>
          </w:tcPr>
          <w:p w:rsidR="009251B2" w:rsidRPr="0066794C" w:rsidRDefault="009251B2" w:rsidP="00DE03FB">
            <w:pPr>
              <w:jc w:val="center"/>
              <w:rPr>
                <w:rFonts w:ascii="Arial" w:hAnsi="Arial" w:cs="Arial"/>
                <w:b/>
                <w:sz w:val="22"/>
                <w:szCs w:val="22"/>
              </w:rPr>
            </w:pPr>
            <w:r w:rsidRPr="0066794C">
              <w:rPr>
                <w:rFonts w:ascii="Arial" w:hAnsi="Arial" w:cs="Arial"/>
                <w:b/>
                <w:sz w:val="22"/>
                <w:szCs w:val="22"/>
              </w:rPr>
              <w:t>Building Type</w:t>
            </w:r>
          </w:p>
        </w:tc>
        <w:tc>
          <w:tcPr>
            <w:tcW w:w="577" w:type="pct"/>
            <w:shd w:val="clear" w:color="auto" w:fill="auto"/>
            <w:vAlign w:val="center"/>
          </w:tcPr>
          <w:p w:rsidR="009251B2" w:rsidRPr="0066794C" w:rsidRDefault="009251B2" w:rsidP="00DE03FB">
            <w:pPr>
              <w:jc w:val="center"/>
              <w:rPr>
                <w:rFonts w:ascii="Arial" w:hAnsi="Arial" w:cs="Arial"/>
                <w:b/>
                <w:sz w:val="22"/>
                <w:szCs w:val="22"/>
              </w:rPr>
            </w:pPr>
            <w:r w:rsidRPr="0066794C">
              <w:rPr>
                <w:rFonts w:ascii="Arial" w:hAnsi="Arial" w:cs="Arial"/>
                <w:b/>
                <w:sz w:val="22"/>
                <w:szCs w:val="22"/>
              </w:rPr>
              <w:t>Building Vintage</w:t>
            </w:r>
          </w:p>
        </w:tc>
        <w:tc>
          <w:tcPr>
            <w:tcW w:w="533" w:type="pct"/>
            <w:shd w:val="clear" w:color="auto" w:fill="auto"/>
            <w:vAlign w:val="center"/>
          </w:tcPr>
          <w:p w:rsidR="009251B2" w:rsidRPr="0066794C" w:rsidRDefault="009251B2" w:rsidP="00DE03FB">
            <w:pPr>
              <w:jc w:val="center"/>
              <w:rPr>
                <w:rFonts w:ascii="Arial" w:hAnsi="Arial" w:cs="Arial"/>
                <w:b/>
                <w:sz w:val="22"/>
                <w:szCs w:val="22"/>
              </w:rPr>
            </w:pPr>
            <w:r w:rsidRPr="0066794C">
              <w:rPr>
                <w:rFonts w:ascii="Arial" w:hAnsi="Arial" w:cs="Arial"/>
                <w:b/>
                <w:sz w:val="22"/>
                <w:szCs w:val="22"/>
              </w:rPr>
              <w:t>Climate Zone</w:t>
            </w:r>
          </w:p>
        </w:tc>
        <w:tc>
          <w:tcPr>
            <w:tcW w:w="365" w:type="pct"/>
            <w:shd w:val="clear" w:color="auto" w:fill="auto"/>
            <w:vAlign w:val="center"/>
          </w:tcPr>
          <w:p w:rsidR="009251B2" w:rsidRPr="0066794C" w:rsidRDefault="009251B2" w:rsidP="00DE03FB">
            <w:pPr>
              <w:jc w:val="center"/>
              <w:rPr>
                <w:rFonts w:ascii="Arial" w:hAnsi="Arial" w:cs="Arial"/>
                <w:b/>
                <w:sz w:val="22"/>
                <w:szCs w:val="22"/>
              </w:rPr>
            </w:pPr>
            <w:r w:rsidRPr="0066794C">
              <w:rPr>
                <w:rFonts w:ascii="Arial" w:hAnsi="Arial" w:cs="Arial"/>
                <w:b/>
                <w:sz w:val="22"/>
                <w:szCs w:val="22"/>
              </w:rPr>
              <w:t>EUL (yrs)</w:t>
            </w:r>
          </w:p>
        </w:tc>
        <w:tc>
          <w:tcPr>
            <w:tcW w:w="365" w:type="pct"/>
            <w:vAlign w:val="center"/>
          </w:tcPr>
          <w:p w:rsidR="009251B2" w:rsidRPr="0066794C" w:rsidRDefault="009251B2" w:rsidP="00DE03FB">
            <w:pPr>
              <w:jc w:val="center"/>
              <w:rPr>
                <w:rFonts w:ascii="Arial" w:hAnsi="Arial" w:cs="Arial"/>
                <w:b/>
                <w:sz w:val="22"/>
                <w:szCs w:val="22"/>
              </w:rPr>
            </w:pPr>
            <w:r w:rsidRPr="0066794C">
              <w:rPr>
                <w:rFonts w:ascii="Arial" w:hAnsi="Arial" w:cs="Arial"/>
                <w:b/>
                <w:sz w:val="22"/>
                <w:szCs w:val="22"/>
              </w:rPr>
              <w:t>RUL (yrs)</w:t>
            </w:r>
          </w:p>
        </w:tc>
        <w:tc>
          <w:tcPr>
            <w:tcW w:w="589" w:type="pct"/>
            <w:shd w:val="clear" w:color="auto" w:fill="auto"/>
            <w:vAlign w:val="center"/>
          </w:tcPr>
          <w:p w:rsidR="009251B2" w:rsidRPr="0066794C" w:rsidRDefault="009251B2" w:rsidP="00DE03FB">
            <w:pPr>
              <w:jc w:val="center"/>
              <w:rPr>
                <w:rFonts w:ascii="Arial" w:hAnsi="Arial" w:cs="Arial"/>
                <w:b/>
                <w:sz w:val="22"/>
                <w:szCs w:val="22"/>
              </w:rPr>
            </w:pPr>
            <w:r w:rsidRPr="0066794C">
              <w:rPr>
                <w:rFonts w:ascii="Arial" w:hAnsi="Arial" w:cs="Arial"/>
                <w:b/>
                <w:sz w:val="22"/>
                <w:szCs w:val="22"/>
              </w:rPr>
              <w:t>DEER Version</w:t>
            </w:r>
          </w:p>
        </w:tc>
        <w:tc>
          <w:tcPr>
            <w:tcW w:w="605" w:type="pct"/>
            <w:shd w:val="clear" w:color="auto" w:fill="auto"/>
            <w:vAlign w:val="center"/>
          </w:tcPr>
          <w:p w:rsidR="009251B2" w:rsidRPr="0066794C" w:rsidRDefault="009251B2" w:rsidP="00DE03FB">
            <w:pPr>
              <w:jc w:val="center"/>
              <w:rPr>
                <w:rFonts w:ascii="Arial" w:hAnsi="Arial" w:cs="Arial"/>
                <w:b/>
                <w:sz w:val="22"/>
                <w:szCs w:val="22"/>
              </w:rPr>
            </w:pPr>
            <w:r>
              <w:rPr>
                <w:rFonts w:ascii="Arial" w:hAnsi="Arial" w:cs="Arial"/>
                <w:b/>
                <w:sz w:val="22"/>
                <w:szCs w:val="22"/>
              </w:rPr>
              <w:t>EUL</w:t>
            </w:r>
            <w:r w:rsidRPr="0066794C">
              <w:rPr>
                <w:rFonts w:ascii="Arial" w:hAnsi="Arial" w:cs="Arial"/>
                <w:b/>
                <w:sz w:val="22"/>
                <w:szCs w:val="22"/>
              </w:rPr>
              <w:t xml:space="preserve"> IDs</w:t>
            </w:r>
          </w:p>
        </w:tc>
        <w:tc>
          <w:tcPr>
            <w:tcW w:w="752" w:type="pct"/>
            <w:vAlign w:val="center"/>
          </w:tcPr>
          <w:p w:rsidR="009251B2" w:rsidRPr="0066794C" w:rsidRDefault="009251B2" w:rsidP="00DE03FB">
            <w:pPr>
              <w:jc w:val="center"/>
              <w:rPr>
                <w:rFonts w:ascii="Arial" w:hAnsi="Arial" w:cs="Arial"/>
                <w:b/>
                <w:sz w:val="22"/>
                <w:szCs w:val="22"/>
              </w:rPr>
            </w:pPr>
            <w:r>
              <w:rPr>
                <w:rFonts w:ascii="Arial" w:hAnsi="Arial" w:cs="Arial"/>
                <w:b/>
                <w:sz w:val="22"/>
                <w:szCs w:val="22"/>
              </w:rPr>
              <w:t>Description</w:t>
            </w:r>
          </w:p>
        </w:tc>
        <w:tc>
          <w:tcPr>
            <w:tcW w:w="637" w:type="pct"/>
            <w:vAlign w:val="center"/>
          </w:tcPr>
          <w:p w:rsidR="009251B2" w:rsidRDefault="009251B2" w:rsidP="009251B2">
            <w:pPr>
              <w:jc w:val="center"/>
              <w:rPr>
                <w:rFonts w:ascii="Arial" w:hAnsi="Arial" w:cs="Arial"/>
                <w:b/>
                <w:sz w:val="22"/>
                <w:szCs w:val="22"/>
              </w:rPr>
            </w:pPr>
            <w:r>
              <w:rPr>
                <w:rFonts w:ascii="Arial" w:hAnsi="Arial" w:cs="Arial"/>
                <w:b/>
                <w:sz w:val="22"/>
                <w:szCs w:val="22"/>
              </w:rPr>
              <w:t>Index Number</w:t>
            </w:r>
          </w:p>
        </w:tc>
      </w:tr>
      <w:tr w:rsidR="009251B2" w:rsidRPr="006B229A" w:rsidTr="009251B2">
        <w:trPr>
          <w:trHeight w:val="416"/>
        </w:trPr>
        <w:tc>
          <w:tcPr>
            <w:tcW w:w="577" w:type="pct"/>
            <w:shd w:val="clear" w:color="auto" w:fill="auto"/>
            <w:vAlign w:val="center"/>
          </w:tcPr>
          <w:p w:rsidR="009251B2" w:rsidRPr="006B229A" w:rsidRDefault="009251B2" w:rsidP="00DE03FB">
            <w:pPr>
              <w:jc w:val="center"/>
              <w:rPr>
                <w:rFonts w:ascii="Arial" w:hAnsi="Arial" w:cs="Arial"/>
                <w:sz w:val="18"/>
                <w:szCs w:val="18"/>
              </w:rPr>
            </w:pPr>
            <w:r w:rsidRPr="006B229A">
              <w:rPr>
                <w:rFonts w:ascii="Arial" w:hAnsi="Arial" w:cs="Arial"/>
                <w:sz w:val="18"/>
                <w:szCs w:val="18"/>
              </w:rPr>
              <w:t>ALL</w:t>
            </w:r>
          </w:p>
        </w:tc>
        <w:tc>
          <w:tcPr>
            <w:tcW w:w="577" w:type="pct"/>
            <w:shd w:val="clear" w:color="auto" w:fill="auto"/>
            <w:vAlign w:val="center"/>
          </w:tcPr>
          <w:p w:rsidR="009251B2" w:rsidRPr="006B229A" w:rsidRDefault="009251B2" w:rsidP="00DE03FB">
            <w:pPr>
              <w:keepNext/>
              <w:keepLines/>
              <w:jc w:val="center"/>
              <w:rPr>
                <w:rFonts w:ascii="Arial" w:hAnsi="Arial" w:cs="Arial"/>
                <w:sz w:val="18"/>
                <w:szCs w:val="18"/>
              </w:rPr>
            </w:pPr>
            <w:r w:rsidRPr="006B229A">
              <w:rPr>
                <w:rFonts w:ascii="Arial" w:hAnsi="Arial" w:cs="Arial"/>
                <w:sz w:val="18"/>
                <w:szCs w:val="18"/>
              </w:rPr>
              <w:t>EX</w:t>
            </w:r>
          </w:p>
        </w:tc>
        <w:tc>
          <w:tcPr>
            <w:tcW w:w="533" w:type="pct"/>
            <w:shd w:val="clear" w:color="auto" w:fill="auto"/>
            <w:vAlign w:val="center"/>
          </w:tcPr>
          <w:p w:rsidR="009251B2" w:rsidRPr="006B229A" w:rsidRDefault="009251B2" w:rsidP="00DE03FB">
            <w:pPr>
              <w:keepNext/>
              <w:keepLines/>
              <w:jc w:val="center"/>
              <w:rPr>
                <w:rFonts w:ascii="Arial" w:hAnsi="Arial" w:cs="Arial"/>
                <w:sz w:val="18"/>
                <w:szCs w:val="18"/>
              </w:rPr>
            </w:pPr>
            <w:r>
              <w:rPr>
                <w:rFonts w:ascii="Arial" w:hAnsi="Arial" w:cs="Arial"/>
                <w:sz w:val="18"/>
                <w:szCs w:val="18"/>
              </w:rPr>
              <w:t>PG&amp;E</w:t>
            </w:r>
          </w:p>
        </w:tc>
        <w:tc>
          <w:tcPr>
            <w:tcW w:w="365" w:type="pct"/>
            <w:shd w:val="clear" w:color="auto" w:fill="auto"/>
            <w:vAlign w:val="center"/>
          </w:tcPr>
          <w:p w:rsidR="009251B2" w:rsidRPr="006B229A" w:rsidRDefault="009251B2" w:rsidP="00DE03FB">
            <w:pPr>
              <w:jc w:val="center"/>
              <w:rPr>
                <w:rFonts w:ascii="Arial" w:hAnsi="Arial" w:cs="Arial"/>
                <w:sz w:val="18"/>
                <w:szCs w:val="18"/>
              </w:rPr>
            </w:pPr>
            <w:r>
              <w:rPr>
                <w:rFonts w:ascii="Arial" w:hAnsi="Arial" w:cs="Arial"/>
                <w:sz w:val="18"/>
                <w:szCs w:val="18"/>
              </w:rPr>
              <w:t>20</w:t>
            </w:r>
          </w:p>
        </w:tc>
        <w:tc>
          <w:tcPr>
            <w:tcW w:w="365" w:type="pct"/>
            <w:vAlign w:val="center"/>
          </w:tcPr>
          <w:p w:rsidR="009251B2" w:rsidRPr="006B229A" w:rsidRDefault="009251B2" w:rsidP="00DE03FB">
            <w:pPr>
              <w:jc w:val="center"/>
              <w:rPr>
                <w:rFonts w:ascii="Arial" w:hAnsi="Arial" w:cs="Arial"/>
                <w:sz w:val="18"/>
                <w:szCs w:val="18"/>
              </w:rPr>
            </w:pPr>
            <w:r>
              <w:rPr>
                <w:rFonts w:ascii="Arial" w:hAnsi="Arial" w:cs="Arial"/>
                <w:sz w:val="18"/>
                <w:szCs w:val="18"/>
              </w:rPr>
              <w:t>6.7</w:t>
            </w:r>
          </w:p>
        </w:tc>
        <w:tc>
          <w:tcPr>
            <w:tcW w:w="589" w:type="pct"/>
            <w:shd w:val="clear" w:color="auto" w:fill="auto"/>
            <w:vAlign w:val="center"/>
          </w:tcPr>
          <w:p w:rsidR="009251B2" w:rsidRPr="006B229A" w:rsidRDefault="009251B2" w:rsidP="007D451F">
            <w:pPr>
              <w:jc w:val="center"/>
              <w:rPr>
                <w:rFonts w:ascii="Arial" w:hAnsi="Arial" w:cs="Arial"/>
                <w:sz w:val="18"/>
                <w:szCs w:val="18"/>
              </w:rPr>
            </w:pPr>
            <w:r w:rsidRPr="006B229A">
              <w:rPr>
                <w:rFonts w:ascii="Arial" w:hAnsi="Arial" w:cs="Arial"/>
                <w:sz w:val="18"/>
                <w:szCs w:val="18"/>
              </w:rPr>
              <w:t>DEER201</w:t>
            </w:r>
            <w:r w:rsidR="007D451F">
              <w:rPr>
                <w:rFonts w:ascii="Arial" w:hAnsi="Arial" w:cs="Arial"/>
                <w:sz w:val="18"/>
                <w:szCs w:val="18"/>
              </w:rPr>
              <w:t>4</w:t>
            </w:r>
          </w:p>
        </w:tc>
        <w:tc>
          <w:tcPr>
            <w:tcW w:w="605" w:type="pct"/>
            <w:shd w:val="clear" w:color="auto" w:fill="auto"/>
            <w:vAlign w:val="center"/>
          </w:tcPr>
          <w:p w:rsidR="009251B2" w:rsidRPr="006B229A" w:rsidRDefault="009251B2" w:rsidP="00DE03FB">
            <w:pPr>
              <w:jc w:val="center"/>
              <w:rPr>
                <w:rFonts w:ascii="Arial" w:hAnsi="Arial" w:cs="Arial"/>
                <w:sz w:val="18"/>
                <w:szCs w:val="18"/>
              </w:rPr>
            </w:pPr>
            <w:r w:rsidRPr="00DE03FB">
              <w:rPr>
                <w:rFonts w:ascii="Arial" w:hAnsi="Arial" w:cs="Arial"/>
                <w:sz w:val="18"/>
                <w:szCs w:val="18"/>
              </w:rPr>
              <w:t>PrcHt-Blr</w:t>
            </w:r>
          </w:p>
        </w:tc>
        <w:tc>
          <w:tcPr>
            <w:tcW w:w="752" w:type="pct"/>
            <w:vAlign w:val="center"/>
          </w:tcPr>
          <w:p w:rsidR="009251B2" w:rsidRDefault="009251B2" w:rsidP="00DE03FB">
            <w:pPr>
              <w:jc w:val="center"/>
              <w:rPr>
                <w:rFonts w:ascii="Arial" w:hAnsi="Arial" w:cs="Arial"/>
                <w:sz w:val="18"/>
                <w:szCs w:val="18"/>
              </w:rPr>
            </w:pPr>
            <w:r w:rsidRPr="00DE03FB">
              <w:rPr>
                <w:rFonts w:ascii="Arial" w:hAnsi="Arial" w:cs="Arial"/>
                <w:sz w:val="18"/>
                <w:szCs w:val="18"/>
              </w:rPr>
              <w:t>High Efficiency Boiler</w:t>
            </w:r>
          </w:p>
        </w:tc>
        <w:tc>
          <w:tcPr>
            <w:tcW w:w="637" w:type="pct"/>
            <w:vAlign w:val="center"/>
          </w:tcPr>
          <w:p w:rsidR="009251B2" w:rsidRPr="00DE03FB" w:rsidRDefault="009251B2" w:rsidP="009251B2">
            <w:pPr>
              <w:jc w:val="center"/>
              <w:rPr>
                <w:rFonts w:ascii="Arial" w:hAnsi="Arial" w:cs="Arial"/>
                <w:sz w:val="18"/>
                <w:szCs w:val="18"/>
              </w:rPr>
            </w:pPr>
            <w:r>
              <w:rPr>
                <w:rFonts w:ascii="Arial" w:hAnsi="Arial" w:cs="Arial"/>
                <w:sz w:val="18"/>
                <w:szCs w:val="18"/>
              </w:rPr>
              <w:t>457</w:t>
            </w:r>
          </w:p>
        </w:tc>
      </w:tr>
      <w:tr w:rsidR="009251B2" w:rsidRPr="006B229A" w:rsidTr="009251B2">
        <w:trPr>
          <w:trHeight w:val="416"/>
        </w:trPr>
        <w:tc>
          <w:tcPr>
            <w:tcW w:w="577" w:type="pct"/>
            <w:shd w:val="clear" w:color="auto" w:fill="auto"/>
            <w:vAlign w:val="center"/>
          </w:tcPr>
          <w:p w:rsidR="009251B2" w:rsidRPr="006B229A" w:rsidRDefault="009251B2" w:rsidP="00DE03FB">
            <w:pPr>
              <w:jc w:val="center"/>
              <w:rPr>
                <w:rFonts w:ascii="Arial" w:hAnsi="Arial" w:cs="Arial"/>
                <w:sz w:val="18"/>
                <w:szCs w:val="18"/>
              </w:rPr>
            </w:pPr>
            <w:r w:rsidRPr="006B229A">
              <w:rPr>
                <w:rFonts w:ascii="Arial" w:hAnsi="Arial" w:cs="Arial"/>
                <w:sz w:val="18"/>
                <w:szCs w:val="18"/>
              </w:rPr>
              <w:t>ALL</w:t>
            </w:r>
          </w:p>
        </w:tc>
        <w:tc>
          <w:tcPr>
            <w:tcW w:w="577" w:type="pct"/>
            <w:shd w:val="clear" w:color="auto" w:fill="auto"/>
            <w:vAlign w:val="center"/>
          </w:tcPr>
          <w:p w:rsidR="009251B2" w:rsidRPr="006B229A" w:rsidRDefault="009251B2" w:rsidP="00DE03FB">
            <w:pPr>
              <w:keepNext/>
              <w:keepLines/>
              <w:jc w:val="center"/>
              <w:rPr>
                <w:rFonts w:ascii="Arial" w:hAnsi="Arial" w:cs="Arial"/>
                <w:sz w:val="18"/>
                <w:szCs w:val="18"/>
              </w:rPr>
            </w:pPr>
            <w:r w:rsidRPr="006B229A">
              <w:rPr>
                <w:rFonts w:ascii="Arial" w:hAnsi="Arial" w:cs="Arial"/>
                <w:sz w:val="18"/>
                <w:szCs w:val="18"/>
              </w:rPr>
              <w:t>EX</w:t>
            </w:r>
          </w:p>
        </w:tc>
        <w:tc>
          <w:tcPr>
            <w:tcW w:w="533" w:type="pct"/>
            <w:shd w:val="clear" w:color="auto" w:fill="auto"/>
            <w:vAlign w:val="center"/>
          </w:tcPr>
          <w:p w:rsidR="009251B2" w:rsidRPr="006B229A" w:rsidRDefault="009251B2" w:rsidP="00DE03FB">
            <w:pPr>
              <w:keepNext/>
              <w:keepLines/>
              <w:jc w:val="center"/>
              <w:rPr>
                <w:rFonts w:ascii="Arial" w:hAnsi="Arial" w:cs="Arial"/>
                <w:sz w:val="18"/>
                <w:szCs w:val="18"/>
              </w:rPr>
            </w:pPr>
            <w:r>
              <w:rPr>
                <w:rFonts w:ascii="Arial" w:hAnsi="Arial" w:cs="Arial"/>
                <w:sz w:val="18"/>
                <w:szCs w:val="18"/>
              </w:rPr>
              <w:t>PG&amp;E</w:t>
            </w:r>
          </w:p>
        </w:tc>
        <w:tc>
          <w:tcPr>
            <w:tcW w:w="365" w:type="pct"/>
            <w:shd w:val="clear" w:color="auto" w:fill="auto"/>
            <w:vAlign w:val="center"/>
          </w:tcPr>
          <w:p w:rsidR="009251B2" w:rsidRPr="006B229A" w:rsidRDefault="009251B2" w:rsidP="00DE03FB">
            <w:pPr>
              <w:jc w:val="center"/>
              <w:rPr>
                <w:rFonts w:ascii="Arial" w:hAnsi="Arial" w:cs="Arial"/>
                <w:sz w:val="18"/>
                <w:szCs w:val="18"/>
              </w:rPr>
            </w:pPr>
            <w:r>
              <w:rPr>
                <w:rFonts w:ascii="Arial" w:hAnsi="Arial" w:cs="Arial"/>
                <w:sz w:val="18"/>
                <w:szCs w:val="18"/>
              </w:rPr>
              <w:t>20</w:t>
            </w:r>
          </w:p>
        </w:tc>
        <w:tc>
          <w:tcPr>
            <w:tcW w:w="365" w:type="pct"/>
            <w:vAlign w:val="center"/>
          </w:tcPr>
          <w:p w:rsidR="009251B2" w:rsidRPr="006B229A" w:rsidRDefault="009251B2" w:rsidP="00DE03FB">
            <w:pPr>
              <w:jc w:val="center"/>
              <w:rPr>
                <w:rFonts w:ascii="Arial" w:hAnsi="Arial" w:cs="Arial"/>
                <w:sz w:val="18"/>
                <w:szCs w:val="18"/>
              </w:rPr>
            </w:pPr>
            <w:r>
              <w:rPr>
                <w:rFonts w:ascii="Arial" w:hAnsi="Arial" w:cs="Arial"/>
                <w:sz w:val="18"/>
                <w:szCs w:val="18"/>
              </w:rPr>
              <w:t>6.7</w:t>
            </w:r>
          </w:p>
        </w:tc>
        <w:tc>
          <w:tcPr>
            <w:tcW w:w="589" w:type="pct"/>
            <w:shd w:val="clear" w:color="auto" w:fill="auto"/>
            <w:vAlign w:val="center"/>
          </w:tcPr>
          <w:p w:rsidR="009251B2" w:rsidRPr="006B229A" w:rsidRDefault="009251B2" w:rsidP="00DE03FB">
            <w:pPr>
              <w:jc w:val="center"/>
              <w:rPr>
                <w:rFonts w:ascii="Arial" w:hAnsi="Arial" w:cs="Arial"/>
                <w:sz w:val="18"/>
                <w:szCs w:val="18"/>
              </w:rPr>
            </w:pPr>
            <w:r w:rsidRPr="006B229A">
              <w:rPr>
                <w:rFonts w:ascii="Arial" w:hAnsi="Arial" w:cs="Arial"/>
                <w:sz w:val="18"/>
                <w:szCs w:val="18"/>
              </w:rPr>
              <w:t>DEER201</w:t>
            </w:r>
            <w:r w:rsidR="007D451F">
              <w:rPr>
                <w:rFonts w:ascii="Arial" w:hAnsi="Arial" w:cs="Arial"/>
                <w:sz w:val="18"/>
                <w:szCs w:val="18"/>
              </w:rPr>
              <w:t>4</w:t>
            </w:r>
          </w:p>
        </w:tc>
        <w:tc>
          <w:tcPr>
            <w:tcW w:w="605" w:type="pct"/>
            <w:shd w:val="clear" w:color="auto" w:fill="auto"/>
            <w:vAlign w:val="center"/>
          </w:tcPr>
          <w:p w:rsidR="009251B2" w:rsidRPr="00FD5A48" w:rsidRDefault="009251B2" w:rsidP="00DE03FB">
            <w:pPr>
              <w:jc w:val="center"/>
              <w:rPr>
                <w:rFonts w:ascii="Arial" w:hAnsi="Arial" w:cs="Arial"/>
                <w:sz w:val="18"/>
                <w:szCs w:val="18"/>
              </w:rPr>
            </w:pPr>
            <w:r w:rsidRPr="00DE03FB">
              <w:rPr>
                <w:rFonts w:ascii="Arial" w:hAnsi="Arial" w:cs="Arial"/>
                <w:sz w:val="18"/>
                <w:szCs w:val="18"/>
              </w:rPr>
              <w:t>PrcHt-StmBlr</w:t>
            </w:r>
          </w:p>
        </w:tc>
        <w:tc>
          <w:tcPr>
            <w:tcW w:w="752" w:type="pct"/>
            <w:vAlign w:val="center"/>
          </w:tcPr>
          <w:p w:rsidR="009251B2" w:rsidRPr="00FD5A48" w:rsidRDefault="009251B2" w:rsidP="00DE03FB">
            <w:pPr>
              <w:jc w:val="center"/>
              <w:rPr>
                <w:rFonts w:ascii="Arial" w:hAnsi="Arial" w:cs="Arial"/>
                <w:sz w:val="18"/>
                <w:szCs w:val="18"/>
              </w:rPr>
            </w:pPr>
            <w:r w:rsidRPr="00DE03FB">
              <w:rPr>
                <w:rFonts w:ascii="Arial" w:hAnsi="Arial" w:cs="Arial"/>
                <w:sz w:val="18"/>
                <w:szCs w:val="18"/>
              </w:rPr>
              <w:t>High Efficiency Boiler</w:t>
            </w:r>
          </w:p>
        </w:tc>
        <w:tc>
          <w:tcPr>
            <w:tcW w:w="637" w:type="pct"/>
            <w:vAlign w:val="center"/>
          </w:tcPr>
          <w:p w:rsidR="009251B2" w:rsidRPr="00DE03FB" w:rsidRDefault="009251B2" w:rsidP="009251B2">
            <w:pPr>
              <w:jc w:val="center"/>
              <w:rPr>
                <w:rFonts w:ascii="Arial" w:hAnsi="Arial" w:cs="Arial"/>
                <w:sz w:val="18"/>
                <w:szCs w:val="18"/>
              </w:rPr>
            </w:pPr>
            <w:r>
              <w:rPr>
                <w:rFonts w:ascii="Arial" w:hAnsi="Arial" w:cs="Arial"/>
                <w:sz w:val="18"/>
                <w:szCs w:val="18"/>
              </w:rPr>
              <w:t>553</w:t>
            </w:r>
          </w:p>
        </w:tc>
      </w:tr>
    </w:tbl>
    <w:p w:rsidR="00DE03FB" w:rsidRDefault="00DE03FB" w:rsidP="00DE03FB">
      <w:pPr>
        <w:rPr>
          <w:rFonts w:ascii="Arial" w:hAnsi="Arial" w:cs="Arial"/>
          <w:b/>
        </w:rPr>
      </w:pPr>
    </w:p>
    <w:p w:rsidR="00DE03FB" w:rsidRPr="0065193C" w:rsidRDefault="00DE03FB" w:rsidP="00DE03FB">
      <w:pPr>
        <w:tabs>
          <w:tab w:val="left" w:pos="6435"/>
        </w:tabs>
        <w:rPr>
          <w:rFonts w:ascii="Arial" w:hAnsi="Arial" w:cs="Arial"/>
          <w:sz w:val="22"/>
          <w:szCs w:val="22"/>
        </w:rPr>
      </w:pPr>
      <w:r>
        <w:rPr>
          <w:rFonts w:ascii="Arial" w:hAnsi="Arial" w:cs="Arial"/>
          <w:sz w:val="22"/>
          <w:szCs w:val="22"/>
        </w:rPr>
        <w:t>The EUL and RUL</w:t>
      </w:r>
      <w:r w:rsidR="00E406EA">
        <w:rPr>
          <w:rFonts w:ascii="Arial" w:hAnsi="Arial" w:cs="Arial"/>
          <w:sz w:val="22"/>
          <w:szCs w:val="22"/>
        </w:rPr>
        <w:fldChar w:fldCharType="begin"/>
      </w:r>
      <w:r>
        <w:instrText xml:space="preserve"> XE "</w:instrText>
      </w:r>
      <w:r w:rsidRPr="0064030B">
        <w:rPr>
          <w:rFonts w:ascii="Arial" w:hAnsi="Arial" w:cs="Arial"/>
          <w:sz w:val="22"/>
          <w:szCs w:val="22"/>
        </w:rPr>
        <w:instrText>NTG Ratios</w:instrText>
      </w:r>
      <w:r>
        <w:instrText xml:space="preserve">" </w:instrText>
      </w:r>
      <w:r w:rsidR="00E406EA">
        <w:rPr>
          <w:rFonts w:ascii="Arial" w:hAnsi="Arial" w:cs="Arial"/>
          <w:sz w:val="22"/>
          <w:szCs w:val="22"/>
        </w:rPr>
        <w:fldChar w:fldCharType="end"/>
      </w:r>
      <w:r>
        <w:rPr>
          <w:rFonts w:ascii="Arial" w:hAnsi="Arial" w:cs="Arial"/>
          <w:sz w:val="22"/>
          <w:szCs w:val="22"/>
        </w:rPr>
        <w:t xml:space="preserve"> values in the table above</w:t>
      </w:r>
      <w:r w:rsidRPr="0065193C">
        <w:rPr>
          <w:rFonts w:ascii="Arial" w:hAnsi="Arial" w:cs="Arial"/>
          <w:sz w:val="22"/>
          <w:szCs w:val="22"/>
        </w:rPr>
        <w:t xml:space="preserve"> are appropriate for the measures because:</w:t>
      </w:r>
    </w:p>
    <w:p w:rsidR="00DE03FB" w:rsidRPr="0065193C" w:rsidRDefault="00DE03FB" w:rsidP="00DE03FB">
      <w:pPr>
        <w:numPr>
          <w:ilvl w:val="0"/>
          <w:numId w:val="24"/>
        </w:numPr>
        <w:rPr>
          <w:rFonts w:ascii="Arial" w:hAnsi="Arial" w:cs="Arial"/>
          <w:sz w:val="22"/>
          <w:szCs w:val="22"/>
        </w:rPr>
      </w:pPr>
      <w:r>
        <w:rPr>
          <w:rFonts w:ascii="Arial" w:hAnsi="Arial" w:cs="Arial"/>
          <w:sz w:val="22"/>
          <w:szCs w:val="22"/>
        </w:rPr>
        <w:t>Measure description matches Use Category, Use Sub Category, and Tech Group</w:t>
      </w:r>
    </w:p>
    <w:p w:rsidR="00DE03FB" w:rsidRDefault="00DE03FB" w:rsidP="00DE03FB">
      <w:pPr>
        <w:rPr>
          <w:rFonts w:ascii="Arial" w:hAnsi="Arial" w:cs="Arial"/>
          <w:b/>
        </w:rPr>
      </w:pPr>
    </w:p>
    <w:p w:rsidR="00DE03FB" w:rsidRPr="00786F05" w:rsidRDefault="00DE03FB" w:rsidP="00DE03FB">
      <w:pPr>
        <w:rPr>
          <w:rFonts w:ascii="Arial" w:hAnsi="Arial" w:cs="Arial"/>
          <w:b/>
        </w:rPr>
      </w:pPr>
      <w:r w:rsidRPr="00786F05">
        <w:rPr>
          <w:rFonts w:ascii="Arial" w:hAnsi="Arial" w:cs="Arial"/>
          <w:b/>
        </w:rPr>
        <w:t>In-service rate/first year installation rate:</w:t>
      </w:r>
    </w:p>
    <w:p w:rsidR="00786F05" w:rsidRPr="00A961E9" w:rsidRDefault="00DE03FB" w:rsidP="00DE03FB">
      <w:pPr>
        <w:rPr>
          <w:color w:val="FF0000"/>
        </w:rPr>
      </w:pPr>
      <w:r w:rsidRPr="00786F05">
        <w:rPr>
          <w:rFonts w:ascii="Arial" w:hAnsi="Arial" w:cs="Arial"/>
          <w:sz w:val="22"/>
          <w:szCs w:val="22"/>
        </w:rPr>
        <w:t>In-service rate was not found in DEER or any supporting documentation. We have therefore assumed that the ISR is 1.0 for all measures based on engineering judgment.</w:t>
      </w:r>
    </w:p>
    <w:p w:rsidR="00E16FD8" w:rsidRDefault="00E16FD8" w:rsidP="00C84349">
      <w:pPr>
        <w:pStyle w:val="Heading2"/>
        <w:spacing w:before="0" w:after="0"/>
        <w:sectPr w:rsidR="00E16FD8" w:rsidSect="00DD43C2">
          <w:endnotePr>
            <w:numFmt w:val="decimal"/>
          </w:endnotePr>
          <w:pgSz w:w="12240" w:h="15840"/>
          <w:pgMar w:top="1440" w:right="1440" w:bottom="1440" w:left="1440" w:header="720" w:footer="720" w:gutter="0"/>
          <w:pgNumType w:chapStyle="1"/>
          <w:cols w:space="720"/>
          <w:docGrid w:linePitch="360"/>
        </w:sectPr>
      </w:pPr>
    </w:p>
    <w:p w:rsidR="00815281" w:rsidRDefault="001248A3" w:rsidP="00C84349">
      <w:pPr>
        <w:pStyle w:val="Heading2"/>
        <w:spacing w:before="0" w:after="0"/>
      </w:pPr>
      <w:bookmarkStart w:id="31" w:name="_Toc386966977"/>
      <w:r w:rsidRPr="00CF0C1F">
        <w:t>1.</w:t>
      </w:r>
      <w:r w:rsidR="00FA595F" w:rsidRPr="00CF0C1F">
        <w:t>4</w:t>
      </w:r>
      <w:r w:rsidR="00793646" w:rsidRPr="00CF0C1F">
        <w:t>.2</w:t>
      </w:r>
      <w:r w:rsidR="00FA595F" w:rsidRPr="00CF0C1F">
        <w:t xml:space="preserve"> </w:t>
      </w:r>
      <w:r w:rsidR="00E71EF1" w:rsidRPr="00CF0C1F">
        <w:t xml:space="preserve">Codes &amp; Standards Requirements </w:t>
      </w:r>
      <w:r w:rsidR="009C5CA7" w:rsidRPr="00CF0C1F">
        <w:t>Base Case and Measure Information</w:t>
      </w:r>
      <w:bookmarkEnd w:id="31"/>
    </w:p>
    <w:p w:rsidR="00844529" w:rsidRPr="009A04C7" w:rsidRDefault="00844529" w:rsidP="00844529">
      <w:pPr>
        <w:rPr>
          <w:rFonts w:ascii="Arial" w:hAnsi="Arial" w:cs="Arial"/>
          <w:sz w:val="22"/>
          <w:szCs w:val="22"/>
        </w:rPr>
      </w:pPr>
      <w:r>
        <w:rPr>
          <w:rFonts w:ascii="Arial" w:hAnsi="Arial" w:cs="Arial"/>
          <w:sz w:val="22"/>
          <w:szCs w:val="22"/>
        </w:rPr>
        <w:t>It should be noted that the more stringent code be applied in all applicable situations. In this case, 2013 Title 24 code supersedes the 2012 Title 20 code as the regulatory baseline for all measures.</w:t>
      </w:r>
    </w:p>
    <w:p w:rsidR="00530D89" w:rsidRPr="00CF0C1F" w:rsidRDefault="00530D89" w:rsidP="00530D89">
      <w:pPr>
        <w:rPr>
          <w:rFonts w:ascii="Arial" w:hAnsi="Arial" w:cs="Arial"/>
        </w:rPr>
      </w:pPr>
    </w:p>
    <w:p w:rsidR="008E0A03" w:rsidRPr="00CF0C1F" w:rsidRDefault="00EE53FF" w:rsidP="00BA4375">
      <w:pPr>
        <w:autoSpaceDE w:val="0"/>
        <w:autoSpaceDN w:val="0"/>
        <w:adjustRightInd w:val="0"/>
        <w:rPr>
          <w:rFonts w:ascii="Arial" w:hAnsi="Arial" w:cs="Arial"/>
          <w:sz w:val="22"/>
          <w:szCs w:val="22"/>
        </w:rPr>
      </w:pPr>
      <w:r w:rsidRPr="00CF0C1F">
        <w:rPr>
          <w:rFonts w:ascii="Arial" w:hAnsi="Arial" w:cs="Arial"/>
          <w:b/>
          <w:i/>
        </w:rPr>
        <w:t>Title 20</w:t>
      </w:r>
      <w:r w:rsidR="00E406EA" w:rsidRPr="00CF0C1F">
        <w:rPr>
          <w:rFonts w:ascii="Arial" w:hAnsi="Arial" w:cs="Arial"/>
          <w:b/>
          <w:i/>
        </w:rPr>
        <w:fldChar w:fldCharType="begin"/>
      </w:r>
      <w:r w:rsidR="00EC6D48" w:rsidRPr="00CF0C1F">
        <w:instrText xml:space="preserve"> XE "</w:instrText>
      </w:r>
      <w:r w:rsidR="00EC6D48" w:rsidRPr="00CF0C1F">
        <w:rPr>
          <w:rFonts w:ascii="Arial" w:hAnsi="Arial" w:cs="Arial"/>
          <w:b/>
          <w:i/>
        </w:rPr>
        <w:instrText>Title 20</w:instrText>
      </w:r>
      <w:r w:rsidR="00EC6D48" w:rsidRPr="00CF0C1F">
        <w:instrText xml:space="preserve">" </w:instrText>
      </w:r>
      <w:r w:rsidR="00E406EA" w:rsidRPr="00CF0C1F">
        <w:rPr>
          <w:rFonts w:ascii="Arial" w:hAnsi="Arial" w:cs="Arial"/>
          <w:b/>
          <w:i/>
        </w:rPr>
        <w:fldChar w:fldCharType="end"/>
      </w:r>
      <w:r w:rsidRPr="00CF0C1F">
        <w:rPr>
          <w:rFonts w:ascii="Arial" w:hAnsi="Arial" w:cs="Arial"/>
          <w:b/>
          <w:i/>
        </w:rPr>
        <w:t>:</w:t>
      </w:r>
      <w:r w:rsidRPr="00CF0C1F">
        <w:rPr>
          <w:rFonts w:ascii="Arial" w:hAnsi="Arial" w:cs="Arial"/>
        </w:rPr>
        <w:t xml:space="preserve"> </w:t>
      </w:r>
      <w:bookmarkStart w:id="32" w:name="_Ref189276216"/>
      <w:bookmarkStart w:id="33" w:name="_Toc225758842"/>
      <w:r w:rsidR="001C1257" w:rsidRPr="00CF0C1F">
        <w:rPr>
          <w:rFonts w:ascii="Arial" w:hAnsi="Arial" w:cs="Arial"/>
          <w:sz w:val="22"/>
          <w:szCs w:val="22"/>
        </w:rPr>
        <w:t xml:space="preserve">These measures do fall under Title 20 of the California Energy Regulations. </w:t>
      </w:r>
      <w:r w:rsidR="00BA4375" w:rsidRPr="00CF0C1F">
        <w:rPr>
          <w:rFonts w:ascii="Arial" w:hAnsi="Arial" w:cs="Arial"/>
          <w:sz w:val="22"/>
          <w:szCs w:val="22"/>
        </w:rPr>
        <w:t>Section 1605 of Title 20 states</w:t>
      </w:r>
      <w:r w:rsidR="001D0A48" w:rsidRPr="00CF0C1F">
        <w:rPr>
          <w:rStyle w:val="EndnoteReference"/>
          <w:rFonts w:ascii="Arial" w:hAnsi="Arial" w:cs="Arial"/>
          <w:sz w:val="22"/>
          <w:szCs w:val="22"/>
        </w:rPr>
        <w:endnoteReference w:id="6"/>
      </w:r>
      <w:r w:rsidR="001C1257" w:rsidRPr="00CF0C1F">
        <w:rPr>
          <w:rFonts w:ascii="Arial" w:hAnsi="Arial" w:cs="Arial"/>
          <w:sz w:val="22"/>
          <w:szCs w:val="22"/>
        </w:rPr>
        <w:t xml:space="preserve">: </w:t>
      </w:r>
    </w:p>
    <w:p w:rsidR="008E0A03" w:rsidRPr="00CF0C1F" w:rsidRDefault="008E0A03" w:rsidP="00BA4375">
      <w:pPr>
        <w:autoSpaceDE w:val="0"/>
        <w:autoSpaceDN w:val="0"/>
        <w:adjustRightInd w:val="0"/>
        <w:rPr>
          <w:rFonts w:ascii="Arial" w:hAnsi="Arial" w:cs="Arial"/>
          <w:sz w:val="22"/>
          <w:szCs w:val="22"/>
        </w:rPr>
      </w:pPr>
    </w:p>
    <w:p w:rsidR="001C1257" w:rsidRPr="00384319" w:rsidRDefault="00384319" w:rsidP="00384319">
      <w:pPr>
        <w:autoSpaceDE w:val="0"/>
        <w:autoSpaceDN w:val="0"/>
        <w:adjustRightInd w:val="0"/>
        <w:ind w:left="720"/>
        <w:rPr>
          <w:rFonts w:ascii="ArialMT" w:hAnsi="ArialMT" w:cs="ArialMT"/>
          <w:i/>
          <w:sz w:val="22"/>
          <w:szCs w:val="22"/>
        </w:rPr>
      </w:pPr>
      <w:r w:rsidRPr="00384319">
        <w:rPr>
          <w:rFonts w:ascii="ArialMT" w:hAnsi="ArialMT" w:cs="ArialMT"/>
          <w:i/>
          <w:sz w:val="22"/>
          <w:szCs w:val="22"/>
        </w:rPr>
        <w:t>The efficiency of boilers, central furnaces, duct furnaces, and unit heaters shall be no less than, and the standby loss shall be not greater than, the applicable values shown in Tables E-5, E-6, E-7, and E-8. The standards for unit heaters shown in Table E-8 only apply to models manufactured on or before August 8, 2008.</w:t>
      </w:r>
    </w:p>
    <w:p w:rsidR="00384319" w:rsidRPr="00CF0C1F" w:rsidRDefault="00384319" w:rsidP="00384319">
      <w:pPr>
        <w:rPr>
          <w:rFonts w:ascii="Arial" w:hAnsi="Arial" w:cs="Arial"/>
          <w:sz w:val="22"/>
          <w:szCs w:val="22"/>
        </w:rPr>
      </w:pPr>
    </w:p>
    <w:p w:rsidR="001C1257" w:rsidRPr="00CF0C1F" w:rsidRDefault="00BA4375" w:rsidP="00864083">
      <w:pPr>
        <w:rPr>
          <w:rFonts w:ascii="Arial" w:hAnsi="Arial" w:cs="Arial"/>
          <w:sz w:val="22"/>
          <w:szCs w:val="22"/>
        </w:rPr>
      </w:pPr>
      <w:r w:rsidRPr="00CF0C1F">
        <w:rPr>
          <w:rFonts w:ascii="Arial" w:hAnsi="Arial" w:cs="Arial"/>
          <w:sz w:val="22"/>
          <w:szCs w:val="22"/>
        </w:rPr>
        <w:t xml:space="preserve">The table below shows the </w:t>
      </w:r>
      <w:r w:rsidR="001C1257" w:rsidRPr="00CF0C1F">
        <w:rPr>
          <w:rFonts w:ascii="Arial" w:hAnsi="Arial" w:cs="Arial"/>
          <w:sz w:val="22"/>
          <w:szCs w:val="22"/>
        </w:rPr>
        <w:t>2012 California Title 20 Appliance Efficiency Regulations, Section 1605.1, Table E-</w:t>
      </w:r>
      <w:r w:rsidR="00384319">
        <w:rPr>
          <w:rFonts w:ascii="Arial" w:hAnsi="Arial" w:cs="Arial"/>
          <w:sz w:val="22"/>
          <w:szCs w:val="22"/>
        </w:rPr>
        <w:t>5</w:t>
      </w:r>
      <w:r w:rsidR="001C1257" w:rsidRPr="00CF0C1F">
        <w:rPr>
          <w:rFonts w:ascii="Arial" w:hAnsi="Arial" w:cs="Arial"/>
          <w:sz w:val="22"/>
          <w:szCs w:val="22"/>
        </w:rPr>
        <w:t xml:space="preserve">, </w:t>
      </w:r>
      <w:r w:rsidR="00C60319" w:rsidRPr="00CF0C1F">
        <w:rPr>
          <w:rFonts w:ascii="Arial" w:hAnsi="Arial" w:cs="Arial"/>
          <w:sz w:val="22"/>
          <w:szCs w:val="22"/>
        </w:rPr>
        <w:t>Standards for Gas- and Oil-Fired Central Boilers and Electric Residential Boilers.</w:t>
      </w:r>
      <w:r w:rsidR="001C1257" w:rsidRPr="00CF0C1F">
        <w:rPr>
          <w:rFonts w:ascii="Arial" w:hAnsi="Arial" w:cs="Arial"/>
          <w:sz w:val="22"/>
          <w:szCs w:val="22"/>
        </w:rPr>
        <w:t xml:space="preserve"> </w:t>
      </w:r>
    </w:p>
    <w:bookmarkEnd w:id="32"/>
    <w:bookmarkEnd w:id="33"/>
    <w:p w:rsidR="001C1257" w:rsidRPr="00CF0C1F" w:rsidRDefault="001C1257" w:rsidP="00864083">
      <w:pPr>
        <w:jc w:val="center"/>
        <w:rPr>
          <w:rFonts w:ascii="Arial" w:hAnsi="Arial" w:cs="Arial"/>
          <w:b/>
          <w:bCs/>
          <w:sz w:val="22"/>
          <w:szCs w:val="22"/>
        </w:rPr>
      </w:pP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1710"/>
        <w:gridCol w:w="2052"/>
        <w:gridCol w:w="1530"/>
        <w:gridCol w:w="1548"/>
      </w:tblGrid>
      <w:tr w:rsidR="001C1257" w:rsidRPr="00CF0C1F" w:rsidTr="001C1257">
        <w:tc>
          <w:tcPr>
            <w:tcW w:w="2538" w:type="dxa"/>
            <w:shd w:val="clear" w:color="auto" w:fill="auto"/>
            <w:vAlign w:val="center"/>
          </w:tcPr>
          <w:p w:rsidR="001C1257" w:rsidRPr="00CF0C1F" w:rsidRDefault="001C1257" w:rsidP="00182AE8">
            <w:pPr>
              <w:jc w:val="center"/>
              <w:rPr>
                <w:rFonts w:ascii="Arial" w:hAnsi="Arial" w:cs="Arial"/>
                <w:sz w:val="22"/>
                <w:szCs w:val="22"/>
              </w:rPr>
            </w:pPr>
            <w:r w:rsidRPr="00CF0C1F">
              <w:rPr>
                <w:rFonts w:ascii="Arial" w:hAnsi="Arial" w:cs="Arial"/>
                <w:b/>
                <w:sz w:val="22"/>
                <w:szCs w:val="22"/>
              </w:rPr>
              <w:t>Title 20 Std. Description</w:t>
            </w:r>
          </w:p>
        </w:tc>
        <w:tc>
          <w:tcPr>
            <w:tcW w:w="1710" w:type="dxa"/>
            <w:shd w:val="clear" w:color="auto" w:fill="auto"/>
            <w:vAlign w:val="center"/>
          </w:tcPr>
          <w:p w:rsidR="001C1257" w:rsidRPr="00CF0C1F" w:rsidRDefault="001C1257" w:rsidP="00864083">
            <w:pPr>
              <w:jc w:val="center"/>
              <w:rPr>
                <w:rFonts w:ascii="Arial" w:hAnsi="Arial" w:cs="Arial"/>
                <w:sz w:val="22"/>
                <w:szCs w:val="22"/>
              </w:rPr>
            </w:pPr>
            <w:r w:rsidRPr="00CF0C1F">
              <w:rPr>
                <w:rFonts w:ascii="Arial" w:hAnsi="Arial" w:cs="Arial"/>
                <w:b/>
                <w:sz w:val="22"/>
                <w:szCs w:val="22"/>
              </w:rPr>
              <w:t>Base or Measure Case</w:t>
            </w:r>
          </w:p>
        </w:tc>
        <w:tc>
          <w:tcPr>
            <w:tcW w:w="2052" w:type="dxa"/>
            <w:shd w:val="clear" w:color="auto" w:fill="auto"/>
            <w:vAlign w:val="center"/>
          </w:tcPr>
          <w:p w:rsidR="001C1257" w:rsidRPr="00CF0C1F" w:rsidRDefault="001C1257" w:rsidP="00864083">
            <w:pPr>
              <w:jc w:val="center"/>
              <w:rPr>
                <w:rFonts w:ascii="Arial" w:hAnsi="Arial" w:cs="Arial"/>
                <w:b/>
                <w:sz w:val="22"/>
                <w:szCs w:val="22"/>
              </w:rPr>
            </w:pPr>
            <w:r w:rsidRPr="00CF0C1F">
              <w:rPr>
                <w:rFonts w:ascii="Arial" w:hAnsi="Arial" w:cs="Arial"/>
                <w:b/>
                <w:sz w:val="22"/>
                <w:szCs w:val="22"/>
              </w:rPr>
              <w:t>Value</w:t>
            </w:r>
          </w:p>
        </w:tc>
        <w:tc>
          <w:tcPr>
            <w:tcW w:w="1530" w:type="dxa"/>
            <w:shd w:val="clear" w:color="auto" w:fill="auto"/>
            <w:vAlign w:val="center"/>
          </w:tcPr>
          <w:p w:rsidR="001C1257" w:rsidRPr="00CF0C1F" w:rsidRDefault="001C1257" w:rsidP="00864083">
            <w:pPr>
              <w:jc w:val="center"/>
              <w:rPr>
                <w:rFonts w:ascii="Arial" w:hAnsi="Arial" w:cs="Arial"/>
                <w:sz w:val="22"/>
                <w:szCs w:val="22"/>
              </w:rPr>
            </w:pPr>
            <w:r w:rsidRPr="00CF0C1F">
              <w:rPr>
                <w:rFonts w:ascii="Arial" w:hAnsi="Arial" w:cs="Arial"/>
                <w:b/>
                <w:sz w:val="22"/>
                <w:szCs w:val="22"/>
              </w:rPr>
              <w:t>Units</w:t>
            </w:r>
          </w:p>
        </w:tc>
        <w:tc>
          <w:tcPr>
            <w:tcW w:w="1548" w:type="dxa"/>
            <w:shd w:val="clear" w:color="auto" w:fill="auto"/>
            <w:vAlign w:val="center"/>
          </w:tcPr>
          <w:p w:rsidR="001C1257" w:rsidRPr="00CF0C1F" w:rsidRDefault="001C1257" w:rsidP="00864083">
            <w:pPr>
              <w:jc w:val="center"/>
              <w:rPr>
                <w:rFonts w:ascii="Arial" w:hAnsi="Arial" w:cs="Arial"/>
                <w:sz w:val="22"/>
                <w:szCs w:val="22"/>
              </w:rPr>
            </w:pPr>
            <w:r w:rsidRPr="00CF0C1F">
              <w:rPr>
                <w:rFonts w:ascii="Arial" w:hAnsi="Arial" w:cs="Arial"/>
                <w:b/>
                <w:sz w:val="22"/>
                <w:szCs w:val="22"/>
              </w:rPr>
              <w:t>Code Source or Reference</w:t>
            </w:r>
          </w:p>
        </w:tc>
      </w:tr>
      <w:tr w:rsidR="001C1257" w:rsidRPr="00CF0C1F" w:rsidTr="001C1257">
        <w:tc>
          <w:tcPr>
            <w:tcW w:w="2538" w:type="dxa"/>
            <w:shd w:val="clear" w:color="auto" w:fill="auto"/>
          </w:tcPr>
          <w:p w:rsidR="001C1257" w:rsidRPr="00CF0C1F" w:rsidRDefault="001C1257" w:rsidP="004C0667">
            <w:pPr>
              <w:rPr>
                <w:rFonts w:ascii="Arial" w:hAnsi="Arial" w:cs="Arial"/>
                <w:sz w:val="22"/>
                <w:szCs w:val="22"/>
              </w:rPr>
            </w:pPr>
            <w:r w:rsidRPr="00CF0C1F">
              <w:rPr>
                <w:rFonts w:ascii="Arial" w:hAnsi="Arial" w:cs="Arial"/>
                <w:sz w:val="22"/>
                <w:szCs w:val="22"/>
              </w:rPr>
              <w:t xml:space="preserve">Large Gas </w:t>
            </w:r>
            <w:r w:rsidR="00C60319" w:rsidRPr="00CF0C1F">
              <w:rPr>
                <w:rFonts w:ascii="Arial" w:hAnsi="Arial" w:cs="Arial"/>
                <w:sz w:val="22"/>
                <w:szCs w:val="22"/>
              </w:rPr>
              <w:t>Boilers</w:t>
            </w:r>
            <w:r w:rsidRPr="00CF0C1F">
              <w:rPr>
                <w:rFonts w:ascii="Arial" w:hAnsi="Arial" w:cs="Arial"/>
                <w:sz w:val="22"/>
                <w:szCs w:val="22"/>
              </w:rPr>
              <w:t xml:space="preserve"> (&gt;=</w:t>
            </w:r>
            <w:r w:rsidR="00C60319" w:rsidRPr="00CF0C1F">
              <w:rPr>
                <w:rFonts w:ascii="Arial" w:hAnsi="Arial" w:cs="Arial"/>
                <w:sz w:val="22"/>
                <w:szCs w:val="22"/>
              </w:rPr>
              <w:t>300</w:t>
            </w:r>
            <w:r w:rsidR="004C0667" w:rsidRPr="00CF0C1F">
              <w:rPr>
                <w:rFonts w:ascii="Arial" w:hAnsi="Arial" w:cs="Arial"/>
                <w:sz w:val="22"/>
                <w:szCs w:val="22"/>
              </w:rPr>
              <w:t xml:space="preserve"> kBTU</w:t>
            </w:r>
            <w:r w:rsidRPr="00CF0C1F">
              <w:rPr>
                <w:rFonts w:ascii="Arial" w:hAnsi="Arial" w:cs="Arial"/>
                <w:sz w:val="22"/>
                <w:szCs w:val="22"/>
              </w:rPr>
              <w:t>h)</w:t>
            </w:r>
          </w:p>
        </w:tc>
        <w:tc>
          <w:tcPr>
            <w:tcW w:w="1710" w:type="dxa"/>
            <w:shd w:val="clear" w:color="auto" w:fill="auto"/>
          </w:tcPr>
          <w:p w:rsidR="001C1257" w:rsidRPr="00CF0C1F" w:rsidRDefault="001C1257" w:rsidP="00864083">
            <w:pPr>
              <w:rPr>
                <w:rFonts w:ascii="Arial" w:hAnsi="Arial" w:cs="Arial"/>
                <w:sz w:val="22"/>
                <w:szCs w:val="22"/>
              </w:rPr>
            </w:pPr>
            <w:r w:rsidRPr="00CF0C1F">
              <w:rPr>
                <w:rFonts w:ascii="Arial" w:hAnsi="Arial" w:cs="Arial"/>
                <w:sz w:val="22"/>
                <w:szCs w:val="22"/>
              </w:rPr>
              <w:t>Base</w:t>
            </w:r>
          </w:p>
        </w:tc>
        <w:tc>
          <w:tcPr>
            <w:tcW w:w="2052" w:type="dxa"/>
            <w:shd w:val="clear" w:color="auto" w:fill="auto"/>
          </w:tcPr>
          <w:p w:rsidR="001C1257" w:rsidRPr="00CF0C1F" w:rsidRDefault="001C1257" w:rsidP="00864083">
            <w:pPr>
              <w:rPr>
                <w:rFonts w:ascii="Arial" w:hAnsi="Arial" w:cs="Arial"/>
                <w:sz w:val="22"/>
                <w:szCs w:val="22"/>
              </w:rPr>
            </w:pPr>
            <w:r w:rsidRPr="00CF0C1F">
              <w:rPr>
                <w:rFonts w:ascii="Arial" w:hAnsi="Arial" w:cs="Arial"/>
                <w:sz w:val="22"/>
                <w:szCs w:val="22"/>
              </w:rPr>
              <w:t>80%</w:t>
            </w:r>
          </w:p>
        </w:tc>
        <w:tc>
          <w:tcPr>
            <w:tcW w:w="1530" w:type="dxa"/>
            <w:shd w:val="clear" w:color="auto" w:fill="auto"/>
          </w:tcPr>
          <w:p w:rsidR="001C1257" w:rsidRPr="00CF0C1F" w:rsidRDefault="00C60319" w:rsidP="00864083">
            <w:pPr>
              <w:rPr>
                <w:rFonts w:ascii="Arial" w:hAnsi="Arial" w:cs="Arial"/>
                <w:sz w:val="22"/>
                <w:szCs w:val="22"/>
              </w:rPr>
            </w:pPr>
            <w:r w:rsidRPr="00CF0C1F">
              <w:rPr>
                <w:rFonts w:ascii="Arial" w:hAnsi="Arial" w:cs="Arial"/>
                <w:sz w:val="22"/>
                <w:szCs w:val="22"/>
              </w:rPr>
              <w:t>Combustion</w:t>
            </w:r>
            <w:r w:rsidR="001C1257" w:rsidRPr="00CF0C1F">
              <w:rPr>
                <w:rFonts w:ascii="Arial" w:hAnsi="Arial" w:cs="Arial"/>
                <w:sz w:val="22"/>
                <w:szCs w:val="22"/>
              </w:rPr>
              <w:t xml:space="preserve"> Efficiency</w:t>
            </w:r>
          </w:p>
        </w:tc>
        <w:tc>
          <w:tcPr>
            <w:tcW w:w="1548" w:type="dxa"/>
            <w:shd w:val="clear" w:color="auto" w:fill="auto"/>
          </w:tcPr>
          <w:p w:rsidR="001C1257" w:rsidRPr="00CF0C1F" w:rsidRDefault="001C1257" w:rsidP="00864083">
            <w:pPr>
              <w:rPr>
                <w:rFonts w:ascii="Arial" w:hAnsi="Arial" w:cs="Arial"/>
                <w:sz w:val="22"/>
                <w:szCs w:val="22"/>
              </w:rPr>
            </w:pPr>
            <w:r w:rsidRPr="00CF0C1F">
              <w:rPr>
                <w:rFonts w:ascii="Arial" w:hAnsi="Arial" w:cs="Arial"/>
                <w:sz w:val="22"/>
                <w:szCs w:val="22"/>
              </w:rPr>
              <w:t>Table E-3</w:t>
            </w:r>
          </w:p>
        </w:tc>
      </w:tr>
    </w:tbl>
    <w:p w:rsidR="00022172" w:rsidRPr="00CF0C1F" w:rsidRDefault="00022172" w:rsidP="00864083">
      <w:pPr>
        <w:rPr>
          <w:rFonts w:ascii="Arial" w:hAnsi="Arial" w:cs="Arial"/>
          <w:i/>
          <w:sz w:val="20"/>
          <w:szCs w:val="20"/>
        </w:rPr>
      </w:pPr>
    </w:p>
    <w:p w:rsidR="00844529" w:rsidRDefault="00EE53FF" w:rsidP="00844529">
      <w:pPr>
        <w:autoSpaceDE w:val="0"/>
        <w:autoSpaceDN w:val="0"/>
        <w:adjustRightInd w:val="0"/>
        <w:rPr>
          <w:rFonts w:ascii="Arial" w:hAnsi="Arial" w:cs="Arial"/>
          <w:sz w:val="22"/>
          <w:szCs w:val="22"/>
        </w:rPr>
      </w:pPr>
      <w:r w:rsidRPr="00CF0C1F">
        <w:rPr>
          <w:rFonts w:ascii="Arial" w:hAnsi="Arial" w:cs="Arial"/>
          <w:b/>
          <w:i/>
        </w:rPr>
        <w:t>Title 24</w:t>
      </w:r>
      <w:r w:rsidR="00E406EA" w:rsidRPr="00CF0C1F">
        <w:rPr>
          <w:rFonts w:ascii="Arial" w:hAnsi="Arial" w:cs="Arial"/>
          <w:b/>
          <w:i/>
        </w:rPr>
        <w:fldChar w:fldCharType="begin"/>
      </w:r>
      <w:r w:rsidR="00592F58" w:rsidRPr="00CF0C1F">
        <w:instrText xml:space="preserve"> XE "</w:instrText>
      </w:r>
      <w:r w:rsidR="00592F58" w:rsidRPr="00CF0C1F">
        <w:rPr>
          <w:rFonts w:ascii="Arial" w:hAnsi="Arial" w:cs="Arial"/>
          <w:b/>
          <w:i/>
        </w:rPr>
        <w:instrText>Title 24</w:instrText>
      </w:r>
      <w:r w:rsidR="00592F58" w:rsidRPr="00CF0C1F">
        <w:instrText xml:space="preserve">" </w:instrText>
      </w:r>
      <w:r w:rsidR="00E406EA" w:rsidRPr="00CF0C1F">
        <w:rPr>
          <w:rFonts w:ascii="Arial" w:hAnsi="Arial" w:cs="Arial"/>
          <w:b/>
          <w:i/>
        </w:rPr>
        <w:fldChar w:fldCharType="end"/>
      </w:r>
      <w:r w:rsidRPr="00CF0C1F">
        <w:rPr>
          <w:rFonts w:ascii="Arial" w:hAnsi="Arial" w:cs="Arial"/>
          <w:b/>
          <w:i/>
        </w:rPr>
        <w:t>:</w:t>
      </w:r>
      <w:r w:rsidRPr="00CF0C1F">
        <w:rPr>
          <w:rFonts w:ascii="Arial" w:hAnsi="Arial" w:cs="Arial"/>
        </w:rPr>
        <w:t xml:space="preserve"> </w:t>
      </w:r>
      <w:r w:rsidR="00844529" w:rsidRPr="00836FE5">
        <w:rPr>
          <w:rFonts w:ascii="Arial" w:hAnsi="Arial" w:cs="Arial"/>
          <w:sz w:val="22"/>
          <w:szCs w:val="22"/>
        </w:rPr>
        <w:t>These measures do fall under Title 24 of the California Energy Regulations. Title 24 states</w:t>
      </w:r>
      <w:bookmarkStart w:id="34" w:name="_Ref384825822"/>
      <w:r w:rsidR="00844529">
        <w:rPr>
          <w:rStyle w:val="EndnoteReference"/>
          <w:rFonts w:ascii="Arial" w:hAnsi="Arial" w:cs="Arial"/>
          <w:sz w:val="22"/>
          <w:szCs w:val="22"/>
        </w:rPr>
        <w:endnoteReference w:id="7"/>
      </w:r>
      <w:bookmarkEnd w:id="34"/>
      <w:r w:rsidR="00844529" w:rsidRPr="00836FE5">
        <w:rPr>
          <w:rFonts w:ascii="Arial" w:hAnsi="Arial" w:cs="Arial"/>
          <w:sz w:val="22"/>
          <w:szCs w:val="22"/>
        </w:rPr>
        <w:t xml:space="preserve">: </w:t>
      </w:r>
    </w:p>
    <w:p w:rsidR="00844529" w:rsidRDefault="00844529" w:rsidP="00844529">
      <w:pPr>
        <w:autoSpaceDE w:val="0"/>
        <w:autoSpaceDN w:val="0"/>
        <w:adjustRightInd w:val="0"/>
        <w:rPr>
          <w:rFonts w:ascii="Arial" w:hAnsi="Arial" w:cs="Arial"/>
          <w:sz w:val="22"/>
          <w:szCs w:val="22"/>
        </w:rPr>
      </w:pPr>
    </w:p>
    <w:p w:rsidR="00844529" w:rsidRPr="008E0A03" w:rsidRDefault="00844529" w:rsidP="00844529">
      <w:pPr>
        <w:autoSpaceDE w:val="0"/>
        <w:autoSpaceDN w:val="0"/>
        <w:adjustRightInd w:val="0"/>
        <w:rPr>
          <w:rFonts w:ascii="Arial" w:hAnsi="Arial" w:cs="Arial"/>
          <w:i/>
          <w:sz w:val="22"/>
          <w:szCs w:val="22"/>
        </w:rPr>
      </w:pPr>
      <w:r w:rsidRPr="008E0A03">
        <w:rPr>
          <w:rFonts w:ascii="Arial" w:hAnsi="Arial" w:cs="Arial"/>
          <w:i/>
          <w:sz w:val="22"/>
          <w:szCs w:val="22"/>
        </w:rPr>
        <w:t>Any space-conditioning equipment listed in this section may be installed only if the manufacturer has certified to the Commission that the equipment complies with all the applicable requirements of this section.</w:t>
      </w:r>
    </w:p>
    <w:p w:rsidR="00844529" w:rsidRPr="008E0A03" w:rsidRDefault="00844529" w:rsidP="00844529">
      <w:pPr>
        <w:autoSpaceDE w:val="0"/>
        <w:autoSpaceDN w:val="0"/>
        <w:adjustRightInd w:val="0"/>
        <w:rPr>
          <w:rFonts w:ascii="Arial" w:hAnsi="Arial" w:cs="Arial"/>
          <w:i/>
          <w:sz w:val="22"/>
          <w:szCs w:val="22"/>
        </w:rPr>
      </w:pPr>
    </w:p>
    <w:p w:rsidR="00844529" w:rsidRPr="008E0A03" w:rsidRDefault="00844529" w:rsidP="00844529">
      <w:pPr>
        <w:numPr>
          <w:ilvl w:val="0"/>
          <w:numId w:val="26"/>
        </w:numPr>
        <w:autoSpaceDE w:val="0"/>
        <w:autoSpaceDN w:val="0"/>
        <w:adjustRightInd w:val="0"/>
        <w:rPr>
          <w:rFonts w:ascii="Arial" w:hAnsi="Arial" w:cs="Arial"/>
          <w:i/>
          <w:sz w:val="22"/>
          <w:szCs w:val="22"/>
        </w:rPr>
      </w:pPr>
      <w:r w:rsidRPr="008E0A03">
        <w:rPr>
          <w:rFonts w:ascii="Arial" w:hAnsi="Arial" w:cs="Arial"/>
          <w:b/>
          <w:bCs/>
          <w:i/>
          <w:sz w:val="22"/>
          <w:szCs w:val="22"/>
        </w:rPr>
        <w:t xml:space="preserve">Efficiency. </w:t>
      </w:r>
      <w:r w:rsidRPr="008E0A03">
        <w:rPr>
          <w:rFonts w:ascii="Arial" w:hAnsi="Arial" w:cs="Arial"/>
          <w:i/>
          <w:sz w:val="22"/>
          <w:szCs w:val="22"/>
        </w:rPr>
        <w:t>Equipment shall meet the applicable efficiency requirements in TABLE 110.2-A through TABLE 110.2- K subject to the following:</w:t>
      </w:r>
    </w:p>
    <w:p w:rsidR="00844529" w:rsidRPr="008E0A03" w:rsidRDefault="00844529" w:rsidP="00844529">
      <w:pPr>
        <w:autoSpaceDE w:val="0"/>
        <w:autoSpaceDN w:val="0"/>
        <w:adjustRightInd w:val="0"/>
        <w:ind w:left="1080"/>
        <w:rPr>
          <w:rFonts w:ascii="Arial" w:hAnsi="Arial" w:cs="Arial"/>
          <w:i/>
          <w:sz w:val="22"/>
          <w:szCs w:val="22"/>
        </w:rPr>
      </w:pP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If more than one efficiency standard is listed for any equipment in TABLE 110.2-A through TABLE 110.2-K, the equipment shall meet all the applicable standards that are listed; and</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 xml:space="preserve">If more than one test method is listed in TABLE 110.2-A through TABLE 110.2-K, the equipment shall comply with the applicable efficiency standards when tested with each listed test method; and </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Where equipment can serve more than one function, such as both heating and cooling, or both space heating and water heating, it shall comply with all the efficiency standards applicable to each function; and</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Where a requirement is for equipment rated at its "maximum rated capacity" or "minimum rated capacity," the capacity shall be as provided for and allowed by the controls, during steady-state operation.</w:t>
      </w:r>
    </w:p>
    <w:p w:rsidR="00E16FD8" w:rsidRDefault="00E16FD8" w:rsidP="00844529">
      <w:pPr>
        <w:rPr>
          <w:rFonts w:ascii="Arial" w:hAnsi="Arial" w:cs="Arial"/>
          <w:sz w:val="22"/>
          <w:szCs w:val="22"/>
        </w:rPr>
        <w:sectPr w:rsidR="00E16FD8" w:rsidSect="00DD43C2">
          <w:endnotePr>
            <w:numFmt w:val="decimal"/>
          </w:endnotePr>
          <w:pgSz w:w="12240" w:h="15840"/>
          <w:pgMar w:top="1440" w:right="1440" w:bottom="1440" w:left="1440" w:header="720" w:footer="720" w:gutter="0"/>
          <w:pgNumType w:chapStyle="1"/>
          <w:cols w:space="720"/>
          <w:docGrid w:linePitch="360"/>
        </w:sectPr>
      </w:pPr>
    </w:p>
    <w:p w:rsidR="00844529" w:rsidRDefault="00844529" w:rsidP="00844529">
      <w:pPr>
        <w:rPr>
          <w:rFonts w:ascii="Arial" w:hAnsi="Arial" w:cs="Arial"/>
          <w:sz w:val="22"/>
          <w:szCs w:val="22"/>
        </w:rPr>
      </w:pPr>
      <w:r w:rsidRPr="00836FE5">
        <w:rPr>
          <w:rFonts w:ascii="Arial" w:hAnsi="Arial" w:cs="Arial"/>
          <w:sz w:val="22"/>
          <w:szCs w:val="22"/>
        </w:rPr>
        <w:t>The table below lists the 2013 California Title 24 Build Energy Efficiency Standards, Section 110.2, Table 110.2-K, Gas- and Oil-Fired Boilers, Minimum Efficiency requirements.</w:t>
      </w:r>
    </w:p>
    <w:p w:rsidR="00844529" w:rsidRPr="00836FE5" w:rsidRDefault="00844529" w:rsidP="00844529">
      <w:pPr>
        <w:rPr>
          <w:rFonts w:ascii="Arial" w:hAnsi="Arial" w:cs="Arial"/>
          <w:sz w:val="22"/>
          <w:szCs w:val="22"/>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1710"/>
        <w:gridCol w:w="1350"/>
        <w:gridCol w:w="1530"/>
        <w:gridCol w:w="1890"/>
      </w:tblGrid>
      <w:tr w:rsidR="00844529" w:rsidRPr="0066794C" w:rsidTr="0072318A">
        <w:trPr>
          <w:jc w:val="center"/>
        </w:trPr>
        <w:tc>
          <w:tcPr>
            <w:tcW w:w="2538" w:type="dxa"/>
            <w:shd w:val="clear" w:color="auto" w:fill="auto"/>
            <w:vAlign w:val="center"/>
          </w:tcPr>
          <w:p w:rsidR="00844529" w:rsidRPr="0066794C" w:rsidRDefault="00844529" w:rsidP="00844529">
            <w:pPr>
              <w:rPr>
                <w:rFonts w:ascii="Arial" w:hAnsi="Arial" w:cs="Arial"/>
                <w:sz w:val="22"/>
                <w:szCs w:val="22"/>
              </w:rPr>
            </w:pPr>
            <w:r>
              <w:rPr>
                <w:rFonts w:ascii="Arial" w:hAnsi="Arial" w:cs="Arial"/>
                <w:b/>
                <w:bCs/>
                <w:sz w:val="22"/>
                <w:szCs w:val="22"/>
              </w:rPr>
              <w:br w:type="page"/>
            </w:r>
            <w:r w:rsidRPr="0066794C">
              <w:rPr>
                <w:rFonts w:ascii="Arial" w:hAnsi="Arial" w:cs="Arial"/>
                <w:b/>
                <w:sz w:val="22"/>
                <w:szCs w:val="22"/>
              </w:rPr>
              <w:t>Title 24 Std. Description</w:t>
            </w:r>
          </w:p>
        </w:tc>
        <w:tc>
          <w:tcPr>
            <w:tcW w:w="1710" w:type="dxa"/>
            <w:shd w:val="clear" w:color="auto" w:fill="auto"/>
            <w:vAlign w:val="center"/>
          </w:tcPr>
          <w:p w:rsidR="00844529" w:rsidRPr="0066794C" w:rsidRDefault="00844529" w:rsidP="00844529">
            <w:pPr>
              <w:rPr>
                <w:rFonts w:ascii="Arial" w:hAnsi="Arial" w:cs="Arial"/>
                <w:sz w:val="22"/>
                <w:szCs w:val="22"/>
              </w:rPr>
            </w:pPr>
            <w:r w:rsidRPr="0066794C">
              <w:rPr>
                <w:rFonts w:ascii="Arial" w:hAnsi="Arial" w:cs="Arial"/>
                <w:b/>
                <w:sz w:val="22"/>
                <w:szCs w:val="22"/>
              </w:rPr>
              <w:t>Base or Measure Case</w:t>
            </w:r>
          </w:p>
        </w:tc>
        <w:tc>
          <w:tcPr>
            <w:tcW w:w="1350" w:type="dxa"/>
            <w:shd w:val="clear" w:color="auto" w:fill="auto"/>
            <w:vAlign w:val="center"/>
          </w:tcPr>
          <w:p w:rsidR="00844529" w:rsidRPr="0066794C" w:rsidRDefault="00844529" w:rsidP="00844529">
            <w:pPr>
              <w:rPr>
                <w:rFonts w:ascii="Arial" w:hAnsi="Arial" w:cs="Arial"/>
                <w:b/>
                <w:sz w:val="22"/>
                <w:szCs w:val="22"/>
              </w:rPr>
            </w:pPr>
            <w:r w:rsidRPr="0066794C">
              <w:rPr>
                <w:rFonts w:ascii="Arial" w:hAnsi="Arial" w:cs="Arial"/>
                <w:b/>
                <w:sz w:val="22"/>
                <w:szCs w:val="22"/>
              </w:rPr>
              <w:t>Value</w:t>
            </w:r>
          </w:p>
        </w:tc>
        <w:tc>
          <w:tcPr>
            <w:tcW w:w="1530" w:type="dxa"/>
            <w:shd w:val="clear" w:color="auto" w:fill="auto"/>
            <w:vAlign w:val="center"/>
          </w:tcPr>
          <w:p w:rsidR="00844529" w:rsidRPr="0066794C" w:rsidRDefault="00844529" w:rsidP="00844529">
            <w:pPr>
              <w:rPr>
                <w:rFonts w:ascii="Arial" w:hAnsi="Arial" w:cs="Arial"/>
                <w:sz w:val="22"/>
                <w:szCs w:val="22"/>
              </w:rPr>
            </w:pPr>
            <w:r w:rsidRPr="0066794C">
              <w:rPr>
                <w:rFonts w:ascii="Arial" w:hAnsi="Arial" w:cs="Arial"/>
                <w:b/>
                <w:sz w:val="22"/>
                <w:szCs w:val="22"/>
              </w:rPr>
              <w:t>Units</w:t>
            </w:r>
          </w:p>
        </w:tc>
        <w:tc>
          <w:tcPr>
            <w:tcW w:w="1890" w:type="dxa"/>
            <w:shd w:val="clear" w:color="auto" w:fill="auto"/>
            <w:vAlign w:val="center"/>
          </w:tcPr>
          <w:p w:rsidR="00844529" w:rsidRPr="0066794C" w:rsidRDefault="00844529" w:rsidP="00844529">
            <w:pPr>
              <w:rPr>
                <w:rFonts w:ascii="Arial" w:hAnsi="Arial" w:cs="Arial"/>
                <w:sz w:val="22"/>
                <w:szCs w:val="22"/>
              </w:rPr>
            </w:pPr>
            <w:r w:rsidRPr="0066794C">
              <w:rPr>
                <w:rFonts w:ascii="Arial" w:hAnsi="Arial" w:cs="Arial"/>
                <w:b/>
                <w:sz w:val="22"/>
                <w:szCs w:val="22"/>
              </w:rPr>
              <w:t>Code Source or Reference</w:t>
            </w:r>
          </w:p>
        </w:tc>
      </w:tr>
      <w:tr w:rsidR="00844529" w:rsidRPr="0066794C" w:rsidTr="0072318A">
        <w:trPr>
          <w:jc w:val="center"/>
        </w:trPr>
        <w:tc>
          <w:tcPr>
            <w:tcW w:w="2538"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Boiler, ho</w:t>
            </w:r>
            <w:r>
              <w:rPr>
                <w:rFonts w:ascii="Arial" w:hAnsi="Arial" w:cs="Arial"/>
                <w:sz w:val="22"/>
                <w:szCs w:val="22"/>
              </w:rPr>
              <w:t>t water, Gas Fired (&gt; 2,500 kBTU</w:t>
            </w:r>
            <w:r w:rsidRPr="0066794C">
              <w:rPr>
                <w:rFonts w:ascii="Arial" w:hAnsi="Arial" w:cs="Arial"/>
                <w:sz w:val="22"/>
                <w:szCs w:val="22"/>
              </w:rPr>
              <w:t>h)</w:t>
            </w:r>
          </w:p>
        </w:tc>
        <w:tc>
          <w:tcPr>
            <w:tcW w:w="1710"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Base</w:t>
            </w:r>
          </w:p>
        </w:tc>
        <w:tc>
          <w:tcPr>
            <w:tcW w:w="1350"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82%</w:t>
            </w:r>
          </w:p>
        </w:tc>
        <w:tc>
          <w:tcPr>
            <w:tcW w:w="1530"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Combustion Efficiency</w:t>
            </w:r>
          </w:p>
        </w:tc>
        <w:tc>
          <w:tcPr>
            <w:tcW w:w="1890"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Table 110.2-K</w:t>
            </w:r>
          </w:p>
        </w:tc>
      </w:tr>
      <w:tr w:rsidR="00844529" w:rsidRPr="0066794C" w:rsidTr="0072318A">
        <w:trPr>
          <w:jc w:val="center"/>
        </w:trPr>
        <w:tc>
          <w:tcPr>
            <w:tcW w:w="2538"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Boiler, steam, Gas-Fired all, except natural draft(&gt;2,500</w:t>
            </w:r>
            <w:r>
              <w:rPr>
                <w:rFonts w:ascii="Arial" w:hAnsi="Arial" w:cs="Arial"/>
                <w:sz w:val="22"/>
                <w:szCs w:val="22"/>
              </w:rPr>
              <w:t xml:space="preserve"> kBTU</w:t>
            </w:r>
            <w:r w:rsidRPr="0066794C">
              <w:rPr>
                <w:rFonts w:ascii="Arial" w:hAnsi="Arial" w:cs="Arial"/>
                <w:sz w:val="22"/>
                <w:szCs w:val="22"/>
              </w:rPr>
              <w:t>h)</w:t>
            </w:r>
          </w:p>
        </w:tc>
        <w:tc>
          <w:tcPr>
            <w:tcW w:w="1710"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Base</w:t>
            </w:r>
          </w:p>
        </w:tc>
        <w:tc>
          <w:tcPr>
            <w:tcW w:w="1350"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79%</w:t>
            </w:r>
          </w:p>
        </w:tc>
        <w:tc>
          <w:tcPr>
            <w:tcW w:w="1530"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Thermal Efficiency</w:t>
            </w:r>
          </w:p>
        </w:tc>
        <w:tc>
          <w:tcPr>
            <w:tcW w:w="1890" w:type="dxa"/>
            <w:shd w:val="clear" w:color="auto" w:fill="auto"/>
          </w:tcPr>
          <w:p w:rsidR="00844529" w:rsidRPr="0066794C" w:rsidRDefault="00844529" w:rsidP="00844529">
            <w:pPr>
              <w:rPr>
                <w:rFonts w:ascii="Arial" w:hAnsi="Arial" w:cs="Arial"/>
                <w:sz w:val="22"/>
                <w:szCs w:val="22"/>
              </w:rPr>
            </w:pPr>
            <w:r w:rsidRPr="0066794C">
              <w:rPr>
                <w:rFonts w:ascii="Arial" w:hAnsi="Arial" w:cs="Arial"/>
                <w:sz w:val="22"/>
                <w:szCs w:val="22"/>
              </w:rPr>
              <w:t>Table 110.2-K</w:t>
            </w:r>
          </w:p>
        </w:tc>
      </w:tr>
    </w:tbl>
    <w:p w:rsidR="008F161F" w:rsidRPr="00CF0C1F" w:rsidRDefault="008F161F" w:rsidP="00844529">
      <w:pPr>
        <w:autoSpaceDE w:val="0"/>
        <w:autoSpaceDN w:val="0"/>
        <w:adjustRightInd w:val="0"/>
        <w:rPr>
          <w:rFonts w:ascii="Arial" w:hAnsi="Arial" w:cs="Arial"/>
          <w:sz w:val="22"/>
          <w:szCs w:val="22"/>
        </w:rPr>
      </w:pPr>
    </w:p>
    <w:p w:rsidR="006F214B" w:rsidRPr="00CF0C1F" w:rsidRDefault="00EE53FF" w:rsidP="00864083">
      <w:pPr>
        <w:rPr>
          <w:rFonts w:ascii="Arial" w:hAnsi="Arial" w:cs="Arial"/>
          <w:sz w:val="22"/>
          <w:szCs w:val="22"/>
        </w:rPr>
      </w:pPr>
      <w:r w:rsidRPr="00CF0C1F">
        <w:rPr>
          <w:rFonts w:ascii="Arial" w:hAnsi="Arial" w:cs="Arial"/>
          <w:b/>
          <w:i/>
          <w:sz w:val="22"/>
          <w:szCs w:val="22"/>
        </w:rPr>
        <w:t>Federal Standards:</w:t>
      </w:r>
      <w:r w:rsidRPr="00CF0C1F">
        <w:rPr>
          <w:rFonts w:ascii="Arial" w:hAnsi="Arial" w:cs="Arial"/>
          <w:sz w:val="22"/>
          <w:szCs w:val="22"/>
        </w:rPr>
        <w:t xml:space="preserve"> </w:t>
      </w:r>
      <w:r w:rsidR="00B13099" w:rsidRPr="00CF0C1F">
        <w:rPr>
          <w:rFonts w:ascii="Arial" w:hAnsi="Arial" w:cs="Arial"/>
          <w:sz w:val="22"/>
          <w:szCs w:val="22"/>
        </w:rPr>
        <w:t xml:space="preserve">These measures do not fall </w:t>
      </w:r>
      <w:r w:rsidRPr="00CF0C1F">
        <w:rPr>
          <w:rFonts w:ascii="Arial" w:hAnsi="Arial" w:cs="Arial"/>
          <w:sz w:val="22"/>
          <w:szCs w:val="22"/>
        </w:rPr>
        <w:t>under Federal DOE or EPA Energy Regulations.</w:t>
      </w:r>
      <w:r w:rsidR="00476B67" w:rsidRPr="00CF0C1F">
        <w:rPr>
          <w:rFonts w:ascii="Arial" w:hAnsi="Arial" w:cs="Arial"/>
          <w:sz w:val="22"/>
          <w:szCs w:val="22"/>
        </w:rPr>
        <w:t xml:space="preserve"> </w:t>
      </w:r>
    </w:p>
    <w:p w:rsidR="005471B9" w:rsidRPr="00CF0C1F" w:rsidRDefault="005471B9" w:rsidP="00864083">
      <w:pPr>
        <w:rPr>
          <w:rFonts w:ascii="Arial" w:hAnsi="Arial" w:cs="Arial"/>
          <w:sz w:val="22"/>
          <w:szCs w:val="22"/>
        </w:rPr>
      </w:pPr>
    </w:p>
    <w:p w:rsidR="005471B9" w:rsidRPr="00CF0C1F" w:rsidRDefault="005471B9" w:rsidP="00864083">
      <w:pPr>
        <w:rPr>
          <w:rFonts w:ascii="Arial" w:hAnsi="Arial" w:cs="Arial"/>
          <w:sz w:val="22"/>
          <w:szCs w:val="22"/>
        </w:rPr>
      </w:pPr>
      <w:r w:rsidRPr="00CF0C1F">
        <w:rPr>
          <w:rFonts w:ascii="Arial" w:hAnsi="Arial" w:cs="Arial"/>
          <w:sz w:val="22"/>
          <w:szCs w:val="22"/>
        </w:rPr>
        <w:t>The applicable codes and standards for these measures to not dictate associated hours of operation, measure or baseline costs, EUL, NTG, or in-service rate for the equipment involved.</w:t>
      </w:r>
    </w:p>
    <w:p w:rsidR="008F6A71" w:rsidRPr="00A961E9" w:rsidRDefault="008F6A71" w:rsidP="008F6A71">
      <w:pPr>
        <w:rPr>
          <w:color w:val="FF0000"/>
        </w:rPr>
      </w:pPr>
    </w:p>
    <w:p w:rsidR="002E0043" w:rsidRPr="00CF0C1F" w:rsidRDefault="001248A3" w:rsidP="00864083">
      <w:pPr>
        <w:pStyle w:val="Heading2"/>
        <w:keepNext w:val="0"/>
        <w:spacing w:before="0" w:after="0"/>
      </w:pPr>
      <w:bookmarkStart w:id="35" w:name="_Toc386966978"/>
      <w:r w:rsidRPr="00CF0C1F">
        <w:t>1.4</w:t>
      </w:r>
      <w:r w:rsidR="00264B03" w:rsidRPr="00CF0C1F">
        <w:t>.3</w:t>
      </w:r>
      <w:r w:rsidR="00A02F0A" w:rsidRPr="00CF0C1F">
        <w:t xml:space="preserve"> </w:t>
      </w:r>
      <w:r w:rsidR="00C069A2" w:rsidRPr="00CF0C1F">
        <w:t>EM&amp;V</w:t>
      </w:r>
      <w:r w:rsidR="00755961" w:rsidRPr="00CF0C1F">
        <w:t>, Market Potential,</w:t>
      </w:r>
      <w:r w:rsidR="00C069A2" w:rsidRPr="00CF0C1F">
        <w:t xml:space="preserve"> </w:t>
      </w:r>
      <w:r w:rsidR="0044337C" w:rsidRPr="00CF0C1F">
        <w:t xml:space="preserve">and Other </w:t>
      </w:r>
      <w:r w:rsidR="00C069A2" w:rsidRPr="00CF0C1F">
        <w:t>Studies</w:t>
      </w:r>
      <w:r w:rsidR="009C5CA7" w:rsidRPr="00CF0C1F">
        <w:t xml:space="preserve"> – Base Case and Measure Case Information</w:t>
      </w:r>
      <w:bookmarkEnd w:id="35"/>
    </w:p>
    <w:p w:rsidR="00D210DB" w:rsidRPr="00CF0C1F" w:rsidRDefault="00D210DB" w:rsidP="00D210DB">
      <w:pPr>
        <w:rPr>
          <w:rFonts w:ascii="Arial" w:hAnsi="Arial" w:cs="Arial"/>
          <w:sz w:val="22"/>
          <w:szCs w:val="22"/>
        </w:rPr>
      </w:pPr>
      <w:r w:rsidRPr="00CF0C1F">
        <w:rPr>
          <w:rFonts w:ascii="Arial" w:hAnsi="Arial" w:cs="Arial"/>
          <w:sz w:val="22"/>
          <w:szCs w:val="22"/>
        </w:rPr>
        <w:t>There are no M&amp;V or other studies which apply to these measures. Information on the base and measure case is found in the sub-sections of 1.4.</w:t>
      </w:r>
    </w:p>
    <w:p w:rsidR="000C56C0" w:rsidRPr="002C3770" w:rsidRDefault="000C56C0" w:rsidP="00D210DB"/>
    <w:p w:rsidR="003F4FFF" w:rsidRPr="002C3770" w:rsidRDefault="003F4FFF" w:rsidP="00864083">
      <w:pPr>
        <w:pStyle w:val="Heading2"/>
        <w:keepNext w:val="0"/>
        <w:spacing w:before="0" w:after="0"/>
      </w:pPr>
      <w:bookmarkStart w:id="36" w:name="_Toc386966979"/>
      <w:r w:rsidRPr="002C3770">
        <w:t>1.4.4 Assumptions and Calculations from other sources—Base and Measure Cases</w:t>
      </w:r>
      <w:bookmarkEnd w:id="36"/>
    </w:p>
    <w:p w:rsidR="00CF0C1F" w:rsidRPr="002C3770" w:rsidRDefault="00CF0C1F" w:rsidP="00CF0C1F">
      <w:pPr>
        <w:rPr>
          <w:rFonts w:ascii="Arial" w:hAnsi="Arial" w:cs="Arial"/>
          <w:sz w:val="22"/>
          <w:szCs w:val="22"/>
        </w:rPr>
      </w:pPr>
      <w:r w:rsidRPr="002C3770">
        <w:rPr>
          <w:rFonts w:ascii="Arial" w:hAnsi="Arial" w:cs="Arial"/>
          <w:sz w:val="22"/>
          <w:szCs w:val="22"/>
        </w:rPr>
        <w:t>The following assumptions from other sources were used to estimate savings.</w:t>
      </w:r>
    </w:p>
    <w:p w:rsidR="00844529" w:rsidRDefault="00844529" w:rsidP="00CF0C1F">
      <w:pPr>
        <w:rPr>
          <w:rFonts w:ascii="Arial" w:hAnsi="Arial" w:cs="Arial"/>
          <w:b/>
          <w:sz w:val="22"/>
          <w:szCs w:val="22"/>
        </w:rPr>
      </w:pPr>
    </w:p>
    <w:p w:rsidR="00CF0C1F" w:rsidRDefault="00CF0C1F" w:rsidP="00CF0C1F">
      <w:pPr>
        <w:rPr>
          <w:rFonts w:ascii="Arial" w:hAnsi="Arial" w:cs="Arial"/>
          <w:b/>
          <w:sz w:val="22"/>
          <w:szCs w:val="22"/>
        </w:rPr>
      </w:pPr>
      <w:r w:rsidRPr="00676CA9">
        <w:rPr>
          <w:rFonts w:ascii="Arial" w:hAnsi="Arial" w:cs="Arial"/>
          <w:b/>
          <w:sz w:val="22"/>
          <w:szCs w:val="22"/>
        </w:rPr>
        <w:t>Energy Savings Assumption (Δ</w:t>
      </w:r>
      <w:r>
        <w:rPr>
          <w:rFonts w:ascii="Arial" w:hAnsi="Arial" w:cs="Arial"/>
          <w:b/>
          <w:sz w:val="22"/>
          <w:szCs w:val="22"/>
        </w:rPr>
        <w:t>Therms</w:t>
      </w:r>
      <w:r w:rsidRPr="00676CA9">
        <w:rPr>
          <w:rFonts w:ascii="Arial" w:hAnsi="Arial" w:cs="Arial"/>
          <w:b/>
          <w:sz w:val="22"/>
          <w:szCs w:val="22"/>
        </w:rPr>
        <w:t>):</w:t>
      </w:r>
    </w:p>
    <w:p w:rsidR="00D327F3" w:rsidRPr="00D327F3" w:rsidRDefault="00D327F3" w:rsidP="00D327F3">
      <w:pPr>
        <w:numPr>
          <w:ilvl w:val="0"/>
          <w:numId w:val="41"/>
        </w:numPr>
        <w:rPr>
          <w:rFonts w:ascii="Arial" w:hAnsi="Arial" w:cs="Arial"/>
          <w:sz w:val="22"/>
          <w:szCs w:val="22"/>
        </w:rPr>
      </w:pPr>
      <w:r w:rsidRPr="00D327F3">
        <w:rPr>
          <w:rFonts w:ascii="Arial" w:hAnsi="Arial" w:cs="Arial"/>
          <w:sz w:val="22"/>
          <w:szCs w:val="22"/>
        </w:rPr>
        <w:t>New high-efficiency unit has the same input rating (measured in kBTUh) as the unit being replaced.</w:t>
      </w:r>
    </w:p>
    <w:p w:rsidR="00CF0C1F" w:rsidRPr="00184950" w:rsidRDefault="00D327F3" w:rsidP="00CF0C1F">
      <w:pPr>
        <w:numPr>
          <w:ilvl w:val="0"/>
          <w:numId w:val="41"/>
        </w:numPr>
        <w:rPr>
          <w:rFonts w:ascii="Arial" w:hAnsi="Arial" w:cs="Arial"/>
          <w:sz w:val="22"/>
          <w:szCs w:val="22"/>
        </w:rPr>
      </w:pPr>
      <w:r w:rsidRPr="00D327F3">
        <w:rPr>
          <w:rFonts w:ascii="Arial" w:hAnsi="Arial" w:cs="Arial"/>
          <w:sz w:val="22"/>
          <w:szCs w:val="22"/>
        </w:rPr>
        <w:t>Both units (old and new) deliver the same amount of hot water or steam on an annual basis (i.e., customer demand for hot water or steam does not change).</w:t>
      </w:r>
    </w:p>
    <w:p w:rsidR="00CF0C1F" w:rsidRPr="00676CA9" w:rsidRDefault="00CF0C1F" w:rsidP="00CF0C1F">
      <w:pPr>
        <w:pStyle w:val="BodyText"/>
        <w:spacing w:after="0"/>
        <w:ind w:left="720"/>
        <w:rPr>
          <w:rFonts w:ascii="Arial" w:hAnsi="Arial" w:cs="Arial"/>
          <w:sz w:val="22"/>
          <w:szCs w:val="22"/>
        </w:rPr>
      </w:pP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4"/>
        <w:gridCol w:w="984"/>
        <w:gridCol w:w="932"/>
        <w:gridCol w:w="920"/>
        <w:gridCol w:w="1120"/>
        <w:gridCol w:w="1256"/>
        <w:gridCol w:w="1365"/>
        <w:gridCol w:w="1546"/>
      </w:tblGrid>
      <w:tr w:rsidR="00FF7EBE" w:rsidRPr="00FF7EBE" w:rsidTr="00FF7EBE">
        <w:trPr>
          <w:trHeight w:val="512"/>
          <w:jc w:val="center"/>
        </w:trPr>
        <w:tc>
          <w:tcPr>
            <w:tcW w:w="984" w:type="dxa"/>
            <w:vAlign w:val="center"/>
          </w:tcPr>
          <w:p w:rsidR="00FF7EBE" w:rsidRPr="00FF7EBE" w:rsidRDefault="00FF7EBE" w:rsidP="00FF7EBE">
            <w:pPr>
              <w:jc w:val="center"/>
              <w:rPr>
                <w:rFonts w:ascii="Arial" w:hAnsi="Arial" w:cs="Arial"/>
                <w:b/>
                <w:sz w:val="18"/>
                <w:szCs w:val="18"/>
              </w:rPr>
            </w:pPr>
            <w:r w:rsidRPr="00FF7EBE">
              <w:rPr>
                <w:rFonts w:ascii="Arial" w:hAnsi="Arial" w:cs="Arial"/>
                <w:b/>
                <w:sz w:val="18"/>
                <w:szCs w:val="18"/>
              </w:rPr>
              <w:t>Measure Code</w:t>
            </w:r>
          </w:p>
        </w:tc>
        <w:tc>
          <w:tcPr>
            <w:tcW w:w="984" w:type="dxa"/>
            <w:shd w:val="clear" w:color="auto" w:fill="auto"/>
            <w:vAlign w:val="center"/>
          </w:tcPr>
          <w:p w:rsidR="00FF7EBE" w:rsidRPr="00FF7EBE" w:rsidRDefault="00FF7EBE" w:rsidP="00FF7EBE">
            <w:pPr>
              <w:jc w:val="center"/>
              <w:rPr>
                <w:rFonts w:ascii="Arial" w:hAnsi="Arial" w:cs="Arial"/>
                <w:b/>
                <w:sz w:val="18"/>
                <w:szCs w:val="18"/>
              </w:rPr>
            </w:pPr>
            <w:bookmarkStart w:id="37" w:name="_Toc327979902"/>
            <w:r w:rsidRPr="00FF7EBE">
              <w:rPr>
                <w:rFonts w:ascii="Arial" w:hAnsi="Arial" w:cs="Arial"/>
                <w:color w:val="FF0000"/>
              </w:rPr>
              <w:br w:type="page"/>
            </w:r>
            <w:bookmarkEnd w:id="37"/>
            <w:r w:rsidRPr="00FF7EBE">
              <w:rPr>
                <w:rFonts w:ascii="Arial" w:hAnsi="Arial" w:cs="Arial"/>
                <w:b/>
                <w:sz w:val="18"/>
                <w:szCs w:val="18"/>
              </w:rPr>
              <w:t>Building type</w:t>
            </w:r>
          </w:p>
        </w:tc>
        <w:tc>
          <w:tcPr>
            <w:tcW w:w="932" w:type="dxa"/>
            <w:shd w:val="clear" w:color="auto" w:fill="auto"/>
            <w:vAlign w:val="center"/>
          </w:tcPr>
          <w:p w:rsidR="00FF7EBE" w:rsidRPr="00FF7EBE" w:rsidRDefault="00FF7EBE" w:rsidP="00FF7EBE">
            <w:pPr>
              <w:jc w:val="center"/>
              <w:rPr>
                <w:rFonts w:ascii="Arial" w:hAnsi="Arial" w:cs="Arial"/>
                <w:b/>
                <w:sz w:val="18"/>
                <w:szCs w:val="18"/>
              </w:rPr>
            </w:pPr>
            <w:r w:rsidRPr="00FF7EBE">
              <w:rPr>
                <w:rFonts w:ascii="Arial" w:hAnsi="Arial" w:cs="Arial"/>
                <w:b/>
                <w:sz w:val="18"/>
                <w:szCs w:val="18"/>
              </w:rPr>
              <w:t>Bldg Vintage</w:t>
            </w:r>
          </w:p>
        </w:tc>
        <w:tc>
          <w:tcPr>
            <w:tcW w:w="920" w:type="dxa"/>
            <w:shd w:val="clear" w:color="auto" w:fill="auto"/>
            <w:vAlign w:val="center"/>
          </w:tcPr>
          <w:p w:rsidR="00FF7EBE" w:rsidRPr="00FF7EBE" w:rsidRDefault="00FF7EBE" w:rsidP="00FF7EBE">
            <w:pPr>
              <w:jc w:val="center"/>
              <w:rPr>
                <w:rFonts w:ascii="Arial" w:hAnsi="Arial" w:cs="Arial"/>
                <w:b/>
                <w:sz w:val="18"/>
                <w:szCs w:val="18"/>
              </w:rPr>
            </w:pPr>
            <w:r w:rsidRPr="00FF7EBE">
              <w:rPr>
                <w:rFonts w:ascii="Arial" w:hAnsi="Arial" w:cs="Arial"/>
                <w:b/>
                <w:sz w:val="18"/>
                <w:szCs w:val="18"/>
              </w:rPr>
              <w:t>Climate Zone</w:t>
            </w:r>
          </w:p>
        </w:tc>
        <w:tc>
          <w:tcPr>
            <w:tcW w:w="1120" w:type="dxa"/>
            <w:shd w:val="clear" w:color="auto" w:fill="auto"/>
            <w:vAlign w:val="center"/>
          </w:tcPr>
          <w:p w:rsidR="00FF7EBE" w:rsidRPr="00FF7EBE" w:rsidRDefault="00FF7EBE" w:rsidP="00FF7EBE">
            <w:pPr>
              <w:jc w:val="center"/>
              <w:rPr>
                <w:rFonts w:ascii="Arial" w:hAnsi="Arial" w:cs="Arial"/>
                <w:b/>
                <w:sz w:val="18"/>
                <w:szCs w:val="18"/>
              </w:rPr>
            </w:pPr>
            <w:r w:rsidRPr="00FF7EBE">
              <w:rPr>
                <w:rFonts w:ascii="Arial" w:hAnsi="Arial" w:cs="Arial"/>
                <w:b/>
                <w:sz w:val="18"/>
                <w:szCs w:val="18"/>
              </w:rPr>
              <w:t>Interactive Only?</w:t>
            </w:r>
          </w:p>
          <w:p w:rsidR="00FF7EBE" w:rsidRPr="00FF7EBE" w:rsidRDefault="00FF7EBE" w:rsidP="00FF7EBE">
            <w:pPr>
              <w:jc w:val="center"/>
              <w:rPr>
                <w:rFonts w:ascii="Arial" w:hAnsi="Arial" w:cs="Arial"/>
                <w:b/>
                <w:sz w:val="18"/>
                <w:szCs w:val="18"/>
              </w:rPr>
            </w:pPr>
            <w:r w:rsidRPr="00FF7EBE">
              <w:rPr>
                <w:rFonts w:ascii="Arial" w:hAnsi="Arial" w:cs="Arial"/>
                <w:b/>
                <w:sz w:val="18"/>
                <w:szCs w:val="18"/>
              </w:rPr>
              <w:t>Yes / No</w:t>
            </w:r>
          </w:p>
        </w:tc>
        <w:tc>
          <w:tcPr>
            <w:tcW w:w="1256" w:type="dxa"/>
            <w:shd w:val="clear" w:color="auto" w:fill="auto"/>
            <w:vAlign w:val="center"/>
          </w:tcPr>
          <w:p w:rsidR="00FF7EBE" w:rsidRPr="00FF7EBE" w:rsidRDefault="00FF7EBE" w:rsidP="00FF7EBE">
            <w:pPr>
              <w:jc w:val="center"/>
              <w:rPr>
                <w:rFonts w:ascii="Arial" w:hAnsi="Arial" w:cs="Arial"/>
                <w:b/>
                <w:sz w:val="18"/>
                <w:szCs w:val="18"/>
              </w:rPr>
            </w:pPr>
            <w:r w:rsidRPr="00FF7EBE">
              <w:rPr>
                <w:rFonts w:ascii="Arial" w:hAnsi="Arial" w:cs="Arial"/>
                <w:b/>
                <w:sz w:val="18"/>
                <w:szCs w:val="18"/>
              </w:rPr>
              <w:t>Gas  Savings Therms</w:t>
            </w:r>
          </w:p>
        </w:tc>
        <w:tc>
          <w:tcPr>
            <w:tcW w:w="1365" w:type="dxa"/>
            <w:shd w:val="clear" w:color="auto" w:fill="auto"/>
            <w:vAlign w:val="center"/>
          </w:tcPr>
          <w:p w:rsidR="00FF7EBE" w:rsidRPr="00FF7EBE" w:rsidRDefault="00FF7EBE" w:rsidP="00FF7EBE">
            <w:pPr>
              <w:jc w:val="center"/>
              <w:rPr>
                <w:rFonts w:ascii="Arial" w:hAnsi="Arial" w:cs="Arial"/>
                <w:b/>
                <w:sz w:val="18"/>
                <w:szCs w:val="18"/>
              </w:rPr>
            </w:pPr>
            <w:r w:rsidRPr="00FF7EBE">
              <w:rPr>
                <w:rFonts w:ascii="Arial" w:hAnsi="Arial" w:cs="Arial"/>
                <w:b/>
                <w:sz w:val="18"/>
                <w:szCs w:val="18"/>
              </w:rPr>
              <w:t>Units</w:t>
            </w:r>
          </w:p>
        </w:tc>
        <w:tc>
          <w:tcPr>
            <w:tcW w:w="1546" w:type="dxa"/>
            <w:shd w:val="clear" w:color="auto" w:fill="auto"/>
            <w:vAlign w:val="center"/>
          </w:tcPr>
          <w:p w:rsidR="00FF7EBE" w:rsidRPr="00FF7EBE" w:rsidRDefault="00FF7EBE" w:rsidP="00FF7EBE">
            <w:pPr>
              <w:jc w:val="center"/>
              <w:rPr>
                <w:rFonts w:ascii="Arial" w:hAnsi="Arial" w:cs="Arial"/>
                <w:b/>
                <w:sz w:val="18"/>
                <w:szCs w:val="18"/>
              </w:rPr>
            </w:pPr>
            <w:r w:rsidRPr="00FF7EBE">
              <w:rPr>
                <w:rFonts w:ascii="Arial" w:hAnsi="Arial" w:cs="Arial"/>
                <w:b/>
                <w:sz w:val="18"/>
                <w:szCs w:val="18"/>
              </w:rPr>
              <w:t>Reference</w:t>
            </w:r>
          </w:p>
        </w:tc>
      </w:tr>
      <w:tr w:rsidR="00FF7EBE" w:rsidRPr="00FF7EBE" w:rsidTr="00FF7EBE">
        <w:trPr>
          <w:trHeight w:val="305"/>
          <w:jc w:val="center"/>
        </w:trPr>
        <w:tc>
          <w:tcPr>
            <w:tcW w:w="984" w:type="dxa"/>
            <w:vAlign w:val="center"/>
          </w:tcPr>
          <w:p w:rsidR="00FF7EBE" w:rsidRPr="00FF7EBE" w:rsidRDefault="00FF7EBE" w:rsidP="00FF7EBE">
            <w:pPr>
              <w:jc w:val="center"/>
              <w:rPr>
                <w:rFonts w:ascii="Arial" w:hAnsi="Arial" w:cs="Arial"/>
                <w:color w:val="000000"/>
                <w:sz w:val="20"/>
                <w:szCs w:val="20"/>
              </w:rPr>
            </w:pPr>
            <w:r w:rsidRPr="00FF7EBE">
              <w:rPr>
                <w:rFonts w:ascii="Arial" w:hAnsi="Arial" w:cs="Arial"/>
                <w:color w:val="000000"/>
                <w:sz w:val="20"/>
                <w:szCs w:val="20"/>
              </w:rPr>
              <w:t>H11</w:t>
            </w:r>
          </w:p>
        </w:tc>
        <w:tc>
          <w:tcPr>
            <w:tcW w:w="984" w:type="dxa"/>
            <w:shd w:val="clear" w:color="auto" w:fill="auto"/>
            <w:vAlign w:val="center"/>
          </w:tcPr>
          <w:p w:rsidR="00FF7EBE" w:rsidRPr="00FF7EBE" w:rsidRDefault="00FF7EBE" w:rsidP="00FF7EBE">
            <w:pPr>
              <w:jc w:val="center"/>
              <w:rPr>
                <w:rFonts w:ascii="Arial" w:hAnsi="Arial" w:cs="Arial"/>
                <w:color w:val="000000"/>
                <w:sz w:val="20"/>
                <w:szCs w:val="20"/>
              </w:rPr>
            </w:pPr>
            <w:r w:rsidRPr="00FF7EBE">
              <w:rPr>
                <w:rFonts w:ascii="Arial" w:hAnsi="Arial" w:cs="Arial"/>
                <w:color w:val="000000"/>
                <w:sz w:val="20"/>
                <w:szCs w:val="20"/>
              </w:rPr>
              <w:t>ANY</w:t>
            </w:r>
          </w:p>
        </w:tc>
        <w:tc>
          <w:tcPr>
            <w:tcW w:w="932"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EX</w:t>
            </w:r>
          </w:p>
        </w:tc>
        <w:tc>
          <w:tcPr>
            <w:tcW w:w="920"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ANY</w:t>
            </w:r>
          </w:p>
        </w:tc>
        <w:tc>
          <w:tcPr>
            <w:tcW w:w="1120"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No</w:t>
            </w:r>
          </w:p>
        </w:tc>
        <w:tc>
          <w:tcPr>
            <w:tcW w:w="1256" w:type="dxa"/>
            <w:shd w:val="clear" w:color="auto" w:fill="auto"/>
            <w:vAlign w:val="center"/>
          </w:tcPr>
          <w:p w:rsidR="00FF7EBE" w:rsidRPr="00FF7EBE" w:rsidRDefault="00C72C78" w:rsidP="00FF7EBE">
            <w:pPr>
              <w:jc w:val="center"/>
              <w:rPr>
                <w:rFonts w:ascii="Arial" w:hAnsi="Arial" w:cs="Arial"/>
                <w:sz w:val="20"/>
                <w:szCs w:val="20"/>
              </w:rPr>
            </w:pPr>
            <w:r>
              <w:rPr>
                <w:rFonts w:ascii="Arial" w:hAnsi="Arial" w:cs="Arial"/>
                <w:sz w:val="20"/>
                <w:szCs w:val="20"/>
              </w:rPr>
              <w:t>2.9</w:t>
            </w:r>
          </w:p>
        </w:tc>
        <w:tc>
          <w:tcPr>
            <w:tcW w:w="1365"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Per kBTUh</w:t>
            </w:r>
          </w:p>
        </w:tc>
        <w:tc>
          <w:tcPr>
            <w:tcW w:w="1546"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2"/>
                <w:szCs w:val="22"/>
              </w:rPr>
              <w:t>Appendix A</w:t>
            </w:r>
          </w:p>
        </w:tc>
      </w:tr>
      <w:tr w:rsidR="00FF7EBE" w:rsidRPr="00676CA9" w:rsidTr="00FF7EBE">
        <w:trPr>
          <w:trHeight w:val="278"/>
          <w:jc w:val="center"/>
        </w:trPr>
        <w:tc>
          <w:tcPr>
            <w:tcW w:w="984" w:type="dxa"/>
            <w:vAlign w:val="center"/>
          </w:tcPr>
          <w:p w:rsidR="00FF7EBE" w:rsidRPr="00FF7EBE" w:rsidRDefault="00FF7EBE" w:rsidP="00FF7EBE">
            <w:pPr>
              <w:jc w:val="center"/>
              <w:rPr>
                <w:rFonts w:ascii="Arial" w:hAnsi="Arial" w:cs="Arial"/>
                <w:color w:val="000000"/>
                <w:sz w:val="20"/>
                <w:szCs w:val="20"/>
              </w:rPr>
            </w:pPr>
            <w:r w:rsidRPr="00FF7EBE">
              <w:rPr>
                <w:rFonts w:ascii="Arial" w:hAnsi="Arial" w:cs="Arial"/>
                <w:color w:val="000000"/>
                <w:sz w:val="20"/>
                <w:szCs w:val="20"/>
              </w:rPr>
              <w:t>H15</w:t>
            </w:r>
          </w:p>
        </w:tc>
        <w:tc>
          <w:tcPr>
            <w:tcW w:w="984" w:type="dxa"/>
            <w:shd w:val="clear" w:color="auto" w:fill="auto"/>
            <w:vAlign w:val="center"/>
          </w:tcPr>
          <w:p w:rsidR="00FF7EBE" w:rsidRPr="00FF7EBE" w:rsidRDefault="00FF7EBE" w:rsidP="00FF7EBE">
            <w:pPr>
              <w:jc w:val="center"/>
              <w:rPr>
                <w:rFonts w:ascii="Arial" w:hAnsi="Arial" w:cs="Arial"/>
                <w:color w:val="000000"/>
                <w:sz w:val="20"/>
                <w:szCs w:val="20"/>
              </w:rPr>
            </w:pPr>
            <w:r w:rsidRPr="00FF7EBE">
              <w:rPr>
                <w:rFonts w:ascii="Arial" w:hAnsi="Arial" w:cs="Arial"/>
                <w:color w:val="000000"/>
                <w:sz w:val="20"/>
                <w:szCs w:val="20"/>
              </w:rPr>
              <w:t>ANY</w:t>
            </w:r>
          </w:p>
        </w:tc>
        <w:tc>
          <w:tcPr>
            <w:tcW w:w="932"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EX</w:t>
            </w:r>
          </w:p>
        </w:tc>
        <w:tc>
          <w:tcPr>
            <w:tcW w:w="920"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ANY</w:t>
            </w:r>
          </w:p>
        </w:tc>
        <w:tc>
          <w:tcPr>
            <w:tcW w:w="1120"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No</w:t>
            </w:r>
          </w:p>
        </w:tc>
        <w:tc>
          <w:tcPr>
            <w:tcW w:w="1256"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1.4</w:t>
            </w:r>
          </w:p>
        </w:tc>
        <w:tc>
          <w:tcPr>
            <w:tcW w:w="1365" w:type="dxa"/>
            <w:shd w:val="clear" w:color="auto" w:fill="auto"/>
            <w:vAlign w:val="center"/>
          </w:tcPr>
          <w:p w:rsidR="00FF7EBE" w:rsidRPr="00FF7EBE" w:rsidRDefault="00FF7EBE" w:rsidP="00FF7EBE">
            <w:pPr>
              <w:jc w:val="center"/>
              <w:rPr>
                <w:rFonts w:ascii="Arial" w:hAnsi="Arial" w:cs="Arial"/>
                <w:sz w:val="20"/>
                <w:szCs w:val="20"/>
              </w:rPr>
            </w:pPr>
            <w:r w:rsidRPr="00FF7EBE">
              <w:rPr>
                <w:rFonts w:ascii="Arial" w:hAnsi="Arial" w:cs="Arial"/>
                <w:sz w:val="20"/>
                <w:szCs w:val="20"/>
              </w:rPr>
              <w:t>Per kBTUh</w:t>
            </w:r>
          </w:p>
        </w:tc>
        <w:tc>
          <w:tcPr>
            <w:tcW w:w="1546" w:type="dxa"/>
            <w:shd w:val="clear" w:color="auto" w:fill="auto"/>
            <w:vAlign w:val="center"/>
          </w:tcPr>
          <w:p w:rsidR="00FF7EBE" w:rsidRPr="00FF7EBE" w:rsidRDefault="00FF7EBE" w:rsidP="00FF7EBE">
            <w:pPr>
              <w:jc w:val="center"/>
            </w:pPr>
            <w:r w:rsidRPr="00FF7EBE">
              <w:rPr>
                <w:rFonts w:ascii="Arial" w:hAnsi="Arial" w:cs="Arial"/>
                <w:sz w:val="22"/>
                <w:szCs w:val="22"/>
              </w:rPr>
              <w:t>Appendix A</w:t>
            </w:r>
          </w:p>
        </w:tc>
      </w:tr>
    </w:tbl>
    <w:p w:rsidR="00CF0C1F" w:rsidRPr="00676CA9" w:rsidRDefault="00CF0C1F" w:rsidP="00CF0C1F">
      <w:pPr>
        <w:rPr>
          <w:rFonts w:ascii="Arial" w:hAnsi="Arial" w:cs="Arial"/>
          <w:b/>
        </w:rPr>
      </w:pPr>
    </w:p>
    <w:p w:rsidR="00CF0C1F" w:rsidRPr="00D04D41" w:rsidRDefault="00CF0C1F" w:rsidP="00CF0C1F">
      <w:pPr>
        <w:rPr>
          <w:rFonts w:ascii="Arial" w:hAnsi="Arial" w:cs="Arial"/>
          <w:sz w:val="22"/>
          <w:szCs w:val="22"/>
        </w:rPr>
      </w:pPr>
      <w:r w:rsidRPr="00D04D41">
        <w:rPr>
          <w:rFonts w:ascii="Arial" w:hAnsi="Arial" w:cs="Arial"/>
          <w:sz w:val="22"/>
          <w:szCs w:val="22"/>
        </w:rPr>
        <w:t xml:space="preserve">RUL savings are not applicable to this measure because this measure only covers ROB </w:t>
      </w:r>
      <w:r w:rsidR="002C3770" w:rsidRPr="00D04D41">
        <w:rPr>
          <w:rFonts w:ascii="Arial" w:hAnsi="Arial" w:cs="Arial"/>
          <w:sz w:val="22"/>
          <w:szCs w:val="22"/>
        </w:rPr>
        <w:t xml:space="preserve">and NC </w:t>
      </w:r>
      <w:r w:rsidRPr="00D04D41">
        <w:rPr>
          <w:rFonts w:ascii="Arial" w:hAnsi="Arial" w:cs="Arial"/>
          <w:sz w:val="22"/>
          <w:szCs w:val="22"/>
        </w:rPr>
        <w:t>measure types.</w:t>
      </w:r>
    </w:p>
    <w:p w:rsidR="00C502A1" w:rsidRPr="00D04D41" w:rsidRDefault="00C502A1">
      <w:pPr>
        <w:rPr>
          <w:rFonts w:ascii="Arial" w:hAnsi="Arial" w:cs="Arial"/>
          <w:sz w:val="22"/>
          <w:szCs w:val="22"/>
        </w:rPr>
      </w:pPr>
    </w:p>
    <w:p w:rsidR="00F20510" w:rsidRPr="00D04D41" w:rsidRDefault="003E5998" w:rsidP="00184950">
      <w:pPr>
        <w:rPr>
          <w:rFonts w:ascii="Arial" w:hAnsi="Arial" w:cs="Arial"/>
          <w:sz w:val="22"/>
          <w:szCs w:val="22"/>
        </w:rPr>
      </w:pPr>
      <w:r w:rsidRPr="00D04D41">
        <w:rPr>
          <w:rFonts w:ascii="Arial" w:hAnsi="Arial" w:cs="Arial"/>
          <w:sz w:val="22"/>
          <w:szCs w:val="22"/>
        </w:rPr>
        <w:t>Base case efficiencies are based on</w:t>
      </w:r>
      <w:r w:rsidR="001018BD" w:rsidRPr="00D04D41">
        <w:rPr>
          <w:rFonts w:ascii="Arial" w:hAnsi="Arial" w:cs="Arial"/>
          <w:sz w:val="22"/>
          <w:szCs w:val="22"/>
        </w:rPr>
        <w:t xml:space="preserve"> 2013</w:t>
      </w:r>
      <w:r w:rsidRPr="00D04D41">
        <w:rPr>
          <w:rFonts w:ascii="Arial" w:hAnsi="Arial" w:cs="Arial"/>
          <w:sz w:val="22"/>
          <w:szCs w:val="22"/>
        </w:rPr>
        <w:t xml:space="preserve"> </w:t>
      </w:r>
      <w:r w:rsidR="00C72C78" w:rsidRPr="00D04D41">
        <w:rPr>
          <w:rFonts w:ascii="Arial" w:hAnsi="Arial" w:cs="Arial"/>
          <w:sz w:val="22"/>
          <w:szCs w:val="22"/>
        </w:rPr>
        <w:t>Title 24</w:t>
      </w:r>
      <w:r w:rsidRPr="00D04D41">
        <w:rPr>
          <w:rFonts w:ascii="Arial" w:hAnsi="Arial" w:cs="Arial"/>
          <w:sz w:val="22"/>
          <w:szCs w:val="22"/>
        </w:rPr>
        <w:t xml:space="preserve"> minimum efficienc</w:t>
      </w:r>
      <w:r w:rsidR="00D04D41">
        <w:rPr>
          <w:rFonts w:ascii="Arial" w:hAnsi="Arial" w:cs="Arial"/>
          <w:sz w:val="22"/>
          <w:szCs w:val="22"/>
        </w:rPr>
        <w:t>ies for boilers</w:t>
      </w:r>
      <w:r w:rsidRPr="00D04D41">
        <w:rPr>
          <w:rFonts w:ascii="Arial" w:hAnsi="Arial" w:cs="Arial"/>
          <w:sz w:val="22"/>
          <w:szCs w:val="22"/>
        </w:rPr>
        <w:t xml:space="preserve">. Title 24 requires </w:t>
      </w:r>
      <w:r w:rsidR="00F20510" w:rsidRPr="00D04D41">
        <w:rPr>
          <w:rFonts w:ascii="Arial" w:hAnsi="Arial" w:cs="Arial"/>
          <w:sz w:val="22"/>
          <w:szCs w:val="22"/>
        </w:rPr>
        <w:t>large</w:t>
      </w:r>
      <w:r w:rsidRPr="00D04D41">
        <w:rPr>
          <w:rFonts w:ascii="Arial" w:hAnsi="Arial" w:cs="Arial"/>
          <w:sz w:val="22"/>
          <w:szCs w:val="22"/>
        </w:rPr>
        <w:t xml:space="preserve"> water boilers to have a minim</w:t>
      </w:r>
      <w:r w:rsidR="00F20510" w:rsidRPr="00D04D41">
        <w:rPr>
          <w:rFonts w:ascii="Arial" w:hAnsi="Arial" w:cs="Arial"/>
          <w:sz w:val="22"/>
          <w:szCs w:val="22"/>
        </w:rPr>
        <w:t>um combustion efficiency of 82% and large steam boilers to have a minimum thermal efficiency of 79%.</w:t>
      </w:r>
      <w:r w:rsidR="00E16FD8">
        <w:fldChar w:fldCharType="begin"/>
      </w:r>
      <w:r w:rsidR="00E16FD8">
        <w:instrText xml:space="preserve"> NOTEREF _Ref384825822 \h  \* MERGEFORMAT </w:instrText>
      </w:r>
      <w:r w:rsidR="00E16FD8">
        <w:fldChar w:fldCharType="separate"/>
      </w:r>
      <w:r w:rsidR="006A644D">
        <w:t>7</w:t>
      </w:r>
      <w:r w:rsidR="00E16FD8">
        <w:fldChar w:fldCharType="end"/>
      </w:r>
      <w:r w:rsidR="00F20510" w:rsidRPr="00D04D41">
        <w:rPr>
          <w:rFonts w:ascii="Arial" w:hAnsi="Arial" w:cs="Arial"/>
          <w:sz w:val="22"/>
          <w:szCs w:val="22"/>
        </w:rPr>
        <w:t xml:space="preserve"> While Title 24 is targeted specifically to space conditioning equipment, we have applied the more stringent code regulations to this workpaper. </w:t>
      </w:r>
    </w:p>
    <w:p w:rsidR="00F20510" w:rsidRPr="00D04D41" w:rsidRDefault="00F20510" w:rsidP="00184950">
      <w:pPr>
        <w:rPr>
          <w:rFonts w:ascii="Arial" w:hAnsi="Arial" w:cs="Arial"/>
          <w:sz w:val="22"/>
          <w:szCs w:val="22"/>
        </w:rPr>
      </w:pPr>
    </w:p>
    <w:p w:rsidR="00014F9F" w:rsidRPr="00D04D41" w:rsidRDefault="00F20510" w:rsidP="00184950">
      <w:pPr>
        <w:rPr>
          <w:rFonts w:ascii="Arial" w:hAnsi="Arial" w:cs="Arial"/>
          <w:sz w:val="22"/>
          <w:szCs w:val="22"/>
        </w:rPr>
      </w:pPr>
      <w:r w:rsidRPr="00D04D41">
        <w:rPr>
          <w:rFonts w:ascii="Arial" w:hAnsi="Arial" w:cs="Arial"/>
          <w:sz w:val="22"/>
          <w:szCs w:val="22"/>
        </w:rPr>
        <w:t>Since PG&amp;E cannot readily measure thermal efficiency, combustion efficiency will be used to determine the eligibility of the boilers.</w:t>
      </w:r>
      <w:r w:rsidR="00DB598E" w:rsidRPr="00D04D41">
        <w:rPr>
          <w:rFonts w:ascii="Arial" w:hAnsi="Arial" w:cs="Arial"/>
          <w:sz w:val="22"/>
          <w:szCs w:val="22"/>
        </w:rPr>
        <w:t xml:space="preserve"> </w:t>
      </w:r>
      <w:r w:rsidR="00B334B4" w:rsidRPr="00D04D41">
        <w:rPr>
          <w:rFonts w:ascii="Arial" w:hAnsi="Arial" w:cs="Arial"/>
          <w:sz w:val="22"/>
          <w:szCs w:val="22"/>
        </w:rPr>
        <w:t xml:space="preserve">In addition, because </w:t>
      </w:r>
      <w:r w:rsidR="00DB598E" w:rsidRPr="00D04D41">
        <w:rPr>
          <w:rFonts w:ascii="Arial" w:hAnsi="Arial" w:cs="Arial"/>
          <w:sz w:val="22"/>
          <w:szCs w:val="22"/>
        </w:rPr>
        <w:t>Title 24 evaluates steam boilers in thermal efficiency, we have adjusted the combustion efficiency of a water boiler to estimate the combustion efficiency of a steam boiler. Based on the DOE Steam Tip Sheet #4</w:t>
      </w:r>
      <w:r w:rsidR="00DB598E" w:rsidRPr="00D04D41">
        <w:rPr>
          <w:rStyle w:val="EndnoteReference"/>
          <w:rFonts w:ascii="Arial" w:hAnsi="Arial" w:cs="Arial"/>
          <w:sz w:val="22"/>
          <w:szCs w:val="22"/>
        </w:rPr>
        <w:endnoteReference w:id="8"/>
      </w:r>
      <w:r w:rsidR="00DB598E" w:rsidRPr="00D04D41">
        <w:rPr>
          <w:rFonts w:ascii="Arial" w:hAnsi="Arial" w:cs="Arial"/>
          <w:sz w:val="22"/>
          <w:szCs w:val="22"/>
        </w:rPr>
        <w:t xml:space="preserve"> we have estimated the combustion efficiency for a steam boiler. If we assume a 3% excess oxygen level and </w:t>
      </w:r>
      <w:r w:rsidR="00241BD5" w:rsidRPr="00D04D41">
        <w:rPr>
          <w:rFonts w:ascii="Arial" w:hAnsi="Arial" w:cs="Arial"/>
          <w:sz w:val="22"/>
          <w:szCs w:val="22"/>
        </w:rPr>
        <w:t>assume</w:t>
      </w:r>
      <w:r w:rsidR="00DB598E" w:rsidRPr="00D04D41">
        <w:rPr>
          <w:rFonts w:ascii="Arial" w:hAnsi="Arial" w:cs="Arial"/>
          <w:sz w:val="22"/>
          <w:szCs w:val="22"/>
        </w:rPr>
        <w:t xml:space="preserve"> that steam boilers have flue gas temperatures 100 </w:t>
      </w:r>
      <w:r w:rsidR="00DB598E" w:rsidRPr="00D04D41">
        <w:rPr>
          <w:rFonts w:ascii="Calibri" w:hAnsi="Calibri" w:cs="Arial"/>
          <w:sz w:val="22"/>
          <w:szCs w:val="22"/>
        </w:rPr>
        <w:t>⁰</w:t>
      </w:r>
      <w:r w:rsidR="00DB598E" w:rsidRPr="00D04D41">
        <w:rPr>
          <w:rFonts w:ascii="Arial" w:hAnsi="Arial" w:cs="Arial"/>
          <w:sz w:val="22"/>
          <w:szCs w:val="22"/>
        </w:rPr>
        <w:t>F higher than a similarly sized water boiler, we have estimated that steam boilers are 2% less efficient than a comparable water boiler.</w:t>
      </w:r>
    </w:p>
    <w:p w:rsidR="00DB598E" w:rsidRPr="00D04D41" w:rsidRDefault="00DB598E" w:rsidP="00184950">
      <w:pPr>
        <w:rPr>
          <w:rFonts w:ascii="Arial" w:hAnsi="Arial" w:cs="Arial"/>
          <w:sz w:val="22"/>
          <w:szCs w:val="22"/>
        </w:rPr>
      </w:pPr>
    </w:p>
    <w:p w:rsidR="00F20510" w:rsidRPr="00D04D41" w:rsidRDefault="00DB598E" w:rsidP="00184950">
      <w:pPr>
        <w:rPr>
          <w:rFonts w:ascii="Arial" w:hAnsi="Arial" w:cs="Arial"/>
          <w:sz w:val="22"/>
          <w:szCs w:val="22"/>
        </w:rPr>
      </w:pPr>
      <w:r w:rsidRPr="00D04D41">
        <w:rPr>
          <w:rFonts w:ascii="Arial" w:hAnsi="Arial" w:cs="Arial"/>
          <w:sz w:val="22"/>
          <w:szCs w:val="22"/>
        </w:rPr>
        <w:t>Therefore, we have reduced the Title 24 minimum combustion efficiency of a large water boiler by 2% to estimate the Title 24 minimum combustion efficiency for a large steam boiler.</w:t>
      </w:r>
    </w:p>
    <w:p w:rsidR="00F20510" w:rsidRPr="00D04D41" w:rsidRDefault="00F20510" w:rsidP="00184950">
      <w:pPr>
        <w:rPr>
          <w:rFonts w:ascii="Arial" w:hAnsi="Arial" w:cs="Arial"/>
          <w:b/>
          <w:sz w:val="22"/>
          <w:szCs w:val="22"/>
        </w:rPr>
      </w:pPr>
    </w:p>
    <w:p w:rsidR="00184950" w:rsidRPr="00440771" w:rsidRDefault="00184950" w:rsidP="00184950">
      <w:pPr>
        <w:rPr>
          <w:rFonts w:ascii="Arial" w:hAnsi="Arial" w:cs="Arial"/>
          <w:i/>
          <w:sz w:val="22"/>
          <w:szCs w:val="22"/>
        </w:rPr>
      </w:pPr>
      <w:r w:rsidRPr="00D04D41">
        <w:rPr>
          <w:rFonts w:ascii="Arial" w:hAnsi="Arial" w:cs="Arial"/>
          <w:b/>
          <w:sz w:val="22"/>
          <w:szCs w:val="22"/>
        </w:rPr>
        <w:t>Hours of Operation</w:t>
      </w:r>
      <w:r w:rsidRPr="00D04D41">
        <w:rPr>
          <w:rFonts w:ascii="Arial" w:hAnsi="Arial" w:cs="Arial"/>
          <w:sz w:val="22"/>
          <w:szCs w:val="22"/>
        </w:rPr>
        <w:t>:</w:t>
      </w:r>
      <w:r w:rsidRPr="00440771">
        <w:rPr>
          <w:rFonts w:ascii="Arial" w:hAnsi="Arial" w:cs="Arial"/>
          <w:sz w:val="22"/>
          <w:szCs w:val="22"/>
        </w:rPr>
        <w:t xml:space="preserve"> </w:t>
      </w:r>
    </w:p>
    <w:p w:rsidR="00184950" w:rsidRPr="00786F05" w:rsidRDefault="00184950" w:rsidP="00184950">
      <w:pPr>
        <w:numPr>
          <w:ilvl w:val="0"/>
          <w:numId w:val="8"/>
        </w:numPr>
        <w:tabs>
          <w:tab w:val="clear" w:pos="1440"/>
        </w:tabs>
        <w:ind w:left="360"/>
        <w:rPr>
          <w:rFonts w:ascii="Arial" w:hAnsi="Arial" w:cs="Arial"/>
          <w:sz w:val="22"/>
          <w:szCs w:val="22"/>
        </w:rPr>
      </w:pPr>
      <w:r>
        <w:rPr>
          <w:rFonts w:ascii="Arial" w:hAnsi="Arial" w:cs="Arial"/>
          <w:sz w:val="22"/>
          <w:szCs w:val="22"/>
        </w:rPr>
        <w:t>The assumed hours of operation are based on continual plant operation. Variation in plant operating hours is accounted for in the capacity factor.</w:t>
      </w:r>
      <w:r w:rsidR="0025038B">
        <w:rPr>
          <w:rFonts w:ascii="Arial" w:hAnsi="Arial" w:cs="Arial"/>
          <w:sz w:val="22"/>
          <w:szCs w:val="22"/>
        </w:rPr>
        <w:t xml:space="preserve"> While the boiler may be enable</w:t>
      </w:r>
      <w:r w:rsidR="00112B96">
        <w:rPr>
          <w:rFonts w:ascii="Arial" w:hAnsi="Arial" w:cs="Arial"/>
          <w:sz w:val="22"/>
          <w:szCs w:val="22"/>
        </w:rPr>
        <w:t>d</w:t>
      </w:r>
      <w:r w:rsidR="0025038B">
        <w:rPr>
          <w:rFonts w:ascii="Arial" w:hAnsi="Arial" w:cs="Arial"/>
          <w:sz w:val="22"/>
          <w:szCs w:val="22"/>
        </w:rPr>
        <w:t xml:space="preserve"> to operate during the entire year,</w:t>
      </w:r>
      <w:r w:rsidR="00C502A1">
        <w:rPr>
          <w:rFonts w:ascii="Arial" w:hAnsi="Arial" w:cs="Arial"/>
          <w:sz w:val="22"/>
          <w:szCs w:val="22"/>
        </w:rPr>
        <w:t xml:space="preserve"> it may not be operating at its full rated load. To account for this, the capacity factor is multiplied by the enabled hours of operation to obtain the effective full load hours (EFLH).</w:t>
      </w:r>
      <w:r>
        <w:rPr>
          <w:rFonts w:ascii="Arial" w:hAnsi="Arial" w:cs="Arial"/>
          <w:sz w:val="22"/>
          <w:szCs w:val="22"/>
        </w:rPr>
        <w:t xml:space="preserve"> See Section 2 for details. </w:t>
      </w:r>
    </w:p>
    <w:p w:rsidR="00184950" w:rsidRPr="0015447E" w:rsidRDefault="00184950" w:rsidP="00184950">
      <w:pPr>
        <w:pStyle w:val="Caption"/>
        <w:keepNext/>
        <w:rPr>
          <w:rFonts w:ascii="Arial" w:hAnsi="Arial" w:cs="Arial"/>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3"/>
        <w:gridCol w:w="1670"/>
        <w:gridCol w:w="1709"/>
        <w:gridCol w:w="1918"/>
        <w:gridCol w:w="2160"/>
      </w:tblGrid>
      <w:tr w:rsidR="00184950" w:rsidRPr="00214B97" w:rsidTr="00184950">
        <w:trPr>
          <w:trHeight w:val="593"/>
        </w:trPr>
        <w:tc>
          <w:tcPr>
            <w:tcW w:w="1723" w:type="dxa"/>
            <w:shd w:val="clear" w:color="auto" w:fill="auto"/>
            <w:vAlign w:val="center"/>
          </w:tcPr>
          <w:p w:rsidR="00184950" w:rsidRPr="00214B97" w:rsidRDefault="00184950" w:rsidP="00184950">
            <w:pPr>
              <w:jc w:val="center"/>
              <w:rPr>
                <w:rFonts w:ascii="Arial" w:hAnsi="Arial" w:cs="Arial"/>
                <w:b/>
                <w:sz w:val="20"/>
                <w:szCs w:val="20"/>
              </w:rPr>
            </w:pPr>
            <w:r w:rsidRPr="00214B97">
              <w:rPr>
                <w:rFonts w:ascii="Arial" w:hAnsi="Arial" w:cs="Arial"/>
                <w:b/>
                <w:sz w:val="20"/>
                <w:szCs w:val="20"/>
              </w:rPr>
              <w:t>Building type</w:t>
            </w:r>
          </w:p>
        </w:tc>
        <w:tc>
          <w:tcPr>
            <w:tcW w:w="1670" w:type="dxa"/>
            <w:shd w:val="clear" w:color="auto" w:fill="auto"/>
            <w:vAlign w:val="center"/>
          </w:tcPr>
          <w:p w:rsidR="00184950" w:rsidRPr="00214B97" w:rsidRDefault="00184950" w:rsidP="00184950">
            <w:pPr>
              <w:jc w:val="center"/>
              <w:rPr>
                <w:rFonts w:ascii="Arial" w:hAnsi="Arial" w:cs="Arial"/>
                <w:b/>
                <w:sz w:val="20"/>
                <w:szCs w:val="20"/>
              </w:rPr>
            </w:pPr>
            <w:r w:rsidRPr="00214B97">
              <w:rPr>
                <w:rFonts w:ascii="Arial" w:hAnsi="Arial" w:cs="Arial"/>
                <w:b/>
                <w:sz w:val="20"/>
                <w:szCs w:val="20"/>
              </w:rPr>
              <w:t>Building Vintage</w:t>
            </w:r>
          </w:p>
        </w:tc>
        <w:tc>
          <w:tcPr>
            <w:tcW w:w="1709" w:type="dxa"/>
            <w:shd w:val="clear" w:color="auto" w:fill="auto"/>
            <w:vAlign w:val="center"/>
          </w:tcPr>
          <w:p w:rsidR="00184950" w:rsidRPr="00214B97" w:rsidRDefault="00184950" w:rsidP="00184950">
            <w:pPr>
              <w:jc w:val="center"/>
              <w:rPr>
                <w:rFonts w:ascii="Arial" w:hAnsi="Arial" w:cs="Arial"/>
                <w:b/>
                <w:sz w:val="20"/>
                <w:szCs w:val="20"/>
              </w:rPr>
            </w:pPr>
            <w:r w:rsidRPr="00214B97">
              <w:rPr>
                <w:rFonts w:ascii="Arial" w:hAnsi="Arial" w:cs="Arial"/>
                <w:b/>
                <w:sz w:val="20"/>
                <w:szCs w:val="20"/>
              </w:rPr>
              <w:t>Climate Zone</w:t>
            </w:r>
          </w:p>
        </w:tc>
        <w:tc>
          <w:tcPr>
            <w:tcW w:w="1918" w:type="dxa"/>
            <w:shd w:val="clear" w:color="auto" w:fill="auto"/>
            <w:vAlign w:val="center"/>
          </w:tcPr>
          <w:p w:rsidR="00184950" w:rsidRPr="00214B97" w:rsidRDefault="00184950" w:rsidP="00184950">
            <w:pPr>
              <w:jc w:val="center"/>
              <w:rPr>
                <w:rFonts w:ascii="Arial" w:hAnsi="Arial" w:cs="Arial"/>
                <w:b/>
                <w:sz w:val="20"/>
                <w:szCs w:val="20"/>
              </w:rPr>
            </w:pPr>
            <w:r w:rsidRPr="00214B97">
              <w:rPr>
                <w:rFonts w:ascii="Arial" w:hAnsi="Arial" w:cs="Arial"/>
                <w:b/>
                <w:sz w:val="20"/>
                <w:szCs w:val="20"/>
              </w:rPr>
              <w:t>Hours of Operation hrs/yr</w:t>
            </w:r>
          </w:p>
        </w:tc>
        <w:tc>
          <w:tcPr>
            <w:tcW w:w="2160" w:type="dxa"/>
            <w:shd w:val="clear" w:color="auto" w:fill="auto"/>
            <w:vAlign w:val="center"/>
          </w:tcPr>
          <w:p w:rsidR="00184950" w:rsidRPr="00214B97" w:rsidRDefault="00184950" w:rsidP="00184950">
            <w:pPr>
              <w:jc w:val="center"/>
              <w:rPr>
                <w:rFonts w:ascii="Arial" w:hAnsi="Arial" w:cs="Arial"/>
                <w:b/>
                <w:sz w:val="20"/>
                <w:szCs w:val="20"/>
              </w:rPr>
            </w:pPr>
            <w:r w:rsidRPr="00214B97">
              <w:rPr>
                <w:rFonts w:ascii="Arial" w:hAnsi="Arial" w:cs="Arial"/>
                <w:b/>
                <w:sz w:val="20"/>
                <w:szCs w:val="20"/>
              </w:rPr>
              <w:t>Reference</w:t>
            </w:r>
          </w:p>
        </w:tc>
      </w:tr>
      <w:tr w:rsidR="00184950" w:rsidRPr="00214B97" w:rsidTr="00184950">
        <w:tc>
          <w:tcPr>
            <w:tcW w:w="1723" w:type="dxa"/>
            <w:shd w:val="clear" w:color="auto" w:fill="auto"/>
            <w:vAlign w:val="center"/>
          </w:tcPr>
          <w:p w:rsidR="00184950" w:rsidRPr="00214B97" w:rsidRDefault="00184950" w:rsidP="00184950">
            <w:pPr>
              <w:jc w:val="center"/>
              <w:rPr>
                <w:rFonts w:ascii="Arial" w:hAnsi="Arial" w:cs="Arial"/>
                <w:sz w:val="20"/>
                <w:szCs w:val="20"/>
              </w:rPr>
            </w:pPr>
            <w:r>
              <w:rPr>
                <w:rFonts w:ascii="Arial" w:hAnsi="Arial" w:cs="Arial"/>
                <w:sz w:val="20"/>
                <w:szCs w:val="20"/>
              </w:rPr>
              <w:t>ANY</w:t>
            </w:r>
          </w:p>
        </w:tc>
        <w:tc>
          <w:tcPr>
            <w:tcW w:w="1670" w:type="dxa"/>
            <w:shd w:val="clear" w:color="auto" w:fill="auto"/>
            <w:vAlign w:val="center"/>
          </w:tcPr>
          <w:p w:rsidR="00184950" w:rsidRPr="00214B97" w:rsidRDefault="00184950" w:rsidP="00184950">
            <w:pPr>
              <w:jc w:val="center"/>
              <w:rPr>
                <w:rFonts w:ascii="Arial" w:hAnsi="Arial" w:cs="Arial"/>
                <w:sz w:val="20"/>
                <w:szCs w:val="20"/>
              </w:rPr>
            </w:pPr>
            <w:r>
              <w:rPr>
                <w:rFonts w:ascii="Arial" w:hAnsi="Arial" w:cs="Arial"/>
                <w:sz w:val="20"/>
                <w:szCs w:val="20"/>
              </w:rPr>
              <w:t>EX</w:t>
            </w:r>
          </w:p>
        </w:tc>
        <w:tc>
          <w:tcPr>
            <w:tcW w:w="1709" w:type="dxa"/>
            <w:shd w:val="clear" w:color="auto" w:fill="auto"/>
            <w:vAlign w:val="center"/>
          </w:tcPr>
          <w:p w:rsidR="00184950" w:rsidRPr="00214B97" w:rsidRDefault="00184950" w:rsidP="00184950">
            <w:pPr>
              <w:jc w:val="center"/>
              <w:rPr>
                <w:rFonts w:ascii="Arial" w:hAnsi="Arial" w:cs="Arial"/>
                <w:sz w:val="20"/>
                <w:szCs w:val="20"/>
              </w:rPr>
            </w:pPr>
            <w:r>
              <w:rPr>
                <w:rFonts w:ascii="Arial" w:hAnsi="Arial" w:cs="Arial"/>
                <w:sz w:val="20"/>
                <w:szCs w:val="20"/>
              </w:rPr>
              <w:t>ANY</w:t>
            </w:r>
          </w:p>
        </w:tc>
        <w:tc>
          <w:tcPr>
            <w:tcW w:w="1918" w:type="dxa"/>
            <w:shd w:val="clear" w:color="auto" w:fill="auto"/>
            <w:vAlign w:val="center"/>
          </w:tcPr>
          <w:p w:rsidR="00184950" w:rsidRPr="00214B97" w:rsidRDefault="00184950" w:rsidP="00184950">
            <w:pPr>
              <w:jc w:val="center"/>
              <w:rPr>
                <w:rFonts w:ascii="Arial" w:hAnsi="Arial" w:cs="Arial"/>
                <w:sz w:val="20"/>
                <w:szCs w:val="20"/>
              </w:rPr>
            </w:pPr>
            <w:r>
              <w:rPr>
                <w:rFonts w:ascii="Arial" w:hAnsi="Arial" w:cs="Arial"/>
                <w:sz w:val="20"/>
                <w:szCs w:val="20"/>
              </w:rPr>
              <w:t>8,760</w:t>
            </w:r>
          </w:p>
        </w:tc>
        <w:tc>
          <w:tcPr>
            <w:tcW w:w="2160" w:type="dxa"/>
            <w:shd w:val="clear" w:color="auto" w:fill="auto"/>
            <w:vAlign w:val="center"/>
          </w:tcPr>
          <w:p w:rsidR="00184950" w:rsidRPr="00214B97" w:rsidRDefault="00184950" w:rsidP="00184950">
            <w:pPr>
              <w:jc w:val="center"/>
              <w:rPr>
                <w:rFonts w:ascii="Arial" w:hAnsi="Arial" w:cs="Arial"/>
                <w:sz w:val="20"/>
                <w:szCs w:val="20"/>
              </w:rPr>
            </w:pPr>
            <w:r>
              <w:rPr>
                <w:rFonts w:ascii="Arial" w:hAnsi="Arial" w:cs="Arial"/>
                <w:sz w:val="20"/>
                <w:szCs w:val="20"/>
              </w:rPr>
              <w:t>N/A</w:t>
            </w:r>
          </w:p>
        </w:tc>
      </w:tr>
    </w:tbl>
    <w:p w:rsidR="00CF0C1F" w:rsidRPr="002C3770" w:rsidRDefault="00CF0C1F" w:rsidP="00CF0C1F">
      <w:pPr>
        <w:rPr>
          <w:rFonts w:ascii="Arial" w:hAnsi="Arial" w:cs="Arial"/>
          <w:b/>
          <w:sz w:val="22"/>
          <w:szCs w:val="22"/>
        </w:rPr>
      </w:pPr>
    </w:p>
    <w:p w:rsidR="003F4FFF" w:rsidRPr="002C3770" w:rsidRDefault="003F4FFF" w:rsidP="00E8736C">
      <w:pPr>
        <w:pStyle w:val="Heading2"/>
        <w:spacing w:before="0"/>
      </w:pPr>
      <w:bookmarkStart w:id="38" w:name="_Toc386966980"/>
      <w:r w:rsidRPr="002C3770">
        <w:t>1.4.5 Time-of-Use Adjustment Factor</w:t>
      </w:r>
      <w:bookmarkEnd w:id="38"/>
    </w:p>
    <w:p w:rsidR="00530D89" w:rsidRPr="002C3770" w:rsidRDefault="003F4FFF" w:rsidP="00C218D5">
      <w:pPr>
        <w:pStyle w:val="Reminders"/>
        <w:spacing w:before="0" w:after="0"/>
        <w:rPr>
          <w:rFonts w:ascii="Arial" w:hAnsi="Arial" w:cs="Arial"/>
          <w:i w:val="0"/>
          <w:color w:val="auto"/>
          <w:sz w:val="22"/>
          <w:szCs w:val="22"/>
        </w:rPr>
      </w:pPr>
      <w:r w:rsidRPr="002C3770">
        <w:rPr>
          <w:rFonts w:ascii="Arial" w:hAnsi="Arial" w:cs="Arial"/>
          <w:i w:val="0"/>
          <w:color w:val="auto"/>
          <w:sz w:val="22"/>
          <w:szCs w:val="22"/>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rsidR="00E16FD8" w:rsidRDefault="00E16FD8" w:rsidP="00C218D5">
      <w:pPr>
        <w:pStyle w:val="Heading2"/>
        <w:sectPr w:rsidR="00E16FD8" w:rsidSect="00DD43C2">
          <w:endnotePr>
            <w:numFmt w:val="decimal"/>
          </w:endnotePr>
          <w:pgSz w:w="12240" w:h="15840"/>
          <w:pgMar w:top="1440" w:right="1440" w:bottom="1440" w:left="1440" w:header="720" w:footer="720" w:gutter="0"/>
          <w:pgNumType w:chapStyle="1"/>
          <w:cols w:space="720"/>
          <w:docGrid w:linePitch="360"/>
        </w:sectPr>
      </w:pPr>
    </w:p>
    <w:p w:rsidR="003F4FFF" w:rsidRPr="002C3770" w:rsidRDefault="003F4FFF" w:rsidP="00C218D5">
      <w:pPr>
        <w:pStyle w:val="Heading2"/>
      </w:pPr>
      <w:bookmarkStart w:id="39" w:name="_Toc386966981"/>
      <w:r w:rsidRPr="002C3770">
        <w:t>1.5 Summary of Inputs for Savings Calculations</w:t>
      </w:r>
      <w:bookmarkEnd w:id="39"/>
      <w:r w:rsidRPr="002C3770">
        <w:t xml:space="preserve"> </w:t>
      </w:r>
    </w:p>
    <w:p w:rsidR="003F4FFF" w:rsidRDefault="003F4FFF" w:rsidP="00864083">
      <w:pPr>
        <w:rPr>
          <w:rFonts w:ascii="Arial" w:hAnsi="Arial" w:cs="Arial"/>
          <w:sz w:val="22"/>
          <w:szCs w:val="22"/>
        </w:rPr>
      </w:pPr>
      <w:r w:rsidRPr="002C3770">
        <w:rPr>
          <w:rFonts w:ascii="Arial" w:hAnsi="Arial" w:cs="Arial"/>
          <w:sz w:val="22"/>
          <w:szCs w:val="22"/>
        </w:rPr>
        <w:t>The following sections provide the inputs for calculation.</w:t>
      </w:r>
    </w:p>
    <w:p w:rsidR="00844529" w:rsidRDefault="00844529" w:rsidP="00864083">
      <w:pPr>
        <w:rPr>
          <w:rFonts w:ascii="Arial" w:hAnsi="Arial" w:cs="Arial"/>
          <w:sz w:val="22"/>
          <w:szCs w:val="22"/>
        </w:rPr>
      </w:pPr>
    </w:p>
    <w:p w:rsidR="00844529" w:rsidRPr="002C3770" w:rsidRDefault="00844529" w:rsidP="00864083">
      <w:pPr>
        <w:rPr>
          <w:rFonts w:ascii="Arial" w:hAnsi="Arial" w:cs="Arial"/>
          <w:sz w:val="22"/>
          <w:szCs w:val="22"/>
        </w:rPr>
      </w:pPr>
      <w:r>
        <w:rPr>
          <w:rFonts w:ascii="Arial" w:hAnsi="Arial" w:cs="Arial"/>
          <w:sz w:val="22"/>
          <w:szCs w:val="22"/>
        </w:rPr>
        <w:t>Summary for Measure H11:</w:t>
      </w:r>
    </w:p>
    <w:tbl>
      <w:tblPr>
        <w:tblW w:w="9583"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908"/>
        <w:gridCol w:w="1696"/>
        <w:gridCol w:w="1434"/>
        <w:gridCol w:w="1396"/>
        <w:gridCol w:w="1452"/>
        <w:gridCol w:w="1697"/>
      </w:tblGrid>
      <w:tr w:rsidR="003F4FFF" w:rsidRPr="00403978" w:rsidTr="00FF0B6A">
        <w:trPr>
          <w:trHeight w:val="950"/>
        </w:trPr>
        <w:tc>
          <w:tcPr>
            <w:tcW w:w="1908" w:type="dxa"/>
            <w:shd w:val="clear" w:color="auto" w:fill="262626"/>
            <w:vAlign w:val="center"/>
          </w:tcPr>
          <w:p w:rsidR="003F4FFF" w:rsidRPr="00403978" w:rsidRDefault="003F4FFF" w:rsidP="00864083">
            <w:pPr>
              <w:keepNext/>
              <w:keepLines/>
              <w:jc w:val="center"/>
              <w:rPr>
                <w:rFonts w:ascii="Arial" w:hAnsi="Arial" w:cs="Arial"/>
                <w:b/>
                <w:bCs/>
                <w:sz w:val="20"/>
                <w:szCs w:val="20"/>
              </w:rPr>
            </w:pPr>
            <w:r w:rsidRPr="00403978">
              <w:rPr>
                <w:rFonts w:ascii="Arial" w:hAnsi="Arial" w:cs="Arial"/>
                <w:b/>
                <w:bCs/>
                <w:sz w:val="20"/>
                <w:szCs w:val="20"/>
              </w:rPr>
              <w:t>Input Variable</w:t>
            </w:r>
          </w:p>
        </w:tc>
        <w:tc>
          <w:tcPr>
            <w:tcW w:w="1696" w:type="dxa"/>
            <w:shd w:val="clear" w:color="auto" w:fill="262626"/>
            <w:vAlign w:val="center"/>
          </w:tcPr>
          <w:p w:rsidR="003F4FFF" w:rsidRPr="00403978" w:rsidRDefault="003F4FFF" w:rsidP="00864083">
            <w:pPr>
              <w:keepNext/>
              <w:keepLines/>
              <w:jc w:val="center"/>
              <w:rPr>
                <w:rFonts w:ascii="Arial" w:hAnsi="Arial" w:cs="Arial"/>
                <w:b/>
                <w:bCs/>
                <w:sz w:val="20"/>
                <w:szCs w:val="20"/>
              </w:rPr>
            </w:pPr>
            <w:r w:rsidRPr="00403978">
              <w:rPr>
                <w:rFonts w:ascii="Arial" w:hAnsi="Arial" w:cs="Arial"/>
                <w:b/>
                <w:bCs/>
                <w:sz w:val="20"/>
                <w:szCs w:val="20"/>
              </w:rPr>
              <w:t>Variations</w:t>
            </w:r>
          </w:p>
        </w:tc>
        <w:tc>
          <w:tcPr>
            <w:tcW w:w="1434" w:type="dxa"/>
            <w:shd w:val="clear" w:color="auto" w:fill="262626"/>
            <w:vAlign w:val="center"/>
          </w:tcPr>
          <w:p w:rsidR="003F4FFF" w:rsidRPr="00403978" w:rsidRDefault="003F4FFF" w:rsidP="00FF0B6A">
            <w:pPr>
              <w:keepNext/>
              <w:keepLines/>
              <w:jc w:val="center"/>
              <w:rPr>
                <w:rFonts w:ascii="Arial" w:hAnsi="Arial" w:cs="Arial"/>
                <w:b/>
                <w:bCs/>
                <w:sz w:val="20"/>
                <w:szCs w:val="20"/>
              </w:rPr>
            </w:pPr>
            <w:r w:rsidRPr="00403978">
              <w:rPr>
                <w:rFonts w:ascii="Arial" w:hAnsi="Arial" w:cs="Arial"/>
                <w:b/>
                <w:bCs/>
                <w:sz w:val="20"/>
                <w:szCs w:val="20"/>
              </w:rPr>
              <w:t>Base Case 1 Average Value</w:t>
            </w:r>
          </w:p>
        </w:tc>
        <w:tc>
          <w:tcPr>
            <w:tcW w:w="1396" w:type="dxa"/>
            <w:shd w:val="clear" w:color="auto" w:fill="262626"/>
            <w:vAlign w:val="center"/>
          </w:tcPr>
          <w:p w:rsidR="003F4FFF" w:rsidRPr="00403978" w:rsidRDefault="003F4FFF" w:rsidP="00864083">
            <w:pPr>
              <w:keepNext/>
              <w:keepLines/>
              <w:jc w:val="center"/>
              <w:rPr>
                <w:rFonts w:ascii="Arial" w:hAnsi="Arial" w:cs="Arial"/>
                <w:b/>
                <w:bCs/>
                <w:sz w:val="20"/>
                <w:szCs w:val="20"/>
              </w:rPr>
            </w:pPr>
            <w:r w:rsidRPr="00403978">
              <w:rPr>
                <w:rFonts w:ascii="Arial" w:hAnsi="Arial" w:cs="Arial"/>
                <w:b/>
                <w:bCs/>
                <w:sz w:val="20"/>
                <w:szCs w:val="20"/>
              </w:rPr>
              <w:t>Base Case 2 Average Value</w:t>
            </w:r>
          </w:p>
        </w:tc>
        <w:tc>
          <w:tcPr>
            <w:tcW w:w="1452" w:type="dxa"/>
            <w:shd w:val="clear" w:color="auto" w:fill="262626"/>
            <w:vAlign w:val="center"/>
          </w:tcPr>
          <w:p w:rsidR="003F4FFF" w:rsidRPr="00403978" w:rsidRDefault="003F4FFF" w:rsidP="00864083">
            <w:pPr>
              <w:keepNext/>
              <w:keepLines/>
              <w:jc w:val="center"/>
              <w:rPr>
                <w:rFonts w:ascii="Arial" w:hAnsi="Arial" w:cs="Arial"/>
                <w:b/>
                <w:bCs/>
                <w:sz w:val="20"/>
                <w:szCs w:val="20"/>
              </w:rPr>
            </w:pPr>
            <w:r w:rsidRPr="00403978">
              <w:rPr>
                <w:rFonts w:ascii="Arial" w:hAnsi="Arial" w:cs="Arial"/>
                <w:b/>
                <w:bCs/>
                <w:sz w:val="20"/>
                <w:szCs w:val="20"/>
              </w:rPr>
              <w:t>Measure Case Average Value</w:t>
            </w:r>
          </w:p>
        </w:tc>
        <w:tc>
          <w:tcPr>
            <w:tcW w:w="1697" w:type="dxa"/>
            <w:shd w:val="clear" w:color="auto" w:fill="262626"/>
            <w:vAlign w:val="center"/>
          </w:tcPr>
          <w:p w:rsidR="003F4FFF" w:rsidRPr="00403978" w:rsidRDefault="003F4FFF" w:rsidP="00864083">
            <w:pPr>
              <w:keepNext/>
              <w:keepLines/>
              <w:jc w:val="center"/>
              <w:rPr>
                <w:rFonts w:ascii="Arial" w:hAnsi="Arial" w:cs="Arial"/>
                <w:b/>
                <w:bCs/>
                <w:sz w:val="20"/>
                <w:szCs w:val="20"/>
              </w:rPr>
            </w:pPr>
            <w:r w:rsidRPr="00403978">
              <w:rPr>
                <w:rFonts w:ascii="Arial" w:hAnsi="Arial" w:cs="Arial"/>
                <w:b/>
                <w:bCs/>
                <w:sz w:val="20"/>
                <w:szCs w:val="20"/>
              </w:rPr>
              <w:t>Reference Section</w:t>
            </w:r>
          </w:p>
        </w:tc>
      </w:tr>
      <w:tr w:rsidR="007F34B9" w:rsidRPr="00403978" w:rsidTr="00FF0B6A">
        <w:trPr>
          <w:trHeight w:val="467"/>
        </w:trPr>
        <w:tc>
          <w:tcPr>
            <w:tcW w:w="1908" w:type="dxa"/>
            <w:shd w:val="pct5" w:color="000000" w:fill="FFFFFF"/>
            <w:vAlign w:val="center"/>
          </w:tcPr>
          <w:p w:rsidR="007F34B9" w:rsidRPr="00403978" w:rsidRDefault="007F34B9" w:rsidP="00FF0B6A">
            <w:pPr>
              <w:keepNext/>
              <w:jc w:val="center"/>
              <w:rPr>
                <w:rFonts w:ascii="Arial" w:hAnsi="Arial" w:cs="Arial"/>
                <w:b/>
                <w:sz w:val="20"/>
                <w:szCs w:val="20"/>
              </w:rPr>
            </w:pPr>
            <w:r w:rsidRPr="00403978">
              <w:rPr>
                <w:rFonts w:ascii="Arial" w:hAnsi="Arial" w:cs="Arial"/>
                <w:b/>
                <w:sz w:val="20"/>
                <w:szCs w:val="20"/>
              </w:rPr>
              <w:t>Electric Savings</w:t>
            </w:r>
            <w:r w:rsidR="00FF0B6A" w:rsidRPr="00403978">
              <w:rPr>
                <w:rFonts w:ascii="Arial" w:hAnsi="Arial" w:cs="Arial"/>
                <w:b/>
                <w:sz w:val="20"/>
                <w:szCs w:val="20"/>
              </w:rPr>
              <w:t>*</w:t>
            </w:r>
          </w:p>
        </w:tc>
        <w:tc>
          <w:tcPr>
            <w:tcW w:w="1696" w:type="dxa"/>
            <w:shd w:val="pct5" w:color="000000" w:fill="FFFFFF"/>
            <w:vAlign w:val="center"/>
          </w:tcPr>
          <w:p w:rsidR="007F34B9" w:rsidRPr="00403978" w:rsidRDefault="00187474" w:rsidP="00FF0B6A">
            <w:pPr>
              <w:keepNext/>
              <w:jc w:val="center"/>
              <w:rPr>
                <w:rFonts w:ascii="Arial" w:hAnsi="Arial" w:cs="Arial"/>
                <w:sz w:val="20"/>
                <w:szCs w:val="20"/>
              </w:rPr>
            </w:pPr>
            <w:r w:rsidRPr="00403978">
              <w:rPr>
                <w:rFonts w:ascii="Arial" w:hAnsi="Arial" w:cs="Arial"/>
                <w:sz w:val="20"/>
                <w:szCs w:val="20"/>
              </w:rPr>
              <w:t>BT</w:t>
            </w:r>
          </w:p>
        </w:tc>
        <w:tc>
          <w:tcPr>
            <w:tcW w:w="1434" w:type="dxa"/>
            <w:shd w:val="pct5" w:color="000000" w:fill="FFFFFF"/>
            <w:vAlign w:val="center"/>
          </w:tcPr>
          <w:p w:rsidR="007F34B9" w:rsidRPr="00403978" w:rsidRDefault="002C3770" w:rsidP="002F26A9">
            <w:pPr>
              <w:keepNext/>
              <w:jc w:val="center"/>
              <w:rPr>
                <w:rFonts w:ascii="Arial" w:hAnsi="Arial" w:cs="Arial"/>
                <w:sz w:val="20"/>
                <w:szCs w:val="20"/>
              </w:rPr>
            </w:pPr>
            <w:r w:rsidRPr="00403978">
              <w:rPr>
                <w:rFonts w:ascii="Arial" w:hAnsi="Arial" w:cs="Arial"/>
                <w:sz w:val="20"/>
                <w:szCs w:val="20"/>
              </w:rPr>
              <w:t>N/A</w:t>
            </w:r>
          </w:p>
        </w:tc>
        <w:tc>
          <w:tcPr>
            <w:tcW w:w="1396" w:type="dxa"/>
            <w:shd w:val="pct5" w:color="000000" w:fill="FFFFFF"/>
            <w:vAlign w:val="center"/>
          </w:tcPr>
          <w:p w:rsidR="007F34B9" w:rsidRPr="00403978" w:rsidRDefault="007F34B9" w:rsidP="00FF0B6A">
            <w:pPr>
              <w:keepNext/>
              <w:jc w:val="center"/>
              <w:rPr>
                <w:rFonts w:ascii="Arial" w:hAnsi="Arial" w:cs="Arial"/>
                <w:sz w:val="20"/>
                <w:szCs w:val="20"/>
              </w:rPr>
            </w:pPr>
            <w:r w:rsidRPr="00403978">
              <w:rPr>
                <w:rFonts w:ascii="Arial" w:hAnsi="Arial" w:cs="Arial"/>
                <w:sz w:val="20"/>
                <w:szCs w:val="20"/>
              </w:rPr>
              <w:t>N/A</w:t>
            </w:r>
          </w:p>
        </w:tc>
        <w:tc>
          <w:tcPr>
            <w:tcW w:w="1452" w:type="dxa"/>
            <w:shd w:val="pct5" w:color="000000" w:fill="FFFFFF"/>
            <w:vAlign w:val="center"/>
          </w:tcPr>
          <w:p w:rsidR="007F34B9" w:rsidRPr="00403978" w:rsidRDefault="007F34B9" w:rsidP="00FF0B6A">
            <w:pPr>
              <w:keepNext/>
              <w:jc w:val="center"/>
              <w:rPr>
                <w:rFonts w:ascii="Arial" w:hAnsi="Arial" w:cs="Arial"/>
                <w:sz w:val="20"/>
                <w:szCs w:val="20"/>
              </w:rPr>
            </w:pPr>
            <w:r w:rsidRPr="00403978">
              <w:rPr>
                <w:rFonts w:ascii="Arial" w:hAnsi="Arial" w:cs="Arial"/>
                <w:sz w:val="20"/>
                <w:szCs w:val="20"/>
              </w:rPr>
              <w:t>N/A</w:t>
            </w:r>
          </w:p>
        </w:tc>
        <w:tc>
          <w:tcPr>
            <w:tcW w:w="1697" w:type="dxa"/>
            <w:shd w:val="pct5" w:color="000000" w:fill="FFFFFF"/>
            <w:vAlign w:val="center"/>
          </w:tcPr>
          <w:p w:rsidR="007F34B9" w:rsidRPr="00403978" w:rsidRDefault="007F34B9" w:rsidP="00FF0B6A">
            <w:pPr>
              <w:jc w:val="center"/>
            </w:pPr>
            <w:r w:rsidRPr="00403978">
              <w:rPr>
                <w:rFonts w:cs="Arial"/>
                <w:i/>
                <w:sz w:val="20"/>
                <w:szCs w:val="20"/>
              </w:rPr>
              <w:t>1.4.1</w:t>
            </w:r>
          </w:p>
        </w:tc>
      </w:tr>
      <w:tr w:rsidR="007F34B9" w:rsidRPr="00403978" w:rsidTr="00FF0B6A">
        <w:trPr>
          <w:trHeight w:val="234"/>
        </w:trPr>
        <w:tc>
          <w:tcPr>
            <w:tcW w:w="1908" w:type="dxa"/>
            <w:shd w:val="pct20" w:color="000000" w:fill="FFFFFF"/>
            <w:vAlign w:val="center"/>
          </w:tcPr>
          <w:p w:rsidR="007F34B9" w:rsidRPr="00403978" w:rsidRDefault="007F34B9" w:rsidP="00FF0B6A">
            <w:pPr>
              <w:keepNext/>
              <w:jc w:val="center"/>
              <w:rPr>
                <w:rFonts w:ascii="Arial" w:hAnsi="Arial" w:cs="Arial"/>
                <w:b/>
                <w:sz w:val="20"/>
                <w:szCs w:val="20"/>
              </w:rPr>
            </w:pPr>
            <w:r w:rsidRPr="00403978">
              <w:rPr>
                <w:rFonts w:ascii="Arial" w:hAnsi="Arial" w:cs="Arial"/>
                <w:b/>
                <w:sz w:val="20"/>
                <w:szCs w:val="20"/>
              </w:rPr>
              <w:t>Gas Savings</w:t>
            </w:r>
            <w:r w:rsidR="00FF0B6A" w:rsidRPr="00403978">
              <w:rPr>
                <w:rFonts w:ascii="Arial" w:hAnsi="Arial" w:cs="Arial"/>
                <w:b/>
                <w:sz w:val="20"/>
                <w:szCs w:val="20"/>
              </w:rPr>
              <w:t>*</w:t>
            </w:r>
          </w:p>
        </w:tc>
        <w:tc>
          <w:tcPr>
            <w:tcW w:w="1696" w:type="dxa"/>
            <w:shd w:val="pct20" w:color="000000" w:fill="FFFFFF"/>
            <w:vAlign w:val="center"/>
          </w:tcPr>
          <w:p w:rsidR="007F34B9" w:rsidRPr="00403978" w:rsidRDefault="00403978" w:rsidP="00FF0B6A">
            <w:pPr>
              <w:keepNext/>
              <w:jc w:val="center"/>
              <w:rPr>
                <w:rFonts w:ascii="Arial" w:hAnsi="Arial" w:cs="Arial"/>
                <w:sz w:val="20"/>
                <w:szCs w:val="20"/>
              </w:rPr>
            </w:pPr>
            <w:r w:rsidRPr="00403978">
              <w:rPr>
                <w:rFonts w:ascii="Arial" w:hAnsi="Arial" w:cs="Arial"/>
                <w:sz w:val="20"/>
                <w:szCs w:val="20"/>
              </w:rPr>
              <w:t>None</w:t>
            </w:r>
          </w:p>
        </w:tc>
        <w:tc>
          <w:tcPr>
            <w:tcW w:w="1434" w:type="dxa"/>
            <w:shd w:val="pct20" w:color="000000" w:fill="FFFFFF"/>
            <w:vAlign w:val="center"/>
          </w:tcPr>
          <w:p w:rsidR="007F34B9" w:rsidRPr="00403978" w:rsidRDefault="00403978" w:rsidP="002F26A9">
            <w:pPr>
              <w:keepNext/>
              <w:jc w:val="center"/>
              <w:rPr>
                <w:rFonts w:ascii="Arial" w:hAnsi="Arial" w:cs="Arial"/>
                <w:sz w:val="20"/>
                <w:szCs w:val="20"/>
              </w:rPr>
            </w:pPr>
            <w:r w:rsidRPr="00403978">
              <w:rPr>
                <w:rFonts w:ascii="Arial" w:hAnsi="Arial" w:cs="Arial"/>
                <w:sz w:val="20"/>
                <w:szCs w:val="20"/>
              </w:rPr>
              <w:t>36.7</w:t>
            </w:r>
          </w:p>
        </w:tc>
        <w:tc>
          <w:tcPr>
            <w:tcW w:w="1396" w:type="dxa"/>
            <w:shd w:val="pct20" w:color="000000" w:fill="FFFFFF"/>
            <w:vAlign w:val="center"/>
          </w:tcPr>
          <w:p w:rsidR="007F34B9" w:rsidRPr="00403978" w:rsidRDefault="007F34B9" w:rsidP="00FF0B6A">
            <w:pPr>
              <w:keepNext/>
              <w:jc w:val="center"/>
              <w:rPr>
                <w:rFonts w:ascii="Arial" w:hAnsi="Arial" w:cs="Arial"/>
                <w:sz w:val="20"/>
                <w:szCs w:val="20"/>
              </w:rPr>
            </w:pPr>
            <w:r w:rsidRPr="00403978">
              <w:rPr>
                <w:rFonts w:ascii="Arial" w:hAnsi="Arial" w:cs="Arial"/>
                <w:sz w:val="20"/>
                <w:szCs w:val="20"/>
              </w:rPr>
              <w:t>N/A</w:t>
            </w:r>
          </w:p>
        </w:tc>
        <w:tc>
          <w:tcPr>
            <w:tcW w:w="1452" w:type="dxa"/>
            <w:shd w:val="pct20" w:color="000000" w:fill="FFFFFF"/>
            <w:vAlign w:val="center"/>
          </w:tcPr>
          <w:p w:rsidR="007F34B9" w:rsidRPr="00403978" w:rsidRDefault="00403978" w:rsidP="00844529">
            <w:pPr>
              <w:keepNext/>
              <w:jc w:val="center"/>
              <w:rPr>
                <w:rFonts w:ascii="Arial" w:hAnsi="Arial" w:cs="Arial"/>
                <w:sz w:val="20"/>
                <w:szCs w:val="20"/>
              </w:rPr>
            </w:pPr>
            <w:r w:rsidRPr="00403978">
              <w:rPr>
                <w:rFonts w:ascii="Arial" w:hAnsi="Arial" w:cs="Arial"/>
                <w:sz w:val="20"/>
                <w:szCs w:val="20"/>
              </w:rPr>
              <w:t>3</w:t>
            </w:r>
            <w:r w:rsidR="00844529">
              <w:rPr>
                <w:rFonts w:ascii="Arial" w:hAnsi="Arial" w:cs="Arial"/>
                <w:sz w:val="20"/>
                <w:szCs w:val="20"/>
              </w:rPr>
              <w:t>3.8</w:t>
            </w:r>
          </w:p>
        </w:tc>
        <w:tc>
          <w:tcPr>
            <w:tcW w:w="1697" w:type="dxa"/>
            <w:shd w:val="pct20" w:color="000000" w:fill="FFFFFF"/>
            <w:vAlign w:val="center"/>
          </w:tcPr>
          <w:p w:rsidR="007F34B9" w:rsidRPr="00403978" w:rsidRDefault="007F34B9" w:rsidP="00FF0B6A">
            <w:pPr>
              <w:jc w:val="center"/>
            </w:pPr>
            <w:r w:rsidRPr="00403978">
              <w:rPr>
                <w:rFonts w:cs="Arial"/>
                <w:i/>
                <w:sz w:val="20"/>
                <w:szCs w:val="20"/>
              </w:rPr>
              <w:t>1.4.1</w:t>
            </w:r>
          </w:p>
        </w:tc>
      </w:tr>
      <w:tr w:rsidR="007F34B9" w:rsidRPr="00403978" w:rsidTr="00FF0B6A">
        <w:trPr>
          <w:trHeight w:val="483"/>
        </w:trPr>
        <w:tc>
          <w:tcPr>
            <w:tcW w:w="1908" w:type="dxa"/>
            <w:shd w:val="pct5" w:color="000000" w:fill="FFFFFF"/>
            <w:vAlign w:val="center"/>
          </w:tcPr>
          <w:p w:rsidR="007F34B9" w:rsidRPr="00403978" w:rsidRDefault="007F34B9" w:rsidP="00FF0B6A">
            <w:pPr>
              <w:keepNext/>
              <w:jc w:val="center"/>
              <w:rPr>
                <w:rFonts w:ascii="Arial" w:hAnsi="Arial" w:cs="Arial"/>
                <w:b/>
                <w:sz w:val="20"/>
                <w:szCs w:val="20"/>
              </w:rPr>
            </w:pPr>
            <w:r w:rsidRPr="00403978">
              <w:rPr>
                <w:rFonts w:ascii="Arial" w:hAnsi="Arial" w:cs="Arial"/>
                <w:b/>
                <w:sz w:val="20"/>
                <w:szCs w:val="20"/>
              </w:rPr>
              <w:t>Hours of operation</w:t>
            </w:r>
          </w:p>
        </w:tc>
        <w:tc>
          <w:tcPr>
            <w:tcW w:w="1696" w:type="dxa"/>
            <w:shd w:val="pct5" w:color="000000" w:fill="FFFFFF"/>
            <w:vAlign w:val="center"/>
          </w:tcPr>
          <w:p w:rsidR="007F34B9" w:rsidRPr="00403978" w:rsidRDefault="007F34B9" w:rsidP="00FF0B6A">
            <w:pPr>
              <w:keepNext/>
              <w:jc w:val="center"/>
              <w:rPr>
                <w:rFonts w:ascii="Arial" w:hAnsi="Arial" w:cs="Arial"/>
                <w:sz w:val="20"/>
                <w:szCs w:val="20"/>
              </w:rPr>
            </w:pPr>
            <w:r w:rsidRPr="00403978">
              <w:rPr>
                <w:rFonts w:ascii="Arial" w:hAnsi="Arial" w:cs="Arial"/>
                <w:sz w:val="20"/>
                <w:szCs w:val="20"/>
              </w:rPr>
              <w:t>None</w:t>
            </w:r>
          </w:p>
        </w:tc>
        <w:tc>
          <w:tcPr>
            <w:tcW w:w="1434" w:type="dxa"/>
            <w:shd w:val="pct5" w:color="000000" w:fill="FFFFFF"/>
            <w:vAlign w:val="center"/>
          </w:tcPr>
          <w:p w:rsidR="007F34B9" w:rsidRPr="00403978" w:rsidRDefault="007F34B9" w:rsidP="00FF0B6A">
            <w:pPr>
              <w:keepNext/>
              <w:jc w:val="center"/>
              <w:rPr>
                <w:rFonts w:ascii="Arial" w:hAnsi="Arial" w:cs="Arial"/>
                <w:sz w:val="20"/>
                <w:szCs w:val="20"/>
              </w:rPr>
            </w:pPr>
            <w:r w:rsidRPr="00403978">
              <w:rPr>
                <w:rFonts w:ascii="Arial" w:hAnsi="Arial" w:cs="Arial"/>
                <w:sz w:val="20"/>
                <w:szCs w:val="20"/>
              </w:rPr>
              <w:t>8,760</w:t>
            </w:r>
          </w:p>
        </w:tc>
        <w:tc>
          <w:tcPr>
            <w:tcW w:w="1396" w:type="dxa"/>
            <w:shd w:val="pct5" w:color="000000" w:fill="FFFFFF"/>
            <w:vAlign w:val="center"/>
          </w:tcPr>
          <w:p w:rsidR="007F34B9" w:rsidRPr="00403978" w:rsidRDefault="007F34B9" w:rsidP="00FF0B6A">
            <w:pPr>
              <w:keepNext/>
              <w:jc w:val="center"/>
              <w:rPr>
                <w:rFonts w:ascii="Arial" w:hAnsi="Arial" w:cs="Arial"/>
                <w:sz w:val="20"/>
                <w:szCs w:val="20"/>
              </w:rPr>
            </w:pPr>
            <w:r w:rsidRPr="00403978">
              <w:rPr>
                <w:rFonts w:ascii="Arial" w:hAnsi="Arial" w:cs="Arial"/>
                <w:sz w:val="20"/>
                <w:szCs w:val="20"/>
              </w:rPr>
              <w:t>N/A</w:t>
            </w:r>
          </w:p>
        </w:tc>
        <w:tc>
          <w:tcPr>
            <w:tcW w:w="1452" w:type="dxa"/>
            <w:shd w:val="pct5" w:color="000000" w:fill="FFFFFF"/>
            <w:vAlign w:val="center"/>
          </w:tcPr>
          <w:p w:rsidR="007F34B9" w:rsidRPr="00403978" w:rsidRDefault="00403978" w:rsidP="00FF0B6A">
            <w:pPr>
              <w:keepNext/>
              <w:jc w:val="center"/>
              <w:rPr>
                <w:rFonts w:ascii="Arial" w:hAnsi="Arial" w:cs="Arial"/>
                <w:sz w:val="20"/>
                <w:szCs w:val="20"/>
              </w:rPr>
            </w:pPr>
            <w:r w:rsidRPr="00403978">
              <w:rPr>
                <w:rFonts w:ascii="Arial" w:hAnsi="Arial" w:cs="Arial"/>
                <w:sz w:val="20"/>
                <w:szCs w:val="20"/>
              </w:rPr>
              <w:t>8,760</w:t>
            </w:r>
          </w:p>
        </w:tc>
        <w:tc>
          <w:tcPr>
            <w:tcW w:w="1697" w:type="dxa"/>
            <w:shd w:val="pct5" w:color="000000" w:fill="FFFFFF"/>
            <w:vAlign w:val="center"/>
          </w:tcPr>
          <w:p w:rsidR="007F34B9" w:rsidRPr="00403978" w:rsidRDefault="007F34B9" w:rsidP="00FF0B6A">
            <w:pPr>
              <w:jc w:val="center"/>
            </w:pPr>
            <w:r w:rsidRPr="00403978">
              <w:rPr>
                <w:rFonts w:cs="Arial"/>
                <w:i/>
                <w:sz w:val="20"/>
                <w:szCs w:val="20"/>
              </w:rPr>
              <w:t>1.4.1</w:t>
            </w:r>
          </w:p>
        </w:tc>
      </w:tr>
      <w:tr w:rsidR="007F34B9" w:rsidRPr="00403978" w:rsidTr="00FF0B6A">
        <w:trPr>
          <w:trHeight w:val="234"/>
        </w:trPr>
        <w:tc>
          <w:tcPr>
            <w:tcW w:w="1908" w:type="dxa"/>
            <w:shd w:val="pct20" w:color="000000" w:fill="FFFFFF"/>
            <w:vAlign w:val="center"/>
          </w:tcPr>
          <w:p w:rsidR="007F34B9" w:rsidRPr="00403978" w:rsidRDefault="007F34B9" w:rsidP="00FF0B6A">
            <w:pPr>
              <w:keepNext/>
              <w:jc w:val="center"/>
              <w:rPr>
                <w:rFonts w:ascii="Arial" w:hAnsi="Arial" w:cs="Arial"/>
                <w:b/>
                <w:sz w:val="20"/>
                <w:szCs w:val="20"/>
              </w:rPr>
            </w:pPr>
            <w:r w:rsidRPr="00403978">
              <w:rPr>
                <w:rFonts w:ascii="Arial" w:hAnsi="Arial" w:cs="Arial"/>
                <w:b/>
                <w:sz w:val="20"/>
                <w:szCs w:val="20"/>
              </w:rPr>
              <w:t>Full Cost</w:t>
            </w:r>
          </w:p>
        </w:tc>
        <w:tc>
          <w:tcPr>
            <w:tcW w:w="1696" w:type="dxa"/>
            <w:shd w:val="pct20" w:color="000000" w:fill="FFFFFF"/>
            <w:vAlign w:val="center"/>
          </w:tcPr>
          <w:p w:rsidR="007F34B9" w:rsidRPr="00403978" w:rsidRDefault="00403978" w:rsidP="00FF0B6A">
            <w:pPr>
              <w:keepNext/>
              <w:jc w:val="center"/>
              <w:rPr>
                <w:rFonts w:ascii="Arial" w:hAnsi="Arial" w:cs="Arial"/>
                <w:sz w:val="20"/>
                <w:szCs w:val="20"/>
              </w:rPr>
            </w:pPr>
            <w:r w:rsidRPr="00403978">
              <w:rPr>
                <w:rFonts w:ascii="Arial" w:hAnsi="Arial" w:cs="Arial"/>
                <w:sz w:val="20"/>
                <w:szCs w:val="20"/>
              </w:rPr>
              <w:t>CZ</w:t>
            </w:r>
          </w:p>
        </w:tc>
        <w:tc>
          <w:tcPr>
            <w:tcW w:w="1434" w:type="dxa"/>
            <w:shd w:val="pct20" w:color="000000" w:fill="FFFFFF"/>
            <w:vAlign w:val="center"/>
          </w:tcPr>
          <w:p w:rsidR="007F34B9" w:rsidRPr="00403978" w:rsidRDefault="007F34B9" w:rsidP="004F07B1">
            <w:pPr>
              <w:keepNext/>
              <w:jc w:val="center"/>
              <w:rPr>
                <w:rFonts w:ascii="Arial" w:hAnsi="Arial" w:cs="Arial"/>
                <w:sz w:val="20"/>
                <w:szCs w:val="20"/>
              </w:rPr>
            </w:pPr>
            <w:r w:rsidRPr="00403978">
              <w:rPr>
                <w:rFonts w:ascii="Arial" w:hAnsi="Arial" w:cs="Arial"/>
                <w:sz w:val="20"/>
                <w:szCs w:val="20"/>
              </w:rPr>
              <w:t>$</w:t>
            </w:r>
            <w:r w:rsidR="004F07B1">
              <w:rPr>
                <w:rFonts w:ascii="Arial" w:hAnsi="Arial" w:cs="Arial"/>
                <w:sz w:val="20"/>
                <w:szCs w:val="20"/>
              </w:rPr>
              <w:t>13.33</w:t>
            </w:r>
          </w:p>
        </w:tc>
        <w:tc>
          <w:tcPr>
            <w:tcW w:w="1396" w:type="dxa"/>
            <w:shd w:val="pct20" w:color="000000" w:fill="FFFFFF"/>
            <w:vAlign w:val="center"/>
          </w:tcPr>
          <w:p w:rsidR="007F34B9" w:rsidRPr="00403978" w:rsidRDefault="007F34B9" w:rsidP="00FF0B6A">
            <w:pPr>
              <w:keepNext/>
              <w:jc w:val="center"/>
              <w:rPr>
                <w:rFonts w:ascii="Arial" w:hAnsi="Arial" w:cs="Arial"/>
                <w:sz w:val="20"/>
                <w:szCs w:val="20"/>
              </w:rPr>
            </w:pPr>
            <w:r w:rsidRPr="00403978">
              <w:rPr>
                <w:rFonts w:ascii="Arial" w:hAnsi="Arial" w:cs="Arial"/>
                <w:sz w:val="20"/>
                <w:szCs w:val="20"/>
              </w:rPr>
              <w:t>N/A</w:t>
            </w:r>
          </w:p>
        </w:tc>
        <w:tc>
          <w:tcPr>
            <w:tcW w:w="1452" w:type="dxa"/>
            <w:shd w:val="pct20" w:color="000000" w:fill="FFFFFF"/>
            <w:vAlign w:val="center"/>
          </w:tcPr>
          <w:p w:rsidR="007F34B9" w:rsidRPr="00403978" w:rsidRDefault="00403978" w:rsidP="00CE2E24">
            <w:pPr>
              <w:keepNext/>
              <w:jc w:val="center"/>
              <w:rPr>
                <w:rFonts w:ascii="Arial" w:hAnsi="Arial" w:cs="Arial"/>
                <w:sz w:val="20"/>
                <w:szCs w:val="20"/>
              </w:rPr>
            </w:pPr>
            <w:r w:rsidRPr="00403978">
              <w:rPr>
                <w:rFonts w:ascii="Arial" w:hAnsi="Arial" w:cs="Arial"/>
                <w:sz w:val="20"/>
                <w:szCs w:val="20"/>
              </w:rPr>
              <w:t>$</w:t>
            </w:r>
            <w:r w:rsidR="004F07B1">
              <w:rPr>
                <w:rFonts w:ascii="Arial" w:hAnsi="Arial" w:cs="Arial"/>
                <w:sz w:val="20"/>
                <w:szCs w:val="20"/>
              </w:rPr>
              <w:t>14.</w:t>
            </w:r>
            <w:r w:rsidR="00CE2E24">
              <w:rPr>
                <w:rFonts w:ascii="Arial" w:hAnsi="Arial" w:cs="Arial"/>
                <w:sz w:val="20"/>
                <w:szCs w:val="20"/>
              </w:rPr>
              <w:t>83</w:t>
            </w:r>
          </w:p>
        </w:tc>
        <w:tc>
          <w:tcPr>
            <w:tcW w:w="1697" w:type="dxa"/>
            <w:shd w:val="pct20" w:color="000000" w:fill="FFFFFF"/>
            <w:vAlign w:val="center"/>
          </w:tcPr>
          <w:p w:rsidR="007F34B9" w:rsidRPr="00403978" w:rsidRDefault="007F34B9" w:rsidP="00FF0B6A">
            <w:pPr>
              <w:jc w:val="center"/>
            </w:pPr>
            <w:r w:rsidRPr="00403978">
              <w:rPr>
                <w:rFonts w:cs="Arial"/>
                <w:i/>
                <w:sz w:val="20"/>
                <w:szCs w:val="20"/>
              </w:rPr>
              <w:t>1.4.1</w:t>
            </w:r>
          </w:p>
        </w:tc>
      </w:tr>
      <w:tr w:rsidR="007F34B9" w:rsidRPr="00403978" w:rsidTr="00FF0B6A">
        <w:trPr>
          <w:trHeight w:val="483"/>
        </w:trPr>
        <w:tc>
          <w:tcPr>
            <w:tcW w:w="1908" w:type="dxa"/>
            <w:shd w:val="pct5" w:color="000000" w:fill="FFFFFF"/>
            <w:vAlign w:val="center"/>
          </w:tcPr>
          <w:p w:rsidR="007F34B9" w:rsidRPr="00403978" w:rsidRDefault="007F34B9" w:rsidP="00FF0B6A">
            <w:pPr>
              <w:keepNext/>
              <w:jc w:val="center"/>
              <w:rPr>
                <w:rFonts w:ascii="Arial" w:hAnsi="Arial" w:cs="Arial"/>
                <w:b/>
                <w:sz w:val="20"/>
                <w:szCs w:val="20"/>
              </w:rPr>
            </w:pPr>
            <w:r w:rsidRPr="00403978">
              <w:rPr>
                <w:rFonts w:ascii="Arial" w:hAnsi="Arial" w:cs="Arial"/>
                <w:b/>
                <w:sz w:val="20"/>
                <w:szCs w:val="20"/>
              </w:rPr>
              <w:t>Incremental Cost</w:t>
            </w:r>
          </w:p>
        </w:tc>
        <w:tc>
          <w:tcPr>
            <w:tcW w:w="1696" w:type="dxa"/>
            <w:shd w:val="pct5" w:color="000000" w:fill="FFFFFF"/>
            <w:vAlign w:val="center"/>
          </w:tcPr>
          <w:p w:rsidR="007F34B9" w:rsidRPr="00403978" w:rsidRDefault="00403978" w:rsidP="00FF0B6A">
            <w:pPr>
              <w:keepNext/>
              <w:jc w:val="center"/>
              <w:rPr>
                <w:rFonts w:ascii="Arial" w:hAnsi="Arial" w:cs="Arial"/>
                <w:sz w:val="20"/>
                <w:szCs w:val="20"/>
              </w:rPr>
            </w:pPr>
            <w:r w:rsidRPr="00403978">
              <w:rPr>
                <w:rFonts w:ascii="Arial" w:hAnsi="Arial" w:cs="Arial"/>
                <w:sz w:val="20"/>
                <w:szCs w:val="20"/>
              </w:rPr>
              <w:t>CZ</w:t>
            </w:r>
          </w:p>
        </w:tc>
        <w:tc>
          <w:tcPr>
            <w:tcW w:w="1434" w:type="dxa"/>
            <w:shd w:val="pct5" w:color="000000" w:fill="FFFFFF"/>
            <w:vAlign w:val="center"/>
          </w:tcPr>
          <w:p w:rsidR="007F34B9" w:rsidRPr="00403978" w:rsidRDefault="007F34B9" w:rsidP="00CE2E24">
            <w:pPr>
              <w:keepNext/>
              <w:jc w:val="center"/>
              <w:rPr>
                <w:rFonts w:ascii="Arial" w:hAnsi="Arial" w:cs="Arial"/>
                <w:sz w:val="20"/>
                <w:szCs w:val="20"/>
              </w:rPr>
            </w:pPr>
            <w:r w:rsidRPr="00403978">
              <w:rPr>
                <w:rFonts w:ascii="Arial" w:hAnsi="Arial" w:cs="Arial"/>
                <w:sz w:val="20"/>
                <w:szCs w:val="20"/>
              </w:rPr>
              <w:t>$</w:t>
            </w:r>
            <w:r w:rsidR="00CE2E24">
              <w:rPr>
                <w:rFonts w:ascii="Arial" w:hAnsi="Arial" w:cs="Arial"/>
                <w:sz w:val="20"/>
                <w:szCs w:val="20"/>
              </w:rPr>
              <w:t>1.50</w:t>
            </w:r>
          </w:p>
        </w:tc>
        <w:tc>
          <w:tcPr>
            <w:tcW w:w="1396" w:type="dxa"/>
            <w:shd w:val="pct5" w:color="000000" w:fill="FFFFFF"/>
            <w:vAlign w:val="center"/>
          </w:tcPr>
          <w:p w:rsidR="007F34B9" w:rsidRPr="00403978" w:rsidRDefault="007F34B9" w:rsidP="00FF0B6A">
            <w:pPr>
              <w:keepNext/>
              <w:jc w:val="center"/>
              <w:rPr>
                <w:rFonts w:ascii="Arial" w:hAnsi="Arial" w:cs="Arial"/>
                <w:sz w:val="20"/>
                <w:szCs w:val="20"/>
              </w:rPr>
            </w:pPr>
            <w:r w:rsidRPr="00403978">
              <w:rPr>
                <w:rFonts w:ascii="Arial" w:hAnsi="Arial" w:cs="Arial"/>
                <w:sz w:val="20"/>
                <w:szCs w:val="20"/>
              </w:rPr>
              <w:t>N/A</w:t>
            </w:r>
          </w:p>
        </w:tc>
        <w:tc>
          <w:tcPr>
            <w:tcW w:w="1452" w:type="dxa"/>
            <w:shd w:val="pct5" w:color="000000" w:fill="FFFFFF"/>
            <w:vAlign w:val="center"/>
          </w:tcPr>
          <w:p w:rsidR="007F34B9" w:rsidRPr="00403978" w:rsidRDefault="00403978" w:rsidP="00CE2E24">
            <w:pPr>
              <w:keepNext/>
              <w:jc w:val="center"/>
              <w:rPr>
                <w:rFonts w:ascii="Arial" w:hAnsi="Arial" w:cs="Arial"/>
                <w:sz w:val="20"/>
                <w:szCs w:val="20"/>
              </w:rPr>
            </w:pPr>
            <w:r w:rsidRPr="00403978">
              <w:rPr>
                <w:rFonts w:ascii="Arial" w:hAnsi="Arial" w:cs="Arial"/>
                <w:sz w:val="20"/>
                <w:szCs w:val="20"/>
              </w:rPr>
              <w:t>$</w:t>
            </w:r>
            <w:r w:rsidR="00CE2E24">
              <w:rPr>
                <w:rFonts w:ascii="Arial" w:hAnsi="Arial" w:cs="Arial"/>
                <w:sz w:val="20"/>
                <w:szCs w:val="20"/>
              </w:rPr>
              <w:t>1.50</w:t>
            </w:r>
          </w:p>
        </w:tc>
        <w:tc>
          <w:tcPr>
            <w:tcW w:w="1697" w:type="dxa"/>
            <w:shd w:val="pct5" w:color="000000" w:fill="FFFFFF"/>
            <w:vAlign w:val="center"/>
          </w:tcPr>
          <w:p w:rsidR="007F34B9" w:rsidRPr="00403978" w:rsidRDefault="007F34B9" w:rsidP="00FF0B6A">
            <w:pPr>
              <w:jc w:val="center"/>
            </w:pPr>
            <w:r w:rsidRPr="00403978">
              <w:rPr>
                <w:rFonts w:cs="Arial"/>
                <w:i/>
                <w:sz w:val="20"/>
                <w:szCs w:val="20"/>
              </w:rPr>
              <w:t>1.4.1</w:t>
            </w:r>
          </w:p>
        </w:tc>
      </w:tr>
      <w:tr w:rsidR="00403978" w:rsidRPr="00403978" w:rsidTr="00FF0B6A">
        <w:trPr>
          <w:trHeight w:val="249"/>
        </w:trPr>
        <w:tc>
          <w:tcPr>
            <w:tcW w:w="1908" w:type="dxa"/>
            <w:shd w:val="pct20" w:color="000000" w:fill="FFFFFF"/>
            <w:vAlign w:val="center"/>
          </w:tcPr>
          <w:p w:rsidR="00403978" w:rsidRPr="00403978" w:rsidRDefault="00403978" w:rsidP="00182AE8">
            <w:pPr>
              <w:keepNext/>
              <w:jc w:val="center"/>
              <w:rPr>
                <w:rFonts w:ascii="Arial" w:hAnsi="Arial" w:cs="Arial"/>
                <w:b/>
                <w:sz w:val="20"/>
                <w:szCs w:val="20"/>
              </w:rPr>
            </w:pPr>
            <w:r w:rsidRPr="00403978">
              <w:rPr>
                <w:rFonts w:ascii="Arial" w:hAnsi="Arial" w:cs="Arial"/>
                <w:b/>
                <w:sz w:val="20"/>
                <w:szCs w:val="20"/>
              </w:rPr>
              <w:t>EUL /RUL</w:t>
            </w:r>
          </w:p>
        </w:tc>
        <w:tc>
          <w:tcPr>
            <w:tcW w:w="1696" w:type="dxa"/>
            <w:shd w:val="pct20" w:color="000000" w:fill="FFFFFF"/>
            <w:vAlign w:val="center"/>
          </w:tcPr>
          <w:p w:rsidR="00403978" w:rsidRPr="00403978" w:rsidRDefault="00403978" w:rsidP="00FF0B6A">
            <w:pPr>
              <w:keepNext/>
              <w:jc w:val="center"/>
              <w:rPr>
                <w:rFonts w:ascii="Arial" w:hAnsi="Arial" w:cs="Arial"/>
                <w:sz w:val="20"/>
                <w:szCs w:val="20"/>
              </w:rPr>
            </w:pPr>
            <w:r w:rsidRPr="00403978">
              <w:rPr>
                <w:rFonts w:ascii="Arial" w:hAnsi="Arial" w:cs="Arial"/>
                <w:sz w:val="20"/>
                <w:szCs w:val="20"/>
              </w:rPr>
              <w:t>None</w:t>
            </w:r>
          </w:p>
        </w:tc>
        <w:tc>
          <w:tcPr>
            <w:tcW w:w="1434" w:type="dxa"/>
            <w:shd w:val="pct20" w:color="000000" w:fill="FFFFFF"/>
            <w:vAlign w:val="center"/>
          </w:tcPr>
          <w:p w:rsidR="00403978" w:rsidRPr="00403978" w:rsidRDefault="00403978" w:rsidP="00FF0B6A">
            <w:pPr>
              <w:keepNext/>
              <w:jc w:val="center"/>
              <w:rPr>
                <w:rFonts w:ascii="Arial" w:hAnsi="Arial" w:cs="Arial"/>
                <w:sz w:val="20"/>
                <w:szCs w:val="20"/>
              </w:rPr>
            </w:pPr>
            <w:r w:rsidRPr="00403978">
              <w:rPr>
                <w:rFonts w:ascii="Arial" w:hAnsi="Arial" w:cs="Arial"/>
                <w:sz w:val="20"/>
                <w:szCs w:val="20"/>
              </w:rPr>
              <w:t>20/6.7</w:t>
            </w:r>
          </w:p>
        </w:tc>
        <w:tc>
          <w:tcPr>
            <w:tcW w:w="1396" w:type="dxa"/>
            <w:shd w:val="pct20" w:color="000000" w:fill="FFFFFF"/>
            <w:vAlign w:val="center"/>
          </w:tcPr>
          <w:p w:rsidR="00403978" w:rsidRPr="00403978" w:rsidRDefault="00403978" w:rsidP="00FF0B6A">
            <w:pPr>
              <w:keepNext/>
              <w:jc w:val="center"/>
              <w:rPr>
                <w:rFonts w:ascii="Arial" w:hAnsi="Arial" w:cs="Arial"/>
                <w:sz w:val="20"/>
                <w:szCs w:val="20"/>
              </w:rPr>
            </w:pPr>
            <w:r w:rsidRPr="00403978">
              <w:rPr>
                <w:rFonts w:ascii="Arial" w:hAnsi="Arial" w:cs="Arial"/>
                <w:sz w:val="20"/>
                <w:szCs w:val="20"/>
              </w:rPr>
              <w:t>N/A</w:t>
            </w:r>
          </w:p>
        </w:tc>
        <w:tc>
          <w:tcPr>
            <w:tcW w:w="1452" w:type="dxa"/>
            <w:shd w:val="pct20" w:color="000000" w:fill="FFFFFF"/>
            <w:vAlign w:val="center"/>
          </w:tcPr>
          <w:p w:rsidR="00403978" w:rsidRPr="00403978" w:rsidRDefault="00403978" w:rsidP="00403978">
            <w:pPr>
              <w:keepNext/>
              <w:jc w:val="center"/>
              <w:rPr>
                <w:rFonts w:ascii="Arial" w:hAnsi="Arial" w:cs="Arial"/>
                <w:sz w:val="20"/>
                <w:szCs w:val="20"/>
              </w:rPr>
            </w:pPr>
            <w:r w:rsidRPr="00403978">
              <w:rPr>
                <w:rFonts w:ascii="Arial" w:hAnsi="Arial" w:cs="Arial"/>
                <w:sz w:val="20"/>
                <w:szCs w:val="20"/>
              </w:rPr>
              <w:t>20/6.7</w:t>
            </w:r>
          </w:p>
        </w:tc>
        <w:tc>
          <w:tcPr>
            <w:tcW w:w="1697" w:type="dxa"/>
            <w:shd w:val="pct20" w:color="000000" w:fill="FFFFFF"/>
            <w:vAlign w:val="center"/>
          </w:tcPr>
          <w:p w:rsidR="00403978" w:rsidRPr="00403978" w:rsidRDefault="00403978" w:rsidP="00FF0B6A">
            <w:pPr>
              <w:jc w:val="center"/>
            </w:pPr>
            <w:r w:rsidRPr="00403978">
              <w:rPr>
                <w:rFonts w:cs="Arial"/>
                <w:i/>
                <w:sz w:val="20"/>
                <w:szCs w:val="20"/>
              </w:rPr>
              <w:t>1.4.1</w:t>
            </w:r>
          </w:p>
        </w:tc>
      </w:tr>
      <w:tr w:rsidR="00403978" w:rsidRPr="00403978" w:rsidTr="00FF0B6A">
        <w:trPr>
          <w:trHeight w:val="249"/>
        </w:trPr>
        <w:tc>
          <w:tcPr>
            <w:tcW w:w="1908" w:type="dxa"/>
            <w:shd w:val="pct5" w:color="000000" w:fill="FFFFFF"/>
            <w:vAlign w:val="center"/>
          </w:tcPr>
          <w:p w:rsidR="00403978" w:rsidRPr="00403978" w:rsidRDefault="00403978" w:rsidP="00FF0B6A">
            <w:pPr>
              <w:keepNext/>
              <w:jc w:val="center"/>
              <w:rPr>
                <w:rFonts w:ascii="Arial" w:hAnsi="Arial" w:cs="Arial"/>
                <w:b/>
                <w:sz w:val="20"/>
                <w:szCs w:val="20"/>
              </w:rPr>
            </w:pPr>
            <w:r w:rsidRPr="00403978">
              <w:rPr>
                <w:rFonts w:ascii="Arial" w:hAnsi="Arial" w:cs="Arial"/>
                <w:b/>
                <w:sz w:val="20"/>
                <w:szCs w:val="20"/>
              </w:rPr>
              <w:t>NTG</w:t>
            </w:r>
          </w:p>
        </w:tc>
        <w:tc>
          <w:tcPr>
            <w:tcW w:w="1696" w:type="dxa"/>
            <w:shd w:val="pct5" w:color="000000" w:fill="FFFFFF"/>
            <w:vAlign w:val="center"/>
          </w:tcPr>
          <w:p w:rsidR="00403978" w:rsidRPr="00403978" w:rsidRDefault="00403978" w:rsidP="00FF0B6A">
            <w:pPr>
              <w:keepNext/>
              <w:jc w:val="center"/>
              <w:rPr>
                <w:rFonts w:ascii="Arial" w:hAnsi="Arial" w:cs="Arial"/>
                <w:sz w:val="20"/>
                <w:szCs w:val="20"/>
              </w:rPr>
            </w:pPr>
            <w:r w:rsidRPr="00403978">
              <w:rPr>
                <w:rFonts w:ascii="Arial" w:hAnsi="Arial" w:cs="Arial"/>
                <w:sz w:val="20"/>
                <w:szCs w:val="20"/>
              </w:rPr>
              <w:t>None</w:t>
            </w:r>
          </w:p>
        </w:tc>
        <w:tc>
          <w:tcPr>
            <w:tcW w:w="1434" w:type="dxa"/>
            <w:shd w:val="pct5" w:color="000000" w:fill="FFFFFF"/>
            <w:vAlign w:val="center"/>
          </w:tcPr>
          <w:p w:rsidR="00403978" w:rsidRPr="00403978" w:rsidRDefault="00403978" w:rsidP="00FF0B6A">
            <w:pPr>
              <w:keepNext/>
              <w:jc w:val="center"/>
              <w:rPr>
                <w:rFonts w:ascii="Arial" w:hAnsi="Arial" w:cs="Arial"/>
                <w:sz w:val="20"/>
                <w:szCs w:val="20"/>
              </w:rPr>
            </w:pPr>
            <w:r w:rsidRPr="00403978">
              <w:rPr>
                <w:rFonts w:ascii="Arial" w:hAnsi="Arial" w:cs="Arial"/>
                <w:sz w:val="20"/>
                <w:szCs w:val="20"/>
              </w:rPr>
              <w:t>0.6</w:t>
            </w:r>
          </w:p>
        </w:tc>
        <w:tc>
          <w:tcPr>
            <w:tcW w:w="1396" w:type="dxa"/>
            <w:shd w:val="pct5" w:color="000000" w:fill="FFFFFF"/>
            <w:vAlign w:val="center"/>
          </w:tcPr>
          <w:p w:rsidR="00403978" w:rsidRPr="00403978" w:rsidRDefault="00403978" w:rsidP="00FF0B6A">
            <w:pPr>
              <w:keepNext/>
              <w:jc w:val="center"/>
              <w:rPr>
                <w:rFonts w:ascii="Arial" w:hAnsi="Arial" w:cs="Arial"/>
                <w:sz w:val="20"/>
                <w:szCs w:val="20"/>
              </w:rPr>
            </w:pPr>
            <w:r w:rsidRPr="00403978">
              <w:rPr>
                <w:rFonts w:ascii="Arial" w:hAnsi="Arial" w:cs="Arial"/>
                <w:sz w:val="20"/>
                <w:szCs w:val="20"/>
              </w:rPr>
              <w:t>N/A</w:t>
            </w:r>
          </w:p>
        </w:tc>
        <w:tc>
          <w:tcPr>
            <w:tcW w:w="1452" w:type="dxa"/>
            <w:shd w:val="pct5" w:color="000000" w:fill="FFFFFF"/>
            <w:vAlign w:val="center"/>
          </w:tcPr>
          <w:p w:rsidR="00403978" w:rsidRPr="00403978" w:rsidRDefault="00403978" w:rsidP="00403978">
            <w:pPr>
              <w:keepNext/>
              <w:jc w:val="center"/>
              <w:rPr>
                <w:rFonts w:ascii="Arial" w:hAnsi="Arial" w:cs="Arial"/>
                <w:sz w:val="20"/>
                <w:szCs w:val="20"/>
              </w:rPr>
            </w:pPr>
            <w:r w:rsidRPr="00403978">
              <w:rPr>
                <w:rFonts w:ascii="Arial" w:hAnsi="Arial" w:cs="Arial"/>
                <w:sz w:val="20"/>
                <w:szCs w:val="20"/>
              </w:rPr>
              <w:t>0.6</w:t>
            </w:r>
          </w:p>
        </w:tc>
        <w:tc>
          <w:tcPr>
            <w:tcW w:w="1697" w:type="dxa"/>
            <w:shd w:val="pct5" w:color="000000" w:fill="FFFFFF"/>
            <w:vAlign w:val="center"/>
          </w:tcPr>
          <w:p w:rsidR="00403978" w:rsidRPr="00403978" w:rsidRDefault="00403978" w:rsidP="00FF0B6A">
            <w:pPr>
              <w:jc w:val="center"/>
            </w:pPr>
            <w:r w:rsidRPr="00403978">
              <w:rPr>
                <w:rFonts w:cs="Arial"/>
                <w:i/>
                <w:sz w:val="20"/>
                <w:szCs w:val="20"/>
              </w:rPr>
              <w:t>1.4.1</w:t>
            </w:r>
          </w:p>
        </w:tc>
      </w:tr>
      <w:tr w:rsidR="00403978" w:rsidRPr="00403978" w:rsidTr="00FF0B6A">
        <w:trPr>
          <w:trHeight w:val="249"/>
        </w:trPr>
        <w:tc>
          <w:tcPr>
            <w:tcW w:w="1908" w:type="dxa"/>
            <w:shd w:val="pct20" w:color="000000" w:fill="FFFFFF"/>
            <w:vAlign w:val="center"/>
          </w:tcPr>
          <w:p w:rsidR="00403978" w:rsidRPr="00403978" w:rsidRDefault="00403978" w:rsidP="00FF0B6A">
            <w:pPr>
              <w:keepNext/>
              <w:jc w:val="center"/>
              <w:rPr>
                <w:rFonts w:ascii="Arial" w:hAnsi="Arial" w:cs="Arial"/>
                <w:b/>
                <w:sz w:val="20"/>
                <w:szCs w:val="20"/>
              </w:rPr>
            </w:pPr>
            <w:r w:rsidRPr="00403978">
              <w:rPr>
                <w:rFonts w:ascii="Arial" w:hAnsi="Arial" w:cs="Arial"/>
                <w:b/>
                <w:sz w:val="20"/>
                <w:szCs w:val="20"/>
              </w:rPr>
              <w:t>ISR</w:t>
            </w:r>
          </w:p>
        </w:tc>
        <w:tc>
          <w:tcPr>
            <w:tcW w:w="1696" w:type="dxa"/>
            <w:shd w:val="pct20" w:color="000000" w:fill="FFFFFF"/>
            <w:vAlign w:val="center"/>
          </w:tcPr>
          <w:p w:rsidR="00403978" w:rsidRPr="00403978" w:rsidRDefault="00403978" w:rsidP="00FF0B6A">
            <w:pPr>
              <w:keepNext/>
              <w:jc w:val="center"/>
              <w:rPr>
                <w:rFonts w:ascii="Arial" w:hAnsi="Arial" w:cs="Arial"/>
                <w:sz w:val="20"/>
                <w:szCs w:val="20"/>
                <w:highlight w:val="yellow"/>
              </w:rPr>
            </w:pPr>
            <w:r w:rsidRPr="00403978">
              <w:rPr>
                <w:rFonts w:ascii="Arial" w:hAnsi="Arial" w:cs="Arial"/>
                <w:sz w:val="20"/>
                <w:szCs w:val="20"/>
              </w:rPr>
              <w:t>None</w:t>
            </w:r>
          </w:p>
        </w:tc>
        <w:tc>
          <w:tcPr>
            <w:tcW w:w="1434" w:type="dxa"/>
            <w:shd w:val="pct20" w:color="000000" w:fill="FFFFFF"/>
            <w:vAlign w:val="center"/>
          </w:tcPr>
          <w:p w:rsidR="00403978" w:rsidRPr="00403978" w:rsidRDefault="00403978" w:rsidP="00FF0B6A">
            <w:pPr>
              <w:keepNext/>
              <w:jc w:val="center"/>
              <w:rPr>
                <w:rFonts w:ascii="Arial" w:hAnsi="Arial" w:cs="Arial"/>
                <w:sz w:val="20"/>
                <w:szCs w:val="20"/>
              </w:rPr>
            </w:pPr>
            <w:r w:rsidRPr="00403978">
              <w:rPr>
                <w:rFonts w:ascii="Arial" w:hAnsi="Arial" w:cs="Arial"/>
                <w:sz w:val="20"/>
                <w:szCs w:val="20"/>
              </w:rPr>
              <w:t>1</w:t>
            </w:r>
          </w:p>
        </w:tc>
        <w:tc>
          <w:tcPr>
            <w:tcW w:w="1396" w:type="dxa"/>
            <w:shd w:val="pct20" w:color="000000" w:fill="FFFFFF"/>
            <w:vAlign w:val="center"/>
          </w:tcPr>
          <w:p w:rsidR="00403978" w:rsidRPr="00403978" w:rsidRDefault="00403978" w:rsidP="00FF0B6A">
            <w:pPr>
              <w:keepNext/>
              <w:jc w:val="center"/>
              <w:rPr>
                <w:rFonts w:ascii="Arial" w:hAnsi="Arial" w:cs="Arial"/>
                <w:sz w:val="20"/>
                <w:szCs w:val="20"/>
              </w:rPr>
            </w:pPr>
            <w:r w:rsidRPr="00403978">
              <w:rPr>
                <w:rFonts w:ascii="Arial" w:hAnsi="Arial" w:cs="Arial"/>
                <w:sz w:val="20"/>
                <w:szCs w:val="20"/>
              </w:rPr>
              <w:t>N/A</w:t>
            </w:r>
          </w:p>
        </w:tc>
        <w:tc>
          <w:tcPr>
            <w:tcW w:w="1452" w:type="dxa"/>
            <w:shd w:val="pct20" w:color="000000" w:fill="FFFFFF"/>
            <w:vAlign w:val="center"/>
          </w:tcPr>
          <w:p w:rsidR="00403978" w:rsidRPr="00403978" w:rsidRDefault="00403978" w:rsidP="00403978">
            <w:pPr>
              <w:keepNext/>
              <w:jc w:val="center"/>
              <w:rPr>
                <w:rFonts w:ascii="Arial" w:hAnsi="Arial" w:cs="Arial"/>
                <w:sz w:val="20"/>
                <w:szCs w:val="20"/>
              </w:rPr>
            </w:pPr>
            <w:r w:rsidRPr="00403978">
              <w:rPr>
                <w:rFonts w:ascii="Arial" w:hAnsi="Arial" w:cs="Arial"/>
                <w:sz w:val="20"/>
                <w:szCs w:val="20"/>
              </w:rPr>
              <w:t>1</w:t>
            </w:r>
          </w:p>
        </w:tc>
        <w:tc>
          <w:tcPr>
            <w:tcW w:w="1697" w:type="dxa"/>
            <w:shd w:val="pct20" w:color="000000" w:fill="FFFFFF"/>
            <w:vAlign w:val="center"/>
          </w:tcPr>
          <w:p w:rsidR="00403978" w:rsidRPr="00403978" w:rsidRDefault="00403978" w:rsidP="00FF0B6A">
            <w:pPr>
              <w:jc w:val="center"/>
            </w:pPr>
            <w:r w:rsidRPr="00403978">
              <w:rPr>
                <w:rFonts w:cs="Arial"/>
                <w:i/>
                <w:sz w:val="20"/>
                <w:szCs w:val="20"/>
              </w:rPr>
              <w:t>1.4.1</w:t>
            </w:r>
          </w:p>
        </w:tc>
      </w:tr>
    </w:tbl>
    <w:p w:rsidR="00836FE5" w:rsidRDefault="00836FE5" w:rsidP="00864083">
      <w:pPr>
        <w:rPr>
          <w:rFonts w:ascii="Arial" w:hAnsi="Arial" w:cs="Arial"/>
          <w:b/>
          <w:i/>
          <w:color w:val="FF0000"/>
          <w:sz w:val="28"/>
          <w:szCs w:val="28"/>
        </w:rPr>
      </w:pPr>
    </w:p>
    <w:p w:rsidR="00844529" w:rsidRPr="002C3770" w:rsidRDefault="00844529" w:rsidP="00844529">
      <w:pPr>
        <w:rPr>
          <w:rFonts w:ascii="Arial" w:hAnsi="Arial" w:cs="Arial"/>
          <w:sz w:val="22"/>
          <w:szCs w:val="22"/>
        </w:rPr>
      </w:pPr>
      <w:r>
        <w:rPr>
          <w:rFonts w:ascii="Arial" w:hAnsi="Arial" w:cs="Arial"/>
          <w:sz w:val="22"/>
          <w:szCs w:val="22"/>
        </w:rPr>
        <w:t>Summary for Measure H15:</w:t>
      </w:r>
    </w:p>
    <w:tbl>
      <w:tblPr>
        <w:tblW w:w="9583"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908"/>
        <w:gridCol w:w="1696"/>
        <w:gridCol w:w="1434"/>
        <w:gridCol w:w="1396"/>
        <w:gridCol w:w="1452"/>
        <w:gridCol w:w="1697"/>
      </w:tblGrid>
      <w:tr w:rsidR="00844529" w:rsidRPr="00403978" w:rsidTr="00844529">
        <w:trPr>
          <w:trHeight w:val="950"/>
        </w:trPr>
        <w:tc>
          <w:tcPr>
            <w:tcW w:w="1908" w:type="dxa"/>
            <w:shd w:val="clear" w:color="auto" w:fill="262626"/>
            <w:vAlign w:val="center"/>
          </w:tcPr>
          <w:p w:rsidR="00844529" w:rsidRPr="00403978" w:rsidRDefault="00844529" w:rsidP="00844529">
            <w:pPr>
              <w:keepNext/>
              <w:keepLines/>
              <w:jc w:val="center"/>
              <w:rPr>
                <w:rFonts w:ascii="Arial" w:hAnsi="Arial" w:cs="Arial"/>
                <w:b/>
                <w:bCs/>
                <w:sz w:val="20"/>
                <w:szCs w:val="20"/>
              </w:rPr>
            </w:pPr>
            <w:r w:rsidRPr="00403978">
              <w:rPr>
                <w:rFonts w:ascii="Arial" w:hAnsi="Arial" w:cs="Arial"/>
                <w:b/>
                <w:bCs/>
                <w:sz w:val="20"/>
                <w:szCs w:val="20"/>
              </w:rPr>
              <w:t>Input Variable</w:t>
            </w:r>
          </w:p>
        </w:tc>
        <w:tc>
          <w:tcPr>
            <w:tcW w:w="1696" w:type="dxa"/>
            <w:shd w:val="clear" w:color="auto" w:fill="262626"/>
            <w:vAlign w:val="center"/>
          </w:tcPr>
          <w:p w:rsidR="00844529" w:rsidRPr="00403978" w:rsidRDefault="00844529" w:rsidP="00844529">
            <w:pPr>
              <w:keepNext/>
              <w:keepLines/>
              <w:jc w:val="center"/>
              <w:rPr>
                <w:rFonts w:ascii="Arial" w:hAnsi="Arial" w:cs="Arial"/>
                <w:b/>
                <w:bCs/>
                <w:sz w:val="20"/>
                <w:szCs w:val="20"/>
              </w:rPr>
            </w:pPr>
            <w:r w:rsidRPr="00403978">
              <w:rPr>
                <w:rFonts w:ascii="Arial" w:hAnsi="Arial" w:cs="Arial"/>
                <w:b/>
                <w:bCs/>
                <w:sz w:val="20"/>
                <w:szCs w:val="20"/>
              </w:rPr>
              <w:t>Variations</w:t>
            </w:r>
          </w:p>
        </w:tc>
        <w:tc>
          <w:tcPr>
            <w:tcW w:w="1434" w:type="dxa"/>
            <w:shd w:val="clear" w:color="auto" w:fill="262626"/>
            <w:vAlign w:val="center"/>
          </w:tcPr>
          <w:p w:rsidR="00844529" w:rsidRPr="00403978" w:rsidRDefault="00844529" w:rsidP="00844529">
            <w:pPr>
              <w:keepNext/>
              <w:keepLines/>
              <w:jc w:val="center"/>
              <w:rPr>
                <w:rFonts w:ascii="Arial" w:hAnsi="Arial" w:cs="Arial"/>
                <w:b/>
                <w:bCs/>
                <w:sz w:val="20"/>
                <w:szCs w:val="20"/>
              </w:rPr>
            </w:pPr>
            <w:r w:rsidRPr="00403978">
              <w:rPr>
                <w:rFonts w:ascii="Arial" w:hAnsi="Arial" w:cs="Arial"/>
                <w:b/>
                <w:bCs/>
                <w:sz w:val="20"/>
                <w:szCs w:val="20"/>
              </w:rPr>
              <w:t>Base Case 1 Average Value</w:t>
            </w:r>
          </w:p>
        </w:tc>
        <w:tc>
          <w:tcPr>
            <w:tcW w:w="1396" w:type="dxa"/>
            <w:shd w:val="clear" w:color="auto" w:fill="262626"/>
            <w:vAlign w:val="center"/>
          </w:tcPr>
          <w:p w:rsidR="00844529" w:rsidRPr="00403978" w:rsidRDefault="00844529" w:rsidP="00844529">
            <w:pPr>
              <w:keepNext/>
              <w:keepLines/>
              <w:jc w:val="center"/>
              <w:rPr>
                <w:rFonts w:ascii="Arial" w:hAnsi="Arial" w:cs="Arial"/>
                <w:b/>
                <w:bCs/>
                <w:sz w:val="20"/>
                <w:szCs w:val="20"/>
              </w:rPr>
            </w:pPr>
            <w:r w:rsidRPr="00403978">
              <w:rPr>
                <w:rFonts w:ascii="Arial" w:hAnsi="Arial" w:cs="Arial"/>
                <w:b/>
                <w:bCs/>
                <w:sz w:val="20"/>
                <w:szCs w:val="20"/>
              </w:rPr>
              <w:t>Base Case 2 Average Value</w:t>
            </w:r>
          </w:p>
        </w:tc>
        <w:tc>
          <w:tcPr>
            <w:tcW w:w="1452" w:type="dxa"/>
            <w:shd w:val="clear" w:color="auto" w:fill="262626"/>
            <w:vAlign w:val="center"/>
          </w:tcPr>
          <w:p w:rsidR="00844529" w:rsidRPr="00403978" w:rsidRDefault="00844529" w:rsidP="00844529">
            <w:pPr>
              <w:keepNext/>
              <w:keepLines/>
              <w:jc w:val="center"/>
              <w:rPr>
                <w:rFonts w:ascii="Arial" w:hAnsi="Arial" w:cs="Arial"/>
                <w:b/>
                <w:bCs/>
                <w:sz w:val="20"/>
                <w:szCs w:val="20"/>
              </w:rPr>
            </w:pPr>
            <w:r w:rsidRPr="00403978">
              <w:rPr>
                <w:rFonts w:ascii="Arial" w:hAnsi="Arial" w:cs="Arial"/>
                <w:b/>
                <w:bCs/>
                <w:sz w:val="20"/>
                <w:szCs w:val="20"/>
              </w:rPr>
              <w:t>Measure Case Average Value</w:t>
            </w:r>
          </w:p>
        </w:tc>
        <w:tc>
          <w:tcPr>
            <w:tcW w:w="1697" w:type="dxa"/>
            <w:shd w:val="clear" w:color="auto" w:fill="262626"/>
            <w:vAlign w:val="center"/>
          </w:tcPr>
          <w:p w:rsidR="00844529" w:rsidRPr="00403978" w:rsidRDefault="00844529" w:rsidP="00844529">
            <w:pPr>
              <w:keepNext/>
              <w:keepLines/>
              <w:jc w:val="center"/>
              <w:rPr>
                <w:rFonts w:ascii="Arial" w:hAnsi="Arial" w:cs="Arial"/>
                <w:b/>
                <w:bCs/>
                <w:sz w:val="20"/>
                <w:szCs w:val="20"/>
              </w:rPr>
            </w:pPr>
            <w:r w:rsidRPr="00403978">
              <w:rPr>
                <w:rFonts w:ascii="Arial" w:hAnsi="Arial" w:cs="Arial"/>
                <w:b/>
                <w:bCs/>
                <w:sz w:val="20"/>
                <w:szCs w:val="20"/>
              </w:rPr>
              <w:t>Reference Section</w:t>
            </w:r>
          </w:p>
        </w:tc>
      </w:tr>
      <w:tr w:rsidR="00844529" w:rsidRPr="00403978" w:rsidTr="00844529">
        <w:trPr>
          <w:trHeight w:val="467"/>
        </w:trPr>
        <w:tc>
          <w:tcPr>
            <w:tcW w:w="1908" w:type="dxa"/>
            <w:shd w:val="pct5" w:color="000000" w:fill="FFFFFF"/>
            <w:vAlign w:val="center"/>
          </w:tcPr>
          <w:p w:rsidR="00844529" w:rsidRPr="00403978" w:rsidRDefault="00844529" w:rsidP="00844529">
            <w:pPr>
              <w:keepNext/>
              <w:jc w:val="center"/>
              <w:rPr>
                <w:rFonts w:ascii="Arial" w:hAnsi="Arial" w:cs="Arial"/>
                <w:b/>
                <w:sz w:val="20"/>
                <w:szCs w:val="20"/>
              </w:rPr>
            </w:pPr>
            <w:r w:rsidRPr="00403978">
              <w:rPr>
                <w:rFonts w:ascii="Arial" w:hAnsi="Arial" w:cs="Arial"/>
                <w:b/>
                <w:sz w:val="20"/>
                <w:szCs w:val="20"/>
              </w:rPr>
              <w:t>Electric Savings*</w:t>
            </w:r>
          </w:p>
        </w:tc>
        <w:tc>
          <w:tcPr>
            <w:tcW w:w="1696"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BT</w:t>
            </w:r>
          </w:p>
        </w:tc>
        <w:tc>
          <w:tcPr>
            <w:tcW w:w="1434"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396"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452"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697" w:type="dxa"/>
            <w:shd w:val="pct5" w:color="000000" w:fill="FFFFFF"/>
            <w:vAlign w:val="center"/>
          </w:tcPr>
          <w:p w:rsidR="00844529" w:rsidRPr="00403978" w:rsidRDefault="00844529" w:rsidP="00844529">
            <w:pPr>
              <w:jc w:val="center"/>
            </w:pPr>
            <w:r w:rsidRPr="00403978">
              <w:rPr>
                <w:rFonts w:cs="Arial"/>
                <w:i/>
                <w:sz w:val="20"/>
                <w:szCs w:val="20"/>
              </w:rPr>
              <w:t>1.4.1</w:t>
            </w:r>
          </w:p>
        </w:tc>
      </w:tr>
      <w:tr w:rsidR="00844529" w:rsidRPr="00403978" w:rsidTr="00844529">
        <w:trPr>
          <w:trHeight w:val="234"/>
        </w:trPr>
        <w:tc>
          <w:tcPr>
            <w:tcW w:w="1908" w:type="dxa"/>
            <w:shd w:val="pct20" w:color="000000" w:fill="FFFFFF"/>
            <w:vAlign w:val="center"/>
          </w:tcPr>
          <w:p w:rsidR="00844529" w:rsidRPr="00403978" w:rsidRDefault="00844529" w:rsidP="00844529">
            <w:pPr>
              <w:keepNext/>
              <w:jc w:val="center"/>
              <w:rPr>
                <w:rFonts w:ascii="Arial" w:hAnsi="Arial" w:cs="Arial"/>
                <w:b/>
                <w:sz w:val="20"/>
                <w:szCs w:val="20"/>
              </w:rPr>
            </w:pPr>
            <w:r w:rsidRPr="00403978">
              <w:rPr>
                <w:rFonts w:ascii="Arial" w:hAnsi="Arial" w:cs="Arial"/>
                <w:b/>
                <w:sz w:val="20"/>
                <w:szCs w:val="20"/>
              </w:rPr>
              <w:t>Gas Savings*</w:t>
            </w:r>
          </w:p>
        </w:tc>
        <w:tc>
          <w:tcPr>
            <w:tcW w:w="1696"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None</w:t>
            </w:r>
          </w:p>
        </w:tc>
        <w:tc>
          <w:tcPr>
            <w:tcW w:w="1434"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36.7</w:t>
            </w:r>
          </w:p>
        </w:tc>
        <w:tc>
          <w:tcPr>
            <w:tcW w:w="1396"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452" w:type="dxa"/>
            <w:shd w:val="pct20" w:color="000000" w:fill="FFFFFF"/>
            <w:vAlign w:val="center"/>
          </w:tcPr>
          <w:p w:rsidR="00844529" w:rsidRPr="00403978" w:rsidRDefault="00844529" w:rsidP="00A72CF1">
            <w:pPr>
              <w:keepNext/>
              <w:jc w:val="center"/>
              <w:rPr>
                <w:rFonts w:ascii="Arial" w:hAnsi="Arial" w:cs="Arial"/>
                <w:sz w:val="20"/>
                <w:szCs w:val="20"/>
              </w:rPr>
            </w:pPr>
            <w:r w:rsidRPr="00403978">
              <w:rPr>
                <w:rFonts w:ascii="Arial" w:hAnsi="Arial" w:cs="Arial"/>
                <w:sz w:val="20"/>
                <w:szCs w:val="20"/>
              </w:rPr>
              <w:t>3</w:t>
            </w:r>
            <w:r w:rsidR="00A72CF1">
              <w:rPr>
                <w:rFonts w:ascii="Arial" w:hAnsi="Arial" w:cs="Arial"/>
                <w:sz w:val="20"/>
                <w:szCs w:val="20"/>
              </w:rPr>
              <w:t>5.3</w:t>
            </w:r>
          </w:p>
        </w:tc>
        <w:tc>
          <w:tcPr>
            <w:tcW w:w="1697" w:type="dxa"/>
            <w:shd w:val="pct20" w:color="000000" w:fill="FFFFFF"/>
            <w:vAlign w:val="center"/>
          </w:tcPr>
          <w:p w:rsidR="00844529" w:rsidRPr="00403978" w:rsidRDefault="00844529" w:rsidP="00844529">
            <w:pPr>
              <w:jc w:val="center"/>
            </w:pPr>
            <w:r w:rsidRPr="00403978">
              <w:rPr>
                <w:rFonts w:cs="Arial"/>
                <w:i/>
                <w:sz w:val="20"/>
                <w:szCs w:val="20"/>
              </w:rPr>
              <w:t>1.4.1</w:t>
            </w:r>
          </w:p>
        </w:tc>
      </w:tr>
      <w:tr w:rsidR="00844529" w:rsidRPr="00403978" w:rsidTr="00844529">
        <w:trPr>
          <w:trHeight w:val="483"/>
        </w:trPr>
        <w:tc>
          <w:tcPr>
            <w:tcW w:w="1908" w:type="dxa"/>
            <w:shd w:val="pct5" w:color="000000" w:fill="FFFFFF"/>
            <w:vAlign w:val="center"/>
          </w:tcPr>
          <w:p w:rsidR="00844529" w:rsidRPr="00403978" w:rsidRDefault="00844529" w:rsidP="00844529">
            <w:pPr>
              <w:keepNext/>
              <w:jc w:val="center"/>
              <w:rPr>
                <w:rFonts w:ascii="Arial" w:hAnsi="Arial" w:cs="Arial"/>
                <w:b/>
                <w:sz w:val="20"/>
                <w:szCs w:val="20"/>
              </w:rPr>
            </w:pPr>
            <w:r w:rsidRPr="00403978">
              <w:rPr>
                <w:rFonts w:ascii="Arial" w:hAnsi="Arial" w:cs="Arial"/>
                <w:b/>
                <w:sz w:val="20"/>
                <w:szCs w:val="20"/>
              </w:rPr>
              <w:t>Hours of operation</w:t>
            </w:r>
          </w:p>
        </w:tc>
        <w:tc>
          <w:tcPr>
            <w:tcW w:w="1696"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None</w:t>
            </w:r>
          </w:p>
        </w:tc>
        <w:tc>
          <w:tcPr>
            <w:tcW w:w="1434"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8,760</w:t>
            </w:r>
          </w:p>
        </w:tc>
        <w:tc>
          <w:tcPr>
            <w:tcW w:w="1396"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452"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8,760</w:t>
            </w:r>
          </w:p>
        </w:tc>
        <w:tc>
          <w:tcPr>
            <w:tcW w:w="1697" w:type="dxa"/>
            <w:shd w:val="pct5" w:color="000000" w:fill="FFFFFF"/>
            <w:vAlign w:val="center"/>
          </w:tcPr>
          <w:p w:rsidR="00844529" w:rsidRPr="00403978" w:rsidRDefault="00844529" w:rsidP="00844529">
            <w:pPr>
              <w:jc w:val="center"/>
            </w:pPr>
            <w:r w:rsidRPr="00403978">
              <w:rPr>
                <w:rFonts w:cs="Arial"/>
                <w:i/>
                <w:sz w:val="20"/>
                <w:szCs w:val="20"/>
              </w:rPr>
              <w:t>1.4.1</w:t>
            </w:r>
          </w:p>
        </w:tc>
      </w:tr>
      <w:tr w:rsidR="00844529" w:rsidRPr="00403978" w:rsidTr="00844529">
        <w:trPr>
          <w:trHeight w:val="234"/>
        </w:trPr>
        <w:tc>
          <w:tcPr>
            <w:tcW w:w="1908" w:type="dxa"/>
            <w:shd w:val="pct20" w:color="000000" w:fill="FFFFFF"/>
            <w:vAlign w:val="center"/>
          </w:tcPr>
          <w:p w:rsidR="00844529" w:rsidRPr="00403978" w:rsidRDefault="00844529" w:rsidP="00844529">
            <w:pPr>
              <w:keepNext/>
              <w:jc w:val="center"/>
              <w:rPr>
                <w:rFonts w:ascii="Arial" w:hAnsi="Arial" w:cs="Arial"/>
                <w:b/>
                <w:sz w:val="20"/>
                <w:szCs w:val="20"/>
              </w:rPr>
            </w:pPr>
            <w:r w:rsidRPr="00403978">
              <w:rPr>
                <w:rFonts w:ascii="Arial" w:hAnsi="Arial" w:cs="Arial"/>
                <w:b/>
                <w:sz w:val="20"/>
                <w:szCs w:val="20"/>
              </w:rPr>
              <w:t>Full Cost</w:t>
            </w:r>
          </w:p>
        </w:tc>
        <w:tc>
          <w:tcPr>
            <w:tcW w:w="1696"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CZ</w:t>
            </w:r>
          </w:p>
        </w:tc>
        <w:tc>
          <w:tcPr>
            <w:tcW w:w="1434" w:type="dxa"/>
            <w:shd w:val="pct20" w:color="000000" w:fill="FFFFFF"/>
            <w:vAlign w:val="center"/>
          </w:tcPr>
          <w:p w:rsidR="00844529" w:rsidRPr="00403978" w:rsidRDefault="00844529" w:rsidP="004F07B1">
            <w:pPr>
              <w:keepNext/>
              <w:jc w:val="center"/>
              <w:rPr>
                <w:rFonts w:ascii="Arial" w:hAnsi="Arial" w:cs="Arial"/>
                <w:sz w:val="20"/>
                <w:szCs w:val="20"/>
              </w:rPr>
            </w:pPr>
            <w:r w:rsidRPr="00403978">
              <w:rPr>
                <w:rFonts w:ascii="Arial" w:hAnsi="Arial" w:cs="Arial"/>
                <w:sz w:val="20"/>
                <w:szCs w:val="20"/>
              </w:rPr>
              <w:t>$1</w:t>
            </w:r>
            <w:r w:rsidR="004F07B1">
              <w:rPr>
                <w:rFonts w:ascii="Arial" w:hAnsi="Arial" w:cs="Arial"/>
                <w:sz w:val="20"/>
                <w:szCs w:val="20"/>
              </w:rPr>
              <w:t>5.81</w:t>
            </w:r>
          </w:p>
        </w:tc>
        <w:tc>
          <w:tcPr>
            <w:tcW w:w="1396"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452" w:type="dxa"/>
            <w:shd w:val="pct20" w:color="000000" w:fill="FFFFFF"/>
            <w:vAlign w:val="center"/>
          </w:tcPr>
          <w:p w:rsidR="00844529" w:rsidRPr="00403978" w:rsidRDefault="00844529" w:rsidP="00CE2E24">
            <w:pPr>
              <w:keepNext/>
              <w:jc w:val="center"/>
              <w:rPr>
                <w:rFonts w:ascii="Arial" w:hAnsi="Arial" w:cs="Arial"/>
                <w:sz w:val="20"/>
                <w:szCs w:val="20"/>
              </w:rPr>
            </w:pPr>
            <w:r w:rsidRPr="00403978">
              <w:rPr>
                <w:rFonts w:ascii="Arial" w:hAnsi="Arial" w:cs="Arial"/>
                <w:sz w:val="20"/>
                <w:szCs w:val="20"/>
              </w:rPr>
              <w:t>$</w:t>
            </w:r>
            <w:r w:rsidR="00A72CF1">
              <w:rPr>
                <w:rFonts w:ascii="Arial" w:hAnsi="Arial" w:cs="Arial"/>
                <w:sz w:val="20"/>
                <w:szCs w:val="20"/>
              </w:rPr>
              <w:t>1</w:t>
            </w:r>
            <w:r w:rsidR="00CE2E24">
              <w:rPr>
                <w:rFonts w:ascii="Arial" w:hAnsi="Arial" w:cs="Arial"/>
                <w:sz w:val="20"/>
                <w:szCs w:val="20"/>
              </w:rPr>
              <w:t>7</w:t>
            </w:r>
            <w:r w:rsidR="004F07B1">
              <w:rPr>
                <w:rFonts w:ascii="Arial" w:hAnsi="Arial" w:cs="Arial"/>
                <w:sz w:val="20"/>
                <w:szCs w:val="20"/>
              </w:rPr>
              <w:t>.51</w:t>
            </w:r>
          </w:p>
        </w:tc>
        <w:tc>
          <w:tcPr>
            <w:tcW w:w="1697" w:type="dxa"/>
            <w:shd w:val="pct20" w:color="000000" w:fill="FFFFFF"/>
            <w:vAlign w:val="center"/>
          </w:tcPr>
          <w:p w:rsidR="00844529" w:rsidRPr="00403978" w:rsidRDefault="00844529" w:rsidP="00844529">
            <w:pPr>
              <w:jc w:val="center"/>
            </w:pPr>
            <w:r w:rsidRPr="00403978">
              <w:rPr>
                <w:rFonts w:cs="Arial"/>
                <w:i/>
                <w:sz w:val="20"/>
                <w:szCs w:val="20"/>
              </w:rPr>
              <w:t>1.4.1</w:t>
            </w:r>
          </w:p>
        </w:tc>
      </w:tr>
      <w:tr w:rsidR="00844529" w:rsidRPr="00403978" w:rsidTr="00844529">
        <w:trPr>
          <w:trHeight w:val="483"/>
        </w:trPr>
        <w:tc>
          <w:tcPr>
            <w:tcW w:w="1908" w:type="dxa"/>
            <w:shd w:val="pct5" w:color="000000" w:fill="FFFFFF"/>
            <w:vAlign w:val="center"/>
          </w:tcPr>
          <w:p w:rsidR="00844529" w:rsidRPr="00403978" w:rsidRDefault="00844529" w:rsidP="00844529">
            <w:pPr>
              <w:keepNext/>
              <w:jc w:val="center"/>
              <w:rPr>
                <w:rFonts w:ascii="Arial" w:hAnsi="Arial" w:cs="Arial"/>
                <w:b/>
                <w:sz w:val="20"/>
                <w:szCs w:val="20"/>
              </w:rPr>
            </w:pPr>
            <w:r w:rsidRPr="00403978">
              <w:rPr>
                <w:rFonts w:ascii="Arial" w:hAnsi="Arial" w:cs="Arial"/>
                <w:b/>
                <w:sz w:val="20"/>
                <w:szCs w:val="20"/>
              </w:rPr>
              <w:t>Incremental Cost</w:t>
            </w:r>
          </w:p>
        </w:tc>
        <w:tc>
          <w:tcPr>
            <w:tcW w:w="1696"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CZ</w:t>
            </w:r>
          </w:p>
        </w:tc>
        <w:tc>
          <w:tcPr>
            <w:tcW w:w="1434" w:type="dxa"/>
            <w:shd w:val="pct5" w:color="000000" w:fill="FFFFFF"/>
            <w:vAlign w:val="center"/>
          </w:tcPr>
          <w:p w:rsidR="00844529" w:rsidRPr="00403978" w:rsidRDefault="00844529" w:rsidP="00CE2E24">
            <w:pPr>
              <w:keepNext/>
              <w:jc w:val="center"/>
              <w:rPr>
                <w:rFonts w:ascii="Arial" w:hAnsi="Arial" w:cs="Arial"/>
                <w:sz w:val="20"/>
                <w:szCs w:val="20"/>
              </w:rPr>
            </w:pPr>
            <w:r w:rsidRPr="00403978">
              <w:rPr>
                <w:rFonts w:ascii="Arial" w:hAnsi="Arial" w:cs="Arial"/>
                <w:sz w:val="20"/>
                <w:szCs w:val="20"/>
              </w:rPr>
              <w:t>$</w:t>
            </w:r>
            <w:r w:rsidR="00CE4AD9">
              <w:rPr>
                <w:rFonts w:ascii="Arial" w:hAnsi="Arial" w:cs="Arial"/>
                <w:sz w:val="20"/>
                <w:szCs w:val="20"/>
              </w:rPr>
              <w:t>1.7</w:t>
            </w:r>
            <w:r w:rsidR="00CE2E24">
              <w:rPr>
                <w:rFonts w:ascii="Arial" w:hAnsi="Arial" w:cs="Arial"/>
                <w:sz w:val="20"/>
                <w:szCs w:val="20"/>
              </w:rPr>
              <w:t>0</w:t>
            </w:r>
          </w:p>
        </w:tc>
        <w:tc>
          <w:tcPr>
            <w:tcW w:w="1396"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452" w:type="dxa"/>
            <w:shd w:val="pct5" w:color="000000" w:fill="FFFFFF"/>
            <w:vAlign w:val="center"/>
          </w:tcPr>
          <w:p w:rsidR="00844529" w:rsidRPr="00403978" w:rsidRDefault="00844529" w:rsidP="004F07B1">
            <w:pPr>
              <w:keepNext/>
              <w:jc w:val="center"/>
              <w:rPr>
                <w:rFonts w:ascii="Arial" w:hAnsi="Arial" w:cs="Arial"/>
                <w:sz w:val="20"/>
                <w:szCs w:val="20"/>
              </w:rPr>
            </w:pPr>
            <w:r w:rsidRPr="00403978">
              <w:rPr>
                <w:rFonts w:ascii="Arial" w:hAnsi="Arial" w:cs="Arial"/>
                <w:sz w:val="20"/>
                <w:szCs w:val="20"/>
              </w:rPr>
              <w:t>$</w:t>
            </w:r>
            <w:r w:rsidR="00CE4AD9">
              <w:rPr>
                <w:rFonts w:ascii="Arial" w:hAnsi="Arial" w:cs="Arial"/>
                <w:sz w:val="20"/>
                <w:szCs w:val="20"/>
              </w:rPr>
              <w:t>1.7</w:t>
            </w:r>
            <w:r w:rsidR="00CE2E24">
              <w:rPr>
                <w:rFonts w:ascii="Arial" w:hAnsi="Arial" w:cs="Arial"/>
                <w:sz w:val="20"/>
                <w:szCs w:val="20"/>
              </w:rPr>
              <w:t>0</w:t>
            </w:r>
          </w:p>
        </w:tc>
        <w:tc>
          <w:tcPr>
            <w:tcW w:w="1697" w:type="dxa"/>
            <w:shd w:val="pct5" w:color="000000" w:fill="FFFFFF"/>
            <w:vAlign w:val="center"/>
          </w:tcPr>
          <w:p w:rsidR="00844529" w:rsidRPr="00403978" w:rsidRDefault="00844529" w:rsidP="00844529">
            <w:pPr>
              <w:jc w:val="center"/>
            </w:pPr>
            <w:r w:rsidRPr="00403978">
              <w:rPr>
                <w:rFonts w:cs="Arial"/>
                <w:i/>
                <w:sz w:val="20"/>
                <w:szCs w:val="20"/>
              </w:rPr>
              <w:t>1.4.1</w:t>
            </w:r>
          </w:p>
        </w:tc>
      </w:tr>
      <w:tr w:rsidR="00844529" w:rsidRPr="00403978" w:rsidTr="00844529">
        <w:trPr>
          <w:trHeight w:val="249"/>
        </w:trPr>
        <w:tc>
          <w:tcPr>
            <w:tcW w:w="1908" w:type="dxa"/>
            <w:shd w:val="pct20" w:color="000000" w:fill="FFFFFF"/>
            <w:vAlign w:val="center"/>
          </w:tcPr>
          <w:p w:rsidR="00844529" w:rsidRPr="00403978" w:rsidRDefault="00844529" w:rsidP="00844529">
            <w:pPr>
              <w:keepNext/>
              <w:jc w:val="center"/>
              <w:rPr>
                <w:rFonts w:ascii="Arial" w:hAnsi="Arial" w:cs="Arial"/>
                <w:b/>
                <w:sz w:val="20"/>
                <w:szCs w:val="20"/>
              </w:rPr>
            </w:pPr>
            <w:r w:rsidRPr="00403978">
              <w:rPr>
                <w:rFonts w:ascii="Arial" w:hAnsi="Arial" w:cs="Arial"/>
                <w:b/>
                <w:sz w:val="20"/>
                <w:szCs w:val="20"/>
              </w:rPr>
              <w:t>EUL /RUL</w:t>
            </w:r>
          </w:p>
        </w:tc>
        <w:tc>
          <w:tcPr>
            <w:tcW w:w="1696"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None</w:t>
            </w:r>
          </w:p>
        </w:tc>
        <w:tc>
          <w:tcPr>
            <w:tcW w:w="1434"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20/6.7</w:t>
            </w:r>
          </w:p>
        </w:tc>
        <w:tc>
          <w:tcPr>
            <w:tcW w:w="1396"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452"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20/6.7</w:t>
            </w:r>
          </w:p>
        </w:tc>
        <w:tc>
          <w:tcPr>
            <w:tcW w:w="1697" w:type="dxa"/>
            <w:shd w:val="pct20" w:color="000000" w:fill="FFFFFF"/>
            <w:vAlign w:val="center"/>
          </w:tcPr>
          <w:p w:rsidR="00844529" w:rsidRPr="00403978" w:rsidRDefault="00844529" w:rsidP="00844529">
            <w:pPr>
              <w:jc w:val="center"/>
            </w:pPr>
            <w:r w:rsidRPr="00403978">
              <w:rPr>
                <w:rFonts w:cs="Arial"/>
                <w:i/>
                <w:sz w:val="20"/>
                <w:szCs w:val="20"/>
              </w:rPr>
              <w:t>1.4.1</w:t>
            </w:r>
          </w:p>
        </w:tc>
      </w:tr>
      <w:tr w:rsidR="00844529" w:rsidRPr="00403978" w:rsidTr="00844529">
        <w:trPr>
          <w:trHeight w:val="249"/>
        </w:trPr>
        <w:tc>
          <w:tcPr>
            <w:tcW w:w="1908" w:type="dxa"/>
            <w:shd w:val="pct5" w:color="000000" w:fill="FFFFFF"/>
            <w:vAlign w:val="center"/>
          </w:tcPr>
          <w:p w:rsidR="00844529" w:rsidRPr="00403978" w:rsidRDefault="00844529" w:rsidP="00844529">
            <w:pPr>
              <w:keepNext/>
              <w:jc w:val="center"/>
              <w:rPr>
                <w:rFonts w:ascii="Arial" w:hAnsi="Arial" w:cs="Arial"/>
                <w:b/>
                <w:sz w:val="20"/>
                <w:szCs w:val="20"/>
              </w:rPr>
            </w:pPr>
            <w:r w:rsidRPr="00403978">
              <w:rPr>
                <w:rFonts w:ascii="Arial" w:hAnsi="Arial" w:cs="Arial"/>
                <w:b/>
                <w:sz w:val="20"/>
                <w:szCs w:val="20"/>
              </w:rPr>
              <w:t>NTG</w:t>
            </w:r>
          </w:p>
        </w:tc>
        <w:tc>
          <w:tcPr>
            <w:tcW w:w="1696"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None</w:t>
            </w:r>
          </w:p>
        </w:tc>
        <w:tc>
          <w:tcPr>
            <w:tcW w:w="1434"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0.6</w:t>
            </w:r>
          </w:p>
        </w:tc>
        <w:tc>
          <w:tcPr>
            <w:tcW w:w="1396"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452" w:type="dxa"/>
            <w:shd w:val="pct5"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0.6</w:t>
            </w:r>
          </w:p>
        </w:tc>
        <w:tc>
          <w:tcPr>
            <w:tcW w:w="1697" w:type="dxa"/>
            <w:shd w:val="pct5" w:color="000000" w:fill="FFFFFF"/>
            <w:vAlign w:val="center"/>
          </w:tcPr>
          <w:p w:rsidR="00844529" w:rsidRPr="00403978" w:rsidRDefault="00844529" w:rsidP="00844529">
            <w:pPr>
              <w:jc w:val="center"/>
            </w:pPr>
            <w:r w:rsidRPr="00403978">
              <w:rPr>
                <w:rFonts w:cs="Arial"/>
                <w:i/>
                <w:sz w:val="20"/>
                <w:szCs w:val="20"/>
              </w:rPr>
              <w:t>1.4.1</w:t>
            </w:r>
          </w:p>
        </w:tc>
      </w:tr>
      <w:tr w:rsidR="00844529" w:rsidRPr="00403978" w:rsidTr="00844529">
        <w:trPr>
          <w:trHeight w:val="249"/>
        </w:trPr>
        <w:tc>
          <w:tcPr>
            <w:tcW w:w="1908" w:type="dxa"/>
            <w:shd w:val="pct20" w:color="000000" w:fill="FFFFFF"/>
            <w:vAlign w:val="center"/>
          </w:tcPr>
          <w:p w:rsidR="00844529" w:rsidRPr="00403978" w:rsidRDefault="00844529" w:rsidP="00844529">
            <w:pPr>
              <w:keepNext/>
              <w:jc w:val="center"/>
              <w:rPr>
                <w:rFonts w:ascii="Arial" w:hAnsi="Arial" w:cs="Arial"/>
                <w:b/>
                <w:sz w:val="20"/>
                <w:szCs w:val="20"/>
              </w:rPr>
            </w:pPr>
            <w:r w:rsidRPr="00403978">
              <w:rPr>
                <w:rFonts w:ascii="Arial" w:hAnsi="Arial" w:cs="Arial"/>
                <w:b/>
                <w:sz w:val="20"/>
                <w:szCs w:val="20"/>
              </w:rPr>
              <w:t>ISR</w:t>
            </w:r>
          </w:p>
        </w:tc>
        <w:tc>
          <w:tcPr>
            <w:tcW w:w="1696" w:type="dxa"/>
            <w:shd w:val="pct20" w:color="000000" w:fill="FFFFFF"/>
            <w:vAlign w:val="center"/>
          </w:tcPr>
          <w:p w:rsidR="00844529" w:rsidRPr="00403978" w:rsidRDefault="00844529" w:rsidP="00844529">
            <w:pPr>
              <w:keepNext/>
              <w:jc w:val="center"/>
              <w:rPr>
                <w:rFonts w:ascii="Arial" w:hAnsi="Arial" w:cs="Arial"/>
                <w:sz w:val="20"/>
                <w:szCs w:val="20"/>
                <w:highlight w:val="yellow"/>
              </w:rPr>
            </w:pPr>
            <w:r w:rsidRPr="00403978">
              <w:rPr>
                <w:rFonts w:ascii="Arial" w:hAnsi="Arial" w:cs="Arial"/>
                <w:sz w:val="20"/>
                <w:szCs w:val="20"/>
              </w:rPr>
              <w:t>None</w:t>
            </w:r>
          </w:p>
        </w:tc>
        <w:tc>
          <w:tcPr>
            <w:tcW w:w="1434"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1</w:t>
            </w:r>
          </w:p>
        </w:tc>
        <w:tc>
          <w:tcPr>
            <w:tcW w:w="1396"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N/A</w:t>
            </w:r>
          </w:p>
        </w:tc>
        <w:tc>
          <w:tcPr>
            <w:tcW w:w="1452" w:type="dxa"/>
            <w:shd w:val="pct20" w:color="000000" w:fill="FFFFFF"/>
            <w:vAlign w:val="center"/>
          </w:tcPr>
          <w:p w:rsidR="00844529" w:rsidRPr="00403978" w:rsidRDefault="00844529" w:rsidP="00844529">
            <w:pPr>
              <w:keepNext/>
              <w:jc w:val="center"/>
              <w:rPr>
                <w:rFonts w:ascii="Arial" w:hAnsi="Arial" w:cs="Arial"/>
                <w:sz w:val="20"/>
                <w:szCs w:val="20"/>
              </w:rPr>
            </w:pPr>
            <w:r w:rsidRPr="00403978">
              <w:rPr>
                <w:rFonts w:ascii="Arial" w:hAnsi="Arial" w:cs="Arial"/>
                <w:sz w:val="20"/>
                <w:szCs w:val="20"/>
              </w:rPr>
              <w:t>1</w:t>
            </w:r>
          </w:p>
        </w:tc>
        <w:tc>
          <w:tcPr>
            <w:tcW w:w="1697" w:type="dxa"/>
            <w:shd w:val="pct20" w:color="000000" w:fill="FFFFFF"/>
            <w:vAlign w:val="center"/>
          </w:tcPr>
          <w:p w:rsidR="00844529" w:rsidRPr="00403978" w:rsidRDefault="00844529" w:rsidP="00844529">
            <w:pPr>
              <w:jc w:val="center"/>
            </w:pPr>
            <w:r w:rsidRPr="00403978">
              <w:rPr>
                <w:rFonts w:cs="Arial"/>
                <w:i/>
                <w:sz w:val="20"/>
                <w:szCs w:val="20"/>
              </w:rPr>
              <w:t>1.4.1</w:t>
            </w:r>
          </w:p>
        </w:tc>
      </w:tr>
    </w:tbl>
    <w:p w:rsidR="00E16FD8" w:rsidRDefault="00E16FD8" w:rsidP="00E8736C">
      <w:pPr>
        <w:pStyle w:val="Heading1"/>
        <w:spacing w:before="0"/>
        <w:rPr>
          <w:i/>
        </w:rPr>
        <w:sectPr w:rsidR="00E16FD8" w:rsidSect="00DD43C2">
          <w:endnotePr>
            <w:numFmt w:val="decimal"/>
          </w:endnotePr>
          <w:pgSz w:w="12240" w:h="15840"/>
          <w:pgMar w:top="1440" w:right="1440" w:bottom="1440" w:left="1440" w:header="720" w:footer="720" w:gutter="0"/>
          <w:pgNumType w:chapStyle="1"/>
          <w:cols w:space="720"/>
          <w:docGrid w:linePitch="360"/>
        </w:sectPr>
      </w:pPr>
    </w:p>
    <w:p w:rsidR="003F4FFF" w:rsidRPr="002C3770" w:rsidRDefault="003F4FFF" w:rsidP="00E8736C">
      <w:pPr>
        <w:pStyle w:val="Heading1"/>
        <w:spacing w:before="0"/>
        <w:rPr>
          <w:i/>
          <w:sz w:val="28"/>
          <w:szCs w:val="28"/>
        </w:rPr>
      </w:pPr>
      <w:bookmarkStart w:id="40" w:name="_Toc386966982"/>
      <w:r w:rsidRPr="002C3770">
        <w:rPr>
          <w:i/>
        </w:rPr>
        <w:t>Section 2. Calculation Methods</w:t>
      </w:r>
      <w:bookmarkEnd w:id="40"/>
    </w:p>
    <w:p w:rsidR="00BC42B2" w:rsidRPr="002C3770" w:rsidRDefault="004628C3" w:rsidP="00F36FF8">
      <w:pPr>
        <w:jc w:val="center"/>
        <w:rPr>
          <w:rFonts w:ascii="Arial" w:hAnsi="Arial" w:cs="Arial"/>
          <w:b/>
          <w:sz w:val="22"/>
          <w:szCs w:val="22"/>
        </w:rPr>
      </w:pPr>
      <w:r w:rsidRPr="002C3770">
        <w:rPr>
          <w:rFonts w:ascii="Arial" w:hAnsi="Arial" w:cs="Arial"/>
          <w:b/>
          <w:sz w:val="22"/>
          <w:szCs w:val="22"/>
        </w:rPr>
        <w:t>Table</w:t>
      </w:r>
      <w:r w:rsidR="00F36FF8" w:rsidRPr="002C3770">
        <w:rPr>
          <w:rFonts w:ascii="Arial" w:hAnsi="Arial" w:cs="Arial"/>
          <w:b/>
          <w:sz w:val="22"/>
          <w:szCs w:val="22"/>
        </w:rPr>
        <w:t xml:space="preserve"> 3 - </w:t>
      </w:r>
      <w:r w:rsidRPr="002C3770">
        <w:rPr>
          <w:rFonts w:ascii="Arial" w:hAnsi="Arial" w:cs="Arial"/>
          <w:b/>
          <w:sz w:val="22"/>
          <w:szCs w:val="22"/>
        </w:rPr>
        <w:t>Baseline by Measure Application Type</w:t>
      </w:r>
      <w:r w:rsidR="00E406EA" w:rsidRPr="002C3770">
        <w:rPr>
          <w:rFonts w:ascii="Arial" w:hAnsi="Arial" w:cs="Arial"/>
          <w:b/>
          <w:sz w:val="22"/>
          <w:szCs w:val="22"/>
        </w:rPr>
        <w:fldChar w:fldCharType="begin"/>
      </w:r>
      <w:r w:rsidR="00FA7D41" w:rsidRPr="002C3770">
        <w:instrText xml:space="preserve"> TC "</w:instrText>
      </w:r>
      <w:bookmarkStart w:id="41" w:name="_Toc384033521"/>
      <w:r w:rsidR="00FA7D41" w:rsidRPr="002C3770">
        <w:rPr>
          <w:rFonts w:ascii="Arial" w:hAnsi="Arial" w:cs="Arial"/>
          <w:b/>
          <w:sz w:val="22"/>
          <w:szCs w:val="22"/>
        </w:rPr>
        <w:instrText>Table 3 - Baseline by Measure Application Type</w:instrText>
      </w:r>
      <w:bookmarkEnd w:id="41"/>
      <w:r w:rsidR="00FA7D41" w:rsidRPr="002C3770">
        <w:instrText xml:space="preserve">" \f C \l "1" </w:instrText>
      </w:r>
      <w:r w:rsidR="00E406EA" w:rsidRPr="002C3770">
        <w:rPr>
          <w:rFonts w:ascii="Arial" w:hAnsi="Arial" w:cs="Arial"/>
          <w:b/>
          <w:sz w:val="22"/>
          <w:szCs w:val="22"/>
        </w:rPr>
        <w:fldChar w:fldCharType="end"/>
      </w:r>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BC42B2" w:rsidRPr="002C3770" w:rsidTr="00C218D5">
        <w:trPr>
          <w:trHeight w:val="927"/>
        </w:trPr>
        <w:tc>
          <w:tcPr>
            <w:tcW w:w="2808" w:type="dxa"/>
            <w:shd w:val="clear" w:color="auto" w:fill="262626"/>
            <w:vAlign w:val="center"/>
          </w:tcPr>
          <w:p w:rsidR="00BC42B2" w:rsidRPr="002C3770" w:rsidRDefault="00BC42B2" w:rsidP="00C218D5">
            <w:pPr>
              <w:jc w:val="center"/>
              <w:rPr>
                <w:rStyle w:val="Strong"/>
                <w:rFonts w:cs="Arial"/>
                <w:iCs/>
                <w:szCs w:val="20"/>
              </w:rPr>
            </w:pPr>
            <w:bookmarkStart w:id="42" w:name="_Toc373323392"/>
            <w:r w:rsidRPr="002C3770">
              <w:rPr>
                <w:rStyle w:val="Strong"/>
                <w:rFonts w:cs="Arial"/>
                <w:bCs w:val="0"/>
              </w:rPr>
              <w:t>Measure Application Type</w:t>
            </w:r>
            <w:bookmarkEnd w:id="42"/>
          </w:p>
        </w:tc>
        <w:tc>
          <w:tcPr>
            <w:tcW w:w="1710" w:type="dxa"/>
            <w:shd w:val="clear" w:color="auto" w:fill="262626"/>
            <w:vAlign w:val="center"/>
          </w:tcPr>
          <w:p w:rsidR="00BC42B2" w:rsidRPr="002C3770" w:rsidRDefault="00BC42B2" w:rsidP="00C218D5">
            <w:pPr>
              <w:jc w:val="center"/>
              <w:rPr>
                <w:rStyle w:val="Strong"/>
                <w:rFonts w:cs="Arial"/>
              </w:rPr>
            </w:pPr>
            <w:bookmarkStart w:id="43" w:name="_Toc373323393"/>
            <w:r w:rsidRPr="002C3770">
              <w:rPr>
                <w:rStyle w:val="Strong"/>
                <w:rFonts w:cs="Arial"/>
                <w:bCs w:val="0"/>
              </w:rPr>
              <w:t>Measure Life Basis</w:t>
            </w:r>
            <w:bookmarkEnd w:id="43"/>
          </w:p>
        </w:tc>
        <w:tc>
          <w:tcPr>
            <w:tcW w:w="2790" w:type="dxa"/>
            <w:shd w:val="clear" w:color="auto" w:fill="262626"/>
            <w:vAlign w:val="center"/>
          </w:tcPr>
          <w:p w:rsidR="00BC42B2" w:rsidRPr="002C3770" w:rsidRDefault="00BC42B2" w:rsidP="00C218D5">
            <w:pPr>
              <w:jc w:val="center"/>
              <w:rPr>
                <w:rStyle w:val="Strong"/>
                <w:rFonts w:cs="Arial"/>
              </w:rPr>
            </w:pPr>
            <w:bookmarkStart w:id="44" w:name="_Toc373323394"/>
            <w:r w:rsidRPr="002C3770">
              <w:rPr>
                <w:rStyle w:val="Strong"/>
                <w:rFonts w:cs="Arial"/>
                <w:bCs w:val="0"/>
              </w:rPr>
              <w:t>First Baseline Period: Energy Savings Baseline</w:t>
            </w:r>
            <w:bookmarkEnd w:id="44"/>
          </w:p>
        </w:tc>
        <w:tc>
          <w:tcPr>
            <w:tcW w:w="2268" w:type="dxa"/>
            <w:shd w:val="clear" w:color="auto" w:fill="262626"/>
            <w:vAlign w:val="center"/>
          </w:tcPr>
          <w:p w:rsidR="00BC42B2" w:rsidRPr="002C3770" w:rsidRDefault="00BC42B2" w:rsidP="00C218D5">
            <w:pPr>
              <w:jc w:val="center"/>
              <w:rPr>
                <w:rStyle w:val="Strong"/>
                <w:rFonts w:cs="Arial"/>
              </w:rPr>
            </w:pPr>
            <w:bookmarkStart w:id="45" w:name="_Toc373323395"/>
            <w:r w:rsidRPr="002C3770">
              <w:rPr>
                <w:rStyle w:val="Strong"/>
                <w:rFonts w:cs="Arial"/>
                <w:bCs w:val="0"/>
              </w:rPr>
              <w:t>Second Baseline Period: Energy Savings Baseline</w:t>
            </w:r>
            <w:bookmarkEnd w:id="45"/>
          </w:p>
        </w:tc>
      </w:tr>
      <w:tr w:rsidR="00BC42B2" w:rsidRPr="002C3770" w:rsidTr="00BC42B2">
        <w:tc>
          <w:tcPr>
            <w:tcW w:w="2808" w:type="dxa"/>
            <w:shd w:val="clear" w:color="auto" w:fill="EAEAEA"/>
            <w:vAlign w:val="bottom"/>
          </w:tcPr>
          <w:p w:rsidR="00BC42B2" w:rsidRPr="002C3770" w:rsidRDefault="00BC42B2" w:rsidP="00BC42B2">
            <w:pPr>
              <w:spacing w:before="120" w:after="120"/>
              <w:jc w:val="center"/>
              <w:rPr>
                <w:rStyle w:val="Strong"/>
                <w:rFonts w:cs="Arial"/>
                <w:b w:val="0"/>
              </w:rPr>
            </w:pPr>
            <w:bookmarkStart w:id="46" w:name="_Toc324318349"/>
            <w:r w:rsidRPr="002C3770">
              <w:rPr>
                <w:rStyle w:val="Strong"/>
                <w:rFonts w:cs="Arial"/>
                <w:i/>
              </w:rPr>
              <w:t>ER</w:t>
            </w:r>
            <w:r w:rsidRPr="002C3770">
              <w:rPr>
                <w:rStyle w:val="Strong"/>
                <w:rFonts w:cs="Arial"/>
              </w:rPr>
              <w:t xml:space="preserve"> </w:t>
            </w:r>
            <w:r w:rsidRPr="002C3770">
              <w:rPr>
                <w:rStyle w:val="Strong"/>
                <w:rFonts w:cs="Arial"/>
                <w:b w:val="0"/>
              </w:rPr>
              <w:t>(early retirement)</w:t>
            </w:r>
            <w:bookmarkEnd w:id="46"/>
          </w:p>
        </w:tc>
        <w:tc>
          <w:tcPr>
            <w:tcW w:w="1710" w:type="dxa"/>
            <w:shd w:val="clear" w:color="auto" w:fill="EAEAEA"/>
            <w:vAlign w:val="bottom"/>
          </w:tcPr>
          <w:p w:rsidR="00BC42B2" w:rsidRPr="002C3770" w:rsidRDefault="00F36FF8" w:rsidP="00182AE8">
            <w:pPr>
              <w:spacing w:before="120" w:after="120"/>
              <w:jc w:val="center"/>
              <w:rPr>
                <w:rStyle w:val="Strong"/>
                <w:rFonts w:cs="Arial"/>
                <w:b w:val="0"/>
              </w:rPr>
            </w:pPr>
            <w:r w:rsidRPr="002C3770">
              <w:rPr>
                <w:rStyle w:val="Strong"/>
                <w:rFonts w:cs="Arial"/>
                <w:b w:val="0"/>
              </w:rPr>
              <w:t>RUL/EUL-RUL</w:t>
            </w:r>
          </w:p>
        </w:tc>
        <w:tc>
          <w:tcPr>
            <w:tcW w:w="2790" w:type="dxa"/>
            <w:shd w:val="clear" w:color="auto" w:fill="EAEAEA"/>
            <w:vAlign w:val="bottom"/>
          </w:tcPr>
          <w:p w:rsidR="00BC42B2" w:rsidRPr="002C3770" w:rsidRDefault="00BC42B2" w:rsidP="00BC42B2">
            <w:pPr>
              <w:spacing w:before="120" w:after="120"/>
              <w:jc w:val="center"/>
              <w:rPr>
                <w:rFonts w:ascii="Arial" w:hAnsi="Arial" w:cs="Arial"/>
                <w:sz w:val="20"/>
                <w:szCs w:val="20"/>
              </w:rPr>
            </w:pPr>
            <w:r w:rsidRPr="002C3770">
              <w:rPr>
                <w:rFonts w:ascii="Arial" w:hAnsi="Arial" w:cs="Arial"/>
                <w:sz w:val="20"/>
                <w:szCs w:val="20"/>
              </w:rPr>
              <w:t>Customer Average Baseline</w:t>
            </w:r>
          </w:p>
        </w:tc>
        <w:tc>
          <w:tcPr>
            <w:tcW w:w="2268" w:type="dxa"/>
            <w:shd w:val="clear" w:color="auto" w:fill="EAEAEA"/>
            <w:vAlign w:val="bottom"/>
          </w:tcPr>
          <w:p w:rsidR="00BC42B2" w:rsidRPr="002C3770" w:rsidRDefault="00BC42B2" w:rsidP="00BC42B2">
            <w:pPr>
              <w:spacing w:before="120" w:after="120"/>
              <w:jc w:val="center"/>
              <w:rPr>
                <w:rFonts w:ascii="Arial" w:hAnsi="Arial" w:cs="Arial"/>
                <w:sz w:val="20"/>
                <w:szCs w:val="20"/>
              </w:rPr>
            </w:pPr>
            <w:r w:rsidRPr="002C3770">
              <w:rPr>
                <w:rFonts w:ascii="Arial" w:hAnsi="Arial" w:cs="Arial"/>
                <w:sz w:val="20"/>
                <w:szCs w:val="20"/>
              </w:rPr>
              <w:t>Code Baseline</w:t>
            </w:r>
          </w:p>
        </w:tc>
      </w:tr>
      <w:tr w:rsidR="00BC42B2" w:rsidRPr="002C3770" w:rsidTr="00BC42B2">
        <w:tc>
          <w:tcPr>
            <w:tcW w:w="2808" w:type="dxa"/>
            <w:shd w:val="pct20" w:color="000000" w:fill="FFFFFF"/>
            <w:vAlign w:val="bottom"/>
          </w:tcPr>
          <w:p w:rsidR="00BC42B2" w:rsidRPr="002C3770" w:rsidRDefault="00BC42B2" w:rsidP="003F49E6">
            <w:pPr>
              <w:spacing w:before="120" w:after="120"/>
              <w:jc w:val="center"/>
              <w:rPr>
                <w:rStyle w:val="Strong"/>
                <w:rFonts w:cs="Arial"/>
              </w:rPr>
            </w:pPr>
            <w:r w:rsidRPr="002C3770">
              <w:rPr>
                <w:rStyle w:val="Strong"/>
                <w:rFonts w:cs="Arial"/>
                <w:i/>
              </w:rPr>
              <w:t>ROB</w:t>
            </w:r>
            <w:r w:rsidR="00592F58" w:rsidRPr="002C3770">
              <w:rPr>
                <w:rStyle w:val="Strong"/>
                <w:rFonts w:cs="Arial"/>
                <w:b w:val="0"/>
              </w:rPr>
              <w:t xml:space="preserve"> (</w:t>
            </w:r>
            <w:r w:rsidR="003F49E6" w:rsidRPr="002C3770">
              <w:rPr>
                <w:rStyle w:val="Strong"/>
                <w:rFonts w:cs="Arial"/>
                <w:b w:val="0"/>
              </w:rPr>
              <w:t>R</w:t>
            </w:r>
            <w:r w:rsidR="00592F58" w:rsidRPr="002C3770">
              <w:rPr>
                <w:rStyle w:val="Strong"/>
                <w:rFonts w:cs="Arial"/>
                <w:b w:val="0"/>
              </w:rPr>
              <w:t xml:space="preserve">eplace </w:t>
            </w:r>
            <w:r w:rsidRPr="002C3770">
              <w:rPr>
                <w:rStyle w:val="Strong"/>
                <w:rFonts w:cs="Arial"/>
                <w:b w:val="0"/>
              </w:rPr>
              <w:t>on</w:t>
            </w:r>
            <w:r w:rsidR="00592F58" w:rsidRPr="002C3770">
              <w:rPr>
                <w:rStyle w:val="Strong"/>
                <w:rFonts w:cs="Arial"/>
                <w:b w:val="0"/>
              </w:rPr>
              <w:t xml:space="preserve"> </w:t>
            </w:r>
            <w:r w:rsidR="003F49E6" w:rsidRPr="002C3770">
              <w:rPr>
                <w:rStyle w:val="Strong"/>
                <w:rFonts w:cs="Arial"/>
                <w:b w:val="0"/>
              </w:rPr>
              <w:t>B</w:t>
            </w:r>
            <w:r w:rsidRPr="002C3770">
              <w:rPr>
                <w:rStyle w:val="Strong"/>
                <w:rFonts w:cs="Arial"/>
                <w:b w:val="0"/>
              </w:rPr>
              <w:t>urnout</w:t>
            </w:r>
            <w:r w:rsidR="00E406EA" w:rsidRPr="002C3770">
              <w:rPr>
                <w:rStyle w:val="Strong"/>
                <w:rFonts w:cs="Arial"/>
                <w:b w:val="0"/>
              </w:rPr>
              <w:fldChar w:fldCharType="begin"/>
            </w:r>
            <w:r w:rsidR="00592F58" w:rsidRPr="002C3770">
              <w:rPr>
                <w:rFonts w:ascii="Arial" w:hAnsi="Arial" w:cs="Arial"/>
              </w:rPr>
              <w:instrText xml:space="preserve"> XE "</w:instrText>
            </w:r>
            <w:r w:rsidR="003F49E6" w:rsidRPr="002C3770">
              <w:rPr>
                <w:rStyle w:val="Strong"/>
                <w:rFonts w:cs="Arial"/>
                <w:b w:val="0"/>
              </w:rPr>
              <w:instrText>Replace on B</w:instrText>
            </w:r>
            <w:r w:rsidR="00592F58" w:rsidRPr="002C3770">
              <w:rPr>
                <w:rStyle w:val="Strong"/>
                <w:rFonts w:cs="Arial"/>
                <w:b w:val="0"/>
              </w:rPr>
              <w:instrText>urnout</w:instrText>
            </w:r>
            <w:r w:rsidR="00592F58" w:rsidRPr="002C3770">
              <w:rPr>
                <w:rFonts w:ascii="Arial" w:hAnsi="Arial" w:cs="Arial"/>
              </w:rPr>
              <w:instrText xml:space="preserve">" </w:instrText>
            </w:r>
            <w:r w:rsidR="00E406EA" w:rsidRPr="002C3770">
              <w:rPr>
                <w:rStyle w:val="Strong"/>
                <w:rFonts w:cs="Arial"/>
                <w:b w:val="0"/>
              </w:rPr>
              <w:fldChar w:fldCharType="end"/>
            </w:r>
            <w:r w:rsidRPr="002C3770">
              <w:rPr>
                <w:rStyle w:val="Strong"/>
                <w:rFonts w:cs="Arial"/>
                <w:b w:val="0"/>
              </w:rPr>
              <w:t>)</w:t>
            </w:r>
          </w:p>
        </w:tc>
        <w:tc>
          <w:tcPr>
            <w:tcW w:w="1710" w:type="dxa"/>
            <w:shd w:val="pct20" w:color="000000" w:fill="FFFFFF"/>
            <w:vAlign w:val="bottom"/>
          </w:tcPr>
          <w:p w:rsidR="00BC42B2" w:rsidRPr="002C3770" w:rsidRDefault="00BC42B2" w:rsidP="00182AE8">
            <w:pPr>
              <w:spacing w:before="120" w:after="120"/>
              <w:jc w:val="center"/>
              <w:rPr>
                <w:rStyle w:val="Strong"/>
                <w:rFonts w:cs="Arial"/>
              </w:rPr>
            </w:pPr>
            <w:r w:rsidRPr="002C3770">
              <w:rPr>
                <w:rStyle w:val="Strong"/>
                <w:rFonts w:cs="Arial"/>
                <w:b w:val="0"/>
              </w:rPr>
              <w:t>EUL</w:t>
            </w:r>
          </w:p>
        </w:tc>
        <w:tc>
          <w:tcPr>
            <w:tcW w:w="2790" w:type="dxa"/>
            <w:shd w:val="pct20" w:color="000000" w:fill="FFFFFF"/>
            <w:vAlign w:val="bottom"/>
          </w:tcPr>
          <w:p w:rsidR="00BC42B2" w:rsidRPr="002C3770" w:rsidRDefault="00BC42B2" w:rsidP="00BC42B2">
            <w:pPr>
              <w:spacing w:before="120" w:after="120"/>
              <w:jc w:val="center"/>
              <w:rPr>
                <w:rFonts w:ascii="Arial" w:hAnsi="Arial" w:cs="Arial"/>
                <w:sz w:val="20"/>
                <w:szCs w:val="20"/>
              </w:rPr>
            </w:pPr>
            <w:r w:rsidRPr="002C3770">
              <w:rPr>
                <w:rFonts w:ascii="Arial" w:hAnsi="Arial" w:cs="Arial"/>
                <w:sz w:val="20"/>
                <w:szCs w:val="20"/>
              </w:rPr>
              <w:t>Code Baseline</w:t>
            </w:r>
          </w:p>
        </w:tc>
        <w:tc>
          <w:tcPr>
            <w:tcW w:w="2268" w:type="dxa"/>
            <w:shd w:val="pct20" w:color="000000" w:fill="FFFFFF"/>
            <w:vAlign w:val="bottom"/>
          </w:tcPr>
          <w:p w:rsidR="00BC42B2" w:rsidRPr="002C3770" w:rsidRDefault="00BC42B2" w:rsidP="00BC42B2">
            <w:pPr>
              <w:spacing w:before="120" w:after="120"/>
              <w:jc w:val="center"/>
              <w:rPr>
                <w:rFonts w:ascii="Arial" w:hAnsi="Arial" w:cs="Arial"/>
                <w:sz w:val="20"/>
                <w:szCs w:val="20"/>
              </w:rPr>
            </w:pPr>
            <w:r w:rsidRPr="002C3770">
              <w:rPr>
                <w:rFonts w:ascii="Arial" w:hAnsi="Arial" w:cs="Arial"/>
                <w:sz w:val="20"/>
                <w:szCs w:val="20"/>
              </w:rPr>
              <w:t>N/A</w:t>
            </w:r>
          </w:p>
        </w:tc>
      </w:tr>
      <w:tr w:rsidR="00BC42B2" w:rsidRPr="002C3770" w:rsidTr="00BC42B2">
        <w:tc>
          <w:tcPr>
            <w:tcW w:w="2808" w:type="dxa"/>
            <w:shd w:val="pct5" w:color="000000" w:fill="FFFFFF"/>
            <w:vAlign w:val="bottom"/>
          </w:tcPr>
          <w:p w:rsidR="00BC42B2" w:rsidRPr="002C3770" w:rsidRDefault="00BC42B2" w:rsidP="003F49E6">
            <w:pPr>
              <w:spacing w:before="120" w:after="120"/>
              <w:jc w:val="center"/>
              <w:rPr>
                <w:rStyle w:val="Strong"/>
                <w:rFonts w:cs="Arial"/>
              </w:rPr>
            </w:pPr>
            <w:r w:rsidRPr="002C3770">
              <w:rPr>
                <w:rStyle w:val="Strong"/>
                <w:rFonts w:cs="Arial"/>
                <w:i/>
              </w:rPr>
              <w:t>NC</w:t>
            </w:r>
            <w:r w:rsidRPr="002C3770">
              <w:rPr>
                <w:rStyle w:val="Strong"/>
                <w:rFonts w:cs="Arial"/>
                <w:b w:val="0"/>
              </w:rPr>
              <w:t xml:space="preserve"> (</w:t>
            </w:r>
            <w:r w:rsidR="003F49E6" w:rsidRPr="002C3770">
              <w:rPr>
                <w:rStyle w:val="Strong"/>
                <w:rFonts w:cs="Arial"/>
                <w:b w:val="0"/>
              </w:rPr>
              <w:t>N</w:t>
            </w:r>
            <w:r w:rsidRPr="002C3770">
              <w:rPr>
                <w:rStyle w:val="Strong"/>
                <w:rFonts w:cs="Arial"/>
                <w:b w:val="0"/>
              </w:rPr>
              <w:t>ew</w:t>
            </w:r>
            <w:r w:rsidR="003F49E6" w:rsidRPr="002C3770">
              <w:rPr>
                <w:rStyle w:val="Strong"/>
                <w:rFonts w:cs="Arial"/>
                <w:b w:val="0"/>
              </w:rPr>
              <w:t xml:space="preserve"> C</w:t>
            </w:r>
            <w:r w:rsidRPr="002C3770">
              <w:rPr>
                <w:rStyle w:val="Strong"/>
                <w:rFonts w:cs="Arial"/>
                <w:b w:val="0"/>
              </w:rPr>
              <w:t>onstruction</w:t>
            </w:r>
            <w:r w:rsidR="00E406EA" w:rsidRPr="002C3770">
              <w:rPr>
                <w:rStyle w:val="Strong"/>
                <w:rFonts w:cs="Arial"/>
                <w:b w:val="0"/>
              </w:rPr>
              <w:fldChar w:fldCharType="begin"/>
            </w:r>
            <w:r w:rsidR="00592F58" w:rsidRPr="002C3770">
              <w:rPr>
                <w:rFonts w:ascii="Arial" w:hAnsi="Arial" w:cs="Arial"/>
              </w:rPr>
              <w:instrText xml:space="preserve"> XE "</w:instrText>
            </w:r>
            <w:r w:rsidR="003F49E6" w:rsidRPr="002C3770">
              <w:rPr>
                <w:rFonts w:ascii="Arial" w:hAnsi="Arial" w:cs="Arial"/>
              </w:rPr>
              <w:instrText>N</w:instrText>
            </w:r>
            <w:r w:rsidR="00592F58" w:rsidRPr="002C3770">
              <w:rPr>
                <w:rStyle w:val="Strong"/>
                <w:rFonts w:cs="Arial"/>
                <w:b w:val="0"/>
              </w:rPr>
              <w:instrText xml:space="preserve">ew </w:instrText>
            </w:r>
            <w:r w:rsidR="003F49E6" w:rsidRPr="002C3770">
              <w:rPr>
                <w:rStyle w:val="Strong"/>
                <w:rFonts w:cs="Arial"/>
                <w:b w:val="0"/>
              </w:rPr>
              <w:instrText>C</w:instrText>
            </w:r>
            <w:r w:rsidR="00592F58" w:rsidRPr="002C3770">
              <w:rPr>
                <w:rStyle w:val="Strong"/>
                <w:rFonts w:cs="Arial"/>
                <w:b w:val="0"/>
              </w:rPr>
              <w:instrText>onstruction</w:instrText>
            </w:r>
            <w:r w:rsidR="00592F58" w:rsidRPr="002C3770">
              <w:rPr>
                <w:rFonts w:ascii="Arial" w:hAnsi="Arial" w:cs="Arial"/>
              </w:rPr>
              <w:instrText xml:space="preserve">" </w:instrText>
            </w:r>
            <w:r w:rsidR="00E406EA" w:rsidRPr="002C3770">
              <w:rPr>
                <w:rStyle w:val="Strong"/>
                <w:rFonts w:cs="Arial"/>
                <w:b w:val="0"/>
              </w:rPr>
              <w:fldChar w:fldCharType="end"/>
            </w:r>
            <w:r w:rsidRPr="002C3770">
              <w:rPr>
                <w:rStyle w:val="Strong"/>
                <w:rFonts w:cs="Arial"/>
                <w:b w:val="0"/>
              </w:rPr>
              <w:t>)</w:t>
            </w:r>
          </w:p>
        </w:tc>
        <w:tc>
          <w:tcPr>
            <w:tcW w:w="1710" w:type="dxa"/>
            <w:shd w:val="pct5" w:color="000000" w:fill="FFFFFF"/>
            <w:vAlign w:val="bottom"/>
          </w:tcPr>
          <w:p w:rsidR="00BC42B2" w:rsidRPr="002C3770" w:rsidRDefault="00F36FF8" w:rsidP="00BC42B2">
            <w:pPr>
              <w:spacing w:before="120" w:after="120"/>
              <w:jc w:val="center"/>
              <w:rPr>
                <w:rStyle w:val="Strong"/>
                <w:rFonts w:cs="Arial"/>
                <w:b w:val="0"/>
              </w:rPr>
            </w:pPr>
            <w:r w:rsidRPr="002C3770">
              <w:rPr>
                <w:rStyle w:val="Strong"/>
                <w:rFonts w:cs="Arial"/>
                <w:b w:val="0"/>
              </w:rPr>
              <w:t>EUL</w:t>
            </w:r>
          </w:p>
        </w:tc>
        <w:tc>
          <w:tcPr>
            <w:tcW w:w="2790" w:type="dxa"/>
            <w:shd w:val="pct5" w:color="000000" w:fill="FFFFFF"/>
            <w:vAlign w:val="bottom"/>
          </w:tcPr>
          <w:p w:rsidR="00BC42B2" w:rsidRPr="002C3770" w:rsidRDefault="00BC42B2" w:rsidP="00BC42B2">
            <w:pPr>
              <w:spacing w:before="120" w:after="120"/>
              <w:jc w:val="center"/>
              <w:rPr>
                <w:rFonts w:ascii="Arial" w:hAnsi="Arial" w:cs="Arial"/>
                <w:sz w:val="20"/>
                <w:szCs w:val="20"/>
              </w:rPr>
            </w:pPr>
            <w:r w:rsidRPr="002C3770">
              <w:rPr>
                <w:rFonts w:ascii="Arial" w:hAnsi="Arial" w:cs="Arial"/>
                <w:sz w:val="20"/>
                <w:szCs w:val="20"/>
              </w:rPr>
              <w:t>Code Baseline</w:t>
            </w:r>
          </w:p>
        </w:tc>
        <w:tc>
          <w:tcPr>
            <w:tcW w:w="2268" w:type="dxa"/>
            <w:shd w:val="pct5" w:color="000000" w:fill="FFFFFF"/>
            <w:vAlign w:val="bottom"/>
          </w:tcPr>
          <w:p w:rsidR="00BC42B2" w:rsidRPr="002C3770" w:rsidRDefault="00BC42B2" w:rsidP="00BC42B2">
            <w:pPr>
              <w:spacing w:before="120" w:after="120"/>
              <w:jc w:val="center"/>
              <w:rPr>
                <w:rFonts w:ascii="Arial" w:hAnsi="Arial" w:cs="Arial"/>
                <w:sz w:val="20"/>
                <w:szCs w:val="20"/>
              </w:rPr>
            </w:pPr>
            <w:r w:rsidRPr="002C3770">
              <w:rPr>
                <w:rFonts w:ascii="Arial" w:hAnsi="Arial" w:cs="Arial"/>
                <w:sz w:val="20"/>
                <w:szCs w:val="20"/>
              </w:rPr>
              <w:t>N/A</w:t>
            </w:r>
          </w:p>
        </w:tc>
      </w:tr>
    </w:tbl>
    <w:p w:rsidR="00BC42B2" w:rsidRPr="00E8736C" w:rsidRDefault="00BC42B2" w:rsidP="00864083">
      <w:pPr>
        <w:rPr>
          <w:rFonts w:ascii="Arial" w:hAnsi="Arial" w:cs="Arial"/>
          <w:b/>
          <w:i/>
          <w:sz w:val="22"/>
          <w:szCs w:val="22"/>
        </w:rPr>
      </w:pPr>
    </w:p>
    <w:p w:rsidR="003F4FFF" w:rsidRPr="002C3770" w:rsidRDefault="003F4FFF" w:rsidP="00864083">
      <w:pPr>
        <w:rPr>
          <w:rFonts w:ascii="Arial" w:hAnsi="Arial" w:cs="Arial"/>
          <w:sz w:val="22"/>
          <w:szCs w:val="22"/>
        </w:rPr>
      </w:pPr>
      <w:r w:rsidRPr="002C3770">
        <w:rPr>
          <w:rFonts w:ascii="Arial" w:hAnsi="Arial" w:cs="Arial"/>
          <w:sz w:val="22"/>
          <w:szCs w:val="22"/>
        </w:rPr>
        <w:t xml:space="preserve">Notes: </w:t>
      </w:r>
    </w:p>
    <w:p w:rsidR="003F4FFF" w:rsidRPr="002C3770" w:rsidRDefault="003F4FFF" w:rsidP="00864083">
      <w:pPr>
        <w:numPr>
          <w:ilvl w:val="0"/>
          <w:numId w:val="25"/>
        </w:numPr>
        <w:rPr>
          <w:rFonts w:ascii="Arial" w:hAnsi="Arial" w:cs="Arial"/>
          <w:sz w:val="22"/>
          <w:szCs w:val="22"/>
        </w:rPr>
      </w:pPr>
      <w:r w:rsidRPr="002C3770">
        <w:rPr>
          <w:rFonts w:ascii="Arial" w:hAnsi="Arial" w:cs="Arial"/>
          <w:sz w:val="22"/>
          <w:szCs w:val="22"/>
        </w:rPr>
        <w:t>For ROB</w:t>
      </w:r>
      <w:r w:rsidR="002C3770">
        <w:rPr>
          <w:rFonts w:ascii="Arial" w:hAnsi="Arial" w:cs="Arial"/>
          <w:sz w:val="22"/>
          <w:szCs w:val="22"/>
        </w:rPr>
        <w:t xml:space="preserve"> and NC</w:t>
      </w:r>
      <w:r w:rsidRPr="002C3770">
        <w:rPr>
          <w:rFonts w:ascii="Arial" w:hAnsi="Arial" w:cs="Arial"/>
          <w:sz w:val="22"/>
          <w:szCs w:val="22"/>
        </w:rPr>
        <w:t>, First Baseline is the baseline for the full EUL. There is no second baseline.</w:t>
      </w:r>
    </w:p>
    <w:p w:rsidR="003F4FFF" w:rsidRDefault="003F4FFF" w:rsidP="00864083">
      <w:pPr>
        <w:pStyle w:val="Heading2"/>
        <w:spacing w:before="0" w:after="0"/>
        <w:rPr>
          <w:color w:val="FF0000"/>
          <w:sz w:val="24"/>
          <w:szCs w:val="24"/>
        </w:rPr>
      </w:pPr>
    </w:p>
    <w:p w:rsidR="00C35600" w:rsidRPr="00C35600" w:rsidRDefault="00C35600" w:rsidP="00C35600">
      <w:pPr>
        <w:rPr>
          <w:rFonts w:ascii="Arial" w:hAnsi="Arial" w:cs="Arial"/>
          <w:b/>
          <w:sz w:val="22"/>
          <w:szCs w:val="22"/>
        </w:rPr>
      </w:pPr>
      <w:r w:rsidRPr="00C35600">
        <w:rPr>
          <w:rFonts w:ascii="Arial" w:hAnsi="Arial" w:cs="Arial"/>
          <w:b/>
          <w:sz w:val="22"/>
          <w:szCs w:val="22"/>
        </w:rPr>
        <w:t>H11 –</w:t>
      </w:r>
      <w:r>
        <w:rPr>
          <w:rFonts w:ascii="Arial" w:hAnsi="Arial" w:cs="Arial"/>
          <w:b/>
          <w:sz w:val="22"/>
          <w:szCs w:val="22"/>
        </w:rPr>
        <w:t xml:space="preserve"> </w:t>
      </w:r>
      <w:r w:rsidRPr="00C35600">
        <w:rPr>
          <w:rFonts w:ascii="Arial" w:hAnsi="Arial" w:cs="Arial"/>
          <w:b/>
          <w:sz w:val="22"/>
          <w:szCs w:val="22"/>
        </w:rPr>
        <w:t xml:space="preserve">Water </w:t>
      </w:r>
      <w:r>
        <w:rPr>
          <w:rFonts w:ascii="Arial" w:hAnsi="Arial" w:cs="Arial"/>
          <w:b/>
          <w:sz w:val="22"/>
          <w:szCs w:val="22"/>
        </w:rPr>
        <w:t xml:space="preserve">Process </w:t>
      </w:r>
      <w:r w:rsidRPr="00C35600">
        <w:rPr>
          <w:rFonts w:ascii="Arial" w:hAnsi="Arial" w:cs="Arial"/>
          <w:b/>
          <w:sz w:val="22"/>
          <w:szCs w:val="22"/>
        </w:rPr>
        <w:t>Boiler</w:t>
      </w:r>
    </w:p>
    <w:p w:rsidR="00C35600" w:rsidRDefault="00C35600" w:rsidP="00C35600">
      <w:pPr>
        <w:rPr>
          <w:rFonts w:ascii="Arial" w:hAnsi="Arial" w:cs="Arial"/>
          <w:sz w:val="22"/>
          <w:szCs w:val="22"/>
        </w:rPr>
      </w:pPr>
      <w:r w:rsidRPr="00C35600">
        <w:rPr>
          <w:rFonts w:ascii="Arial" w:hAnsi="Arial" w:cs="Arial"/>
          <w:sz w:val="22"/>
          <w:szCs w:val="22"/>
        </w:rPr>
        <w:t xml:space="preserve">Qualifying </w:t>
      </w:r>
      <w:r>
        <w:rPr>
          <w:rFonts w:ascii="Arial" w:hAnsi="Arial" w:cs="Arial"/>
          <w:sz w:val="22"/>
          <w:szCs w:val="22"/>
        </w:rPr>
        <w:t xml:space="preserve">water </w:t>
      </w:r>
      <w:r w:rsidRPr="00C35600">
        <w:rPr>
          <w:rFonts w:ascii="Arial" w:hAnsi="Arial" w:cs="Arial"/>
          <w:sz w:val="22"/>
          <w:szCs w:val="22"/>
        </w:rPr>
        <w:t>boilers for this measure must have an input rating of less than 20,000 kBTUh</w:t>
      </w:r>
      <w:r>
        <w:rPr>
          <w:rFonts w:ascii="Arial" w:hAnsi="Arial" w:cs="Arial"/>
          <w:sz w:val="22"/>
          <w:szCs w:val="22"/>
        </w:rPr>
        <w:t>.</w:t>
      </w:r>
      <w:r w:rsidRPr="00C35600">
        <w:rPr>
          <w:rFonts w:ascii="Arial" w:hAnsi="Arial" w:cs="Arial"/>
          <w:sz w:val="22"/>
          <w:szCs w:val="22"/>
        </w:rPr>
        <w:t xml:space="preserve"> </w:t>
      </w:r>
      <w:r>
        <w:rPr>
          <w:rFonts w:ascii="Arial" w:hAnsi="Arial" w:cs="Arial"/>
          <w:sz w:val="22"/>
          <w:szCs w:val="22"/>
        </w:rPr>
        <w:t>The combustion efficiency must be documented achieving a combustion efficiency of 85% or greater under full load conditions.</w:t>
      </w:r>
    </w:p>
    <w:p w:rsidR="00C35600" w:rsidRDefault="00C35600" w:rsidP="00C35600">
      <w:pPr>
        <w:rPr>
          <w:rFonts w:ascii="Arial" w:hAnsi="Arial" w:cs="Arial"/>
          <w:b/>
          <w:sz w:val="22"/>
          <w:szCs w:val="22"/>
        </w:rPr>
      </w:pPr>
    </w:p>
    <w:p w:rsidR="00C35600" w:rsidRPr="00C35600" w:rsidRDefault="00C35600" w:rsidP="00C35600">
      <w:pPr>
        <w:rPr>
          <w:rFonts w:ascii="Arial" w:hAnsi="Arial" w:cs="Arial"/>
          <w:b/>
          <w:sz w:val="22"/>
          <w:szCs w:val="22"/>
        </w:rPr>
      </w:pPr>
      <w:r w:rsidRPr="00C35600">
        <w:rPr>
          <w:rFonts w:ascii="Arial" w:hAnsi="Arial" w:cs="Arial"/>
          <w:b/>
          <w:sz w:val="22"/>
          <w:szCs w:val="22"/>
        </w:rPr>
        <w:t>H1</w:t>
      </w:r>
      <w:r>
        <w:rPr>
          <w:rFonts w:ascii="Arial" w:hAnsi="Arial" w:cs="Arial"/>
          <w:b/>
          <w:sz w:val="22"/>
          <w:szCs w:val="22"/>
        </w:rPr>
        <w:t>5</w:t>
      </w:r>
      <w:r w:rsidRPr="00C35600">
        <w:rPr>
          <w:rFonts w:ascii="Arial" w:hAnsi="Arial" w:cs="Arial"/>
          <w:b/>
          <w:sz w:val="22"/>
          <w:szCs w:val="22"/>
        </w:rPr>
        <w:t xml:space="preserve"> –</w:t>
      </w:r>
      <w:r>
        <w:rPr>
          <w:rFonts w:ascii="Arial" w:hAnsi="Arial" w:cs="Arial"/>
          <w:b/>
          <w:sz w:val="22"/>
          <w:szCs w:val="22"/>
        </w:rPr>
        <w:t xml:space="preserve"> Steam</w:t>
      </w:r>
      <w:r w:rsidRPr="00C35600">
        <w:rPr>
          <w:rFonts w:ascii="Arial" w:hAnsi="Arial" w:cs="Arial"/>
          <w:b/>
          <w:sz w:val="22"/>
          <w:szCs w:val="22"/>
        </w:rPr>
        <w:t xml:space="preserve"> </w:t>
      </w:r>
      <w:r>
        <w:rPr>
          <w:rFonts w:ascii="Arial" w:hAnsi="Arial" w:cs="Arial"/>
          <w:b/>
          <w:sz w:val="22"/>
          <w:szCs w:val="22"/>
        </w:rPr>
        <w:t xml:space="preserve">Process </w:t>
      </w:r>
      <w:r w:rsidRPr="00C35600">
        <w:rPr>
          <w:rFonts w:ascii="Arial" w:hAnsi="Arial" w:cs="Arial"/>
          <w:b/>
          <w:sz w:val="22"/>
          <w:szCs w:val="22"/>
        </w:rPr>
        <w:t>Boiler</w:t>
      </w:r>
    </w:p>
    <w:p w:rsidR="00C35600" w:rsidRPr="00A961E9" w:rsidRDefault="00C35600" w:rsidP="00C35600">
      <w:pPr>
        <w:rPr>
          <w:rFonts w:ascii="Arial" w:hAnsi="Arial" w:cs="Arial"/>
          <w:color w:val="FF0000"/>
          <w:sz w:val="22"/>
          <w:szCs w:val="22"/>
        </w:rPr>
      </w:pPr>
      <w:r w:rsidRPr="00C35600">
        <w:rPr>
          <w:rFonts w:ascii="Arial" w:hAnsi="Arial" w:cs="Arial"/>
          <w:sz w:val="22"/>
          <w:szCs w:val="22"/>
        </w:rPr>
        <w:t xml:space="preserve">Qualifying </w:t>
      </w:r>
      <w:r>
        <w:rPr>
          <w:rFonts w:ascii="Arial" w:hAnsi="Arial" w:cs="Arial"/>
          <w:sz w:val="22"/>
          <w:szCs w:val="22"/>
        </w:rPr>
        <w:t xml:space="preserve">steam </w:t>
      </w:r>
      <w:r w:rsidRPr="00C35600">
        <w:rPr>
          <w:rFonts w:ascii="Arial" w:hAnsi="Arial" w:cs="Arial"/>
          <w:sz w:val="22"/>
          <w:szCs w:val="22"/>
        </w:rPr>
        <w:t>boilers for this measure must have an input rating of less than 20,000 kBTUh</w:t>
      </w:r>
      <w:r>
        <w:rPr>
          <w:rFonts w:ascii="Arial" w:hAnsi="Arial" w:cs="Arial"/>
          <w:sz w:val="22"/>
          <w:szCs w:val="22"/>
        </w:rPr>
        <w:t>.</w:t>
      </w:r>
      <w:r w:rsidRPr="00C35600">
        <w:rPr>
          <w:rFonts w:ascii="Arial" w:hAnsi="Arial" w:cs="Arial"/>
          <w:sz w:val="22"/>
          <w:szCs w:val="22"/>
        </w:rPr>
        <w:t xml:space="preserve"> </w:t>
      </w:r>
      <w:r>
        <w:rPr>
          <w:rFonts w:ascii="Arial" w:hAnsi="Arial" w:cs="Arial"/>
          <w:sz w:val="22"/>
          <w:szCs w:val="22"/>
        </w:rPr>
        <w:t>The combustion efficiency must be documented achieving a combustion efficiency of 83% or greater under full load conditions.</w:t>
      </w:r>
    </w:p>
    <w:p w:rsidR="00C35600" w:rsidRPr="00C35600" w:rsidRDefault="00C35600" w:rsidP="00C35600"/>
    <w:p w:rsidR="003F4FFF" w:rsidRPr="00C35600" w:rsidRDefault="003F4FFF" w:rsidP="00864083">
      <w:pPr>
        <w:pStyle w:val="Heading2"/>
        <w:spacing w:before="0" w:after="0"/>
      </w:pPr>
      <w:bookmarkStart w:id="47" w:name="_Toc386966983"/>
      <w:r w:rsidRPr="00C35600">
        <w:t>2.1 Electric Energy Savings Estimation Methodologies</w:t>
      </w:r>
      <w:bookmarkEnd w:id="47"/>
      <w:r w:rsidRPr="00C35600">
        <w:t xml:space="preserve"> </w:t>
      </w:r>
    </w:p>
    <w:p w:rsidR="00F36FF8" w:rsidRPr="00C35600" w:rsidRDefault="00C35600" w:rsidP="00F36FF8">
      <w:pPr>
        <w:rPr>
          <w:rFonts w:ascii="Arial" w:hAnsi="Arial" w:cs="Arial"/>
          <w:sz w:val="22"/>
          <w:szCs w:val="22"/>
        </w:rPr>
      </w:pPr>
      <w:r w:rsidRPr="00C35600">
        <w:rPr>
          <w:rFonts w:ascii="Arial" w:hAnsi="Arial" w:cs="Arial"/>
          <w:sz w:val="22"/>
          <w:szCs w:val="22"/>
        </w:rPr>
        <w:t>There are no electric savings (kWh per kBTUh) associated with this measure.</w:t>
      </w:r>
    </w:p>
    <w:p w:rsidR="00A15AEC" w:rsidRPr="00E8736C" w:rsidRDefault="00A15AEC" w:rsidP="00216BB5">
      <w:pPr>
        <w:rPr>
          <w:rFonts w:ascii="Arial" w:hAnsi="Arial" w:cs="Arial"/>
          <w:sz w:val="22"/>
          <w:szCs w:val="22"/>
        </w:rPr>
      </w:pPr>
    </w:p>
    <w:p w:rsidR="003F4FFF" w:rsidRPr="00C35600" w:rsidRDefault="003F4FFF" w:rsidP="00864083">
      <w:pPr>
        <w:pStyle w:val="Heading2"/>
        <w:keepNext w:val="0"/>
        <w:spacing w:before="0" w:after="0"/>
      </w:pPr>
      <w:bookmarkStart w:id="48" w:name="_Toc386966984"/>
      <w:r w:rsidRPr="00C35600">
        <w:t>2.2. Demand Reduction Estimation Methodologies</w:t>
      </w:r>
      <w:bookmarkEnd w:id="48"/>
    </w:p>
    <w:p w:rsidR="00095C1D" w:rsidRPr="00C35600" w:rsidRDefault="00BE4687" w:rsidP="00C35600">
      <w:pPr>
        <w:rPr>
          <w:rFonts w:ascii="Arial" w:hAnsi="Arial" w:cs="Arial"/>
          <w:sz w:val="22"/>
          <w:szCs w:val="22"/>
        </w:rPr>
      </w:pPr>
      <w:r w:rsidRPr="00C35600">
        <w:rPr>
          <w:rFonts w:ascii="Arial" w:hAnsi="Arial" w:cs="Arial"/>
          <w:sz w:val="22"/>
          <w:szCs w:val="22"/>
        </w:rPr>
        <w:t xml:space="preserve">There </w:t>
      </w:r>
      <w:r w:rsidR="00C35600" w:rsidRPr="00C35600">
        <w:rPr>
          <w:rFonts w:ascii="Arial" w:hAnsi="Arial" w:cs="Arial"/>
          <w:sz w:val="22"/>
          <w:szCs w:val="22"/>
        </w:rPr>
        <w:t>is no Demand Reduction (kW per kBTUh) associated with this measure.</w:t>
      </w:r>
    </w:p>
    <w:p w:rsidR="00A15AEC" w:rsidRPr="00C35600" w:rsidRDefault="00A15AEC" w:rsidP="00C35600">
      <w:pPr>
        <w:rPr>
          <w:rFonts w:ascii="Arial" w:hAnsi="Arial" w:cs="Arial"/>
          <w:sz w:val="22"/>
          <w:szCs w:val="22"/>
        </w:rPr>
      </w:pPr>
    </w:p>
    <w:p w:rsidR="003F4FFF" w:rsidRPr="00C35600" w:rsidRDefault="003F4FFF" w:rsidP="00C35600">
      <w:pPr>
        <w:pStyle w:val="Heading2"/>
        <w:spacing w:before="0" w:after="0"/>
      </w:pPr>
      <w:bookmarkStart w:id="49" w:name="_Toc386966985"/>
      <w:r w:rsidRPr="00C35600">
        <w:t>2.3. Gas Energy Savings Estimation Methodologies</w:t>
      </w:r>
      <w:bookmarkEnd w:id="49"/>
    </w:p>
    <w:p w:rsidR="00C35600" w:rsidRDefault="00C35600" w:rsidP="00C35600">
      <w:pPr>
        <w:rPr>
          <w:rFonts w:ascii="Arial" w:hAnsi="Arial" w:cs="Arial"/>
          <w:sz w:val="22"/>
          <w:szCs w:val="22"/>
        </w:rPr>
      </w:pPr>
      <w:r w:rsidRPr="00C35600">
        <w:rPr>
          <w:rFonts w:ascii="Arial" w:hAnsi="Arial" w:cs="Arial"/>
          <w:sz w:val="22"/>
          <w:szCs w:val="22"/>
        </w:rPr>
        <w:t>There are no DEER measures that match catalog measures H11, and H15. Therefore, we calculated energy savings based on average combustion efficiencies from the California Energy Commission (CEC</w:t>
      </w:r>
      <w:r w:rsidR="00E406EA" w:rsidRPr="00C35600">
        <w:rPr>
          <w:rFonts w:ascii="Arial" w:hAnsi="Arial" w:cs="Arial"/>
          <w:sz w:val="22"/>
          <w:szCs w:val="22"/>
        </w:rPr>
        <w:fldChar w:fldCharType="begin"/>
      </w:r>
      <w:r w:rsidRPr="00C35600">
        <w:rPr>
          <w:rFonts w:ascii="Arial" w:hAnsi="Arial" w:cs="Arial"/>
          <w:sz w:val="22"/>
          <w:szCs w:val="22"/>
        </w:rPr>
        <w:instrText xml:space="preserve"> XE "CEC" </w:instrText>
      </w:r>
      <w:r w:rsidR="00E406EA" w:rsidRPr="00C35600">
        <w:rPr>
          <w:rFonts w:ascii="Arial" w:hAnsi="Arial" w:cs="Arial"/>
          <w:sz w:val="22"/>
          <w:szCs w:val="22"/>
        </w:rPr>
        <w:fldChar w:fldCharType="end"/>
      </w:r>
      <w:r w:rsidRPr="00C35600">
        <w:rPr>
          <w:rFonts w:ascii="Arial" w:hAnsi="Arial" w:cs="Arial"/>
          <w:sz w:val="22"/>
          <w:szCs w:val="22"/>
        </w:rPr>
        <w:t>) Appliance Databases</w:t>
      </w:r>
      <w:bookmarkStart w:id="50" w:name="_Ref384822420"/>
      <w:r w:rsidR="00230B1A">
        <w:rPr>
          <w:rStyle w:val="EndnoteReference"/>
          <w:rFonts w:ascii="Arial" w:hAnsi="Arial" w:cs="Arial"/>
          <w:sz w:val="22"/>
          <w:szCs w:val="22"/>
        </w:rPr>
        <w:endnoteReference w:id="9"/>
      </w:r>
      <w:bookmarkEnd w:id="50"/>
      <w:r w:rsidRPr="00C35600">
        <w:rPr>
          <w:rFonts w:ascii="Arial" w:hAnsi="Arial" w:cs="Arial"/>
          <w:sz w:val="22"/>
          <w:szCs w:val="22"/>
        </w:rPr>
        <w:t xml:space="preserve"> and capacity factors taken from the Characterization of the U.S. Industrial/Commercial Boiler Population</w:t>
      </w:r>
      <w:r w:rsidR="00230B1A">
        <w:rPr>
          <w:rStyle w:val="EndnoteReference"/>
          <w:rFonts w:ascii="Arial" w:hAnsi="Arial" w:cs="Arial"/>
          <w:sz w:val="22"/>
          <w:szCs w:val="22"/>
        </w:rPr>
        <w:endnoteReference w:id="10"/>
      </w:r>
      <w:r w:rsidRPr="00C35600">
        <w:rPr>
          <w:rFonts w:ascii="Arial" w:hAnsi="Arial" w:cs="Arial"/>
          <w:sz w:val="22"/>
          <w:szCs w:val="22"/>
        </w:rPr>
        <w:t xml:space="preserve">. </w:t>
      </w:r>
    </w:p>
    <w:p w:rsidR="00216837" w:rsidRDefault="00216837" w:rsidP="00C35600">
      <w:pPr>
        <w:rPr>
          <w:rFonts w:ascii="Arial" w:hAnsi="Arial" w:cs="Arial"/>
          <w:sz w:val="22"/>
          <w:szCs w:val="22"/>
        </w:rPr>
      </w:pPr>
    </w:p>
    <w:p w:rsidR="00216837" w:rsidRPr="00216837" w:rsidRDefault="00216837" w:rsidP="00216837">
      <w:pPr>
        <w:rPr>
          <w:rFonts w:ascii="Arial" w:hAnsi="Arial" w:cs="Arial"/>
          <w:b/>
          <w:bCs/>
          <w:sz w:val="22"/>
          <w:szCs w:val="22"/>
        </w:rPr>
      </w:pPr>
      <w:bookmarkStart w:id="51" w:name="_Toc226364463"/>
      <w:r w:rsidRPr="00216837">
        <w:rPr>
          <w:rFonts w:ascii="Arial" w:hAnsi="Arial" w:cs="Arial"/>
          <w:b/>
          <w:bCs/>
          <w:sz w:val="22"/>
          <w:szCs w:val="22"/>
        </w:rPr>
        <w:t>Capacity Factor</w:t>
      </w:r>
      <w:bookmarkEnd w:id="51"/>
    </w:p>
    <w:p w:rsidR="00216837" w:rsidRDefault="00216837" w:rsidP="00216837">
      <w:pPr>
        <w:rPr>
          <w:rFonts w:ascii="Arial" w:hAnsi="Arial" w:cs="Arial"/>
          <w:sz w:val="22"/>
          <w:szCs w:val="22"/>
        </w:rPr>
      </w:pPr>
      <w:r w:rsidRPr="00216837">
        <w:rPr>
          <w:rFonts w:ascii="Arial" w:hAnsi="Arial" w:cs="Arial"/>
          <w:sz w:val="22"/>
          <w:szCs w:val="22"/>
        </w:rPr>
        <w:t>Boilers, like many gas systems, have modulating controls that allow them to operate at a fraction of their nominal capacity. As a result, the number of operating hours of a boiler is not an accurate representation of its energy consumption, and the average capacity factor needs to be taken into account. This capacity factor</w:t>
      </w:r>
      <w:r w:rsidR="00E406EA" w:rsidRPr="00216837">
        <w:rPr>
          <w:rFonts w:ascii="Arial" w:hAnsi="Arial" w:cs="Arial"/>
          <w:sz w:val="22"/>
          <w:szCs w:val="22"/>
        </w:rPr>
        <w:fldChar w:fldCharType="begin"/>
      </w:r>
      <w:r w:rsidRPr="00216837">
        <w:rPr>
          <w:rFonts w:ascii="Arial" w:hAnsi="Arial" w:cs="Arial"/>
          <w:sz w:val="22"/>
          <w:szCs w:val="22"/>
        </w:rPr>
        <w:instrText xml:space="preserve"> XE "Capacity factor" </w:instrText>
      </w:r>
      <w:r w:rsidR="00E406EA" w:rsidRPr="00216837">
        <w:rPr>
          <w:rFonts w:ascii="Arial" w:hAnsi="Arial" w:cs="Arial"/>
          <w:sz w:val="22"/>
          <w:szCs w:val="22"/>
        </w:rPr>
        <w:fldChar w:fldCharType="end"/>
      </w:r>
      <w:r w:rsidRPr="00216837">
        <w:rPr>
          <w:rFonts w:ascii="Arial" w:hAnsi="Arial" w:cs="Arial"/>
          <w:sz w:val="22"/>
          <w:szCs w:val="22"/>
        </w:rPr>
        <w:t xml:space="preserve"> is the ratio of actual energy consumption during a certain time period and the consumption that would have occurred if the boiler were at full capacity during the same period (see formula below):</w:t>
      </w:r>
    </w:p>
    <w:p w:rsidR="00216837" w:rsidRDefault="00216837" w:rsidP="00216837">
      <w:pPr>
        <w:rPr>
          <w:rFonts w:ascii="Arial" w:hAnsi="Arial" w:cs="Arial"/>
          <w:sz w:val="22"/>
          <w:szCs w:val="22"/>
        </w:rPr>
      </w:pPr>
    </w:p>
    <w:p w:rsidR="00216837" w:rsidRPr="00497800" w:rsidRDefault="00216837" w:rsidP="00216837">
      <w:pPr>
        <w:rPr>
          <w:rFonts w:ascii="Cambria Math" w:hAnsi="Arial" w:cs="Arial"/>
          <w:sz w:val="22"/>
          <w:szCs w:val="22"/>
          <w:oMath/>
        </w:rPr>
      </w:pPr>
      <m:oMathPara>
        <m:oMath>
          <m:r>
            <w:rPr>
              <w:rFonts w:ascii="Cambria Math" w:hAnsi="Arial" w:cs="Arial"/>
              <w:sz w:val="22"/>
              <w:szCs w:val="22"/>
            </w:rPr>
            <m:t>CF= AGC/MGC</m:t>
          </m:r>
        </m:oMath>
      </m:oMathPara>
    </w:p>
    <w:p w:rsidR="00216837" w:rsidRDefault="00216837" w:rsidP="00216837">
      <w:pPr>
        <w:rPr>
          <w:rFonts w:ascii="Arial" w:hAnsi="Arial" w:cs="Arial"/>
          <w:sz w:val="22"/>
          <w:szCs w:val="22"/>
        </w:rPr>
      </w:pPr>
      <w:r>
        <w:rPr>
          <w:rFonts w:ascii="Arial" w:hAnsi="Arial" w:cs="Arial"/>
          <w:sz w:val="22"/>
          <w:szCs w:val="22"/>
        </w:rPr>
        <w:t>Where,</w:t>
      </w:r>
    </w:p>
    <w:p w:rsidR="00216837" w:rsidRDefault="00216837" w:rsidP="00216837">
      <w:pPr>
        <w:rPr>
          <w:rFonts w:ascii="Arial" w:hAnsi="Arial" w:cs="Arial"/>
          <w:sz w:val="22"/>
          <w:szCs w:val="22"/>
        </w:rPr>
      </w:pPr>
      <w:r>
        <w:rPr>
          <w:rFonts w:ascii="Arial" w:hAnsi="Arial" w:cs="Arial"/>
          <w:sz w:val="22"/>
          <w:szCs w:val="22"/>
        </w:rPr>
        <w:tab/>
        <w:t>CF</w:t>
      </w:r>
      <w:r>
        <w:rPr>
          <w:rFonts w:ascii="Arial" w:hAnsi="Arial" w:cs="Arial"/>
          <w:sz w:val="22"/>
          <w:szCs w:val="22"/>
        </w:rPr>
        <w:tab/>
        <w:t xml:space="preserve">= </w:t>
      </w:r>
      <w:r w:rsidR="00516A96">
        <w:rPr>
          <w:rFonts w:ascii="Arial" w:hAnsi="Arial" w:cs="Arial"/>
          <w:sz w:val="22"/>
          <w:szCs w:val="22"/>
        </w:rPr>
        <w:t>c</w:t>
      </w:r>
      <w:r>
        <w:rPr>
          <w:rFonts w:ascii="Arial" w:hAnsi="Arial" w:cs="Arial"/>
          <w:sz w:val="22"/>
          <w:szCs w:val="22"/>
        </w:rPr>
        <w:t xml:space="preserve">apacity </w:t>
      </w:r>
      <w:r w:rsidR="00516A96">
        <w:rPr>
          <w:rFonts w:ascii="Arial" w:hAnsi="Arial" w:cs="Arial"/>
          <w:sz w:val="22"/>
          <w:szCs w:val="22"/>
        </w:rPr>
        <w:t>f</w:t>
      </w:r>
      <w:r>
        <w:rPr>
          <w:rFonts w:ascii="Arial" w:hAnsi="Arial" w:cs="Arial"/>
          <w:sz w:val="22"/>
          <w:szCs w:val="22"/>
        </w:rPr>
        <w:t>actor, no units</w:t>
      </w:r>
    </w:p>
    <w:p w:rsidR="00216837" w:rsidRDefault="00216837" w:rsidP="00216837">
      <w:pPr>
        <w:rPr>
          <w:rFonts w:ascii="Arial" w:hAnsi="Arial" w:cs="Arial"/>
          <w:sz w:val="22"/>
          <w:szCs w:val="22"/>
        </w:rPr>
      </w:pPr>
      <w:r>
        <w:rPr>
          <w:rFonts w:ascii="Arial" w:hAnsi="Arial" w:cs="Arial"/>
          <w:sz w:val="22"/>
          <w:szCs w:val="22"/>
        </w:rPr>
        <w:tab/>
        <w:t>AGC</w:t>
      </w:r>
      <w:r>
        <w:rPr>
          <w:rFonts w:ascii="Arial" w:hAnsi="Arial" w:cs="Arial"/>
          <w:sz w:val="22"/>
          <w:szCs w:val="22"/>
        </w:rPr>
        <w:tab/>
        <w:t xml:space="preserve">= </w:t>
      </w:r>
      <w:r w:rsidR="00516A96">
        <w:rPr>
          <w:rFonts w:ascii="Arial" w:hAnsi="Arial" w:cs="Arial"/>
          <w:sz w:val="22"/>
          <w:szCs w:val="22"/>
        </w:rPr>
        <w:t>a</w:t>
      </w:r>
      <w:r>
        <w:rPr>
          <w:rFonts w:ascii="Arial" w:hAnsi="Arial" w:cs="Arial"/>
          <w:sz w:val="22"/>
          <w:szCs w:val="22"/>
        </w:rPr>
        <w:t xml:space="preserve">ctual </w:t>
      </w:r>
      <w:r w:rsidR="00516A96">
        <w:rPr>
          <w:rFonts w:ascii="Arial" w:hAnsi="Arial" w:cs="Arial"/>
          <w:sz w:val="22"/>
          <w:szCs w:val="22"/>
        </w:rPr>
        <w:t>g</w:t>
      </w:r>
      <w:r>
        <w:rPr>
          <w:rFonts w:ascii="Arial" w:hAnsi="Arial" w:cs="Arial"/>
          <w:sz w:val="22"/>
          <w:szCs w:val="22"/>
        </w:rPr>
        <w:t xml:space="preserve">as </w:t>
      </w:r>
      <w:r w:rsidR="00516A96">
        <w:rPr>
          <w:rFonts w:ascii="Arial" w:hAnsi="Arial" w:cs="Arial"/>
          <w:sz w:val="22"/>
          <w:szCs w:val="22"/>
        </w:rPr>
        <w:t>c</w:t>
      </w:r>
      <w:r>
        <w:rPr>
          <w:rFonts w:ascii="Arial" w:hAnsi="Arial" w:cs="Arial"/>
          <w:sz w:val="22"/>
          <w:szCs w:val="22"/>
        </w:rPr>
        <w:t>onsumption during a given time period, kBTUh</w:t>
      </w:r>
    </w:p>
    <w:p w:rsidR="00216837" w:rsidRPr="00D04D41" w:rsidRDefault="00216837" w:rsidP="00216837">
      <w:pPr>
        <w:rPr>
          <w:rFonts w:ascii="Arial" w:hAnsi="Arial" w:cs="Arial"/>
          <w:sz w:val="22"/>
          <w:szCs w:val="22"/>
        </w:rPr>
      </w:pPr>
      <w:r>
        <w:rPr>
          <w:rFonts w:ascii="Arial" w:hAnsi="Arial" w:cs="Arial"/>
          <w:sz w:val="22"/>
          <w:szCs w:val="22"/>
        </w:rPr>
        <w:tab/>
      </w:r>
      <w:r w:rsidRPr="00D04D41">
        <w:rPr>
          <w:rFonts w:ascii="Arial" w:hAnsi="Arial" w:cs="Arial"/>
          <w:sz w:val="22"/>
          <w:szCs w:val="22"/>
        </w:rPr>
        <w:t>MGC</w:t>
      </w:r>
      <w:r w:rsidRPr="00D04D41">
        <w:rPr>
          <w:rFonts w:ascii="Arial" w:hAnsi="Arial" w:cs="Arial"/>
          <w:sz w:val="22"/>
          <w:szCs w:val="22"/>
        </w:rPr>
        <w:tab/>
        <w:t xml:space="preserve">= </w:t>
      </w:r>
      <w:r w:rsidR="00516A96" w:rsidRPr="00D04D41">
        <w:rPr>
          <w:rFonts w:ascii="Arial" w:hAnsi="Arial" w:cs="Arial"/>
          <w:sz w:val="22"/>
          <w:szCs w:val="22"/>
        </w:rPr>
        <w:t>m</w:t>
      </w:r>
      <w:r w:rsidRPr="00D04D41">
        <w:rPr>
          <w:rFonts w:ascii="Arial" w:hAnsi="Arial" w:cs="Arial"/>
          <w:sz w:val="22"/>
          <w:szCs w:val="22"/>
        </w:rPr>
        <w:t xml:space="preserve">aximum </w:t>
      </w:r>
      <w:r w:rsidR="00516A96" w:rsidRPr="00D04D41">
        <w:rPr>
          <w:rFonts w:ascii="Arial" w:hAnsi="Arial" w:cs="Arial"/>
          <w:sz w:val="22"/>
          <w:szCs w:val="22"/>
        </w:rPr>
        <w:t>g</w:t>
      </w:r>
      <w:r w:rsidRPr="00D04D41">
        <w:rPr>
          <w:rFonts w:ascii="Arial" w:hAnsi="Arial" w:cs="Arial"/>
          <w:sz w:val="22"/>
          <w:szCs w:val="22"/>
        </w:rPr>
        <w:t xml:space="preserve">as </w:t>
      </w:r>
      <w:r w:rsidR="00516A96" w:rsidRPr="00D04D41">
        <w:rPr>
          <w:rFonts w:ascii="Arial" w:hAnsi="Arial" w:cs="Arial"/>
          <w:sz w:val="22"/>
          <w:szCs w:val="22"/>
        </w:rPr>
        <w:t>c</w:t>
      </w:r>
      <w:r w:rsidRPr="00D04D41">
        <w:rPr>
          <w:rFonts w:ascii="Arial" w:hAnsi="Arial" w:cs="Arial"/>
          <w:sz w:val="22"/>
          <w:szCs w:val="22"/>
        </w:rPr>
        <w:t>onsumption during a given time period, kBTUh</w:t>
      </w:r>
    </w:p>
    <w:p w:rsidR="00216837" w:rsidRPr="00D04D41" w:rsidRDefault="00216837" w:rsidP="00216837">
      <w:pPr>
        <w:rPr>
          <w:rFonts w:ascii="Arial" w:hAnsi="Arial" w:cs="Arial"/>
          <w:sz w:val="22"/>
          <w:szCs w:val="22"/>
        </w:rPr>
      </w:pPr>
    </w:p>
    <w:p w:rsidR="00216837" w:rsidRPr="00D04D41" w:rsidRDefault="00D327F3" w:rsidP="00216837">
      <w:pPr>
        <w:rPr>
          <w:rFonts w:ascii="Arial" w:hAnsi="Arial" w:cs="Arial"/>
          <w:sz w:val="22"/>
          <w:szCs w:val="22"/>
        </w:rPr>
      </w:pPr>
      <w:r w:rsidRPr="00D04D41">
        <w:rPr>
          <w:rFonts w:ascii="Arial" w:hAnsi="Arial" w:cs="Arial"/>
          <w:sz w:val="22"/>
          <w:szCs w:val="22"/>
        </w:rPr>
        <w:t>Data from the analysis of industrial and commercial boilers was combined with industry-specific G</w:t>
      </w:r>
      <w:r w:rsidR="000C6A67" w:rsidRPr="00D04D41">
        <w:rPr>
          <w:rFonts w:ascii="Arial" w:hAnsi="Arial" w:cs="Arial"/>
          <w:sz w:val="22"/>
          <w:szCs w:val="22"/>
        </w:rPr>
        <w:t xml:space="preserve">ross </w:t>
      </w:r>
      <w:r w:rsidRPr="00D04D41">
        <w:rPr>
          <w:rFonts w:ascii="Arial" w:hAnsi="Arial" w:cs="Arial"/>
          <w:sz w:val="22"/>
          <w:szCs w:val="22"/>
        </w:rPr>
        <w:t>D</w:t>
      </w:r>
      <w:r w:rsidR="000C6A67" w:rsidRPr="00D04D41">
        <w:rPr>
          <w:rFonts w:ascii="Arial" w:hAnsi="Arial" w:cs="Arial"/>
          <w:sz w:val="22"/>
          <w:szCs w:val="22"/>
        </w:rPr>
        <w:t xml:space="preserve">omestic </w:t>
      </w:r>
      <w:r w:rsidRPr="00D04D41">
        <w:rPr>
          <w:rFonts w:ascii="Arial" w:hAnsi="Arial" w:cs="Arial"/>
          <w:sz w:val="22"/>
          <w:szCs w:val="22"/>
        </w:rPr>
        <w:t>P</w:t>
      </w:r>
      <w:r w:rsidR="000C6A67" w:rsidRPr="00D04D41">
        <w:rPr>
          <w:rFonts w:ascii="Arial" w:hAnsi="Arial" w:cs="Arial"/>
          <w:sz w:val="22"/>
          <w:szCs w:val="22"/>
        </w:rPr>
        <w:t>roduct (GDP)</w:t>
      </w:r>
      <w:r w:rsidRPr="00D04D41">
        <w:rPr>
          <w:rFonts w:ascii="Arial" w:hAnsi="Arial" w:cs="Arial"/>
          <w:sz w:val="22"/>
          <w:szCs w:val="22"/>
        </w:rPr>
        <w:t xml:space="preserve"> data to get an accurate estimation of the average process boiler capacity factor in California.</w:t>
      </w:r>
      <w:r w:rsidR="00C502A1" w:rsidRPr="00D04D41">
        <w:rPr>
          <w:rFonts w:ascii="Arial" w:hAnsi="Arial" w:cs="Arial"/>
          <w:sz w:val="22"/>
          <w:szCs w:val="22"/>
        </w:rPr>
        <w:t xml:space="preserve"> The average capacity factor is estimated by the equation below:</w:t>
      </w:r>
    </w:p>
    <w:p w:rsidR="00C502A1" w:rsidRPr="00D04D41" w:rsidRDefault="00C502A1" w:rsidP="00216837">
      <w:pPr>
        <w:rPr>
          <w:rFonts w:ascii="Arial" w:hAnsi="Arial" w:cs="Arial"/>
          <w:sz w:val="22"/>
          <w:szCs w:val="22"/>
        </w:rPr>
      </w:pPr>
    </w:p>
    <w:p w:rsidR="00C502A1" w:rsidRPr="00D04D41" w:rsidRDefault="00C502A1" w:rsidP="00C502A1">
      <w:pPr>
        <w:rPr>
          <w:rFonts w:ascii="Cambria Math" w:hAnsi="Arial" w:cs="Arial"/>
          <w:sz w:val="22"/>
          <w:szCs w:val="22"/>
          <w:oMath/>
        </w:rPr>
      </w:pPr>
      <m:oMathPara>
        <m:oMath>
          <m:r>
            <w:rPr>
              <w:rFonts w:ascii="Cambria Math" w:hAnsi="Arial" w:cs="Arial"/>
              <w:sz w:val="22"/>
              <w:szCs w:val="22"/>
            </w:rPr>
            <m:t xml:space="preserve">ACF= </m:t>
          </m:r>
          <m:nary>
            <m:naryPr>
              <m:chr m:val="∑"/>
              <m:limLoc m:val="undOvr"/>
              <m:subHide m:val="1"/>
              <m:supHide m:val="1"/>
              <m:ctrlPr>
                <w:rPr>
                  <w:rFonts w:ascii="Cambria Math" w:hAnsi="Arial" w:cs="Arial"/>
                  <w:i/>
                  <w:sz w:val="22"/>
                  <w:szCs w:val="22"/>
                </w:rPr>
              </m:ctrlPr>
            </m:naryPr>
            <m:sub/>
            <m:sup/>
            <m:e>
              <m:r>
                <w:rPr>
                  <w:rFonts w:ascii="Cambria Math" w:hAnsi="Arial" w:cs="Arial"/>
                  <w:sz w:val="22"/>
                  <w:szCs w:val="22"/>
                </w:rPr>
                <m:t>WCF</m:t>
              </m:r>
            </m:e>
          </m:nary>
        </m:oMath>
      </m:oMathPara>
    </w:p>
    <w:p w:rsidR="00C502A1" w:rsidRPr="00D04D41" w:rsidRDefault="00C502A1" w:rsidP="00216837">
      <w:pPr>
        <w:rPr>
          <w:rFonts w:ascii="Arial" w:hAnsi="Arial" w:cs="Arial"/>
          <w:sz w:val="22"/>
          <w:szCs w:val="22"/>
        </w:rPr>
      </w:pPr>
    </w:p>
    <w:p w:rsidR="00C502A1" w:rsidRPr="00D04D41" w:rsidRDefault="00C502A1" w:rsidP="00487828">
      <w:pPr>
        <w:rPr>
          <w:rFonts w:ascii="Arial" w:hAnsi="Arial" w:cs="Arial"/>
          <w:sz w:val="22"/>
          <w:szCs w:val="22"/>
        </w:rPr>
      </w:pPr>
      <w:r w:rsidRPr="00D04D41">
        <w:rPr>
          <w:rFonts w:ascii="Arial" w:hAnsi="Arial" w:cs="Arial"/>
          <w:sz w:val="22"/>
          <w:szCs w:val="22"/>
        </w:rPr>
        <w:t>Where,</w:t>
      </w:r>
    </w:p>
    <w:p w:rsidR="00C502A1" w:rsidRPr="00D04D41" w:rsidRDefault="00487828" w:rsidP="00C502A1">
      <w:pPr>
        <w:ind w:firstLine="720"/>
        <w:rPr>
          <w:rFonts w:ascii="Arial" w:hAnsi="Arial" w:cs="Arial"/>
          <w:sz w:val="22"/>
          <w:szCs w:val="22"/>
        </w:rPr>
      </w:pPr>
      <w:r w:rsidRPr="00D04D41">
        <w:rPr>
          <w:rFonts w:ascii="Arial" w:hAnsi="Arial" w:cs="Arial"/>
          <w:sz w:val="22"/>
          <w:szCs w:val="22"/>
        </w:rPr>
        <w:t xml:space="preserve"> </w:t>
      </w:r>
      <w:r w:rsidR="00C502A1" w:rsidRPr="00D04D41">
        <w:rPr>
          <w:rFonts w:ascii="Arial" w:hAnsi="Arial" w:cs="Arial"/>
          <w:sz w:val="22"/>
          <w:szCs w:val="22"/>
        </w:rPr>
        <w:t>ACF</w:t>
      </w:r>
      <w:r w:rsidR="00C502A1" w:rsidRPr="00D04D41">
        <w:rPr>
          <w:rFonts w:ascii="Arial" w:hAnsi="Arial" w:cs="Arial"/>
          <w:sz w:val="22"/>
          <w:szCs w:val="22"/>
        </w:rPr>
        <w:tab/>
        <w:t>= average capacity factor, no units</w:t>
      </w:r>
    </w:p>
    <w:p w:rsidR="00C502A1" w:rsidRPr="00D04D41" w:rsidRDefault="00C502A1" w:rsidP="00C502A1">
      <w:pPr>
        <w:rPr>
          <w:rFonts w:ascii="Arial" w:hAnsi="Arial" w:cs="Arial"/>
          <w:sz w:val="22"/>
          <w:szCs w:val="22"/>
        </w:rPr>
      </w:pPr>
      <w:r w:rsidRPr="00D04D41">
        <w:rPr>
          <w:rFonts w:ascii="Arial" w:hAnsi="Arial" w:cs="Arial"/>
          <w:sz w:val="22"/>
          <w:szCs w:val="22"/>
        </w:rPr>
        <w:tab/>
        <w:t>WCF</w:t>
      </w:r>
      <w:r w:rsidRPr="00D04D41">
        <w:rPr>
          <w:rFonts w:ascii="Arial" w:hAnsi="Arial" w:cs="Arial"/>
          <w:sz w:val="22"/>
          <w:szCs w:val="22"/>
        </w:rPr>
        <w:tab/>
        <w:t>= weighted capacity factor, no units</w:t>
      </w:r>
    </w:p>
    <w:p w:rsidR="00C502A1" w:rsidRPr="00D04D41" w:rsidRDefault="00C502A1" w:rsidP="00D327F3">
      <w:pPr>
        <w:pStyle w:val="Caption"/>
        <w:jc w:val="center"/>
        <w:rPr>
          <w:rFonts w:ascii="Arial" w:hAnsi="Arial" w:cs="Arial"/>
          <w:b w:val="0"/>
          <w:sz w:val="22"/>
          <w:szCs w:val="22"/>
        </w:rPr>
      </w:pPr>
      <w:bookmarkStart w:id="52" w:name="_Toc257287391"/>
    </w:p>
    <w:p w:rsidR="00C502A1" w:rsidRPr="00D04D41" w:rsidRDefault="00C502A1" w:rsidP="00C502A1">
      <w:pPr>
        <w:pStyle w:val="Caption"/>
        <w:rPr>
          <w:rFonts w:ascii="Arial" w:hAnsi="Arial" w:cs="Arial"/>
          <w:b w:val="0"/>
          <w:sz w:val="22"/>
          <w:szCs w:val="22"/>
        </w:rPr>
      </w:pPr>
      <w:r w:rsidRPr="00D04D41">
        <w:rPr>
          <w:rFonts w:ascii="Arial" w:hAnsi="Arial" w:cs="Arial"/>
          <w:b w:val="0"/>
          <w:sz w:val="22"/>
          <w:szCs w:val="22"/>
        </w:rPr>
        <w:t>The weighted capacity factor accounts for the number of boilers in each industry. This factor is weighted based on the total number of boilers surveyed in Characterization of the U.S. Industrial/Commercial Boiler Population</w:t>
      </w:r>
      <w:r w:rsidR="00E16FD8">
        <w:fldChar w:fldCharType="begin"/>
      </w:r>
      <w:r w:rsidR="00E16FD8">
        <w:instrText xml:space="preserve"> NOTEREF _Ref384822420 \h  \* MERGEFORMAT </w:instrText>
      </w:r>
      <w:r w:rsidR="00E16FD8">
        <w:fldChar w:fldCharType="separate"/>
      </w:r>
      <w:r w:rsidR="006A644D">
        <w:t>9</w:t>
      </w:r>
      <w:r w:rsidR="00E16FD8">
        <w:fldChar w:fldCharType="end"/>
      </w:r>
      <w:r w:rsidRPr="00D04D41">
        <w:rPr>
          <w:rFonts w:ascii="Arial" w:hAnsi="Arial" w:cs="Arial"/>
          <w:b w:val="0"/>
          <w:sz w:val="22"/>
          <w:szCs w:val="22"/>
          <w:vertAlign w:val="superscript"/>
        </w:rPr>
        <w:t xml:space="preserve"> </w:t>
      </w:r>
      <w:r w:rsidRPr="00D04D41">
        <w:rPr>
          <w:rFonts w:ascii="Arial" w:hAnsi="Arial" w:cs="Arial"/>
          <w:b w:val="0"/>
          <w:sz w:val="22"/>
          <w:szCs w:val="22"/>
        </w:rPr>
        <w:t>multiplied by the size of each industry based on California GDP information from the Bureau of Economic Analysis.</w:t>
      </w:r>
      <w:r w:rsidRPr="00D04D41">
        <w:rPr>
          <w:rStyle w:val="EndnoteReference"/>
          <w:rFonts w:ascii="Arial" w:hAnsi="Arial" w:cs="Arial"/>
          <w:b w:val="0"/>
          <w:sz w:val="22"/>
          <w:szCs w:val="22"/>
        </w:rPr>
        <w:endnoteReference w:id="11"/>
      </w:r>
      <w:r w:rsidR="00C26004" w:rsidRPr="00D04D41">
        <w:rPr>
          <w:rFonts w:ascii="Arial" w:hAnsi="Arial" w:cs="Arial"/>
          <w:b w:val="0"/>
          <w:sz w:val="22"/>
          <w:szCs w:val="22"/>
        </w:rPr>
        <w:t xml:space="preserve"> The weighted capacity factor is estimated by the equation below:</w:t>
      </w:r>
    </w:p>
    <w:p w:rsidR="00C26004" w:rsidRPr="00D04D41" w:rsidRDefault="00C26004" w:rsidP="00C26004"/>
    <w:p w:rsidR="00C26004" w:rsidRPr="00D04D41" w:rsidRDefault="00C26004" w:rsidP="00C26004">
      <w:pPr>
        <w:rPr>
          <w:rFonts w:ascii="Cambria Math" w:hAnsi="Arial" w:cs="Arial"/>
          <w:sz w:val="22"/>
          <w:szCs w:val="22"/>
          <w:oMath/>
        </w:rPr>
      </w:pPr>
      <m:oMathPara>
        <m:oMath>
          <m:r>
            <w:rPr>
              <w:rFonts w:ascii="Cambria Math" w:hAnsi="Arial" w:cs="Arial"/>
              <w:sz w:val="22"/>
              <w:szCs w:val="22"/>
            </w:rPr>
            <m:t>WCF= CF</m:t>
          </m:r>
          <m:r>
            <w:rPr>
              <w:rFonts w:ascii="Cambria Math" w:hAnsi="Arial" w:cs="Arial"/>
              <w:sz w:val="22"/>
              <w:szCs w:val="22"/>
            </w:rPr>
            <m:t>*</m:t>
          </m:r>
          <m:r>
            <w:rPr>
              <w:rFonts w:ascii="Cambria Math" w:hAnsi="Arial" w:cs="Arial"/>
              <w:sz w:val="22"/>
              <w:szCs w:val="22"/>
            </w:rPr>
            <m:t>NB</m:t>
          </m:r>
          <m:r>
            <w:rPr>
              <w:rFonts w:ascii="Cambria Math" w:hAnsi="Arial" w:cs="Arial"/>
              <w:sz w:val="22"/>
              <w:szCs w:val="22"/>
            </w:rPr>
            <m:t>*</m:t>
          </m:r>
          <m:r>
            <w:rPr>
              <w:rFonts w:ascii="Cambria Math" w:hAnsi="Arial" w:cs="Arial"/>
              <w:sz w:val="22"/>
              <w:szCs w:val="22"/>
            </w:rPr>
            <m:t>PGDP/</m:t>
          </m:r>
          <m:sSub>
            <m:sSubPr>
              <m:ctrlPr>
                <w:rPr>
                  <w:rFonts w:ascii="Cambria Math" w:hAnsi="Arial" w:cs="Arial"/>
                  <w:i/>
                  <w:sz w:val="22"/>
                  <w:szCs w:val="22"/>
                </w:rPr>
              </m:ctrlPr>
            </m:sSubPr>
            <m:e>
              <m:r>
                <w:rPr>
                  <w:rFonts w:ascii="Cambria Math" w:hAnsi="Arial" w:cs="Arial"/>
                  <w:sz w:val="22"/>
                  <w:szCs w:val="22"/>
                </w:rPr>
                <m:t>TB</m:t>
              </m:r>
            </m:e>
            <m:sub>
              <m:r>
                <w:rPr>
                  <w:rFonts w:ascii="Cambria Math" w:hAnsi="Arial" w:cs="Arial"/>
                  <w:sz w:val="22"/>
                  <w:szCs w:val="22"/>
                </w:rPr>
                <m:t>CA</m:t>
              </m:r>
            </m:sub>
          </m:sSub>
        </m:oMath>
      </m:oMathPara>
    </w:p>
    <w:p w:rsidR="00C502A1" w:rsidRPr="00D04D41" w:rsidRDefault="00C502A1" w:rsidP="00C502A1"/>
    <w:p w:rsidR="009145B5" w:rsidRPr="00D04D41" w:rsidRDefault="009145B5" w:rsidP="009145B5">
      <w:pPr>
        <w:rPr>
          <w:rFonts w:ascii="Arial" w:hAnsi="Arial" w:cs="Arial"/>
          <w:sz w:val="22"/>
          <w:szCs w:val="22"/>
        </w:rPr>
      </w:pPr>
      <w:r w:rsidRPr="00D04D41">
        <w:rPr>
          <w:rFonts w:ascii="Arial" w:hAnsi="Arial" w:cs="Arial"/>
          <w:sz w:val="22"/>
          <w:szCs w:val="22"/>
        </w:rPr>
        <w:t>Where,</w:t>
      </w:r>
    </w:p>
    <w:p w:rsidR="009145B5" w:rsidRPr="00D04D41" w:rsidRDefault="009145B5" w:rsidP="009145B5">
      <w:pPr>
        <w:ind w:firstLine="720"/>
        <w:rPr>
          <w:rFonts w:ascii="Arial" w:hAnsi="Arial" w:cs="Arial"/>
          <w:sz w:val="22"/>
          <w:szCs w:val="22"/>
        </w:rPr>
      </w:pPr>
      <w:r w:rsidRPr="00D04D41">
        <w:rPr>
          <w:rFonts w:ascii="Arial" w:hAnsi="Arial" w:cs="Arial"/>
          <w:sz w:val="22"/>
          <w:szCs w:val="22"/>
        </w:rPr>
        <w:t xml:space="preserve"> NB</w:t>
      </w:r>
      <w:r w:rsidRPr="00D04D41">
        <w:rPr>
          <w:rFonts w:ascii="Arial" w:hAnsi="Arial" w:cs="Arial"/>
          <w:sz w:val="22"/>
          <w:szCs w:val="22"/>
        </w:rPr>
        <w:tab/>
        <w:t>= number of boilers in industry, no units</w:t>
      </w:r>
    </w:p>
    <w:p w:rsidR="009145B5" w:rsidRPr="00D04D41" w:rsidRDefault="009145B5" w:rsidP="009145B5">
      <w:pPr>
        <w:rPr>
          <w:rFonts w:ascii="Arial" w:hAnsi="Arial" w:cs="Arial"/>
          <w:sz w:val="22"/>
          <w:szCs w:val="22"/>
        </w:rPr>
      </w:pPr>
      <w:r w:rsidRPr="00D04D41">
        <w:rPr>
          <w:rFonts w:ascii="Arial" w:hAnsi="Arial" w:cs="Arial"/>
          <w:sz w:val="22"/>
          <w:szCs w:val="22"/>
        </w:rPr>
        <w:tab/>
        <w:t>PGDP</w:t>
      </w:r>
      <w:r w:rsidRPr="00D04D41">
        <w:rPr>
          <w:rFonts w:ascii="Arial" w:hAnsi="Arial" w:cs="Arial"/>
          <w:sz w:val="22"/>
          <w:szCs w:val="22"/>
        </w:rPr>
        <w:tab/>
        <w:t>= percent of California GDP versus nationwide GDP, no units</w:t>
      </w:r>
    </w:p>
    <w:p w:rsidR="009145B5" w:rsidRPr="009145B5" w:rsidRDefault="009145B5" w:rsidP="00C502A1">
      <w:pPr>
        <w:rPr>
          <w:rFonts w:ascii="Arial" w:hAnsi="Arial" w:cs="Arial"/>
          <w:sz w:val="22"/>
          <w:szCs w:val="22"/>
        </w:rPr>
      </w:pPr>
      <w:r w:rsidRPr="00D04D41">
        <w:rPr>
          <w:rFonts w:ascii="Arial" w:hAnsi="Arial" w:cs="Arial"/>
          <w:sz w:val="22"/>
          <w:szCs w:val="22"/>
        </w:rPr>
        <w:tab/>
        <w:t>TB</w:t>
      </w:r>
      <w:r w:rsidRPr="00D04D41">
        <w:rPr>
          <w:rFonts w:ascii="Arial" w:hAnsi="Arial" w:cs="Arial"/>
          <w:sz w:val="22"/>
          <w:szCs w:val="22"/>
          <w:vertAlign w:val="subscript"/>
        </w:rPr>
        <w:t>CA</w:t>
      </w:r>
      <w:r w:rsidRPr="00D04D41">
        <w:rPr>
          <w:rFonts w:ascii="Arial" w:hAnsi="Arial" w:cs="Arial"/>
          <w:sz w:val="22"/>
          <w:szCs w:val="22"/>
        </w:rPr>
        <w:tab/>
        <w:t>= total number of boilers in California, no units</w:t>
      </w:r>
    </w:p>
    <w:p w:rsidR="00C502A1" w:rsidRPr="00C502A1" w:rsidRDefault="00C502A1" w:rsidP="00C502A1"/>
    <w:p w:rsidR="00D327F3" w:rsidRPr="00D327F3" w:rsidRDefault="00D327F3" w:rsidP="00D327F3">
      <w:pPr>
        <w:pStyle w:val="Caption"/>
        <w:jc w:val="center"/>
        <w:rPr>
          <w:rFonts w:ascii="Arial" w:hAnsi="Arial" w:cs="Arial"/>
          <w:sz w:val="22"/>
          <w:szCs w:val="22"/>
        </w:rPr>
      </w:pPr>
      <w:r w:rsidRPr="00D327F3">
        <w:rPr>
          <w:rFonts w:ascii="Arial" w:hAnsi="Arial" w:cs="Arial"/>
          <w:sz w:val="22"/>
          <w:szCs w:val="22"/>
        </w:rPr>
        <w:t>Table 4</w:t>
      </w:r>
      <w:r w:rsidR="00FA5CE7">
        <w:rPr>
          <w:rFonts w:ascii="Arial" w:hAnsi="Arial" w:cs="Arial"/>
          <w:sz w:val="22"/>
          <w:szCs w:val="22"/>
        </w:rPr>
        <w:t xml:space="preserve"> -</w:t>
      </w:r>
      <w:r w:rsidRPr="00D327F3">
        <w:rPr>
          <w:rFonts w:ascii="Arial" w:hAnsi="Arial" w:cs="Arial"/>
          <w:sz w:val="22"/>
          <w:szCs w:val="22"/>
        </w:rPr>
        <w:t xml:space="preserve"> Average Capacity Factor Across Different Industries</w:t>
      </w:r>
      <w:bookmarkEnd w:id="52"/>
      <w:r w:rsidR="00E406EA" w:rsidRPr="00906317">
        <w:rPr>
          <w:rFonts w:ascii="Arial" w:hAnsi="Arial" w:cs="Arial"/>
          <w:sz w:val="22"/>
          <w:szCs w:val="22"/>
        </w:rPr>
        <w:fldChar w:fldCharType="begin"/>
      </w:r>
      <w:r w:rsidR="003459E6" w:rsidRPr="00906317">
        <w:rPr>
          <w:sz w:val="22"/>
          <w:szCs w:val="22"/>
        </w:rPr>
        <w:instrText xml:space="preserve"> TC "</w:instrText>
      </w:r>
      <w:bookmarkStart w:id="53" w:name="_Toc384033522"/>
      <w:r w:rsidR="003459E6" w:rsidRPr="00906317">
        <w:rPr>
          <w:rFonts w:ascii="Arial" w:hAnsi="Arial" w:cs="Arial"/>
          <w:sz w:val="22"/>
          <w:szCs w:val="22"/>
        </w:rPr>
        <w:instrText xml:space="preserve">Table </w:instrText>
      </w:r>
      <w:r w:rsidR="003459E6">
        <w:rPr>
          <w:rFonts w:ascii="Arial" w:hAnsi="Arial" w:cs="Arial"/>
          <w:sz w:val="22"/>
          <w:szCs w:val="22"/>
        </w:rPr>
        <w:instrText>4</w:instrText>
      </w:r>
      <w:r w:rsidR="003459E6" w:rsidRPr="00906317">
        <w:rPr>
          <w:rFonts w:ascii="Arial" w:hAnsi="Arial" w:cs="Arial"/>
          <w:sz w:val="22"/>
          <w:szCs w:val="22"/>
        </w:rPr>
        <w:instrText xml:space="preserve"> - </w:instrText>
      </w:r>
      <w:r w:rsidR="003459E6" w:rsidRPr="00D327F3">
        <w:rPr>
          <w:rFonts w:ascii="Arial" w:hAnsi="Arial" w:cs="Arial"/>
          <w:sz w:val="22"/>
          <w:szCs w:val="22"/>
        </w:rPr>
        <w:instrText>Average Capacity Factor</w:instrText>
      </w:r>
      <w:bookmarkEnd w:id="53"/>
      <w:r w:rsidR="003459E6" w:rsidRPr="00906317">
        <w:rPr>
          <w:sz w:val="22"/>
          <w:szCs w:val="22"/>
        </w:rPr>
        <w:instrText xml:space="preserve">" \f C \l "1" </w:instrText>
      </w:r>
      <w:r w:rsidR="00E406EA" w:rsidRPr="00906317">
        <w:rPr>
          <w:rFonts w:ascii="Arial" w:hAnsi="Arial" w:cs="Arial"/>
          <w:sz w:val="22"/>
          <w:szCs w:val="22"/>
        </w:rPr>
        <w:fldChar w:fldCharType="end"/>
      </w:r>
    </w:p>
    <w:p w:rsidR="00D327F3" w:rsidRDefault="00D327F3" w:rsidP="00487828">
      <w:pPr>
        <w:rPr>
          <w:rFonts w:ascii="Arial" w:hAnsi="Arial" w:cs="Arial"/>
          <w:color w:val="FF0000"/>
          <w:sz w:val="22"/>
          <w:szCs w:val="22"/>
        </w:rPr>
      </w:pPr>
      <w:r w:rsidRPr="00D327F3">
        <w:rPr>
          <w:noProof/>
          <w:szCs w:val="22"/>
        </w:rPr>
        <w:drawing>
          <wp:inline distT="0" distB="0" distL="0" distR="0" wp14:anchorId="46057497" wp14:editId="5A56A49D">
            <wp:extent cx="5943600" cy="192865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943600" cy="1928656"/>
                    </a:xfrm>
                    <a:prstGeom prst="rect">
                      <a:avLst/>
                    </a:prstGeom>
                    <a:noFill/>
                    <a:ln w="9525">
                      <a:noFill/>
                      <a:miter lim="800000"/>
                      <a:headEnd/>
                      <a:tailEnd/>
                    </a:ln>
                  </pic:spPr>
                </pic:pic>
              </a:graphicData>
            </a:graphic>
          </wp:inline>
        </w:drawing>
      </w:r>
    </w:p>
    <w:p w:rsidR="00D327F3" w:rsidRPr="004F588A" w:rsidRDefault="00D327F3" w:rsidP="00487828">
      <w:pPr>
        <w:rPr>
          <w:rFonts w:ascii="Arial" w:hAnsi="Arial" w:cs="Arial"/>
          <w:sz w:val="22"/>
          <w:szCs w:val="22"/>
        </w:rPr>
      </w:pPr>
    </w:p>
    <w:p w:rsidR="004F588A" w:rsidRDefault="004F588A" w:rsidP="004F588A">
      <w:pPr>
        <w:rPr>
          <w:rFonts w:ascii="Arial" w:hAnsi="Arial" w:cs="Arial"/>
          <w:sz w:val="22"/>
          <w:szCs w:val="22"/>
        </w:rPr>
      </w:pPr>
      <w:r w:rsidRPr="004F588A">
        <w:rPr>
          <w:rFonts w:ascii="Arial" w:hAnsi="Arial" w:cs="Arial"/>
          <w:sz w:val="22"/>
          <w:szCs w:val="22"/>
        </w:rPr>
        <w:t>To determine the average boiler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in the measure</w:t>
      </w:r>
      <w:r w:rsidR="00E406EA" w:rsidRPr="004F588A">
        <w:rPr>
          <w:rFonts w:ascii="Arial" w:hAnsi="Arial" w:cs="Arial"/>
          <w:sz w:val="22"/>
          <w:szCs w:val="22"/>
        </w:rPr>
        <w:fldChar w:fldCharType="begin"/>
      </w:r>
      <w:r w:rsidRPr="004F588A">
        <w:rPr>
          <w:rFonts w:ascii="Arial" w:hAnsi="Arial" w:cs="Arial"/>
          <w:sz w:val="22"/>
          <w:szCs w:val="22"/>
        </w:rPr>
        <w:instrText xml:space="preserve"> XE "Measure" </w:instrText>
      </w:r>
      <w:r w:rsidR="00E406EA" w:rsidRPr="004F588A">
        <w:rPr>
          <w:rFonts w:ascii="Arial" w:hAnsi="Arial" w:cs="Arial"/>
          <w:sz w:val="22"/>
          <w:szCs w:val="22"/>
        </w:rPr>
        <w:fldChar w:fldCharType="end"/>
      </w:r>
      <w:r w:rsidRPr="004F588A">
        <w:rPr>
          <w:rFonts w:ascii="Arial" w:hAnsi="Arial" w:cs="Arial"/>
          <w:sz w:val="22"/>
          <w:szCs w:val="22"/>
        </w:rPr>
        <w:t xml:space="preserve"> case, the California Energy Commission (CEC</w:t>
      </w:r>
      <w:r w:rsidR="00E406EA" w:rsidRPr="004F588A">
        <w:rPr>
          <w:rFonts w:ascii="Arial" w:hAnsi="Arial" w:cs="Arial"/>
          <w:sz w:val="22"/>
          <w:szCs w:val="22"/>
        </w:rPr>
        <w:fldChar w:fldCharType="begin"/>
      </w:r>
      <w:r w:rsidRPr="004F588A">
        <w:rPr>
          <w:rFonts w:ascii="Arial" w:hAnsi="Arial" w:cs="Arial"/>
          <w:sz w:val="22"/>
          <w:szCs w:val="22"/>
        </w:rPr>
        <w:instrText xml:space="preserve"> XE "CEC" </w:instrText>
      </w:r>
      <w:r w:rsidR="00E406EA" w:rsidRPr="004F588A">
        <w:rPr>
          <w:rFonts w:ascii="Arial" w:hAnsi="Arial" w:cs="Arial"/>
          <w:sz w:val="22"/>
          <w:szCs w:val="22"/>
        </w:rPr>
        <w:fldChar w:fldCharType="end"/>
      </w:r>
      <w:r w:rsidRPr="004F588A">
        <w:rPr>
          <w:rFonts w:ascii="Arial" w:hAnsi="Arial" w:cs="Arial"/>
          <w:sz w:val="22"/>
          <w:szCs w:val="22"/>
        </w:rPr>
        <w:t>) Appliance Databases and records of boilers that PG&amp;E has rebated under this measure were used.  The CEC inventory</w:t>
      </w:r>
      <w:r w:rsidR="00E406EA" w:rsidRPr="004F588A">
        <w:rPr>
          <w:rFonts w:ascii="Arial" w:hAnsi="Arial" w:cs="Arial"/>
          <w:sz w:val="22"/>
          <w:szCs w:val="22"/>
        </w:rPr>
        <w:fldChar w:fldCharType="begin"/>
      </w:r>
      <w:r w:rsidRPr="004F588A">
        <w:rPr>
          <w:rFonts w:ascii="Arial" w:hAnsi="Arial" w:cs="Arial"/>
          <w:sz w:val="22"/>
          <w:szCs w:val="22"/>
        </w:rPr>
        <w:instrText xml:space="preserve"> XE "CEC inventory" </w:instrText>
      </w:r>
      <w:r w:rsidR="00E406EA" w:rsidRPr="004F588A">
        <w:rPr>
          <w:rFonts w:ascii="Arial" w:hAnsi="Arial" w:cs="Arial"/>
          <w:sz w:val="22"/>
          <w:szCs w:val="22"/>
        </w:rPr>
        <w:fldChar w:fldCharType="end"/>
      </w:r>
      <w:r w:rsidRPr="004F588A">
        <w:rPr>
          <w:rFonts w:ascii="Arial" w:hAnsi="Arial" w:cs="Arial"/>
          <w:sz w:val="22"/>
          <w:szCs w:val="22"/>
        </w:rPr>
        <w:t xml:space="preserve"> includes over 3,000 gas boilers for steam and hot water production. To determine efficiencies for the measure case boilers in the database were sorted in order of increasing efficiency and divided into steam and hot water boilers. </w:t>
      </w:r>
    </w:p>
    <w:p w:rsidR="007E7CC5" w:rsidRPr="004F588A" w:rsidRDefault="007E7CC5" w:rsidP="004F588A">
      <w:pPr>
        <w:rPr>
          <w:rFonts w:ascii="Arial" w:hAnsi="Arial" w:cs="Arial"/>
          <w:sz w:val="22"/>
          <w:szCs w:val="22"/>
        </w:rPr>
      </w:pPr>
    </w:p>
    <w:p w:rsidR="004F588A" w:rsidRPr="004F588A" w:rsidRDefault="004F588A" w:rsidP="004F588A">
      <w:pPr>
        <w:rPr>
          <w:rFonts w:ascii="Arial" w:hAnsi="Arial" w:cs="Arial"/>
          <w:sz w:val="22"/>
          <w:szCs w:val="22"/>
        </w:rPr>
      </w:pPr>
      <w:r w:rsidRPr="004F588A">
        <w:rPr>
          <w:rFonts w:ascii="Arial" w:hAnsi="Arial" w:cs="Arial"/>
          <w:sz w:val="22"/>
          <w:szCs w:val="22"/>
        </w:rPr>
        <w:t>The measure efficiencies were calculated as a simple average of the efficiencies of boilers listed in the CEC inventory. Finally, an average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was calculated for all models with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of at least 83% and 85% respectively, the minimum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specified for this measure</w:t>
      </w:r>
      <w:r w:rsidR="00E406EA" w:rsidRPr="004F588A">
        <w:rPr>
          <w:rFonts w:ascii="Arial" w:hAnsi="Arial" w:cs="Arial"/>
          <w:sz w:val="22"/>
          <w:szCs w:val="22"/>
        </w:rPr>
        <w:fldChar w:fldCharType="begin"/>
      </w:r>
      <w:r w:rsidRPr="004F588A">
        <w:rPr>
          <w:rFonts w:ascii="Arial" w:hAnsi="Arial" w:cs="Arial"/>
          <w:sz w:val="22"/>
          <w:szCs w:val="22"/>
        </w:rPr>
        <w:instrText xml:space="preserve"> XE "Measure" </w:instrText>
      </w:r>
      <w:r w:rsidR="00E406EA" w:rsidRPr="004F588A">
        <w:rPr>
          <w:rFonts w:ascii="Arial" w:hAnsi="Arial" w:cs="Arial"/>
          <w:sz w:val="22"/>
          <w:szCs w:val="22"/>
        </w:rPr>
        <w:fldChar w:fldCharType="end"/>
      </w:r>
      <w:r w:rsidRPr="004F588A">
        <w:rPr>
          <w:rFonts w:ascii="Arial" w:hAnsi="Arial" w:cs="Arial"/>
          <w:sz w:val="22"/>
          <w:szCs w:val="22"/>
        </w:rPr>
        <w:t>, including very high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condensing models. The calculated average efficiencies are summarized in the following table:</w:t>
      </w:r>
    </w:p>
    <w:p w:rsidR="004F588A" w:rsidRPr="004F588A" w:rsidRDefault="004F588A" w:rsidP="004F588A">
      <w:pPr>
        <w:ind w:firstLine="720"/>
        <w:rPr>
          <w:rFonts w:ascii="Arial" w:hAnsi="Arial" w:cs="Arial"/>
          <w:b/>
          <w:bCs/>
          <w:sz w:val="22"/>
          <w:szCs w:val="22"/>
        </w:rPr>
      </w:pPr>
      <w:bookmarkStart w:id="54" w:name="_Toc257287389"/>
    </w:p>
    <w:p w:rsidR="003459E6" w:rsidRPr="003459E6" w:rsidRDefault="004F588A" w:rsidP="003459E6">
      <w:pPr>
        <w:ind w:firstLine="720"/>
        <w:rPr>
          <w:rFonts w:ascii="Arial" w:hAnsi="Arial" w:cs="Arial"/>
          <w:b/>
          <w:bCs/>
          <w:sz w:val="22"/>
          <w:szCs w:val="22"/>
        </w:rPr>
      </w:pPr>
      <w:r w:rsidRPr="004F588A">
        <w:rPr>
          <w:rFonts w:ascii="Arial" w:hAnsi="Arial" w:cs="Arial"/>
          <w:b/>
          <w:bCs/>
          <w:sz w:val="22"/>
          <w:szCs w:val="22"/>
        </w:rPr>
        <w:t>Table 5</w:t>
      </w:r>
      <w:r w:rsidR="00FA5CE7">
        <w:rPr>
          <w:rFonts w:ascii="Arial" w:hAnsi="Arial" w:cs="Arial"/>
          <w:b/>
          <w:bCs/>
          <w:sz w:val="22"/>
          <w:szCs w:val="22"/>
        </w:rPr>
        <w:t xml:space="preserve"> -</w:t>
      </w:r>
      <w:r w:rsidRPr="004F588A">
        <w:rPr>
          <w:rFonts w:ascii="Arial" w:hAnsi="Arial" w:cs="Arial"/>
          <w:b/>
          <w:bCs/>
          <w:sz w:val="22"/>
          <w:szCs w:val="22"/>
        </w:rPr>
        <w:t xml:space="preserve"> Average </w:t>
      </w:r>
      <w:r w:rsidR="003459E6">
        <w:rPr>
          <w:rFonts w:ascii="Arial" w:hAnsi="Arial" w:cs="Arial"/>
          <w:b/>
          <w:bCs/>
          <w:sz w:val="22"/>
          <w:szCs w:val="22"/>
        </w:rPr>
        <w:t>C</w:t>
      </w:r>
      <w:r w:rsidRPr="004F588A">
        <w:rPr>
          <w:rFonts w:ascii="Arial" w:hAnsi="Arial" w:cs="Arial"/>
          <w:b/>
          <w:bCs/>
          <w:sz w:val="22"/>
          <w:szCs w:val="22"/>
        </w:rPr>
        <w:t xml:space="preserve">ombustion </w:t>
      </w:r>
      <w:r w:rsidR="003459E6">
        <w:rPr>
          <w:rFonts w:ascii="Arial" w:hAnsi="Arial" w:cs="Arial"/>
          <w:b/>
          <w:bCs/>
          <w:sz w:val="22"/>
          <w:szCs w:val="22"/>
        </w:rPr>
        <w:t>E</w:t>
      </w:r>
      <w:r w:rsidRPr="004F588A">
        <w:rPr>
          <w:rFonts w:ascii="Arial" w:hAnsi="Arial" w:cs="Arial"/>
          <w:b/>
          <w:bCs/>
          <w:sz w:val="22"/>
          <w:szCs w:val="22"/>
        </w:rPr>
        <w:t xml:space="preserve">fficiencies for </w:t>
      </w:r>
      <w:r w:rsidR="003459E6">
        <w:rPr>
          <w:rFonts w:ascii="Arial" w:hAnsi="Arial" w:cs="Arial"/>
          <w:b/>
          <w:bCs/>
          <w:sz w:val="22"/>
          <w:szCs w:val="22"/>
        </w:rPr>
        <w:t>High-E</w:t>
      </w:r>
      <w:r w:rsidRPr="004F588A">
        <w:rPr>
          <w:rFonts w:ascii="Arial" w:hAnsi="Arial" w:cs="Arial"/>
          <w:b/>
          <w:bCs/>
          <w:sz w:val="22"/>
          <w:szCs w:val="22"/>
        </w:rPr>
        <w:t xml:space="preserve">fficiency </w:t>
      </w:r>
      <w:r w:rsidR="003459E6">
        <w:rPr>
          <w:rFonts w:ascii="Arial" w:hAnsi="Arial" w:cs="Arial"/>
          <w:b/>
          <w:bCs/>
          <w:sz w:val="22"/>
          <w:szCs w:val="22"/>
        </w:rPr>
        <w:t>B</w:t>
      </w:r>
      <w:r w:rsidRPr="004F588A">
        <w:rPr>
          <w:rFonts w:ascii="Arial" w:hAnsi="Arial" w:cs="Arial"/>
          <w:b/>
          <w:bCs/>
          <w:sz w:val="22"/>
          <w:szCs w:val="22"/>
        </w:rPr>
        <w:t>oilers</w:t>
      </w:r>
      <w:bookmarkEnd w:id="54"/>
      <w:r w:rsidR="003459E6">
        <w:rPr>
          <w:rFonts w:ascii="Arial" w:hAnsi="Arial" w:cs="Arial"/>
          <w:b/>
          <w:bCs/>
          <w:sz w:val="22"/>
          <w:szCs w:val="22"/>
        </w:rPr>
        <w:t xml:space="preserve"> </w:t>
      </w:r>
      <w:r w:rsidR="00E406EA" w:rsidRPr="003459E6">
        <w:rPr>
          <w:rFonts w:ascii="Arial" w:hAnsi="Arial" w:cs="Arial"/>
          <w:b/>
          <w:bCs/>
          <w:sz w:val="22"/>
          <w:szCs w:val="22"/>
        </w:rPr>
        <w:fldChar w:fldCharType="begin"/>
      </w:r>
      <w:r w:rsidR="003459E6" w:rsidRPr="003459E6">
        <w:rPr>
          <w:rFonts w:ascii="Arial" w:hAnsi="Arial" w:cs="Arial"/>
          <w:b/>
          <w:bCs/>
          <w:sz w:val="22"/>
          <w:szCs w:val="22"/>
        </w:rPr>
        <w:instrText xml:space="preserve"> TC "</w:instrText>
      </w:r>
      <w:bookmarkStart w:id="55" w:name="_Toc384033523"/>
      <w:r w:rsidR="003459E6" w:rsidRPr="003459E6">
        <w:rPr>
          <w:rFonts w:ascii="Arial" w:hAnsi="Arial" w:cs="Arial"/>
          <w:b/>
          <w:bCs/>
          <w:sz w:val="22"/>
          <w:szCs w:val="22"/>
        </w:rPr>
        <w:instrText xml:space="preserve">Table </w:instrText>
      </w:r>
      <w:r w:rsidR="003459E6">
        <w:rPr>
          <w:rFonts w:ascii="Arial" w:hAnsi="Arial" w:cs="Arial"/>
          <w:b/>
          <w:bCs/>
          <w:sz w:val="22"/>
          <w:szCs w:val="22"/>
        </w:rPr>
        <w:instrText>5</w:instrText>
      </w:r>
      <w:r w:rsidR="003459E6" w:rsidRPr="003459E6">
        <w:rPr>
          <w:rFonts w:ascii="Arial" w:hAnsi="Arial" w:cs="Arial"/>
          <w:b/>
          <w:bCs/>
          <w:sz w:val="22"/>
          <w:szCs w:val="22"/>
        </w:rPr>
        <w:instrText xml:space="preserve"> - Average </w:instrText>
      </w:r>
      <w:r w:rsidR="003459E6">
        <w:rPr>
          <w:rFonts w:ascii="Arial" w:hAnsi="Arial" w:cs="Arial"/>
          <w:b/>
          <w:bCs/>
          <w:sz w:val="22"/>
          <w:szCs w:val="22"/>
        </w:rPr>
        <w:instrText>C</w:instrText>
      </w:r>
      <w:r w:rsidR="003459E6" w:rsidRPr="004F588A">
        <w:rPr>
          <w:rFonts w:ascii="Arial" w:hAnsi="Arial" w:cs="Arial"/>
          <w:b/>
          <w:bCs/>
          <w:sz w:val="22"/>
          <w:szCs w:val="22"/>
        </w:rPr>
        <w:instrText xml:space="preserve">ombustion </w:instrText>
      </w:r>
      <w:r w:rsidR="003459E6">
        <w:rPr>
          <w:rFonts w:ascii="Arial" w:hAnsi="Arial" w:cs="Arial"/>
          <w:b/>
          <w:bCs/>
          <w:sz w:val="22"/>
          <w:szCs w:val="22"/>
        </w:rPr>
        <w:instrText>E</w:instrText>
      </w:r>
      <w:r w:rsidR="003459E6" w:rsidRPr="004F588A">
        <w:rPr>
          <w:rFonts w:ascii="Arial" w:hAnsi="Arial" w:cs="Arial"/>
          <w:b/>
          <w:bCs/>
          <w:sz w:val="22"/>
          <w:szCs w:val="22"/>
        </w:rPr>
        <w:instrText>fficiencies</w:instrText>
      </w:r>
      <w:bookmarkEnd w:id="55"/>
      <w:r w:rsidR="003459E6" w:rsidRPr="003459E6">
        <w:rPr>
          <w:rFonts w:ascii="Arial" w:hAnsi="Arial" w:cs="Arial"/>
          <w:b/>
          <w:bCs/>
          <w:sz w:val="22"/>
          <w:szCs w:val="22"/>
        </w:rPr>
        <w:instrText xml:space="preserve">" \f C \l "1" </w:instrText>
      </w:r>
      <w:r w:rsidR="00E406EA" w:rsidRPr="003459E6">
        <w:rPr>
          <w:rFonts w:ascii="Arial" w:hAnsi="Arial" w:cs="Arial"/>
          <w:b/>
          <w:bCs/>
          <w:sz w:val="22"/>
          <w:szCs w:val="22"/>
        </w:rPr>
        <w:fldChar w:fldCharType="end"/>
      </w:r>
    </w:p>
    <w:p w:rsidR="004F588A" w:rsidRPr="004F588A" w:rsidRDefault="004F588A" w:rsidP="004F588A">
      <w:pPr>
        <w:ind w:firstLine="720"/>
        <w:rPr>
          <w:rFonts w:ascii="Arial" w:hAnsi="Arial" w:cs="Arial"/>
          <w:b/>
          <w:bCs/>
          <w:sz w:val="22"/>
          <w:szCs w:val="22"/>
        </w:rPr>
      </w:pPr>
    </w:p>
    <w:p w:rsidR="004F588A" w:rsidRDefault="004F588A" w:rsidP="004F588A">
      <w:pPr>
        <w:jc w:val="center"/>
        <w:rPr>
          <w:rFonts w:ascii="Arial" w:hAnsi="Arial" w:cs="Arial"/>
          <w:color w:val="FF0000"/>
          <w:sz w:val="22"/>
          <w:szCs w:val="22"/>
        </w:rPr>
      </w:pPr>
      <w:r w:rsidRPr="004F588A">
        <w:rPr>
          <w:noProof/>
          <w:szCs w:val="22"/>
        </w:rPr>
        <w:drawing>
          <wp:inline distT="0" distB="0" distL="0" distR="0" wp14:anchorId="48F5FA1E" wp14:editId="1F893DFF">
            <wp:extent cx="1941195" cy="845185"/>
            <wp:effectExtent l="1905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1941195" cy="845185"/>
                    </a:xfrm>
                    <a:prstGeom prst="rect">
                      <a:avLst/>
                    </a:prstGeom>
                    <a:noFill/>
                    <a:ln w="9525">
                      <a:noFill/>
                      <a:miter lim="800000"/>
                      <a:headEnd/>
                      <a:tailEnd/>
                    </a:ln>
                  </pic:spPr>
                </pic:pic>
              </a:graphicData>
            </a:graphic>
          </wp:inline>
        </w:drawing>
      </w:r>
    </w:p>
    <w:p w:rsidR="003E5998" w:rsidRDefault="003E5998" w:rsidP="003E5998">
      <w:pPr>
        <w:rPr>
          <w:rFonts w:ascii="Arial" w:hAnsi="Arial" w:cs="Arial"/>
          <w:color w:val="FF0000"/>
          <w:sz w:val="22"/>
          <w:szCs w:val="22"/>
        </w:rPr>
      </w:pPr>
    </w:p>
    <w:p w:rsidR="003E5998" w:rsidRPr="00A961E9" w:rsidRDefault="003E5998" w:rsidP="004F588A">
      <w:pPr>
        <w:jc w:val="center"/>
        <w:rPr>
          <w:rFonts w:ascii="Arial" w:hAnsi="Arial" w:cs="Arial"/>
          <w:color w:val="FF0000"/>
          <w:sz w:val="22"/>
          <w:szCs w:val="22"/>
        </w:rPr>
      </w:pPr>
    </w:p>
    <w:p w:rsidR="00EC7B2D" w:rsidRPr="004F2BFC" w:rsidRDefault="00487828" w:rsidP="00487828">
      <w:pPr>
        <w:rPr>
          <w:rFonts w:ascii="Arial" w:hAnsi="Arial" w:cs="Arial"/>
          <w:b/>
          <w:sz w:val="22"/>
          <w:szCs w:val="22"/>
        </w:rPr>
      </w:pPr>
      <w:r w:rsidRPr="004F2BFC">
        <w:rPr>
          <w:rFonts w:ascii="Arial" w:hAnsi="Arial" w:cs="Arial"/>
          <w:b/>
          <w:sz w:val="22"/>
          <w:szCs w:val="22"/>
        </w:rPr>
        <w:t>∆Therms per kBTUh</w:t>
      </w:r>
      <w:r w:rsidR="00BE4687" w:rsidRPr="004F2BFC">
        <w:rPr>
          <w:rFonts w:ascii="Arial" w:hAnsi="Arial" w:cs="Arial"/>
          <w:b/>
          <w:sz w:val="22"/>
          <w:szCs w:val="22"/>
        </w:rPr>
        <w:t xml:space="preserve"> for H11</w:t>
      </w:r>
      <w:r w:rsidR="00C8731E" w:rsidRPr="004F2BFC">
        <w:rPr>
          <w:rFonts w:ascii="Arial" w:hAnsi="Arial" w:cs="Arial"/>
          <w:b/>
          <w:sz w:val="22"/>
          <w:szCs w:val="22"/>
        </w:rPr>
        <w:t xml:space="preserve"> and H15</w:t>
      </w:r>
      <w:r w:rsidRPr="004F2BFC">
        <w:rPr>
          <w:rFonts w:ascii="Arial" w:hAnsi="Arial" w:cs="Arial"/>
          <w:b/>
          <w:sz w:val="22"/>
          <w:szCs w:val="22"/>
        </w:rPr>
        <w:t>:</w:t>
      </w:r>
      <w:r w:rsidRPr="004F2BFC" w:rsidDel="00CF3FF0">
        <w:rPr>
          <w:rFonts w:ascii="Arial" w:hAnsi="Arial" w:cs="Arial"/>
          <w:b/>
          <w:sz w:val="22"/>
          <w:szCs w:val="22"/>
        </w:rPr>
        <w:t xml:space="preserve"> </w:t>
      </w:r>
    </w:p>
    <w:p w:rsidR="00487828" w:rsidRPr="004F2BFC" w:rsidRDefault="00487828" w:rsidP="00487828">
      <w:pPr>
        <w:rPr>
          <w:rFonts w:ascii="Arial" w:hAnsi="Arial" w:cs="Arial"/>
          <w:sz w:val="22"/>
          <w:szCs w:val="22"/>
        </w:rPr>
      </w:pPr>
      <w:r w:rsidRPr="004F2BFC">
        <w:rPr>
          <w:rFonts w:ascii="Arial" w:hAnsi="Arial" w:cs="Arial"/>
          <w:sz w:val="22"/>
          <w:szCs w:val="22"/>
        </w:rPr>
        <w:t>The gas savings (</w:t>
      </w:r>
      <w:r w:rsidR="00F3361F" w:rsidRPr="004F2BFC">
        <w:rPr>
          <w:rFonts w:ascii="Arial" w:hAnsi="Arial" w:cs="Arial"/>
          <w:sz w:val="22"/>
          <w:szCs w:val="22"/>
        </w:rPr>
        <w:t>t</w:t>
      </w:r>
      <w:r w:rsidRPr="004F2BFC">
        <w:rPr>
          <w:rFonts w:ascii="Arial" w:hAnsi="Arial" w:cs="Arial"/>
          <w:sz w:val="22"/>
          <w:szCs w:val="22"/>
        </w:rPr>
        <w:t>herms per kBTUh) for measures H11</w:t>
      </w:r>
      <w:r w:rsidR="00D327F3" w:rsidRPr="004F2BFC">
        <w:rPr>
          <w:rFonts w:ascii="Arial" w:hAnsi="Arial" w:cs="Arial"/>
          <w:sz w:val="22"/>
          <w:szCs w:val="22"/>
        </w:rPr>
        <w:t xml:space="preserve"> and</w:t>
      </w:r>
      <w:r w:rsidRPr="004F2BFC">
        <w:rPr>
          <w:rFonts w:ascii="Arial" w:hAnsi="Arial" w:cs="Arial"/>
          <w:sz w:val="22"/>
          <w:szCs w:val="22"/>
        </w:rPr>
        <w:t xml:space="preserve"> H1</w:t>
      </w:r>
      <w:r w:rsidR="00D327F3" w:rsidRPr="004F2BFC">
        <w:rPr>
          <w:rFonts w:ascii="Arial" w:hAnsi="Arial" w:cs="Arial"/>
          <w:sz w:val="22"/>
          <w:szCs w:val="22"/>
        </w:rPr>
        <w:t>5</w:t>
      </w:r>
      <w:r w:rsidRPr="004F2BFC">
        <w:rPr>
          <w:rFonts w:ascii="Arial" w:hAnsi="Arial" w:cs="Arial"/>
          <w:sz w:val="22"/>
          <w:szCs w:val="22"/>
        </w:rPr>
        <w:t xml:space="preserve"> is </w:t>
      </w:r>
      <w:r w:rsidR="00C8731E" w:rsidRPr="004F2BFC">
        <w:rPr>
          <w:rFonts w:ascii="Arial" w:hAnsi="Arial" w:cs="Arial"/>
          <w:sz w:val="22"/>
          <w:szCs w:val="22"/>
        </w:rPr>
        <w:t xml:space="preserve">based on </w:t>
      </w:r>
      <w:r w:rsidRPr="004F2BFC">
        <w:rPr>
          <w:rFonts w:ascii="Arial" w:hAnsi="Arial" w:cs="Arial"/>
          <w:sz w:val="22"/>
          <w:szCs w:val="22"/>
        </w:rPr>
        <w:t xml:space="preserve">the </w:t>
      </w:r>
      <w:r w:rsidR="00C8731E" w:rsidRPr="004F2BFC">
        <w:rPr>
          <w:rFonts w:ascii="Arial" w:hAnsi="Arial" w:cs="Arial"/>
          <w:sz w:val="22"/>
          <w:szCs w:val="22"/>
        </w:rPr>
        <w:t xml:space="preserve">difference between the annual gas usage </w:t>
      </w:r>
      <w:r w:rsidR="00B75FA6">
        <w:rPr>
          <w:rFonts w:ascii="Arial" w:hAnsi="Arial" w:cs="Arial"/>
          <w:sz w:val="22"/>
          <w:szCs w:val="22"/>
        </w:rPr>
        <w:t>of</w:t>
      </w:r>
      <w:r w:rsidR="00B75FA6" w:rsidRPr="004F2BFC">
        <w:rPr>
          <w:rFonts w:ascii="Arial" w:hAnsi="Arial" w:cs="Arial"/>
          <w:sz w:val="22"/>
          <w:szCs w:val="22"/>
        </w:rPr>
        <w:t xml:space="preserve"> </w:t>
      </w:r>
      <w:r w:rsidR="00C8731E" w:rsidRPr="004F2BFC">
        <w:rPr>
          <w:rFonts w:ascii="Arial" w:hAnsi="Arial" w:cs="Arial"/>
          <w:sz w:val="22"/>
          <w:szCs w:val="22"/>
        </w:rPr>
        <w:t>the base case boiler and the measure boiler.</w:t>
      </w:r>
      <w:r w:rsidR="00990CC6" w:rsidRPr="004F2BFC">
        <w:rPr>
          <w:rFonts w:ascii="Arial" w:hAnsi="Arial" w:cs="Arial"/>
          <w:sz w:val="22"/>
          <w:szCs w:val="22"/>
        </w:rPr>
        <w:t xml:space="preserve"> </w:t>
      </w:r>
      <w:r w:rsidR="00B04B0C">
        <w:rPr>
          <w:rFonts w:ascii="Arial" w:hAnsi="Arial" w:cs="Arial"/>
          <w:sz w:val="22"/>
          <w:szCs w:val="22"/>
        </w:rPr>
        <w:t>The gas savings for these measures is defined as:</w:t>
      </w:r>
    </w:p>
    <w:p w:rsidR="00487828" w:rsidRPr="00A961E9" w:rsidRDefault="00487828" w:rsidP="00487828">
      <w:pPr>
        <w:ind w:left="720"/>
        <w:rPr>
          <w:rFonts w:ascii="Arial" w:hAnsi="Arial" w:cs="Arial"/>
          <w:color w:val="FF0000"/>
          <w:sz w:val="22"/>
          <w:szCs w:val="22"/>
        </w:rPr>
      </w:pPr>
    </w:p>
    <w:p w:rsidR="00B04B0C" w:rsidRDefault="00B04B0C" w:rsidP="00B04B0C">
      <w:pPr>
        <w:jc w:val="center"/>
        <w:rPr>
          <w:rFonts w:ascii="Arial" w:hAnsi="Arial" w:cs="Arial"/>
          <w:sz w:val="22"/>
          <w:szCs w:val="22"/>
        </w:rPr>
      </w:pPr>
      <m:oMathPara>
        <m:oMath>
          <m:r>
            <w:rPr>
              <w:rFonts w:ascii="Cambria Math" w:hAnsi="Arial" w:cs="Arial"/>
              <w:sz w:val="22"/>
              <w:szCs w:val="22"/>
            </w:rPr>
            <m:t>GS=BCGU</m:t>
          </m:r>
          <m:r>
            <w:rPr>
              <w:rFonts w:ascii="Cambria Math" w:hAnsi="Cambria Math" w:cs="Arial"/>
              <w:sz w:val="22"/>
              <w:szCs w:val="22"/>
            </w:rPr>
            <m:t>-MCGU</m:t>
          </m:r>
        </m:oMath>
      </m:oMathPara>
    </w:p>
    <w:p w:rsidR="00487828" w:rsidRDefault="00487828" w:rsidP="00487828">
      <w:pPr>
        <w:rPr>
          <w:rFonts w:ascii="Arial" w:hAnsi="Arial" w:cs="Arial"/>
          <w:b/>
          <w:color w:val="FF0000"/>
          <w:sz w:val="22"/>
          <w:szCs w:val="22"/>
        </w:rPr>
      </w:pPr>
    </w:p>
    <w:p w:rsidR="00B04B0C" w:rsidRPr="00B04B0C" w:rsidRDefault="00B04B0C" w:rsidP="00487828">
      <w:pPr>
        <w:rPr>
          <w:rFonts w:ascii="Arial" w:hAnsi="Arial" w:cs="Arial"/>
          <w:sz w:val="22"/>
          <w:szCs w:val="22"/>
        </w:rPr>
      </w:pPr>
      <w:r w:rsidRPr="00B04B0C">
        <w:rPr>
          <w:rFonts w:ascii="Arial" w:hAnsi="Arial" w:cs="Arial"/>
          <w:sz w:val="22"/>
          <w:szCs w:val="22"/>
        </w:rPr>
        <w:t>Where,</w:t>
      </w:r>
    </w:p>
    <w:p w:rsidR="00B04B0C" w:rsidRDefault="009145B5" w:rsidP="00487828">
      <w:pPr>
        <w:rPr>
          <w:rFonts w:ascii="Arial" w:hAnsi="Arial" w:cs="Arial"/>
          <w:sz w:val="22"/>
          <w:szCs w:val="22"/>
        </w:rPr>
      </w:pPr>
      <w:r>
        <w:rPr>
          <w:rFonts w:ascii="Arial" w:hAnsi="Arial" w:cs="Arial"/>
          <w:sz w:val="22"/>
          <w:szCs w:val="22"/>
        </w:rPr>
        <w:tab/>
        <w:t>GS</w:t>
      </w:r>
      <w:r>
        <w:rPr>
          <w:rFonts w:ascii="Arial" w:hAnsi="Arial" w:cs="Arial"/>
          <w:sz w:val="22"/>
          <w:szCs w:val="22"/>
        </w:rPr>
        <w:tab/>
        <w:t>= g</w:t>
      </w:r>
      <w:r w:rsidR="00B04B0C" w:rsidRPr="00B04B0C">
        <w:rPr>
          <w:rFonts w:ascii="Arial" w:hAnsi="Arial" w:cs="Arial"/>
          <w:sz w:val="22"/>
          <w:szCs w:val="22"/>
        </w:rPr>
        <w:t>as savings, therms / kBTUh input rating</w:t>
      </w:r>
    </w:p>
    <w:p w:rsidR="00B04B0C" w:rsidRDefault="009145B5" w:rsidP="00487828">
      <w:pPr>
        <w:rPr>
          <w:rFonts w:ascii="Arial" w:hAnsi="Arial" w:cs="Arial"/>
          <w:sz w:val="22"/>
          <w:szCs w:val="22"/>
        </w:rPr>
      </w:pPr>
      <w:r>
        <w:rPr>
          <w:rFonts w:ascii="Arial" w:hAnsi="Arial" w:cs="Arial"/>
          <w:sz w:val="22"/>
          <w:szCs w:val="22"/>
        </w:rPr>
        <w:tab/>
        <w:t>BCGU</w:t>
      </w:r>
      <w:r>
        <w:rPr>
          <w:rFonts w:ascii="Arial" w:hAnsi="Arial" w:cs="Arial"/>
          <w:sz w:val="22"/>
          <w:szCs w:val="22"/>
        </w:rPr>
        <w:tab/>
        <w:t>= b</w:t>
      </w:r>
      <w:r w:rsidR="00B04B0C">
        <w:rPr>
          <w:rFonts w:ascii="Arial" w:hAnsi="Arial" w:cs="Arial"/>
          <w:sz w:val="22"/>
          <w:szCs w:val="22"/>
        </w:rPr>
        <w:t xml:space="preserve">ase </w:t>
      </w:r>
      <w:r>
        <w:rPr>
          <w:rFonts w:ascii="Arial" w:hAnsi="Arial" w:cs="Arial"/>
          <w:sz w:val="22"/>
          <w:szCs w:val="22"/>
        </w:rPr>
        <w:t>c</w:t>
      </w:r>
      <w:r w:rsidR="00B04B0C">
        <w:rPr>
          <w:rFonts w:ascii="Arial" w:hAnsi="Arial" w:cs="Arial"/>
          <w:sz w:val="22"/>
          <w:szCs w:val="22"/>
        </w:rPr>
        <w:t xml:space="preserve">ase </w:t>
      </w:r>
      <w:r>
        <w:rPr>
          <w:rFonts w:ascii="Arial" w:hAnsi="Arial" w:cs="Arial"/>
          <w:sz w:val="22"/>
          <w:szCs w:val="22"/>
        </w:rPr>
        <w:t>g</w:t>
      </w:r>
      <w:r w:rsidR="00B04B0C">
        <w:rPr>
          <w:rFonts w:ascii="Arial" w:hAnsi="Arial" w:cs="Arial"/>
          <w:sz w:val="22"/>
          <w:szCs w:val="22"/>
        </w:rPr>
        <w:t xml:space="preserve">as </w:t>
      </w:r>
      <w:r>
        <w:rPr>
          <w:rFonts w:ascii="Arial" w:hAnsi="Arial" w:cs="Arial"/>
          <w:sz w:val="22"/>
          <w:szCs w:val="22"/>
        </w:rPr>
        <w:t>u</w:t>
      </w:r>
      <w:r w:rsidR="00B04B0C">
        <w:rPr>
          <w:rFonts w:ascii="Arial" w:hAnsi="Arial" w:cs="Arial"/>
          <w:sz w:val="22"/>
          <w:szCs w:val="22"/>
        </w:rPr>
        <w:t>sage, therms / kBTUh input rating</w:t>
      </w:r>
    </w:p>
    <w:p w:rsidR="00B04B0C" w:rsidRDefault="009145B5" w:rsidP="00487828">
      <w:pPr>
        <w:rPr>
          <w:rFonts w:ascii="Arial" w:hAnsi="Arial" w:cs="Arial"/>
          <w:sz w:val="22"/>
          <w:szCs w:val="22"/>
        </w:rPr>
      </w:pPr>
      <w:r>
        <w:rPr>
          <w:rFonts w:ascii="Arial" w:hAnsi="Arial" w:cs="Arial"/>
          <w:sz w:val="22"/>
          <w:szCs w:val="22"/>
        </w:rPr>
        <w:tab/>
        <w:t>MCGU</w:t>
      </w:r>
      <w:r>
        <w:rPr>
          <w:rFonts w:ascii="Arial" w:hAnsi="Arial" w:cs="Arial"/>
          <w:sz w:val="22"/>
          <w:szCs w:val="22"/>
        </w:rPr>
        <w:tab/>
        <w:t>= measure case g</w:t>
      </w:r>
      <w:r w:rsidR="00B04B0C">
        <w:rPr>
          <w:rFonts w:ascii="Arial" w:hAnsi="Arial" w:cs="Arial"/>
          <w:sz w:val="22"/>
          <w:szCs w:val="22"/>
        </w:rPr>
        <w:t xml:space="preserve">as </w:t>
      </w:r>
      <w:r>
        <w:rPr>
          <w:rFonts w:ascii="Arial" w:hAnsi="Arial" w:cs="Arial"/>
          <w:sz w:val="22"/>
          <w:szCs w:val="22"/>
        </w:rPr>
        <w:t>u</w:t>
      </w:r>
      <w:r w:rsidR="00B04B0C">
        <w:rPr>
          <w:rFonts w:ascii="Arial" w:hAnsi="Arial" w:cs="Arial"/>
          <w:sz w:val="22"/>
          <w:szCs w:val="22"/>
        </w:rPr>
        <w:t>sage, therms / kBTUh input rating</w:t>
      </w:r>
    </w:p>
    <w:p w:rsidR="00B04B0C" w:rsidRDefault="00B04B0C" w:rsidP="00487828">
      <w:pPr>
        <w:rPr>
          <w:rFonts w:ascii="Arial" w:hAnsi="Arial" w:cs="Arial"/>
          <w:sz w:val="22"/>
          <w:szCs w:val="22"/>
        </w:rPr>
      </w:pPr>
    </w:p>
    <w:p w:rsidR="00B04B0C" w:rsidRDefault="00B75FA6" w:rsidP="00487828">
      <w:pPr>
        <w:rPr>
          <w:rFonts w:ascii="Arial" w:hAnsi="Arial" w:cs="Arial"/>
          <w:sz w:val="22"/>
          <w:szCs w:val="22"/>
        </w:rPr>
      </w:pPr>
      <w:r w:rsidRPr="004F2BFC">
        <w:rPr>
          <w:rFonts w:ascii="Arial" w:hAnsi="Arial" w:cs="Arial"/>
          <w:sz w:val="22"/>
          <w:szCs w:val="22"/>
        </w:rPr>
        <w:t xml:space="preserve">Base case annual gas usage is based the average capacity factor, and operating hours. </w:t>
      </w:r>
      <w:r w:rsidR="00B04B0C">
        <w:rPr>
          <w:rFonts w:ascii="Arial" w:hAnsi="Arial" w:cs="Arial"/>
          <w:sz w:val="22"/>
          <w:szCs w:val="22"/>
        </w:rPr>
        <w:t>The base case gas usage is calculated as:</w:t>
      </w:r>
    </w:p>
    <w:p w:rsidR="00B04B0C" w:rsidRDefault="00B04B0C" w:rsidP="00487828">
      <w:pPr>
        <w:rPr>
          <w:rFonts w:ascii="Arial" w:hAnsi="Arial" w:cs="Arial"/>
          <w:sz w:val="22"/>
          <w:szCs w:val="22"/>
        </w:rPr>
      </w:pPr>
    </w:p>
    <w:p w:rsidR="00B04B0C" w:rsidRDefault="00B04B0C" w:rsidP="00B04B0C">
      <w:pPr>
        <w:jc w:val="center"/>
        <w:rPr>
          <w:rFonts w:ascii="Arial" w:hAnsi="Arial" w:cs="Arial"/>
          <w:sz w:val="22"/>
          <w:szCs w:val="22"/>
        </w:rPr>
      </w:pPr>
      <m:oMathPara>
        <m:oMath>
          <m:r>
            <w:rPr>
              <w:rFonts w:ascii="Cambria Math" w:hAnsi="Arial" w:cs="Arial"/>
              <w:sz w:val="22"/>
              <w:szCs w:val="22"/>
            </w:rPr>
            <m:t>BCGU=</m:t>
          </m:r>
          <m:sSub>
            <m:sSubPr>
              <m:ctrlPr>
                <w:rPr>
                  <w:rFonts w:ascii="Cambria Math" w:hAnsi="Arial" w:cs="Arial"/>
                  <w:i/>
                  <w:sz w:val="22"/>
                  <w:szCs w:val="22"/>
                </w:rPr>
              </m:ctrlPr>
            </m:sSubPr>
            <m:e>
              <m:r>
                <w:rPr>
                  <w:rFonts w:ascii="Cambria Math" w:hAnsi="Arial" w:cs="Arial"/>
                  <w:sz w:val="22"/>
                  <w:szCs w:val="22"/>
                </w:rPr>
                <m:t>CF</m:t>
              </m:r>
            </m:e>
            <m:sub>
              <m:r>
                <w:rPr>
                  <w:rFonts w:ascii="Cambria Math" w:hAnsi="Arial" w:cs="Arial"/>
                  <w:sz w:val="22"/>
                  <w:szCs w:val="22"/>
                </w:rPr>
                <m:t>A</m:t>
              </m:r>
            </m:sub>
          </m:sSub>
          <m:r>
            <w:rPr>
              <w:rFonts w:ascii="Cambria Math" w:hAnsi="Arial" w:cs="Arial"/>
              <w:sz w:val="22"/>
              <w:szCs w:val="22"/>
            </w:rPr>
            <m:t>*</m:t>
          </m:r>
          <m:r>
            <w:rPr>
              <w:rFonts w:ascii="Cambria Math" w:hAnsi="Arial" w:cs="Arial"/>
              <w:sz w:val="22"/>
              <w:szCs w:val="22"/>
            </w:rPr>
            <m:t>H</m:t>
          </m:r>
          <m:r>
            <w:rPr>
              <w:rFonts w:ascii="Cambria Math" w:hAnsi="Arial" w:cs="Arial"/>
              <w:sz w:val="22"/>
              <w:szCs w:val="22"/>
            </w:rPr>
            <m:t>*</m:t>
          </m:r>
          <m:r>
            <w:rPr>
              <w:rFonts w:ascii="Cambria Math" w:hAnsi="Arial" w:cs="Arial"/>
              <w:sz w:val="22"/>
              <w:szCs w:val="22"/>
            </w:rPr>
            <m:t>C</m:t>
          </m:r>
        </m:oMath>
      </m:oMathPara>
    </w:p>
    <w:p w:rsidR="00B04B0C" w:rsidRDefault="00B04B0C" w:rsidP="00487828">
      <w:pPr>
        <w:rPr>
          <w:rFonts w:ascii="Arial" w:hAnsi="Arial" w:cs="Arial"/>
          <w:sz w:val="22"/>
          <w:szCs w:val="22"/>
        </w:rPr>
      </w:pPr>
    </w:p>
    <w:p w:rsidR="00B04B0C" w:rsidRDefault="00B04B0C" w:rsidP="00487828">
      <w:pPr>
        <w:rPr>
          <w:rFonts w:ascii="Arial" w:hAnsi="Arial" w:cs="Arial"/>
          <w:sz w:val="22"/>
          <w:szCs w:val="22"/>
        </w:rPr>
      </w:pPr>
      <w:r>
        <w:rPr>
          <w:rFonts w:ascii="Arial" w:hAnsi="Arial" w:cs="Arial"/>
          <w:sz w:val="22"/>
          <w:szCs w:val="22"/>
        </w:rPr>
        <w:t xml:space="preserve">Where, </w:t>
      </w:r>
    </w:p>
    <w:p w:rsidR="00B04B0C" w:rsidRDefault="00B04B0C" w:rsidP="00487828">
      <w:pPr>
        <w:rPr>
          <w:rFonts w:ascii="Arial" w:hAnsi="Arial" w:cs="Arial"/>
          <w:sz w:val="22"/>
          <w:szCs w:val="22"/>
        </w:rPr>
      </w:pPr>
      <w:r>
        <w:rPr>
          <w:rFonts w:ascii="Arial" w:hAnsi="Arial" w:cs="Arial"/>
          <w:sz w:val="22"/>
          <w:szCs w:val="22"/>
        </w:rPr>
        <w:tab/>
      </w:r>
      <m:oMath>
        <m:sSub>
          <m:sSubPr>
            <m:ctrlPr>
              <w:rPr>
                <w:rFonts w:ascii="Cambria Math" w:hAnsi="Arial" w:cs="Arial"/>
                <w:i/>
                <w:sz w:val="22"/>
                <w:szCs w:val="22"/>
              </w:rPr>
            </m:ctrlPr>
          </m:sSubPr>
          <m:e>
            <m:r>
              <w:rPr>
                <w:rFonts w:ascii="Cambria Math" w:hAnsi="Arial" w:cs="Arial"/>
                <w:sz w:val="22"/>
                <w:szCs w:val="22"/>
              </w:rPr>
              <m:t>CF</m:t>
            </m:r>
          </m:e>
          <m:sub>
            <m:r>
              <w:rPr>
                <w:rFonts w:ascii="Cambria Math" w:hAnsi="Arial" w:cs="Arial"/>
                <w:sz w:val="22"/>
                <w:szCs w:val="22"/>
              </w:rPr>
              <m:t>A</m:t>
            </m:r>
          </m:sub>
        </m:sSub>
      </m:oMath>
      <w:r>
        <w:rPr>
          <w:rFonts w:ascii="Arial" w:hAnsi="Arial" w:cs="Arial"/>
          <w:sz w:val="22"/>
          <w:szCs w:val="22"/>
        </w:rPr>
        <w:t xml:space="preserve">      = 0.419, </w:t>
      </w:r>
      <w:r w:rsidR="009145B5">
        <w:rPr>
          <w:rFonts w:ascii="Arial" w:hAnsi="Arial" w:cs="Arial"/>
          <w:sz w:val="22"/>
          <w:szCs w:val="22"/>
        </w:rPr>
        <w:t>a</w:t>
      </w:r>
      <w:r>
        <w:rPr>
          <w:rFonts w:ascii="Arial" w:hAnsi="Arial" w:cs="Arial"/>
          <w:sz w:val="22"/>
          <w:szCs w:val="22"/>
        </w:rPr>
        <w:t xml:space="preserve">verage </w:t>
      </w:r>
      <w:r w:rsidR="009145B5">
        <w:rPr>
          <w:rFonts w:ascii="Arial" w:hAnsi="Arial" w:cs="Arial"/>
          <w:sz w:val="22"/>
          <w:szCs w:val="22"/>
        </w:rPr>
        <w:t>c</w:t>
      </w:r>
      <w:r>
        <w:rPr>
          <w:rFonts w:ascii="Arial" w:hAnsi="Arial" w:cs="Arial"/>
          <w:sz w:val="22"/>
          <w:szCs w:val="22"/>
        </w:rPr>
        <w:t xml:space="preserve">apacity </w:t>
      </w:r>
      <w:r w:rsidR="009145B5">
        <w:rPr>
          <w:rFonts w:ascii="Arial" w:hAnsi="Arial" w:cs="Arial"/>
          <w:sz w:val="22"/>
          <w:szCs w:val="22"/>
        </w:rPr>
        <w:t>f</w:t>
      </w:r>
      <w:r>
        <w:rPr>
          <w:rFonts w:ascii="Arial" w:hAnsi="Arial" w:cs="Arial"/>
          <w:sz w:val="22"/>
          <w:szCs w:val="22"/>
        </w:rPr>
        <w:t>actor across all industries,</w:t>
      </w:r>
      <w:r w:rsidR="00FA3423">
        <w:rPr>
          <w:rFonts w:ascii="Arial" w:hAnsi="Arial" w:cs="Arial"/>
          <w:sz w:val="22"/>
          <w:szCs w:val="22"/>
        </w:rPr>
        <w:t xml:space="preserve"> no units</w:t>
      </w:r>
    </w:p>
    <w:p w:rsidR="00B04B0C" w:rsidRDefault="00440AAD" w:rsidP="00487828">
      <w:pPr>
        <w:rPr>
          <w:rFonts w:ascii="Arial" w:hAnsi="Arial" w:cs="Arial"/>
          <w:sz w:val="22"/>
          <w:szCs w:val="22"/>
        </w:rPr>
      </w:pPr>
      <w:r>
        <w:rPr>
          <w:rFonts w:ascii="Arial" w:hAnsi="Arial" w:cs="Arial"/>
          <w:sz w:val="22"/>
          <w:szCs w:val="22"/>
        </w:rPr>
        <w:tab/>
        <w:t>H</w:t>
      </w:r>
      <w:r>
        <w:rPr>
          <w:rFonts w:ascii="Arial" w:hAnsi="Arial" w:cs="Arial"/>
          <w:sz w:val="22"/>
          <w:szCs w:val="22"/>
        </w:rPr>
        <w:tab/>
        <w:t xml:space="preserve">= 8,760, </w:t>
      </w:r>
      <w:r w:rsidR="009145B5">
        <w:rPr>
          <w:rFonts w:ascii="Arial" w:hAnsi="Arial" w:cs="Arial"/>
          <w:sz w:val="22"/>
          <w:szCs w:val="22"/>
        </w:rPr>
        <w:t>a</w:t>
      </w:r>
      <w:r w:rsidR="00FA3423">
        <w:rPr>
          <w:rFonts w:ascii="Arial" w:hAnsi="Arial" w:cs="Arial"/>
          <w:sz w:val="22"/>
          <w:szCs w:val="22"/>
        </w:rPr>
        <w:t>nnual operating hours, hr</w:t>
      </w:r>
      <w:r w:rsidR="00516A96">
        <w:rPr>
          <w:rFonts w:ascii="Arial" w:hAnsi="Arial" w:cs="Arial"/>
          <w:sz w:val="22"/>
          <w:szCs w:val="22"/>
        </w:rPr>
        <w:t>/yr</w:t>
      </w:r>
    </w:p>
    <w:p w:rsidR="00440AAD" w:rsidRDefault="00440AAD" w:rsidP="00487828">
      <w:pPr>
        <w:rPr>
          <w:rFonts w:ascii="Arial" w:hAnsi="Arial" w:cs="Arial"/>
          <w:sz w:val="22"/>
          <w:szCs w:val="22"/>
        </w:rPr>
      </w:pPr>
      <w:r>
        <w:rPr>
          <w:rFonts w:ascii="Arial" w:hAnsi="Arial" w:cs="Arial"/>
          <w:sz w:val="22"/>
          <w:szCs w:val="22"/>
        </w:rPr>
        <w:tab/>
        <w:t>C</w:t>
      </w:r>
      <w:r>
        <w:rPr>
          <w:rFonts w:ascii="Arial" w:hAnsi="Arial" w:cs="Arial"/>
          <w:sz w:val="22"/>
          <w:szCs w:val="22"/>
        </w:rPr>
        <w:tab/>
        <w:t>= 0.01, conversion factor, therms / kBTU</w:t>
      </w:r>
    </w:p>
    <w:p w:rsidR="00815281" w:rsidRDefault="00815281" w:rsidP="00487828">
      <w:pPr>
        <w:rPr>
          <w:rFonts w:ascii="Arial" w:hAnsi="Arial" w:cs="Arial"/>
          <w:sz w:val="22"/>
          <w:szCs w:val="22"/>
        </w:rPr>
      </w:pPr>
    </w:p>
    <w:p w:rsidR="00440AAD" w:rsidRDefault="00B75FA6" w:rsidP="00487828">
      <w:pPr>
        <w:rPr>
          <w:rFonts w:ascii="Arial" w:hAnsi="Arial" w:cs="Arial"/>
          <w:sz w:val="22"/>
          <w:szCs w:val="22"/>
        </w:rPr>
      </w:pPr>
      <w:r w:rsidRPr="004F2BFC">
        <w:rPr>
          <w:rFonts w:ascii="Arial" w:hAnsi="Arial" w:cs="Arial"/>
          <w:sz w:val="22"/>
          <w:szCs w:val="22"/>
        </w:rPr>
        <w:t>Measure case annual gas consumption is based on the ratio of efficiencies between the base case efficiency and the measure case efficiency.</w:t>
      </w:r>
      <w:r>
        <w:rPr>
          <w:rFonts w:ascii="Arial" w:hAnsi="Arial" w:cs="Arial"/>
          <w:sz w:val="22"/>
          <w:szCs w:val="22"/>
        </w:rPr>
        <w:t xml:space="preserve"> </w:t>
      </w:r>
      <w:r w:rsidR="00A63955">
        <w:rPr>
          <w:rFonts w:ascii="Arial" w:hAnsi="Arial" w:cs="Arial"/>
          <w:sz w:val="22"/>
          <w:szCs w:val="22"/>
        </w:rPr>
        <w:t>The measure case gas usage is calculated as:</w:t>
      </w:r>
    </w:p>
    <w:p w:rsidR="00A63955" w:rsidRDefault="00A63955" w:rsidP="00487828">
      <w:pPr>
        <w:rPr>
          <w:rFonts w:ascii="Arial" w:hAnsi="Arial" w:cs="Arial"/>
          <w:sz w:val="22"/>
          <w:szCs w:val="22"/>
        </w:rPr>
      </w:pPr>
    </w:p>
    <w:p w:rsidR="00A63955" w:rsidRDefault="00A63955" w:rsidP="00A63955">
      <w:pPr>
        <w:jc w:val="center"/>
        <w:rPr>
          <w:rFonts w:ascii="Arial" w:hAnsi="Arial" w:cs="Arial"/>
          <w:sz w:val="22"/>
          <w:szCs w:val="22"/>
        </w:rPr>
      </w:pPr>
      <m:oMathPara>
        <m:oMath>
          <m:r>
            <w:rPr>
              <w:rFonts w:ascii="Cambria Math" w:hAnsi="Arial" w:cs="Arial"/>
              <w:sz w:val="22"/>
              <w:szCs w:val="22"/>
            </w:rPr>
            <m:t>MCGU=BCGU</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B</m:t>
                  </m:r>
                </m:sub>
              </m:sSub>
            </m:num>
            <m:den>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M</m:t>
                  </m:r>
                </m:sub>
              </m:sSub>
              <m:ctrlPr>
                <w:rPr>
                  <w:rFonts w:ascii="Cambria Math" w:hAnsi="Cambria Math" w:cs="Arial"/>
                  <w:i/>
                  <w:sz w:val="22"/>
                  <w:szCs w:val="22"/>
                </w:rPr>
              </m:ctrlPr>
            </m:den>
          </m:f>
          <m:r>
            <w:rPr>
              <w:rFonts w:ascii="Cambria Math" w:hAnsi="Arial" w:cs="Arial"/>
              <w:sz w:val="22"/>
              <w:szCs w:val="22"/>
            </w:rPr>
            <m:t>)</m:t>
          </m:r>
        </m:oMath>
      </m:oMathPara>
    </w:p>
    <w:p w:rsidR="00A63955" w:rsidRPr="00625623" w:rsidRDefault="00A63955" w:rsidP="00487828">
      <w:pPr>
        <w:rPr>
          <w:rFonts w:ascii="Arial" w:hAnsi="Arial" w:cs="Arial"/>
          <w:sz w:val="22"/>
          <w:szCs w:val="22"/>
        </w:rPr>
      </w:pPr>
    </w:p>
    <w:p w:rsidR="00A63955" w:rsidRPr="00625623" w:rsidRDefault="00A63955" w:rsidP="00487828">
      <w:pPr>
        <w:rPr>
          <w:rFonts w:ascii="Arial" w:hAnsi="Arial" w:cs="Arial"/>
          <w:sz w:val="22"/>
          <w:szCs w:val="22"/>
        </w:rPr>
      </w:pPr>
      <w:r w:rsidRPr="00625623">
        <w:rPr>
          <w:rFonts w:ascii="Arial" w:hAnsi="Arial" w:cs="Arial"/>
          <w:sz w:val="22"/>
          <w:szCs w:val="22"/>
        </w:rPr>
        <w:t>Where,</w:t>
      </w:r>
    </w:p>
    <w:p w:rsidR="00A63955" w:rsidRPr="00625623" w:rsidRDefault="00A63955" w:rsidP="00487828">
      <w:pPr>
        <w:rPr>
          <w:rFonts w:ascii="Arial" w:hAnsi="Arial" w:cs="Arial"/>
          <w:sz w:val="22"/>
          <w:szCs w:val="22"/>
        </w:rPr>
      </w:pPr>
      <w:r w:rsidRPr="00625623">
        <w:rPr>
          <w:rFonts w:ascii="Arial" w:hAnsi="Arial" w:cs="Arial"/>
          <w:sz w:val="22"/>
          <w:szCs w:val="22"/>
        </w:rPr>
        <w:tab/>
      </w:r>
      <m:oMath>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B</m:t>
            </m:r>
          </m:sub>
        </m:sSub>
      </m:oMath>
      <w:r w:rsidRPr="00625623">
        <w:rPr>
          <w:rFonts w:ascii="Arial" w:hAnsi="Arial" w:cs="Arial"/>
          <w:sz w:val="22"/>
          <w:szCs w:val="22"/>
        </w:rPr>
        <w:t xml:space="preserve">     = </w:t>
      </w:r>
      <w:r w:rsidR="003E5998">
        <w:rPr>
          <w:rFonts w:ascii="Arial" w:hAnsi="Arial" w:cs="Arial"/>
          <w:sz w:val="22"/>
          <w:szCs w:val="22"/>
        </w:rPr>
        <w:t>base case</w:t>
      </w:r>
      <w:r w:rsidRPr="00625623">
        <w:rPr>
          <w:rFonts w:ascii="Arial" w:hAnsi="Arial" w:cs="Arial"/>
          <w:sz w:val="22"/>
          <w:szCs w:val="22"/>
        </w:rPr>
        <w:t xml:space="preserve"> efficiency, no units</w:t>
      </w:r>
    </w:p>
    <w:p w:rsidR="00A63955" w:rsidRPr="00625623" w:rsidRDefault="00A63955" w:rsidP="00487828">
      <w:pPr>
        <w:rPr>
          <w:rFonts w:ascii="Arial" w:hAnsi="Arial" w:cs="Arial"/>
          <w:sz w:val="22"/>
          <w:szCs w:val="22"/>
        </w:rPr>
      </w:pPr>
      <w:r w:rsidRPr="00625623">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M</m:t>
            </m:r>
          </m:sub>
        </m:sSub>
      </m:oMath>
      <w:r w:rsidR="009145B5">
        <w:rPr>
          <w:rFonts w:ascii="Arial" w:hAnsi="Arial" w:cs="Arial"/>
          <w:sz w:val="22"/>
          <w:szCs w:val="22"/>
        </w:rPr>
        <w:t xml:space="preserve">    = m</w:t>
      </w:r>
      <w:r w:rsidRPr="00625623">
        <w:rPr>
          <w:rFonts w:ascii="Arial" w:hAnsi="Arial" w:cs="Arial"/>
          <w:sz w:val="22"/>
          <w:szCs w:val="22"/>
        </w:rPr>
        <w:t>easure case efficiency, no units</w:t>
      </w:r>
    </w:p>
    <w:p w:rsidR="00E16FD8" w:rsidRDefault="00E16FD8" w:rsidP="00563E95">
      <w:pPr>
        <w:rPr>
          <w:rFonts w:ascii="Arial" w:hAnsi="Arial" w:cs="Arial"/>
          <w:b/>
          <w:sz w:val="22"/>
          <w:szCs w:val="22"/>
        </w:rPr>
        <w:sectPr w:rsidR="00E16FD8" w:rsidSect="00DD43C2">
          <w:endnotePr>
            <w:numFmt w:val="decimal"/>
          </w:endnotePr>
          <w:pgSz w:w="12240" w:h="15840"/>
          <w:pgMar w:top="1440" w:right="1440" w:bottom="1440" w:left="1440" w:header="720" w:footer="720" w:gutter="0"/>
          <w:pgNumType w:chapStyle="1"/>
          <w:cols w:space="720"/>
          <w:docGrid w:linePitch="360"/>
        </w:sectPr>
      </w:pPr>
    </w:p>
    <w:p w:rsidR="00487828" w:rsidRPr="00625623" w:rsidRDefault="00563E95" w:rsidP="00563E95">
      <w:pPr>
        <w:rPr>
          <w:rFonts w:ascii="Arial" w:hAnsi="Arial" w:cs="Arial"/>
          <w:b/>
          <w:sz w:val="22"/>
          <w:szCs w:val="22"/>
        </w:rPr>
      </w:pPr>
      <w:r w:rsidRPr="00625623">
        <w:rPr>
          <w:rFonts w:ascii="Arial" w:hAnsi="Arial" w:cs="Arial"/>
          <w:b/>
          <w:sz w:val="22"/>
          <w:szCs w:val="22"/>
        </w:rPr>
        <w:t>Savings</w:t>
      </w:r>
      <w:r w:rsidR="00487828" w:rsidRPr="00625623">
        <w:rPr>
          <w:rFonts w:ascii="Arial" w:hAnsi="Arial" w:cs="Arial"/>
          <w:b/>
          <w:sz w:val="22"/>
          <w:szCs w:val="22"/>
        </w:rPr>
        <w:t xml:space="preserve"> for H11</w:t>
      </w:r>
      <w:r w:rsidR="004F588A" w:rsidRPr="00625623">
        <w:rPr>
          <w:rFonts w:ascii="Arial" w:hAnsi="Arial" w:cs="Arial"/>
          <w:b/>
          <w:sz w:val="22"/>
          <w:szCs w:val="22"/>
        </w:rPr>
        <w:t xml:space="preserve"> (∆Therms / kBTUh)</w:t>
      </w:r>
      <w:r w:rsidR="00487828" w:rsidRPr="00625623">
        <w:rPr>
          <w:rFonts w:ascii="Arial" w:hAnsi="Arial" w:cs="Arial"/>
          <w:b/>
          <w:sz w:val="22"/>
          <w:szCs w:val="22"/>
        </w:rPr>
        <w:t>:</w:t>
      </w:r>
    </w:p>
    <w:p w:rsidR="00487828" w:rsidRPr="00625623" w:rsidRDefault="00487828" w:rsidP="00563E95">
      <w:pPr>
        <w:rPr>
          <w:rFonts w:ascii="Arial" w:hAnsi="Arial" w:cs="Arial"/>
          <w:sz w:val="22"/>
          <w:szCs w:val="22"/>
        </w:rPr>
      </w:pPr>
    </w:p>
    <w:p w:rsidR="00487828"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 xml:space="preserve"> BCGU=0.419</m:t>
        </m:r>
        <m:r>
          <w:rPr>
            <w:rFonts w:ascii="Cambria Math" w:hAnsi="Arial" w:cs="Arial"/>
            <w:sz w:val="22"/>
            <w:szCs w:val="22"/>
          </w:rPr>
          <m:t>*</m:t>
        </m:r>
        <m:r>
          <w:rPr>
            <w:rFonts w:ascii="Cambria Math" w:hAnsi="Arial" w:cs="Arial"/>
            <w:sz w:val="22"/>
            <w:szCs w:val="22"/>
          </w:rPr>
          <m:t>8,760</m:t>
        </m:r>
        <m:r>
          <w:rPr>
            <w:rFonts w:ascii="Cambria Math" w:hAnsi="Arial" w:cs="Arial"/>
            <w:sz w:val="22"/>
            <w:szCs w:val="22"/>
          </w:rPr>
          <m:t>*</m:t>
        </m:r>
        <m:r>
          <w:rPr>
            <w:rFonts w:ascii="Cambria Math" w:hAnsi="Arial" w:cs="Arial"/>
            <w:sz w:val="22"/>
            <w:szCs w:val="22"/>
          </w:rPr>
          <m:t xml:space="preserve">0.01=36.7 </m:t>
        </m:r>
      </m:oMath>
      <w:r w:rsidRPr="00625623">
        <w:rPr>
          <w:rFonts w:ascii="Arial" w:hAnsi="Arial" w:cs="Arial"/>
          <w:i/>
          <w:sz w:val="20"/>
          <w:szCs w:val="20"/>
        </w:rPr>
        <w:t>therms / kBTUh input rating</w:t>
      </w:r>
    </w:p>
    <w:p w:rsidR="00563E95"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MCGU=36.7</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r>
              <w:rPr>
                <w:rFonts w:ascii="Cambria Math" w:hAnsi="Arial" w:cs="Arial"/>
                <w:sz w:val="22"/>
                <w:szCs w:val="22"/>
              </w:rPr>
              <m:t>82%</m:t>
            </m:r>
          </m:num>
          <m:den>
            <m:r>
              <w:rPr>
                <w:rFonts w:ascii="Cambria Math" w:hAnsi="Arial" w:cs="Arial"/>
                <w:sz w:val="22"/>
                <w:szCs w:val="22"/>
              </w:rPr>
              <m:t>89.1</m:t>
            </m:r>
          </m:den>
        </m:f>
        <m:r>
          <w:rPr>
            <w:rFonts w:ascii="Cambria Math" w:hAnsi="Arial" w:cs="Arial"/>
            <w:sz w:val="22"/>
            <w:szCs w:val="22"/>
          </w:rPr>
          <m:t>%)= 33.8</m:t>
        </m:r>
      </m:oMath>
      <w:r w:rsidRPr="00625623">
        <w:rPr>
          <w:rFonts w:ascii="Arial" w:hAnsi="Arial" w:cs="Arial"/>
          <w:sz w:val="22"/>
          <w:szCs w:val="22"/>
        </w:rPr>
        <w:t xml:space="preserve"> </w:t>
      </w:r>
      <w:r w:rsidRPr="00625623">
        <w:rPr>
          <w:rFonts w:ascii="Arial" w:hAnsi="Arial" w:cs="Arial"/>
          <w:i/>
          <w:sz w:val="20"/>
          <w:szCs w:val="20"/>
        </w:rPr>
        <w:t>therms / kBTUh input rating</w:t>
      </w:r>
    </w:p>
    <w:p w:rsidR="00563E95"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GS=36.7</m:t>
        </m:r>
        <m:r>
          <w:rPr>
            <w:rFonts w:ascii="Cambria Math" w:hAnsi="Cambria Math" w:cs="Arial"/>
            <w:sz w:val="22"/>
            <w:szCs w:val="22"/>
          </w:rPr>
          <m:t>-33.8=2.9</m:t>
        </m:r>
      </m:oMath>
      <w:r w:rsidRPr="00625623">
        <w:rPr>
          <w:rFonts w:ascii="Arial" w:hAnsi="Arial" w:cs="Arial"/>
          <w:sz w:val="22"/>
          <w:szCs w:val="22"/>
        </w:rPr>
        <w:t xml:space="preserve"> </w:t>
      </w:r>
      <w:r w:rsidRPr="00625623">
        <w:rPr>
          <w:rFonts w:ascii="Arial" w:hAnsi="Arial" w:cs="Arial"/>
          <w:i/>
          <w:sz w:val="20"/>
          <w:szCs w:val="20"/>
        </w:rPr>
        <w:t>therms / kBTUh input rating</w:t>
      </w:r>
    </w:p>
    <w:p w:rsidR="00563E95" w:rsidRPr="00625623" w:rsidRDefault="00563E95" w:rsidP="00563E95">
      <w:pPr>
        <w:rPr>
          <w:rFonts w:ascii="Arial" w:hAnsi="Arial" w:cs="Arial"/>
          <w:sz w:val="22"/>
          <w:szCs w:val="22"/>
        </w:rPr>
      </w:pPr>
    </w:p>
    <w:p w:rsidR="00563E95" w:rsidRPr="00625623" w:rsidRDefault="00563E95" w:rsidP="00563E95">
      <w:pPr>
        <w:rPr>
          <w:rFonts w:ascii="Arial" w:hAnsi="Arial" w:cs="Arial"/>
          <w:b/>
          <w:sz w:val="22"/>
          <w:szCs w:val="22"/>
        </w:rPr>
      </w:pPr>
      <w:r w:rsidRPr="00625623">
        <w:rPr>
          <w:rFonts w:ascii="Arial" w:hAnsi="Arial" w:cs="Arial"/>
          <w:b/>
          <w:sz w:val="22"/>
          <w:szCs w:val="22"/>
        </w:rPr>
        <w:t>Savings for H15 (∆Therms / kBTUh):</w:t>
      </w:r>
    </w:p>
    <w:p w:rsidR="00563E95" w:rsidRPr="00A961E9" w:rsidRDefault="00563E95" w:rsidP="00563E95">
      <w:pPr>
        <w:rPr>
          <w:rFonts w:ascii="Arial" w:hAnsi="Arial" w:cs="Arial"/>
          <w:color w:val="FF0000"/>
          <w:sz w:val="22"/>
          <w:szCs w:val="22"/>
        </w:rPr>
      </w:pP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 xml:space="preserve"> BCGU=0.419</m:t>
        </m:r>
        <m:r>
          <w:rPr>
            <w:rFonts w:ascii="Cambria Math" w:hAnsi="Arial" w:cs="Arial"/>
            <w:sz w:val="22"/>
            <w:szCs w:val="22"/>
          </w:rPr>
          <m:t>*</m:t>
        </m:r>
        <m:r>
          <w:rPr>
            <w:rFonts w:ascii="Cambria Math" w:hAnsi="Arial" w:cs="Arial"/>
            <w:sz w:val="22"/>
            <w:szCs w:val="22"/>
          </w:rPr>
          <m:t>8,760</m:t>
        </m:r>
        <m:r>
          <w:rPr>
            <w:rFonts w:ascii="Cambria Math" w:hAnsi="Arial" w:cs="Arial"/>
            <w:sz w:val="22"/>
            <w:szCs w:val="22"/>
          </w:rPr>
          <m:t>*</m:t>
        </m:r>
        <m:r>
          <w:rPr>
            <w:rFonts w:ascii="Cambria Math" w:hAnsi="Arial" w:cs="Arial"/>
            <w:sz w:val="22"/>
            <w:szCs w:val="22"/>
          </w:rPr>
          <m:t xml:space="preserve">0.01=36.7 </m:t>
        </m:r>
      </m:oMath>
      <w:r w:rsidRPr="00563E95">
        <w:rPr>
          <w:rFonts w:ascii="Arial" w:hAnsi="Arial" w:cs="Arial"/>
          <w:i/>
          <w:sz w:val="20"/>
          <w:szCs w:val="20"/>
        </w:rPr>
        <w:t>therms</w:t>
      </w:r>
      <w:r>
        <w:rPr>
          <w:rFonts w:ascii="Arial" w:hAnsi="Arial" w:cs="Arial"/>
          <w:i/>
          <w:sz w:val="20"/>
          <w:szCs w:val="20"/>
        </w:rPr>
        <w:t xml:space="preserve"> / kBTUh input rating</w:t>
      </w: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MCGU=36.7</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r>
              <w:rPr>
                <w:rFonts w:ascii="Cambria Math" w:hAnsi="Arial" w:cs="Arial"/>
                <w:sz w:val="22"/>
                <w:szCs w:val="22"/>
              </w:rPr>
              <m:t>80%</m:t>
            </m:r>
          </m:num>
          <m:den>
            <m:r>
              <w:rPr>
                <w:rFonts w:ascii="Cambria Math" w:hAnsi="Arial" w:cs="Arial"/>
                <w:sz w:val="22"/>
                <w:szCs w:val="22"/>
              </w:rPr>
              <m:t>83.1</m:t>
            </m:r>
          </m:den>
        </m:f>
        <m:r>
          <w:rPr>
            <w:rFonts w:ascii="Cambria Math" w:hAnsi="Arial" w:cs="Arial"/>
            <w:sz w:val="22"/>
            <w:szCs w:val="22"/>
          </w:rPr>
          <m:t>%)= 36.2</m:t>
        </m:r>
      </m:oMath>
      <w:r>
        <w:rPr>
          <w:rFonts w:ascii="Arial" w:hAnsi="Arial" w:cs="Arial"/>
          <w:sz w:val="22"/>
          <w:szCs w:val="22"/>
        </w:rPr>
        <w:t xml:space="preserve"> </w:t>
      </w:r>
      <w:r w:rsidRPr="00563E95">
        <w:rPr>
          <w:rFonts w:ascii="Arial" w:hAnsi="Arial" w:cs="Arial"/>
          <w:i/>
          <w:sz w:val="20"/>
          <w:szCs w:val="20"/>
        </w:rPr>
        <w:t>therms</w:t>
      </w:r>
      <w:r>
        <w:rPr>
          <w:rFonts w:ascii="Arial" w:hAnsi="Arial" w:cs="Arial"/>
          <w:i/>
          <w:sz w:val="20"/>
          <w:szCs w:val="20"/>
        </w:rPr>
        <w:t xml:space="preserve"> / kBTUh input rating</w:t>
      </w: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GS=36.7</m:t>
        </m:r>
        <m:r>
          <w:rPr>
            <w:rFonts w:ascii="Cambria Math" w:hAnsi="Cambria Math" w:cs="Arial"/>
            <w:sz w:val="22"/>
            <w:szCs w:val="22"/>
          </w:rPr>
          <m:t>-35.3=1.4</m:t>
        </m:r>
      </m:oMath>
      <w:r>
        <w:rPr>
          <w:rFonts w:ascii="Arial" w:hAnsi="Arial" w:cs="Arial"/>
          <w:sz w:val="22"/>
          <w:szCs w:val="22"/>
        </w:rPr>
        <w:t xml:space="preserve"> </w:t>
      </w:r>
      <w:r w:rsidRPr="00563E95">
        <w:rPr>
          <w:rFonts w:ascii="Arial" w:hAnsi="Arial" w:cs="Arial"/>
          <w:i/>
          <w:sz w:val="20"/>
          <w:szCs w:val="20"/>
        </w:rPr>
        <w:t>therms</w:t>
      </w:r>
      <w:r>
        <w:rPr>
          <w:rFonts w:ascii="Arial" w:hAnsi="Arial" w:cs="Arial"/>
          <w:i/>
          <w:sz w:val="20"/>
          <w:szCs w:val="20"/>
        </w:rPr>
        <w:t xml:space="preserve"> / kBTUh input rating</w:t>
      </w:r>
    </w:p>
    <w:p w:rsidR="00563E95" w:rsidRPr="00D13811" w:rsidRDefault="00563E95" w:rsidP="00D13811">
      <w:pPr>
        <w:rPr>
          <w:rFonts w:ascii="Arial" w:hAnsi="Arial" w:cs="Arial"/>
          <w:b/>
          <w:bCs/>
          <w:i/>
          <w:color w:val="FF0000"/>
          <w:kern w:val="32"/>
          <w:sz w:val="28"/>
          <w:szCs w:val="28"/>
        </w:rPr>
      </w:pPr>
    </w:p>
    <w:p w:rsidR="003F4FFF" w:rsidRPr="00563E95" w:rsidRDefault="003F4FFF" w:rsidP="00864083">
      <w:pPr>
        <w:pStyle w:val="Heading1"/>
        <w:spacing w:before="0" w:after="0"/>
        <w:rPr>
          <w:i/>
          <w:sz w:val="28"/>
          <w:szCs w:val="28"/>
        </w:rPr>
      </w:pPr>
      <w:bookmarkStart w:id="56" w:name="_Toc386966986"/>
      <w:r w:rsidRPr="00563E95">
        <w:rPr>
          <w:i/>
          <w:sz w:val="28"/>
          <w:szCs w:val="28"/>
        </w:rPr>
        <w:t>Section 3. Load Shapes</w:t>
      </w:r>
      <w:bookmarkEnd w:id="56"/>
      <w:r w:rsidRPr="00563E95">
        <w:rPr>
          <w:i/>
          <w:sz w:val="28"/>
          <w:szCs w:val="28"/>
        </w:rPr>
        <w:t xml:space="preserve"> </w:t>
      </w:r>
    </w:p>
    <w:p w:rsidR="005E3C06" w:rsidRPr="005E3C06" w:rsidRDefault="005E3C06" w:rsidP="005E3C06">
      <w:pPr>
        <w:rPr>
          <w:rFonts w:ascii="Arial" w:hAnsi="Arial" w:cs="Arial"/>
          <w:b/>
          <w:bCs/>
          <w:sz w:val="22"/>
          <w:szCs w:val="22"/>
        </w:rPr>
      </w:pPr>
    </w:p>
    <w:p w:rsidR="005E3C06" w:rsidRPr="005E3C06" w:rsidRDefault="005E3C06" w:rsidP="005E3C06">
      <w:pPr>
        <w:rPr>
          <w:rFonts w:ascii="Arial" w:hAnsi="Arial" w:cs="Arial"/>
          <w:sz w:val="22"/>
          <w:szCs w:val="22"/>
        </w:rPr>
      </w:pPr>
      <w:bookmarkStart w:id="57" w:name="_Toc173742996"/>
      <w:bookmarkStart w:id="58" w:name="_Toc304800215"/>
      <w:bookmarkStart w:id="59" w:name="_Toc324318369"/>
      <w:bookmarkStart w:id="60" w:name="_Toc324340498"/>
      <w:r w:rsidRPr="005E3C06">
        <w:rPr>
          <w:rFonts w:ascii="Arial" w:hAnsi="Arial" w:cs="Arial"/>
          <w:sz w:val="22"/>
          <w:szCs w:val="22"/>
        </w:rPr>
        <w:t>Load Shapes are an important part of the life-cycle cost analysis of any energy efficiency</w:t>
      </w:r>
      <w:r w:rsidRPr="005E3C06">
        <w:rPr>
          <w:rFonts w:ascii="Arial" w:hAnsi="Arial" w:cs="Arial"/>
          <w:sz w:val="22"/>
          <w:szCs w:val="22"/>
        </w:rPr>
        <w:fldChar w:fldCharType="begin"/>
      </w:r>
      <w:r w:rsidRPr="005E3C06">
        <w:rPr>
          <w:rFonts w:ascii="Arial" w:hAnsi="Arial" w:cs="Arial"/>
          <w:sz w:val="22"/>
          <w:szCs w:val="22"/>
        </w:rPr>
        <w:instrText>xe "Efficiency"</w:instrText>
      </w:r>
      <w:r w:rsidRPr="005E3C06">
        <w:rPr>
          <w:rFonts w:ascii="Arial" w:hAnsi="Arial" w:cs="Arial"/>
          <w:sz w:val="22"/>
          <w:szCs w:val="22"/>
        </w:rPr>
        <w:fldChar w:fldCharType="end"/>
      </w:r>
      <w:r w:rsidRPr="005E3C06">
        <w:rPr>
          <w:rFonts w:ascii="Arial" w:hAnsi="Arial" w:cs="Arial"/>
          <w:sz w:val="22"/>
          <w:szCs w:val="22"/>
        </w:rPr>
        <w:t xml:space="preserve"> program portfolio.  The net benefits associated with a measure</w:t>
      </w:r>
      <w:r w:rsidRPr="005E3C06">
        <w:rPr>
          <w:rFonts w:ascii="Arial" w:hAnsi="Arial" w:cs="Arial"/>
          <w:sz w:val="22"/>
          <w:szCs w:val="22"/>
        </w:rPr>
        <w:fldChar w:fldCharType="begin"/>
      </w:r>
      <w:r w:rsidRPr="005E3C06">
        <w:rPr>
          <w:rFonts w:ascii="Arial" w:hAnsi="Arial" w:cs="Arial"/>
          <w:sz w:val="22"/>
          <w:szCs w:val="22"/>
        </w:rPr>
        <w:instrText>xe "Measure"</w:instrText>
      </w:r>
      <w:r w:rsidRPr="005E3C06">
        <w:rPr>
          <w:rFonts w:ascii="Arial" w:hAnsi="Arial" w:cs="Arial"/>
          <w:sz w:val="22"/>
          <w:szCs w:val="22"/>
        </w:rPr>
        <w:fldChar w:fldCharType="end"/>
      </w:r>
      <w:r w:rsidRPr="005E3C06">
        <w:rPr>
          <w:rFonts w:ascii="Arial" w:hAnsi="Arial" w:cs="Arial"/>
          <w:sz w:val="22"/>
          <w:szCs w:val="22"/>
        </w:rPr>
        <w:t xml:space="preserve"> are based on the amount of energy saved and the avoided cost per unit of energy saved.  For electricity, the avoided cost varies hourly over an entire year.  Thus, the net benefits calculation for a measure</w:t>
      </w:r>
      <w:r w:rsidRPr="005E3C06">
        <w:rPr>
          <w:rFonts w:ascii="Arial" w:hAnsi="Arial" w:cs="Arial"/>
          <w:sz w:val="22"/>
          <w:szCs w:val="22"/>
        </w:rPr>
        <w:fldChar w:fldCharType="begin"/>
      </w:r>
      <w:r w:rsidRPr="005E3C06">
        <w:rPr>
          <w:rFonts w:ascii="Arial" w:hAnsi="Arial" w:cs="Arial"/>
          <w:sz w:val="22"/>
          <w:szCs w:val="22"/>
        </w:rPr>
        <w:instrText>xe "Measure"</w:instrText>
      </w:r>
      <w:r w:rsidRPr="005E3C06">
        <w:rPr>
          <w:rFonts w:ascii="Arial" w:hAnsi="Arial" w:cs="Arial"/>
          <w:sz w:val="22"/>
          <w:szCs w:val="22"/>
        </w:rPr>
        <w:fldChar w:fldCharType="end"/>
      </w:r>
      <w:r w:rsidRPr="005E3C06">
        <w:rPr>
          <w:rFonts w:ascii="Arial" w:hAnsi="Arial" w:cs="Arial"/>
          <w:sz w:val="22"/>
          <w:szCs w:val="22"/>
        </w:rPr>
        <w:t xml:space="preserve"> requires both the total annual energy savings</w:t>
      </w:r>
      <w:r w:rsidRPr="005E3C06">
        <w:rPr>
          <w:rFonts w:ascii="Arial" w:hAnsi="Arial" w:cs="Arial"/>
          <w:sz w:val="22"/>
          <w:szCs w:val="22"/>
        </w:rPr>
        <w:fldChar w:fldCharType="begin"/>
      </w:r>
      <w:r w:rsidRPr="005E3C06">
        <w:rPr>
          <w:rFonts w:ascii="Arial" w:hAnsi="Arial" w:cs="Arial"/>
          <w:sz w:val="22"/>
          <w:szCs w:val="22"/>
        </w:rPr>
        <w:instrText>xe "Savings"</w:instrText>
      </w:r>
      <w:r w:rsidRPr="005E3C06">
        <w:rPr>
          <w:rFonts w:ascii="Arial" w:hAnsi="Arial" w:cs="Arial"/>
          <w:sz w:val="22"/>
          <w:szCs w:val="22"/>
        </w:rPr>
        <w:fldChar w:fldCharType="end"/>
      </w:r>
      <w:r w:rsidRPr="005E3C06">
        <w:rPr>
          <w:rFonts w:ascii="Arial" w:hAnsi="Arial" w:cs="Arial"/>
          <w:sz w:val="22"/>
          <w:szCs w:val="22"/>
        </w:rPr>
        <w:t xml:space="preserve"> (kWh) of the measure</w:t>
      </w:r>
      <w:r w:rsidRPr="005E3C06">
        <w:rPr>
          <w:rFonts w:ascii="Arial" w:hAnsi="Arial" w:cs="Arial"/>
          <w:sz w:val="22"/>
          <w:szCs w:val="22"/>
        </w:rPr>
        <w:fldChar w:fldCharType="begin"/>
      </w:r>
      <w:r w:rsidRPr="005E3C06">
        <w:rPr>
          <w:rFonts w:ascii="Arial" w:hAnsi="Arial" w:cs="Arial"/>
          <w:sz w:val="22"/>
          <w:szCs w:val="22"/>
        </w:rPr>
        <w:instrText>xe "Measure"</w:instrText>
      </w:r>
      <w:r w:rsidRPr="005E3C06">
        <w:rPr>
          <w:rFonts w:ascii="Arial" w:hAnsi="Arial" w:cs="Arial"/>
          <w:sz w:val="22"/>
          <w:szCs w:val="22"/>
        </w:rPr>
        <w:fldChar w:fldCharType="end"/>
      </w:r>
      <w:r w:rsidRPr="005E3C06">
        <w:rPr>
          <w:rFonts w:ascii="Arial" w:hAnsi="Arial" w:cs="Arial"/>
          <w:sz w:val="22"/>
          <w:szCs w:val="22"/>
        </w:rPr>
        <w:t xml:space="preserve"> and the distribution of that savings</w:t>
      </w:r>
      <w:r w:rsidRPr="005E3C06">
        <w:rPr>
          <w:rFonts w:ascii="Arial" w:hAnsi="Arial" w:cs="Arial"/>
          <w:sz w:val="22"/>
          <w:szCs w:val="22"/>
        </w:rPr>
        <w:fldChar w:fldCharType="begin"/>
      </w:r>
      <w:r w:rsidRPr="005E3C06">
        <w:rPr>
          <w:rFonts w:ascii="Arial" w:hAnsi="Arial" w:cs="Arial"/>
          <w:sz w:val="22"/>
          <w:szCs w:val="22"/>
        </w:rPr>
        <w:instrText>xe "Savings"</w:instrText>
      </w:r>
      <w:r w:rsidRPr="005E3C06">
        <w:rPr>
          <w:rFonts w:ascii="Arial" w:hAnsi="Arial" w:cs="Arial"/>
          <w:sz w:val="22"/>
          <w:szCs w:val="22"/>
        </w:rPr>
        <w:fldChar w:fldCharType="end"/>
      </w:r>
      <w:r w:rsidRPr="005E3C06">
        <w:rPr>
          <w:rFonts w:ascii="Arial" w:hAnsi="Arial" w:cs="Arial"/>
          <w:sz w:val="22"/>
          <w:szCs w:val="22"/>
        </w:rPr>
        <w:t xml:space="preserve"> over the year.  The distribution of savings</w:t>
      </w:r>
      <w:r w:rsidRPr="005E3C06">
        <w:rPr>
          <w:rFonts w:ascii="Arial" w:hAnsi="Arial" w:cs="Arial"/>
          <w:sz w:val="22"/>
          <w:szCs w:val="22"/>
        </w:rPr>
        <w:fldChar w:fldCharType="begin"/>
      </w:r>
      <w:r w:rsidRPr="005E3C06">
        <w:rPr>
          <w:rFonts w:ascii="Arial" w:hAnsi="Arial" w:cs="Arial"/>
          <w:sz w:val="22"/>
          <w:szCs w:val="22"/>
        </w:rPr>
        <w:instrText>xe "Savings"</w:instrText>
      </w:r>
      <w:r w:rsidRPr="005E3C06">
        <w:rPr>
          <w:rFonts w:ascii="Arial" w:hAnsi="Arial" w:cs="Arial"/>
          <w:sz w:val="22"/>
          <w:szCs w:val="22"/>
        </w:rPr>
        <w:fldChar w:fldCharType="end"/>
      </w:r>
      <w:r w:rsidRPr="005E3C06">
        <w:rPr>
          <w:rFonts w:ascii="Arial" w:hAnsi="Arial" w:cs="Arial"/>
          <w:sz w:val="22"/>
          <w:szCs w:val="22"/>
        </w:rPr>
        <w:t xml:space="preserve"> over the year is represented by the measure</w:t>
      </w:r>
      <w:r w:rsidRPr="005E3C06">
        <w:rPr>
          <w:rFonts w:ascii="Arial" w:hAnsi="Arial" w:cs="Arial"/>
          <w:sz w:val="22"/>
          <w:szCs w:val="22"/>
        </w:rPr>
        <w:fldChar w:fldCharType="begin"/>
      </w:r>
      <w:r w:rsidRPr="005E3C06">
        <w:rPr>
          <w:rFonts w:ascii="Arial" w:hAnsi="Arial" w:cs="Arial"/>
          <w:sz w:val="22"/>
          <w:szCs w:val="22"/>
        </w:rPr>
        <w:instrText>xe "Measure"</w:instrText>
      </w:r>
      <w:r w:rsidRPr="005E3C06">
        <w:rPr>
          <w:rFonts w:ascii="Arial" w:hAnsi="Arial" w:cs="Arial"/>
          <w:sz w:val="22"/>
          <w:szCs w:val="22"/>
        </w:rPr>
        <w:fldChar w:fldCharType="end"/>
      </w:r>
      <w:r w:rsidRPr="005E3C06">
        <w:rPr>
          <w:rFonts w:ascii="Arial" w:hAnsi="Arial" w:cs="Arial"/>
          <w:sz w:val="22"/>
          <w:szCs w:val="22"/>
        </w:rPr>
        <w:t>’s load shape.  The measure</w:t>
      </w:r>
      <w:r w:rsidRPr="005E3C06">
        <w:rPr>
          <w:rFonts w:ascii="Arial" w:hAnsi="Arial" w:cs="Arial"/>
          <w:sz w:val="22"/>
          <w:szCs w:val="22"/>
        </w:rPr>
        <w:fldChar w:fldCharType="begin"/>
      </w:r>
      <w:r w:rsidRPr="005E3C06">
        <w:rPr>
          <w:rFonts w:ascii="Arial" w:hAnsi="Arial" w:cs="Arial"/>
          <w:sz w:val="22"/>
          <w:szCs w:val="22"/>
        </w:rPr>
        <w:instrText>xe "Measure"</w:instrText>
      </w:r>
      <w:r w:rsidRPr="005E3C06">
        <w:rPr>
          <w:rFonts w:ascii="Arial" w:hAnsi="Arial" w:cs="Arial"/>
          <w:sz w:val="22"/>
          <w:szCs w:val="22"/>
        </w:rPr>
        <w:fldChar w:fldCharType="end"/>
      </w:r>
      <w:r w:rsidRPr="005E3C06">
        <w:rPr>
          <w:rFonts w:ascii="Arial" w:hAnsi="Arial" w:cs="Arial"/>
          <w:sz w:val="22"/>
          <w:szCs w:val="22"/>
        </w:rPr>
        <w:t>’s load shape indicates what fraction of annual energy savings</w:t>
      </w:r>
      <w:r w:rsidRPr="005E3C06">
        <w:rPr>
          <w:rFonts w:ascii="Arial" w:hAnsi="Arial" w:cs="Arial"/>
          <w:sz w:val="22"/>
          <w:szCs w:val="22"/>
        </w:rPr>
        <w:fldChar w:fldCharType="begin"/>
      </w:r>
      <w:r w:rsidRPr="005E3C06">
        <w:rPr>
          <w:rFonts w:ascii="Arial" w:hAnsi="Arial" w:cs="Arial"/>
          <w:sz w:val="22"/>
          <w:szCs w:val="22"/>
        </w:rPr>
        <w:instrText>xe "Savings"</w:instrText>
      </w:r>
      <w:r w:rsidRPr="005E3C06">
        <w:rPr>
          <w:rFonts w:ascii="Arial" w:hAnsi="Arial" w:cs="Arial"/>
          <w:sz w:val="22"/>
          <w:szCs w:val="22"/>
        </w:rPr>
        <w:fldChar w:fldCharType="end"/>
      </w:r>
      <w:r w:rsidRPr="005E3C06">
        <w:rPr>
          <w:rFonts w:ascii="Arial" w:hAnsi="Arial" w:cs="Arial"/>
          <w:sz w:val="22"/>
          <w:szCs w:val="22"/>
        </w:rPr>
        <w:t xml:space="preserve"> occurs in each time period of the year.  An hourly load shape indicates what fraction of annual savings</w:t>
      </w:r>
      <w:r w:rsidRPr="005E3C06">
        <w:rPr>
          <w:rFonts w:ascii="Arial" w:hAnsi="Arial" w:cs="Arial"/>
          <w:sz w:val="22"/>
          <w:szCs w:val="22"/>
        </w:rPr>
        <w:fldChar w:fldCharType="begin"/>
      </w:r>
      <w:r w:rsidRPr="005E3C06">
        <w:rPr>
          <w:rFonts w:ascii="Arial" w:hAnsi="Arial" w:cs="Arial"/>
          <w:sz w:val="22"/>
          <w:szCs w:val="22"/>
        </w:rPr>
        <w:instrText>xe "Savings"</w:instrText>
      </w:r>
      <w:r w:rsidRPr="005E3C06">
        <w:rPr>
          <w:rFonts w:ascii="Arial" w:hAnsi="Arial" w:cs="Arial"/>
          <w:sz w:val="22"/>
          <w:szCs w:val="22"/>
        </w:rPr>
        <w:fldChar w:fldCharType="end"/>
      </w:r>
      <w:r w:rsidRPr="005E3C06">
        <w:rPr>
          <w:rFonts w:ascii="Arial" w:hAnsi="Arial" w:cs="Arial"/>
          <w:sz w:val="22"/>
          <w:szCs w:val="22"/>
        </w:rPr>
        <w:t xml:space="preserve">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w:t>
      </w:r>
      <w:r w:rsidRPr="005E3C06">
        <w:rPr>
          <w:rFonts w:ascii="Arial" w:hAnsi="Arial" w:cs="Arial"/>
          <w:sz w:val="22"/>
          <w:szCs w:val="22"/>
        </w:rPr>
        <w:fldChar w:fldCharType="begin"/>
      </w:r>
      <w:r w:rsidRPr="005E3C06">
        <w:rPr>
          <w:rFonts w:ascii="Arial" w:hAnsi="Arial" w:cs="Arial"/>
          <w:sz w:val="22"/>
          <w:szCs w:val="22"/>
        </w:rPr>
        <w:instrText>xe "Measure"</w:instrText>
      </w:r>
      <w:r w:rsidRPr="005E3C06">
        <w:rPr>
          <w:rFonts w:ascii="Arial" w:hAnsi="Arial" w:cs="Arial"/>
          <w:sz w:val="22"/>
          <w:szCs w:val="22"/>
        </w:rPr>
        <w:fldChar w:fldCharType="end"/>
      </w:r>
      <w:r w:rsidRPr="005E3C06">
        <w:rPr>
          <w:rFonts w:ascii="Arial" w:hAnsi="Arial" w:cs="Arial"/>
          <w:sz w:val="22"/>
          <w:szCs w:val="22"/>
        </w:rPr>
        <w:t xml:space="preserve"> load shape with the hourly avoided cost stream determines the average avoided cost per kWh for use in the life cycle cost analysis that determines a measure</w:t>
      </w:r>
      <w:r w:rsidRPr="005E3C06">
        <w:rPr>
          <w:rFonts w:ascii="Arial" w:hAnsi="Arial" w:cs="Arial"/>
          <w:sz w:val="22"/>
          <w:szCs w:val="22"/>
        </w:rPr>
        <w:fldChar w:fldCharType="begin"/>
      </w:r>
      <w:r w:rsidRPr="005E3C06">
        <w:rPr>
          <w:rFonts w:ascii="Arial" w:hAnsi="Arial" w:cs="Arial"/>
          <w:sz w:val="22"/>
          <w:szCs w:val="22"/>
        </w:rPr>
        <w:instrText>xe "Measure"</w:instrText>
      </w:r>
      <w:r w:rsidRPr="005E3C06">
        <w:rPr>
          <w:rFonts w:ascii="Arial" w:hAnsi="Arial" w:cs="Arial"/>
          <w:sz w:val="22"/>
          <w:szCs w:val="22"/>
        </w:rPr>
        <w:fldChar w:fldCharType="end"/>
      </w:r>
      <w:r w:rsidRPr="005E3C06">
        <w:rPr>
          <w:rFonts w:ascii="Arial" w:hAnsi="Arial" w:cs="Arial"/>
          <w:sz w:val="22"/>
          <w:szCs w:val="22"/>
        </w:rPr>
        <w:t>’s Total Resource Cost (TRC) benefit.</w:t>
      </w:r>
    </w:p>
    <w:p w:rsidR="005E3C06" w:rsidRDefault="005E3C06" w:rsidP="005E3C06">
      <w:pPr>
        <w:rPr>
          <w:rFonts w:ascii="Arial" w:hAnsi="Arial" w:cs="Arial"/>
          <w:b/>
          <w:bCs/>
          <w:i/>
          <w:iCs/>
          <w:sz w:val="22"/>
          <w:szCs w:val="22"/>
        </w:rPr>
      </w:pPr>
      <w:bookmarkStart w:id="61" w:name="_Toc327979949"/>
    </w:p>
    <w:p w:rsidR="005E3C06" w:rsidRPr="005E3C06" w:rsidRDefault="005E3C06" w:rsidP="005E3C06">
      <w:pPr>
        <w:pStyle w:val="Heading2"/>
      </w:pPr>
      <w:bookmarkStart w:id="62" w:name="_Toc386966987"/>
      <w:r w:rsidRPr="005E3C06">
        <w:t>3.1 Base Case Load Shapes</w:t>
      </w:r>
      <w:bookmarkEnd w:id="57"/>
      <w:bookmarkEnd w:id="58"/>
      <w:bookmarkEnd w:id="59"/>
      <w:bookmarkEnd w:id="60"/>
      <w:bookmarkEnd w:id="61"/>
      <w:bookmarkEnd w:id="62"/>
    </w:p>
    <w:p w:rsidR="005E3C06" w:rsidRPr="005E3C06" w:rsidRDefault="005E3C06" w:rsidP="005E3C06">
      <w:pPr>
        <w:rPr>
          <w:rFonts w:ascii="Arial" w:hAnsi="Arial" w:cs="Arial"/>
          <w:sz w:val="22"/>
          <w:szCs w:val="22"/>
        </w:rPr>
      </w:pPr>
      <w:bookmarkStart w:id="63" w:name="_Toc173742997"/>
      <w:r w:rsidRPr="005E3C06">
        <w:rPr>
          <w:rFonts w:ascii="Arial" w:hAnsi="Arial" w:cs="Arial"/>
          <w:sz w:val="22"/>
          <w:szCs w:val="22"/>
        </w:rPr>
        <w:t>Load shapes are not applicable to gas measures, however, because the price of gas is not dependent on time-of-use.</w:t>
      </w:r>
    </w:p>
    <w:p w:rsidR="005E3C06" w:rsidRPr="005E3C06" w:rsidRDefault="005E3C06" w:rsidP="005E3C06">
      <w:pPr>
        <w:pStyle w:val="Heading2"/>
      </w:pPr>
    </w:p>
    <w:p w:rsidR="005E3C06" w:rsidRPr="005E3C06" w:rsidRDefault="005E3C06" w:rsidP="005E3C06">
      <w:pPr>
        <w:pStyle w:val="Heading2"/>
      </w:pPr>
      <w:bookmarkStart w:id="64" w:name="_Toc304800216"/>
      <w:bookmarkStart w:id="65" w:name="_Toc324318370"/>
      <w:bookmarkStart w:id="66" w:name="_Toc324340499"/>
      <w:bookmarkStart w:id="67" w:name="_Toc327979950"/>
      <w:bookmarkStart w:id="68" w:name="_Toc386966988"/>
      <w:r w:rsidRPr="005E3C06">
        <w:t>3.2 Measure Load Shapes</w:t>
      </w:r>
      <w:bookmarkEnd w:id="63"/>
      <w:bookmarkEnd w:id="64"/>
      <w:bookmarkEnd w:id="65"/>
      <w:bookmarkEnd w:id="66"/>
      <w:bookmarkEnd w:id="67"/>
      <w:bookmarkEnd w:id="68"/>
    </w:p>
    <w:p w:rsidR="005E3C06" w:rsidRPr="005E3C06" w:rsidRDefault="005E3C06" w:rsidP="005E3C06">
      <w:pPr>
        <w:rPr>
          <w:rFonts w:ascii="Arial" w:hAnsi="Arial" w:cs="Arial"/>
          <w:sz w:val="22"/>
          <w:szCs w:val="22"/>
        </w:rPr>
      </w:pPr>
      <w:r w:rsidRPr="005E3C06">
        <w:rPr>
          <w:rFonts w:ascii="Arial" w:hAnsi="Arial" w:cs="Arial"/>
          <w:sz w:val="22"/>
          <w:szCs w:val="22"/>
        </w:rPr>
        <w:t>Load shapes are not applicable to gas measures, however, because the price of gas is not dependent on time-of-use.</w:t>
      </w:r>
    </w:p>
    <w:p w:rsidR="00E16FD8" w:rsidRDefault="00E16FD8" w:rsidP="00CA3D16">
      <w:pPr>
        <w:sectPr w:rsidR="00E16FD8" w:rsidSect="00DD43C2">
          <w:endnotePr>
            <w:numFmt w:val="decimal"/>
          </w:endnotePr>
          <w:pgSz w:w="12240" w:h="15840"/>
          <w:pgMar w:top="1440" w:right="1440" w:bottom="1440" w:left="1440" w:header="720" w:footer="720" w:gutter="0"/>
          <w:pgNumType w:chapStyle="1"/>
          <w:cols w:space="720"/>
          <w:docGrid w:linePitch="360"/>
        </w:sectPr>
      </w:pPr>
    </w:p>
    <w:p w:rsidR="00CA3D16" w:rsidRPr="00563E95" w:rsidRDefault="00CA3D16" w:rsidP="00CA3D16"/>
    <w:p w:rsidR="003F4FFF" w:rsidRPr="00563E95" w:rsidRDefault="003F4FFF" w:rsidP="00864083">
      <w:pPr>
        <w:pStyle w:val="Heading1"/>
        <w:keepLines/>
        <w:spacing w:before="0" w:after="0"/>
        <w:rPr>
          <w:i/>
          <w:sz w:val="28"/>
          <w:szCs w:val="28"/>
        </w:rPr>
      </w:pPr>
      <w:bookmarkStart w:id="69" w:name="_Toc386966989"/>
      <w:r w:rsidRPr="00563E95">
        <w:rPr>
          <w:i/>
          <w:sz w:val="28"/>
          <w:szCs w:val="28"/>
        </w:rPr>
        <w:t>Section 4. Base Case &amp; Measure Costs</w:t>
      </w:r>
      <w:bookmarkEnd w:id="69"/>
    </w:p>
    <w:p w:rsidR="00BC42B2" w:rsidRPr="00563E95" w:rsidRDefault="00BC42B2" w:rsidP="00BC42B2"/>
    <w:tbl>
      <w:tblPr>
        <w:tblW w:w="8655" w:type="dxa"/>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BC42B2" w:rsidRPr="00563E95" w:rsidTr="00BC42B2">
        <w:trPr>
          <w:trHeight w:val="255"/>
          <w:jc w:val="center"/>
        </w:trPr>
        <w:tc>
          <w:tcPr>
            <w:tcW w:w="1964" w:type="dxa"/>
            <w:shd w:val="clear" w:color="auto" w:fill="262626"/>
            <w:noWrap/>
            <w:vAlign w:val="bottom"/>
          </w:tcPr>
          <w:p w:rsidR="00BC42B2" w:rsidRPr="00563E95" w:rsidRDefault="00BC42B2" w:rsidP="00BC42B2">
            <w:pPr>
              <w:jc w:val="center"/>
              <w:rPr>
                <w:rFonts w:ascii="Arial" w:hAnsi="Arial" w:cs="Arial"/>
                <w:b/>
                <w:sz w:val="20"/>
                <w:szCs w:val="20"/>
              </w:rPr>
            </w:pPr>
            <w:r w:rsidRPr="00563E95">
              <w:rPr>
                <w:rFonts w:ascii="Arial" w:hAnsi="Arial" w:cs="Arial"/>
                <w:b/>
                <w:sz w:val="20"/>
                <w:szCs w:val="20"/>
              </w:rPr>
              <w:t>Measure Application Type</w:t>
            </w:r>
          </w:p>
        </w:tc>
        <w:tc>
          <w:tcPr>
            <w:tcW w:w="1202" w:type="dxa"/>
            <w:shd w:val="clear" w:color="auto" w:fill="262626"/>
            <w:noWrap/>
            <w:vAlign w:val="bottom"/>
          </w:tcPr>
          <w:p w:rsidR="00BC42B2" w:rsidRPr="00563E95" w:rsidRDefault="00BC42B2" w:rsidP="00BC42B2">
            <w:pPr>
              <w:jc w:val="center"/>
              <w:rPr>
                <w:rFonts w:ascii="Arial" w:hAnsi="Arial" w:cs="Arial"/>
                <w:b/>
                <w:sz w:val="20"/>
                <w:szCs w:val="20"/>
              </w:rPr>
            </w:pPr>
            <w:r w:rsidRPr="00563E95">
              <w:rPr>
                <w:rFonts w:ascii="Arial" w:hAnsi="Arial" w:cs="Arial"/>
                <w:b/>
                <w:sz w:val="20"/>
                <w:szCs w:val="20"/>
              </w:rPr>
              <w:t>Measure Life Basis</w:t>
            </w:r>
          </w:p>
        </w:tc>
        <w:tc>
          <w:tcPr>
            <w:tcW w:w="2699" w:type="dxa"/>
            <w:shd w:val="clear" w:color="auto" w:fill="262626"/>
            <w:vAlign w:val="bottom"/>
          </w:tcPr>
          <w:p w:rsidR="00BC42B2" w:rsidRPr="00563E95" w:rsidRDefault="00BC42B2" w:rsidP="00BC42B2">
            <w:pPr>
              <w:jc w:val="center"/>
              <w:rPr>
                <w:rFonts w:ascii="Arial" w:hAnsi="Arial" w:cs="Arial"/>
                <w:b/>
                <w:sz w:val="20"/>
                <w:szCs w:val="20"/>
              </w:rPr>
            </w:pPr>
            <w:r w:rsidRPr="00563E95">
              <w:rPr>
                <w:rFonts w:ascii="Arial" w:hAnsi="Arial" w:cs="Arial"/>
                <w:b/>
                <w:sz w:val="20"/>
                <w:szCs w:val="20"/>
              </w:rPr>
              <w:t>First Baseline Period Gross Measure Cost (RUL)</w:t>
            </w:r>
          </w:p>
        </w:tc>
        <w:tc>
          <w:tcPr>
            <w:tcW w:w="2790" w:type="dxa"/>
            <w:shd w:val="clear" w:color="auto" w:fill="262626"/>
            <w:noWrap/>
            <w:vAlign w:val="bottom"/>
          </w:tcPr>
          <w:p w:rsidR="00BC42B2" w:rsidRPr="00563E95" w:rsidRDefault="00BC42B2" w:rsidP="00BC42B2">
            <w:pPr>
              <w:jc w:val="center"/>
              <w:rPr>
                <w:rFonts w:ascii="Arial" w:hAnsi="Arial" w:cs="Arial"/>
                <w:b/>
                <w:sz w:val="20"/>
                <w:szCs w:val="20"/>
              </w:rPr>
            </w:pPr>
            <w:r w:rsidRPr="00563E95">
              <w:rPr>
                <w:rFonts w:ascii="Arial" w:hAnsi="Arial" w:cs="Arial"/>
                <w:b/>
                <w:sz w:val="20"/>
                <w:szCs w:val="20"/>
              </w:rPr>
              <w:t>Second Baseline Period Gross Measure Cost (EUL – RUL)</w:t>
            </w:r>
          </w:p>
        </w:tc>
      </w:tr>
      <w:tr w:rsidR="00BC42B2" w:rsidRPr="00563E95" w:rsidTr="00F3361F">
        <w:trPr>
          <w:trHeight w:val="170"/>
          <w:jc w:val="center"/>
        </w:trPr>
        <w:tc>
          <w:tcPr>
            <w:tcW w:w="1964" w:type="dxa"/>
            <w:shd w:val="pct20" w:color="000000" w:fill="FFFFFF"/>
            <w:noWrap/>
            <w:vAlign w:val="center"/>
          </w:tcPr>
          <w:p w:rsidR="00BC42B2" w:rsidRPr="00563E95" w:rsidRDefault="00BC42B2" w:rsidP="00F3361F">
            <w:pPr>
              <w:jc w:val="center"/>
              <w:rPr>
                <w:rFonts w:ascii="Arial" w:hAnsi="Arial" w:cs="Arial"/>
                <w:b/>
                <w:sz w:val="20"/>
                <w:szCs w:val="20"/>
              </w:rPr>
            </w:pPr>
            <w:r w:rsidRPr="00563E95">
              <w:rPr>
                <w:rFonts w:ascii="Arial" w:hAnsi="Arial" w:cs="Arial"/>
                <w:b/>
                <w:sz w:val="20"/>
                <w:szCs w:val="20"/>
              </w:rPr>
              <w:t xml:space="preserve">NC </w:t>
            </w:r>
            <w:r w:rsidR="003F49E6" w:rsidRPr="00563E95">
              <w:rPr>
                <w:rFonts w:ascii="Arial" w:hAnsi="Arial" w:cs="Arial"/>
                <w:sz w:val="20"/>
                <w:szCs w:val="20"/>
              </w:rPr>
              <w:t>(New C</w:t>
            </w:r>
            <w:r w:rsidRPr="00563E95">
              <w:rPr>
                <w:rFonts w:ascii="Arial" w:hAnsi="Arial" w:cs="Arial"/>
                <w:sz w:val="20"/>
                <w:szCs w:val="20"/>
              </w:rPr>
              <w:t>onstruction</w:t>
            </w:r>
            <w:r w:rsidR="00E406EA" w:rsidRPr="00563E95">
              <w:rPr>
                <w:rFonts w:ascii="Arial" w:hAnsi="Arial" w:cs="Arial"/>
                <w:sz w:val="20"/>
                <w:szCs w:val="20"/>
              </w:rPr>
              <w:fldChar w:fldCharType="begin"/>
            </w:r>
            <w:r w:rsidR="003F49E6" w:rsidRPr="00563E95">
              <w:rPr>
                <w:rFonts w:ascii="Arial" w:hAnsi="Arial" w:cs="Arial"/>
                <w:sz w:val="20"/>
                <w:szCs w:val="20"/>
              </w:rPr>
              <w:instrText xml:space="preserve"> XE "New C</w:instrText>
            </w:r>
            <w:r w:rsidR="00592F58" w:rsidRPr="00563E95">
              <w:rPr>
                <w:rFonts w:ascii="Arial" w:hAnsi="Arial" w:cs="Arial"/>
                <w:sz w:val="20"/>
                <w:szCs w:val="20"/>
              </w:rPr>
              <w:instrText xml:space="preserve">onstruction" </w:instrText>
            </w:r>
            <w:r w:rsidR="00E406EA" w:rsidRPr="00563E95">
              <w:rPr>
                <w:rFonts w:ascii="Arial" w:hAnsi="Arial" w:cs="Arial"/>
                <w:sz w:val="20"/>
                <w:szCs w:val="20"/>
              </w:rPr>
              <w:fldChar w:fldCharType="end"/>
            </w:r>
            <w:r w:rsidRPr="00563E95">
              <w:rPr>
                <w:rFonts w:ascii="Arial" w:hAnsi="Arial" w:cs="Arial"/>
                <w:sz w:val="20"/>
                <w:szCs w:val="20"/>
              </w:rPr>
              <w:t>)</w:t>
            </w:r>
          </w:p>
        </w:tc>
        <w:tc>
          <w:tcPr>
            <w:tcW w:w="1202" w:type="dxa"/>
            <w:shd w:val="pct20" w:color="000000" w:fill="FFFFFF"/>
            <w:noWrap/>
            <w:vAlign w:val="center"/>
          </w:tcPr>
          <w:p w:rsidR="00BC42B2" w:rsidRPr="00563E95" w:rsidRDefault="00592F58" w:rsidP="00F3361F">
            <w:pPr>
              <w:jc w:val="center"/>
              <w:rPr>
                <w:rFonts w:ascii="Arial" w:hAnsi="Arial" w:cs="Arial"/>
                <w:sz w:val="20"/>
                <w:szCs w:val="20"/>
              </w:rPr>
            </w:pPr>
            <w:r w:rsidRPr="00563E95">
              <w:rPr>
                <w:rFonts w:ascii="Arial" w:hAnsi="Arial" w:cs="Arial"/>
                <w:sz w:val="20"/>
                <w:szCs w:val="20"/>
              </w:rPr>
              <w:t>EUL</w:t>
            </w:r>
          </w:p>
        </w:tc>
        <w:tc>
          <w:tcPr>
            <w:tcW w:w="2699" w:type="dxa"/>
            <w:shd w:val="pct20" w:color="000000" w:fill="FFFFFF"/>
            <w:vAlign w:val="center"/>
          </w:tcPr>
          <w:p w:rsidR="00BC42B2" w:rsidRPr="00563E95" w:rsidRDefault="00BC42B2" w:rsidP="00F3361F">
            <w:pPr>
              <w:jc w:val="center"/>
              <w:rPr>
                <w:rFonts w:ascii="Arial" w:hAnsi="Arial" w:cs="Arial"/>
                <w:sz w:val="20"/>
                <w:szCs w:val="20"/>
              </w:rPr>
            </w:pPr>
            <w:r w:rsidRPr="00563E95">
              <w:rPr>
                <w:rFonts w:ascii="Arial" w:hAnsi="Arial" w:cs="Arial"/>
                <w:sz w:val="20"/>
                <w:szCs w:val="20"/>
              </w:rPr>
              <w:t>Calculated as Incremental Measure Cost</w:t>
            </w:r>
          </w:p>
        </w:tc>
        <w:tc>
          <w:tcPr>
            <w:tcW w:w="2790" w:type="dxa"/>
            <w:shd w:val="pct20" w:color="000000" w:fill="FFFFFF"/>
            <w:vAlign w:val="center"/>
          </w:tcPr>
          <w:p w:rsidR="00BC42B2" w:rsidRPr="00563E95" w:rsidRDefault="00BC42B2" w:rsidP="00F3361F">
            <w:pPr>
              <w:jc w:val="center"/>
              <w:rPr>
                <w:rFonts w:ascii="Arial" w:hAnsi="Arial" w:cs="Arial"/>
                <w:sz w:val="20"/>
                <w:szCs w:val="20"/>
              </w:rPr>
            </w:pPr>
            <w:r w:rsidRPr="00563E95">
              <w:rPr>
                <w:rFonts w:ascii="Arial" w:hAnsi="Arial" w:cs="Arial"/>
                <w:sz w:val="20"/>
                <w:szCs w:val="20"/>
              </w:rPr>
              <w:t>N/A</w:t>
            </w:r>
          </w:p>
        </w:tc>
      </w:tr>
      <w:tr w:rsidR="00BC42B2" w:rsidRPr="00563E95" w:rsidTr="00F3361F">
        <w:trPr>
          <w:trHeight w:val="170"/>
          <w:jc w:val="center"/>
        </w:trPr>
        <w:tc>
          <w:tcPr>
            <w:tcW w:w="1964" w:type="dxa"/>
            <w:shd w:val="pct5" w:color="000000" w:fill="FFFFFF"/>
            <w:noWrap/>
            <w:vAlign w:val="center"/>
          </w:tcPr>
          <w:p w:rsidR="00BC42B2" w:rsidRPr="00563E95" w:rsidRDefault="00BC42B2" w:rsidP="003F49E6">
            <w:pPr>
              <w:jc w:val="center"/>
              <w:rPr>
                <w:rFonts w:ascii="Arial" w:hAnsi="Arial" w:cs="Arial"/>
                <w:b/>
                <w:sz w:val="20"/>
                <w:szCs w:val="20"/>
              </w:rPr>
            </w:pPr>
            <w:r w:rsidRPr="00563E95">
              <w:rPr>
                <w:rFonts w:ascii="Arial" w:hAnsi="Arial" w:cs="Arial"/>
                <w:b/>
                <w:sz w:val="20"/>
                <w:szCs w:val="20"/>
              </w:rPr>
              <w:t>ROB</w:t>
            </w:r>
            <w:r w:rsidR="003D5828" w:rsidRPr="00563E95">
              <w:rPr>
                <w:rFonts w:ascii="Arial" w:hAnsi="Arial" w:cs="Arial"/>
                <w:b/>
                <w:sz w:val="20"/>
                <w:szCs w:val="20"/>
              </w:rPr>
              <w:t xml:space="preserve"> </w:t>
            </w:r>
            <w:r w:rsidRPr="00563E95">
              <w:rPr>
                <w:rFonts w:ascii="Arial" w:hAnsi="Arial" w:cs="Arial"/>
                <w:sz w:val="20"/>
                <w:szCs w:val="20"/>
              </w:rPr>
              <w:t>(</w:t>
            </w:r>
            <w:r w:rsidR="003F49E6" w:rsidRPr="00563E95">
              <w:rPr>
                <w:rFonts w:ascii="Arial" w:hAnsi="Arial" w:cs="Arial"/>
                <w:sz w:val="20"/>
                <w:szCs w:val="20"/>
              </w:rPr>
              <w:t>Replace on B</w:t>
            </w:r>
            <w:r w:rsidRPr="00563E95">
              <w:rPr>
                <w:rFonts w:ascii="Arial" w:hAnsi="Arial" w:cs="Arial"/>
                <w:sz w:val="20"/>
                <w:szCs w:val="20"/>
              </w:rPr>
              <w:t>urnout</w:t>
            </w:r>
            <w:r w:rsidR="00E406EA" w:rsidRPr="00563E95">
              <w:rPr>
                <w:rFonts w:ascii="Arial" w:hAnsi="Arial" w:cs="Arial"/>
                <w:sz w:val="20"/>
                <w:szCs w:val="20"/>
              </w:rPr>
              <w:fldChar w:fldCharType="begin"/>
            </w:r>
            <w:r w:rsidR="00592F58" w:rsidRPr="00563E95">
              <w:rPr>
                <w:rFonts w:ascii="Arial" w:hAnsi="Arial" w:cs="Arial"/>
                <w:sz w:val="20"/>
                <w:szCs w:val="20"/>
              </w:rPr>
              <w:instrText xml:space="preserve"> XE "</w:instrText>
            </w:r>
            <w:r w:rsidR="003F49E6" w:rsidRPr="00563E95">
              <w:rPr>
                <w:rFonts w:ascii="Arial" w:hAnsi="Arial" w:cs="Arial"/>
                <w:sz w:val="20"/>
                <w:szCs w:val="20"/>
              </w:rPr>
              <w:instrText>Replace on B</w:instrText>
            </w:r>
            <w:r w:rsidR="00592F58" w:rsidRPr="00563E95">
              <w:rPr>
                <w:rFonts w:ascii="Arial" w:hAnsi="Arial" w:cs="Arial"/>
                <w:sz w:val="20"/>
                <w:szCs w:val="20"/>
              </w:rPr>
              <w:instrText xml:space="preserve">urnout" </w:instrText>
            </w:r>
            <w:r w:rsidR="00E406EA" w:rsidRPr="00563E95">
              <w:rPr>
                <w:rFonts w:ascii="Arial" w:hAnsi="Arial" w:cs="Arial"/>
                <w:sz w:val="20"/>
                <w:szCs w:val="20"/>
              </w:rPr>
              <w:fldChar w:fldCharType="end"/>
            </w:r>
            <w:r w:rsidRPr="00563E95">
              <w:rPr>
                <w:rFonts w:ascii="Arial" w:hAnsi="Arial" w:cs="Arial"/>
                <w:sz w:val="20"/>
                <w:szCs w:val="20"/>
              </w:rPr>
              <w:t>)</w:t>
            </w:r>
          </w:p>
        </w:tc>
        <w:tc>
          <w:tcPr>
            <w:tcW w:w="1202" w:type="dxa"/>
            <w:shd w:val="pct5" w:color="000000" w:fill="FFFFFF"/>
            <w:noWrap/>
            <w:vAlign w:val="center"/>
          </w:tcPr>
          <w:p w:rsidR="00BC42B2" w:rsidRPr="00563E95" w:rsidRDefault="00BC42B2" w:rsidP="00F3361F">
            <w:pPr>
              <w:jc w:val="center"/>
              <w:rPr>
                <w:rFonts w:ascii="Arial" w:hAnsi="Arial" w:cs="Arial"/>
                <w:sz w:val="20"/>
                <w:szCs w:val="20"/>
              </w:rPr>
            </w:pPr>
            <w:r w:rsidRPr="00563E95">
              <w:rPr>
                <w:rFonts w:ascii="Arial" w:hAnsi="Arial" w:cs="Arial"/>
                <w:sz w:val="20"/>
                <w:szCs w:val="20"/>
              </w:rPr>
              <w:t>EUL</w:t>
            </w:r>
          </w:p>
        </w:tc>
        <w:tc>
          <w:tcPr>
            <w:tcW w:w="2699" w:type="dxa"/>
            <w:shd w:val="pct5" w:color="000000" w:fill="FFFFFF"/>
            <w:vAlign w:val="center"/>
          </w:tcPr>
          <w:p w:rsidR="00BC42B2" w:rsidRPr="00563E95" w:rsidRDefault="00BC42B2" w:rsidP="00F3361F">
            <w:pPr>
              <w:jc w:val="center"/>
              <w:rPr>
                <w:rFonts w:ascii="Arial" w:hAnsi="Arial" w:cs="Arial"/>
                <w:sz w:val="20"/>
                <w:szCs w:val="20"/>
              </w:rPr>
            </w:pPr>
            <w:r w:rsidRPr="00563E95">
              <w:rPr>
                <w:rFonts w:ascii="Arial" w:hAnsi="Arial" w:cs="Arial"/>
                <w:sz w:val="20"/>
                <w:szCs w:val="20"/>
              </w:rPr>
              <w:t>Calculated as Incremental Measure Cost</w:t>
            </w:r>
          </w:p>
        </w:tc>
        <w:tc>
          <w:tcPr>
            <w:tcW w:w="2790" w:type="dxa"/>
            <w:shd w:val="pct5" w:color="000000" w:fill="FFFFFF"/>
            <w:vAlign w:val="center"/>
          </w:tcPr>
          <w:p w:rsidR="00BC42B2" w:rsidRPr="00563E95" w:rsidRDefault="00BC42B2" w:rsidP="00F3361F">
            <w:pPr>
              <w:jc w:val="center"/>
              <w:rPr>
                <w:rFonts w:ascii="Arial" w:hAnsi="Arial" w:cs="Arial"/>
                <w:sz w:val="20"/>
                <w:szCs w:val="20"/>
              </w:rPr>
            </w:pPr>
            <w:r w:rsidRPr="00563E95">
              <w:rPr>
                <w:rFonts w:ascii="Arial" w:hAnsi="Arial" w:cs="Arial"/>
                <w:sz w:val="20"/>
                <w:szCs w:val="20"/>
              </w:rPr>
              <w:t>N/A</w:t>
            </w:r>
          </w:p>
        </w:tc>
      </w:tr>
      <w:tr w:rsidR="00BC42B2" w:rsidRPr="00563E95" w:rsidTr="00F3361F">
        <w:trPr>
          <w:trHeight w:val="255"/>
          <w:jc w:val="center"/>
        </w:trPr>
        <w:tc>
          <w:tcPr>
            <w:tcW w:w="1964" w:type="dxa"/>
            <w:shd w:val="pct20" w:color="000000" w:fill="FFFFFF"/>
            <w:noWrap/>
            <w:vAlign w:val="center"/>
          </w:tcPr>
          <w:p w:rsidR="00BC42B2" w:rsidRPr="00563E95" w:rsidRDefault="00BC42B2" w:rsidP="003D5828">
            <w:pPr>
              <w:jc w:val="center"/>
              <w:rPr>
                <w:rFonts w:ascii="Arial" w:hAnsi="Arial" w:cs="Arial"/>
                <w:b/>
                <w:sz w:val="20"/>
                <w:szCs w:val="20"/>
              </w:rPr>
            </w:pPr>
            <w:r w:rsidRPr="00563E95">
              <w:rPr>
                <w:rFonts w:ascii="Arial" w:hAnsi="Arial" w:cs="Arial"/>
                <w:b/>
                <w:sz w:val="20"/>
                <w:szCs w:val="20"/>
              </w:rPr>
              <w:t xml:space="preserve">ER </w:t>
            </w:r>
            <w:r w:rsidRPr="00563E95">
              <w:rPr>
                <w:rFonts w:ascii="Arial" w:hAnsi="Arial" w:cs="Arial"/>
                <w:sz w:val="20"/>
                <w:szCs w:val="20"/>
              </w:rPr>
              <w:t>(</w:t>
            </w:r>
            <w:r w:rsidR="003D5828" w:rsidRPr="00563E95">
              <w:rPr>
                <w:rFonts w:ascii="Arial" w:hAnsi="Arial" w:cs="Arial"/>
                <w:sz w:val="20"/>
                <w:szCs w:val="20"/>
              </w:rPr>
              <w:t>Early R</w:t>
            </w:r>
            <w:r w:rsidRPr="00563E95">
              <w:rPr>
                <w:rFonts w:ascii="Arial" w:hAnsi="Arial" w:cs="Arial"/>
                <w:sz w:val="20"/>
                <w:szCs w:val="20"/>
              </w:rPr>
              <w:t>etirement)</w:t>
            </w:r>
          </w:p>
        </w:tc>
        <w:tc>
          <w:tcPr>
            <w:tcW w:w="1202" w:type="dxa"/>
            <w:shd w:val="pct20" w:color="000000" w:fill="FFFFFF"/>
            <w:noWrap/>
            <w:vAlign w:val="center"/>
          </w:tcPr>
          <w:p w:rsidR="00592F58" w:rsidRPr="00563E95" w:rsidRDefault="00592F58" w:rsidP="00592F58">
            <w:pPr>
              <w:jc w:val="center"/>
              <w:rPr>
                <w:rFonts w:ascii="Arial" w:hAnsi="Arial" w:cs="Arial"/>
                <w:sz w:val="20"/>
                <w:szCs w:val="20"/>
              </w:rPr>
            </w:pPr>
            <w:r w:rsidRPr="00563E95">
              <w:rPr>
                <w:rFonts w:ascii="Arial" w:hAnsi="Arial" w:cs="Arial"/>
                <w:sz w:val="20"/>
                <w:szCs w:val="20"/>
              </w:rPr>
              <w:t>RUL/</w:t>
            </w:r>
          </w:p>
          <w:p w:rsidR="00BC42B2" w:rsidRPr="00563E95" w:rsidRDefault="00592F58" w:rsidP="00592F58">
            <w:pPr>
              <w:jc w:val="center"/>
              <w:rPr>
                <w:rFonts w:ascii="Arial" w:hAnsi="Arial" w:cs="Arial"/>
                <w:sz w:val="20"/>
                <w:szCs w:val="20"/>
              </w:rPr>
            </w:pPr>
            <w:r w:rsidRPr="00563E95">
              <w:rPr>
                <w:rFonts w:ascii="Arial" w:hAnsi="Arial" w:cs="Arial"/>
                <w:sz w:val="20"/>
                <w:szCs w:val="20"/>
              </w:rPr>
              <w:t>EUL-RUL</w:t>
            </w:r>
          </w:p>
        </w:tc>
        <w:tc>
          <w:tcPr>
            <w:tcW w:w="2699" w:type="dxa"/>
            <w:shd w:val="pct20" w:color="000000" w:fill="FFFFFF"/>
            <w:vAlign w:val="center"/>
          </w:tcPr>
          <w:p w:rsidR="00BC42B2" w:rsidRPr="00563E95" w:rsidRDefault="00BC42B2" w:rsidP="00F3361F">
            <w:pPr>
              <w:jc w:val="center"/>
              <w:rPr>
                <w:rFonts w:ascii="Arial" w:hAnsi="Arial" w:cs="Arial"/>
                <w:sz w:val="20"/>
                <w:szCs w:val="20"/>
              </w:rPr>
            </w:pPr>
            <w:r w:rsidRPr="00563E95">
              <w:rPr>
                <w:rFonts w:ascii="Arial" w:hAnsi="Arial" w:cs="Arial"/>
                <w:sz w:val="20"/>
                <w:szCs w:val="20"/>
              </w:rPr>
              <w:t>Calculated as Full Gross Measure Cost</w:t>
            </w:r>
          </w:p>
        </w:tc>
        <w:tc>
          <w:tcPr>
            <w:tcW w:w="2790" w:type="dxa"/>
            <w:shd w:val="pct20" w:color="000000" w:fill="FFFFFF"/>
            <w:noWrap/>
            <w:vAlign w:val="center"/>
          </w:tcPr>
          <w:p w:rsidR="00BC42B2" w:rsidRPr="00563E95" w:rsidRDefault="00BC42B2" w:rsidP="00F3361F">
            <w:pPr>
              <w:jc w:val="center"/>
              <w:rPr>
                <w:rFonts w:ascii="Arial" w:hAnsi="Arial" w:cs="Arial"/>
                <w:sz w:val="20"/>
                <w:szCs w:val="20"/>
              </w:rPr>
            </w:pPr>
            <w:r w:rsidRPr="00563E95">
              <w:rPr>
                <w:rFonts w:ascii="Arial" w:hAnsi="Arial" w:cs="Arial"/>
                <w:sz w:val="20"/>
                <w:szCs w:val="20"/>
              </w:rPr>
              <w:t>Calculated as Negative Full Gross Base Case Cost</w:t>
            </w:r>
          </w:p>
        </w:tc>
      </w:tr>
    </w:tbl>
    <w:p w:rsidR="00842157" w:rsidRPr="00A961E9" w:rsidRDefault="00842157" w:rsidP="00842157">
      <w:pPr>
        <w:rPr>
          <w:color w:val="FF0000"/>
        </w:rPr>
      </w:pPr>
    </w:p>
    <w:p w:rsidR="003F4FFF" w:rsidRPr="006A2042" w:rsidRDefault="003F4FFF" w:rsidP="00864083">
      <w:pPr>
        <w:pStyle w:val="Heading2"/>
        <w:spacing w:before="0" w:after="0"/>
      </w:pPr>
      <w:bookmarkStart w:id="70" w:name="_Toc386966990"/>
      <w:r w:rsidRPr="006A2042">
        <w:t>4.1 Base Case(s) Costs</w:t>
      </w:r>
      <w:bookmarkEnd w:id="70"/>
    </w:p>
    <w:p w:rsidR="003F4FFF" w:rsidRPr="006A2042" w:rsidRDefault="003F4FFF" w:rsidP="00864083">
      <w:pPr>
        <w:rPr>
          <w:rFonts w:ascii="Arial" w:hAnsi="Arial" w:cs="Arial"/>
          <w:sz w:val="22"/>
          <w:szCs w:val="22"/>
        </w:rPr>
      </w:pPr>
      <w:r w:rsidRPr="006A2042">
        <w:rPr>
          <w:rFonts w:ascii="Arial" w:hAnsi="Arial" w:cs="Arial"/>
          <w:sz w:val="22"/>
          <w:szCs w:val="22"/>
        </w:rPr>
        <w:t>The following Measure Application Types are appropriate to these measures. The Base Case Costs are:</w:t>
      </w:r>
    </w:p>
    <w:p w:rsidR="003F4FFF" w:rsidRPr="006A2042" w:rsidRDefault="003F4FFF" w:rsidP="00BC42B2">
      <w:pPr>
        <w:pStyle w:val="Caption"/>
        <w:keepNext/>
        <w:rPr>
          <w:rFonts w:ascii="Arial" w:hAnsi="Arial" w:cs="Arial"/>
          <w:sz w:val="22"/>
          <w:szCs w:val="22"/>
        </w:rPr>
      </w:pPr>
    </w:p>
    <w:tbl>
      <w:tblPr>
        <w:tblW w:w="94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331"/>
        <w:gridCol w:w="1851"/>
        <w:gridCol w:w="1342"/>
        <w:gridCol w:w="1324"/>
        <w:gridCol w:w="1492"/>
        <w:gridCol w:w="1006"/>
      </w:tblGrid>
      <w:tr w:rsidR="00BC42B2" w:rsidRPr="006A2042" w:rsidTr="00407E31">
        <w:tc>
          <w:tcPr>
            <w:tcW w:w="1075" w:type="dxa"/>
            <w:shd w:val="clear" w:color="auto" w:fill="auto"/>
            <w:vAlign w:val="center"/>
          </w:tcPr>
          <w:p w:rsidR="003F4FFF" w:rsidRPr="006A2042" w:rsidRDefault="003F4FFF" w:rsidP="0067643C">
            <w:pPr>
              <w:jc w:val="center"/>
              <w:rPr>
                <w:rFonts w:ascii="Arial" w:hAnsi="Arial" w:cs="Arial"/>
                <w:b/>
                <w:sz w:val="20"/>
                <w:szCs w:val="20"/>
              </w:rPr>
            </w:pPr>
            <w:r w:rsidRPr="006A2042">
              <w:rPr>
                <w:rFonts w:ascii="Arial" w:hAnsi="Arial" w:cs="Arial"/>
                <w:b/>
                <w:sz w:val="20"/>
                <w:szCs w:val="20"/>
              </w:rPr>
              <w:t>Measure Code</w:t>
            </w:r>
          </w:p>
        </w:tc>
        <w:tc>
          <w:tcPr>
            <w:tcW w:w="1331" w:type="dxa"/>
            <w:shd w:val="clear" w:color="auto" w:fill="auto"/>
            <w:vAlign w:val="center"/>
          </w:tcPr>
          <w:p w:rsidR="003F4FFF" w:rsidRPr="006A2042" w:rsidRDefault="003F4FFF" w:rsidP="0067643C">
            <w:pPr>
              <w:jc w:val="center"/>
              <w:rPr>
                <w:rFonts w:ascii="Arial" w:hAnsi="Arial" w:cs="Arial"/>
                <w:b/>
                <w:sz w:val="20"/>
                <w:szCs w:val="20"/>
              </w:rPr>
            </w:pPr>
            <w:r w:rsidRPr="006A2042">
              <w:rPr>
                <w:rFonts w:ascii="Arial" w:hAnsi="Arial" w:cs="Arial"/>
                <w:b/>
                <w:sz w:val="20"/>
                <w:szCs w:val="20"/>
              </w:rPr>
              <w:t>Measure Application Type</w:t>
            </w:r>
          </w:p>
        </w:tc>
        <w:tc>
          <w:tcPr>
            <w:tcW w:w="1851" w:type="dxa"/>
            <w:shd w:val="clear" w:color="auto" w:fill="auto"/>
            <w:vAlign w:val="center"/>
          </w:tcPr>
          <w:p w:rsidR="003F4FFF" w:rsidRPr="006A2042" w:rsidRDefault="003F4FFF" w:rsidP="0067643C">
            <w:pPr>
              <w:jc w:val="center"/>
              <w:rPr>
                <w:rFonts w:ascii="Arial" w:hAnsi="Arial" w:cs="Arial"/>
                <w:b/>
                <w:sz w:val="20"/>
                <w:szCs w:val="20"/>
              </w:rPr>
            </w:pPr>
            <w:r w:rsidRPr="006A2042">
              <w:rPr>
                <w:rFonts w:ascii="Arial" w:hAnsi="Arial" w:cs="Arial"/>
                <w:b/>
                <w:sz w:val="20"/>
                <w:szCs w:val="20"/>
              </w:rPr>
              <w:t>Baseline</w:t>
            </w:r>
          </w:p>
        </w:tc>
        <w:tc>
          <w:tcPr>
            <w:tcW w:w="1342" w:type="dxa"/>
            <w:shd w:val="clear" w:color="auto" w:fill="auto"/>
            <w:vAlign w:val="center"/>
          </w:tcPr>
          <w:p w:rsidR="003F4FFF" w:rsidRPr="006A2042" w:rsidRDefault="00BC42B2" w:rsidP="0067643C">
            <w:pPr>
              <w:jc w:val="center"/>
              <w:rPr>
                <w:rFonts w:ascii="Arial" w:hAnsi="Arial" w:cs="Arial"/>
                <w:b/>
                <w:sz w:val="20"/>
                <w:szCs w:val="20"/>
              </w:rPr>
            </w:pPr>
            <w:r w:rsidRPr="006A2042">
              <w:rPr>
                <w:rFonts w:ascii="Arial" w:hAnsi="Arial" w:cs="Arial"/>
                <w:b/>
                <w:sz w:val="20"/>
                <w:szCs w:val="20"/>
              </w:rPr>
              <w:t xml:space="preserve">Average </w:t>
            </w:r>
            <w:r w:rsidR="003F4FFF" w:rsidRPr="006A2042">
              <w:rPr>
                <w:rFonts w:ascii="Arial" w:hAnsi="Arial" w:cs="Arial"/>
                <w:b/>
                <w:sz w:val="20"/>
                <w:szCs w:val="20"/>
              </w:rPr>
              <w:t>Equipment Cost</w:t>
            </w:r>
          </w:p>
        </w:tc>
        <w:tc>
          <w:tcPr>
            <w:tcW w:w="1324" w:type="dxa"/>
            <w:shd w:val="clear" w:color="auto" w:fill="auto"/>
            <w:vAlign w:val="center"/>
          </w:tcPr>
          <w:p w:rsidR="003F4FFF" w:rsidRPr="006A2042" w:rsidRDefault="00BC42B2" w:rsidP="0067643C">
            <w:pPr>
              <w:jc w:val="center"/>
              <w:rPr>
                <w:rFonts w:ascii="Arial" w:hAnsi="Arial" w:cs="Arial"/>
                <w:b/>
                <w:sz w:val="20"/>
                <w:szCs w:val="20"/>
              </w:rPr>
            </w:pPr>
            <w:r w:rsidRPr="006A2042">
              <w:rPr>
                <w:rFonts w:ascii="Arial" w:hAnsi="Arial" w:cs="Arial"/>
                <w:b/>
                <w:sz w:val="20"/>
                <w:szCs w:val="20"/>
              </w:rPr>
              <w:t xml:space="preserve">Average </w:t>
            </w:r>
            <w:r w:rsidR="003F4FFF" w:rsidRPr="006A2042">
              <w:rPr>
                <w:rFonts w:ascii="Arial" w:hAnsi="Arial" w:cs="Arial"/>
                <w:b/>
                <w:sz w:val="20"/>
                <w:szCs w:val="20"/>
              </w:rPr>
              <w:t>Labor / Installation Cost</w:t>
            </w:r>
          </w:p>
        </w:tc>
        <w:tc>
          <w:tcPr>
            <w:tcW w:w="1492" w:type="dxa"/>
            <w:shd w:val="clear" w:color="auto" w:fill="auto"/>
            <w:vAlign w:val="center"/>
          </w:tcPr>
          <w:p w:rsidR="003F4FFF" w:rsidRPr="006A2042" w:rsidRDefault="003F4FFF" w:rsidP="0067643C">
            <w:pPr>
              <w:jc w:val="center"/>
              <w:rPr>
                <w:rFonts w:ascii="Arial" w:hAnsi="Arial" w:cs="Arial"/>
                <w:b/>
                <w:sz w:val="20"/>
                <w:szCs w:val="20"/>
              </w:rPr>
            </w:pPr>
            <w:r w:rsidRPr="006A2042">
              <w:rPr>
                <w:rFonts w:ascii="Arial" w:hAnsi="Arial" w:cs="Arial"/>
                <w:b/>
                <w:sz w:val="20"/>
                <w:szCs w:val="20"/>
              </w:rPr>
              <w:t>Maintenance / Other Cost</w:t>
            </w:r>
          </w:p>
        </w:tc>
        <w:tc>
          <w:tcPr>
            <w:tcW w:w="1006" w:type="dxa"/>
            <w:shd w:val="clear" w:color="auto" w:fill="auto"/>
            <w:vAlign w:val="center"/>
          </w:tcPr>
          <w:p w:rsidR="003F4FFF" w:rsidRPr="006A2042" w:rsidRDefault="00BC42B2" w:rsidP="0067643C">
            <w:pPr>
              <w:jc w:val="center"/>
              <w:rPr>
                <w:rFonts w:ascii="Arial" w:hAnsi="Arial" w:cs="Arial"/>
                <w:b/>
                <w:sz w:val="20"/>
                <w:szCs w:val="20"/>
              </w:rPr>
            </w:pPr>
            <w:r w:rsidRPr="006A2042">
              <w:rPr>
                <w:rFonts w:ascii="Arial" w:hAnsi="Arial" w:cs="Arial"/>
                <w:b/>
                <w:sz w:val="20"/>
                <w:szCs w:val="20"/>
              </w:rPr>
              <w:t xml:space="preserve">Average </w:t>
            </w:r>
            <w:r w:rsidR="003F4FFF" w:rsidRPr="006A2042">
              <w:rPr>
                <w:rFonts w:ascii="Arial" w:hAnsi="Arial" w:cs="Arial"/>
                <w:b/>
                <w:sz w:val="20"/>
                <w:szCs w:val="20"/>
              </w:rPr>
              <w:t>Total Base Case Cost</w:t>
            </w:r>
          </w:p>
        </w:tc>
      </w:tr>
      <w:tr w:rsidR="00403978" w:rsidRPr="006A2042" w:rsidTr="00407E31">
        <w:tc>
          <w:tcPr>
            <w:tcW w:w="1075" w:type="dxa"/>
            <w:shd w:val="clear" w:color="auto" w:fill="auto"/>
            <w:vAlign w:val="center"/>
          </w:tcPr>
          <w:p w:rsidR="00403978" w:rsidRPr="006A2042" w:rsidRDefault="00403978" w:rsidP="0067643C">
            <w:pPr>
              <w:rPr>
                <w:rFonts w:ascii="Arial" w:hAnsi="Arial" w:cs="Arial"/>
                <w:sz w:val="20"/>
                <w:szCs w:val="20"/>
              </w:rPr>
            </w:pPr>
            <w:r w:rsidRPr="006A2042">
              <w:rPr>
                <w:rFonts w:ascii="Arial" w:hAnsi="Arial" w:cs="Arial"/>
                <w:sz w:val="20"/>
                <w:szCs w:val="20"/>
              </w:rPr>
              <w:t>H11</w:t>
            </w:r>
          </w:p>
        </w:tc>
        <w:tc>
          <w:tcPr>
            <w:tcW w:w="1331" w:type="dxa"/>
            <w:shd w:val="clear" w:color="auto" w:fill="auto"/>
            <w:vAlign w:val="center"/>
          </w:tcPr>
          <w:p w:rsidR="00403978" w:rsidRPr="006A2042" w:rsidRDefault="00403978" w:rsidP="0067643C">
            <w:pPr>
              <w:jc w:val="center"/>
              <w:rPr>
                <w:rFonts w:ascii="Arial" w:hAnsi="Arial" w:cs="Arial"/>
                <w:sz w:val="20"/>
                <w:szCs w:val="20"/>
              </w:rPr>
            </w:pPr>
            <w:r w:rsidRPr="006A2042">
              <w:rPr>
                <w:rFonts w:ascii="Arial" w:hAnsi="Arial" w:cs="Arial"/>
                <w:sz w:val="20"/>
                <w:szCs w:val="20"/>
              </w:rPr>
              <w:t>ROB</w:t>
            </w:r>
            <w:r w:rsidR="00B75FA6">
              <w:rPr>
                <w:rFonts w:ascii="Arial" w:hAnsi="Arial" w:cs="Arial"/>
                <w:sz w:val="20"/>
                <w:szCs w:val="20"/>
              </w:rPr>
              <w:t>, NC</w:t>
            </w:r>
          </w:p>
        </w:tc>
        <w:tc>
          <w:tcPr>
            <w:tcW w:w="1851" w:type="dxa"/>
            <w:shd w:val="clear" w:color="auto" w:fill="auto"/>
            <w:vAlign w:val="center"/>
          </w:tcPr>
          <w:p w:rsidR="00403978" w:rsidRPr="006A2042" w:rsidRDefault="00403978" w:rsidP="00591D1C">
            <w:pPr>
              <w:rPr>
                <w:rFonts w:ascii="Arial" w:hAnsi="Arial" w:cs="Arial"/>
                <w:sz w:val="20"/>
                <w:szCs w:val="20"/>
              </w:rPr>
            </w:pPr>
            <w:r w:rsidRPr="006A2042">
              <w:rPr>
                <w:rFonts w:ascii="Arial" w:hAnsi="Arial" w:cs="Arial"/>
                <w:sz w:val="20"/>
                <w:szCs w:val="20"/>
              </w:rPr>
              <w:t xml:space="preserve">Title 24 – compliant natural gas </w:t>
            </w:r>
            <w:r>
              <w:rPr>
                <w:rFonts w:ascii="Arial" w:hAnsi="Arial" w:cs="Arial"/>
                <w:sz w:val="20"/>
                <w:szCs w:val="20"/>
              </w:rPr>
              <w:t>large</w:t>
            </w:r>
            <w:r w:rsidRPr="006A2042">
              <w:rPr>
                <w:rFonts w:ascii="Arial" w:hAnsi="Arial" w:cs="Arial"/>
                <w:sz w:val="20"/>
                <w:szCs w:val="20"/>
              </w:rPr>
              <w:t xml:space="preserve"> hot water boiler (</w:t>
            </w:r>
            <w:r>
              <w:rPr>
                <w:rFonts w:ascii="Arial" w:hAnsi="Arial" w:cs="Arial"/>
                <w:sz w:val="20"/>
                <w:szCs w:val="20"/>
              </w:rPr>
              <w:t>&gt;</w:t>
            </w:r>
            <w:r w:rsidRPr="006A2042">
              <w:rPr>
                <w:rFonts w:ascii="Arial" w:hAnsi="Arial" w:cs="Arial"/>
                <w:sz w:val="20"/>
                <w:szCs w:val="20"/>
              </w:rPr>
              <w:t>300 kBTUh)</w:t>
            </w:r>
          </w:p>
        </w:tc>
        <w:tc>
          <w:tcPr>
            <w:tcW w:w="1342" w:type="dxa"/>
            <w:shd w:val="clear" w:color="auto" w:fill="auto"/>
            <w:vAlign w:val="center"/>
          </w:tcPr>
          <w:p w:rsidR="00403978" w:rsidRPr="006A2042" w:rsidRDefault="00403978" w:rsidP="00F1114F">
            <w:pPr>
              <w:jc w:val="center"/>
              <w:rPr>
                <w:rFonts w:ascii="Arial" w:hAnsi="Arial" w:cs="Arial"/>
                <w:sz w:val="20"/>
                <w:szCs w:val="20"/>
              </w:rPr>
            </w:pPr>
            <w:r w:rsidRPr="006A2042">
              <w:rPr>
                <w:rFonts w:ascii="Arial" w:hAnsi="Arial" w:cs="Arial"/>
                <w:sz w:val="20"/>
                <w:szCs w:val="20"/>
              </w:rPr>
              <w:t>$</w:t>
            </w:r>
            <w:r w:rsidR="00F1114F">
              <w:rPr>
                <w:rFonts w:ascii="Arial" w:hAnsi="Arial" w:cs="Arial"/>
                <w:sz w:val="20"/>
                <w:szCs w:val="20"/>
              </w:rPr>
              <w:t>8.43</w:t>
            </w:r>
          </w:p>
        </w:tc>
        <w:tc>
          <w:tcPr>
            <w:tcW w:w="1324" w:type="dxa"/>
            <w:shd w:val="clear" w:color="auto" w:fill="auto"/>
            <w:vAlign w:val="center"/>
          </w:tcPr>
          <w:p w:rsidR="00403978" w:rsidRPr="006A2042" w:rsidRDefault="00403978" w:rsidP="00F1114F">
            <w:pPr>
              <w:jc w:val="center"/>
              <w:rPr>
                <w:rFonts w:ascii="Arial" w:hAnsi="Arial" w:cs="Arial"/>
                <w:sz w:val="20"/>
                <w:szCs w:val="20"/>
              </w:rPr>
            </w:pPr>
            <w:r w:rsidRPr="006A2042">
              <w:rPr>
                <w:rFonts w:ascii="Arial" w:hAnsi="Arial" w:cs="Arial"/>
                <w:sz w:val="20"/>
                <w:szCs w:val="20"/>
              </w:rPr>
              <w:t>$</w:t>
            </w:r>
            <w:r w:rsidR="00F1114F">
              <w:rPr>
                <w:rFonts w:ascii="Arial" w:hAnsi="Arial" w:cs="Arial"/>
                <w:sz w:val="20"/>
                <w:szCs w:val="20"/>
              </w:rPr>
              <w:t>4.90</w:t>
            </w:r>
          </w:p>
        </w:tc>
        <w:tc>
          <w:tcPr>
            <w:tcW w:w="1492" w:type="dxa"/>
            <w:shd w:val="clear" w:color="auto" w:fill="auto"/>
            <w:vAlign w:val="center"/>
          </w:tcPr>
          <w:p w:rsidR="00403978" w:rsidRPr="006A2042" w:rsidRDefault="00403978" w:rsidP="00403978">
            <w:pPr>
              <w:jc w:val="center"/>
              <w:rPr>
                <w:rFonts w:ascii="Arial" w:hAnsi="Arial" w:cs="Arial"/>
                <w:sz w:val="20"/>
                <w:szCs w:val="20"/>
              </w:rPr>
            </w:pPr>
            <w:r w:rsidRPr="006A2042">
              <w:rPr>
                <w:rFonts w:ascii="Arial" w:hAnsi="Arial" w:cs="Arial"/>
                <w:sz w:val="20"/>
                <w:szCs w:val="20"/>
              </w:rPr>
              <w:t>$ N/A</w:t>
            </w:r>
          </w:p>
        </w:tc>
        <w:tc>
          <w:tcPr>
            <w:tcW w:w="1006" w:type="dxa"/>
            <w:shd w:val="clear" w:color="auto" w:fill="auto"/>
            <w:vAlign w:val="center"/>
          </w:tcPr>
          <w:p w:rsidR="00403978" w:rsidRPr="006A2042" w:rsidRDefault="00403978" w:rsidP="00F1114F">
            <w:pPr>
              <w:jc w:val="center"/>
              <w:rPr>
                <w:rFonts w:ascii="Arial" w:hAnsi="Arial" w:cs="Arial"/>
                <w:sz w:val="20"/>
                <w:szCs w:val="20"/>
              </w:rPr>
            </w:pPr>
            <w:r w:rsidRPr="006A2042">
              <w:rPr>
                <w:rFonts w:ascii="Arial" w:hAnsi="Arial" w:cs="Arial"/>
                <w:sz w:val="20"/>
                <w:szCs w:val="20"/>
              </w:rPr>
              <w:t>$</w:t>
            </w:r>
            <w:r w:rsidR="00F1114F">
              <w:rPr>
                <w:rFonts w:ascii="Arial" w:hAnsi="Arial" w:cs="Arial"/>
                <w:sz w:val="20"/>
                <w:szCs w:val="20"/>
              </w:rPr>
              <w:t>13.33</w:t>
            </w:r>
          </w:p>
        </w:tc>
      </w:tr>
      <w:tr w:rsidR="00F1114F" w:rsidRPr="006A2042" w:rsidTr="00407E31">
        <w:trPr>
          <w:trHeight w:val="1232"/>
        </w:trPr>
        <w:tc>
          <w:tcPr>
            <w:tcW w:w="1075" w:type="dxa"/>
            <w:shd w:val="clear" w:color="auto" w:fill="auto"/>
            <w:vAlign w:val="center"/>
          </w:tcPr>
          <w:p w:rsidR="00F1114F" w:rsidRPr="006A2042" w:rsidRDefault="00F1114F" w:rsidP="0067643C">
            <w:pPr>
              <w:rPr>
                <w:rFonts w:ascii="Arial" w:hAnsi="Arial" w:cs="Arial"/>
                <w:sz w:val="20"/>
                <w:szCs w:val="20"/>
              </w:rPr>
            </w:pPr>
            <w:r w:rsidRPr="006A2042">
              <w:rPr>
                <w:rFonts w:ascii="Arial" w:hAnsi="Arial" w:cs="Arial"/>
                <w:sz w:val="20"/>
                <w:szCs w:val="20"/>
              </w:rPr>
              <w:t>H15</w:t>
            </w:r>
          </w:p>
        </w:tc>
        <w:tc>
          <w:tcPr>
            <w:tcW w:w="1331" w:type="dxa"/>
            <w:shd w:val="clear" w:color="auto" w:fill="auto"/>
            <w:vAlign w:val="center"/>
          </w:tcPr>
          <w:p w:rsidR="00F1114F" w:rsidRPr="006A2042" w:rsidRDefault="00F1114F" w:rsidP="0067643C">
            <w:pPr>
              <w:jc w:val="center"/>
              <w:rPr>
                <w:rFonts w:ascii="Arial" w:hAnsi="Arial" w:cs="Arial"/>
                <w:sz w:val="20"/>
                <w:szCs w:val="20"/>
              </w:rPr>
            </w:pPr>
            <w:r w:rsidRPr="006A2042">
              <w:rPr>
                <w:rFonts w:ascii="Arial" w:hAnsi="Arial" w:cs="Arial"/>
                <w:sz w:val="20"/>
                <w:szCs w:val="20"/>
              </w:rPr>
              <w:t>ROB</w:t>
            </w:r>
            <w:r>
              <w:rPr>
                <w:rFonts w:ascii="Arial" w:hAnsi="Arial" w:cs="Arial"/>
                <w:sz w:val="20"/>
                <w:szCs w:val="20"/>
              </w:rPr>
              <w:t>, NC</w:t>
            </w:r>
          </w:p>
        </w:tc>
        <w:tc>
          <w:tcPr>
            <w:tcW w:w="1851" w:type="dxa"/>
            <w:shd w:val="clear" w:color="auto" w:fill="auto"/>
            <w:vAlign w:val="center"/>
          </w:tcPr>
          <w:p w:rsidR="00F1114F" w:rsidRPr="006A2042" w:rsidRDefault="00F1114F" w:rsidP="00591D1C">
            <w:pPr>
              <w:rPr>
                <w:rFonts w:ascii="Arial" w:hAnsi="Arial" w:cs="Arial"/>
                <w:sz w:val="20"/>
                <w:szCs w:val="20"/>
              </w:rPr>
            </w:pPr>
            <w:r w:rsidRPr="006A2042">
              <w:rPr>
                <w:rFonts w:ascii="Arial" w:hAnsi="Arial" w:cs="Arial"/>
                <w:sz w:val="20"/>
                <w:szCs w:val="20"/>
              </w:rPr>
              <w:t xml:space="preserve">Title 24 – compliant natural gas </w:t>
            </w:r>
            <w:r>
              <w:rPr>
                <w:rFonts w:ascii="Arial" w:hAnsi="Arial" w:cs="Arial"/>
                <w:sz w:val="20"/>
                <w:szCs w:val="20"/>
              </w:rPr>
              <w:t>large</w:t>
            </w:r>
            <w:r w:rsidRPr="006A2042">
              <w:rPr>
                <w:rFonts w:ascii="Arial" w:hAnsi="Arial" w:cs="Arial"/>
                <w:sz w:val="20"/>
                <w:szCs w:val="20"/>
              </w:rPr>
              <w:t xml:space="preserve"> steam boiler (</w:t>
            </w:r>
            <w:r>
              <w:rPr>
                <w:rFonts w:ascii="Arial" w:hAnsi="Arial" w:cs="Arial"/>
                <w:sz w:val="20"/>
                <w:szCs w:val="20"/>
              </w:rPr>
              <w:t>&gt;</w:t>
            </w:r>
            <w:r w:rsidRPr="006A2042">
              <w:rPr>
                <w:rFonts w:ascii="Arial" w:hAnsi="Arial" w:cs="Arial"/>
                <w:sz w:val="20"/>
                <w:szCs w:val="20"/>
              </w:rPr>
              <w:t>300 kBTUh)</w:t>
            </w:r>
          </w:p>
        </w:tc>
        <w:tc>
          <w:tcPr>
            <w:tcW w:w="1342" w:type="dxa"/>
            <w:shd w:val="clear" w:color="auto" w:fill="auto"/>
            <w:vAlign w:val="center"/>
          </w:tcPr>
          <w:p w:rsidR="00F1114F" w:rsidRPr="006A2042" w:rsidRDefault="00F1114F" w:rsidP="00D36019">
            <w:pPr>
              <w:jc w:val="center"/>
              <w:rPr>
                <w:rFonts w:ascii="Arial" w:hAnsi="Arial" w:cs="Arial"/>
                <w:sz w:val="20"/>
                <w:szCs w:val="20"/>
              </w:rPr>
            </w:pPr>
            <w:r w:rsidRPr="006A2042">
              <w:rPr>
                <w:rFonts w:ascii="Arial" w:hAnsi="Arial" w:cs="Arial"/>
                <w:sz w:val="20"/>
                <w:szCs w:val="20"/>
              </w:rPr>
              <w:t>$</w:t>
            </w:r>
            <w:r>
              <w:rPr>
                <w:rFonts w:ascii="Arial" w:hAnsi="Arial" w:cs="Arial"/>
                <w:sz w:val="20"/>
                <w:szCs w:val="20"/>
              </w:rPr>
              <w:t>10.12</w:t>
            </w:r>
          </w:p>
        </w:tc>
        <w:tc>
          <w:tcPr>
            <w:tcW w:w="1324" w:type="dxa"/>
            <w:shd w:val="clear" w:color="auto" w:fill="auto"/>
            <w:vAlign w:val="center"/>
          </w:tcPr>
          <w:p w:rsidR="00F1114F" w:rsidRPr="006A2042" w:rsidRDefault="00F1114F" w:rsidP="00D36019">
            <w:pPr>
              <w:jc w:val="center"/>
              <w:rPr>
                <w:rFonts w:ascii="Arial" w:hAnsi="Arial" w:cs="Arial"/>
                <w:sz w:val="20"/>
                <w:szCs w:val="20"/>
              </w:rPr>
            </w:pPr>
            <w:r w:rsidRPr="006A2042">
              <w:rPr>
                <w:rFonts w:ascii="Arial" w:hAnsi="Arial" w:cs="Arial"/>
                <w:sz w:val="20"/>
                <w:szCs w:val="20"/>
              </w:rPr>
              <w:t>$</w:t>
            </w:r>
            <w:r>
              <w:rPr>
                <w:rFonts w:ascii="Arial" w:hAnsi="Arial" w:cs="Arial"/>
                <w:sz w:val="20"/>
                <w:szCs w:val="20"/>
              </w:rPr>
              <w:t>5.69</w:t>
            </w:r>
          </w:p>
        </w:tc>
        <w:tc>
          <w:tcPr>
            <w:tcW w:w="1492" w:type="dxa"/>
            <w:shd w:val="clear" w:color="auto" w:fill="auto"/>
            <w:vAlign w:val="center"/>
          </w:tcPr>
          <w:p w:rsidR="00F1114F" w:rsidRPr="006A2042" w:rsidRDefault="00F1114F" w:rsidP="00D36019">
            <w:pPr>
              <w:jc w:val="center"/>
              <w:rPr>
                <w:rFonts w:ascii="Arial" w:hAnsi="Arial" w:cs="Arial"/>
                <w:sz w:val="20"/>
                <w:szCs w:val="20"/>
              </w:rPr>
            </w:pPr>
            <w:r w:rsidRPr="006A2042">
              <w:rPr>
                <w:rFonts w:ascii="Arial" w:hAnsi="Arial" w:cs="Arial"/>
                <w:sz w:val="20"/>
                <w:szCs w:val="20"/>
              </w:rPr>
              <w:t>$ N/A</w:t>
            </w:r>
          </w:p>
        </w:tc>
        <w:tc>
          <w:tcPr>
            <w:tcW w:w="1006" w:type="dxa"/>
            <w:shd w:val="clear" w:color="auto" w:fill="auto"/>
            <w:vAlign w:val="center"/>
          </w:tcPr>
          <w:p w:rsidR="00F1114F" w:rsidRPr="006A2042" w:rsidRDefault="00F1114F" w:rsidP="00D36019">
            <w:pPr>
              <w:jc w:val="center"/>
              <w:rPr>
                <w:rFonts w:ascii="Arial" w:hAnsi="Arial" w:cs="Arial"/>
                <w:sz w:val="20"/>
                <w:szCs w:val="20"/>
              </w:rPr>
            </w:pPr>
            <w:r w:rsidRPr="006A2042">
              <w:rPr>
                <w:rFonts w:ascii="Arial" w:hAnsi="Arial" w:cs="Arial"/>
                <w:sz w:val="20"/>
                <w:szCs w:val="20"/>
              </w:rPr>
              <w:t>$</w:t>
            </w:r>
            <w:r>
              <w:rPr>
                <w:rFonts w:ascii="Arial" w:hAnsi="Arial" w:cs="Arial"/>
                <w:sz w:val="20"/>
                <w:szCs w:val="20"/>
              </w:rPr>
              <w:t>15.81</w:t>
            </w:r>
          </w:p>
        </w:tc>
      </w:tr>
    </w:tbl>
    <w:p w:rsidR="00530D89" w:rsidRPr="006A2042" w:rsidRDefault="003F4FFF" w:rsidP="00530D89">
      <w:pPr>
        <w:rPr>
          <w:rFonts w:ascii="Arial" w:hAnsi="Arial" w:cs="Arial"/>
          <w:i/>
          <w:sz w:val="20"/>
          <w:szCs w:val="20"/>
        </w:rPr>
      </w:pPr>
      <w:r w:rsidRPr="006A2042">
        <w:rPr>
          <w:rFonts w:ascii="Arial" w:hAnsi="Arial" w:cs="Arial"/>
          <w:i/>
          <w:sz w:val="20"/>
          <w:szCs w:val="20"/>
        </w:rPr>
        <w:t xml:space="preserve">All </w:t>
      </w:r>
      <w:r w:rsidR="00836FE5" w:rsidRPr="006A2042">
        <w:rPr>
          <w:rFonts w:ascii="Arial" w:hAnsi="Arial" w:cs="Arial"/>
          <w:i/>
          <w:sz w:val="20"/>
          <w:szCs w:val="20"/>
        </w:rPr>
        <w:t>costs are noted as $ per rated k</w:t>
      </w:r>
      <w:r w:rsidR="00F3361F" w:rsidRPr="006A2042">
        <w:rPr>
          <w:rFonts w:ascii="Arial" w:hAnsi="Arial" w:cs="Arial"/>
          <w:i/>
          <w:sz w:val="20"/>
          <w:szCs w:val="20"/>
        </w:rPr>
        <w:t>BTU</w:t>
      </w:r>
      <w:r w:rsidRPr="006A2042">
        <w:rPr>
          <w:rFonts w:ascii="Arial" w:hAnsi="Arial" w:cs="Arial"/>
          <w:i/>
          <w:sz w:val="20"/>
          <w:szCs w:val="20"/>
        </w:rPr>
        <w:t>h</w:t>
      </w:r>
    </w:p>
    <w:p w:rsidR="007B4970" w:rsidRPr="00CF3999" w:rsidRDefault="007B4970" w:rsidP="00842157">
      <w:pPr>
        <w:rPr>
          <w:rFonts w:ascii="Arial" w:hAnsi="Arial" w:cs="Arial"/>
          <w:sz w:val="22"/>
          <w:szCs w:val="22"/>
        </w:rPr>
      </w:pPr>
    </w:p>
    <w:p w:rsidR="00842157" w:rsidRPr="00EE1C5E" w:rsidRDefault="001009E0" w:rsidP="00842157">
      <w:pPr>
        <w:rPr>
          <w:rFonts w:ascii="Arial" w:hAnsi="Arial" w:cs="Arial"/>
          <w:sz w:val="22"/>
          <w:szCs w:val="22"/>
        </w:rPr>
      </w:pPr>
      <w:r w:rsidRPr="00CF3999">
        <w:rPr>
          <w:rFonts w:ascii="Arial" w:hAnsi="Arial" w:cs="Arial"/>
          <w:sz w:val="22"/>
          <w:szCs w:val="22"/>
        </w:rPr>
        <w:t>Base case costs are taken directly fro</w:t>
      </w:r>
      <w:r w:rsidR="008814EE" w:rsidRPr="00CF3999">
        <w:rPr>
          <w:rFonts w:ascii="Arial" w:hAnsi="Arial" w:cs="Arial"/>
          <w:sz w:val="22"/>
          <w:szCs w:val="22"/>
        </w:rPr>
        <w:t xml:space="preserve">m DEER for each measure. Material and labor costs are multiplied by a climate multiplier </w:t>
      </w:r>
      <w:r w:rsidR="00413149" w:rsidRPr="00CF3999">
        <w:rPr>
          <w:rFonts w:ascii="Arial" w:hAnsi="Arial" w:cs="Arial"/>
          <w:sz w:val="22"/>
          <w:szCs w:val="22"/>
        </w:rPr>
        <w:t xml:space="preserve">to account for cost variation in each climate zone. </w:t>
      </w:r>
      <w:r w:rsidR="00434DD9">
        <w:rPr>
          <w:rFonts w:ascii="Arial" w:hAnsi="Arial" w:cs="Arial"/>
          <w:sz w:val="22"/>
          <w:szCs w:val="22"/>
        </w:rPr>
        <w:t>A complete list of c</w:t>
      </w:r>
      <w:r w:rsidR="00413149" w:rsidRPr="00CF3999">
        <w:rPr>
          <w:rFonts w:ascii="Arial" w:hAnsi="Arial" w:cs="Arial"/>
          <w:sz w:val="22"/>
          <w:szCs w:val="22"/>
        </w:rPr>
        <w:t>osts can be found in Appe</w:t>
      </w:r>
      <w:r w:rsidR="00413149" w:rsidRPr="00EE1C5E">
        <w:rPr>
          <w:rFonts w:ascii="Arial" w:hAnsi="Arial" w:cs="Arial"/>
          <w:sz w:val="22"/>
          <w:szCs w:val="22"/>
        </w:rPr>
        <w:t xml:space="preserve">ndix </w:t>
      </w:r>
      <w:r w:rsidR="009742DA" w:rsidRPr="00EE1C5E">
        <w:rPr>
          <w:rFonts w:ascii="Arial" w:hAnsi="Arial" w:cs="Arial"/>
          <w:sz w:val="22"/>
          <w:szCs w:val="22"/>
        </w:rPr>
        <w:t>C</w:t>
      </w:r>
      <w:r w:rsidR="00E16FD8">
        <w:fldChar w:fldCharType="begin"/>
      </w:r>
      <w:r w:rsidR="00E16FD8">
        <w:instrText xml:space="preserve"> NOTEREF _Ref384032658 \h  \* MERGEFORMAT </w:instrText>
      </w:r>
      <w:r w:rsidR="00E16FD8">
        <w:fldChar w:fldCharType="separate"/>
      </w:r>
      <w:r w:rsidR="006A644D">
        <w:t>3</w:t>
      </w:r>
      <w:r w:rsidR="00E16FD8">
        <w:fldChar w:fldCharType="end"/>
      </w:r>
      <w:r w:rsidR="00413149" w:rsidRPr="00EE1C5E">
        <w:rPr>
          <w:rFonts w:ascii="Arial" w:hAnsi="Arial" w:cs="Arial"/>
          <w:sz w:val="22"/>
          <w:szCs w:val="22"/>
        </w:rPr>
        <w:t>.</w:t>
      </w:r>
      <w:r w:rsidR="00434DD9" w:rsidRPr="00EE1C5E">
        <w:rPr>
          <w:rFonts w:ascii="Arial" w:hAnsi="Arial" w:cs="Arial"/>
          <w:sz w:val="22"/>
          <w:szCs w:val="22"/>
        </w:rPr>
        <w:t xml:space="preserve"> Material costs are calculated as:</w:t>
      </w:r>
    </w:p>
    <w:p w:rsidR="00434DD9" w:rsidRPr="00EE1C5E" w:rsidRDefault="00434DD9" w:rsidP="00434DD9">
      <w:pPr>
        <w:rPr>
          <w:rFonts w:ascii="Arial" w:hAnsi="Arial" w:cs="Arial"/>
          <w:color w:val="FF0000"/>
          <w:sz w:val="22"/>
          <w:szCs w:val="22"/>
        </w:rPr>
      </w:pPr>
    </w:p>
    <w:p w:rsidR="00434DD9" w:rsidRPr="00EE1C5E" w:rsidRDefault="00F85990" w:rsidP="00434DD9">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MBC</m:t>
              </m:r>
            </m:e>
            <m:sub>
              <m:r>
                <w:rPr>
                  <w:rFonts w:ascii="Cambria Math" w:hAnsi="Cambria Math" w:cs="Arial"/>
                  <w:sz w:val="22"/>
                  <w:szCs w:val="22"/>
                </w:rPr>
                <m:t>CZ</m:t>
              </m:r>
            </m:sub>
          </m:sSub>
          <m:r>
            <w:rPr>
              <w:rFonts w:ascii="Cambria Math" w:hAnsi="Arial" w:cs="Arial"/>
              <w:sz w:val="22"/>
              <w:szCs w:val="22"/>
            </w:rPr>
            <m:t>=</m:t>
          </m:r>
          <m:sSub>
            <m:sSubPr>
              <m:ctrlPr>
                <w:rPr>
                  <w:rFonts w:ascii="Cambria Math" w:hAnsi="Arial" w:cs="Arial"/>
                  <w:i/>
                  <w:sz w:val="22"/>
                  <w:szCs w:val="22"/>
                </w:rPr>
              </m:ctrlPr>
            </m:sSubPr>
            <m:e>
              <m:r>
                <w:rPr>
                  <w:rFonts w:ascii="Cambria Math" w:hAnsi="Arial" w:cs="Arial"/>
                  <w:sz w:val="22"/>
                  <w:szCs w:val="22"/>
                </w:rPr>
                <m:t>MC</m:t>
              </m:r>
            </m:e>
            <m:sub>
              <m:r>
                <w:rPr>
                  <w:rFonts w:ascii="Cambria Math" w:hAnsi="Arial" w:cs="Arial"/>
                  <w:sz w:val="22"/>
                  <w:szCs w:val="22"/>
                </w:rPr>
                <m:t>B</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MCM</m:t>
              </m:r>
            </m:e>
            <m:sub>
              <m:r>
                <w:rPr>
                  <w:rFonts w:ascii="Cambria Math" w:hAnsi="Cambria Math" w:cs="Arial"/>
                  <w:sz w:val="22"/>
                  <w:szCs w:val="22"/>
                </w:rPr>
                <m:t>CZ</m:t>
              </m:r>
            </m:sub>
          </m:sSub>
        </m:oMath>
      </m:oMathPara>
    </w:p>
    <w:p w:rsidR="00434DD9" w:rsidRPr="00EE1C5E" w:rsidRDefault="00434DD9" w:rsidP="00434DD9">
      <w:pPr>
        <w:rPr>
          <w:rFonts w:ascii="Arial" w:hAnsi="Arial" w:cs="Arial"/>
          <w:sz w:val="22"/>
          <w:szCs w:val="22"/>
        </w:rPr>
      </w:pPr>
    </w:p>
    <w:p w:rsidR="00434DD9" w:rsidRPr="00EE1C5E" w:rsidRDefault="00434DD9" w:rsidP="00434DD9">
      <w:pPr>
        <w:rPr>
          <w:rFonts w:ascii="Arial" w:hAnsi="Arial" w:cs="Arial"/>
          <w:sz w:val="22"/>
          <w:szCs w:val="22"/>
        </w:rPr>
      </w:pPr>
      <w:r w:rsidRPr="00EE1C5E">
        <w:rPr>
          <w:rFonts w:ascii="Arial" w:hAnsi="Arial" w:cs="Arial"/>
          <w:sz w:val="22"/>
          <w:szCs w:val="22"/>
        </w:rPr>
        <w:t>Where,</w:t>
      </w:r>
    </w:p>
    <w:p w:rsidR="00434DD9" w:rsidRPr="00EE1C5E" w:rsidRDefault="00434DD9" w:rsidP="00434DD9">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MBC</m:t>
            </m:r>
          </m:e>
          <m:sub>
            <m:r>
              <w:rPr>
                <w:rFonts w:ascii="Cambria Math" w:hAnsi="Cambria Math" w:cs="Arial"/>
                <w:sz w:val="22"/>
                <w:szCs w:val="22"/>
              </w:rPr>
              <m:t>CZ</m:t>
            </m:r>
          </m:sub>
        </m:sSub>
      </m:oMath>
      <w:r w:rsidRPr="00EE1C5E">
        <w:rPr>
          <w:rFonts w:ascii="Arial" w:hAnsi="Arial" w:cs="Arial"/>
          <w:sz w:val="22"/>
          <w:szCs w:val="22"/>
        </w:rPr>
        <w:t xml:space="preserve"> </w:t>
      </w:r>
      <w:r w:rsidRPr="00EE1C5E">
        <w:rPr>
          <w:rFonts w:ascii="Arial" w:hAnsi="Arial" w:cs="Arial"/>
          <w:sz w:val="22"/>
          <w:szCs w:val="22"/>
        </w:rPr>
        <w:tab/>
        <w:t xml:space="preserve">= material </w:t>
      </w:r>
      <w:r w:rsidR="00D713F9" w:rsidRPr="00EE1C5E">
        <w:rPr>
          <w:rFonts w:ascii="Arial" w:hAnsi="Arial" w:cs="Arial"/>
          <w:sz w:val="22"/>
          <w:szCs w:val="22"/>
        </w:rPr>
        <w:t xml:space="preserve">base case </w:t>
      </w:r>
      <w:r w:rsidRPr="00EE1C5E">
        <w:rPr>
          <w:rFonts w:ascii="Arial" w:hAnsi="Arial" w:cs="Arial"/>
          <w:sz w:val="22"/>
          <w:szCs w:val="22"/>
        </w:rPr>
        <w:t xml:space="preserve">cost for climate zone, </w:t>
      </w:r>
      <w:r w:rsidR="00D713F9" w:rsidRPr="00EE1C5E">
        <w:rPr>
          <w:rFonts w:ascii="Arial" w:hAnsi="Arial" w:cs="Arial"/>
          <w:sz w:val="22"/>
          <w:szCs w:val="22"/>
        </w:rPr>
        <w:t>$ per kBTUh</w:t>
      </w:r>
    </w:p>
    <w:p w:rsidR="00D713F9" w:rsidRPr="00EE1C5E" w:rsidRDefault="00434DD9" w:rsidP="00D713F9">
      <w:pPr>
        <w:rPr>
          <w:rFonts w:ascii="Arial" w:hAnsi="Arial" w:cs="Arial"/>
          <w:sz w:val="22"/>
          <w:szCs w:val="22"/>
        </w:rPr>
      </w:pPr>
      <w:r w:rsidRPr="00EE1C5E">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MC</m:t>
            </m:r>
          </m:e>
          <m:sub>
            <m:r>
              <w:rPr>
                <w:rFonts w:ascii="Cambria Math" w:hAnsi="Arial" w:cs="Arial"/>
                <w:sz w:val="22"/>
                <w:szCs w:val="22"/>
              </w:rPr>
              <m:t>B</m:t>
            </m:r>
          </m:sub>
        </m:sSub>
      </m:oMath>
      <w:r w:rsidRPr="00EE1C5E">
        <w:rPr>
          <w:rFonts w:ascii="Arial" w:hAnsi="Arial" w:cs="Arial"/>
          <w:sz w:val="22"/>
          <w:szCs w:val="22"/>
        </w:rPr>
        <w:t xml:space="preserve">    = </w:t>
      </w:r>
      <w:r w:rsidR="00D713F9" w:rsidRPr="00EE1C5E">
        <w:rPr>
          <w:rFonts w:ascii="Arial" w:hAnsi="Arial" w:cs="Arial"/>
          <w:sz w:val="22"/>
          <w:szCs w:val="22"/>
        </w:rPr>
        <w:t>DEER material cost</w:t>
      </w:r>
      <w:r w:rsidRPr="00EE1C5E">
        <w:rPr>
          <w:rFonts w:ascii="Arial" w:hAnsi="Arial" w:cs="Arial"/>
          <w:sz w:val="22"/>
          <w:szCs w:val="22"/>
        </w:rPr>
        <w:t xml:space="preserve">, </w:t>
      </w:r>
      <w:r w:rsidR="00D713F9" w:rsidRPr="00EE1C5E">
        <w:rPr>
          <w:rFonts w:ascii="Arial" w:hAnsi="Arial" w:cs="Arial"/>
          <w:sz w:val="22"/>
          <w:szCs w:val="22"/>
        </w:rPr>
        <w:t>$ per kBTUh</w:t>
      </w:r>
    </w:p>
    <w:p w:rsidR="00434DD9" w:rsidRPr="00EE1C5E" w:rsidRDefault="00D713F9" w:rsidP="00434DD9">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MCM</m:t>
            </m:r>
          </m:e>
          <m:sub>
            <m:r>
              <w:rPr>
                <w:rFonts w:ascii="Cambria Math" w:hAnsi="Cambria Math" w:cs="Arial"/>
                <w:sz w:val="22"/>
                <w:szCs w:val="22"/>
              </w:rPr>
              <m:t>CZ</m:t>
            </m:r>
          </m:sub>
        </m:sSub>
      </m:oMath>
      <w:r w:rsidRPr="00EE1C5E">
        <w:rPr>
          <w:rFonts w:ascii="Arial" w:hAnsi="Arial" w:cs="Arial"/>
          <w:sz w:val="22"/>
          <w:szCs w:val="22"/>
        </w:rPr>
        <w:t>= material cost multiplier for climate zone, no units</w:t>
      </w:r>
    </w:p>
    <w:p w:rsidR="00D713F9" w:rsidRPr="00EE1C5E" w:rsidRDefault="00D713F9" w:rsidP="00434DD9">
      <w:pPr>
        <w:rPr>
          <w:rFonts w:ascii="Arial" w:hAnsi="Arial" w:cs="Arial"/>
          <w:sz w:val="22"/>
          <w:szCs w:val="22"/>
        </w:rPr>
      </w:pPr>
    </w:p>
    <w:p w:rsidR="00D713F9" w:rsidRPr="00EE1C5E" w:rsidRDefault="00D713F9" w:rsidP="00434DD9">
      <w:pPr>
        <w:rPr>
          <w:rFonts w:ascii="Arial" w:hAnsi="Arial" w:cs="Arial"/>
          <w:sz w:val="22"/>
          <w:szCs w:val="22"/>
        </w:rPr>
      </w:pPr>
      <w:r w:rsidRPr="00EE1C5E">
        <w:rPr>
          <w:rFonts w:ascii="Arial" w:hAnsi="Arial" w:cs="Arial"/>
          <w:sz w:val="22"/>
          <w:szCs w:val="22"/>
        </w:rPr>
        <w:t>Labor costs are calculated as:</w:t>
      </w:r>
    </w:p>
    <w:p w:rsidR="00D713F9" w:rsidRPr="00EE1C5E" w:rsidRDefault="00D713F9" w:rsidP="00434DD9">
      <w:pPr>
        <w:rPr>
          <w:rFonts w:ascii="Arial" w:hAnsi="Arial" w:cs="Arial"/>
          <w:sz w:val="22"/>
          <w:szCs w:val="22"/>
        </w:rPr>
      </w:pPr>
    </w:p>
    <w:p w:rsidR="00D713F9" w:rsidRPr="00EE1C5E" w:rsidRDefault="00F85990" w:rsidP="00D713F9">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LC</m:t>
              </m:r>
            </m:e>
            <m:sub>
              <m:r>
                <w:rPr>
                  <w:rFonts w:ascii="Cambria Math" w:hAnsi="Cambria Math" w:cs="Arial"/>
                  <w:sz w:val="22"/>
                  <w:szCs w:val="22"/>
                </w:rPr>
                <m:t>CZ</m:t>
              </m:r>
            </m:sub>
          </m:sSub>
          <m:r>
            <w:rPr>
              <w:rFonts w:ascii="Cambria Math" w:hAnsi="Arial" w:cs="Arial"/>
              <w:sz w:val="22"/>
              <w:szCs w:val="22"/>
            </w:rPr>
            <m:t>=LC</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LCM</m:t>
              </m:r>
            </m:e>
            <m:sub>
              <m:r>
                <w:rPr>
                  <w:rFonts w:ascii="Cambria Math" w:hAnsi="Cambria Math" w:cs="Arial"/>
                  <w:sz w:val="22"/>
                  <w:szCs w:val="22"/>
                </w:rPr>
                <m:t>CZ</m:t>
              </m:r>
            </m:sub>
          </m:sSub>
        </m:oMath>
      </m:oMathPara>
    </w:p>
    <w:p w:rsidR="00D713F9" w:rsidRPr="00EE1C5E" w:rsidRDefault="00D713F9" w:rsidP="00434DD9">
      <w:pPr>
        <w:rPr>
          <w:rFonts w:ascii="Arial" w:hAnsi="Arial" w:cs="Arial"/>
          <w:sz w:val="22"/>
          <w:szCs w:val="22"/>
        </w:rPr>
      </w:pPr>
    </w:p>
    <w:p w:rsidR="00D713F9" w:rsidRPr="00EE1C5E" w:rsidRDefault="00D713F9" w:rsidP="00D713F9">
      <w:pPr>
        <w:rPr>
          <w:rFonts w:ascii="Arial" w:hAnsi="Arial" w:cs="Arial"/>
          <w:sz w:val="22"/>
          <w:szCs w:val="22"/>
        </w:rPr>
      </w:pPr>
      <w:r w:rsidRPr="00EE1C5E">
        <w:rPr>
          <w:rFonts w:ascii="Arial" w:hAnsi="Arial" w:cs="Arial"/>
          <w:sz w:val="22"/>
          <w:szCs w:val="22"/>
        </w:rPr>
        <w:t>Where,</w:t>
      </w:r>
    </w:p>
    <w:p w:rsidR="00D713F9" w:rsidRPr="00EE1C5E" w:rsidRDefault="00D713F9" w:rsidP="00D713F9">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LC</m:t>
            </m:r>
          </m:e>
          <m:sub>
            <m:r>
              <w:rPr>
                <w:rFonts w:ascii="Cambria Math" w:hAnsi="Cambria Math" w:cs="Arial"/>
                <w:sz w:val="22"/>
                <w:szCs w:val="22"/>
              </w:rPr>
              <m:t>CZ</m:t>
            </m:r>
          </m:sub>
        </m:sSub>
      </m:oMath>
      <w:r w:rsidR="008E5027" w:rsidRPr="00EE1C5E">
        <w:rPr>
          <w:rFonts w:ascii="Arial" w:hAnsi="Arial" w:cs="Arial"/>
          <w:sz w:val="22"/>
          <w:szCs w:val="22"/>
        </w:rPr>
        <w:t xml:space="preserve"> </w:t>
      </w:r>
      <w:r w:rsidR="008E5027" w:rsidRPr="00EE1C5E">
        <w:rPr>
          <w:rFonts w:ascii="Arial" w:hAnsi="Arial" w:cs="Arial"/>
          <w:sz w:val="22"/>
          <w:szCs w:val="22"/>
        </w:rPr>
        <w:tab/>
        <w:t xml:space="preserve">= labor </w:t>
      </w:r>
      <w:r w:rsidRPr="00EE1C5E">
        <w:rPr>
          <w:rFonts w:ascii="Arial" w:hAnsi="Arial" w:cs="Arial"/>
          <w:sz w:val="22"/>
          <w:szCs w:val="22"/>
        </w:rPr>
        <w:t>cost for climate zone, $ per kBTUh</w:t>
      </w:r>
    </w:p>
    <w:p w:rsidR="00D713F9" w:rsidRPr="00EE1C5E" w:rsidRDefault="00D713F9" w:rsidP="00D713F9">
      <w:pPr>
        <w:rPr>
          <w:rFonts w:ascii="Arial" w:hAnsi="Arial" w:cs="Arial"/>
          <w:sz w:val="22"/>
          <w:szCs w:val="22"/>
        </w:rPr>
      </w:pPr>
      <w:r w:rsidRPr="00EE1C5E">
        <w:rPr>
          <w:rFonts w:ascii="Arial" w:hAnsi="Arial" w:cs="Arial"/>
          <w:sz w:val="22"/>
          <w:szCs w:val="22"/>
        </w:rPr>
        <w:t xml:space="preserve">            </w:t>
      </w:r>
      <m:oMath>
        <m:r>
          <w:rPr>
            <w:rFonts w:ascii="Cambria Math" w:hAnsi="Arial" w:cs="Arial"/>
            <w:sz w:val="22"/>
            <w:szCs w:val="22"/>
          </w:rPr>
          <m:t>LC</m:t>
        </m:r>
      </m:oMath>
      <w:r w:rsidRPr="00EE1C5E">
        <w:rPr>
          <w:rFonts w:ascii="Arial" w:hAnsi="Arial" w:cs="Arial"/>
          <w:sz w:val="22"/>
          <w:szCs w:val="22"/>
        </w:rPr>
        <w:t xml:space="preserve">     = DEER labor cost, $ per kBTUh</w:t>
      </w:r>
    </w:p>
    <w:p w:rsidR="00D713F9" w:rsidRDefault="00D713F9" w:rsidP="00D713F9">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LCM</m:t>
            </m:r>
          </m:e>
          <m:sub>
            <m:r>
              <w:rPr>
                <w:rFonts w:ascii="Cambria Math" w:hAnsi="Cambria Math" w:cs="Arial"/>
                <w:sz w:val="22"/>
                <w:szCs w:val="22"/>
              </w:rPr>
              <m:t>CZ</m:t>
            </m:r>
          </m:sub>
        </m:sSub>
      </m:oMath>
      <w:r w:rsidRPr="00EE1C5E">
        <w:rPr>
          <w:rFonts w:ascii="Arial" w:hAnsi="Arial" w:cs="Arial"/>
          <w:sz w:val="22"/>
          <w:szCs w:val="22"/>
        </w:rPr>
        <w:t>= labor cost multiplier for climate zone, no units</w:t>
      </w:r>
    </w:p>
    <w:p w:rsidR="00434DD9" w:rsidRPr="00591D1C" w:rsidRDefault="00434DD9" w:rsidP="00434DD9">
      <w:pPr>
        <w:rPr>
          <w:rFonts w:ascii="Arial" w:hAnsi="Arial" w:cs="Arial"/>
          <w:sz w:val="22"/>
          <w:szCs w:val="22"/>
        </w:rPr>
      </w:pPr>
    </w:p>
    <w:p w:rsidR="003F4FFF" w:rsidRPr="00591D1C" w:rsidRDefault="003F4FFF" w:rsidP="00864083">
      <w:pPr>
        <w:pStyle w:val="Heading2"/>
        <w:keepLines/>
        <w:spacing w:before="0" w:after="0"/>
      </w:pPr>
      <w:bookmarkStart w:id="71" w:name="_Toc386966991"/>
      <w:r w:rsidRPr="00591D1C">
        <w:t>4.2 Measure Case Costs</w:t>
      </w:r>
      <w:bookmarkEnd w:id="71"/>
    </w:p>
    <w:p w:rsidR="003F4FFF" w:rsidRPr="00591D1C" w:rsidRDefault="003F4FFF" w:rsidP="00864083">
      <w:pPr>
        <w:rPr>
          <w:rFonts w:ascii="Arial" w:hAnsi="Arial" w:cs="Arial"/>
          <w:sz w:val="22"/>
          <w:szCs w:val="22"/>
        </w:rPr>
      </w:pPr>
      <w:r w:rsidRPr="00591D1C">
        <w:rPr>
          <w:rFonts w:ascii="Arial" w:hAnsi="Arial" w:cs="Arial"/>
          <w:sz w:val="22"/>
          <w:szCs w:val="22"/>
        </w:rPr>
        <w:t>The following Measure Application Types are appropriate to these measures. The Measure Case Costs are:</w:t>
      </w:r>
    </w:p>
    <w:p w:rsidR="00881640" w:rsidRPr="00591D1C" w:rsidRDefault="00881640" w:rsidP="00864083">
      <w:pPr>
        <w:pStyle w:val="Caption"/>
        <w:keepNext/>
        <w:jc w:val="center"/>
        <w:rPr>
          <w:rFonts w:ascii="Arial" w:hAnsi="Arial" w:cs="Arial"/>
          <w:sz w:val="22"/>
          <w:szCs w:val="22"/>
        </w:rPr>
      </w:pPr>
      <w:bookmarkStart w:id="72" w:name="_Toc327374755"/>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7"/>
        <w:gridCol w:w="1332"/>
        <w:gridCol w:w="1881"/>
        <w:gridCol w:w="1268"/>
        <w:gridCol w:w="1328"/>
        <w:gridCol w:w="1484"/>
        <w:gridCol w:w="1080"/>
      </w:tblGrid>
      <w:tr w:rsidR="0094574A" w:rsidRPr="00591D1C" w:rsidTr="00CF3999">
        <w:tc>
          <w:tcPr>
            <w:tcW w:w="1077" w:type="dxa"/>
            <w:shd w:val="clear" w:color="auto" w:fill="auto"/>
            <w:vAlign w:val="center"/>
          </w:tcPr>
          <w:p w:rsidR="0094574A" w:rsidRPr="00591D1C" w:rsidRDefault="0094574A" w:rsidP="00CF3999">
            <w:pPr>
              <w:jc w:val="center"/>
              <w:rPr>
                <w:rFonts w:ascii="Arial" w:hAnsi="Arial" w:cs="Arial"/>
                <w:b/>
                <w:sz w:val="20"/>
                <w:szCs w:val="20"/>
              </w:rPr>
            </w:pPr>
            <w:r w:rsidRPr="00591D1C">
              <w:rPr>
                <w:rFonts w:ascii="Arial" w:hAnsi="Arial" w:cs="Arial"/>
                <w:b/>
                <w:sz w:val="20"/>
                <w:szCs w:val="20"/>
              </w:rPr>
              <w:t>Measure Code</w:t>
            </w:r>
          </w:p>
        </w:tc>
        <w:tc>
          <w:tcPr>
            <w:tcW w:w="1332" w:type="dxa"/>
            <w:shd w:val="clear" w:color="auto" w:fill="auto"/>
            <w:vAlign w:val="center"/>
          </w:tcPr>
          <w:p w:rsidR="0094574A" w:rsidRPr="00591D1C" w:rsidRDefault="0094574A" w:rsidP="00CF3999">
            <w:pPr>
              <w:jc w:val="center"/>
              <w:rPr>
                <w:rFonts w:ascii="Arial" w:hAnsi="Arial" w:cs="Arial"/>
                <w:b/>
                <w:sz w:val="20"/>
                <w:szCs w:val="20"/>
              </w:rPr>
            </w:pPr>
            <w:r w:rsidRPr="00591D1C">
              <w:rPr>
                <w:rFonts w:ascii="Arial" w:hAnsi="Arial" w:cs="Arial"/>
                <w:b/>
                <w:sz w:val="20"/>
                <w:szCs w:val="20"/>
              </w:rPr>
              <w:t>Measure Application Type</w:t>
            </w:r>
          </w:p>
        </w:tc>
        <w:tc>
          <w:tcPr>
            <w:tcW w:w="1881" w:type="dxa"/>
            <w:shd w:val="clear" w:color="auto" w:fill="auto"/>
            <w:vAlign w:val="center"/>
          </w:tcPr>
          <w:p w:rsidR="0094574A" w:rsidRPr="00591D1C" w:rsidRDefault="0094574A" w:rsidP="00CF3999">
            <w:pPr>
              <w:jc w:val="center"/>
              <w:rPr>
                <w:rFonts w:ascii="Arial" w:hAnsi="Arial" w:cs="Arial"/>
                <w:b/>
                <w:sz w:val="20"/>
                <w:szCs w:val="20"/>
              </w:rPr>
            </w:pPr>
            <w:r w:rsidRPr="00591D1C">
              <w:rPr>
                <w:rFonts w:ascii="Arial" w:hAnsi="Arial" w:cs="Arial"/>
                <w:b/>
                <w:sz w:val="20"/>
                <w:szCs w:val="20"/>
              </w:rPr>
              <w:t>Baseline</w:t>
            </w:r>
          </w:p>
        </w:tc>
        <w:tc>
          <w:tcPr>
            <w:tcW w:w="1268" w:type="dxa"/>
            <w:shd w:val="clear" w:color="auto" w:fill="auto"/>
            <w:vAlign w:val="center"/>
          </w:tcPr>
          <w:p w:rsidR="0094574A" w:rsidRPr="00591D1C" w:rsidRDefault="0094574A" w:rsidP="00CF3999">
            <w:pPr>
              <w:jc w:val="center"/>
              <w:rPr>
                <w:rFonts w:ascii="Arial" w:hAnsi="Arial" w:cs="Arial"/>
                <w:b/>
                <w:sz w:val="20"/>
                <w:szCs w:val="20"/>
              </w:rPr>
            </w:pPr>
            <w:r w:rsidRPr="00591D1C">
              <w:rPr>
                <w:rFonts w:ascii="Arial" w:hAnsi="Arial" w:cs="Arial"/>
                <w:b/>
                <w:sz w:val="20"/>
                <w:szCs w:val="20"/>
              </w:rPr>
              <w:t>Average Equipment Cost</w:t>
            </w:r>
          </w:p>
        </w:tc>
        <w:tc>
          <w:tcPr>
            <w:tcW w:w="1328" w:type="dxa"/>
            <w:shd w:val="clear" w:color="auto" w:fill="auto"/>
            <w:vAlign w:val="center"/>
          </w:tcPr>
          <w:p w:rsidR="0094574A" w:rsidRPr="00591D1C" w:rsidRDefault="0094574A" w:rsidP="00CF3999">
            <w:pPr>
              <w:jc w:val="center"/>
              <w:rPr>
                <w:rFonts w:ascii="Arial" w:hAnsi="Arial" w:cs="Arial"/>
                <w:b/>
                <w:sz w:val="20"/>
                <w:szCs w:val="20"/>
              </w:rPr>
            </w:pPr>
            <w:r w:rsidRPr="00591D1C">
              <w:rPr>
                <w:rFonts w:ascii="Arial" w:hAnsi="Arial" w:cs="Arial"/>
                <w:b/>
                <w:sz w:val="20"/>
                <w:szCs w:val="20"/>
              </w:rPr>
              <w:t>Average Labor / Installation Cost</w:t>
            </w:r>
          </w:p>
        </w:tc>
        <w:tc>
          <w:tcPr>
            <w:tcW w:w="1484" w:type="dxa"/>
            <w:shd w:val="clear" w:color="auto" w:fill="auto"/>
            <w:vAlign w:val="center"/>
          </w:tcPr>
          <w:p w:rsidR="0094574A" w:rsidRPr="00591D1C" w:rsidRDefault="0094574A" w:rsidP="00CF3999">
            <w:pPr>
              <w:jc w:val="center"/>
              <w:rPr>
                <w:rFonts w:ascii="Arial" w:hAnsi="Arial" w:cs="Arial"/>
                <w:b/>
                <w:sz w:val="20"/>
                <w:szCs w:val="20"/>
              </w:rPr>
            </w:pPr>
            <w:r w:rsidRPr="00591D1C">
              <w:rPr>
                <w:rFonts w:ascii="Arial" w:hAnsi="Arial" w:cs="Arial"/>
                <w:b/>
                <w:sz w:val="20"/>
                <w:szCs w:val="20"/>
              </w:rPr>
              <w:t>Maintenance / Other Cost</w:t>
            </w:r>
          </w:p>
        </w:tc>
        <w:tc>
          <w:tcPr>
            <w:tcW w:w="1080" w:type="dxa"/>
            <w:shd w:val="clear" w:color="auto" w:fill="auto"/>
            <w:vAlign w:val="center"/>
          </w:tcPr>
          <w:p w:rsidR="0094574A" w:rsidRPr="00591D1C" w:rsidRDefault="0094574A" w:rsidP="00CF3999">
            <w:pPr>
              <w:jc w:val="center"/>
              <w:rPr>
                <w:rFonts w:ascii="Arial" w:hAnsi="Arial" w:cs="Arial"/>
                <w:b/>
                <w:sz w:val="20"/>
                <w:szCs w:val="20"/>
              </w:rPr>
            </w:pPr>
            <w:r w:rsidRPr="00591D1C">
              <w:rPr>
                <w:rFonts w:ascii="Arial" w:hAnsi="Arial" w:cs="Arial"/>
                <w:b/>
                <w:sz w:val="20"/>
                <w:szCs w:val="20"/>
              </w:rPr>
              <w:t xml:space="preserve">Average Total </w:t>
            </w:r>
            <w:r w:rsidR="004C686B" w:rsidRPr="00591D1C">
              <w:rPr>
                <w:rFonts w:ascii="Arial" w:hAnsi="Arial" w:cs="Arial"/>
                <w:b/>
                <w:sz w:val="20"/>
                <w:szCs w:val="20"/>
              </w:rPr>
              <w:t>Measure</w:t>
            </w:r>
            <w:r w:rsidRPr="00591D1C">
              <w:rPr>
                <w:rFonts w:ascii="Arial" w:hAnsi="Arial" w:cs="Arial"/>
                <w:b/>
                <w:sz w:val="20"/>
                <w:szCs w:val="20"/>
              </w:rPr>
              <w:t xml:space="preserve"> Case Cost</w:t>
            </w:r>
          </w:p>
        </w:tc>
      </w:tr>
      <w:tr w:rsidR="00403978" w:rsidRPr="00591D1C" w:rsidTr="00CF3999">
        <w:tc>
          <w:tcPr>
            <w:tcW w:w="1077" w:type="dxa"/>
            <w:shd w:val="clear" w:color="auto" w:fill="auto"/>
            <w:vAlign w:val="center"/>
          </w:tcPr>
          <w:p w:rsidR="00403978" w:rsidRPr="00591D1C" w:rsidRDefault="00403978" w:rsidP="00CF3999">
            <w:pPr>
              <w:rPr>
                <w:rFonts w:ascii="Arial" w:hAnsi="Arial" w:cs="Arial"/>
                <w:sz w:val="20"/>
                <w:szCs w:val="20"/>
              </w:rPr>
            </w:pPr>
            <w:r w:rsidRPr="00591D1C">
              <w:rPr>
                <w:rFonts w:ascii="Arial" w:hAnsi="Arial" w:cs="Arial"/>
                <w:sz w:val="20"/>
                <w:szCs w:val="20"/>
              </w:rPr>
              <w:t>H11</w:t>
            </w:r>
          </w:p>
        </w:tc>
        <w:tc>
          <w:tcPr>
            <w:tcW w:w="1332" w:type="dxa"/>
            <w:shd w:val="clear" w:color="auto" w:fill="auto"/>
            <w:vAlign w:val="center"/>
          </w:tcPr>
          <w:p w:rsidR="00403978" w:rsidRPr="00591D1C" w:rsidRDefault="00403978" w:rsidP="00CF3999">
            <w:pPr>
              <w:jc w:val="center"/>
              <w:rPr>
                <w:rFonts w:ascii="Arial" w:hAnsi="Arial" w:cs="Arial"/>
                <w:sz w:val="20"/>
                <w:szCs w:val="20"/>
              </w:rPr>
            </w:pPr>
            <w:r w:rsidRPr="00591D1C">
              <w:rPr>
                <w:rFonts w:ascii="Arial" w:hAnsi="Arial" w:cs="Arial"/>
                <w:sz w:val="20"/>
                <w:szCs w:val="20"/>
              </w:rPr>
              <w:t>ROB</w:t>
            </w:r>
          </w:p>
        </w:tc>
        <w:tc>
          <w:tcPr>
            <w:tcW w:w="1881" w:type="dxa"/>
            <w:shd w:val="clear" w:color="auto" w:fill="auto"/>
          </w:tcPr>
          <w:p w:rsidR="00403978" w:rsidRPr="00591D1C" w:rsidRDefault="00403978" w:rsidP="00CF3999">
            <w:pPr>
              <w:rPr>
                <w:rFonts w:ascii="Arial" w:hAnsi="Arial" w:cs="Arial"/>
                <w:sz w:val="20"/>
                <w:szCs w:val="20"/>
              </w:rPr>
            </w:pPr>
            <w:r w:rsidRPr="00591D1C">
              <w:rPr>
                <w:rFonts w:ascii="Arial" w:hAnsi="Arial" w:cs="Arial"/>
                <w:sz w:val="20"/>
                <w:szCs w:val="20"/>
              </w:rPr>
              <w:t>Title 20 – compliant natural gas large hot water boiler (&gt;300 kBTUh)</w:t>
            </w:r>
          </w:p>
        </w:tc>
        <w:tc>
          <w:tcPr>
            <w:tcW w:w="1268" w:type="dxa"/>
            <w:shd w:val="clear" w:color="auto" w:fill="auto"/>
            <w:vAlign w:val="center"/>
          </w:tcPr>
          <w:p w:rsidR="00403978" w:rsidRPr="00591D1C" w:rsidRDefault="00403978" w:rsidP="00F34071">
            <w:pPr>
              <w:jc w:val="center"/>
              <w:rPr>
                <w:rFonts w:ascii="Arial" w:hAnsi="Arial" w:cs="Arial"/>
                <w:sz w:val="20"/>
                <w:szCs w:val="20"/>
              </w:rPr>
            </w:pPr>
            <w:r w:rsidRPr="00591D1C">
              <w:rPr>
                <w:rFonts w:ascii="Arial" w:hAnsi="Arial" w:cs="Arial"/>
                <w:sz w:val="20"/>
                <w:szCs w:val="20"/>
              </w:rPr>
              <w:t>$</w:t>
            </w:r>
            <w:r w:rsidR="00F1114F">
              <w:rPr>
                <w:rFonts w:ascii="Arial" w:hAnsi="Arial" w:cs="Arial"/>
                <w:sz w:val="20"/>
                <w:szCs w:val="20"/>
              </w:rPr>
              <w:t>9.</w:t>
            </w:r>
            <w:r w:rsidR="00F34071">
              <w:rPr>
                <w:rFonts w:ascii="Arial" w:hAnsi="Arial" w:cs="Arial"/>
                <w:sz w:val="20"/>
                <w:szCs w:val="20"/>
              </w:rPr>
              <w:t>93</w:t>
            </w:r>
          </w:p>
        </w:tc>
        <w:tc>
          <w:tcPr>
            <w:tcW w:w="1328" w:type="dxa"/>
            <w:shd w:val="clear" w:color="auto" w:fill="auto"/>
            <w:vAlign w:val="center"/>
          </w:tcPr>
          <w:p w:rsidR="00403978" w:rsidRPr="00591D1C" w:rsidRDefault="00403978" w:rsidP="00F1114F">
            <w:pPr>
              <w:jc w:val="center"/>
              <w:rPr>
                <w:rFonts w:ascii="Arial" w:hAnsi="Arial" w:cs="Arial"/>
                <w:sz w:val="20"/>
                <w:szCs w:val="20"/>
              </w:rPr>
            </w:pPr>
            <w:r w:rsidRPr="00591D1C">
              <w:rPr>
                <w:rFonts w:ascii="Arial" w:hAnsi="Arial" w:cs="Arial"/>
                <w:sz w:val="20"/>
                <w:szCs w:val="20"/>
              </w:rPr>
              <w:t>$4.</w:t>
            </w:r>
            <w:r w:rsidR="00F1114F">
              <w:rPr>
                <w:rFonts w:ascii="Arial" w:hAnsi="Arial" w:cs="Arial"/>
                <w:sz w:val="20"/>
                <w:szCs w:val="20"/>
              </w:rPr>
              <w:t>90</w:t>
            </w:r>
          </w:p>
        </w:tc>
        <w:tc>
          <w:tcPr>
            <w:tcW w:w="1484" w:type="dxa"/>
            <w:shd w:val="clear" w:color="auto" w:fill="auto"/>
            <w:vAlign w:val="center"/>
          </w:tcPr>
          <w:p w:rsidR="00403978" w:rsidRPr="00591D1C" w:rsidRDefault="00403978" w:rsidP="00403978">
            <w:pPr>
              <w:jc w:val="center"/>
              <w:rPr>
                <w:rFonts w:ascii="Arial" w:hAnsi="Arial" w:cs="Arial"/>
                <w:sz w:val="20"/>
                <w:szCs w:val="20"/>
              </w:rPr>
            </w:pPr>
            <w:r w:rsidRPr="00591D1C">
              <w:rPr>
                <w:rFonts w:ascii="Arial" w:hAnsi="Arial" w:cs="Arial"/>
                <w:sz w:val="20"/>
                <w:szCs w:val="20"/>
              </w:rPr>
              <w:t>$ N/A</w:t>
            </w:r>
          </w:p>
        </w:tc>
        <w:tc>
          <w:tcPr>
            <w:tcW w:w="1080" w:type="dxa"/>
            <w:shd w:val="clear" w:color="auto" w:fill="auto"/>
            <w:vAlign w:val="center"/>
          </w:tcPr>
          <w:p w:rsidR="00403978" w:rsidRPr="00591D1C" w:rsidRDefault="00403978" w:rsidP="00F34071">
            <w:pPr>
              <w:jc w:val="center"/>
              <w:rPr>
                <w:rFonts w:ascii="Arial" w:hAnsi="Arial" w:cs="Arial"/>
                <w:sz w:val="20"/>
                <w:szCs w:val="20"/>
              </w:rPr>
            </w:pPr>
            <w:r w:rsidRPr="00591D1C">
              <w:rPr>
                <w:rFonts w:ascii="Arial" w:hAnsi="Arial" w:cs="Arial"/>
                <w:sz w:val="20"/>
                <w:szCs w:val="20"/>
              </w:rPr>
              <w:t>$</w:t>
            </w:r>
            <w:r w:rsidR="00F34071">
              <w:rPr>
                <w:rFonts w:ascii="Arial" w:hAnsi="Arial" w:cs="Arial"/>
                <w:sz w:val="20"/>
                <w:szCs w:val="20"/>
              </w:rPr>
              <w:t>14.83</w:t>
            </w:r>
          </w:p>
        </w:tc>
      </w:tr>
      <w:tr w:rsidR="00403978" w:rsidRPr="00591D1C" w:rsidTr="00CF3999">
        <w:tc>
          <w:tcPr>
            <w:tcW w:w="1077" w:type="dxa"/>
            <w:shd w:val="clear" w:color="auto" w:fill="auto"/>
            <w:vAlign w:val="center"/>
          </w:tcPr>
          <w:p w:rsidR="00403978" w:rsidRPr="00591D1C" w:rsidRDefault="00403978" w:rsidP="00594B8D">
            <w:pPr>
              <w:rPr>
                <w:rFonts w:ascii="Arial" w:hAnsi="Arial" w:cs="Arial"/>
                <w:sz w:val="20"/>
                <w:szCs w:val="20"/>
              </w:rPr>
            </w:pPr>
            <w:r w:rsidRPr="00591D1C">
              <w:rPr>
                <w:rFonts w:ascii="Arial" w:hAnsi="Arial" w:cs="Arial"/>
                <w:sz w:val="20"/>
                <w:szCs w:val="20"/>
              </w:rPr>
              <w:t>H15</w:t>
            </w:r>
          </w:p>
        </w:tc>
        <w:tc>
          <w:tcPr>
            <w:tcW w:w="1332" w:type="dxa"/>
            <w:shd w:val="clear" w:color="auto" w:fill="auto"/>
            <w:vAlign w:val="center"/>
          </w:tcPr>
          <w:p w:rsidR="00403978" w:rsidRPr="00591D1C" w:rsidRDefault="00403978" w:rsidP="00CF3999">
            <w:pPr>
              <w:jc w:val="center"/>
              <w:rPr>
                <w:rFonts w:ascii="Arial" w:hAnsi="Arial" w:cs="Arial"/>
                <w:sz w:val="20"/>
                <w:szCs w:val="20"/>
              </w:rPr>
            </w:pPr>
            <w:r w:rsidRPr="00591D1C">
              <w:rPr>
                <w:rFonts w:ascii="Arial" w:hAnsi="Arial" w:cs="Arial"/>
                <w:sz w:val="20"/>
                <w:szCs w:val="20"/>
              </w:rPr>
              <w:t>ROB</w:t>
            </w:r>
          </w:p>
        </w:tc>
        <w:tc>
          <w:tcPr>
            <w:tcW w:w="1881" w:type="dxa"/>
            <w:shd w:val="clear" w:color="auto" w:fill="auto"/>
          </w:tcPr>
          <w:p w:rsidR="00403978" w:rsidRPr="00591D1C" w:rsidRDefault="00403978" w:rsidP="00CF3999">
            <w:pPr>
              <w:rPr>
                <w:rFonts w:ascii="Arial" w:hAnsi="Arial" w:cs="Arial"/>
                <w:sz w:val="20"/>
                <w:szCs w:val="20"/>
              </w:rPr>
            </w:pPr>
            <w:r w:rsidRPr="00591D1C">
              <w:rPr>
                <w:rFonts w:ascii="Arial" w:hAnsi="Arial" w:cs="Arial"/>
                <w:sz w:val="20"/>
                <w:szCs w:val="20"/>
              </w:rPr>
              <w:t>Title 24 – compliant natural gas large steam boiler (&gt;300 kBTUh)</w:t>
            </w:r>
          </w:p>
        </w:tc>
        <w:tc>
          <w:tcPr>
            <w:tcW w:w="1268" w:type="dxa"/>
            <w:shd w:val="clear" w:color="auto" w:fill="auto"/>
            <w:vAlign w:val="center"/>
          </w:tcPr>
          <w:p w:rsidR="00403978" w:rsidRPr="00591D1C" w:rsidRDefault="00403978" w:rsidP="00CE2E24">
            <w:pPr>
              <w:jc w:val="center"/>
              <w:rPr>
                <w:rFonts w:ascii="Arial" w:hAnsi="Arial" w:cs="Arial"/>
                <w:sz w:val="20"/>
                <w:szCs w:val="20"/>
              </w:rPr>
            </w:pPr>
            <w:r w:rsidRPr="00591D1C">
              <w:rPr>
                <w:rFonts w:ascii="Arial" w:hAnsi="Arial" w:cs="Arial"/>
                <w:sz w:val="20"/>
                <w:szCs w:val="20"/>
              </w:rPr>
              <w:t>$1</w:t>
            </w:r>
            <w:r w:rsidR="00CE2E24">
              <w:rPr>
                <w:rFonts w:ascii="Arial" w:hAnsi="Arial" w:cs="Arial"/>
                <w:sz w:val="20"/>
                <w:szCs w:val="20"/>
              </w:rPr>
              <w:t>1</w:t>
            </w:r>
            <w:r w:rsidR="00F1114F">
              <w:rPr>
                <w:rFonts w:ascii="Arial" w:hAnsi="Arial" w:cs="Arial"/>
                <w:sz w:val="20"/>
                <w:szCs w:val="20"/>
              </w:rPr>
              <w:t>.82</w:t>
            </w:r>
          </w:p>
        </w:tc>
        <w:tc>
          <w:tcPr>
            <w:tcW w:w="1328" w:type="dxa"/>
            <w:shd w:val="clear" w:color="auto" w:fill="auto"/>
            <w:vAlign w:val="center"/>
          </w:tcPr>
          <w:p w:rsidR="00403978" w:rsidRPr="00591D1C" w:rsidRDefault="00403978" w:rsidP="00403978">
            <w:pPr>
              <w:jc w:val="center"/>
              <w:rPr>
                <w:rFonts w:ascii="Arial" w:hAnsi="Arial" w:cs="Arial"/>
                <w:sz w:val="20"/>
                <w:szCs w:val="20"/>
              </w:rPr>
            </w:pPr>
            <w:r w:rsidRPr="00591D1C">
              <w:rPr>
                <w:rFonts w:ascii="Arial" w:hAnsi="Arial" w:cs="Arial"/>
                <w:sz w:val="20"/>
                <w:szCs w:val="20"/>
              </w:rPr>
              <w:t>$5.</w:t>
            </w:r>
            <w:r w:rsidR="00F1114F">
              <w:rPr>
                <w:rFonts w:ascii="Arial" w:hAnsi="Arial" w:cs="Arial"/>
                <w:sz w:val="20"/>
                <w:szCs w:val="20"/>
              </w:rPr>
              <w:t>69</w:t>
            </w:r>
          </w:p>
        </w:tc>
        <w:tc>
          <w:tcPr>
            <w:tcW w:w="1484" w:type="dxa"/>
            <w:shd w:val="clear" w:color="auto" w:fill="auto"/>
            <w:vAlign w:val="center"/>
          </w:tcPr>
          <w:p w:rsidR="00403978" w:rsidRPr="00591D1C" w:rsidRDefault="00403978" w:rsidP="00403978">
            <w:pPr>
              <w:jc w:val="center"/>
              <w:rPr>
                <w:rFonts w:ascii="Arial" w:hAnsi="Arial" w:cs="Arial"/>
                <w:sz w:val="20"/>
                <w:szCs w:val="20"/>
              </w:rPr>
            </w:pPr>
            <w:r w:rsidRPr="00591D1C">
              <w:rPr>
                <w:rFonts w:ascii="Arial" w:hAnsi="Arial" w:cs="Arial"/>
                <w:sz w:val="20"/>
                <w:szCs w:val="20"/>
              </w:rPr>
              <w:t>$ N/A</w:t>
            </w:r>
          </w:p>
        </w:tc>
        <w:tc>
          <w:tcPr>
            <w:tcW w:w="1080" w:type="dxa"/>
            <w:shd w:val="clear" w:color="auto" w:fill="auto"/>
            <w:vAlign w:val="center"/>
          </w:tcPr>
          <w:p w:rsidR="00403978" w:rsidRPr="00591D1C" w:rsidRDefault="00403978" w:rsidP="00CE2E24">
            <w:pPr>
              <w:jc w:val="center"/>
              <w:rPr>
                <w:rFonts w:ascii="Arial" w:hAnsi="Arial" w:cs="Arial"/>
                <w:sz w:val="20"/>
                <w:szCs w:val="20"/>
              </w:rPr>
            </w:pPr>
            <w:r w:rsidRPr="00591D1C">
              <w:rPr>
                <w:rFonts w:ascii="Arial" w:hAnsi="Arial" w:cs="Arial"/>
                <w:sz w:val="20"/>
                <w:szCs w:val="20"/>
              </w:rPr>
              <w:t>$</w:t>
            </w:r>
            <w:r w:rsidR="00F1114F">
              <w:rPr>
                <w:rFonts w:ascii="Arial" w:hAnsi="Arial" w:cs="Arial"/>
                <w:sz w:val="20"/>
                <w:szCs w:val="20"/>
              </w:rPr>
              <w:t>1</w:t>
            </w:r>
            <w:r w:rsidR="00CE2E24">
              <w:rPr>
                <w:rFonts w:ascii="Arial" w:hAnsi="Arial" w:cs="Arial"/>
                <w:sz w:val="20"/>
                <w:szCs w:val="20"/>
              </w:rPr>
              <w:t>7</w:t>
            </w:r>
            <w:r w:rsidR="00F1114F">
              <w:rPr>
                <w:rFonts w:ascii="Arial" w:hAnsi="Arial" w:cs="Arial"/>
                <w:sz w:val="20"/>
                <w:szCs w:val="20"/>
              </w:rPr>
              <w:t>.51</w:t>
            </w:r>
          </w:p>
        </w:tc>
      </w:tr>
    </w:tbl>
    <w:bookmarkEnd w:id="72"/>
    <w:p w:rsidR="003F4FFF" w:rsidRPr="00591D1C" w:rsidRDefault="003F4FFF" w:rsidP="00864083">
      <w:pPr>
        <w:rPr>
          <w:rFonts w:ascii="Arial" w:hAnsi="Arial" w:cs="Arial"/>
          <w:i/>
          <w:sz w:val="20"/>
          <w:szCs w:val="20"/>
        </w:rPr>
      </w:pPr>
      <w:r w:rsidRPr="00591D1C">
        <w:rPr>
          <w:rFonts w:ascii="Arial" w:hAnsi="Arial" w:cs="Arial"/>
          <w:i/>
          <w:sz w:val="20"/>
          <w:szCs w:val="20"/>
        </w:rPr>
        <w:t xml:space="preserve">All costs are noted as $ per rated </w:t>
      </w:r>
      <w:r w:rsidR="0094574A" w:rsidRPr="00591D1C">
        <w:rPr>
          <w:rFonts w:ascii="Arial" w:hAnsi="Arial" w:cs="Arial"/>
          <w:i/>
          <w:sz w:val="20"/>
          <w:szCs w:val="20"/>
        </w:rPr>
        <w:t>k</w:t>
      </w:r>
      <w:r w:rsidR="00F3361F" w:rsidRPr="00591D1C">
        <w:rPr>
          <w:rFonts w:ascii="Arial" w:hAnsi="Arial" w:cs="Arial"/>
          <w:i/>
          <w:sz w:val="20"/>
          <w:szCs w:val="20"/>
        </w:rPr>
        <w:t>BTU</w:t>
      </w:r>
      <w:r w:rsidRPr="00591D1C">
        <w:rPr>
          <w:rFonts w:ascii="Arial" w:hAnsi="Arial" w:cs="Arial"/>
          <w:i/>
          <w:sz w:val="20"/>
          <w:szCs w:val="20"/>
        </w:rPr>
        <w:t>h</w:t>
      </w:r>
    </w:p>
    <w:p w:rsidR="005346A6" w:rsidRPr="00591D1C" w:rsidRDefault="005346A6" w:rsidP="005346A6">
      <w:pPr>
        <w:rPr>
          <w:rFonts w:ascii="Arial" w:hAnsi="Arial" w:cs="Arial"/>
          <w:sz w:val="22"/>
          <w:szCs w:val="22"/>
        </w:rPr>
      </w:pPr>
    </w:p>
    <w:p w:rsidR="00D713F9" w:rsidRPr="00D04D41" w:rsidRDefault="008E47A3" w:rsidP="00D713F9">
      <w:pPr>
        <w:rPr>
          <w:rFonts w:ascii="Arial" w:hAnsi="Arial" w:cs="Arial"/>
          <w:sz w:val="22"/>
          <w:szCs w:val="22"/>
        </w:rPr>
      </w:pPr>
      <w:r w:rsidRPr="00591D1C">
        <w:rPr>
          <w:rFonts w:ascii="Arial" w:hAnsi="Arial" w:cs="Arial"/>
          <w:sz w:val="22"/>
          <w:szCs w:val="22"/>
        </w:rPr>
        <w:t>Measure</w:t>
      </w:r>
      <w:r w:rsidR="00413149" w:rsidRPr="00591D1C">
        <w:rPr>
          <w:rFonts w:ascii="Arial" w:hAnsi="Arial" w:cs="Arial"/>
          <w:sz w:val="22"/>
          <w:szCs w:val="22"/>
        </w:rPr>
        <w:t xml:space="preserve"> case costs are taken d</w:t>
      </w:r>
      <w:r w:rsidR="00413149" w:rsidRPr="00D04D41">
        <w:rPr>
          <w:rFonts w:ascii="Arial" w:hAnsi="Arial" w:cs="Arial"/>
          <w:sz w:val="22"/>
          <w:szCs w:val="22"/>
        </w:rPr>
        <w:t xml:space="preserve">irectly from DEER for each measure. Material and labor costs are multiplied by a climate multiplier to account for cost variation in each climate zone. </w:t>
      </w:r>
      <w:r w:rsidRPr="00D04D41">
        <w:rPr>
          <w:rFonts w:ascii="Arial" w:hAnsi="Arial" w:cs="Arial"/>
          <w:sz w:val="22"/>
          <w:szCs w:val="22"/>
        </w:rPr>
        <w:t>C</w:t>
      </w:r>
      <w:r w:rsidR="00413149" w:rsidRPr="00D04D41">
        <w:rPr>
          <w:rFonts w:ascii="Arial" w:hAnsi="Arial" w:cs="Arial"/>
          <w:sz w:val="22"/>
          <w:szCs w:val="22"/>
        </w:rPr>
        <w:t xml:space="preserve">osts can be found in Appendix </w:t>
      </w:r>
      <w:r w:rsidR="00204D8E" w:rsidRPr="00D04D41">
        <w:rPr>
          <w:rFonts w:ascii="Arial" w:hAnsi="Arial" w:cs="Arial"/>
          <w:sz w:val="22"/>
          <w:szCs w:val="22"/>
        </w:rPr>
        <w:t>C</w:t>
      </w:r>
      <w:r w:rsidR="00E406EA">
        <w:fldChar w:fldCharType="begin"/>
      </w:r>
      <w:r w:rsidR="00E406EA">
        <w:instrText xml:space="preserve"> NOTEREF _Ref384041923 \h  \* MERGEFORMAT </w:instrText>
      </w:r>
      <w:r w:rsidR="00E406EA">
        <w:fldChar w:fldCharType="separate"/>
      </w:r>
      <w:r w:rsidR="006A644D" w:rsidRPr="006A644D">
        <w:rPr>
          <w:rFonts w:ascii="Arial" w:hAnsi="Arial" w:cs="Arial"/>
          <w:sz w:val="22"/>
          <w:szCs w:val="22"/>
          <w:vertAlign w:val="superscript"/>
        </w:rPr>
        <w:t>3</w:t>
      </w:r>
      <w:r w:rsidR="00E406EA">
        <w:fldChar w:fldCharType="end"/>
      </w:r>
      <w:r w:rsidR="00413149" w:rsidRPr="00D04D41">
        <w:rPr>
          <w:rFonts w:ascii="Arial" w:hAnsi="Arial" w:cs="Arial"/>
          <w:sz w:val="22"/>
          <w:szCs w:val="22"/>
        </w:rPr>
        <w:t>.</w:t>
      </w:r>
      <w:r w:rsidR="00D713F9" w:rsidRPr="00D04D41">
        <w:rPr>
          <w:rFonts w:ascii="Arial" w:hAnsi="Arial" w:cs="Arial"/>
          <w:sz w:val="22"/>
          <w:szCs w:val="22"/>
        </w:rPr>
        <w:t xml:space="preserve"> Material costs are calculated as:</w:t>
      </w:r>
    </w:p>
    <w:p w:rsidR="00D713F9" w:rsidRPr="00D04D41" w:rsidRDefault="00D713F9" w:rsidP="00D713F9">
      <w:pPr>
        <w:rPr>
          <w:rFonts w:ascii="Arial" w:hAnsi="Arial" w:cs="Arial"/>
          <w:color w:val="FF0000"/>
          <w:sz w:val="22"/>
          <w:szCs w:val="22"/>
        </w:rPr>
      </w:pPr>
    </w:p>
    <w:p w:rsidR="00D713F9" w:rsidRPr="00D04D41" w:rsidRDefault="00F85990" w:rsidP="00D713F9">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MMC</m:t>
              </m:r>
            </m:e>
            <m:sub>
              <m:r>
                <w:rPr>
                  <w:rFonts w:ascii="Cambria Math" w:hAnsi="Cambria Math" w:cs="Arial"/>
                  <w:sz w:val="22"/>
                  <w:szCs w:val="22"/>
                </w:rPr>
                <m:t>CZ</m:t>
              </m:r>
            </m:sub>
          </m:sSub>
          <m:r>
            <w:rPr>
              <w:rFonts w:ascii="Cambria Math" w:hAnsi="Arial" w:cs="Arial"/>
              <w:sz w:val="22"/>
              <w:szCs w:val="22"/>
            </w:rPr>
            <m:t>=</m:t>
          </m:r>
          <m:sSub>
            <m:sSubPr>
              <m:ctrlPr>
                <w:rPr>
                  <w:rFonts w:ascii="Cambria Math" w:hAnsi="Arial" w:cs="Arial"/>
                  <w:i/>
                  <w:sz w:val="22"/>
                  <w:szCs w:val="22"/>
                </w:rPr>
              </m:ctrlPr>
            </m:sSubPr>
            <m:e>
              <m:r>
                <w:rPr>
                  <w:rFonts w:ascii="Cambria Math" w:hAnsi="Arial" w:cs="Arial"/>
                  <w:sz w:val="22"/>
                  <w:szCs w:val="22"/>
                </w:rPr>
                <m:t>MC</m:t>
              </m:r>
            </m:e>
            <m:sub>
              <m:r>
                <w:rPr>
                  <w:rFonts w:ascii="Cambria Math" w:hAnsi="Arial" w:cs="Arial"/>
                  <w:sz w:val="22"/>
                  <w:szCs w:val="22"/>
                </w:rPr>
                <m:t>M</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MCM</m:t>
              </m:r>
            </m:e>
            <m:sub>
              <m:r>
                <w:rPr>
                  <w:rFonts w:ascii="Cambria Math" w:hAnsi="Cambria Math" w:cs="Arial"/>
                  <w:sz w:val="22"/>
                  <w:szCs w:val="22"/>
                </w:rPr>
                <m:t>CZ</m:t>
              </m:r>
            </m:sub>
          </m:sSub>
        </m:oMath>
      </m:oMathPara>
    </w:p>
    <w:p w:rsidR="00D713F9" w:rsidRPr="00D04D41" w:rsidRDefault="00D713F9" w:rsidP="00D713F9">
      <w:pPr>
        <w:rPr>
          <w:rFonts w:ascii="Arial" w:hAnsi="Arial" w:cs="Arial"/>
          <w:sz w:val="22"/>
          <w:szCs w:val="22"/>
        </w:rPr>
      </w:pPr>
    </w:p>
    <w:p w:rsidR="00D713F9" w:rsidRPr="00D04D41" w:rsidRDefault="00D713F9" w:rsidP="00D713F9">
      <w:pPr>
        <w:rPr>
          <w:rFonts w:ascii="Arial" w:hAnsi="Arial" w:cs="Arial"/>
          <w:sz w:val="22"/>
          <w:szCs w:val="22"/>
        </w:rPr>
      </w:pPr>
      <w:r w:rsidRPr="00D04D41">
        <w:rPr>
          <w:rFonts w:ascii="Arial" w:hAnsi="Arial" w:cs="Arial"/>
          <w:sz w:val="22"/>
          <w:szCs w:val="22"/>
        </w:rPr>
        <w:t>Where,</w:t>
      </w:r>
    </w:p>
    <w:p w:rsidR="00D713F9" w:rsidRPr="00D04D41" w:rsidRDefault="00D713F9" w:rsidP="00D713F9">
      <w:pPr>
        <w:rPr>
          <w:rFonts w:ascii="Arial" w:hAnsi="Arial" w:cs="Arial"/>
          <w:sz w:val="22"/>
          <w:szCs w:val="22"/>
        </w:rPr>
      </w:pPr>
      <w:r w:rsidRPr="00D04D41">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MMC</m:t>
            </m:r>
          </m:e>
          <m:sub>
            <m:r>
              <w:rPr>
                <w:rFonts w:ascii="Cambria Math" w:hAnsi="Cambria Math" w:cs="Arial"/>
                <w:sz w:val="22"/>
                <w:szCs w:val="22"/>
              </w:rPr>
              <m:t>CZ</m:t>
            </m:r>
          </m:sub>
        </m:sSub>
      </m:oMath>
      <w:r w:rsidRPr="00D04D41">
        <w:rPr>
          <w:rFonts w:ascii="Arial" w:hAnsi="Arial" w:cs="Arial"/>
          <w:sz w:val="22"/>
          <w:szCs w:val="22"/>
        </w:rPr>
        <w:t xml:space="preserve"> = material measure case cost for climate zone, $ per kBTUh</w:t>
      </w:r>
    </w:p>
    <w:p w:rsidR="00D713F9" w:rsidRPr="00D04D41" w:rsidRDefault="00D713F9" w:rsidP="00D713F9">
      <w:pPr>
        <w:rPr>
          <w:rFonts w:ascii="Arial" w:hAnsi="Arial" w:cs="Arial"/>
          <w:sz w:val="22"/>
          <w:szCs w:val="22"/>
        </w:rPr>
      </w:pPr>
      <w:r w:rsidRPr="00D04D41">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MC</m:t>
            </m:r>
          </m:e>
          <m:sub>
            <m:r>
              <w:rPr>
                <w:rFonts w:ascii="Cambria Math" w:hAnsi="Arial" w:cs="Arial"/>
                <w:sz w:val="22"/>
                <w:szCs w:val="22"/>
              </w:rPr>
              <m:t>M</m:t>
            </m:r>
          </m:sub>
        </m:sSub>
      </m:oMath>
      <w:r w:rsidRPr="00D04D41">
        <w:rPr>
          <w:rFonts w:ascii="Arial" w:hAnsi="Arial" w:cs="Arial"/>
          <w:sz w:val="22"/>
          <w:szCs w:val="22"/>
        </w:rPr>
        <w:t xml:space="preserve">    = DEER material </w:t>
      </w:r>
      <w:r w:rsidR="008E5027" w:rsidRPr="00D04D41">
        <w:rPr>
          <w:rFonts w:ascii="Arial" w:hAnsi="Arial" w:cs="Arial"/>
          <w:sz w:val="22"/>
          <w:szCs w:val="22"/>
        </w:rPr>
        <w:t xml:space="preserve">measure </w:t>
      </w:r>
      <w:r w:rsidRPr="00D04D41">
        <w:rPr>
          <w:rFonts w:ascii="Arial" w:hAnsi="Arial" w:cs="Arial"/>
          <w:sz w:val="22"/>
          <w:szCs w:val="22"/>
        </w:rPr>
        <w:t>cost, $ per kBTUh</w:t>
      </w:r>
    </w:p>
    <w:p w:rsidR="00407E31" w:rsidRPr="00D04D41" w:rsidRDefault="00407E31" w:rsidP="00407E31">
      <w:pPr>
        <w:rPr>
          <w:rFonts w:ascii="Arial" w:hAnsi="Arial" w:cs="Arial"/>
          <w:sz w:val="22"/>
          <w:szCs w:val="22"/>
        </w:rPr>
      </w:pPr>
      <w:r w:rsidRPr="00D04D41">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MCM</m:t>
            </m:r>
          </m:e>
          <m:sub>
            <m:r>
              <w:rPr>
                <w:rFonts w:ascii="Cambria Math" w:hAnsi="Cambria Math" w:cs="Arial"/>
                <w:sz w:val="22"/>
                <w:szCs w:val="22"/>
              </w:rPr>
              <m:t>CZ</m:t>
            </m:r>
          </m:sub>
        </m:sSub>
      </m:oMath>
      <w:r w:rsidRPr="00D04D41">
        <w:rPr>
          <w:rFonts w:ascii="Arial" w:hAnsi="Arial" w:cs="Arial"/>
          <w:sz w:val="22"/>
          <w:szCs w:val="22"/>
        </w:rPr>
        <w:t xml:space="preserve"> = material measure cost multiplier for climate zone, no units</w:t>
      </w:r>
    </w:p>
    <w:p w:rsidR="00407E31" w:rsidRPr="00D04D41" w:rsidRDefault="00407E31" w:rsidP="00D713F9">
      <w:pPr>
        <w:rPr>
          <w:rFonts w:ascii="Arial" w:hAnsi="Arial" w:cs="Arial"/>
          <w:sz w:val="22"/>
          <w:szCs w:val="22"/>
        </w:rPr>
      </w:pPr>
    </w:p>
    <w:p w:rsidR="00D713F9" w:rsidRPr="00D04D41" w:rsidRDefault="00D713F9" w:rsidP="00D713F9">
      <w:pPr>
        <w:rPr>
          <w:rFonts w:ascii="Arial" w:hAnsi="Arial" w:cs="Arial"/>
          <w:sz w:val="22"/>
          <w:szCs w:val="22"/>
        </w:rPr>
      </w:pPr>
    </w:p>
    <w:p w:rsidR="00D713F9" w:rsidRDefault="008E5027" w:rsidP="008E5027">
      <w:pPr>
        <w:rPr>
          <w:rFonts w:ascii="Arial" w:hAnsi="Arial" w:cs="Arial"/>
          <w:sz w:val="22"/>
          <w:szCs w:val="22"/>
        </w:rPr>
      </w:pPr>
      <w:r w:rsidRPr="00D04D41">
        <w:rPr>
          <w:rFonts w:ascii="Arial" w:hAnsi="Arial" w:cs="Arial"/>
          <w:sz w:val="22"/>
          <w:szCs w:val="22"/>
        </w:rPr>
        <w:t>L</w:t>
      </w:r>
      <w:r w:rsidR="00D713F9" w:rsidRPr="00D04D41">
        <w:rPr>
          <w:rFonts w:ascii="Arial" w:hAnsi="Arial" w:cs="Arial"/>
          <w:sz w:val="22"/>
          <w:szCs w:val="22"/>
        </w:rPr>
        <w:t xml:space="preserve">abor costs are </w:t>
      </w:r>
      <w:r w:rsidRPr="00D04D41">
        <w:rPr>
          <w:rFonts w:ascii="Arial" w:hAnsi="Arial" w:cs="Arial"/>
          <w:sz w:val="22"/>
          <w:szCs w:val="22"/>
        </w:rPr>
        <w:t>estimated to be the same as the base case labor cost. See Section 4.1 for calculations.</w:t>
      </w:r>
    </w:p>
    <w:p w:rsidR="00C40CE2" w:rsidRDefault="00C40CE2" w:rsidP="00864083">
      <w:pPr>
        <w:pStyle w:val="Heading2"/>
        <w:keepLines/>
        <w:spacing w:before="0" w:after="0"/>
        <w:sectPr w:rsidR="00C40CE2" w:rsidSect="00DD43C2">
          <w:endnotePr>
            <w:numFmt w:val="decimal"/>
          </w:endnotePr>
          <w:pgSz w:w="12240" w:h="15840"/>
          <w:pgMar w:top="1440" w:right="1440" w:bottom="1440" w:left="1440" w:header="720" w:footer="720" w:gutter="0"/>
          <w:pgNumType w:chapStyle="1"/>
          <w:cols w:space="720"/>
          <w:docGrid w:linePitch="360"/>
        </w:sectPr>
      </w:pPr>
    </w:p>
    <w:p w:rsidR="003F4FFF" w:rsidRPr="00594B8D" w:rsidRDefault="003F4FFF" w:rsidP="00864083">
      <w:pPr>
        <w:pStyle w:val="Heading2"/>
        <w:keepLines/>
        <w:spacing w:before="0" w:after="0"/>
      </w:pPr>
      <w:bookmarkStart w:id="73" w:name="_Toc386966992"/>
      <w:r w:rsidRPr="00594B8D">
        <w:t>4.3 Incremental &amp; Full Measure Costs</w:t>
      </w:r>
      <w:bookmarkEnd w:id="73"/>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4C686B" w:rsidRPr="00594B8D" w:rsidTr="000C6A67">
        <w:trPr>
          <w:trHeight w:val="255"/>
        </w:trPr>
        <w:tc>
          <w:tcPr>
            <w:tcW w:w="1305" w:type="dxa"/>
            <w:shd w:val="clear" w:color="auto" w:fill="0D0D0D"/>
            <w:noWrap/>
            <w:vAlign w:val="center"/>
          </w:tcPr>
          <w:p w:rsidR="004C686B" w:rsidRPr="00594B8D" w:rsidRDefault="004C686B" w:rsidP="000C6A67">
            <w:pPr>
              <w:jc w:val="center"/>
              <w:rPr>
                <w:rFonts w:ascii="Arial" w:hAnsi="Arial" w:cs="Arial"/>
                <w:b/>
                <w:sz w:val="20"/>
                <w:szCs w:val="20"/>
              </w:rPr>
            </w:pPr>
            <w:r w:rsidRPr="00594B8D">
              <w:rPr>
                <w:rFonts w:ascii="Arial" w:hAnsi="Arial" w:cs="Arial"/>
                <w:b/>
                <w:sz w:val="20"/>
                <w:szCs w:val="20"/>
              </w:rPr>
              <w:t>Measure Application Type</w:t>
            </w:r>
          </w:p>
        </w:tc>
        <w:tc>
          <w:tcPr>
            <w:tcW w:w="3213" w:type="dxa"/>
            <w:shd w:val="clear" w:color="auto" w:fill="0D0D0D"/>
            <w:vAlign w:val="center"/>
          </w:tcPr>
          <w:p w:rsidR="004C686B" w:rsidRPr="00594B8D" w:rsidRDefault="004C686B" w:rsidP="000C6A67">
            <w:pPr>
              <w:jc w:val="center"/>
              <w:rPr>
                <w:rFonts w:ascii="Arial" w:hAnsi="Arial" w:cs="Arial"/>
                <w:b/>
                <w:sz w:val="20"/>
                <w:szCs w:val="20"/>
              </w:rPr>
            </w:pPr>
            <w:r w:rsidRPr="00594B8D">
              <w:rPr>
                <w:rFonts w:ascii="Arial" w:hAnsi="Arial" w:cs="Arial"/>
                <w:b/>
                <w:sz w:val="20"/>
                <w:szCs w:val="20"/>
              </w:rPr>
              <w:t>Gross Measure Cost</w:t>
            </w:r>
          </w:p>
          <w:p w:rsidR="004C686B" w:rsidRPr="00594B8D" w:rsidRDefault="004C686B" w:rsidP="000C6A67">
            <w:pPr>
              <w:jc w:val="center"/>
              <w:rPr>
                <w:rFonts w:ascii="Arial" w:hAnsi="Arial" w:cs="Arial"/>
                <w:b/>
                <w:sz w:val="20"/>
                <w:szCs w:val="20"/>
              </w:rPr>
            </w:pPr>
            <w:r w:rsidRPr="00594B8D">
              <w:rPr>
                <w:rFonts w:ascii="Arial" w:hAnsi="Arial" w:cs="Arial"/>
                <w:b/>
                <w:sz w:val="20"/>
                <w:szCs w:val="20"/>
              </w:rPr>
              <w:t>(RUL Period/First Baseline)</w:t>
            </w:r>
          </w:p>
        </w:tc>
        <w:tc>
          <w:tcPr>
            <w:tcW w:w="2070" w:type="dxa"/>
            <w:shd w:val="clear" w:color="auto" w:fill="0D0D0D"/>
            <w:noWrap/>
            <w:vAlign w:val="center"/>
          </w:tcPr>
          <w:p w:rsidR="004C686B" w:rsidRPr="00594B8D" w:rsidRDefault="004C686B" w:rsidP="000C6A67">
            <w:pPr>
              <w:jc w:val="center"/>
              <w:rPr>
                <w:rFonts w:ascii="Arial" w:hAnsi="Arial" w:cs="Arial"/>
                <w:b/>
                <w:sz w:val="20"/>
                <w:szCs w:val="20"/>
              </w:rPr>
            </w:pPr>
            <w:r w:rsidRPr="00594B8D">
              <w:rPr>
                <w:rFonts w:ascii="Arial" w:hAnsi="Arial" w:cs="Arial"/>
                <w:b/>
                <w:sz w:val="20"/>
                <w:szCs w:val="20"/>
              </w:rPr>
              <w:t>Gross Measure Cost</w:t>
            </w:r>
          </w:p>
          <w:p w:rsidR="004C686B" w:rsidRPr="00594B8D" w:rsidRDefault="004C686B" w:rsidP="000C6A67">
            <w:pPr>
              <w:jc w:val="center"/>
              <w:rPr>
                <w:rFonts w:ascii="Arial" w:hAnsi="Arial" w:cs="Arial"/>
                <w:b/>
                <w:sz w:val="20"/>
                <w:szCs w:val="20"/>
              </w:rPr>
            </w:pPr>
            <w:r w:rsidRPr="00594B8D">
              <w:rPr>
                <w:rFonts w:ascii="Arial" w:hAnsi="Arial" w:cs="Arial"/>
                <w:b/>
                <w:sz w:val="20"/>
                <w:szCs w:val="20"/>
              </w:rPr>
              <w:t>(EUL-RUL Period/ Second Baseline)</w:t>
            </w:r>
          </w:p>
        </w:tc>
        <w:tc>
          <w:tcPr>
            <w:tcW w:w="2970" w:type="dxa"/>
            <w:shd w:val="clear" w:color="auto" w:fill="0D0D0D"/>
            <w:noWrap/>
            <w:vAlign w:val="center"/>
          </w:tcPr>
          <w:p w:rsidR="004C686B" w:rsidRPr="00594B8D" w:rsidRDefault="004C686B" w:rsidP="000C6A67">
            <w:pPr>
              <w:jc w:val="center"/>
              <w:rPr>
                <w:rFonts w:ascii="Arial" w:hAnsi="Arial" w:cs="Arial"/>
                <w:b/>
                <w:sz w:val="20"/>
                <w:szCs w:val="20"/>
              </w:rPr>
            </w:pPr>
            <w:r w:rsidRPr="00594B8D">
              <w:rPr>
                <w:rFonts w:ascii="Arial" w:hAnsi="Arial" w:cs="Arial"/>
                <w:b/>
                <w:sz w:val="20"/>
                <w:szCs w:val="20"/>
              </w:rPr>
              <w:t>Incremental Measure Cost</w:t>
            </w:r>
          </w:p>
        </w:tc>
      </w:tr>
      <w:tr w:rsidR="004C686B" w:rsidRPr="00594B8D" w:rsidTr="00F67B9D">
        <w:trPr>
          <w:trHeight w:val="255"/>
        </w:trPr>
        <w:tc>
          <w:tcPr>
            <w:tcW w:w="1305" w:type="dxa"/>
            <w:shd w:val="pct20" w:color="000000" w:fill="FFFFFF"/>
            <w:noWrap/>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ER</w:t>
            </w:r>
          </w:p>
        </w:tc>
        <w:tc>
          <w:tcPr>
            <w:tcW w:w="3213" w:type="dxa"/>
            <w:shd w:val="pct20" w:color="000000" w:fill="FFFFFF"/>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Measure Equipment Cost</w:t>
            </w:r>
          </w:p>
          <w:p w:rsidR="004C686B" w:rsidRPr="00594B8D" w:rsidRDefault="004C686B" w:rsidP="00F67B9D">
            <w:pPr>
              <w:jc w:val="center"/>
              <w:rPr>
                <w:rFonts w:ascii="Arial" w:hAnsi="Arial" w:cs="Arial"/>
                <w:sz w:val="20"/>
                <w:szCs w:val="20"/>
              </w:rPr>
            </w:pPr>
            <w:r w:rsidRPr="00594B8D">
              <w:rPr>
                <w:rFonts w:ascii="Arial" w:hAnsi="Arial" w:cs="Arial"/>
                <w:sz w:val="20"/>
                <w:szCs w:val="20"/>
              </w:rPr>
              <w:t>+Measure Labor Cost</w:t>
            </w:r>
          </w:p>
        </w:tc>
        <w:tc>
          <w:tcPr>
            <w:tcW w:w="2070" w:type="dxa"/>
            <w:shd w:val="pct20" w:color="000000" w:fill="FFFFFF"/>
            <w:noWrap/>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(-1)x(Base Equipment Cost</w:t>
            </w:r>
          </w:p>
          <w:p w:rsidR="004C686B" w:rsidRPr="00594B8D" w:rsidRDefault="004C686B" w:rsidP="00F67B9D">
            <w:pPr>
              <w:jc w:val="center"/>
              <w:rPr>
                <w:rFonts w:ascii="Arial" w:hAnsi="Arial" w:cs="Arial"/>
                <w:sz w:val="20"/>
                <w:szCs w:val="20"/>
              </w:rPr>
            </w:pPr>
            <w:r w:rsidRPr="00594B8D">
              <w:rPr>
                <w:rFonts w:ascii="Arial" w:hAnsi="Arial" w:cs="Arial"/>
                <w:sz w:val="20"/>
                <w:szCs w:val="20"/>
              </w:rPr>
              <w:t>+ Base Labor Cost)</w:t>
            </w:r>
          </w:p>
        </w:tc>
        <w:tc>
          <w:tcPr>
            <w:tcW w:w="2970" w:type="dxa"/>
            <w:shd w:val="pct20" w:color="000000" w:fill="FFFFFF"/>
            <w:noWrap/>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Measure Equipment Cost</w:t>
            </w:r>
          </w:p>
          <w:p w:rsidR="004C686B" w:rsidRPr="00594B8D" w:rsidRDefault="004C686B" w:rsidP="00F67B9D">
            <w:pPr>
              <w:jc w:val="center"/>
              <w:rPr>
                <w:rFonts w:ascii="Arial" w:hAnsi="Arial" w:cs="Arial"/>
                <w:sz w:val="20"/>
                <w:szCs w:val="20"/>
              </w:rPr>
            </w:pPr>
            <w:r w:rsidRPr="00594B8D">
              <w:rPr>
                <w:rFonts w:ascii="Arial" w:hAnsi="Arial" w:cs="Arial"/>
                <w:sz w:val="20"/>
                <w:szCs w:val="20"/>
              </w:rPr>
              <w:t>– Base Case Equipment Cost</w:t>
            </w:r>
          </w:p>
        </w:tc>
      </w:tr>
      <w:tr w:rsidR="004C686B" w:rsidRPr="00594B8D" w:rsidTr="00F67B9D">
        <w:trPr>
          <w:trHeight w:val="170"/>
        </w:trPr>
        <w:tc>
          <w:tcPr>
            <w:tcW w:w="1305" w:type="dxa"/>
            <w:shd w:val="pct5" w:color="000000" w:fill="FFFFFF"/>
            <w:noWrap/>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ROB</w:t>
            </w:r>
          </w:p>
        </w:tc>
        <w:tc>
          <w:tcPr>
            <w:tcW w:w="3213" w:type="dxa"/>
            <w:shd w:val="pct5" w:color="000000" w:fill="FFFFFF"/>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Measure Equipment Cost</w:t>
            </w:r>
          </w:p>
          <w:p w:rsidR="004C686B" w:rsidRPr="00594B8D" w:rsidRDefault="004C686B" w:rsidP="00F67B9D">
            <w:pPr>
              <w:jc w:val="center"/>
              <w:rPr>
                <w:rFonts w:ascii="Arial" w:hAnsi="Arial" w:cs="Arial"/>
                <w:sz w:val="20"/>
                <w:szCs w:val="20"/>
              </w:rPr>
            </w:pPr>
            <w:r w:rsidRPr="00594B8D">
              <w:rPr>
                <w:rFonts w:ascii="Arial" w:hAnsi="Arial" w:cs="Arial"/>
                <w:sz w:val="20"/>
                <w:szCs w:val="20"/>
              </w:rPr>
              <w:t>– Base Case Equipment Cost</w:t>
            </w:r>
          </w:p>
        </w:tc>
        <w:tc>
          <w:tcPr>
            <w:tcW w:w="2070" w:type="dxa"/>
            <w:shd w:val="pct5" w:color="000000" w:fill="FFFFFF"/>
            <w:noWrap/>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N/A</w:t>
            </w:r>
          </w:p>
        </w:tc>
        <w:tc>
          <w:tcPr>
            <w:tcW w:w="2970" w:type="dxa"/>
            <w:shd w:val="pct5" w:color="000000" w:fill="FFFFFF"/>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Measure Equipment Cost</w:t>
            </w:r>
          </w:p>
          <w:p w:rsidR="004C686B" w:rsidRPr="00594B8D" w:rsidRDefault="004C686B" w:rsidP="00F67B9D">
            <w:pPr>
              <w:jc w:val="center"/>
              <w:rPr>
                <w:rFonts w:ascii="Arial" w:hAnsi="Arial" w:cs="Arial"/>
                <w:sz w:val="20"/>
                <w:szCs w:val="20"/>
              </w:rPr>
            </w:pPr>
            <w:r w:rsidRPr="00594B8D">
              <w:rPr>
                <w:rFonts w:ascii="Arial" w:hAnsi="Arial" w:cs="Arial"/>
                <w:sz w:val="20"/>
                <w:szCs w:val="20"/>
              </w:rPr>
              <w:t>– Base Case Equipment Cost</w:t>
            </w:r>
          </w:p>
        </w:tc>
      </w:tr>
      <w:tr w:rsidR="004C686B" w:rsidRPr="00594B8D" w:rsidTr="00F67B9D">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Measure Equipment Cost</w:t>
            </w:r>
          </w:p>
          <w:p w:rsidR="004C686B" w:rsidRPr="00594B8D" w:rsidRDefault="004C686B" w:rsidP="00F67B9D">
            <w:pPr>
              <w:jc w:val="center"/>
              <w:rPr>
                <w:rFonts w:ascii="Arial" w:hAnsi="Arial" w:cs="Arial"/>
                <w:sz w:val="20"/>
                <w:szCs w:val="20"/>
              </w:rPr>
            </w:pPr>
            <w:r w:rsidRPr="00594B8D">
              <w:rPr>
                <w:rFonts w:ascii="Arial" w:hAnsi="Arial"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center"/>
          </w:tcPr>
          <w:p w:rsidR="004C686B" w:rsidRPr="00594B8D" w:rsidRDefault="004C686B" w:rsidP="00F67B9D">
            <w:pPr>
              <w:jc w:val="center"/>
              <w:rPr>
                <w:rFonts w:ascii="Arial" w:hAnsi="Arial" w:cs="Arial"/>
                <w:sz w:val="20"/>
                <w:szCs w:val="20"/>
              </w:rPr>
            </w:pPr>
            <w:r w:rsidRPr="00594B8D">
              <w:rPr>
                <w:rFonts w:ascii="Arial" w:hAnsi="Arial" w:cs="Arial"/>
                <w:sz w:val="20"/>
                <w:szCs w:val="20"/>
              </w:rPr>
              <w:t>Measure Equipment Cost</w:t>
            </w:r>
          </w:p>
          <w:p w:rsidR="004C686B" w:rsidRPr="00594B8D" w:rsidRDefault="004C686B" w:rsidP="00F67B9D">
            <w:pPr>
              <w:jc w:val="center"/>
              <w:rPr>
                <w:rFonts w:ascii="Arial" w:hAnsi="Arial" w:cs="Arial"/>
                <w:sz w:val="20"/>
                <w:szCs w:val="20"/>
              </w:rPr>
            </w:pPr>
            <w:r w:rsidRPr="00594B8D">
              <w:rPr>
                <w:rFonts w:ascii="Arial" w:hAnsi="Arial" w:cs="Arial"/>
                <w:sz w:val="20"/>
                <w:szCs w:val="20"/>
              </w:rPr>
              <w:t>– Base Case Equipment Cost</w:t>
            </w:r>
          </w:p>
        </w:tc>
      </w:tr>
    </w:tbl>
    <w:p w:rsidR="003F4FFF" w:rsidRPr="00594B8D" w:rsidRDefault="003F4FFF" w:rsidP="00C218D5">
      <w:pPr>
        <w:pStyle w:val="Heading2"/>
      </w:pPr>
      <w:bookmarkStart w:id="74" w:name="_Toc386966993"/>
      <w:r w:rsidRPr="00594B8D">
        <w:t>4.3.1 Gross Measure Costs</w:t>
      </w:r>
      <w:bookmarkEnd w:id="74"/>
    </w:p>
    <w:p w:rsidR="00F127DE" w:rsidRPr="00594B8D" w:rsidRDefault="00F127DE" w:rsidP="00F127DE">
      <w:pPr>
        <w:rPr>
          <w:rFonts w:ascii="Arial" w:hAnsi="Arial" w:cs="Arial"/>
          <w:sz w:val="22"/>
          <w:szCs w:val="22"/>
        </w:rPr>
      </w:pPr>
      <w:r w:rsidRPr="00594B8D">
        <w:rPr>
          <w:rFonts w:ascii="Arial" w:hAnsi="Arial" w:cs="Arial"/>
          <w:sz w:val="22"/>
          <w:szCs w:val="22"/>
        </w:rPr>
        <w:t xml:space="preserve">Gross Measure Cost is the cost to install an energy efficient measure per the CPUC calculators. This definition implies a different meaning depending on the Measure Application type. </w:t>
      </w:r>
    </w:p>
    <w:p w:rsidR="00F127DE" w:rsidRPr="00594B8D" w:rsidRDefault="00F127DE" w:rsidP="00864083">
      <w:pPr>
        <w:rPr>
          <w:rFonts w:ascii="Arial" w:hAnsi="Arial" w:cs="Arial"/>
          <w:sz w:val="22"/>
          <w:szCs w:val="22"/>
        </w:rPr>
      </w:pPr>
    </w:p>
    <w:p w:rsidR="00F127DE" w:rsidRPr="00594B8D" w:rsidRDefault="00F127DE" w:rsidP="00F127DE">
      <w:pPr>
        <w:rPr>
          <w:rFonts w:ascii="Arial" w:hAnsi="Arial" w:cs="Arial"/>
          <w:sz w:val="22"/>
          <w:szCs w:val="22"/>
        </w:rPr>
      </w:pPr>
      <w:r w:rsidRPr="00594B8D">
        <w:rPr>
          <w:rFonts w:ascii="Arial" w:hAnsi="Arial" w:cs="Arial"/>
          <w:sz w:val="22"/>
          <w:szCs w:val="22"/>
        </w:rPr>
        <w:t xml:space="preserve">This Measure Application Types is: </w:t>
      </w:r>
      <w:r w:rsidRPr="00594B8D">
        <w:rPr>
          <w:rFonts w:ascii="Arial" w:hAnsi="Arial" w:cs="Arial"/>
          <w:b/>
          <w:sz w:val="22"/>
          <w:szCs w:val="22"/>
        </w:rPr>
        <w:t>ROB,</w:t>
      </w:r>
      <w:r w:rsidRPr="00594B8D">
        <w:rPr>
          <w:rFonts w:ascii="Arial" w:hAnsi="Arial" w:cs="Arial"/>
          <w:sz w:val="22"/>
          <w:szCs w:val="22"/>
        </w:rPr>
        <w:t xml:space="preserve"> so the Gross Measure Cost (GMC) is represented by the equation below:</w:t>
      </w:r>
    </w:p>
    <w:p w:rsidR="00F127DE" w:rsidRPr="00594B8D" w:rsidRDefault="00F127DE" w:rsidP="00F127DE">
      <w:pPr>
        <w:rPr>
          <w:rFonts w:ascii="Arial" w:hAnsi="Arial" w:cs="Arial"/>
          <w:sz w:val="22"/>
          <w:szCs w:val="22"/>
        </w:rPr>
      </w:pPr>
    </w:p>
    <w:p w:rsidR="00F127DE" w:rsidRPr="00594B8D" w:rsidRDefault="00F127DE" w:rsidP="00F127DE">
      <w:pPr>
        <w:ind w:firstLine="720"/>
        <w:rPr>
          <w:rFonts w:ascii="Arial" w:hAnsi="Arial" w:cs="Arial"/>
          <w:sz w:val="22"/>
          <w:szCs w:val="22"/>
        </w:rPr>
      </w:pPr>
      <w:r w:rsidRPr="00594B8D">
        <w:rPr>
          <w:rFonts w:ascii="Arial" w:hAnsi="Arial" w:cs="Arial"/>
          <w:b/>
          <w:sz w:val="22"/>
          <w:szCs w:val="22"/>
        </w:rPr>
        <w:t>GMC</w:t>
      </w:r>
      <w:r w:rsidRPr="00594B8D">
        <w:rPr>
          <w:rFonts w:ascii="Arial" w:hAnsi="Arial" w:cs="Arial"/>
          <w:sz w:val="22"/>
          <w:szCs w:val="22"/>
        </w:rPr>
        <w:t xml:space="preserve"> = (Measure Equipment Cost + Measure Labor Cost) –</w:t>
      </w:r>
    </w:p>
    <w:p w:rsidR="00F127DE" w:rsidRPr="00594B8D" w:rsidRDefault="00F127DE" w:rsidP="00F127DE">
      <w:pPr>
        <w:ind w:left="720" w:firstLine="720"/>
        <w:rPr>
          <w:rFonts w:ascii="Arial" w:hAnsi="Arial" w:cs="Arial"/>
          <w:sz w:val="22"/>
          <w:szCs w:val="22"/>
        </w:rPr>
      </w:pPr>
      <w:r w:rsidRPr="00594B8D">
        <w:rPr>
          <w:rFonts w:ascii="Arial" w:hAnsi="Arial" w:cs="Arial"/>
          <w:sz w:val="22"/>
          <w:szCs w:val="22"/>
        </w:rPr>
        <w:t xml:space="preserve">    (Base Case Equipment Cost + Base Case Labor Cost)</w:t>
      </w:r>
    </w:p>
    <w:p w:rsidR="00F127DE" w:rsidRPr="00594B8D" w:rsidRDefault="00F127DE" w:rsidP="00F127DE">
      <w:pPr>
        <w:rPr>
          <w:rFonts w:ascii="Arial" w:hAnsi="Arial" w:cs="Arial"/>
          <w:b/>
          <w:sz w:val="22"/>
          <w:szCs w:val="22"/>
          <w:highlight w:val="yellow"/>
        </w:rPr>
      </w:pPr>
    </w:p>
    <w:p w:rsidR="00F127DE" w:rsidRPr="00594B8D" w:rsidRDefault="00F127DE" w:rsidP="00F127DE">
      <w:pPr>
        <w:rPr>
          <w:rFonts w:ascii="Arial" w:hAnsi="Arial" w:cs="Arial"/>
          <w:sz w:val="22"/>
          <w:szCs w:val="22"/>
        </w:rPr>
      </w:pPr>
      <w:r w:rsidRPr="00594B8D">
        <w:rPr>
          <w:rFonts w:ascii="Arial" w:hAnsi="Arial" w:cs="Arial"/>
          <w:sz w:val="22"/>
          <w:szCs w:val="22"/>
        </w:rPr>
        <w:t>*Note: We assume that, unless stated otherwise, the measure case labor and base case labor are assumed to be the same value reducing the equation to the following:</w:t>
      </w:r>
    </w:p>
    <w:p w:rsidR="00F127DE" w:rsidRPr="00594B8D" w:rsidRDefault="00F127DE" w:rsidP="00F127DE">
      <w:pPr>
        <w:rPr>
          <w:rFonts w:ascii="Arial" w:hAnsi="Arial" w:cs="Arial"/>
          <w:sz w:val="22"/>
          <w:szCs w:val="22"/>
        </w:rPr>
      </w:pPr>
    </w:p>
    <w:p w:rsidR="00F127DE" w:rsidRPr="00594B8D" w:rsidRDefault="00F127DE" w:rsidP="00F127DE">
      <w:pPr>
        <w:ind w:firstLine="720"/>
        <w:rPr>
          <w:rFonts w:ascii="Arial" w:hAnsi="Arial" w:cs="Arial"/>
          <w:sz w:val="22"/>
          <w:szCs w:val="22"/>
        </w:rPr>
      </w:pPr>
      <w:r w:rsidRPr="00594B8D">
        <w:rPr>
          <w:rFonts w:ascii="Arial" w:hAnsi="Arial" w:cs="Arial"/>
          <w:b/>
          <w:sz w:val="22"/>
          <w:szCs w:val="22"/>
        </w:rPr>
        <w:t>GMC =</w:t>
      </w:r>
      <w:r w:rsidRPr="00594B8D">
        <w:rPr>
          <w:rFonts w:ascii="Arial" w:hAnsi="Arial" w:cs="Arial"/>
          <w:sz w:val="22"/>
          <w:szCs w:val="22"/>
        </w:rPr>
        <w:t xml:space="preserve"> Measure Equipment Cost – Base Case Equipment Cost</w:t>
      </w:r>
    </w:p>
    <w:p w:rsidR="00F127DE" w:rsidRPr="00594B8D" w:rsidRDefault="00F127DE" w:rsidP="00F127DE">
      <w:pPr>
        <w:rPr>
          <w:rFonts w:ascii="Arial" w:hAnsi="Arial" w:cs="Arial"/>
          <w:i/>
          <w:sz w:val="22"/>
          <w:szCs w:val="22"/>
        </w:rPr>
      </w:pPr>
    </w:p>
    <w:p w:rsidR="00F127DE" w:rsidRPr="00594B8D" w:rsidRDefault="00F127DE" w:rsidP="00F127DE">
      <w:pPr>
        <w:rPr>
          <w:rFonts w:ascii="Arial" w:hAnsi="Arial" w:cs="Arial"/>
          <w:b/>
          <w:sz w:val="22"/>
          <w:szCs w:val="22"/>
        </w:rPr>
      </w:pPr>
      <w:r w:rsidRPr="00594B8D">
        <w:rPr>
          <w:rFonts w:ascii="Arial" w:hAnsi="Arial" w:cs="Arial"/>
          <w:b/>
          <w:sz w:val="22"/>
          <w:szCs w:val="22"/>
        </w:rPr>
        <w:t>Example:</w:t>
      </w:r>
    </w:p>
    <w:p w:rsidR="00F127DE" w:rsidRPr="00594B8D" w:rsidRDefault="00F127DE" w:rsidP="00F127DE">
      <w:pPr>
        <w:rPr>
          <w:rFonts w:ascii="Arial" w:hAnsi="Arial" w:cs="Arial"/>
          <w:b/>
          <w:sz w:val="22"/>
          <w:szCs w:val="22"/>
        </w:rPr>
      </w:pPr>
    </w:p>
    <w:p w:rsidR="004C686B" w:rsidRPr="00594B8D" w:rsidRDefault="00F127DE" w:rsidP="00C218D5">
      <w:pPr>
        <w:ind w:firstLine="720"/>
        <w:rPr>
          <w:rFonts w:ascii="Arial" w:hAnsi="Arial" w:cs="Arial"/>
          <w:sz w:val="22"/>
          <w:szCs w:val="22"/>
        </w:rPr>
      </w:pPr>
      <w:r w:rsidRPr="00594B8D">
        <w:rPr>
          <w:rFonts w:ascii="Arial" w:hAnsi="Arial" w:cs="Arial"/>
          <w:sz w:val="22"/>
          <w:szCs w:val="22"/>
        </w:rPr>
        <w:t>GMC = $</w:t>
      </w:r>
      <w:r w:rsidR="00F1114F">
        <w:rPr>
          <w:rFonts w:ascii="Arial" w:hAnsi="Arial" w:cs="Arial"/>
          <w:sz w:val="22"/>
          <w:szCs w:val="22"/>
        </w:rPr>
        <w:t>9.</w:t>
      </w:r>
      <w:r w:rsidR="00F34071">
        <w:rPr>
          <w:rFonts w:ascii="Arial" w:hAnsi="Arial" w:cs="Arial"/>
          <w:sz w:val="22"/>
          <w:szCs w:val="22"/>
        </w:rPr>
        <w:t>93</w:t>
      </w:r>
      <w:r w:rsidRPr="00594B8D">
        <w:rPr>
          <w:rFonts w:ascii="Arial" w:hAnsi="Arial" w:cs="Arial"/>
          <w:sz w:val="22"/>
          <w:szCs w:val="22"/>
        </w:rPr>
        <w:t>/</w:t>
      </w:r>
      <w:r w:rsidR="00F3361F" w:rsidRPr="00594B8D">
        <w:rPr>
          <w:rFonts w:ascii="Arial" w:hAnsi="Arial" w:cs="Arial"/>
          <w:sz w:val="22"/>
          <w:szCs w:val="22"/>
        </w:rPr>
        <w:t>kBTU</w:t>
      </w:r>
      <w:r w:rsidRPr="00594B8D">
        <w:rPr>
          <w:rFonts w:ascii="Arial" w:hAnsi="Arial" w:cs="Arial"/>
          <w:sz w:val="22"/>
          <w:szCs w:val="22"/>
        </w:rPr>
        <w:t>h - $</w:t>
      </w:r>
      <w:r w:rsidR="00F1114F">
        <w:rPr>
          <w:rFonts w:ascii="Arial" w:hAnsi="Arial" w:cs="Arial"/>
          <w:sz w:val="22"/>
          <w:szCs w:val="22"/>
        </w:rPr>
        <w:t>8.43</w:t>
      </w:r>
      <w:r w:rsidR="00F3361F" w:rsidRPr="00594B8D">
        <w:rPr>
          <w:rFonts w:ascii="Arial" w:hAnsi="Arial" w:cs="Arial"/>
          <w:sz w:val="22"/>
          <w:szCs w:val="22"/>
        </w:rPr>
        <w:t>/kBTU</w:t>
      </w:r>
      <w:r w:rsidRPr="00594B8D">
        <w:rPr>
          <w:rFonts w:ascii="Arial" w:hAnsi="Arial" w:cs="Arial"/>
          <w:sz w:val="22"/>
          <w:szCs w:val="22"/>
        </w:rPr>
        <w:t>h = $</w:t>
      </w:r>
      <w:r w:rsidR="00594B8D" w:rsidRPr="00594B8D">
        <w:rPr>
          <w:rFonts w:ascii="Arial" w:hAnsi="Arial" w:cs="Arial"/>
          <w:sz w:val="22"/>
          <w:szCs w:val="22"/>
        </w:rPr>
        <w:t xml:space="preserve"> </w:t>
      </w:r>
      <w:r w:rsidR="00F34071">
        <w:rPr>
          <w:rFonts w:ascii="Arial" w:hAnsi="Arial" w:cs="Arial"/>
          <w:sz w:val="22"/>
          <w:szCs w:val="22"/>
        </w:rPr>
        <w:t>1.50</w:t>
      </w:r>
      <w:r w:rsidR="00F1114F">
        <w:rPr>
          <w:rFonts w:ascii="Arial" w:hAnsi="Arial" w:cs="Arial"/>
          <w:sz w:val="22"/>
          <w:szCs w:val="22"/>
        </w:rPr>
        <w:t>/</w:t>
      </w:r>
      <w:r w:rsidR="00F3361F" w:rsidRPr="00594B8D">
        <w:rPr>
          <w:rFonts w:ascii="Arial" w:hAnsi="Arial" w:cs="Arial"/>
          <w:sz w:val="22"/>
          <w:szCs w:val="22"/>
        </w:rPr>
        <w:t>kBTU</w:t>
      </w:r>
      <w:r w:rsidRPr="00594B8D">
        <w:rPr>
          <w:rFonts w:ascii="Arial" w:hAnsi="Arial" w:cs="Arial"/>
          <w:sz w:val="22"/>
          <w:szCs w:val="22"/>
        </w:rPr>
        <w:t>h</w:t>
      </w:r>
    </w:p>
    <w:p w:rsidR="00881640" w:rsidRPr="00594B8D" w:rsidRDefault="00881640" w:rsidP="00C218D5">
      <w:pPr>
        <w:pStyle w:val="Heading2"/>
      </w:pPr>
      <w:bookmarkStart w:id="75" w:name="_Ref189286871"/>
      <w:bookmarkStart w:id="76" w:name="_Toc225758844"/>
      <w:bookmarkStart w:id="77" w:name="_Toc386966994"/>
      <w:r w:rsidRPr="00594B8D">
        <w:t>4.3.2 Incremental Measure Costs</w:t>
      </w:r>
      <w:bookmarkEnd w:id="77"/>
    </w:p>
    <w:p w:rsidR="00881640" w:rsidRPr="00594B8D" w:rsidRDefault="00881640" w:rsidP="00864083">
      <w:pPr>
        <w:rPr>
          <w:rFonts w:ascii="Arial" w:hAnsi="Arial" w:cs="Arial"/>
          <w:sz w:val="22"/>
          <w:szCs w:val="22"/>
        </w:rPr>
      </w:pPr>
      <w:r w:rsidRPr="00594B8D">
        <w:rPr>
          <w:rFonts w:ascii="Arial" w:hAnsi="Arial" w:cs="Arial"/>
          <w:sz w:val="22"/>
          <w:szCs w:val="22"/>
        </w:rPr>
        <w:t xml:space="preserve">Incremental Measure Cost is the premium cost to install an energy efficient measure over a standard efficiency measure or code baseline measure. While IMC has a straightforward definition depending on the Measure Application type, the equation does vary. </w:t>
      </w:r>
    </w:p>
    <w:p w:rsidR="00881640" w:rsidRPr="00594B8D" w:rsidRDefault="00881640" w:rsidP="00864083">
      <w:pPr>
        <w:rPr>
          <w:rFonts w:ascii="Arial" w:hAnsi="Arial" w:cs="Arial"/>
          <w:sz w:val="22"/>
          <w:szCs w:val="22"/>
        </w:rPr>
      </w:pPr>
    </w:p>
    <w:p w:rsidR="00881640" w:rsidRPr="00594B8D" w:rsidRDefault="00881640" w:rsidP="00864083">
      <w:pPr>
        <w:rPr>
          <w:rFonts w:ascii="Arial" w:hAnsi="Arial" w:cs="Arial"/>
          <w:sz w:val="22"/>
          <w:szCs w:val="22"/>
        </w:rPr>
      </w:pPr>
      <w:r w:rsidRPr="00594B8D">
        <w:rPr>
          <w:rFonts w:ascii="Arial" w:hAnsi="Arial" w:cs="Arial"/>
          <w:sz w:val="22"/>
          <w:szCs w:val="22"/>
        </w:rPr>
        <w:t xml:space="preserve">This Measure Application Types is: </w:t>
      </w:r>
      <w:r w:rsidRPr="00594B8D">
        <w:rPr>
          <w:rFonts w:ascii="Arial" w:hAnsi="Arial" w:cs="Arial"/>
          <w:b/>
          <w:sz w:val="22"/>
          <w:szCs w:val="22"/>
        </w:rPr>
        <w:t>ROB,</w:t>
      </w:r>
      <w:r w:rsidRPr="00594B8D">
        <w:rPr>
          <w:rFonts w:ascii="Arial" w:hAnsi="Arial" w:cs="Arial"/>
          <w:sz w:val="22"/>
          <w:szCs w:val="22"/>
        </w:rPr>
        <w:t xml:space="preserve"> so the Incremental Measure Cost (IMC) is represented by the appropriate equation below:</w:t>
      </w:r>
    </w:p>
    <w:p w:rsidR="00881640" w:rsidRPr="00594B8D" w:rsidRDefault="00881640" w:rsidP="00864083">
      <w:pPr>
        <w:rPr>
          <w:rFonts w:ascii="Arial" w:hAnsi="Arial" w:cs="Arial"/>
          <w:sz w:val="22"/>
          <w:szCs w:val="22"/>
        </w:rPr>
      </w:pPr>
    </w:p>
    <w:p w:rsidR="00881640" w:rsidRPr="00594B8D" w:rsidRDefault="00881640" w:rsidP="00864083">
      <w:pPr>
        <w:ind w:firstLine="720"/>
        <w:rPr>
          <w:rFonts w:ascii="Arial" w:hAnsi="Arial" w:cs="Arial"/>
          <w:sz w:val="22"/>
          <w:szCs w:val="22"/>
        </w:rPr>
      </w:pPr>
      <w:r w:rsidRPr="00594B8D">
        <w:rPr>
          <w:rFonts w:ascii="Arial" w:hAnsi="Arial" w:cs="Arial"/>
          <w:b/>
          <w:sz w:val="22"/>
          <w:szCs w:val="22"/>
        </w:rPr>
        <w:t>IMC</w:t>
      </w:r>
      <w:r w:rsidRPr="00594B8D">
        <w:rPr>
          <w:rFonts w:ascii="Arial" w:hAnsi="Arial" w:cs="Arial"/>
          <w:sz w:val="22"/>
          <w:szCs w:val="22"/>
        </w:rPr>
        <w:t xml:space="preserve"> = (Measure Equipment Cost + Measure Labor Cost) –</w:t>
      </w:r>
    </w:p>
    <w:p w:rsidR="00881640" w:rsidRPr="00594B8D" w:rsidRDefault="00881640" w:rsidP="00864083">
      <w:pPr>
        <w:ind w:left="720" w:firstLine="720"/>
        <w:rPr>
          <w:rFonts w:ascii="Arial" w:hAnsi="Arial" w:cs="Arial"/>
          <w:sz w:val="22"/>
          <w:szCs w:val="22"/>
        </w:rPr>
      </w:pPr>
      <w:r w:rsidRPr="00594B8D">
        <w:rPr>
          <w:rFonts w:ascii="Arial" w:hAnsi="Arial" w:cs="Arial"/>
          <w:sz w:val="22"/>
          <w:szCs w:val="22"/>
        </w:rPr>
        <w:t xml:space="preserve">    (Base Case Equipment Cost + Base Case Labor Cost)</w:t>
      </w:r>
    </w:p>
    <w:p w:rsidR="00881640" w:rsidRPr="00594B8D" w:rsidRDefault="00881640" w:rsidP="00864083">
      <w:pPr>
        <w:rPr>
          <w:rFonts w:ascii="Arial" w:hAnsi="Arial" w:cs="Arial"/>
          <w:b/>
          <w:sz w:val="22"/>
          <w:szCs w:val="22"/>
          <w:highlight w:val="yellow"/>
        </w:rPr>
      </w:pPr>
    </w:p>
    <w:p w:rsidR="00CF4313" w:rsidRPr="00594B8D" w:rsidRDefault="00CF4313" w:rsidP="00CF4313">
      <w:pPr>
        <w:rPr>
          <w:rFonts w:ascii="Arial" w:hAnsi="Arial" w:cs="Arial"/>
          <w:sz w:val="22"/>
          <w:szCs w:val="22"/>
        </w:rPr>
      </w:pPr>
      <w:r w:rsidRPr="00594B8D">
        <w:rPr>
          <w:rFonts w:ascii="Arial" w:hAnsi="Arial" w:cs="Arial"/>
          <w:sz w:val="22"/>
          <w:szCs w:val="22"/>
        </w:rPr>
        <w:t>*Note: We assume that, unless stated otherwise, the measure case labor and base case labor are assumed to be the same value reducing the equation to the following:</w:t>
      </w:r>
    </w:p>
    <w:p w:rsidR="00CF4313" w:rsidRPr="00594B8D" w:rsidRDefault="00CF4313" w:rsidP="00CF4313">
      <w:pPr>
        <w:rPr>
          <w:rFonts w:ascii="Arial" w:hAnsi="Arial" w:cs="Arial"/>
          <w:sz w:val="22"/>
          <w:szCs w:val="22"/>
        </w:rPr>
      </w:pPr>
    </w:p>
    <w:p w:rsidR="00CF4313" w:rsidRPr="00594B8D" w:rsidRDefault="00CF4313" w:rsidP="00CF4313">
      <w:pPr>
        <w:ind w:firstLine="720"/>
        <w:rPr>
          <w:rFonts w:ascii="Arial" w:hAnsi="Arial" w:cs="Arial"/>
          <w:sz w:val="22"/>
          <w:szCs w:val="22"/>
        </w:rPr>
      </w:pPr>
      <w:r w:rsidRPr="00594B8D">
        <w:rPr>
          <w:rFonts w:ascii="Arial" w:hAnsi="Arial" w:cs="Arial"/>
          <w:b/>
          <w:sz w:val="22"/>
          <w:szCs w:val="22"/>
        </w:rPr>
        <w:t>IMC =</w:t>
      </w:r>
      <w:r w:rsidRPr="00594B8D">
        <w:rPr>
          <w:rFonts w:ascii="Arial" w:hAnsi="Arial" w:cs="Arial"/>
          <w:sz w:val="22"/>
          <w:szCs w:val="22"/>
        </w:rPr>
        <w:t xml:space="preserve"> Measure Equipment Cost – Base Case Equipment Cost</w:t>
      </w:r>
    </w:p>
    <w:p w:rsidR="00C40CE2" w:rsidRDefault="00C40CE2" w:rsidP="00CF4313">
      <w:pPr>
        <w:rPr>
          <w:rFonts w:ascii="Arial" w:hAnsi="Arial" w:cs="Arial"/>
          <w:b/>
          <w:sz w:val="22"/>
          <w:szCs w:val="22"/>
        </w:rPr>
        <w:sectPr w:rsidR="00C40CE2" w:rsidSect="00DD43C2">
          <w:endnotePr>
            <w:numFmt w:val="decimal"/>
          </w:endnotePr>
          <w:pgSz w:w="12240" w:h="15840"/>
          <w:pgMar w:top="1440" w:right="1440" w:bottom="1440" w:left="1440" w:header="720" w:footer="720" w:gutter="0"/>
          <w:pgNumType w:chapStyle="1"/>
          <w:cols w:space="720"/>
          <w:docGrid w:linePitch="360"/>
        </w:sectPr>
      </w:pPr>
    </w:p>
    <w:p w:rsidR="00CF4313" w:rsidRPr="00594B8D" w:rsidRDefault="00CF4313" w:rsidP="00CF4313">
      <w:pPr>
        <w:rPr>
          <w:rFonts w:ascii="Arial" w:hAnsi="Arial" w:cs="Arial"/>
          <w:b/>
          <w:sz w:val="22"/>
          <w:szCs w:val="22"/>
        </w:rPr>
      </w:pPr>
      <w:r w:rsidRPr="00594B8D">
        <w:rPr>
          <w:rFonts w:ascii="Arial" w:hAnsi="Arial" w:cs="Arial"/>
          <w:b/>
          <w:sz w:val="22"/>
          <w:szCs w:val="22"/>
        </w:rPr>
        <w:t>Example:</w:t>
      </w:r>
      <w:r w:rsidR="00E8736C" w:rsidRPr="00594B8D">
        <w:rPr>
          <w:rFonts w:ascii="Arial" w:hAnsi="Arial" w:cs="Arial"/>
          <w:b/>
          <w:sz w:val="22"/>
          <w:szCs w:val="22"/>
        </w:rPr>
        <w:t xml:space="preserve"> </w:t>
      </w:r>
    </w:p>
    <w:p w:rsidR="00594B8D" w:rsidRPr="00594B8D" w:rsidRDefault="00594B8D" w:rsidP="00594B8D">
      <w:pPr>
        <w:rPr>
          <w:rFonts w:ascii="Arial" w:hAnsi="Arial" w:cs="Arial"/>
          <w:b/>
          <w:sz w:val="22"/>
          <w:szCs w:val="22"/>
        </w:rPr>
      </w:pPr>
    </w:p>
    <w:p w:rsidR="00284768" w:rsidRPr="00594B8D" w:rsidRDefault="00594B8D" w:rsidP="00284768">
      <w:pPr>
        <w:ind w:firstLine="720"/>
        <w:rPr>
          <w:rFonts w:ascii="Arial" w:hAnsi="Arial" w:cs="Arial"/>
          <w:sz w:val="22"/>
          <w:szCs w:val="22"/>
        </w:rPr>
      </w:pPr>
      <w:r w:rsidRPr="00594B8D">
        <w:rPr>
          <w:rFonts w:ascii="Arial" w:hAnsi="Arial" w:cs="Arial"/>
          <w:sz w:val="22"/>
          <w:szCs w:val="22"/>
        </w:rPr>
        <w:t xml:space="preserve">IMC </w:t>
      </w:r>
      <w:r w:rsidR="00284768" w:rsidRPr="00594B8D">
        <w:rPr>
          <w:rFonts w:ascii="Arial" w:hAnsi="Arial" w:cs="Arial"/>
          <w:sz w:val="22"/>
          <w:szCs w:val="22"/>
        </w:rPr>
        <w:t>= $</w:t>
      </w:r>
      <w:r w:rsidR="00F34071">
        <w:rPr>
          <w:rFonts w:ascii="Arial" w:hAnsi="Arial" w:cs="Arial"/>
          <w:sz w:val="22"/>
          <w:szCs w:val="22"/>
        </w:rPr>
        <w:t>9.93</w:t>
      </w:r>
      <w:r w:rsidR="00284768" w:rsidRPr="00594B8D">
        <w:rPr>
          <w:rFonts w:ascii="Arial" w:hAnsi="Arial" w:cs="Arial"/>
          <w:sz w:val="22"/>
          <w:szCs w:val="22"/>
        </w:rPr>
        <w:t>/kBTUh - $</w:t>
      </w:r>
      <w:r w:rsidR="00284768">
        <w:rPr>
          <w:rFonts w:ascii="Arial" w:hAnsi="Arial" w:cs="Arial"/>
          <w:sz w:val="22"/>
          <w:szCs w:val="22"/>
        </w:rPr>
        <w:t>8.43</w:t>
      </w:r>
      <w:r w:rsidR="00284768" w:rsidRPr="00594B8D">
        <w:rPr>
          <w:rFonts w:ascii="Arial" w:hAnsi="Arial" w:cs="Arial"/>
          <w:sz w:val="22"/>
          <w:szCs w:val="22"/>
        </w:rPr>
        <w:t xml:space="preserve">/kBTUh = $ </w:t>
      </w:r>
      <w:r w:rsidR="00F34071">
        <w:rPr>
          <w:rFonts w:ascii="Arial" w:hAnsi="Arial" w:cs="Arial"/>
          <w:sz w:val="22"/>
          <w:szCs w:val="22"/>
        </w:rPr>
        <w:t>1.50</w:t>
      </w:r>
      <w:r w:rsidR="00284768">
        <w:rPr>
          <w:rFonts w:ascii="Arial" w:hAnsi="Arial" w:cs="Arial"/>
          <w:sz w:val="22"/>
          <w:szCs w:val="22"/>
        </w:rPr>
        <w:t>/</w:t>
      </w:r>
      <w:r w:rsidR="00284768" w:rsidRPr="00594B8D">
        <w:rPr>
          <w:rFonts w:ascii="Arial" w:hAnsi="Arial" w:cs="Arial"/>
          <w:sz w:val="22"/>
          <w:szCs w:val="22"/>
        </w:rPr>
        <w:t>kBTUh</w:t>
      </w:r>
    </w:p>
    <w:p w:rsidR="00530D89" w:rsidRPr="00594B8D" w:rsidRDefault="00530D89" w:rsidP="0044295D">
      <w:pPr>
        <w:rPr>
          <w:rFonts w:ascii="Arial" w:hAnsi="Arial" w:cs="Arial"/>
          <w:b/>
          <w:sz w:val="22"/>
          <w:szCs w:val="22"/>
        </w:rPr>
      </w:pP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718"/>
        <w:gridCol w:w="1604"/>
        <w:gridCol w:w="1416"/>
        <w:gridCol w:w="1412"/>
        <w:gridCol w:w="1837"/>
      </w:tblGrid>
      <w:tr w:rsidR="00842157" w:rsidRPr="00594B8D" w:rsidTr="00842157">
        <w:trPr>
          <w:jc w:val="center"/>
        </w:trPr>
        <w:tc>
          <w:tcPr>
            <w:tcW w:w="769" w:type="pct"/>
            <w:shd w:val="clear" w:color="auto" w:fill="auto"/>
            <w:vAlign w:val="center"/>
          </w:tcPr>
          <w:p w:rsidR="00842157" w:rsidRPr="00594B8D" w:rsidRDefault="00842157" w:rsidP="00842157">
            <w:pPr>
              <w:jc w:val="center"/>
              <w:rPr>
                <w:rFonts w:ascii="Arial" w:hAnsi="Arial" w:cs="Arial"/>
                <w:b/>
                <w:sz w:val="20"/>
                <w:szCs w:val="20"/>
              </w:rPr>
            </w:pPr>
            <w:r w:rsidRPr="00594B8D">
              <w:rPr>
                <w:rFonts w:ascii="Arial" w:hAnsi="Arial" w:cs="Arial"/>
                <w:b/>
                <w:sz w:val="20"/>
                <w:szCs w:val="20"/>
              </w:rPr>
              <w:t>Measure ID</w:t>
            </w:r>
          </w:p>
        </w:tc>
        <w:tc>
          <w:tcPr>
            <w:tcW w:w="910" w:type="pct"/>
            <w:shd w:val="clear" w:color="auto" w:fill="auto"/>
            <w:vAlign w:val="center"/>
          </w:tcPr>
          <w:p w:rsidR="00842157" w:rsidRPr="00594B8D" w:rsidRDefault="00842157" w:rsidP="00842157">
            <w:pPr>
              <w:jc w:val="center"/>
              <w:rPr>
                <w:rFonts w:ascii="Arial" w:hAnsi="Arial" w:cs="Arial"/>
                <w:b/>
                <w:sz w:val="20"/>
                <w:szCs w:val="20"/>
              </w:rPr>
            </w:pPr>
            <w:r w:rsidRPr="00594B8D">
              <w:rPr>
                <w:rFonts w:ascii="Arial" w:hAnsi="Arial" w:cs="Arial"/>
                <w:b/>
                <w:sz w:val="20"/>
                <w:szCs w:val="20"/>
              </w:rPr>
              <w:t>Measure Application Types</w:t>
            </w:r>
          </w:p>
        </w:tc>
        <w:tc>
          <w:tcPr>
            <w:tcW w:w="850" w:type="pct"/>
            <w:shd w:val="clear" w:color="auto" w:fill="auto"/>
            <w:vAlign w:val="center"/>
          </w:tcPr>
          <w:p w:rsidR="00842157" w:rsidRPr="00594B8D" w:rsidRDefault="00842157" w:rsidP="00842157">
            <w:pPr>
              <w:jc w:val="center"/>
              <w:rPr>
                <w:rFonts w:ascii="Arial" w:hAnsi="Arial" w:cs="Arial"/>
                <w:b/>
                <w:sz w:val="20"/>
                <w:szCs w:val="20"/>
              </w:rPr>
            </w:pPr>
            <w:r w:rsidRPr="00594B8D">
              <w:rPr>
                <w:rFonts w:ascii="Arial" w:hAnsi="Arial" w:cs="Arial"/>
                <w:b/>
                <w:sz w:val="20"/>
                <w:szCs w:val="20"/>
              </w:rPr>
              <w:t>Average Base</w:t>
            </w:r>
            <w:r w:rsidR="00A8217C" w:rsidRPr="00594B8D">
              <w:rPr>
                <w:rFonts w:ascii="Arial" w:hAnsi="Arial" w:cs="Arial"/>
                <w:b/>
                <w:sz w:val="20"/>
                <w:szCs w:val="20"/>
              </w:rPr>
              <w:t xml:space="preserve"> </w:t>
            </w:r>
            <w:r w:rsidRPr="00594B8D">
              <w:rPr>
                <w:rFonts w:ascii="Arial" w:hAnsi="Arial" w:cs="Arial"/>
                <w:b/>
                <w:sz w:val="20"/>
                <w:szCs w:val="20"/>
              </w:rPr>
              <w:t>Case Total Cost</w:t>
            </w:r>
          </w:p>
        </w:tc>
        <w:tc>
          <w:tcPr>
            <w:tcW w:w="750" w:type="pct"/>
            <w:shd w:val="clear" w:color="auto" w:fill="auto"/>
            <w:vAlign w:val="center"/>
          </w:tcPr>
          <w:p w:rsidR="00842157" w:rsidRPr="00594B8D" w:rsidRDefault="00842157" w:rsidP="00842157">
            <w:pPr>
              <w:jc w:val="center"/>
              <w:rPr>
                <w:rFonts w:ascii="Arial" w:hAnsi="Arial" w:cs="Arial"/>
                <w:b/>
                <w:sz w:val="20"/>
                <w:szCs w:val="20"/>
              </w:rPr>
            </w:pPr>
            <w:r w:rsidRPr="00594B8D">
              <w:rPr>
                <w:rFonts w:ascii="Arial" w:hAnsi="Arial" w:cs="Arial"/>
                <w:b/>
                <w:sz w:val="20"/>
                <w:szCs w:val="20"/>
              </w:rPr>
              <w:t>Average Measure Case Total Cost</w:t>
            </w:r>
          </w:p>
        </w:tc>
        <w:tc>
          <w:tcPr>
            <w:tcW w:w="748" w:type="pct"/>
            <w:shd w:val="clear" w:color="auto" w:fill="auto"/>
            <w:vAlign w:val="center"/>
          </w:tcPr>
          <w:p w:rsidR="00842157" w:rsidRPr="00594B8D" w:rsidRDefault="00842157" w:rsidP="00842157">
            <w:pPr>
              <w:jc w:val="center"/>
              <w:rPr>
                <w:rFonts w:ascii="Arial" w:hAnsi="Arial" w:cs="Arial"/>
                <w:b/>
                <w:sz w:val="20"/>
                <w:szCs w:val="20"/>
              </w:rPr>
            </w:pPr>
            <w:r w:rsidRPr="00594B8D">
              <w:rPr>
                <w:rFonts w:ascii="Arial" w:hAnsi="Arial" w:cs="Arial"/>
                <w:b/>
                <w:sz w:val="20"/>
                <w:szCs w:val="20"/>
              </w:rPr>
              <w:t>Average Gross Measure Case Cost</w:t>
            </w:r>
          </w:p>
        </w:tc>
        <w:tc>
          <w:tcPr>
            <w:tcW w:w="973" w:type="pct"/>
            <w:shd w:val="clear" w:color="auto" w:fill="auto"/>
            <w:vAlign w:val="center"/>
          </w:tcPr>
          <w:p w:rsidR="00842157" w:rsidRPr="00594B8D" w:rsidRDefault="00842157" w:rsidP="00842157">
            <w:pPr>
              <w:jc w:val="center"/>
              <w:rPr>
                <w:rFonts w:ascii="Arial" w:hAnsi="Arial" w:cs="Arial"/>
                <w:b/>
                <w:sz w:val="20"/>
                <w:szCs w:val="20"/>
              </w:rPr>
            </w:pPr>
            <w:r w:rsidRPr="00594B8D">
              <w:rPr>
                <w:rFonts w:ascii="Arial" w:hAnsi="Arial" w:cs="Arial"/>
                <w:b/>
                <w:sz w:val="20"/>
                <w:szCs w:val="20"/>
              </w:rPr>
              <w:t>Average Incremental Measure Cost</w:t>
            </w:r>
          </w:p>
        </w:tc>
      </w:tr>
      <w:tr w:rsidR="00403978" w:rsidRPr="00594B8D" w:rsidTr="00B56411">
        <w:trPr>
          <w:jc w:val="center"/>
        </w:trPr>
        <w:tc>
          <w:tcPr>
            <w:tcW w:w="769" w:type="pct"/>
            <w:shd w:val="clear" w:color="auto" w:fill="auto"/>
            <w:vAlign w:val="center"/>
          </w:tcPr>
          <w:p w:rsidR="00403978" w:rsidRPr="00594B8D" w:rsidRDefault="00403978" w:rsidP="00842157">
            <w:pPr>
              <w:jc w:val="center"/>
              <w:rPr>
                <w:rFonts w:ascii="Arial" w:hAnsi="Arial" w:cs="Arial"/>
                <w:sz w:val="20"/>
                <w:szCs w:val="20"/>
              </w:rPr>
            </w:pPr>
            <w:r>
              <w:rPr>
                <w:rFonts w:ascii="Arial" w:hAnsi="Arial" w:cs="Arial"/>
                <w:sz w:val="20"/>
                <w:szCs w:val="20"/>
              </w:rPr>
              <w:t>H11</w:t>
            </w:r>
          </w:p>
        </w:tc>
        <w:tc>
          <w:tcPr>
            <w:tcW w:w="910" w:type="pct"/>
            <w:shd w:val="clear" w:color="auto" w:fill="auto"/>
            <w:vAlign w:val="center"/>
          </w:tcPr>
          <w:p w:rsidR="00403978" w:rsidRPr="00594B8D" w:rsidRDefault="00403978" w:rsidP="00161EE3">
            <w:pPr>
              <w:jc w:val="center"/>
              <w:rPr>
                <w:rFonts w:ascii="Arial" w:hAnsi="Arial" w:cs="Arial"/>
                <w:sz w:val="20"/>
                <w:szCs w:val="20"/>
              </w:rPr>
            </w:pPr>
            <w:r w:rsidRPr="00594B8D">
              <w:rPr>
                <w:rFonts w:ascii="Arial" w:hAnsi="Arial" w:cs="Arial"/>
                <w:sz w:val="20"/>
                <w:szCs w:val="20"/>
              </w:rPr>
              <w:t>ROB</w:t>
            </w:r>
          </w:p>
        </w:tc>
        <w:tc>
          <w:tcPr>
            <w:tcW w:w="850" w:type="pct"/>
            <w:shd w:val="clear" w:color="auto" w:fill="auto"/>
            <w:vAlign w:val="center"/>
          </w:tcPr>
          <w:p w:rsidR="00403978" w:rsidRPr="00594B8D" w:rsidRDefault="00403978" w:rsidP="00284768">
            <w:pPr>
              <w:jc w:val="center"/>
              <w:rPr>
                <w:rFonts w:ascii="Arial" w:hAnsi="Arial" w:cs="Arial"/>
                <w:sz w:val="20"/>
                <w:szCs w:val="20"/>
              </w:rPr>
            </w:pPr>
            <w:r w:rsidRPr="00594B8D">
              <w:rPr>
                <w:rFonts w:ascii="Arial" w:hAnsi="Arial" w:cs="Arial"/>
                <w:sz w:val="20"/>
                <w:szCs w:val="20"/>
              </w:rPr>
              <w:t>$1</w:t>
            </w:r>
            <w:r w:rsidR="00284768">
              <w:rPr>
                <w:rFonts w:ascii="Arial" w:hAnsi="Arial" w:cs="Arial"/>
                <w:sz w:val="20"/>
                <w:szCs w:val="20"/>
              </w:rPr>
              <w:t>3.33</w:t>
            </w:r>
          </w:p>
        </w:tc>
        <w:tc>
          <w:tcPr>
            <w:tcW w:w="750" w:type="pct"/>
            <w:shd w:val="clear" w:color="auto" w:fill="auto"/>
            <w:vAlign w:val="center"/>
          </w:tcPr>
          <w:p w:rsidR="00403978" w:rsidRPr="00594B8D" w:rsidRDefault="00403978" w:rsidP="00F34071">
            <w:pPr>
              <w:jc w:val="center"/>
              <w:rPr>
                <w:rFonts w:ascii="Arial" w:hAnsi="Arial" w:cs="Arial"/>
                <w:sz w:val="20"/>
                <w:szCs w:val="20"/>
              </w:rPr>
            </w:pPr>
            <w:r w:rsidRPr="00594B8D">
              <w:rPr>
                <w:rFonts w:ascii="Arial" w:hAnsi="Arial" w:cs="Arial"/>
                <w:sz w:val="20"/>
                <w:szCs w:val="20"/>
              </w:rPr>
              <w:t>$</w:t>
            </w:r>
            <w:r w:rsidR="00F34071">
              <w:rPr>
                <w:rFonts w:ascii="Arial" w:hAnsi="Arial" w:cs="Arial"/>
                <w:sz w:val="20"/>
                <w:szCs w:val="20"/>
              </w:rPr>
              <w:t>14.83</w:t>
            </w:r>
          </w:p>
        </w:tc>
        <w:tc>
          <w:tcPr>
            <w:tcW w:w="748" w:type="pct"/>
            <w:shd w:val="clear" w:color="auto" w:fill="auto"/>
            <w:vAlign w:val="center"/>
          </w:tcPr>
          <w:p w:rsidR="00403978" w:rsidRPr="00594B8D" w:rsidRDefault="00403978" w:rsidP="00CE4AD9">
            <w:pPr>
              <w:jc w:val="center"/>
              <w:rPr>
                <w:rFonts w:ascii="Arial" w:hAnsi="Arial" w:cs="Arial"/>
                <w:sz w:val="20"/>
                <w:szCs w:val="20"/>
              </w:rPr>
            </w:pPr>
            <w:r w:rsidRPr="00594B8D">
              <w:rPr>
                <w:rFonts w:ascii="Arial" w:hAnsi="Arial" w:cs="Arial"/>
                <w:sz w:val="20"/>
                <w:szCs w:val="20"/>
              </w:rPr>
              <w:t>$</w:t>
            </w:r>
            <w:r w:rsidR="00CE4AD9">
              <w:rPr>
                <w:rFonts w:ascii="Arial" w:hAnsi="Arial" w:cs="Arial"/>
                <w:sz w:val="20"/>
                <w:szCs w:val="20"/>
              </w:rPr>
              <w:t>1.50</w:t>
            </w:r>
          </w:p>
        </w:tc>
        <w:tc>
          <w:tcPr>
            <w:tcW w:w="973" w:type="pct"/>
            <w:shd w:val="clear" w:color="auto" w:fill="auto"/>
            <w:vAlign w:val="center"/>
          </w:tcPr>
          <w:p w:rsidR="00403978" w:rsidRPr="00594B8D" w:rsidRDefault="00403978" w:rsidP="00F34071">
            <w:pPr>
              <w:jc w:val="center"/>
              <w:rPr>
                <w:rFonts w:ascii="Arial" w:hAnsi="Arial" w:cs="Arial"/>
                <w:sz w:val="20"/>
                <w:szCs w:val="20"/>
              </w:rPr>
            </w:pPr>
            <w:r w:rsidRPr="00594B8D">
              <w:rPr>
                <w:rFonts w:ascii="Arial" w:hAnsi="Arial" w:cs="Arial"/>
                <w:sz w:val="20"/>
                <w:szCs w:val="20"/>
              </w:rPr>
              <w:t>$</w:t>
            </w:r>
            <w:r w:rsidR="00F34071">
              <w:rPr>
                <w:rFonts w:ascii="Arial" w:hAnsi="Arial" w:cs="Arial"/>
                <w:sz w:val="20"/>
                <w:szCs w:val="20"/>
              </w:rPr>
              <w:t>1.50</w:t>
            </w:r>
          </w:p>
        </w:tc>
      </w:tr>
      <w:tr w:rsidR="00403978" w:rsidRPr="00594B8D" w:rsidTr="00B56411">
        <w:trPr>
          <w:jc w:val="center"/>
        </w:trPr>
        <w:tc>
          <w:tcPr>
            <w:tcW w:w="769" w:type="pct"/>
            <w:shd w:val="clear" w:color="auto" w:fill="auto"/>
            <w:vAlign w:val="center"/>
          </w:tcPr>
          <w:p w:rsidR="00403978" w:rsidRPr="00594B8D" w:rsidRDefault="00403978" w:rsidP="00403978">
            <w:pPr>
              <w:jc w:val="center"/>
              <w:rPr>
                <w:rFonts w:ascii="Arial" w:hAnsi="Arial" w:cs="Arial"/>
                <w:sz w:val="20"/>
                <w:szCs w:val="20"/>
              </w:rPr>
            </w:pPr>
            <w:r>
              <w:rPr>
                <w:rFonts w:ascii="Arial" w:hAnsi="Arial" w:cs="Arial"/>
                <w:sz w:val="20"/>
                <w:szCs w:val="20"/>
              </w:rPr>
              <w:t>H15</w:t>
            </w:r>
          </w:p>
        </w:tc>
        <w:tc>
          <w:tcPr>
            <w:tcW w:w="910" w:type="pct"/>
            <w:shd w:val="clear" w:color="auto" w:fill="auto"/>
            <w:vAlign w:val="center"/>
          </w:tcPr>
          <w:p w:rsidR="00403978" w:rsidRPr="00594B8D" w:rsidRDefault="00403978" w:rsidP="00161EE3">
            <w:pPr>
              <w:jc w:val="center"/>
              <w:rPr>
                <w:rFonts w:ascii="Arial" w:hAnsi="Arial" w:cs="Arial"/>
                <w:sz w:val="20"/>
                <w:szCs w:val="20"/>
              </w:rPr>
            </w:pPr>
            <w:r w:rsidRPr="00594B8D">
              <w:rPr>
                <w:rFonts w:ascii="Arial" w:hAnsi="Arial" w:cs="Arial"/>
                <w:sz w:val="20"/>
                <w:szCs w:val="20"/>
              </w:rPr>
              <w:t>ROB</w:t>
            </w:r>
          </w:p>
        </w:tc>
        <w:tc>
          <w:tcPr>
            <w:tcW w:w="850" w:type="pct"/>
            <w:shd w:val="clear" w:color="auto" w:fill="auto"/>
            <w:vAlign w:val="center"/>
          </w:tcPr>
          <w:p w:rsidR="00403978" w:rsidRPr="00594B8D" w:rsidRDefault="00403978" w:rsidP="00284768">
            <w:pPr>
              <w:jc w:val="center"/>
              <w:rPr>
                <w:rFonts w:ascii="Arial" w:hAnsi="Arial" w:cs="Arial"/>
                <w:sz w:val="20"/>
                <w:szCs w:val="20"/>
              </w:rPr>
            </w:pPr>
            <w:r w:rsidRPr="00594B8D">
              <w:rPr>
                <w:rFonts w:ascii="Arial" w:hAnsi="Arial" w:cs="Arial"/>
                <w:sz w:val="20"/>
                <w:szCs w:val="20"/>
              </w:rPr>
              <w:t>$1</w:t>
            </w:r>
            <w:r w:rsidR="00284768">
              <w:rPr>
                <w:rFonts w:ascii="Arial" w:hAnsi="Arial" w:cs="Arial"/>
                <w:sz w:val="20"/>
                <w:szCs w:val="20"/>
              </w:rPr>
              <w:t>5.81</w:t>
            </w:r>
          </w:p>
        </w:tc>
        <w:tc>
          <w:tcPr>
            <w:tcW w:w="750" w:type="pct"/>
            <w:shd w:val="clear" w:color="auto" w:fill="auto"/>
            <w:vAlign w:val="center"/>
          </w:tcPr>
          <w:p w:rsidR="00403978" w:rsidRPr="00594B8D" w:rsidRDefault="00403978" w:rsidP="00284768">
            <w:pPr>
              <w:jc w:val="center"/>
              <w:rPr>
                <w:rFonts w:ascii="Arial" w:hAnsi="Arial" w:cs="Arial"/>
                <w:sz w:val="20"/>
                <w:szCs w:val="20"/>
              </w:rPr>
            </w:pPr>
            <w:r w:rsidRPr="00594B8D">
              <w:rPr>
                <w:rFonts w:ascii="Arial" w:hAnsi="Arial" w:cs="Arial"/>
                <w:sz w:val="20"/>
                <w:szCs w:val="20"/>
              </w:rPr>
              <w:t>$</w:t>
            </w:r>
            <w:r w:rsidR="00F34071">
              <w:rPr>
                <w:rFonts w:ascii="Arial" w:hAnsi="Arial" w:cs="Arial"/>
                <w:sz w:val="20"/>
                <w:szCs w:val="20"/>
              </w:rPr>
              <w:t>17</w:t>
            </w:r>
            <w:r w:rsidR="00284768">
              <w:rPr>
                <w:rFonts w:ascii="Arial" w:hAnsi="Arial" w:cs="Arial"/>
                <w:sz w:val="20"/>
                <w:szCs w:val="20"/>
              </w:rPr>
              <w:t>.51</w:t>
            </w:r>
          </w:p>
        </w:tc>
        <w:tc>
          <w:tcPr>
            <w:tcW w:w="748" w:type="pct"/>
            <w:shd w:val="clear" w:color="auto" w:fill="auto"/>
            <w:vAlign w:val="center"/>
          </w:tcPr>
          <w:p w:rsidR="00403978" w:rsidRPr="00594B8D" w:rsidRDefault="00403978" w:rsidP="00F34071">
            <w:pPr>
              <w:jc w:val="center"/>
              <w:rPr>
                <w:rFonts w:ascii="Arial" w:hAnsi="Arial" w:cs="Arial"/>
                <w:sz w:val="20"/>
                <w:szCs w:val="20"/>
              </w:rPr>
            </w:pPr>
            <w:r w:rsidRPr="00594B8D">
              <w:rPr>
                <w:rFonts w:ascii="Arial" w:hAnsi="Arial" w:cs="Arial"/>
                <w:sz w:val="20"/>
                <w:szCs w:val="20"/>
              </w:rPr>
              <w:t>$</w:t>
            </w:r>
            <w:r w:rsidR="00F34071">
              <w:rPr>
                <w:rFonts w:ascii="Arial" w:hAnsi="Arial" w:cs="Arial"/>
                <w:sz w:val="20"/>
                <w:szCs w:val="20"/>
              </w:rPr>
              <w:t>1</w:t>
            </w:r>
            <w:r w:rsidR="00284768">
              <w:rPr>
                <w:rFonts w:ascii="Arial" w:hAnsi="Arial" w:cs="Arial"/>
                <w:sz w:val="20"/>
                <w:szCs w:val="20"/>
              </w:rPr>
              <w:t>.70</w:t>
            </w:r>
          </w:p>
        </w:tc>
        <w:tc>
          <w:tcPr>
            <w:tcW w:w="973" w:type="pct"/>
            <w:shd w:val="clear" w:color="auto" w:fill="auto"/>
            <w:vAlign w:val="center"/>
          </w:tcPr>
          <w:p w:rsidR="00403978" w:rsidRPr="00594B8D" w:rsidRDefault="00403978" w:rsidP="00284768">
            <w:pPr>
              <w:jc w:val="center"/>
              <w:rPr>
                <w:rFonts w:ascii="Arial" w:hAnsi="Arial" w:cs="Arial"/>
                <w:sz w:val="20"/>
                <w:szCs w:val="20"/>
              </w:rPr>
            </w:pPr>
            <w:r w:rsidRPr="00594B8D">
              <w:rPr>
                <w:rFonts w:ascii="Arial" w:hAnsi="Arial" w:cs="Arial"/>
                <w:sz w:val="20"/>
                <w:szCs w:val="20"/>
              </w:rPr>
              <w:t>$</w:t>
            </w:r>
            <w:r w:rsidR="00F34071">
              <w:rPr>
                <w:rFonts w:ascii="Arial" w:hAnsi="Arial" w:cs="Arial"/>
                <w:sz w:val="20"/>
                <w:szCs w:val="20"/>
              </w:rPr>
              <w:t>1</w:t>
            </w:r>
            <w:r w:rsidR="00284768">
              <w:rPr>
                <w:rFonts w:ascii="Arial" w:hAnsi="Arial" w:cs="Arial"/>
                <w:sz w:val="20"/>
                <w:szCs w:val="20"/>
              </w:rPr>
              <w:t>.70</w:t>
            </w:r>
          </w:p>
        </w:tc>
      </w:tr>
    </w:tbl>
    <w:p w:rsidR="00881640" w:rsidRPr="00594B8D" w:rsidRDefault="00881640" w:rsidP="00864083">
      <w:pPr>
        <w:rPr>
          <w:rFonts w:ascii="Arial" w:hAnsi="Arial" w:cs="Arial"/>
          <w:i/>
          <w:sz w:val="20"/>
          <w:szCs w:val="20"/>
        </w:rPr>
      </w:pPr>
      <w:r w:rsidRPr="00594B8D">
        <w:rPr>
          <w:rFonts w:ascii="Arial" w:hAnsi="Arial" w:cs="Arial"/>
          <w:i/>
          <w:sz w:val="20"/>
          <w:szCs w:val="20"/>
        </w:rPr>
        <w:t xml:space="preserve">All costs are noted as $ per rated </w:t>
      </w:r>
      <w:r w:rsidR="00A8217C" w:rsidRPr="00594B8D">
        <w:rPr>
          <w:rFonts w:ascii="Arial" w:hAnsi="Arial" w:cs="Arial"/>
          <w:i/>
          <w:sz w:val="20"/>
          <w:szCs w:val="20"/>
        </w:rPr>
        <w:t>kBTUh</w:t>
      </w:r>
    </w:p>
    <w:bookmarkEnd w:id="75"/>
    <w:bookmarkEnd w:id="76"/>
    <w:p w:rsidR="00C40CE2" w:rsidRDefault="00C40CE2" w:rsidP="00F04E6A">
      <w:pPr>
        <w:pStyle w:val="Heading1"/>
        <w:sectPr w:rsidR="00C40CE2" w:rsidSect="00DD43C2">
          <w:endnotePr>
            <w:numFmt w:val="decimal"/>
          </w:endnotePr>
          <w:pgSz w:w="12240" w:h="15840"/>
          <w:pgMar w:top="1440" w:right="1440" w:bottom="1440" w:left="1440" w:header="720" w:footer="720" w:gutter="0"/>
          <w:pgNumType w:chapStyle="1"/>
          <w:cols w:space="720"/>
          <w:docGrid w:linePitch="360"/>
        </w:sectPr>
      </w:pPr>
    </w:p>
    <w:p w:rsidR="00660047" w:rsidRPr="00E8736C" w:rsidRDefault="00F04E6A" w:rsidP="00F04E6A">
      <w:pPr>
        <w:pStyle w:val="Heading1"/>
      </w:pPr>
      <w:bookmarkStart w:id="78" w:name="_Toc386966995"/>
      <w:r w:rsidRPr="00E8736C">
        <w:t>Index</w:t>
      </w:r>
      <w:bookmarkEnd w:id="78"/>
    </w:p>
    <w:p w:rsidR="00530D89" w:rsidRPr="00A961E9" w:rsidRDefault="00530D89" w:rsidP="00864083">
      <w:pPr>
        <w:rPr>
          <w:rFonts w:ascii="Arial" w:hAnsi="Arial" w:cs="Arial"/>
          <w:color w:val="FF0000"/>
        </w:rPr>
      </w:pPr>
    </w:p>
    <w:p w:rsidR="009521A6" w:rsidRPr="009521A6" w:rsidRDefault="00E406EA" w:rsidP="00864083">
      <w:pPr>
        <w:rPr>
          <w:rFonts w:ascii="Arial" w:hAnsi="Arial" w:cs="Arial"/>
          <w:noProof/>
          <w:color w:val="FF0000"/>
        </w:rPr>
        <w:sectPr w:rsidR="009521A6" w:rsidRPr="009521A6" w:rsidSect="00DD43C2">
          <w:endnotePr>
            <w:numFmt w:val="decimal"/>
          </w:endnotePr>
          <w:pgSz w:w="12240" w:h="15840"/>
          <w:pgMar w:top="1440" w:right="1440" w:bottom="1440" w:left="1440" w:header="720" w:footer="720" w:gutter="0"/>
          <w:pgNumType w:chapStyle="1"/>
          <w:cols w:space="720"/>
          <w:docGrid w:linePitch="360"/>
        </w:sectPr>
      </w:pPr>
      <w:r w:rsidRPr="009521A6">
        <w:rPr>
          <w:rFonts w:ascii="Arial" w:hAnsi="Arial" w:cs="Arial"/>
          <w:color w:val="FF0000"/>
        </w:rPr>
        <w:fldChar w:fldCharType="begin"/>
      </w:r>
      <w:r w:rsidR="003F49E6" w:rsidRPr="009521A6">
        <w:rPr>
          <w:rFonts w:ascii="Arial" w:hAnsi="Arial" w:cs="Arial"/>
          <w:color w:val="FF0000"/>
        </w:rPr>
        <w:instrText xml:space="preserve"> INDEX \e "</w:instrText>
      </w:r>
      <w:r w:rsidR="003F49E6" w:rsidRPr="009521A6">
        <w:rPr>
          <w:rFonts w:ascii="Arial" w:hAnsi="Arial" w:cs="Arial"/>
          <w:color w:val="FF0000"/>
        </w:rPr>
        <w:tab/>
        <w:instrText xml:space="preserve">" \c "1" \z "1033" </w:instrText>
      </w:r>
      <w:r w:rsidRPr="009521A6">
        <w:rPr>
          <w:rFonts w:ascii="Arial" w:hAnsi="Arial" w:cs="Arial"/>
          <w:color w:val="FF0000"/>
        </w:rPr>
        <w:fldChar w:fldCharType="separate"/>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Capacity factor</w:t>
      </w:r>
      <w:r w:rsidRPr="009521A6">
        <w:rPr>
          <w:rFonts w:ascii="Arial" w:hAnsi="Arial" w:cs="Arial"/>
          <w:noProof/>
        </w:rPr>
        <w:tab/>
        <w:t>9</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CEC</w:t>
      </w:r>
      <w:r w:rsidRPr="009521A6">
        <w:rPr>
          <w:rFonts w:ascii="Arial" w:hAnsi="Arial" w:cs="Arial"/>
          <w:noProof/>
        </w:rPr>
        <w:tab/>
        <w:t>9, 10, 9</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CEC inventory</w:t>
      </w:r>
      <w:r w:rsidRPr="009521A6">
        <w:rPr>
          <w:rFonts w:ascii="Arial" w:hAnsi="Arial" w:cs="Arial"/>
          <w:noProof/>
        </w:rPr>
        <w:tab/>
        <w:t>10</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Efficiency</w:t>
      </w:r>
      <w:r w:rsidRPr="009521A6">
        <w:rPr>
          <w:rFonts w:ascii="Arial" w:hAnsi="Arial" w:cs="Arial"/>
          <w:noProof/>
        </w:rPr>
        <w:tab/>
        <w:t>10, 11</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Load shapes</w:t>
      </w:r>
      <w:r w:rsidRPr="009521A6">
        <w:rPr>
          <w:rFonts w:ascii="Arial" w:hAnsi="Arial" w:cs="Arial"/>
          <w:noProof/>
        </w:rPr>
        <w:tab/>
        <w:t>12</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Measure</w:t>
      </w:r>
      <w:r w:rsidRPr="009521A6">
        <w:rPr>
          <w:rFonts w:ascii="Arial" w:hAnsi="Arial" w:cs="Arial"/>
          <w:noProof/>
        </w:rPr>
        <w:tab/>
        <w:t>10, 11</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New Construction</w:t>
      </w:r>
      <w:r w:rsidRPr="009521A6">
        <w:rPr>
          <w:rFonts w:ascii="Arial" w:hAnsi="Arial" w:cs="Arial"/>
          <w:noProof/>
        </w:rPr>
        <w:tab/>
        <w:t>3, 9, 13</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NTG Ratios</w:t>
      </w:r>
      <w:r w:rsidRPr="009521A6">
        <w:rPr>
          <w:rFonts w:ascii="Arial" w:hAnsi="Arial" w:cs="Arial"/>
          <w:noProof/>
        </w:rPr>
        <w:tab/>
        <w:t>4</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Replace on Burnout</w:t>
      </w:r>
      <w:r w:rsidRPr="009521A6">
        <w:rPr>
          <w:rFonts w:ascii="Arial" w:hAnsi="Arial" w:cs="Arial"/>
          <w:noProof/>
        </w:rPr>
        <w:tab/>
        <w:t>3, 9, 13</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Title 20</w:t>
      </w:r>
      <w:r w:rsidRPr="009521A6">
        <w:rPr>
          <w:rFonts w:ascii="Arial" w:hAnsi="Arial" w:cs="Arial"/>
          <w:noProof/>
        </w:rPr>
        <w:tab/>
        <w:t>5</w:t>
      </w:r>
    </w:p>
    <w:p w:rsidR="009521A6" w:rsidRPr="009521A6" w:rsidRDefault="009521A6">
      <w:pPr>
        <w:pStyle w:val="Index1"/>
        <w:tabs>
          <w:tab w:val="right" w:leader="dot" w:pos="9350"/>
        </w:tabs>
        <w:rPr>
          <w:rFonts w:ascii="Arial" w:hAnsi="Arial" w:cs="Arial"/>
          <w:noProof/>
        </w:rPr>
      </w:pPr>
      <w:r w:rsidRPr="009521A6">
        <w:rPr>
          <w:rFonts w:ascii="Arial" w:hAnsi="Arial" w:cs="Arial"/>
          <w:noProof/>
        </w:rPr>
        <w:t>Title 24</w:t>
      </w:r>
      <w:r w:rsidRPr="009521A6">
        <w:rPr>
          <w:rFonts w:ascii="Arial" w:hAnsi="Arial" w:cs="Arial"/>
          <w:noProof/>
        </w:rPr>
        <w:tab/>
        <w:t>5</w:t>
      </w:r>
    </w:p>
    <w:p w:rsidR="009521A6" w:rsidRPr="009521A6" w:rsidRDefault="009521A6" w:rsidP="00864083">
      <w:pPr>
        <w:rPr>
          <w:rFonts w:ascii="Arial" w:hAnsi="Arial" w:cs="Arial"/>
          <w:noProof/>
          <w:color w:val="FF0000"/>
        </w:rPr>
        <w:sectPr w:rsidR="009521A6" w:rsidRPr="009521A6" w:rsidSect="009521A6">
          <w:endnotePr>
            <w:numFmt w:val="decimal"/>
          </w:endnotePr>
          <w:type w:val="continuous"/>
          <w:pgSz w:w="12240" w:h="15840"/>
          <w:pgMar w:top="1440" w:right="1440" w:bottom="1440" w:left="1440" w:header="720" w:footer="720" w:gutter="0"/>
          <w:pgNumType w:chapStyle="1"/>
          <w:cols w:space="720"/>
          <w:docGrid w:linePitch="360"/>
        </w:sectPr>
      </w:pPr>
    </w:p>
    <w:p w:rsidR="00660047" w:rsidRPr="009521A6" w:rsidRDefault="00E406EA" w:rsidP="00864083">
      <w:pPr>
        <w:rPr>
          <w:rFonts w:ascii="Arial" w:hAnsi="Arial" w:cs="Arial"/>
          <w:color w:val="FF0000"/>
        </w:rPr>
      </w:pPr>
      <w:r w:rsidRPr="009521A6">
        <w:rPr>
          <w:rFonts w:ascii="Arial" w:hAnsi="Arial" w:cs="Arial"/>
          <w:color w:val="FF0000"/>
        </w:rPr>
        <w:fldChar w:fldCharType="end"/>
      </w:r>
    </w:p>
    <w:p w:rsidR="00C40CE2" w:rsidRDefault="00C40CE2" w:rsidP="00864083">
      <w:pPr>
        <w:pStyle w:val="Heading1"/>
        <w:spacing w:before="0" w:after="0"/>
        <w:sectPr w:rsidR="00C40CE2" w:rsidSect="009521A6">
          <w:endnotePr>
            <w:numFmt w:val="decimal"/>
          </w:endnotePr>
          <w:type w:val="continuous"/>
          <w:pgSz w:w="12240" w:h="15840"/>
          <w:pgMar w:top="1440" w:right="1440" w:bottom="1440" w:left="1440" w:header="720" w:footer="720" w:gutter="0"/>
          <w:pgNumType w:chapStyle="1"/>
          <w:cols w:space="720"/>
          <w:docGrid w:linePitch="360"/>
        </w:sectPr>
      </w:pPr>
      <w:bookmarkStart w:id="79" w:name="_Toc226364461"/>
    </w:p>
    <w:p w:rsidR="00DA1D64" w:rsidRPr="009742DA" w:rsidRDefault="00DA1D64" w:rsidP="00864083">
      <w:pPr>
        <w:pStyle w:val="Heading1"/>
        <w:spacing w:before="0" w:after="0"/>
      </w:pPr>
      <w:bookmarkStart w:id="80" w:name="_Toc386966996"/>
      <w:r w:rsidRPr="009742DA">
        <w:t>References</w:t>
      </w:r>
      <w:bookmarkEnd w:id="79"/>
      <w:bookmarkEnd w:id="80"/>
    </w:p>
    <w:p w:rsidR="00051FC5" w:rsidRPr="00A961E9" w:rsidRDefault="00051FC5" w:rsidP="00864083">
      <w:pPr>
        <w:rPr>
          <w:rFonts w:ascii="Arial" w:hAnsi="Arial" w:cs="Arial"/>
          <w:color w:val="FF0000"/>
        </w:rPr>
      </w:pPr>
    </w:p>
    <w:sectPr w:rsidR="00051FC5" w:rsidRPr="00A961E9" w:rsidSect="00C40CE2">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990" w:rsidRDefault="00F85990">
      <w:r>
        <w:separator/>
      </w:r>
    </w:p>
  </w:endnote>
  <w:endnote w:type="continuationSeparator" w:id="0">
    <w:p w:rsidR="00F85990" w:rsidRDefault="00F85990">
      <w:r>
        <w:continuationSeparator/>
      </w:r>
    </w:p>
  </w:endnote>
  <w:endnote w:id="1">
    <w:p w:rsidR="00F85990" w:rsidRDefault="00F85990" w:rsidP="00384EAE">
      <w:pPr>
        <w:rPr>
          <w:rFonts w:ascii="Arial" w:hAnsi="Arial" w:cs="Arial"/>
          <w:sz w:val="22"/>
          <w:szCs w:val="22"/>
        </w:rPr>
      </w:pPr>
      <w:r w:rsidRPr="00413149">
        <w:rPr>
          <w:rStyle w:val="EndnoteReference"/>
          <w:rFonts w:ascii="Arial" w:hAnsi="Arial" w:cs="Arial"/>
          <w:sz w:val="22"/>
          <w:szCs w:val="22"/>
        </w:rPr>
        <w:endnoteRef/>
      </w:r>
      <w:r w:rsidRPr="00413149">
        <w:rPr>
          <w:rFonts w:ascii="Arial" w:hAnsi="Arial" w:cs="Arial"/>
          <w:sz w:val="22"/>
          <w:szCs w:val="22"/>
        </w:rPr>
        <w:t xml:space="preserve"> </w:t>
      </w:r>
      <w:r>
        <w:rPr>
          <w:rFonts w:ascii="Arial" w:hAnsi="Arial" w:cs="Arial"/>
          <w:sz w:val="22"/>
          <w:szCs w:val="22"/>
        </w:rPr>
        <w:t xml:space="preserve">Appendix A - </w:t>
      </w:r>
      <w:r w:rsidRPr="00413149">
        <w:rPr>
          <w:rFonts w:ascii="Arial" w:hAnsi="Arial" w:cs="Arial"/>
          <w:sz w:val="22"/>
          <w:szCs w:val="22"/>
        </w:rPr>
        <w:t>2014 Database for Energy Efficiency Resources (DEER) Update Study, prepared by Itron Inc., November 2013 ;D13v1.00</w:t>
      </w:r>
    </w:p>
    <w:p w:rsidR="00F85990" w:rsidRPr="00413149" w:rsidRDefault="00F85990" w:rsidP="00384EAE">
      <w:pPr>
        <w:rPr>
          <w:rFonts w:ascii="Arial" w:hAnsi="Arial" w:cs="Arial"/>
          <w:sz w:val="22"/>
          <w:szCs w:val="22"/>
        </w:rPr>
      </w:pPr>
    </w:p>
  </w:endnote>
  <w:endnote w:id="2">
    <w:p w:rsidR="00F85990" w:rsidRDefault="00F85990" w:rsidP="00384EAE">
      <w:pPr>
        <w:pStyle w:val="EndnoteText"/>
        <w:rPr>
          <w:rFonts w:ascii="Arial" w:hAnsi="Arial" w:cs="Arial"/>
          <w:sz w:val="22"/>
          <w:szCs w:val="22"/>
        </w:rPr>
      </w:pPr>
      <w:r>
        <w:rPr>
          <w:rStyle w:val="EndnoteReference"/>
        </w:rPr>
        <w:endnoteRef/>
      </w:r>
      <w:r>
        <w:t xml:space="preserve"> </w:t>
      </w:r>
      <w:r w:rsidRPr="00384EAE">
        <w:rPr>
          <w:rFonts w:ascii="Arial" w:hAnsi="Arial" w:cs="Arial"/>
          <w:sz w:val="22"/>
          <w:szCs w:val="22"/>
        </w:rPr>
        <w:t xml:space="preserve">Appendix B </w:t>
      </w:r>
      <w:r>
        <w:rPr>
          <w:rFonts w:ascii="Arial" w:hAnsi="Arial" w:cs="Arial"/>
          <w:sz w:val="22"/>
          <w:szCs w:val="22"/>
        </w:rPr>
        <w:t>-</w:t>
      </w:r>
      <w:r w:rsidRPr="00384EAE">
        <w:rPr>
          <w:rFonts w:ascii="Arial" w:hAnsi="Arial" w:cs="Arial"/>
          <w:sz w:val="22"/>
          <w:szCs w:val="22"/>
        </w:rPr>
        <w:t xml:space="preserve"> DEER 20</w:t>
      </w:r>
      <w:r>
        <w:rPr>
          <w:rFonts w:ascii="Arial" w:hAnsi="Arial" w:cs="Arial"/>
          <w:sz w:val="22"/>
          <w:szCs w:val="22"/>
        </w:rPr>
        <w:t>08</w:t>
      </w:r>
      <w:r w:rsidRPr="00384EAE">
        <w:rPr>
          <w:rFonts w:ascii="Arial" w:hAnsi="Arial" w:cs="Arial"/>
          <w:sz w:val="22"/>
          <w:szCs w:val="22"/>
        </w:rPr>
        <w:t xml:space="preserve"> Cost Data</w:t>
      </w:r>
    </w:p>
    <w:p w:rsidR="00F85990" w:rsidRDefault="00F85990" w:rsidP="00384EAE">
      <w:pPr>
        <w:pStyle w:val="EndnoteText"/>
      </w:pPr>
    </w:p>
  </w:endnote>
  <w:endnote w:id="3">
    <w:p w:rsidR="00F85990" w:rsidRDefault="00F85990" w:rsidP="00384EAE">
      <w:pPr>
        <w:pStyle w:val="EndnoteText"/>
        <w:rPr>
          <w:rFonts w:ascii="Arial" w:hAnsi="Arial" w:cs="Arial"/>
          <w:sz w:val="22"/>
          <w:szCs w:val="22"/>
        </w:rPr>
      </w:pPr>
      <w:r>
        <w:rPr>
          <w:rStyle w:val="EndnoteReference"/>
        </w:rPr>
        <w:endnoteRef/>
      </w:r>
      <w:r>
        <w:t xml:space="preserve"> </w:t>
      </w:r>
      <w:r w:rsidRPr="00BE35F4">
        <w:rPr>
          <w:rFonts w:ascii="Arial" w:hAnsi="Arial" w:cs="Arial"/>
          <w:sz w:val="22"/>
          <w:szCs w:val="22"/>
        </w:rPr>
        <w:t xml:space="preserve">Appendix </w:t>
      </w:r>
      <w:r>
        <w:rPr>
          <w:rFonts w:ascii="Arial" w:hAnsi="Arial" w:cs="Arial"/>
          <w:sz w:val="22"/>
          <w:szCs w:val="22"/>
        </w:rPr>
        <w:t>C</w:t>
      </w:r>
      <w:r w:rsidRPr="00BE35F4">
        <w:rPr>
          <w:rFonts w:ascii="Arial" w:hAnsi="Arial" w:cs="Arial"/>
          <w:sz w:val="22"/>
          <w:szCs w:val="22"/>
        </w:rPr>
        <w:t xml:space="preserve"> - Energy Savings and Cost </w:t>
      </w:r>
      <w:r>
        <w:rPr>
          <w:rFonts w:ascii="Arial" w:hAnsi="Arial" w:cs="Arial"/>
          <w:sz w:val="22"/>
          <w:szCs w:val="22"/>
        </w:rPr>
        <w:t>–</w:t>
      </w:r>
      <w:r w:rsidRPr="00BE35F4">
        <w:rPr>
          <w:rFonts w:ascii="Arial" w:hAnsi="Arial" w:cs="Arial"/>
          <w:sz w:val="22"/>
          <w:szCs w:val="22"/>
        </w:rPr>
        <w:t xml:space="preserve"> execsummconv</w:t>
      </w:r>
    </w:p>
    <w:p w:rsidR="00F85990" w:rsidRDefault="00F85990" w:rsidP="00384EAE">
      <w:pPr>
        <w:pStyle w:val="EndnoteText"/>
      </w:pPr>
    </w:p>
  </w:endnote>
  <w:endnote w:id="4">
    <w:p w:rsidR="00F85990" w:rsidRDefault="00F85990" w:rsidP="00384EAE">
      <w:pPr>
        <w:rPr>
          <w:rFonts w:ascii="Arial" w:hAnsi="Arial" w:cs="Arial"/>
          <w:sz w:val="22"/>
          <w:szCs w:val="22"/>
        </w:rPr>
      </w:pPr>
      <w:r w:rsidRPr="00817E66">
        <w:rPr>
          <w:rStyle w:val="EndnoteReference"/>
          <w:rFonts w:ascii="Arial" w:hAnsi="Arial" w:cs="Arial"/>
          <w:sz w:val="22"/>
          <w:szCs w:val="22"/>
        </w:rPr>
        <w:endnoteRef/>
      </w:r>
      <w:r w:rsidRPr="00817E66">
        <w:rPr>
          <w:rFonts w:ascii="Arial" w:hAnsi="Arial" w:cs="Arial"/>
          <w:sz w:val="22"/>
          <w:szCs w:val="22"/>
        </w:rPr>
        <w:t xml:space="preserve"> </w:t>
      </w:r>
      <w:r>
        <w:rPr>
          <w:rFonts w:ascii="Arial" w:hAnsi="Arial" w:cs="Arial"/>
          <w:sz w:val="22"/>
          <w:szCs w:val="22"/>
        </w:rPr>
        <w:t>Appendix D -</w:t>
      </w:r>
      <w:r w:rsidRPr="005A6A11">
        <w:rPr>
          <w:rFonts w:ascii="Arial" w:hAnsi="Arial" w:cs="Arial"/>
          <w:sz w:val="22"/>
          <w:szCs w:val="22"/>
        </w:rPr>
        <w:t xml:space="preserve"> DEER NTG Values</w:t>
      </w:r>
    </w:p>
    <w:p w:rsidR="00F85990" w:rsidRPr="005A6A11" w:rsidRDefault="00F85990" w:rsidP="00384EAE">
      <w:pPr>
        <w:rPr>
          <w:rFonts w:ascii="Arial" w:hAnsi="Arial" w:cs="Arial"/>
          <w:sz w:val="22"/>
          <w:szCs w:val="22"/>
        </w:rPr>
      </w:pPr>
    </w:p>
  </w:endnote>
  <w:endnote w:id="5">
    <w:p w:rsidR="00F85990" w:rsidRDefault="00F85990" w:rsidP="00DE03FB">
      <w:pPr>
        <w:pStyle w:val="EndnoteText"/>
        <w:rPr>
          <w:rFonts w:ascii="Arial" w:hAnsi="Arial" w:cs="Arial"/>
          <w:sz w:val="22"/>
          <w:szCs w:val="22"/>
        </w:rPr>
      </w:pPr>
      <w:r w:rsidRPr="005A6A11">
        <w:rPr>
          <w:rStyle w:val="EndnoteReference"/>
          <w:rFonts w:ascii="Arial" w:hAnsi="Arial" w:cs="Arial"/>
          <w:sz w:val="22"/>
          <w:szCs w:val="22"/>
        </w:rPr>
        <w:endnoteRef/>
      </w:r>
      <w:r>
        <w:rPr>
          <w:rFonts w:ascii="Arial" w:hAnsi="Arial" w:cs="Arial"/>
          <w:sz w:val="22"/>
          <w:szCs w:val="22"/>
        </w:rPr>
        <w:t xml:space="preserve"> Appendix E</w:t>
      </w:r>
      <w:r w:rsidRPr="005A6A11">
        <w:rPr>
          <w:rFonts w:ascii="Arial" w:hAnsi="Arial" w:cs="Arial"/>
          <w:sz w:val="22"/>
          <w:szCs w:val="22"/>
        </w:rPr>
        <w:t xml:space="preserve"> </w:t>
      </w:r>
      <w:r>
        <w:rPr>
          <w:rFonts w:ascii="Arial" w:hAnsi="Arial" w:cs="Arial"/>
          <w:sz w:val="22"/>
          <w:szCs w:val="22"/>
        </w:rPr>
        <w:t>-</w:t>
      </w:r>
      <w:r w:rsidRPr="005A6A11">
        <w:rPr>
          <w:rFonts w:ascii="Arial" w:hAnsi="Arial" w:cs="Arial"/>
          <w:sz w:val="22"/>
          <w:szCs w:val="22"/>
        </w:rPr>
        <w:t xml:space="preserve"> DEER2014 EUL</w:t>
      </w:r>
    </w:p>
    <w:p w:rsidR="00F85990" w:rsidRPr="00B14D61" w:rsidRDefault="00F85990" w:rsidP="00DE03FB">
      <w:pPr>
        <w:pStyle w:val="EndnoteText"/>
        <w:rPr>
          <w:rFonts w:ascii="Arial" w:hAnsi="Arial" w:cs="Arial"/>
          <w:sz w:val="22"/>
          <w:szCs w:val="22"/>
        </w:rPr>
      </w:pPr>
    </w:p>
  </w:endnote>
  <w:endnote w:id="6">
    <w:p w:rsidR="00F85990" w:rsidRPr="00B14D61" w:rsidRDefault="00F85990" w:rsidP="00413149">
      <w:pPr>
        <w:pStyle w:val="EndnoteText"/>
        <w:spacing w:after="100" w:afterAutospacing="1"/>
        <w:rPr>
          <w:rFonts w:ascii="Arial" w:hAnsi="Arial" w:cs="Arial"/>
          <w:sz w:val="22"/>
          <w:szCs w:val="22"/>
        </w:rPr>
      </w:pPr>
      <w:r w:rsidRPr="00B14D61">
        <w:rPr>
          <w:rStyle w:val="EndnoteReference"/>
          <w:rFonts w:ascii="Arial" w:hAnsi="Arial" w:cs="Arial"/>
          <w:sz w:val="22"/>
          <w:szCs w:val="22"/>
        </w:rPr>
        <w:endnoteRef/>
      </w:r>
      <w:r w:rsidRPr="00B14D61">
        <w:rPr>
          <w:rFonts w:ascii="Arial" w:hAnsi="Arial" w:cs="Arial"/>
          <w:sz w:val="22"/>
          <w:szCs w:val="22"/>
        </w:rPr>
        <w:t xml:space="preserve"> Appendix F - 2012 California Title 20 Appliance Efficiency Regulations, Section 1605.1, Table E-5</w:t>
      </w:r>
    </w:p>
  </w:endnote>
  <w:endnote w:id="7">
    <w:p w:rsidR="00F85990" w:rsidRPr="00B14D61" w:rsidRDefault="00F85990" w:rsidP="00844529">
      <w:pPr>
        <w:pStyle w:val="EndnoteText"/>
        <w:spacing w:after="100" w:afterAutospacing="1"/>
        <w:rPr>
          <w:rFonts w:ascii="Arial" w:hAnsi="Arial" w:cs="Arial"/>
          <w:sz w:val="22"/>
          <w:szCs w:val="22"/>
        </w:rPr>
      </w:pPr>
      <w:r w:rsidRPr="00B14D61">
        <w:rPr>
          <w:rStyle w:val="EndnoteReference"/>
          <w:rFonts w:ascii="Arial" w:hAnsi="Arial" w:cs="Arial"/>
          <w:sz w:val="22"/>
          <w:szCs w:val="22"/>
        </w:rPr>
        <w:endnoteRef/>
      </w:r>
      <w:r w:rsidRPr="00B14D61">
        <w:rPr>
          <w:rFonts w:ascii="Arial" w:hAnsi="Arial" w:cs="Arial"/>
          <w:sz w:val="22"/>
          <w:szCs w:val="22"/>
        </w:rPr>
        <w:t xml:space="preserve"> Appendix G - 2013 Building Energy Efficiency Standards</w:t>
      </w:r>
    </w:p>
  </w:endnote>
  <w:endnote w:id="8">
    <w:p w:rsidR="00F85990" w:rsidRPr="00B14D61" w:rsidRDefault="00F85990">
      <w:pPr>
        <w:pStyle w:val="EndnoteText"/>
        <w:rPr>
          <w:rFonts w:ascii="Arial" w:hAnsi="Arial" w:cs="Arial"/>
          <w:sz w:val="22"/>
          <w:szCs w:val="22"/>
        </w:rPr>
      </w:pPr>
      <w:r w:rsidRPr="00B14D61">
        <w:rPr>
          <w:rStyle w:val="EndnoteReference"/>
          <w:rFonts w:ascii="Arial" w:hAnsi="Arial" w:cs="Arial"/>
          <w:sz w:val="22"/>
          <w:szCs w:val="22"/>
        </w:rPr>
        <w:endnoteRef/>
      </w:r>
      <w:r w:rsidRPr="00B14D61">
        <w:rPr>
          <w:rFonts w:ascii="Arial" w:hAnsi="Arial" w:cs="Arial"/>
          <w:sz w:val="22"/>
          <w:szCs w:val="22"/>
        </w:rPr>
        <w:t xml:space="preserve"> Appendix H - DOE Steam Tip Sheet 4</w:t>
      </w:r>
    </w:p>
    <w:p w:rsidR="00F85990" w:rsidRDefault="00F85990">
      <w:pPr>
        <w:pStyle w:val="EndnoteText"/>
      </w:pPr>
    </w:p>
  </w:endnote>
  <w:endnote w:id="9">
    <w:p w:rsidR="00F85990" w:rsidRPr="00230B1A" w:rsidRDefault="00F85990" w:rsidP="003E1686">
      <w:pPr>
        <w:pStyle w:val="EndnoteText"/>
        <w:rPr>
          <w:rFonts w:ascii="Arial" w:hAnsi="Arial" w:cs="Arial"/>
          <w:sz w:val="22"/>
          <w:szCs w:val="22"/>
        </w:rPr>
      </w:pPr>
      <w:r w:rsidRPr="00230B1A">
        <w:rPr>
          <w:rStyle w:val="EndnoteReference"/>
          <w:rFonts w:ascii="Arial" w:hAnsi="Arial" w:cs="Arial"/>
          <w:sz w:val="22"/>
          <w:szCs w:val="22"/>
        </w:rPr>
        <w:endnoteRef/>
      </w:r>
      <w:r w:rsidRPr="00230B1A">
        <w:rPr>
          <w:rFonts w:ascii="Arial" w:hAnsi="Arial" w:cs="Arial"/>
          <w:sz w:val="22"/>
          <w:szCs w:val="22"/>
        </w:rPr>
        <w:t xml:space="preserve"> </w:t>
      </w:r>
      <w:r w:rsidRPr="00C35600">
        <w:rPr>
          <w:rFonts w:ascii="Arial" w:hAnsi="Arial" w:cs="Arial"/>
          <w:sz w:val="22"/>
          <w:szCs w:val="22"/>
        </w:rPr>
        <w:t>California Energy Commission (CEC</w:t>
      </w:r>
      <w:r w:rsidRPr="00C35600">
        <w:rPr>
          <w:rFonts w:ascii="Arial" w:hAnsi="Arial" w:cs="Arial"/>
          <w:sz w:val="22"/>
          <w:szCs w:val="22"/>
        </w:rPr>
        <w:fldChar w:fldCharType="begin"/>
      </w:r>
      <w:r w:rsidRPr="00C35600">
        <w:rPr>
          <w:rFonts w:ascii="Arial" w:hAnsi="Arial" w:cs="Arial"/>
          <w:sz w:val="22"/>
          <w:szCs w:val="22"/>
        </w:rPr>
        <w:instrText xml:space="preserve"> XE "CEC" </w:instrText>
      </w:r>
      <w:r w:rsidRPr="00C35600">
        <w:rPr>
          <w:rFonts w:ascii="Arial" w:hAnsi="Arial" w:cs="Arial"/>
          <w:sz w:val="22"/>
          <w:szCs w:val="22"/>
        </w:rPr>
        <w:fldChar w:fldCharType="end"/>
      </w:r>
      <w:r w:rsidRPr="00C35600">
        <w:rPr>
          <w:rFonts w:ascii="Arial" w:hAnsi="Arial" w:cs="Arial"/>
          <w:sz w:val="22"/>
          <w:szCs w:val="22"/>
        </w:rPr>
        <w:t>) Appliance Databases</w:t>
      </w:r>
      <w:r>
        <w:rPr>
          <w:rFonts w:ascii="Arial" w:hAnsi="Arial" w:cs="Arial"/>
          <w:sz w:val="22"/>
          <w:szCs w:val="22"/>
        </w:rPr>
        <w:t xml:space="preserve"> -</w:t>
      </w:r>
      <w:hyperlink r:id="rId1" w:history="1">
        <w:r w:rsidRPr="00476FFF">
          <w:rPr>
            <w:rStyle w:val="Hyperlink"/>
            <w:rFonts w:ascii="Arial" w:hAnsi="Arial" w:cs="Arial"/>
            <w:sz w:val="22"/>
            <w:szCs w:val="22"/>
          </w:rPr>
          <w:t>http://www.appliances.energy.ca.gov/AdvancedSearch.aspx</w:t>
        </w:r>
      </w:hyperlink>
    </w:p>
    <w:p w:rsidR="00F85990" w:rsidRPr="00230B1A" w:rsidRDefault="00F85990">
      <w:pPr>
        <w:pStyle w:val="EndnoteText"/>
        <w:rPr>
          <w:rFonts w:ascii="Arial" w:hAnsi="Arial" w:cs="Arial"/>
          <w:sz w:val="22"/>
          <w:szCs w:val="22"/>
        </w:rPr>
      </w:pPr>
    </w:p>
  </w:endnote>
  <w:endnote w:id="10">
    <w:p w:rsidR="00F85990" w:rsidRDefault="00F85990">
      <w:pPr>
        <w:pStyle w:val="EndnoteText"/>
        <w:rPr>
          <w:rFonts w:ascii="Arial" w:hAnsi="Arial" w:cs="Arial"/>
          <w:sz w:val="22"/>
          <w:szCs w:val="22"/>
        </w:rPr>
      </w:pPr>
      <w:r w:rsidRPr="00230B1A">
        <w:rPr>
          <w:rStyle w:val="EndnoteReference"/>
          <w:rFonts w:ascii="Arial" w:hAnsi="Arial" w:cs="Arial"/>
          <w:sz w:val="22"/>
          <w:szCs w:val="22"/>
        </w:rPr>
        <w:endnoteRef/>
      </w:r>
      <w:r w:rsidRPr="00230B1A">
        <w:rPr>
          <w:rFonts w:ascii="Arial" w:hAnsi="Arial" w:cs="Arial"/>
          <w:sz w:val="22"/>
          <w:szCs w:val="22"/>
        </w:rPr>
        <w:t xml:space="preserve"> Appendix </w:t>
      </w:r>
      <w:r>
        <w:rPr>
          <w:rFonts w:ascii="Arial" w:hAnsi="Arial" w:cs="Arial"/>
          <w:sz w:val="22"/>
          <w:szCs w:val="22"/>
        </w:rPr>
        <w:t>I</w:t>
      </w:r>
      <w:r w:rsidRPr="00230B1A">
        <w:rPr>
          <w:rFonts w:ascii="Arial" w:hAnsi="Arial" w:cs="Arial"/>
          <w:sz w:val="22"/>
          <w:szCs w:val="22"/>
        </w:rPr>
        <w:t xml:space="preserve"> - Characterization Industrial Commercial Boiler Population</w:t>
      </w:r>
    </w:p>
    <w:p w:rsidR="00F85990" w:rsidRDefault="00F85990">
      <w:pPr>
        <w:pStyle w:val="EndnoteText"/>
      </w:pPr>
    </w:p>
  </w:endnote>
  <w:endnote w:id="11">
    <w:p w:rsidR="00F85990" w:rsidRDefault="00F85990">
      <w:pPr>
        <w:pStyle w:val="EndnoteText"/>
      </w:pPr>
      <w:r>
        <w:rPr>
          <w:rStyle w:val="EndnoteReference"/>
        </w:rPr>
        <w:endnoteRef/>
      </w:r>
      <w:r>
        <w:t xml:space="preserve"> </w:t>
      </w:r>
      <w:r w:rsidRPr="003E1686">
        <w:rPr>
          <w:rFonts w:ascii="Arial" w:hAnsi="Arial" w:cs="Arial"/>
          <w:sz w:val="22"/>
          <w:szCs w:val="22"/>
        </w:rPr>
        <w:t>Bureau of Economic Analysis – Regional Economic Accounts – Gross Domestic Products by State  – http://www.bea.gov/regional/gsp/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Light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90" w:rsidRDefault="00F8599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5990" w:rsidRDefault="00F859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90" w:rsidRPr="00846195" w:rsidRDefault="00F85990"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w:t>
    </w:r>
    <w:r w:rsidRPr="00846195">
      <w:rPr>
        <w:rStyle w:val="PageNumber"/>
        <w:b/>
        <w:sz w:val="20"/>
        <w:szCs w:val="20"/>
      </w:rPr>
      <w:fldChar w:fldCharType="end"/>
    </w:r>
  </w:p>
  <w:p w:rsidR="00F85990" w:rsidRDefault="00F85990"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12/6/2013</w:t>
    </w:r>
  </w:p>
  <w:p w:rsidR="00F85990" w:rsidRDefault="00F85990" w:rsidP="00D7047A">
    <w:pPr>
      <w:pStyle w:val="Footer"/>
      <w:rPr>
        <w:b/>
        <w:sz w:val="20"/>
        <w:szCs w:val="20"/>
      </w:rPr>
    </w:pPr>
    <w:r>
      <w:rPr>
        <w:b/>
        <w:sz w:val="20"/>
        <w:szCs w:val="20"/>
      </w:rPr>
      <w:t>Pacific Gas &amp; Electric Company</w:t>
    </w:r>
  </w:p>
  <w:p w:rsidR="00F85990" w:rsidRPr="00081FB4" w:rsidRDefault="00F85990" w:rsidP="00D7047A">
    <w:pPr>
      <w:pStyle w:val="Footer"/>
      <w:rPr>
        <w:noProof/>
        <w:sz w:val="20"/>
        <w:szCs w:val="20"/>
      </w:rPr>
    </w:pPr>
    <w:r w:rsidRPr="00893A0F">
      <w:rPr>
        <w:noProof/>
        <w:sz w:val="20"/>
        <w:szCs w:val="20"/>
      </w:rPr>
      <w:t>PGECO</w:t>
    </w:r>
    <w:r>
      <w:rPr>
        <w:noProof/>
        <w:sz w:val="20"/>
        <w:szCs w:val="20"/>
      </w:rPr>
      <w:t>HVC101 R3</w:t>
    </w:r>
    <w:r w:rsidRPr="00893A0F">
      <w:rPr>
        <w:noProof/>
        <w:sz w:val="20"/>
        <w:szCs w:val="20"/>
      </w:rPr>
      <w:t xml:space="preserve"> </w:t>
    </w:r>
    <w:r>
      <w:rPr>
        <w:noProof/>
        <w:sz w:val="20"/>
        <w:szCs w:val="20"/>
      </w:rPr>
      <w:t>Large DHW Boiler</w:t>
    </w:r>
    <w:r w:rsidRPr="00893A0F">
      <w:rPr>
        <w:noProof/>
        <w:sz w:val="20"/>
        <w:szCs w:val="20"/>
      </w:rPr>
      <w:t>.doc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90" w:rsidRPr="00672230" w:rsidRDefault="00F85990" w:rsidP="00D7047A">
    <w:pPr>
      <w:pStyle w:val="Footer"/>
      <w:jc w:val="right"/>
      <w:rPr>
        <w:rFonts w:ascii="Arial" w:hAnsi="Arial" w:cs="Arial"/>
        <w:b/>
        <w:sz w:val="36"/>
        <w:szCs w:val="36"/>
      </w:rPr>
    </w:pPr>
    <w:r>
      <w:rPr>
        <w:rFonts w:ascii="Arial" w:hAnsi="Arial" w:cs="Arial"/>
        <w:b/>
        <w:sz w:val="36"/>
        <w:szCs w:val="36"/>
      </w:rPr>
      <w:t>Last Revised 04/25/2014</w:t>
    </w:r>
  </w:p>
  <w:p w:rsidR="00F85990" w:rsidRDefault="00F859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90" w:rsidRPr="00846195" w:rsidRDefault="00F85990"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5E3C06">
      <w:rPr>
        <w:rStyle w:val="PageNumber"/>
        <w:b/>
        <w:noProof/>
        <w:sz w:val="20"/>
        <w:szCs w:val="20"/>
      </w:rPr>
      <w:t>ii</w:t>
    </w:r>
    <w:r w:rsidRPr="00846195">
      <w:rPr>
        <w:rStyle w:val="PageNumber"/>
        <w:b/>
        <w:sz w:val="20"/>
        <w:szCs w:val="20"/>
      </w:rPr>
      <w:fldChar w:fldCharType="end"/>
    </w:r>
  </w:p>
  <w:p w:rsidR="00F85990" w:rsidRPr="00DD43C2" w:rsidRDefault="00F85990" w:rsidP="00A961E9">
    <w:pPr>
      <w:pStyle w:val="Footer"/>
      <w:pBdr>
        <w:top w:val="single" w:sz="4" w:space="1" w:color="auto"/>
      </w:pBdr>
      <w:tabs>
        <w:tab w:val="clear" w:pos="8640"/>
      </w:tabs>
      <w:rPr>
        <w:b/>
        <w:sz w:val="20"/>
        <w:szCs w:val="20"/>
      </w:rPr>
    </w:pPr>
    <w:r w:rsidRPr="00DD43C2">
      <w:rPr>
        <w:b/>
        <w:sz w:val="20"/>
        <w:szCs w:val="20"/>
      </w:rPr>
      <w:t>PGECOPRO101 Process Boiler, R3</w:t>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t xml:space="preserve">         </w:t>
    </w:r>
    <w:r w:rsidRPr="00DD43C2">
      <w:rPr>
        <w:b/>
        <w:sz w:val="20"/>
        <w:szCs w:val="20"/>
      </w:rPr>
      <w:t>04/25/2014</w:t>
    </w:r>
  </w:p>
  <w:p w:rsidR="00F85990" w:rsidRPr="00DD43C2" w:rsidRDefault="00F85990" w:rsidP="00D7047A">
    <w:pPr>
      <w:pStyle w:val="Footer"/>
      <w:rPr>
        <w:b/>
        <w:sz w:val="20"/>
        <w:szCs w:val="20"/>
      </w:rPr>
    </w:pPr>
    <w:r w:rsidRPr="00DD43C2">
      <w:rPr>
        <w:b/>
        <w:sz w:val="20"/>
        <w:szCs w:val="20"/>
      </w:rPr>
      <w:t>Pacific Gas &amp; Electric Company</w:t>
    </w:r>
  </w:p>
  <w:p w:rsidR="00F85990" w:rsidRPr="000A7376" w:rsidRDefault="00F85990" w:rsidP="00D7047A">
    <w:pPr>
      <w:pStyle w:val="Footer"/>
      <w:rPr>
        <w:noProof/>
        <w:sz w:val="20"/>
        <w:szCs w:val="20"/>
      </w:rPr>
    </w:pPr>
    <w:r w:rsidRPr="00DD43C2">
      <w:rPr>
        <w:b/>
        <w:noProof/>
        <w:sz w:val="20"/>
        <w:szCs w:val="20"/>
      </w:rPr>
      <w:fldChar w:fldCharType="begin"/>
    </w:r>
    <w:r w:rsidRPr="00DD43C2">
      <w:rPr>
        <w:b/>
        <w:noProof/>
        <w:sz w:val="20"/>
        <w:szCs w:val="20"/>
      </w:rPr>
      <w:instrText xml:space="preserve"> FILENAME   \* MERGEFORMAT </w:instrText>
    </w:r>
    <w:r w:rsidRPr="00DD43C2">
      <w:rPr>
        <w:b/>
        <w:noProof/>
        <w:sz w:val="20"/>
        <w:szCs w:val="20"/>
      </w:rPr>
      <w:fldChar w:fldCharType="separate"/>
    </w:r>
    <w:r w:rsidRPr="00DD43C2">
      <w:rPr>
        <w:b/>
        <w:noProof/>
        <w:sz w:val="20"/>
        <w:szCs w:val="20"/>
      </w:rPr>
      <w:t>PGECOPRO101 R3 Process Boilers.docx</w:t>
    </w:r>
    <w:r w:rsidRPr="00DD43C2">
      <w:rPr>
        <w:b/>
        <w:noProof/>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2"/>
  <w:p w:rsidR="00F85990" w:rsidRPr="00846195" w:rsidRDefault="00F85990" w:rsidP="00C54098">
    <w:pPr>
      <w:pStyle w:val="Footer"/>
      <w:framePr w:wrap="around" w:vAnchor="text" w:hAnchor="page" w:x="5971" w:y="62"/>
      <w:rPr>
        <w:rStyle w:val="PageNumber"/>
        <w:b/>
        <w:szCs w:val="20"/>
      </w:rPr>
    </w:pPr>
    <w:r w:rsidRPr="00846195">
      <w:rPr>
        <w:rStyle w:val="PageNumber"/>
        <w:b/>
        <w:szCs w:val="20"/>
      </w:rPr>
      <w:fldChar w:fldCharType="begin"/>
    </w:r>
    <w:r w:rsidRPr="00846195">
      <w:rPr>
        <w:rStyle w:val="PageNumber"/>
        <w:b/>
        <w:szCs w:val="20"/>
      </w:rPr>
      <w:instrText xml:space="preserve">PAGE  </w:instrText>
    </w:r>
    <w:r w:rsidRPr="00846195">
      <w:rPr>
        <w:rStyle w:val="PageNumber"/>
        <w:b/>
        <w:szCs w:val="20"/>
      </w:rPr>
      <w:fldChar w:fldCharType="separate"/>
    </w:r>
    <w:r w:rsidR="005E3C06">
      <w:rPr>
        <w:rStyle w:val="PageNumber"/>
        <w:b/>
        <w:noProof/>
        <w:szCs w:val="20"/>
      </w:rPr>
      <w:t>vi</w:t>
    </w:r>
    <w:r w:rsidRPr="00846195">
      <w:rPr>
        <w:rStyle w:val="PageNumber"/>
        <w:b/>
        <w:szCs w:val="20"/>
      </w:rPr>
      <w:fldChar w:fldCharType="end"/>
    </w:r>
  </w:p>
  <w:p w:rsidR="00F85990" w:rsidRPr="00E16FD8" w:rsidRDefault="00F85990" w:rsidP="000A7376">
    <w:pPr>
      <w:pStyle w:val="Footer"/>
      <w:pBdr>
        <w:top w:val="single" w:sz="4" w:space="1" w:color="auto"/>
      </w:pBdr>
      <w:tabs>
        <w:tab w:val="clear" w:pos="8640"/>
        <w:tab w:val="left" w:pos="5925"/>
        <w:tab w:val="right" w:pos="9360"/>
      </w:tabs>
      <w:rPr>
        <w:b/>
        <w:sz w:val="20"/>
        <w:szCs w:val="20"/>
      </w:rPr>
    </w:pPr>
    <w:r w:rsidRPr="00E16FD8">
      <w:rPr>
        <w:b/>
        <w:sz w:val="20"/>
        <w:szCs w:val="20"/>
      </w:rPr>
      <w:t>PGECOPRO101 Process Boiler, R3</w:t>
    </w:r>
    <w:bookmarkEnd w:id="5"/>
    <w:r w:rsidRPr="00E16FD8">
      <w:rPr>
        <w:b/>
        <w:sz w:val="20"/>
        <w:szCs w:val="20"/>
      </w:rPr>
      <w:tab/>
    </w:r>
    <w:r w:rsidRPr="00E16FD8">
      <w:rPr>
        <w:b/>
        <w:sz w:val="20"/>
        <w:szCs w:val="20"/>
      </w:rPr>
      <w:tab/>
    </w:r>
    <w:r w:rsidRPr="00E16FD8">
      <w:rPr>
        <w:b/>
        <w:sz w:val="20"/>
        <w:szCs w:val="20"/>
      </w:rPr>
      <w:tab/>
      <w:t>04/25/2014</w:t>
    </w:r>
  </w:p>
  <w:p w:rsidR="00F85990" w:rsidRPr="00E16FD8" w:rsidRDefault="00F85990" w:rsidP="00075E07">
    <w:pPr>
      <w:pStyle w:val="Footer"/>
      <w:tabs>
        <w:tab w:val="clear" w:pos="4320"/>
        <w:tab w:val="clear" w:pos="8640"/>
        <w:tab w:val="left" w:pos="3751"/>
      </w:tabs>
      <w:rPr>
        <w:b/>
        <w:sz w:val="20"/>
        <w:szCs w:val="20"/>
      </w:rPr>
    </w:pPr>
    <w:r w:rsidRPr="00E16FD8">
      <w:rPr>
        <w:b/>
        <w:sz w:val="20"/>
        <w:szCs w:val="20"/>
      </w:rPr>
      <w:t>Pacific Gas &amp; Electric Company</w:t>
    </w:r>
    <w:r w:rsidRPr="00E16FD8">
      <w:rPr>
        <w:b/>
        <w:sz w:val="20"/>
        <w:szCs w:val="20"/>
      </w:rPr>
      <w:tab/>
    </w:r>
  </w:p>
  <w:p w:rsidR="00F85990" w:rsidRDefault="00F85990">
    <w:r w:rsidRPr="00E16FD8">
      <w:rPr>
        <w:b/>
        <w:sz w:val="20"/>
        <w:szCs w:val="20"/>
      </w:rPr>
      <w:fldChar w:fldCharType="begin"/>
    </w:r>
    <w:r w:rsidRPr="00E16FD8">
      <w:rPr>
        <w:b/>
        <w:sz w:val="20"/>
        <w:szCs w:val="20"/>
      </w:rPr>
      <w:instrText xml:space="preserve"> FILENAME   \* MERGEFORMAT </w:instrText>
    </w:r>
    <w:r w:rsidRPr="00E16FD8">
      <w:rPr>
        <w:b/>
        <w:sz w:val="20"/>
        <w:szCs w:val="20"/>
      </w:rPr>
      <w:fldChar w:fldCharType="separate"/>
    </w:r>
    <w:r>
      <w:rPr>
        <w:b/>
        <w:noProof/>
        <w:sz w:val="20"/>
        <w:szCs w:val="20"/>
      </w:rPr>
      <w:t>PGECOPRO101 R3 Process Boilers.docx</w:t>
    </w:r>
    <w:r w:rsidRPr="00E16FD8">
      <w:rPr>
        <w:b/>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90" w:rsidRPr="00846195" w:rsidRDefault="00F85990" w:rsidP="00DD43C2">
    <w:pPr>
      <w:pStyle w:val="Footer"/>
      <w:framePr w:wrap="around" w:vAnchor="text" w:hAnchor="page" w:x="6241" w:y="11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5E3C06">
      <w:rPr>
        <w:rStyle w:val="PageNumber"/>
        <w:b/>
        <w:noProof/>
        <w:sz w:val="20"/>
        <w:szCs w:val="20"/>
      </w:rPr>
      <w:t>17</w:t>
    </w:r>
    <w:r w:rsidRPr="00846195">
      <w:rPr>
        <w:rStyle w:val="PageNumber"/>
        <w:b/>
        <w:sz w:val="20"/>
        <w:szCs w:val="20"/>
      </w:rPr>
      <w:fldChar w:fldCharType="end"/>
    </w:r>
  </w:p>
  <w:p w:rsidR="00F85990" w:rsidRPr="00075E07" w:rsidRDefault="00F85990"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04/25/2014</w:t>
    </w:r>
  </w:p>
  <w:p w:rsidR="00F85990" w:rsidRDefault="00F85990" w:rsidP="00D7047A">
    <w:pPr>
      <w:pStyle w:val="Footer"/>
      <w:rPr>
        <w:b/>
        <w:sz w:val="20"/>
        <w:szCs w:val="20"/>
      </w:rPr>
    </w:pPr>
    <w:r>
      <w:rPr>
        <w:b/>
        <w:sz w:val="20"/>
        <w:szCs w:val="20"/>
      </w:rPr>
      <w:t>PGECOPRO</w:t>
    </w:r>
    <w:r w:rsidRPr="000A7376">
      <w:rPr>
        <w:b/>
        <w:sz w:val="20"/>
        <w:szCs w:val="20"/>
      </w:rPr>
      <w:t>101</w:t>
    </w:r>
    <w:r>
      <w:rPr>
        <w:b/>
        <w:sz w:val="20"/>
        <w:szCs w:val="20"/>
      </w:rPr>
      <w:t xml:space="preserve"> Process Boiler, R3</w:t>
    </w:r>
  </w:p>
  <w:p w:rsidR="00F85990" w:rsidRDefault="00F85990" w:rsidP="00D7047A">
    <w:pPr>
      <w:pStyle w:val="Footer"/>
      <w:rPr>
        <w:b/>
        <w:sz w:val="20"/>
        <w:szCs w:val="20"/>
      </w:rPr>
    </w:pPr>
    <w:r>
      <w:rPr>
        <w:b/>
        <w:sz w:val="20"/>
        <w:szCs w:val="20"/>
      </w:rPr>
      <w:t>Pacific Gas &amp; Electric Company</w:t>
    </w:r>
  </w:p>
  <w:p w:rsidR="00F85990" w:rsidRPr="00D7047A" w:rsidRDefault="00F85990" w:rsidP="00660047">
    <w:pPr>
      <w:pStyle w:val="Footer"/>
      <w:rPr>
        <w:b/>
        <w:sz w:val="20"/>
        <w:szCs w:val="20"/>
      </w:rPr>
    </w:pPr>
    <w:r>
      <w:rPr>
        <w:b/>
        <w:sz w:val="20"/>
        <w:szCs w:val="20"/>
      </w:rPr>
      <w:fldChar w:fldCharType="begin"/>
    </w:r>
    <w:r>
      <w:rPr>
        <w:b/>
        <w:sz w:val="20"/>
        <w:szCs w:val="20"/>
      </w:rPr>
      <w:instrText xml:space="preserve"> FILENAME   \* MERGEFORMAT </w:instrText>
    </w:r>
    <w:r>
      <w:rPr>
        <w:b/>
        <w:sz w:val="20"/>
        <w:szCs w:val="20"/>
      </w:rPr>
      <w:fldChar w:fldCharType="separate"/>
    </w:r>
    <w:r>
      <w:rPr>
        <w:b/>
        <w:noProof/>
        <w:sz w:val="20"/>
        <w:szCs w:val="20"/>
      </w:rPr>
      <w:t>PGECOPRO101 R3 Process Boilers.docx</w:t>
    </w:r>
    <w:r>
      <w:rPr>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990" w:rsidRDefault="00F85990">
      <w:r>
        <w:separator/>
      </w:r>
    </w:p>
  </w:footnote>
  <w:footnote w:type="continuationSeparator" w:id="0">
    <w:p w:rsidR="00F85990" w:rsidRDefault="00F859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90" w:rsidRDefault="00F8599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90" w:rsidRDefault="00F85990" w:rsidP="001A573F">
    <w:pPr>
      <w:pStyle w:val="Header"/>
      <w:jc w:val="right"/>
    </w:pPr>
  </w:p>
  <w:p w:rsidR="00F85990" w:rsidRDefault="00F85990"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A02D03"/>
    <w:multiLevelType w:val="hybridMultilevel"/>
    <w:tmpl w:val="554E13AC"/>
    <w:lvl w:ilvl="0" w:tplc="72C8C0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3C6FD8"/>
    <w:multiLevelType w:val="hybridMultilevel"/>
    <w:tmpl w:val="20BAC2BA"/>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4D42EB"/>
    <w:multiLevelType w:val="hybridMultilevel"/>
    <w:tmpl w:val="FFA613AE"/>
    <w:lvl w:ilvl="0" w:tplc="DCDED1E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A69744F"/>
    <w:multiLevelType w:val="hybridMultilevel"/>
    <w:tmpl w:val="9CD2CDB6"/>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B6F1EAC"/>
    <w:multiLevelType w:val="hybridMultilevel"/>
    <w:tmpl w:val="E7206EC0"/>
    <w:lvl w:ilvl="0" w:tplc="C50E3C5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22B0E7D"/>
    <w:multiLevelType w:val="hybridMultilevel"/>
    <w:tmpl w:val="ED0A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270E6FA4"/>
    <w:multiLevelType w:val="hybridMultilevel"/>
    <w:tmpl w:val="5CC0861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FB0082"/>
    <w:multiLevelType w:val="hybridMultilevel"/>
    <w:tmpl w:val="2F901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aramond-LightCondense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aramond-LightCondense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aramond-LightCondense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8">
    <w:nsid w:val="359F4055"/>
    <w:multiLevelType w:val="hybridMultilevel"/>
    <w:tmpl w:val="6C9E59F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612BE6"/>
    <w:multiLevelType w:val="hybridMultilevel"/>
    <w:tmpl w:val="9702C08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175963"/>
    <w:multiLevelType w:val="hybridMultilevel"/>
    <w:tmpl w:val="C8642BA2"/>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EE269F"/>
    <w:multiLevelType w:val="hybridMultilevel"/>
    <w:tmpl w:val="940ACD8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262E79"/>
    <w:multiLevelType w:val="hybridMultilevel"/>
    <w:tmpl w:val="48BA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4701D0"/>
    <w:multiLevelType w:val="hybridMultilevel"/>
    <w:tmpl w:val="666E2204"/>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60450D27"/>
    <w:multiLevelType w:val="hybridMultilevel"/>
    <w:tmpl w:val="8236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1BD4DFE"/>
    <w:multiLevelType w:val="hybridMultilevel"/>
    <w:tmpl w:val="7C7031C4"/>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076336"/>
    <w:multiLevelType w:val="hybridMultilevel"/>
    <w:tmpl w:val="8FEA8AF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820856"/>
    <w:multiLevelType w:val="singleLevel"/>
    <w:tmpl w:val="6C78A414"/>
    <w:lvl w:ilvl="0">
      <w:start w:val="1"/>
      <w:numFmt w:val="decimal"/>
      <w:lvlText w:val="%1."/>
      <w:legacy w:legacy="1" w:legacySpace="0" w:legacyIndent="0"/>
      <w:lvlJc w:val="left"/>
    </w:lvl>
  </w:abstractNum>
  <w:abstractNum w:abstractNumId="37">
    <w:nsid w:val="792018DB"/>
    <w:multiLevelType w:val="hybridMultilevel"/>
    <w:tmpl w:val="A2588882"/>
    <w:lvl w:ilvl="0" w:tplc="C50E3C5E">
      <w:start w:val="1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DD06857"/>
    <w:multiLevelType w:val="hybridMultilevel"/>
    <w:tmpl w:val="2C6EE4D6"/>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6"/>
  </w:num>
  <w:num w:numId="4">
    <w:abstractNumId w:val="11"/>
  </w:num>
  <w:num w:numId="5">
    <w:abstractNumId w:val="36"/>
  </w:num>
  <w:num w:numId="6">
    <w:abstractNumId w:val="17"/>
  </w:num>
  <w:num w:numId="7">
    <w:abstractNumId w:val="7"/>
  </w:num>
  <w:num w:numId="8">
    <w:abstractNumId w:val="20"/>
  </w:num>
  <w:num w:numId="9">
    <w:abstractNumId w:val="14"/>
  </w:num>
  <w:num w:numId="10">
    <w:abstractNumId w:val="2"/>
  </w:num>
  <w:num w:numId="11">
    <w:abstractNumId w:val="28"/>
  </w:num>
  <w:num w:numId="12">
    <w:abstractNumId w:val="30"/>
  </w:num>
  <w:num w:numId="13">
    <w:abstractNumId w:val="4"/>
  </w:num>
  <w:num w:numId="14">
    <w:abstractNumId w:val="39"/>
  </w:num>
  <w:num w:numId="15">
    <w:abstractNumId w:val="21"/>
  </w:num>
  <w:num w:numId="16">
    <w:abstractNumId w:val="24"/>
  </w:num>
  <w:num w:numId="17">
    <w:abstractNumId w:val="0"/>
  </w:num>
  <w:num w:numId="18">
    <w:abstractNumId w:val="13"/>
  </w:num>
  <w:num w:numId="19">
    <w:abstractNumId w:val="33"/>
  </w:num>
  <w:num w:numId="20">
    <w:abstractNumId w:val="34"/>
  </w:num>
  <w:num w:numId="21">
    <w:abstractNumId w:val="16"/>
  </w:num>
  <w:num w:numId="22">
    <w:abstractNumId w:val="12"/>
  </w:num>
  <w:num w:numId="23">
    <w:abstractNumId w:val="26"/>
  </w:num>
  <w:num w:numId="24">
    <w:abstractNumId w:val="29"/>
  </w:num>
  <w:num w:numId="25">
    <w:abstractNumId w:val="32"/>
  </w:num>
  <w:num w:numId="26">
    <w:abstractNumId w:val="38"/>
  </w:num>
  <w:num w:numId="27">
    <w:abstractNumId w:val="37"/>
  </w:num>
  <w:num w:numId="28">
    <w:abstractNumId w:val="1"/>
  </w:num>
  <w:num w:numId="29">
    <w:abstractNumId w:val="23"/>
  </w:num>
  <w:num w:numId="30">
    <w:abstractNumId w:val="10"/>
  </w:num>
  <w:num w:numId="31">
    <w:abstractNumId w:val="9"/>
  </w:num>
  <w:num w:numId="32">
    <w:abstractNumId w:val="35"/>
  </w:num>
  <w:num w:numId="33">
    <w:abstractNumId w:val="18"/>
  </w:num>
  <w:num w:numId="34">
    <w:abstractNumId w:val="40"/>
  </w:num>
  <w:num w:numId="35">
    <w:abstractNumId w:val="27"/>
  </w:num>
  <w:num w:numId="36">
    <w:abstractNumId w:val="31"/>
  </w:num>
  <w:num w:numId="37">
    <w:abstractNumId w:val="25"/>
  </w:num>
  <w:num w:numId="38">
    <w:abstractNumId w:val="22"/>
  </w:num>
  <w:num w:numId="39">
    <w:abstractNumId w:val="15"/>
  </w:num>
  <w:num w:numId="40">
    <w:abstractNumId w:val="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642"/>
    <w:rsid w:val="000050CC"/>
    <w:rsid w:val="00005E70"/>
    <w:rsid w:val="00012F86"/>
    <w:rsid w:val="00014740"/>
    <w:rsid w:val="00014742"/>
    <w:rsid w:val="00014F9F"/>
    <w:rsid w:val="000170B5"/>
    <w:rsid w:val="00017488"/>
    <w:rsid w:val="0002118E"/>
    <w:rsid w:val="00022172"/>
    <w:rsid w:val="00023102"/>
    <w:rsid w:val="00023F16"/>
    <w:rsid w:val="00024AA9"/>
    <w:rsid w:val="00026F78"/>
    <w:rsid w:val="000272C2"/>
    <w:rsid w:val="0003064A"/>
    <w:rsid w:val="00032B63"/>
    <w:rsid w:val="000351CB"/>
    <w:rsid w:val="000373B0"/>
    <w:rsid w:val="000374A5"/>
    <w:rsid w:val="00037E1E"/>
    <w:rsid w:val="00044365"/>
    <w:rsid w:val="00044570"/>
    <w:rsid w:val="000448A5"/>
    <w:rsid w:val="0004503A"/>
    <w:rsid w:val="00046D10"/>
    <w:rsid w:val="00050D0C"/>
    <w:rsid w:val="00051FC5"/>
    <w:rsid w:val="00053CD8"/>
    <w:rsid w:val="0005535A"/>
    <w:rsid w:val="00055973"/>
    <w:rsid w:val="00056DB9"/>
    <w:rsid w:val="000571F6"/>
    <w:rsid w:val="0005796E"/>
    <w:rsid w:val="00057C09"/>
    <w:rsid w:val="00063A83"/>
    <w:rsid w:val="00063FA7"/>
    <w:rsid w:val="0006490F"/>
    <w:rsid w:val="00066D5B"/>
    <w:rsid w:val="000678A2"/>
    <w:rsid w:val="00067EB5"/>
    <w:rsid w:val="000701EB"/>
    <w:rsid w:val="000719AA"/>
    <w:rsid w:val="0007306B"/>
    <w:rsid w:val="00073184"/>
    <w:rsid w:val="00073E7D"/>
    <w:rsid w:val="000749EA"/>
    <w:rsid w:val="00075E07"/>
    <w:rsid w:val="00077161"/>
    <w:rsid w:val="00077DC4"/>
    <w:rsid w:val="000802BA"/>
    <w:rsid w:val="000814B9"/>
    <w:rsid w:val="00081FB4"/>
    <w:rsid w:val="000842B9"/>
    <w:rsid w:val="0008537D"/>
    <w:rsid w:val="00085DF5"/>
    <w:rsid w:val="00086594"/>
    <w:rsid w:val="00087378"/>
    <w:rsid w:val="00095610"/>
    <w:rsid w:val="00095C1D"/>
    <w:rsid w:val="000966CC"/>
    <w:rsid w:val="000A1ADB"/>
    <w:rsid w:val="000A2490"/>
    <w:rsid w:val="000A2FB3"/>
    <w:rsid w:val="000A48F2"/>
    <w:rsid w:val="000A7376"/>
    <w:rsid w:val="000B0B1E"/>
    <w:rsid w:val="000B2A6B"/>
    <w:rsid w:val="000B368B"/>
    <w:rsid w:val="000B71D2"/>
    <w:rsid w:val="000C0FD3"/>
    <w:rsid w:val="000C23B1"/>
    <w:rsid w:val="000C4909"/>
    <w:rsid w:val="000C56C0"/>
    <w:rsid w:val="000C5FFA"/>
    <w:rsid w:val="000C6A67"/>
    <w:rsid w:val="000D47BE"/>
    <w:rsid w:val="000D4BF3"/>
    <w:rsid w:val="000D5047"/>
    <w:rsid w:val="000D5790"/>
    <w:rsid w:val="000D64B7"/>
    <w:rsid w:val="000D6DA4"/>
    <w:rsid w:val="000E0350"/>
    <w:rsid w:val="000E132D"/>
    <w:rsid w:val="000E1C56"/>
    <w:rsid w:val="000E273A"/>
    <w:rsid w:val="000E31B5"/>
    <w:rsid w:val="000E6E80"/>
    <w:rsid w:val="000F0069"/>
    <w:rsid w:val="000F0C5D"/>
    <w:rsid w:val="000F11DD"/>
    <w:rsid w:val="000F16B4"/>
    <w:rsid w:val="000F2774"/>
    <w:rsid w:val="001009E0"/>
    <w:rsid w:val="0010148F"/>
    <w:rsid w:val="001018BD"/>
    <w:rsid w:val="00101E3F"/>
    <w:rsid w:val="00102BF4"/>
    <w:rsid w:val="00105438"/>
    <w:rsid w:val="0010696F"/>
    <w:rsid w:val="00111AE5"/>
    <w:rsid w:val="00112B96"/>
    <w:rsid w:val="00115EB1"/>
    <w:rsid w:val="0012128C"/>
    <w:rsid w:val="00121D23"/>
    <w:rsid w:val="001248A3"/>
    <w:rsid w:val="00124F32"/>
    <w:rsid w:val="001252C2"/>
    <w:rsid w:val="0012584A"/>
    <w:rsid w:val="00126483"/>
    <w:rsid w:val="00126A4E"/>
    <w:rsid w:val="00127CC8"/>
    <w:rsid w:val="0013046A"/>
    <w:rsid w:val="0013080C"/>
    <w:rsid w:val="0013087E"/>
    <w:rsid w:val="00130B15"/>
    <w:rsid w:val="00133198"/>
    <w:rsid w:val="00133C60"/>
    <w:rsid w:val="00136D56"/>
    <w:rsid w:val="001379BA"/>
    <w:rsid w:val="0014398A"/>
    <w:rsid w:val="001475F6"/>
    <w:rsid w:val="001476F5"/>
    <w:rsid w:val="00150EC7"/>
    <w:rsid w:val="00152436"/>
    <w:rsid w:val="00152F83"/>
    <w:rsid w:val="00153516"/>
    <w:rsid w:val="00154BE6"/>
    <w:rsid w:val="00155EF5"/>
    <w:rsid w:val="00156F17"/>
    <w:rsid w:val="00160367"/>
    <w:rsid w:val="00161B73"/>
    <w:rsid w:val="00161E02"/>
    <w:rsid w:val="00161EE3"/>
    <w:rsid w:val="00163256"/>
    <w:rsid w:val="00163CC0"/>
    <w:rsid w:val="0016455B"/>
    <w:rsid w:val="00165364"/>
    <w:rsid w:val="00167F2B"/>
    <w:rsid w:val="0017179F"/>
    <w:rsid w:val="00171812"/>
    <w:rsid w:val="00172149"/>
    <w:rsid w:val="00173499"/>
    <w:rsid w:val="00174F03"/>
    <w:rsid w:val="00175673"/>
    <w:rsid w:val="00176431"/>
    <w:rsid w:val="00181C0B"/>
    <w:rsid w:val="001822FC"/>
    <w:rsid w:val="0018290E"/>
    <w:rsid w:val="00182AE8"/>
    <w:rsid w:val="001835E1"/>
    <w:rsid w:val="00183C8E"/>
    <w:rsid w:val="00184950"/>
    <w:rsid w:val="00187474"/>
    <w:rsid w:val="001926AE"/>
    <w:rsid w:val="00192BEF"/>
    <w:rsid w:val="001937FB"/>
    <w:rsid w:val="001946B1"/>
    <w:rsid w:val="00194E14"/>
    <w:rsid w:val="001965AF"/>
    <w:rsid w:val="00196D7C"/>
    <w:rsid w:val="00197A23"/>
    <w:rsid w:val="001A13D5"/>
    <w:rsid w:val="001A3026"/>
    <w:rsid w:val="001A4516"/>
    <w:rsid w:val="001A4B5E"/>
    <w:rsid w:val="001A550C"/>
    <w:rsid w:val="001A573F"/>
    <w:rsid w:val="001A5C3F"/>
    <w:rsid w:val="001A6410"/>
    <w:rsid w:val="001A64C6"/>
    <w:rsid w:val="001A7081"/>
    <w:rsid w:val="001A70AD"/>
    <w:rsid w:val="001A73E3"/>
    <w:rsid w:val="001B03AC"/>
    <w:rsid w:val="001B238D"/>
    <w:rsid w:val="001B242B"/>
    <w:rsid w:val="001B2AFC"/>
    <w:rsid w:val="001B45F2"/>
    <w:rsid w:val="001B4ACB"/>
    <w:rsid w:val="001B5E15"/>
    <w:rsid w:val="001B75E6"/>
    <w:rsid w:val="001B792D"/>
    <w:rsid w:val="001B7D84"/>
    <w:rsid w:val="001C1257"/>
    <w:rsid w:val="001C2942"/>
    <w:rsid w:val="001C295C"/>
    <w:rsid w:val="001C2E2C"/>
    <w:rsid w:val="001C64DB"/>
    <w:rsid w:val="001C6C57"/>
    <w:rsid w:val="001D0A48"/>
    <w:rsid w:val="001D0AF0"/>
    <w:rsid w:val="001D0FE0"/>
    <w:rsid w:val="001D11CE"/>
    <w:rsid w:val="001D16C2"/>
    <w:rsid w:val="001D1B62"/>
    <w:rsid w:val="001D3F48"/>
    <w:rsid w:val="001D483C"/>
    <w:rsid w:val="001D54AF"/>
    <w:rsid w:val="001E37BA"/>
    <w:rsid w:val="001E3AE3"/>
    <w:rsid w:val="001E436C"/>
    <w:rsid w:val="001E7002"/>
    <w:rsid w:val="001E7CA0"/>
    <w:rsid w:val="001F0078"/>
    <w:rsid w:val="001F2B40"/>
    <w:rsid w:val="001F4083"/>
    <w:rsid w:val="001F60D5"/>
    <w:rsid w:val="001F627F"/>
    <w:rsid w:val="001F6E49"/>
    <w:rsid w:val="001F7023"/>
    <w:rsid w:val="00200174"/>
    <w:rsid w:val="0020165C"/>
    <w:rsid w:val="00204D8E"/>
    <w:rsid w:val="0020665C"/>
    <w:rsid w:val="002067A1"/>
    <w:rsid w:val="00210392"/>
    <w:rsid w:val="00211BAC"/>
    <w:rsid w:val="002154B2"/>
    <w:rsid w:val="00215C1E"/>
    <w:rsid w:val="00216837"/>
    <w:rsid w:val="00216BB5"/>
    <w:rsid w:val="002170D6"/>
    <w:rsid w:val="002203EA"/>
    <w:rsid w:val="0022055B"/>
    <w:rsid w:val="0022067C"/>
    <w:rsid w:val="002207C3"/>
    <w:rsid w:val="0022370C"/>
    <w:rsid w:val="0022428B"/>
    <w:rsid w:val="00224D3E"/>
    <w:rsid w:val="002257FA"/>
    <w:rsid w:val="00225AB8"/>
    <w:rsid w:val="0022619C"/>
    <w:rsid w:val="00227D72"/>
    <w:rsid w:val="00230B1A"/>
    <w:rsid w:val="002310B4"/>
    <w:rsid w:val="002311FF"/>
    <w:rsid w:val="00231D53"/>
    <w:rsid w:val="00234F86"/>
    <w:rsid w:val="00235694"/>
    <w:rsid w:val="002378D5"/>
    <w:rsid w:val="00237E59"/>
    <w:rsid w:val="00241BD5"/>
    <w:rsid w:val="0024233E"/>
    <w:rsid w:val="00243BAC"/>
    <w:rsid w:val="00244BD6"/>
    <w:rsid w:val="00245A56"/>
    <w:rsid w:val="002466F4"/>
    <w:rsid w:val="0025038B"/>
    <w:rsid w:val="002522C9"/>
    <w:rsid w:val="00252352"/>
    <w:rsid w:val="00255067"/>
    <w:rsid w:val="0025738E"/>
    <w:rsid w:val="002574CF"/>
    <w:rsid w:val="002628B9"/>
    <w:rsid w:val="002635D8"/>
    <w:rsid w:val="002644BC"/>
    <w:rsid w:val="00264B03"/>
    <w:rsid w:val="00265769"/>
    <w:rsid w:val="00270E6F"/>
    <w:rsid w:val="00270FD7"/>
    <w:rsid w:val="00272BAB"/>
    <w:rsid w:val="0027323D"/>
    <w:rsid w:val="00273D84"/>
    <w:rsid w:val="0027474D"/>
    <w:rsid w:val="00274A7E"/>
    <w:rsid w:val="00275E2C"/>
    <w:rsid w:val="0027624D"/>
    <w:rsid w:val="00276918"/>
    <w:rsid w:val="00276ED1"/>
    <w:rsid w:val="0027792C"/>
    <w:rsid w:val="00284768"/>
    <w:rsid w:val="0028484F"/>
    <w:rsid w:val="002856F0"/>
    <w:rsid w:val="00285AF5"/>
    <w:rsid w:val="0028709C"/>
    <w:rsid w:val="002913D0"/>
    <w:rsid w:val="00291D75"/>
    <w:rsid w:val="0029371D"/>
    <w:rsid w:val="00293F34"/>
    <w:rsid w:val="00295B67"/>
    <w:rsid w:val="0029708E"/>
    <w:rsid w:val="002A2C2E"/>
    <w:rsid w:val="002A4B6C"/>
    <w:rsid w:val="002A7EE9"/>
    <w:rsid w:val="002B0ECF"/>
    <w:rsid w:val="002B166E"/>
    <w:rsid w:val="002B7CE7"/>
    <w:rsid w:val="002C12FA"/>
    <w:rsid w:val="002C1979"/>
    <w:rsid w:val="002C21F9"/>
    <w:rsid w:val="002C23B7"/>
    <w:rsid w:val="002C26EB"/>
    <w:rsid w:val="002C321E"/>
    <w:rsid w:val="002C3770"/>
    <w:rsid w:val="002C42E0"/>
    <w:rsid w:val="002C4745"/>
    <w:rsid w:val="002C4B0C"/>
    <w:rsid w:val="002C4F1C"/>
    <w:rsid w:val="002C518C"/>
    <w:rsid w:val="002C53DD"/>
    <w:rsid w:val="002C6F5A"/>
    <w:rsid w:val="002C7B46"/>
    <w:rsid w:val="002D0DA1"/>
    <w:rsid w:val="002D0F51"/>
    <w:rsid w:val="002D12AC"/>
    <w:rsid w:val="002D27DC"/>
    <w:rsid w:val="002D4621"/>
    <w:rsid w:val="002E0043"/>
    <w:rsid w:val="002E029C"/>
    <w:rsid w:val="002E40A2"/>
    <w:rsid w:val="002E47B4"/>
    <w:rsid w:val="002E5671"/>
    <w:rsid w:val="002E7C0C"/>
    <w:rsid w:val="002F105C"/>
    <w:rsid w:val="002F11A3"/>
    <w:rsid w:val="002F26A9"/>
    <w:rsid w:val="002F3610"/>
    <w:rsid w:val="002F3FE5"/>
    <w:rsid w:val="002F4E8C"/>
    <w:rsid w:val="002F6081"/>
    <w:rsid w:val="002F66AC"/>
    <w:rsid w:val="0030104F"/>
    <w:rsid w:val="0030114D"/>
    <w:rsid w:val="00301498"/>
    <w:rsid w:val="00302B74"/>
    <w:rsid w:val="003032B7"/>
    <w:rsid w:val="0030390D"/>
    <w:rsid w:val="0030550A"/>
    <w:rsid w:val="00306DD7"/>
    <w:rsid w:val="0030734B"/>
    <w:rsid w:val="00311969"/>
    <w:rsid w:val="00311B2F"/>
    <w:rsid w:val="0031272B"/>
    <w:rsid w:val="003129E8"/>
    <w:rsid w:val="003135E2"/>
    <w:rsid w:val="00313644"/>
    <w:rsid w:val="00315AB7"/>
    <w:rsid w:val="003161A3"/>
    <w:rsid w:val="00316A0B"/>
    <w:rsid w:val="00324AFE"/>
    <w:rsid w:val="00324D0F"/>
    <w:rsid w:val="003259CD"/>
    <w:rsid w:val="0032657A"/>
    <w:rsid w:val="00333E01"/>
    <w:rsid w:val="00335017"/>
    <w:rsid w:val="0033626F"/>
    <w:rsid w:val="00340DAD"/>
    <w:rsid w:val="003419BE"/>
    <w:rsid w:val="00343E24"/>
    <w:rsid w:val="00344A93"/>
    <w:rsid w:val="00345971"/>
    <w:rsid w:val="003459E6"/>
    <w:rsid w:val="00345DE6"/>
    <w:rsid w:val="0034647B"/>
    <w:rsid w:val="003468D2"/>
    <w:rsid w:val="00350382"/>
    <w:rsid w:val="00350891"/>
    <w:rsid w:val="00353DC2"/>
    <w:rsid w:val="00355210"/>
    <w:rsid w:val="00356017"/>
    <w:rsid w:val="00357F8C"/>
    <w:rsid w:val="00362067"/>
    <w:rsid w:val="00362839"/>
    <w:rsid w:val="0036318A"/>
    <w:rsid w:val="0036440B"/>
    <w:rsid w:val="00366152"/>
    <w:rsid w:val="00374640"/>
    <w:rsid w:val="0037707D"/>
    <w:rsid w:val="00377407"/>
    <w:rsid w:val="00377531"/>
    <w:rsid w:val="00381BB7"/>
    <w:rsid w:val="0038391A"/>
    <w:rsid w:val="00383B74"/>
    <w:rsid w:val="00384319"/>
    <w:rsid w:val="00384EAE"/>
    <w:rsid w:val="00386730"/>
    <w:rsid w:val="00387CCC"/>
    <w:rsid w:val="00391C77"/>
    <w:rsid w:val="00392734"/>
    <w:rsid w:val="00392B5E"/>
    <w:rsid w:val="00392C05"/>
    <w:rsid w:val="00393618"/>
    <w:rsid w:val="00393D41"/>
    <w:rsid w:val="003942ED"/>
    <w:rsid w:val="00395845"/>
    <w:rsid w:val="003963D5"/>
    <w:rsid w:val="0039761A"/>
    <w:rsid w:val="003A0DE6"/>
    <w:rsid w:val="003A1B51"/>
    <w:rsid w:val="003A304A"/>
    <w:rsid w:val="003A4329"/>
    <w:rsid w:val="003A47D4"/>
    <w:rsid w:val="003A4ABF"/>
    <w:rsid w:val="003A648E"/>
    <w:rsid w:val="003A66D0"/>
    <w:rsid w:val="003A7DD4"/>
    <w:rsid w:val="003B1D4D"/>
    <w:rsid w:val="003B1D79"/>
    <w:rsid w:val="003B3615"/>
    <w:rsid w:val="003B384E"/>
    <w:rsid w:val="003B44BB"/>
    <w:rsid w:val="003B51DE"/>
    <w:rsid w:val="003C0071"/>
    <w:rsid w:val="003C1A85"/>
    <w:rsid w:val="003C27C4"/>
    <w:rsid w:val="003C3A3C"/>
    <w:rsid w:val="003C468B"/>
    <w:rsid w:val="003C48C5"/>
    <w:rsid w:val="003C5915"/>
    <w:rsid w:val="003C5980"/>
    <w:rsid w:val="003C6DFA"/>
    <w:rsid w:val="003D04BC"/>
    <w:rsid w:val="003D36AD"/>
    <w:rsid w:val="003D3F36"/>
    <w:rsid w:val="003D5191"/>
    <w:rsid w:val="003D5828"/>
    <w:rsid w:val="003D60B8"/>
    <w:rsid w:val="003D6579"/>
    <w:rsid w:val="003E04D8"/>
    <w:rsid w:val="003E1686"/>
    <w:rsid w:val="003E24CE"/>
    <w:rsid w:val="003E3441"/>
    <w:rsid w:val="003E3941"/>
    <w:rsid w:val="003E540D"/>
    <w:rsid w:val="003E5998"/>
    <w:rsid w:val="003E7422"/>
    <w:rsid w:val="003E7CF9"/>
    <w:rsid w:val="003E7D3D"/>
    <w:rsid w:val="003E7E0A"/>
    <w:rsid w:val="003F0439"/>
    <w:rsid w:val="003F0CBE"/>
    <w:rsid w:val="003F2817"/>
    <w:rsid w:val="003F3107"/>
    <w:rsid w:val="003F3160"/>
    <w:rsid w:val="003F3419"/>
    <w:rsid w:val="003F3DED"/>
    <w:rsid w:val="003F49E6"/>
    <w:rsid w:val="003F4FFF"/>
    <w:rsid w:val="003F57BD"/>
    <w:rsid w:val="003F5B70"/>
    <w:rsid w:val="004018B3"/>
    <w:rsid w:val="0040323C"/>
    <w:rsid w:val="004036F7"/>
    <w:rsid w:val="00403978"/>
    <w:rsid w:val="00403FBE"/>
    <w:rsid w:val="00405702"/>
    <w:rsid w:val="004078BB"/>
    <w:rsid w:val="00407E31"/>
    <w:rsid w:val="004117E0"/>
    <w:rsid w:val="00413149"/>
    <w:rsid w:val="0041339D"/>
    <w:rsid w:val="004148A5"/>
    <w:rsid w:val="00415754"/>
    <w:rsid w:val="004162E3"/>
    <w:rsid w:val="004203DD"/>
    <w:rsid w:val="00421ED8"/>
    <w:rsid w:val="0042297B"/>
    <w:rsid w:val="00422F19"/>
    <w:rsid w:val="00423B48"/>
    <w:rsid w:val="00424FB4"/>
    <w:rsid w:val="00425CE6"/>
    <w:rsid w:val="00425FE9"/>
    <w:rsid w:val="00427131"/>
    <w:rsid w:val="00427D15"/>
    <w:rsid w:val="004304AE"/>
    <w:rsid w:val="00431602"/>
    <w:rsid w:val="004323E9"/>
    <w:rsid w:val="00432C65"/>
    <w:rsid w:val="00432CD8"/>
    <w:rsid w:val="004339ED"/>
    <w:rsid w:val="00433B89"/>
    <w:rsid w:val="0043466C"/>
    <w:rsid w:val="00434DD9"/>
    <w:rsid w:val="00435469"/>
    <w:rsid w:val="00435C34"/>
    <w:rsid w:val="00436F7E"/>
    <w:rsid w:val="00437947"/>
    <w:rsid w:val="00440771"/>
    <w:rsid w:val="00440AAD"/>
    <w:rsid w:val="0044128D"/>
    <w:rsid w:val="004419D3"/>
    <w:rsid w:val="0044295D"/>
    <w:rsid w:val="00442BCF"/>
    <w:rsid w:val="0044337C"/>
    <w:rsid w:val="00445790"/>
    <w:rsid w:val="004464AA"/>
    <w:rsid w:val="00446895"/>
    <w:rsid w:val="00450273"/>
    <w:rsid w:val="004509A5"/>
    <w:rsid w:val="004517E4"/>
    <w:rsid w:val="00451B66"/>
    <w:rsid w:val="00451D6B"/>
    <w:rsid w:val="00453A77"/>
    <w:rsid w:val="00454170"/>
    <w:rsid w:val="004551F3"/>
    <w:rsid w:val="00455856"/>
    <w:rsid w:val="004563F1"/>
    <w:rsid w:val="00456EE0"/>
    <w:rsid w:val="004602EC"/>
    <w:rsid w:val="004610EA"/>
    <w:rsid w:val="004617A6"/>
    <w:rsid w:val="0046239D"/>
    <w:rsid w:val="004628C3"/>
    <w:rsid w:val="0046329A"/>
    <w:rsid w:val="0046498A"/>
    <w:rsid w:val="00465F2E"/>
    <w:rsid w:val="00467FE9"/>
    <w:rsid w:val="00474025"/>
    <w:rsid w:val="00474E68"/>
    <w:rsid w:val="00475E34"/>
    <w:rsid w:val="00476B67"/>
    <w:rsid w:val="0048008C"/>
    <w:rsid w:val="004809C9"/>
    <w:rsid w:val="00480BAD"/>
    <w:rsid w:val="00480C7E"/>
    <w:rsid w:val="0048184C"/>
    <w:rsid w:val="00486B45"/>
    <w:rsid w:val="00486CF9"/>
    <w:rsid w:val="00487828"/>
    <w:rsid w:val="00487D95"/>
    <w:rsid w:val="0049107A"/>
    <w:rsid w:val="00492048"/>
    <w:rsid w:val="00493555"/>
    <w:rsid w:val="004967A2"/>
    <w:rsid w:val="004967EC"/>
    <w:rsid w:val="00497CD3"/>
    <w:rsid w:val="004A0C0C"/>
    <w:rsid w:val="004A2D46"/>
    <w:rsid w:val="004A3A35"/>
    <w:rsid w:val="004A46C4"/>
    <w:rsid w:val="004A6FCA"/>
    <w:rsid w:val="004A74F0"/>
    <w:rsid w:val="004B0F48"/>
    <w:rsid w:val="004B2B9D"/>
    <w:rsid w:val="004B2CFB"/>
    <w:rsid w:val="004B4489"/>
    <w:rsid w:val="004B506E"/>
    <w:rsid w:val="004B65B8"/>
    <w:rsid w:val="004C0667"/>
    <w:rsid w:val="004C2227"/>
    <w:rsid w:val="004C3412"/>
    <w:rsid w:val="004C4DAB"/>
    <w:rsid w:val="004C4E2A"/>
    <w:rsid w:val="004C56D1"/>
    <w:rsid w:val="004C572C"/>
    <w:rsid w:val="004C576E"/>
    <w:rsid w:val="004C686B"/>
    <w:rsid w:val="004C6B9C"/>
    <w:rsid w:val="004D0E10"/>
    <w:rsid w:val="004D2C76"/>
    <w:rsid w:val="004D476D"/>
    <w:rsid w:val="004D58D5"/>
    <w:rsid w:val="004D71AF"/>
    <w:rsid w:val="004D7301"/>
    <w:rsid w:val="004E43A4"/>
    <w:rsid w:val="004F07B1"/>
    <w:rsid w:val="004F12E7"/>
    <w:rsid w:val="004F1DB8"/>
    <w:rsid w:val="004F2381"/>
    <w:rsid w:val="004F2BFC"/>
    <w:rsid w:val="004F3292"/>
    <w:rsid w:val="004F3EDB"/>
    <w:rsid w:val="004F55EC"/>
    <w:rsid w:val="004F588A"/>
    <w:rsid w:val="004F61DD"/>
    <w:rsid w:val="004F6640"/>
    <w:rsid w:val="00501673"/>
    <w:rsid w:val="00502569"/>
    <w:rsid w:val="005035F8"/>
    <w:rsid w:val="00506204"/>
    <w:rsid w:val="00511171"/>
    <w:rsid w:val="005136CC"/>
    <w:rsid w:val="00513858"/>
    <w:rsid w:val="00514B37"/>
    <w:rsid w:val="00514EEC"/>
    <w:rsid w:val="00515715"/>
    <w:rsid w:val="00516A96"/>
    <w:rsid w:val="00521874"/>
    <w:rsid w:val="00521920"/>
    <w:rsid w:val="005232F7"/>
    <w:rsid w:val="005246B1"/>
    <w:rsid w:val="00527A8C"/>
    <w:rsid w:val="00530281"/>
    <w:rsid w:val="00530B04"/>
    <w:rsid w:val="00530D89"/>
    <w:rsid w:val="00531E03"/>
    <w:rsid w:val="005346A6"/>
    <w:rsid w:val="0053683E"/>
    <w:rsid w:val="005374AC"/>
    <w:rsid w:val="00537B0D"/>
    <w:rsid w:val="005403E8"/>
    <w:rsid w:val="00542990"/>
    <w:rsid w:val="00542A98"/>
    <w:rsid w:val="00542F66"/>
    <w:rsid w:val="005453C5"/>
    <w:rsid w:val="0054599C"/>
    <w:rsid w:val="00545A84"/>
    <w:rsid w:val="005471B9"/>
    <w:rsid w:val="00547480"/>
    <w:rsid w:val="00551046"/>
    <w:rsid w:val="0055169D"/>
    <w:rsid w:val="00551EF3"/>
    <w:rsid w:val="005521E2"/>
    <w:rsid w:val="00553781"/>
    <w:rsid w:val="00553DCA"/>
    <w:rsid w:val="00554084"/>
    <w:rsid w:val="00554611"/>
    <w:rsid w:val="005565EE"/>
    <w:rsid w:val="00557DCD"/>
    <w:rsid w:val="00557E24"/>
    <w:rsid w:val="00560593"/>
    <w:rsid w:val="00560E6F"/>
    <w:rsid w:val="0056163A"/>
    <w:rsid w:val="00562217"/>
    <w:rsid w:val="00563BE5"/>
    <w:rsid w:val="00563E95"/>
    <w:rsid w:val="005644EF"/>
    <w:rsid w:val="00567397"/>
    <w:rsid w:val="005702B7"/>
    <w:rsid w:val="00571DF6"/>
    <w:rsid w:val="00574FBD"/>
    <w:rsid w:val="005773BB"/>
    <w:rsid w:val="00585C83"/>
    <w:rsid w:val="00586604"/>
    <w:rsid w:val="00586E35"/>
    <w:rsid w:val="00590C2E"/>
    <w:rsid w:val="005910C8"/>
    <w:rsid w:val="00591D1C"/>
    <w:rsid w:val="00592F58"/>
    <w:rsid w:val="00594B8D"/>
    <w:rsid w:val="00597C03"/>
    <w:rsid w:val="005A1F9D"/>
    <w:rsid w:val="005A21F6"/>
    <w:rsid w:val="005A2F5D"/>
    <w:rsid w:val="005A3157"/>
    <w:rsid w:val="005A3798"/>
    <w:rsid w:val="005A5726"/>
    <w:rsid w:val="005A67E5"/>
    <w:rsid w:val="005A7302"/>
    <w:rsid w:val="005A7C16"/>
    <w:rsid w:val="005B0F9F"/>
    <w:rsid w:val="005B5BB4"/>
    <w:rsid w:val="005B7208"/>
    <w:rsid w:val="005C2844"/>
    <w:rsid w:val="005C53C5"/>
    <w:rsid w:val="005C6D98"/>
    <w:rsid w:val="005C73FB"/>
    <w:rsid w:val="005C7752"/>
    <w:rsid w:val="005C7F3F"/>
    <w:rsid w:val="005D4792"/>
    <w:rsid w:val="005D6266"/>
    <w:rsid w:val="005E08E0"/>
    <w:rsid w:val="005E2187"/>
    <w:rsid w:val="005E3490"/>
    <w:rsid w:val="005E3C06"/>
    <w:rsid w:val="005E4134"/>
    <w:rsid w:val="005E4ABC"/>
    <w:rsid w:val="005E4FE9"/>
    <w:rsid w:val="005E5696"/>
    <w:rsid w:val="005F19E0"/>
    <w:rsid w:val="005F3E20"/>
    <w:rsid w:val="005F57B5"/>
    <w:rsid w:val="005F5A76"/>
    <w:rsid w:val="005F71EC"/>
    <w:rsid w:val="005F7AA1"/>
    <w:rsid w:val="006009E6"/>
    <w:rsid w:val="0060384F"/>
    <w:rsid w:val="00604FAE"/>
    <w:rsid w:val="00607605"/>
    <w:rsid w:val="0061001E"/>
    <w:rsid w:val="00610B3C"/>
    <w:rsid w:val="00612869"/>
    <w:rsid w:val="006132A6"/>
    <w:rsid w:val="006146EE"/>
    <w:rsid w:val="00617AD5"/>
    <w:rsid w:val="00622319"/>
    <w:rsid w:val="00623394"/>
    <w:rsid w:val="0062416A"/>
    <w:rsid w:val="00624EFB"/>
    <w:rsid w:val="00625623"/>
    <w:rsid w:val="00625FB3"/>
    <w:rsid w:val="00626052"/>
    <w:rsid w:val="00626129"/>
    <w:rsid w:val="00632A52"/>
    <w:rsid w:val="00634414"/>
    <w:rsid w:val="00636012"/>
    <w:rsid w:val="00636987"/>
    <w:rsid w:val="006403DD"/>
    <w:rsid w:val="00640AE6"/>
    <w:rsid w:val="00640BB6"/>
    <w:rsid w:val="00642FCD"/>
    <w:rsid w:val="006433B2"/>
    <w:rsid w:val="00643E1F"/>
    <w:rsid w:val="00646C25"/>
    <w:rsid w:val="00650CAA"/>
    <w:rsid w:val="0065193C"/>
    <w:rsid w:val="00652691"/>
    <w:rsid w:val="00652DD9"/>
    <w:rsid w:val="00652E68"/>
    <w:rsid w:val="00654145"/>
    <w:rsid w:val="006559C8"/>
    <w:rsid w:val="00657405"/>
    <w:rsid w:val="00660047"/>
    <w:rsid w:val="006605C2"/>
    <w:rsid w:val="00661864"/>
    <w:rsid w:val="00663837"/>
    <w:rsid w:val="00663A00"/>
    <w:rsid w:val="00663B07"/>
    <w:rsid w:val="006646F9"/>
    <w:rsid w:val="00664FA6"/>
    <w:rsid w:val="00665845"/>
    <w:rsid w:val="0066632E"/>
    <w:rsid w:val="0066794C"/>
    <w:rsid w:val="00670235"/>
    <w:rsid w:val="006706DC"/>
    <w:rsid w:val="00671BB1"/>
    <w:rsid w:val="00672230"/>
    <w:rsid w:val="0067643C"/>
    <w:rsid w:val="0067673E"/>
    <w:rsid w:val="00681E5C"/>
    <w:rsid w:val="00681F38"/>
    <w:rsid w:val="00682637"/>
    <w:rsid w:val="006832A4"/>
    <w:rsid w:val="0068391C"/>
    <w:rsid w:val="0068419D"/>
    <w:rsid w:val="006846E9"/>
    <w:rsid w:val="006872DB"/>
    <w:rsid w:val="00691999"/>
    <w:rsid w:val="00695ED2"/>
    <w:rsid w:val="006973F2"/>
    <w:rsid w:val="0069784E"/>
    <w:rsid w:val="006A0D9C"/>
    <w:rsid w:val="006A1022"/>
    <w:rsid w:val="006A1A83"/>
    <w:rsid w:val="006A1D1B"/>
    <w:rsid w:val="006A2042"/>
    <w:rsid w:val="006A2C4B"/>
    <w:rsid w:val="006A541C"/>
    <w:rsid w:val="006A55D2"/>
    <w:rsid w:val="006A60EC"/>
    <w:rsid w:val="006A63D0"/>
    <w:rsid w:val="006A644D"/>
    <w:rsid w:val="006B229A"/>
    <w:rsid w:val="006B3C75"/>
    <w:rsid w:val="006B42B8"/>
    <w:rsid w:val="006B50B9"/>
    <w:rsid w:val="006B6104"/>
    <w:rsid w:val="006B6240"/>
    <w:rsid w:val="006B6E87"/>
    <w:rsid w:val="006B7290"/>
    <w:rsid w:val="006B763D"/>
    <w:rsid w:val="006B7BC4"/>
    <w:rsid w:val="006B7EDD"/>
    <w:rsid w:val="006C1C28"/>
    <w:rsid w:val="006C20DF"/>
    <w:rsid w:val="006C2F62"/>
    <w:rsid w:val="006C31AA"/>
    <w:rsid w:val="006C5E5C"/>
    <w:rsid w:val="006C6D55"/>
    <w:rsid w:val="006D0365"/>
    <w:rsid w:val="006D037D"/>
    <w:rsid w:val="006D2068"/>
    <w:rsid w:val="006D249D"/>
    <w:rsid w:val="006D3725"/>
    <w:rsid w:val="006D4AE1"/>
    <w:rsid w:val="006D52A7"/>
    <w:rsid w:val="006D52D8"/>
    <w:rsid w:val="006D5AAB"/>
    <w:rsid w:val="006D675F"/>
    <w:rsid w:val="006D7A90"/>
    <w:rsid w:val="006E0111"/>
    <w:rsid w:val="006E08CC"/>
    <w:rsid w:val="006E1548"/>
    <w:rsid w:val="006E227A"/>
    <w:rsid w:val="006E3709"/>
    <w:rsid w:val="006E3C13"/>
    <w:rsid w:val="006F0139"/>
    <w:rsid w:val="006F214B"/>
    <w:rsid w:val="006F28C7"/>
    <w:rsid w:val="006F4D73"/>
    <w:rsid w:val="006F52ED"/>
    <w:rsid w:val="006F5B88"/>
    <w:rsid w:val="007001DD"/>
    <w:rsid w:val="00700F12"/>
    <w:rsid w:val="0070443C"/>
    <w:rsid w:val="007057D3"/>
    <w:rsid w:val="00706992"/>
    <w:rsid w:val="00706C40"/>
    <w:rsid w:val="00706CFB"/>
    <w:rsid w:val="00711407"/>
    <w:rsid w:val="00712407"/>
    <w:rsid w:val="00712477"/>
    <w:rsid w:val="00721A54"/>
    <w:rsid w:val="00721C75"/>
    <w:rsid w:val="007228DB"/>
    <w:rsid w:val="0072318A"/>
    <w:rsid w:val="00723862"/>
    <w:rsid w:val="00726983"/>
    <w:rsid w:val="0072705B"/>
    <w:rsid w:val="00730011"/>
    <w:rsid w:val="00731859"/>
    <w:rsid w:val="00732CD0"/>
    <w:rsid w:val="00733275"/>
    <w:rsid w:val="00735A4C"/>
    <w:rsid w:val="00735CB1"/>
    <w:rsid w:val="00735CF0"/>
    <w:rsid w:val="00736D00"/>
    <w:rsid w:val="007407BB"/>
    <w:rsid w:val="00740904"/>
    <w:rsid w:val="00741B0E"/>
    <w:rsid w:val="00741F74"/>
    <w:rsid w:val="00742672"/>
    <w:rsid w:val="00742E8A"/>
    <w:rsid w:val="00742F07"/>
    <w:rsid w:val="007431B7"/>
    <w:rsid w:val="0074506B"/>
    <w:rsid w:val="00745482"/>
    <w:rsid w:val="007459F5"/>
    <w:rsid w:val="00746DDC"/>
    <w:rsid w:val="007475AA"/>
    <w:rsid w:val="00750504"/>
    <w:rsid w:val="0075061C"/>
    <w:rsid w:val="00752B28"/>
    <w:rsid w:val="00754727"/>
    <w:rsid w:val="00754D25"/>
    <w:rsid w:val="00755961"/>
    <w:rsid w:val="00756A18"/>
    <w:rsid w:val="00757590"/>
    <w:rsid w:val="00757EA6"/>
    <w:rsid w:val="00760AF9"/>
    <w:rsid w:val="007652CE"/>
    <w:rsid w:val="0076572D"/>
    <w:rsid w:val="00765936"/>
    <w:rsid w:val="00766C83"/>
    <w:rsid w:val="00767D6C"/>
    <w:rsid w:val="0077091B"/>
    <w:rsid w:val="00770A1E"/>
    <w:rsid w:val="0077416A"/>
    <w:rsid w:val="0077569C"/>
    <w:rsid w:val="00775A32"/>
    <w:rsid w:val="00777BE6"/>
    <w:rsid w:val="0078146F"/>
    <w:rsid w:val="007816ED"/>
    <w:rsid w:val="007821CF"/>
    <w:rsid w:val="00783DAC"/>
    <w:rsid w:val="00784500"/>
    <w:rsid w:val="00785112"/>
    <w:rsid w:val="00786700"/>
    <w:rsid w:val="00786F05"/>
    <w:rsid w:val="007878B9"/>
    <w:rsid w:val="007931BC"/>
    <w:rsid w:val="00793646"/>
    <w:rsid w:val="00794E75"/>
    <w:rsid w:val="0079521E"/>
    <w:rsid w:val="00796071"/>
    <w:rsid w:val="00796D77"/>
    <w:rsid w:val="00797066"/>
    <w:rsid w:val="00797ECA"/>
    <w:rsid w:val="007A0CB6"/>
    <w:rsid w:val="007A1510"/>
    <w:rsid w:val="007A2A41"/>
    <w:rsid w:val="007A3125"/>
    <w:rsid w:val="007A4D97"/>
    <w:rsid w:val="007A5289"/>
    <w:rsid w:val="007A5D2F"/>
    <w:rsid w:val="007A67A0"/>
    <w:rsid w:val="007A768C"/>
    <w:rsid w:val="007A7848"/>
    <w:rsid w:val="007A7853"/>
    <w:rsid w:val="007B2BAC"/>
    <w:rsid w:val="007B2CAC"/>
    <w:rsid w:val="007B44FB"/>
    <w:rsid w:val="007B4970"/>
    <w:rsid w:val="007B4F0C"/>
    <w:rsid w:val="007B5C33"/>
    <w:rsid w:val="007C0E38"/>
    <w:rsid w:val="007C1421"/>
    <w:rsid w:val="007C18E3"/>
    <w:rsid w:val="007C1DEB"/>
    <w:rsid w:val="007C459A"/>
    <w:rsid w:val="007C4E08"/>
    <w:rsid w:val="007D1C63"/>
    <w:rsid w:val="007D229A"/>
    <w:rsid w:val="007D2F4C"/>
    <w:rsid w:val="007D3DFF"/>
    <w:rsid w:val="007D3F38"/>
    <w:rsid w:val="007D451F"/>
    <w:rsid w:val="007D4DB8"/>
    <w:rsid w:val="007E2197"/>
    <w:rsid w:val="007E3304"/>
    <w:rsid w:val="007E4D1F"/>
    <w:rsid w:val="007E7CC5"/>
    <w:rsid w:val="007F14BA"/>
    <w:rsid w:val="007F1E48"/>
    <w:rsid w:val="007F34B9"/>
    <w:rsid w:val="007F3D79"/>
    <w:rsid w:val="007F40E3"/>
    <w:rsid w:val="007F4313"/>
    <w:rsid w:val="007F4605"/>
    <w:rsid w:val="007F6580"/>
    <w:rsid w:val="007F6C7D"/>
    <w:rsid w:val="00800FE4"/>
    <w:rsid w:val="00801249"/>
    <w:rsid w:val="008026F6"/>
    <w:rsid w:val="00803F84"/>
    <w:rsid w:val="008043AC"/>
    <w:rsid w:val="00805B61"/>
    <w:rsid w:val="00806070"/>
    <w:rsid w:val="00806EE8"/>
    <w:rsid w:val="00811365"/>
    <w:rsid w:val="00811D89"/>
    <w:rsid w:val="00812EE9"/>
    <w:rsid w:val="00814500"/>
    <w:rsid w:val="008148DB"/>
    <w:rsid w:val="00815281"/>
    <w:rsid w:val="008211DF"/>
    <w:rsid w:val="00822EE1"/>
    <w:rsid w:val="00822F77"/>
    <w:rsid w:val="0082354A"/>
    <w:rsid w:val="008255D2"/>
    <w:rsid w:val="00832ADC"/>
    <w:rsid w:val="00833AF7"/>
    <w:rsid w:val="00834023"/>
    <w:rsid w:val="008346D1"/>
    <w:rsid w:val="00835579"/>
    <w:rsid w:val="00836F9B"/>
    <w:rsid w:val="00836FE5"/>
    <w:rsid w:val="00837487"/>
    <w:rsid w:val="00837835"/>
    <w:rsid w:val="00840D16"/>
    <w:rsid w:val="00842088"/>
    <w:rsid w:val="00842157"/>
    <w:rsid w:val="00843B20"/>
    <w:rsid w:val="00844106"/>
    <w:rsid w:val="00844529"/>
    <w:rsid w:val="00844B27"/>
    <w:rsid w:val="00844D29"/>
    <w:rsid w:val="00846195"/>
    <w:rsid w:val="00846FA0"/>
    <w:rsid w:val="008479B6"/>
    <w:rsid w:val="00851FAF"/>
    <w:rsid w:val="00852E07"/>
    <w:rsid w:val="00855AA5"/>
    <w:rsid w:val="00856B9B"/>
    <w:rsid w:val="00857671"/>
    <w:rsid w:val="0086002F"/>
    <w:rsid w:val="0086032D"/>
    <w:rsid w:val="00861906"/>
    <w:rsid w:val="00861B01"/>
    <w:rsid w:val="00863F9D"/>
    <w:rsid w:val="00864083"/>
    <w:rsid w:val="008645F9"/>
    <w:rsid w:val="0086628A"/>
    <w:rsid w:val="00871279"/>
    <w:rsid w:val="008716A7"/>
    <w:rsid w:val="008723F6"/>
    <w:rsid w:val="00872913"/>
    <w:rsid w:val="00873F82"/>
    <w:rsid w:val="00874B7B"/>
    <w:rsid w:val="00874F25"/>
    <w:rsid w:val="00875B3F"/>
    <w:rsid w:val="00880CA5"/>
    <w:rsid w:val="008814EE"/>
    <w:rsid w:val="00881640"/>
    <w:rsid w:val="008817B1"/>
    <w:rsid w:val="008832FA"/>
    <w:rsid w:val="008834BB"/>
    <w:rsid w:val="008840FA"/>
    <w:rsid w:val="008846D2"/>
    <w:rsid w:val="00884E2F"/>
    <w:rsid w:val="00885E14"/>
    <w:rsid w:val="008862EB"/>
    <w:rsid w:val="00890F95"/>
    <w:rsid w:val="0089311A"/>
    <w:rsid w:val="0089384D"/>
    <w:rsid w:val="00893A0F"/>
    <w:rsid w:val="00893B17"/>
    <w:rsid w:val="008946C3"/>
    <w:rsid w:val="008948E0"/>
    <w:rsid w:val="0089528C"/>
    <w:rsid w:val="008A0089"/>
    <w:rsid w:val="008A1CDC"/>
    <w:rsid w:val="008A43EB"/>
    <w:rsid w:val="008A6CE2"/>
    <w:rsid w:val="008A6E15"/>
    <w:rsid w:val="008B034D"/>
    <w:rsid w:val="008B0BBC"/>
    <w:rsid w:val="008B13FB"/>
    <w:rsid w:val="008B245C"/>
    <w:rsid w:val="008B4153"/>
    <w:rsid w:val="008B4B9E"/>
    <w:rsid w:val="008B4F64"/>
    <w:rsid w:val="008B5356"/>
    <w:rsid w:val="008B609A"/>
    <w:rsid w:val="008B7927"/>
    <w:rsid w:val="008C04C6"/>
    <w:rsid w:val="008C4770"/>
    <w:rsid w:val="008C6AD1"/>
    <w:rsid w:val="008C71B5"/>
    <w:rsid w:val="008E0A03"/>
    <w:rsid w:val="008E36B3"/>
    <w:rsid w:val="008E431F"/>
    <w:rsid w:val="008E47A3"/>
    <w:rsid w:val="008E5027"/>
    <w:rsid w:val="008E5E12"/>
    <w:rsid w:val="008E613B"/>
    <w:rsid w:val="008E6290"/>
    <w:rsid w:val="008F0D2A"/>
    <w:rsid w:val="008F12D4"/>
    <w:rsid w:val="008F161F"/>
    <w:rsid w:val="008F17A0"/>
    <w:rsid w:val="008F1814"/>
    <w:rsid w:val="008F23EF"/>
    <w:rsid w:val="008F386F"/>
    <w:rsid w:val="008F48E1"/>
    <w:rsid w:val="008F5BD0"/>
    <w:rsid w:val="008F6A71"/>
    <w:rsid w:val="008F7B36"/>
    <w:rsid w:val="009003FE"/>
    <w:rsid w:val="00901955"/>
    <w:rsid w:val="00901E21"/>
    <w:rsid w:val="00903AD6"/>
    <w:rsid w:val="00903C95"/>
    <w:rsid w:val="00904272"/>
    <w:rsid w:val="009046D4"/>
    <w:rsid w:val="00904793"/>
    <w:rsid w:val="009048C4"/>
    <w:rsid w:val="009058DB"/>
    <w:rsid w:val="00906317"/>
    <w:rsid w:val="0091026E"/>
    <w:rsid w:val="009104F7"/>
    <w:rsid w:val="0091058D"/>
    <w:rsid w:val="00911711"/>
    <w:rsid w:val="0091339B"/>
    <w:rsid w:val="00913858"/>
    <w:rsid w:val="00913A0F"/>
    <w:rsid w:val="009145B5"/>
    <w:rsid w:val="00914959"/>
    <w:rsid w:val="00914BBC"/>
    <w:rsid w:val="00915CE6"/>
    <w:rsid w:val="009162DA"/>
    <w:rsid w:val="009168A1"/>
    <w:rsid w:val="00917583"/>
    <w:rsid w:val="00917D08"/>
    <w:rsid w:val="0092106C"/>
    <w:rsid w:val="00923BC4"/>
    <w:rsid w:val="00924681"/>
    <w:rsid w:val="009251B2"/>
    <w:rsid w:val="0092622E"/>
    <w:rsid w:val="00926605"/>
    <w:rsid w:val="009304F6"/>
    <w:rsid w:val="00930877"/>
    <w:rsid w:val="00930D20"/>
    <w:rsid w:val="009313C8"/>
    <w:rsid w:val="009314F2"/>
    <w:rsid w:val="00936E2B"/>
    <w:rsid w:val="00937012"/>
    <w:rsid w:val="0094003D"/>
    <w:rsid w:val="00940DC4"/>
    <w:rsid w:val="0094273F"/>
    <w:rsid w:val="009439B0"/>
    <w:rsid w:val="0094403C"/>
    <w:rsid w:val="0094555E"/>
    <w:rsid w:val="0094574A"/>
    <w:rsid w:val="00945CB0"/>
    <w:rsid w:val="0094667E"/>
    <w:rsid w:val="00946A66"/>
    <w:rsid w:val="00951188"/>
    <w:rsid w:val="00951AF4"/>
    <w:rsid w:val="009521A6"/>
    <w:rsid w:val="0095252C"/>
    <w:rsid w:val="00954F35"/>
    <w:rsid w:val="00955164"/>
    <w:rsid w:val="00955CBA"/>
    <w:rsid w:val="00956A95"/>
    <w:rsid w:val="00960F2F"/>
    <w:rsid w:val="009634F6"/>
    <w:rsid w:val="00963B5E"/>
    <w:rsid w:val="00963FA0"/>
    <w:rsid w:val="0096491F"/>
    <w:rsid w:val="00964FCB"/>
    <w:rsid w:val="009721C4"/>
    <w:rsid w:val="009742DA"/>
    <w:rsid w:val="00974E95"/>
    <w:rsid w:val="00975F2D"/>
    <w:rsid w:val="00976408"/>
    <w:rsid w:val="0097687A"/>
    <w:rsid w:val="00976962"/>
    <w:rsid w:val="00977BF5"/>
    <w:rsid w:val="00981D6D"/>
    <w:rsid w:val="00981F74"/>
    <w:rsid w:val="0098302D"/>
    <w:rsid w:val="0098434F"/>
    <w:rsid w:val="00987608"/>
    <w:rsid w:val="00990CC6"/>
    <w:rsid w:val="009943A0"/>
    <w:rsid w:val="009953BC"/>
    <w:rsid w:val="0099543E"/>
    <w:rsid w:val="0099560C"/>
    <w:rsid w:val="009963D2"/>
    <w:rsid w:val="009A0568"/>
    <w:rsid w:val="009A0AF9"/>
    <w:rsid w:val="009A16BE"/>
    <w:rsid w:val="009A210C"/>
    <w:rsid w:val="009A2337"/>
    <w:rsid w:val="009A2482"/>
    <w:rsid w:val="009A2E00"/>
    <w:rsid w:val="009A355A"/>
    <w:rsid w:val="009A3B09"/>
    <w:rsid w:val="009A5369"/>
    <w:rsid w:val="009A557E"/>
    <w:rsid w:val="009A5CE8"/>
    <w:rsid w:val="009A5FBE"/>
    <w:rsid w:val="009A7074"/>
    <w:rsid w:val="009A7B5A"/>
    <w:rsid w:val="009A7F79"/>
    <w:rsid w:val="009B1119"/>
    <w:rsid w:val="009B2BDC"/>
    <w:rsid w:val="009B3B2B"/>
    <w:rsid w:val="009B5F5D"/>
    <w:rsid w:val="009B6201"/>
    <w:rsid w:val="009B73BA"/>
    <w:rsid w:val="009C0EEA"/>
    <w:rsid w:val="009C10D9"/>
    <w:rsid w:val="009C20A2"/>
    <w:rsid w:val="009C3649"/>
    <w:rsid w:val="009C425A"/>
    <w:rsid w:val="009C4F43"/>
    <w:rsid w:val="009C5CA7"/>
    <w:rsid w:val="009D03F8"/>
    <w:rsid w:val="009D1DF4"/>
    <w:rsid w:val="009D7A24"/>
    <w:rsid w:val="009E00E4"/>
    <w:rsid w:val="009E0D20"/>
    <w:rsid w:val="009E0F6B"/>
    <w:rsid w:val="009E175A"/>
    <w:rsid w:val="009E1DB3"/>
    <w:rsid w:val="009E2964"/>
    <w:rsid w:val="009E3EB3"/>
    <w:rsid w:val="009E3F86"/>
    <w:rsid w:val="009E423C"/>
    <w:rsid w:val="009E5D18"/>
    <w:rsid w:val="009E7AFF"/>
    <w:rsid w:val="009E7DCD"/>
    <w:rsid w:val="009F005A"/>
    <w:rsid w:val="009F54D8"/>
    <w:rsid w:val="009F55F9"/>
    <w:rsid w:val="009F5CC0"/>
    <w:rsid w:val="009F6842"/>
    <w:rsid w:val="009F6F8B"/>
    <w:rsid w:val="009F7164"/>
    <w:rsid w:val="00A02F0A"/>
    <w:rsid w:val="00A03C5A"/>
    <w:rsid w:val="00A06A53"/>
    <w:rsid w:val="00A06A54"/>
    <w:rsid w:val="00A07821"/>
    <w:rsid w:val="00A103E8"/>
    <w:rsid w:val="00A1074D"/>
    <w:rsid w:val="00A10863"/>
    <w:rsid w:val="00A11172"/>
    <w:rsid w:val="00A123D9"/>
    <w:rsid w:val="00A127DD"/>
    <w:rsid w:val="00A12D4A"/>
    <w:rsid w:val="00A14E6C"/>
    <w:rsid w:val="00A15AEC"/>
    <w:rsid w:val="00A16482"/>
    <w:rsid w:val="00A167EC"/>
    <w:rsid w:val="00A16D01"/>
    <w:rsid w:val="00A172E6"/>
    <w:rsid w:val="00A17D1C"/>
    <w:rsid w:val="00A209A2"/>
    <w:rsid w:val="00A24C8D"/>
    <w:rsid w:val="00A2542A"/>
    <w:rsid w:val="00A25718"/>
    <w:rsid w:val="00A26F15"/>
    <w:rsid w:val="00A277D0"/>
    <w:rsid w:val="00A30E37"/>
    <w:rsid w:val="00A32930"/>
    <w:rsid w:val="00A34641"/>
    <w:rsid w:val="00A34674"/>
    <w:rsid w:val="00A3494F"/>
    <w:rsid w:val="00A35CD2"/>
    <w:rsid w:val="00A35CF8"/>
    <w:rsid w:val="00A360E7"/>
    <w:rsid w:val="00A400FB"/>
    <w:rsid w:val="00A43C4F"/>
    <w:rsid w:val="00A443D1"/>
    <w:rsid w:val="00A456B3"/>
    <w:rsid w:val="00A46668"/>
    <w:rsid w:val="00A47BFE"/>
    <w:rsid w:val="00A50DBA"/>
    <w:rsid w:val="00A51808"/>
    <w:rsid w:val="00A51D78"/>
    <w:rsid w:val="00A51EA8"/>
    <w:rsid w:val="00A547BE"/>
    <w:rsid w:val="00A549C3"/>
    <w:rsid w:val="00A561A8"/>
    <w:rsid w:val="00A562A6"/>
    <w:rsid w:val="00A60011"/>
    <w:rsid w:val="00A6016A"/>
    <w:rsid w:val="00A63635"/>
    <w:rsid w:val="00A63955"/>
    <w:rsid w:val="00A66581"/>
    <w:rsid w:val="00A6703C"/>
    <w:rsid w:val="00A7007B"/>
    <w:rsid w:val="00A71623"/>
    <w:rsid w:val="00A72A6A"/>
    <w:rsid w:val="00A72CF1"/>
    <w:rsid w:val="00A73BD7"/>
    <w:rsid w:val="00A8217C"/>
    <w:rsid w:val="00A84B87"/>
    <w:rsid w:val="00A84D4B"/>
    <w:rsid w:val="00A84FD0"/>
    <w:rsid w:val="00A8592D"/>
    <w:rsid w:val="00A8629D"/>
    <w:rsid w:val="00A90D08"/>
    <w:rsid w:val="00A928D0"/>
    <w:rsid w:val="00A93FFF"/>
    <w:rsid w:val="00A95746"/>
    <w:rsid w:val="00A961E9"/>
    <w:rsid w:val="00A96D45"/>
    <w:rsid w:val="00A97045"/>
    <w:rsid w:val="00A973EE"/>
    <w:rsid w:val="00AA0B5A"/>
    <w:rsid w:val="00AA18DD"/>
    <w:rsid w:val="00AA1F91"/>
    <w:rsid w:val="00AA3687"/>
    <w:rsid w:val="00AA4A07"/>
    <w:rsid w:val="00AA5CE1"/>
    <w:rsid w:val="00AB184B"/>
    <w:rsid w:val="00AB2D9E"/>
    <w:rsid w:val="00AB4404"/>
    <w:rsid w:val="00AB603C"/>
    <w:rsid w:val="00AB684A"/>
    <w:rsid w:val="00AC0375"/>
    <w:rsid w:val="00AC154C"/>
    <w:rsid w:val="00AC21EE"/>
    <w:rsid w:val="00AC3B22"/>
    <w:rsid w:val="00AC4101"/>
    <w:rsid w:val="00AC4774"/>
    <w:rsid w:val="00AC5597"/>
    <w:rsid w:val="00AC71C4"/>
    <w:rsid w:val="00AD0116"/>
    <w:rsid w:val="00AD1B42"/>
    <w:rsid w:val="00AD2871"/>
    <w:rsid w:val="00AD322C"/>
    <w:rsid w:val="00AD3AAD"/>
    <w:rsid w:val="00AD4B84"/>
    <w:rsid w:val="00AD5D06"/>
    <w:rsid w:val="00AE0D53"/>
    <w:rsid w:val="00AE115E"/>
    <w:rsid w:val="00AE23BE"/>
    <w:rsid w:val="00AE2EAC"/>
    <w:rsid w:val="00AE5772"/>
    <w:rsid w:val="00AF0AC0"/>
    <w:rsid w:val="00AF16E0"/>
    <w:rsid w:val="00AF4CA9"/>
    <w:rsid w:val="00AF5012"/>
    <w:rsid w:val="00AF5B52"/>
    <w:rsid w:val="00AF7879"/>
    <w:rsid w:val="00B0033D"/>
    <w:rsid w:val="00B00818"/>
    <w:rsid w:val="00B008BF"/>
    <w:rsid w:val="00B04B0C"/>
    <w:rsid w:val="00B052BA"/>
    <w:rsid w:val="00B07460"/>
    <w:rsid w:val="00B1022B"/>
    <w:rsid w:val="00B10338"/>
    <w:rsid w:val="00B1151C"/>
    <w:rsid w:val="00B11E06"/>
    <w:rsid w:val="00B12EF9"/>
    <w:rsid w:val="00B13099"/>
    <w:rsid w:val="00B1397D"/>
    <w:rsid w:val="00B14D61"/>
    <w:rsid w:val="00B16978"/>
    <w:rsid w:val="00B16BE4"/>
    <w:rsid w:val="00B17EBB"/>
    <w:rsid w:val="00B2258B"/>
    <w:rsid w:val="00B237C6"/>
    <w:rsid w:val="00B24A6F"/>
    <w:rsid w:val="00B260D9"/>
    <w:rsid w:val="00B26683"/>
    <w:rsid w:val="00B278DB"/>
    <w:rsid w:val="00B30D4F"/>
    <w:rsid w:val="00B30D5C"/>
    <w:rsid w:val="00B334B4"/>
    <w:rsid w:val="00B3434E"/>
    <w:rsid w:val="00B34A3E"/>
    <w:rsid w:val="00B351FD"/>
    <w:rsid w:val="00B35BFD"/>
    <w:rsid w:val="00B3793E"/>
    <w:rsid w:val="00B40B13"/>
    <w:rsid w:val="00B421F2"/>
    <w:rsid w:val="00B42822"/>
    <w:rsid w:val="00B42C54"/>
    <w:rsid w:val="00B4395A"/>
    <w:rsid w:val="00B4553E"/>
    <w:rsid w:val="00B45901"/>
    <w:rsid w:val="00B46773"/>
    <w:rsid w:val="00B47091"/>
    <w:rsid w:val="00B47E14"/>
    <w:rsid w:val="00B51359"/>
    <w:rsid w:val="00B520DF"/>
    <w:rsid w:val="00B52BB4"/>
    <w:rsid w:val="00B54256"/>
    <w:rsid w:val="00B545F4"/>
    <w:rsid w:val="00B56303"/>
    <w:rsid w:val="00B56411"/>
    <w:rsid w:val="00B56D7B"/>
    <w:rsid w:val="00B573DA"/>
    <w:rsid w:val="00B57599"/>
    <w:rsid w:val="00B57FB2"/>
    <w:rsid w:val="00B61F2F"/>
    <w:rsid w:val="00B64A63"/>
    <w:rsid w:val="00B64F62"/>
    <w:rsid w:val="00B65321"/>
    <w:rsid w:val="00B65D3A"/>
    <w:rsid w:val="00B66898"/>
    <w:rsid w:val="00B7164C"/>
    <w:rsid w:val="00B71E2C"/>
    <w:rsid w:val="00B75FA6"/>
    <w:rsid w:val="00B807AB"/>
    <w:rsid w:val="00B80F53"/>
    <w:rsid w:val="00B8152D"/>
    <w:rsid w:val="00B8165D"/>
    <w:rsid w:val="00B82E26"/>
    <w:rsid w:val="00B83AAA"/>
    <w:rsid w:val="00B910F3"/>
    <w:rsid w:val="00B91A7C"/>
    <w:rsid w:val="00B93F2D"/>
    <w:rsid w:val="00B95022"/>
    <w:rsid w:val="00B95AC6"/>
    <w:rsid w:val="00B95FBC"/>
    <w:rsid w:val="00B97C44"/>
    <w:rsid w:val="00BA05AE"/>
    <w:rsid w:val="00BA1B98"/>
    <w:rsid w:val="00BA22F7"/>
    <w:rsid w:val="00BA2C79"/>
    <w:rsid w:val="00BA2FA3"/>
    <w:rsid w:val="00BA4375"/>
    <w:rsid w:val="00BA458B"/>
    <w:rsid w:val="00BA46E0"/>
    <w:rsid w:val="00BA6418"/>
    <w:rsid w:val="00BA7D18"/>
    <w:rsid w:val="00BB04BB"/>
    <w:rsid w:val="00BB3A8F"/>
    <w:rsid w:val="00BB4412"/>
    <w:rsid w:val="00BB5572"/>
    <w:rsid w:val="00BC2214"/>
    <w:rsid w:val="00BC2543"/>
    <w:rsid w:val="00BC2A83"/>
    <w:rsid w:val="00BC42B2"/>
    <w:rsid w:val="00BD0D15"/>
    <w:rsid w:val="00BD33EA"/>
    <w:rsid w:val="00BD5425"/>
    <w:rsid w:val="00BD62F0"/>
    <w:rsid w:val="00BD7B72"/>
    <w:rsid w:val="00BE06A4"/>
    <w:rsid w:val="00BE12A4"/>
    <w:rsid w:val="00BE1758"/>
    <w:rsid w:val="00BE282B"/>
    <w:rsid w:val="00BE35F4"/>
    <w:rsid w:val="00BE4687"/>
    <w:rsid w:val="00BE5E8F"/>
    <w:rsid w:val="00BF0332"/>
    <w:rsid w:val="00BF2BFE"/>
    <w:rsid w:val="00BF5FCC"/>
    <w:rsid w:val="00C0256C"/>
    <w:rsid w:val="00C069A2"/>
    <w:rsid w:val="00C069EC"/>
    <w:rsid w:val="00C10A63"/>
    <w:rsid w:val="00C17416"/>
    <w:rsid w:val="00C1748F"/>
    <w:rsid w:val="00C201F2"/>
    <w:rsid w:val="00C21125"/>
    <w:rsid w:val="00C218D5"/>
    <w:rsid w:val="00C219B8"/>
    <w:rsid w:val="00C221D5"/>
    <w:rsid w:val="00C2280A"/>
    <w:rsid w:val="00C23D12"/>
    <w:rsid w:val="00C26004"/>
    <w:rsid w:val="00C2609C"/>
    <w:rsid w:val="00C2652B"/>
    <w:rsid w:val="00C30598"/>
    <w:rsid w:val="00C354EA"/>
    <w:rsid w:val="00C35600"/>
    <w:rsid w:val="00C37B98"/>
    <w:rsid w:val="00C40CE2"/>
    <w:rsid w:val="00C45360"/>
    <w:rsid w:val="00C45C85"/>
    <w:rsid w:val="00C45D69"/>
    <w:rsid w:val="00C502A1"/>
    <w:rsid w:val="00C51681"/>
    <w:rsid w:val="00C533E6"/>
    <w:rsid w:val="00C53DD3"/>
    <w:rsid w:val="00C54098"/>
    <w:rsid w:val="00C54DA2"/>
    <w:rsid w:val="00C56730"/>
    <w:rsid w:val="00C6024F"/>
    <w:rsid w:val="00C60319"/>
    <w:rsid w:val="00C60CE3"/>
    <w:rsid w:val="00C61FFE"/>
    <w:rsid w:val="00C63D95"/>
    <w:rsid w:val="00C64B94"/>
    <w:rsid w:val="00C650AE"/>
    <w:rsid w:val="00C6512C"/>
    <w:rsid w:val="00C7036F"/>
    <w:rsid w:val="00C7064F"/>
    <w:rsid w:val="00C7070C"/>
    <w:rsid w:val="00C72C78"/>
    <w:rsid w:val="00C7380E"/>
    <w:rsid w:val="00C739BF"/>
    <w:rsid w:val="00C7647E"/>
    <w:rsid w:val="00C76C24"/>
    <w:rsid w:val="00C80E3F"/>
    <w:rsid w:val="00C81BD1"/>
    <w:rsid w:val="00C84349"/>
    <w:rsid w:val="00C85C21"/>
    <w:rsid w:val="00C8731E"/>
    <w:rsid w:val="00C8756C"/>
    <w:rsid w:val="00C90663"/>
    <w:rsid w:val="00C90E2B"/>
    <w:rsid w:val="00C92E70"/>
    <w:rsid w:val="00C93DCA"/>
    <w:rsid w:val="00C93E64"/>
    <w:rsid w:val="00C97869"/>
    <w:rsid w:val="00CA071B"/>
    <w:rsid w:val="00CA0DD1"/>
    <w:rsid w:val="00CA3D16"/>
    <w:rsid w:val="00CA4507"/>
    <w:rsid w:val="00CA5466"/>
    <w:rsid w:val="00CA734B"/>
    <w:rsid w:val="00CB0475"/>
    <w:rsid w:val="00CB1B1E"/>
    <w:rsid w:val="00CB1DB5"/>
    <w:rsid w:val="00CB2C4F"/>
    <w:rsid w:val="00CB3556"/>
    <w:rsid w:val="00CB3583"/>
    <w:rsid w:val="00CB4540"/>
    <w:rsid w:val="00CB6741"/>
    <w:rsid w:val="00CB6A8C"/>
    <w:rsid w:val="00CC34FF"/>
    <w:rsid w:val="00CC44F0"/>
    <w:rsid w:val="00CC4D44"/>
    <w:rsid w:val="00CC6DB2"/>
    <w:rsid w:val="00CC7FCC"/>
    <w:rsid w:val="00CD0E5B"/>
    <w:rsid w:val="00CD0FE9"/>
    <w:rsid w:val="00CD29E4"/>
    <w:rsid w:val="00CD396E"/>
    <w:rsid w:val="00CD3C2D"/>
    <w:rsid w:val="00CD3C38"/>
    <w:rsid w:val="00CD5104"/>
    <w:rsid w:val="00CD6046"/>
    <w:rsid w:val="00CD60D3"/>
    <w:rsid w:val="00CE06A5"/>
    <w:rsid w:val="00CE202E"/>
    <w:rsid w:val="00CE2229"/>
    <w:rsid w:val="00CE28F2"/>
    <w:rsid w:val="00CE2E24"/>
    <w:rsid w:val="00CE373A"/>
    <w:rsid w:val="00CE374E"/>
    <w:rsid w:val="00CE3D22"/>
    <w:rsid w:val="00CE475A"/>
    <w:rsid w:val="00CE4AD9"/>
    <w:rsid w:val="00CE6ADE"/>
    <w:rsid w:val="00CF0534"/>
    <w:rsid w:val="00CF0C1F"/>
    <w:rsid w:val="00CF266F"/>
    <w:rsid w:val="00CF3999"/>
    <w:rsid w:val="00CF3FF0"/>
    <w:rsid w:val="00CF41AF"/>
    <w:rsid w:val="00CF4313"/>
    <w:rsid w:val="00CF4567"/>
    <w:rsid w:val="00CF53AB"/>
    <w:rsid w:val="00CF6815"/>
    <w:rsid w:val="00D04520"/>
    <w:rsid w:val="00D04D3D"/>
    <w:rsid w:val="00D04D41"/>
    <w:rsid w:val="00D06C45"/>
    <w:rsid w:val="00D1143A"/>
    <w:rsid w:val="00D11B02"/>
    <w:rsid w:val="00D1202C"/>
    <w:rsid w:val="00D12617"/>
    <w:rsid w:val="00D13811"/>
    <w:rsid w:val="00D153B3"/>
    <w:rsid w:val="00D16DDF"/>
    <w:rsid w:val="00D16E24"/>
    <w:rsid w:val="00D171B6"/>
    <w:rsid w:val="00D17F75"/>
    <w:rsid w:val="00D20486"/>
    <w:rsid w:val="00D210DB"/>
    <w:rsid w:val="00D228D8"/>
    <w:rsid w:val="00D31439"/>
    <w:rsid w:val="00D32596"/>
    <w:rsid w:val="00D327F3"/>
    <w:rsid w:val="00D33677"/>
    <w:rsid w:val="00D35742"/>
    <w:rsid w:val="00D36019"/>
    <w:rsid w:val="00D36BDD"/>
    <w:rsid w:val="00D3706F"/>
    <w:rsid w:val="00D373EC"/>
    <w:rsid w:val="00D4130E"/>
    <w:rsid w:val="00D4180D"/>
    <w:rsid w:val="00D41B01"/>
    <w:rsid w:val="00D42875"/>
    <w:rsid w:val="00D42B44"/>
    <w:rsid w:val="00D44417"/>
    <w:rsid w:val="00D44A14"/>
    <w:rsid w:val="00D47738"/>
    <w:rsid w:val="00D47A1A"/>
    <w:rsid w:val="00D47D36"/>
    <w:rsid w:val="00D502EB"/>
    <w:rsid w:val="00D51A9B"/>
    <w:rsid w:val="00D51D95"/>
    <w:rsid w:val="00D53EC6"/>
    <w:rsid w:val="00D55A00"/>
    <w:rsid w:val="00D56F49"/>
    <w:rsid w:val="00D56F77"/>
    <w:rsid w:val="00D60DB3"/>
    <w:rsid w:val="00D61E9F"/>
    <w:rsid w:val="00D62CC8"/>
    <w:rsid w:val="00D63232"/>
    <w:rsid w:val="00D6402F"/>
    <w:rsid w:val="00D64983"/>
    <w:rsid w:val="00D67F2C"/>
    <w:rsid w:val="00D7047A"/>
    <w:rsid w:val="00D712E8"/>
    <w:rsid w:val="00D713F9"/>
    <w:rsid w:val="00D719E9"/>
    <w:rsid w:val="00D72225"/>
    <w:rsid w:val="00D73550"/>
    <w:rsid w:val="00D75084"/>
    <w:rsid w:val="00D80185"/>
    <w:rsid w:val="00D838F7"/>
    <w:rsid w:val="00D845DA"/>
    <w:rsid w:val="00D8479E"/>
    <w:rsid w:val="00D868F1"/>
    <w:rsid w:val="00D87D64"/>
    <w:rsid w:val="00D87EFF"/>
    <w:rsid w:val="00D90F47"/>
    <w:rsid w:val="00D91AE6"/>
    <w:rsid w:val="00D941E0"/>
    <w:rsid w:val="00D95840"/>
    <w:rsid w:val="00D96694"/>
    <w:rsid w:val="00DA0FEE"/>
    <w:rsid w:val="00DA1603"/>
    <w:rsid w:val="00DA1D64"/>
    <w:rsid w:val="00DA2B67"/>
    <w:rsid w:val="00DA3C9A"/>
    <w:rsid w:val="00DA4704"/>
    <w:rsid w:val="00DA554C"/>
    <w:rsid w:val="00DA589B"/>
    <w:rsid w:val="00DA5980"/>
    <w:rsid w:val="00DA5BF6"/>
    <w:rsid w:val="00DA5F07"/>
    <w:rsid w:val="00DB0EF6"/>
    <w:rsid w:val="00DB2668"/>
    <w:rsid w:val="00DB2CE5"/>
    <w:rsid w:val="00DB42FB"/>
    <w:rsid w:val="00DB520B"/>
    <w:rsid w:val="00DB598E"/>
    <w:rsid w:val="00DB7AEE"/>
    <w:rsid w:val="00DC1187"/>
    <w:rsid w:val="00DC39C4"/>
    <w:rsid w:val="00DC4568"/>
    <w:rsid w:val="00DC6AFC"/>
    <w:rsid w:val="00DC6D29"/>
    <w:rsid w:val="00DD0910"/>
    <w:rsid w:val="00DD0941"/>
    <w:rsid w:val="00DD0CC5"/>
    <w:rsid w:val="00DD1241"/>
    <w:rsid w:val="00DD1C47"/>
    <w:rsid w:val="00DD21D5"/>
    <w:rsid w:val="00DD2826"/>
    <w:rsid w:val="00DD3BCF"/>
    <w:rsid w:val="00DD43C2"/>
    <w:rsid w:val="00DD49FE"/>
    <w:rsid w:val="00DD6B5E"/>
    <w:rsid w:val="00DE03FB"/>
    <w:rsid w:val="00DE059D"/>
    <w:rsid w:val="00DE0602"/>
    <w:rsid w:val="00DE0E3C"/>
    <w:rsid w:val="00DE13E8"/>
    <w:rsid w:val="00DE1826"/>
    <w:rsid w:val="00DE4BF6"/>
    <w:rsid w:val="00DE52A5"/>
    <w:rsid w:val="00DE5325"/>
    <w:rsid w:val="00DE5D46"/>
    <w:rsid w:val="00DE69D0"/>
    <w:rsid w:val="00DE7070"/>
    <w:rsid w:val="00DE77A3"/>
    <w:rsid w:val="00DF02F6"/>
    <w:rsid w:val="00DF0993"/>
    <w:rsid w:val="00DF163F"/>
    <w:rsid w:val="00DF21B8"/>
    <w:rsid w:val="00DF284F"/>
    <w:rsid w:val="00DF31EE"/>
    <w:rsid w:val="00DF3395"/>
    <w:rsid w:val="00DF7681"/>
    <w:rsid w:val="00E00443"/>
    <w:rsid w:val="00E02D36"/>
    <w:rsid w:val="00E03431"/>
    <w:rsid w:val="00E04E43"/>
    <w:rsid w:val="00E05E74"/>
    <w:rsid w:val="00E065D9"/>
    <w:rsid w:val="00E1241D"/>
    <w:rsid w:val="00E13D0D"/>
    <w:rsid w:val="00E149CE"/>
    <w:rsid w:val="00E16AC4"/>
    <w:rsid w:val="00E16FD8"/>
    <w:rsid w:val="00E17C58"/>
    <w:rsid w:val="00E2178D"/>
    <w:rsid w:val="00E2263B"/>
    <w:rsid w:val="00E22DDE"/>
    <w:rsid w:val="00E23958"/>
    <w:rsid w:val="00E23AD4"/>
    <w:rsid w:val="00E23BEC"/>
    <w:rsid w:val="00E23EC3"/>
    <w:rsid w:val="00E24E4D"/>
    <w:rsid w:val="00E25D14"/>
    <w:rsid w:val="00E25F8C"/>
    <w:rsid w:val="00E2618B"/>
    <w:rsid w:val="00E267F1"/>
    <w:rsid w:val="00E26938"/>
    <w:rsid w:val="00E27EDD"/>
    <w:rsid w:val="00E3217E"/>
    <w:rsid w:val="00E36907"/>
    <w:rsid w:val="00E3704F"/>
    <w:rsid w:val="00E4039E"/>
    <w:rsid w:val="00E406EA"/>
    <w:rsid w:val="00E42438"/>
    <w:rsid w:val="00E42772"/>
    <w:rsid w:val="00E43B55"/>
    <w:rsid w:val="00E44F08"/>
    <w:rsid w:val="00E5039D"/>
    <w:rsid w:val="00E528AF"/>
    <w:rsid w:val="00E52FAD"/>
    <w:rsid w:val="00E530C2"/>
    <w:rsid w:val="00E53131"/>
    <w:rsid w:val="00E5420A"/>
    <w:rsid w:val="00E5518E"/>
    <w:rsid w:val="00E56222"/>
    <w:rsid w:val="00E566D8"/>
    <w:rsid w:val="00E56BD1"/>
    <w:rsid w:val="00E57743"/>
    <w:rsid w:val="00E577C9"/>
    <w:rsid w:val="00E579E8"/>
    <w:rsid w:val="00E62DD3"/>
    <w:rsid w:val="00E641D8"/>
    <w:rsid w:val="00E64B11"/>
    <w:rsid w:val="00E6542F"/>
    <w:rsid w:val="00E66D8F"/>
    <w:rsid w:val="00E6742D"/>
    <w:rsid w:val="00E67F6F"/>
    <w:rsid w:val="00E71060"/>
    <w:rsid w:val="00E71707"/>
    <w:rsid w:val="00E71EF1"/>
    <w:rsid w:val="00E726FE"/>
    <w:rsid w:val="00E731C6"/>
    <w:rsid w:val="00E740C4"/>
    <w:rsid w:val="00E74686"/>
    <w:rsid w:val="00E74750"/>
    <w:rsid w:val="00E76686"/>
    <w:rsid w:val="00E80520"/>
    <w:rsid w:val="00E818D4"/>
    <w:rsid w:val="00E81BD0"/>
    <w:rsid w:val="00E81D4A"/>
    <w:rsid w:val="00E8297B"/>
    <w:rsid w:val="00E83C98"/>
    <w:rsid w:val="00E840FE"/>
    <w:rsid w:val="00E847DC"/>
    <w:rsid w:val="00E84DBD"/>
    <w:rsid w:val="00E85B21"/>
    <w:rsid w:val="00E8736C"/>
    <w:rsid w:val="00E873A0"/>
    <w:rsid w:val="00E90A99"/>
    <w:rsid w:val="00E9124C"/>
    <w:rsid w:val="00E9128A"/>
    <w:rsid w:val="00E91BFD"/>
    <w:rsid w:val="00E91C15"/>
    <w:rsid w:val="00E93BF9"/>
    <w:rsid w:val="00E943E8"/>
    <w:rsid w:val="00E945CE"/>
    <w:rsid w:val="00E94FAF"/>
    <w:rsid w:val="00E96293"/>
    <w:rsid w:val="00E96C8B"/>
    <w:rsid w:val="00E96E5C"/>
    <w:rsid w:val="00E97091"/>
    <w:rsid w:val="00E97D9B"/>
    <w:rsid w:val="00EA0340"/>
    <w:rsid w:val="00EA0528"/>
    <w:rsid w:val="00EA0C10"/>
    <w:rsid w:val="00EA3137"/>
    <w:rsid w:val="00EA347E"/>
    <w:rsid w:val="00EA4E02"/>
    <w:rsid w:val="00EA6276"/>
    <w:rsid w:val="00EB048C"/>
    <w:rsid w:val="00EB2C67"/>
    <w:rsid w:val="00EB367C"/>
    <w:rsid w:val="00EB43BA"/>
    <w:rsid w:val="00EB46D0"/>
    <w:rsid w:val="00EB4700"/>
    <w:rsid w:val="00EB477A"/>
    <w:rsid w:val="00EB4927"/>
    <w:rsid w:val="00EB7F72"/>
    <w:rsid w:val="00EC002A"/>
    <w:rsid w:val="00EC4357"/>
    <w:rsid w:val="00EC49A4"/>
    <w:rsid w:val="00EC4EF3"/>
    <w:rsid w:val="00EC6D48"/>
    <w:rsid w:val="00EC7B2D"/>
    <w:rsid w:val="00ED16C8"/>
    <w:rsid w:val="00ED20C9"/>
    <w:rsid w:val="00ED21EE"/>
    <w:rsid w:val="00ED37E1"/>
    <w:rsid w:val="00ED3B31"/>
    <w:rsid w:val="00ED4EC4"/>
    <w:rsid w:val="00ED6C04"/>
    <w:rsid w:val="00EE04B4"/>
    <w:rsid w:val="00EE1C5E"/>
    <w:rsid w:val="00EE3912"/>
    <w:rsid w:val="00EE4040"/>
    <w:rsid w:val="00EE4094"/>
    <w:rsid w:val="00EE4D57"/>
    <w:rsid w:val="00EE53FF"/>
    <w:rsid w:val="00EE5E83"/>
    <w:rsid w:val="00EE6954"/>
    <w:rsid w:val="00EE7092"/>
    <w:rsid w:val="00EF2F5C"/>
    <w:rsid w:val="00EF4DB0"/>
    <w:rsid w:val="00EF52E2"/>
    <w:rsid w:val="00EF6717"/>
    <w:rsid w:val="00EF7590"/>
    <w:rsid w:val="00F02000"/>
    <w:rsid w:val="00F024CA"/>
    <w:rsid w:val="00F027AA"/>
    <w:rsid w:val="00F03117"/>
    <w:rsid w:val="00F03373"/>
    <w:rsid w:val="00F0354F"/>
    <w:rsid w:val="00F04E6A"/>
    <w:rsid w:val="00F054C5"/>
    <w:rsid w:val="00F06C92"/>
    <w:rsid w:val="00F07B96"/>
    <w:rsid w:val="00F1013F"/>
    <w:rsid w:val="00F103C1"/>
    <w:rsid w:val="00F10A99"/>
    <w:rsid w:val="00F1114F"/>
    <w:rsid w:val="00F127DE"/>
    <w:rsid w:val="00F138A2"/>
    <w:rsid w:val="00F14C80"/>
    <w:rsid w:val="00F154EB"/>
    <w:rsid w:val="00F158FC"/>
    <w:rsid w:val="00F16032"/>
    <w:rsid w:val="00F20510"/>
    <w:rsid w:val="00F20632"/>
    <w:rsid w:val="00F20E56"/>
    <w:rsid w:val="00F23738"/>
    <w:rsid w:val="00F303A6"/>
    <w:rsid w:val="00F30846"/>
    <w:rsid w:val="00F30CAB"/>
    <w:rsid w:val="00F32479"/>
    <w:rsid w:val="00F327DF"/>
    <w:rsid w:val="00F32E2C"/>
    <w:rsid w:val="00F33121"/>
    <w:rsid w:val="00F3361F"/>
    <w:rsid w:val="00F33769"/>
    <w:rsid w:val="00F34071"/>
    <w:rsid w:val="00F356D2"/>
    <w:rsid w:val="00F358DA"/>
    <w:rsid w:val="00F36DEB"/>
    <w:rsid w:val="00F36FF8"/>
    <w:rsid w:val="00F37F86"/>
    <w:rsid w:val="00F406FD"/>
    <w:rsid w:val="00F40D24"/>
    <w:rsid w:val="00F414D0"/>
    <w:rsid w:val="00F45077"/>
    <w:rsid w:val="00F4722B"/>
    <w:rsid w:val="00F47935"/>
    <w:rsid w:val="00F47D9D"/>
    <w:rsid w:val="00F50558"/>
    <w:rsid w:val="00F50A8E"/>
    <w:rsid w:val="00F52AC7"/>
    <w:rsid w:val="00F531A8"/>
    <w:rsid w:val="00F544D2"/>
    <w:rsid w:val="00F55847"/>
    <w:rsid w:val="00F57142"/>
    <w:rsid w:val="00F5756D"/>
    <w:rsid w:val="00F62D81"/>
    <w:rsid w:val="00F62F79"/>
    <w:rsid w:val="00F630A2"/>
    <w:rsid w:val="00F643B2"/>
    <w:rsid w:val="00F6450E"/>
    <w:rsid w:val="00F652AB"/>
    <w:rsid w:val="00F65942"/>
    <w:rsid w:val="00F65BE2"/>
    <w:rsid w:val="00F65E84"/>
    <w:rsid w:val="00F67651"/>
    <w:rsid w:val="00F67998"/>
    <w:rsid w:val="00F67B9D"/>
    <w:rsid w:val="00F7230A"/>
    <w:rsid w:val="00F72AA0"/>
    <w:rsid w:val="00F761F7"/>
    <w:rsid w:val="00F76A40"/>
    <w:rsid w:val="00F77282"/>
    <w:rsid w:val="00F808C4"/>
    <w:rsid w:val="00F80C07"/>
    <w:rsid w:val="00F814BB"/>
    <w:rsid w:val="00F85990"/>
    <w:rsid w:val="00F85BC0"/>
    <w:rsid w:val="00F87264"/>
    <w:rsid w:val="00F908E9"/>
    <w:rsid w:val="00F96295"/>
    <w:rsid w:val="00F96D19"/>
    <w:rsid w:val="00F97E2B"/>
    <w:rsid w:val="00FA2A2E"/>
    <w:rsid w:val="00FA3423"/>
    <w:rsid w:val="00FA56D6"/>
    <w:rsid w:val="00FA595F"/>
    <w:rsid w:val="00FA5CE7"/>
    <w:rsid w:val="00FA6C24"/>
    <w:rsid w:val="00FA7D41"/>
    <w:rsid w:val="00FB0D0F"/>
    <w:rsid w:val="00FB338F"/>
    <w:rsid w:val="00FB3BA5"/>
    <w:rsid w:val="00FB651A"/>
    <w:rsid w:val="00FC0CB3"/>
    <w:rsid w:val="00FC2999"/>
    <w:rsid w:val="00FC5465"/>
    <w:rsid w:val="00FC697F"/>
    <w:rsid w:val="00FC70B3"/>
    <w:rsid w:val="00FC765F"/>
    <w:rsid w:val="00FD1861"/>
    <w:rsid w:val="00FD3DCC"/>
    <w:rsid w:val="00FD3F5C"/>
    <w:rsid w:val="00FD5375"/>
    <w:rsid w:val="00FD5B82"/>
    <w:rsid w:val="00FD61A3"/>
    <w:rsid w:val="00FD66C9"/>
    <w:rsid w:val="00FD79F6"/>
    <w:rsid w:val="00FE0371"/>
    <w:rsid w:val="00FE1258"/>
    <w:rsid w:val="00FE2025"/>
    <w:rsid w:val="00FE31D0"/>
    <w:rsid w:val="00FE3581"/>
    <w:rsid w:val="00FE7A3F"/>
    <w:rsid w:val="00FF0B6A"/>
    <w:rsid w:val="00FF10F6"/>
    <w:rsid w:val="00FF4970"/>
    <w:rsid w:val="00FF4E87"/>
    <w:rsid w:val="00FF5C5C"/>
    <w:rsid w:val="00FF7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CF0C1F"/>
    <w:pPr>
      <w:widowControl w:val="0"/>
      <w:spacing w:after="120"/>
    </w:pPr>
    <w:rPr>
      <w:szCs w:val="20"/>
    </w:rPr>
  </w:style>
  <w:style w:type="character" w:customStyle="1" w:styleId="BodyTextChar">
    <w:name w:val="Body Text Char"/>
    <w:aliases w:val=" Char Char"/>
    <w:basedOn w:val="DefaultParagraphFont"/>
    <w:link w:val="BodyText"/>
    <w:rsid w:val="00CF0C1F"/>
    <w:rPr>
      <w:sz w:val="24"/>
    </w:rPr>
  </w:style>
  <w:style w:type="character" w:styleId="PlaceholderText">
    <w:name w:val="Placeholder Text"/>
    <w:basedOn w:val="DefaultParagraphFont"/>
    <w:uiPriority w:val="99"/>
    <w:semiHidden/>
    <w:rsid w:val="00FA342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CF0C1F"/>
    <w:pPr>
      <w:widowControl w:val="0"/>
      <w:spacing w:after="120"/>
    </w:pPr>
    <w:rPr>
      <w:szCs w:val="20"/>
    </w:rPr>
  </w:style>
  <w:style w:type="character" w:customStyle="1" w:styleId="BodyTextChar">
    <w:name w:val="Body Text Char"/>
    <w:aliases w:val=" Char Char"/>
    <w:basedOn w:val="DefaultParagraphFont"/>
    <w:link w:val="BodyText"/>
    <w:rsid w:val="00CF0C1F"/>
    <w:rPr>
      <w:sz w:val="24"/>
    </w:rPr>
  </w:style>
  <w:style w:type="character" w:styleId="PlaceholderText">
    <w:name w:val="Placeholder Text"/>
    <w:basedOn w:val="DefaultParagraphFont"/>
    <w:uiPriority w:val="99"/>
    <w:semiHidden/>
    <w:rsid w:val="00FA34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556">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199852">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415093">
      <w:bodyDiv w:val="1"/>
      <w:marLeft w:val="0"/>
      <w:marRight w:val="0"/>
      <w:marTop w:val="0"/>
      <w:marBottom w:val="0"/>
      <w:divBdr>
        <w:top w:val="none" w:sz="0" w:space="0" w:color="auto"/>
        <w:left w:val="none" w:sz="0" w:space="0" w:color="auto"/>
        <w:bottom w:val="none" w:sz="0" w:space="0" w:color="auto"/>
        <w:right w:val="none" w:sz="0" w:space="0" w:color="auto"/>
      </w:divBdr>
    </w:div>
    <w:div w:id="37620187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06179779">
      <w:bodyDiv w:val="1"/>
      <w:marLeft w:val="0"/>
      <w:marRight w:val="0"/>
      <w:marTop w:val="0"/>
      <w:marBottom w:val="0"/>
      <w:divBdr>
        <w:top w:val="none" w:sz="0" w:space="0" w:color="auto"/>
        <w:left w:val="none" w:sz="0" w:space="0" w:color="auto"/>
        <w:bottom w:val="none" w:sz="0" w:space="0" w:color="auto"/>
        <w:right w:val="none" w:sz="0" w:space="0" w:color="auto"/>
      </w:divBdr>
    </w:div>
    <w:div w:id="70841124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6535071">
      <w:bodyDiv w:val="1"/>
      <w:marLeft w:val="0"/>
      <w:marRight w:val="0"/>
      <w:marTop w:val="0"/>
      <w:marBottom w:val="0"/>
      <w:divBdr>
        <w:top w:val="none" w:sz="0" w:space="0" w:color="auto"/>
        <w:left w:val="none" w:sz="0" w:space="0" w:color="auto"/>
        <w:bottom w:val="none" w:sz="0" w:space="0" w:color="auto"/>
        <w:right w:val="none" w:sz="0" w:space="0" w:color="auto"/>
      </w:divBdr>
    </w:div>
    <w:div w:id="944389228">
      <w:bodyDiv w:val="1"/>
      <w:marLeft w:val="0"/>
      <w:marRight w:val="0"/>
      <w:marTop w:val="0"/>
      <w:marBottom w:val="0"/>
      <w:divBdr>
        <w:top w:val="none" w:sz="0" w:space="0" w:color="auto"/>
        <w:left w:val="none" w:sz="0" w:space="0" w:color="auto"/>
        <w:bottom w:val="none" w:sz="0" w:space="0" w:color="auto"/>
        <w:right w:val="none" w:sz="0" w:space="0" w:color="auto"/>
      </w:divBdr>
    </w:div>
    <w:div w:id="949359968">
      <w:bodyDiv w:val="1"/>
      <w:marLeft w:val="0"/>
      <w:marRight w:val="0"/>
      <w:marTop w:val="0"/>
      <w:marBottom w:val="0"/>
      <w:divBdr>
        <w:top w:val="none" w:sz="0" w:space="0" w:color="auto"/>
        <w:left w:val="none" w:sz="0" w:space="0" w:color="auto"/>
        <w:bottom w:val="none" w:sz="0" w:space="0" w:color="auto"/>
        <w:right w:val="none" w:sz="0" w:space="0" w:color="auto"/>
      </w:divBdr>
    </w:div>
    <w:div w:id="1064328871">
      <w:bodyDiv w:val="1"/>
      <w:marLeft w:val="0"/>
      <w:marRight w:val="0"/>
      <w:marTop w:val="0"/>
      <w:marBottom w:val="0"/>
      <w:divBdr>
        <w:top w:val="none" w:sz="0" w:space="0" w:color="auto"/>
        <w:left w:val="none" w:sz="0" w:space="0" w:color="auto"/>
        <w:bottom w:val="none" w:sz="0" w:space="0" w:color="auto"/>
        <w:right w:val="none" w:sz="0" w:space="0" w:color="auto"/>
      </w:divBdr>
    </w:div>
    <w:div w:id="1140459046">
      <w:bodyDiv w:val="1"/>
      <w:marLeft w:val="0"/>
      <w:marRight w:val="0"/>
      <w:marTop w:val="0"/>
      <w:marBottom w:val="0"/>
      <w:divBdr>
        <w:top w:val="none" w:sz="0" w:space="0" w:color="auto"/>
        <w:left w:val="none" w:sz="0" w:space="0" w:color="auto"/>
        <w:bottom w:val="none" w:sz="0" w:space="0" w:color="auto"/>
        <w:right w:val="none" w:sz="0" w:space="0" w:color="auto"/>
      </w:divBdr>
    </w:div>
    <w:div w:id="120017021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32038424">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2486907">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40048429">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34170354">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81154497">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64135498">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_rels/endnotes.xml.rels><?xml version="1.0" encoding="UTF-8" standalone="yes"?>
<Relationships xmlns="http://schemas.openxmlformats.org/package/2006/relationships"><Relationship Id="rId1" Type="http://schemas.openxmlformats.org/officeDocument/2006/relationships/hyperlink" Target="http://www.appliances.energy.ca.gov/AdvancedSearch.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62E43DDD-011C-4CEA-A540-E44C3D5E1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24</Pages>
  <Words>4676</Words>
  <Characters>29272</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33881</CharactersWithSpaces>
  <SharedDoc>false</SharedDoc>
  <HLinks>
    <vt:vector size="198" baseType="variant">
      <vt:variant>
        <vt:i4>1507390</vt:i4>
      </vt:variant>
      <vt:variant>
        <vt:i4>197</vt:i4>
      </vt:variant>
      <vt:variant>
        <vt:i4>0</vt:i4>
      </vt:variant>
      <vt:variant>
        <vt:i4>5</vt:i4>
      </vt:variant>
      <vt:variant>
        <vt:lpwstr/>
      </vt:variant>
      <vt:variant>
        <vt:lpwstr>_Toc378256035</vt:lpwstr>
      </vt:variant>
      <vt:variant>
        <vt:i4>1507390</vt:i4>
      </vt:variant>
      <vt:variant>
        <vt:i4>191</vt:i4>
      </vt:variant>
      <vt:variant>
        <vt:i4>0</vt:i4>
      </vt:variant>
      <vt:variant>
        <vt:i4>5</vt:i4>
      </vt:variant>
      <vt:variant>
        <vt:lpwstr/>
      </vt:variant>
      <vt:variant>
        <vt:lpwstr>_Toc378256034</vt:lpwstr>
      </vt:variant>
      <vt:variant>
        <vt:i4>1507390</vt:i4>
      </vt:variant>
      <vt:variant>
        <vt:i4>185</vt:i4>
      </vt:variant>
      <vt:variant>
        <vt:i4>0</vt:i4>
      </vt:variant>
      <vt:variant>
        <vt:i4>5</vt:i4>
      </vt:variant>
      <vt:variant>
        <vt:lpwstr/>
      </vt:variant>
      <vt:variant>
        <vt:lpwstr>_Toc378256033</vt:lpwstr>
      </vt:variant>
      <vt:variant>
        <vt:i4>1245246</vt:i4>
      </vt:variant>
      <vt:variant>
        <vt:i4>176</vt:i4>
      </vt:variant>
      <vt:variant>
        <vt:i4>0</vt:i4>
      </vt:variant>
      <vt:variant>
        <vt:i4>5</vt:i4>
      </vt:variant>
      <vt:variant>
        <vt:lpwstr/>
      </vt:variant>
      <vt:variant>
        <vt:lpwstr>_Toc378256072</vt:lpwstr>
      </vt:variant>
      <vt:variant>
        <vt:i4>1245246</vt:i4>
      </vt:variant>
      <vt:variant>
        <vt:i4>170</vt:i4>
      </vt:variant>
      <vt:variant>
        <vt:i4>0</vt:i4>
      </vt:variant>
      <vt:variant>
        <vt:i4>5</vt:i4>
      </vt:variant>
      <vt:variant>
        <vt:lpwstr/>
      </vt:variant>
      <vt:variant>
        <vt:lpwstr>_Toc378256071</vt:lpwstr>
      </vt:variant>
      <vt:variant>
        <vt:i4>1245246</vt:i4>
      </vt:variant>
      <vt:variant>
        <vt:i4>164</vt:i4>
      </vt:variant>
      <vt:variant>
        <vt:i4>0</vt:i4>
      </vt:variant>
      <vt:variant>
        <vt:i4>5</vt:i4>
      </vt:variant>
      <vt:variant>
        <vt:lpwstr/>
      </vt:variant>
      <vt:variant>
        <vt:lpwstr>_Toc378256070</vt:lpwstr>
      </vt:variant>
      <vt:variant>
        <vt:i4>1179710</vt:i4>
      </vt:variant>
      <vt:variant>
        <vt:i4>158</vt:i4>
      </vt:variant>
      <vt:variant>
        <vt:i4>0</vt:i4>
      </vt:variant>
      <vt:variant>
        <vt:i4>5</vt:i4>
      </vt:variant>
      <vt:variant>
        <vt:lpwstr/>
      </vt:variant>
      <vt:variant>
        <vt:lpwstr>_Toc378256069</vt:lpwstr>
      </vt:variant>
      <vt:variant>
        <vt:i4>1179710</vt:i4>
      </vt:variant>
      <vt:variant>
        <vt:i4>152</vt:i4>
      </vt:variant>
      <vt:variant>
        <vt:i4>0</vt:i4>
      </vt:variant>
      <vt:variant>
        <vt:i4>5</vt:i4>
      </vt:variant>
      <vt:variant>
        <vt:lpwstr/>
      </vt:variant>
      <vt:variant>
        <vt:lpwstr>_Toc378256068</vt:lpwstr>
      </vt:variant>
      <vt:variant>
        <vt:i4>1179710</vt:i4>
      </vt:variant>
      <vt:variant>
        <vt:i4>146</vt:i4>
      </vt:variant>
      <vt:variant>
        <vt:i4>0</vt:i4>
      </vt:variant>
      <vt:variant>
        <vt:i4>5</vt:i4>
      </vt:variant>
      <vt:variant>
        <vt:lpwstr/>
      </vt:variant>
      <vt:variant>
        <vt:lpwstr>_Toc378256067</vt:lpwstr>
      </vt:variant>
      <vt:variant>
        <vt:i4>1179710</vt:i4>
      </vt:variant>
      <vt:variant>
        <vt:i4>140</vt:i4>
      </vt:variant>
      <vt:variant>
        <vt:i4>0</vt:i4>
      </vt:variant>
      <vt:variant>
        <vt:i4>5</vt:i4>
      </vt:variant>
      <vt:variant>
        <vt:lpwstr/>
      </vt:variant>
      <vt:variant>
        <vt:lpwstr>_Toc378256066</vt:lpwstr>
      </vt:variant>
      <vt:variant>
        <vt:i4>1179710</vt:i4>
      </vt:variant>
      <vt:variant>
        <vt:i4>134</vt:i4>
      </vt:variant>
      <vt:variant>
        <vt:i4>0</vt:i4>
      </vt:variant>
      <vt:variant>
        <vt:i4>5</vt:i4>
      </vt:variant>
      <vt:variant>
        <vt:lpwstr/>
      </vt:variant>
      <vt:variant>
        <vt:lpwstr>_Toc378256065</vt:lpwstr>
      </vt:variant>
      <vt:variant>
        <vt:i4>1179710</vt:i4>
      </vt:variant>
      <vt:variant>
        <vt:i4>128</vt:i4>
      </vt:variant>
      <vt:variant>
        <vt:i4>0</vt:i4>
      </vt:variant>
      <vt:variant>
        <vt:i4>5</vt:i4>
      </vt:variant>
      <vt:variant>
        <vt:lpwstr/>
      </vt:variant>
      <vt:variant>
        <vt:lpwstr>_Toc378256064</vt:lpwstr>
      </vt:variant>
      <vt:variant>
        <vt:i4>1179710</vt:i4>
      </vt:variant>
      <vt:variant>
        <vt:i4>122</vt:i4>
      </vt:variant>
      <vt:variant>
        <vt:i4>0</vt:i4>
      </vt:variant>
      <vt:variant>
        <vt:i4>5</vt:i4>
      </vt:variant>
      <vt:variant>
        <vt:lpwstr/>
      </vt:variant>
      <vt:variant>
        <vt:lpwstr>_Toc378256063</vt:lpwstr>
      </vt:variant>
      <vt:variant>
        <vt:i4>1179710</vt:i4>
      </vt:variant>
      <vt:variant>
        <vt:i4>116</vt:i4>
      </vt:variant>
      <vt:variant>
        <vt:i4>0</vt:i4>
      </vt:variant>
      <vt:variant>
        <vt:i4>5</vt:i4>
      </vt:variant>
      <vt:variant>
        <vt:lpwstr/>
      </vt:variant>
      <vt:variant>
        <vt:lpwstr>_Toc378256062</vt:lpwstr>
      </vt:variant>
      <vt:variant>
        <vt:i4>1179710</vt:i4>
      </vt:variant>
      <vt:variant>
        <vt:i4>110</vt:i4>
      </vt:variant>
      <vt:variant>
        <vt:i4>0</vt:i4>
      </vt:variant>
      <vt:variant>
        <vt:i4>5</vt:i4>
      </vt:variant>
      <vt:variant>
        <vt:lpwstr/>
      </vt:variant>
      <vt:variant>
        <vt:lpwstr>_Toc378256061</vt:lpwstr>
      </vt:variant>
      <vt:variant>
        <vt:i4>1179710</vt:i4>
      </vt:variant>
      <vt:variant>
        <vt:i4>104</vt:i4>
      </vt:variant>
      <vt:variant>
        <vt:i4>0</vt:i4>
      </vt:variant>
      <vt:variant>
        <vt:i4>5</vt:i4>
      </vt:variant>
      <vt:variant>
        <vt:lpwstr/>
      </vt:variant>
      <vt:variant>
        <vt:lpwstr>_Toc378256060</vt:lpwstr>
      </vt:variant>
      <vt:variant>
        <vt:i4>1114174</vt:i4>
      </vt:variant>
      <vt:variant>
        <vt:i4>98</vt:i4>
      </vt:variant>
      <vt:variant>
        <vt:i4>0</vt:i4>
      </vt:variant>
      <vt:variant>
        <vt:i4>5</vt:i4>
      </vt:variant>
      <vt:variant>
        <vt:lpwstr/>
      </vt:variant>
      <vt:variant>
        <vt:lpwstr>_Toc378256059</vt:lpwstr>
      </vt:variant>
      <vt:variant>
        <vt:i4>1114174</vt:i4>
      </vt:variant>
      <vt:variant>
        <vt:i4>92</vt:i4>
      </vt:variant>
      <vt:variant>
        <vt:i4>0</vt:i4>
      </vt:variant>
      <vt:variant>
        <vt:i4>5</vt:i4>
      </vt:variant>
      <vt:variant>
        <vt:lpwstr/>
      </vt:variant>
      <vt:variant>
        <vt:lpwstr>_Toc378256058</vt:lpwstr>
      </vt:variant>
      <vt:variant>
        <vt:i4>1114174</vt:i4>
      </vt:variant>
      <vt:variant>
        <vt:i4>86</vt:i4>
      </vt:variant>
      <vt:variant>
        <vt:i4>0</vt:i4>
      </vt:variant>
      <vt:variant>
        <vt:i4>5</vt:i4>
      </vt:variant>
      <vt:variant>
        <vt:lpwstr/>
      </vt:variant>
      <vt:variant>
        <vt:lpwstr>_Toc378256057</vt:lpwstr>
      </vt:variant>
      <vt:variant>
        <vt:i4>1114174</vt:i4>
      </vt:variant>
      <vt:variant>
        <vt:i4>80</vt:i4>
      </vt:variant>
      <vt:variant>
        <vt:i4>0</vt:i4>
      </vt:variant>
      <vt:variant>
        <vt:i4>5</vt:i4>
      </vt:variant>
      <vt:variant>
        <vt:lpwstr/>
      </vt:variant>
      <vt:variant>
        <vt:lpwstr>_Toc378256056</vt:lpwstr>
      </vt:variant>
      <vt:variant>
        <vt:i4>1114174</vt:i4>
      </vt:variant>
      <vt:variant>
        <vt:i4>74</vt:i4>
      </vt:variant>
      <vt:variant>
        <vt:i4>0</vt:i4>
      </vt:variant>
      <vt:variant>
        <vt:i4>5</vt:i4>
      </vt:variant>
      <vt:variant>
        <vt:lpwstr/>
      </vt:variant>
      <vt:variant>
        <vt:lpwstr>_Toc378256055</vt:lpwstr>
      </vt:variant>
      <vt:variant>
        <vt:i4>1114174</vt:i4>
      </vt:variant>
      <vt:variant>
        <vt:i4>68</vt:i4>
      </vt:variant>
      <vt:variant>
        <vt:i4>0</vt:i4>
      </vt:variant>
      <vt:variant>
        <vt:i4>5</vt:i4>
      </vt:variant>
      <vt:variant>
        <vt:lpwstr/>
      </vt:variant>
      <vt:variant>
        <vt:lpwstr>_Toc378256054</vt:lpwstr>
      </vt:variant>
      <vt:variant>
        <vt:i4>1114174</vt:i4>
      </vt:variant>
      <vt:variant>
        <vt:i4>62</vt:i4>
      </vt:variant>
      <vt:variant>
        <vt:i4>0</vt:i4>
      </vt:variant>
      <vt:variant>
        <vt:i4>5</vt:i4>
      </vt:variant>
      <vt:variant>
        <vt:lpwstr/>
      </vt:variant>
      <vt:variant>
        <vt:lpwstr>_Toc378256053</vt:lpwstr>
      </vt:variant>
      <vt:variant>
        <vt:i4>1114174</vt:i4>
      </vt:variant>
      <vt:variant>
        <vt:i4>56</vt:i4>
      </vt:variant>
      <vt:variant>
        <vt:i4>0</vt:i4>
      </vt:variant>
      <vt:variant>
        <vt:i4>5</vt:i4>
      </vt:variant>
      <vt:variant>
        <vt:lpwstr/>
      </vt:variant>
      <vt:variant>
        <vt:lpwstr>_Toc378256052</vt:lpwstr>
      </vt:variant>
      <vt:variant>
        <vt:i4>1114174</vt:i4>
      </vt:variant>
      <vt:variant>
        <vt:i4>50</vt:i4>
      </vt:variant>
      <vt:variant>
        <vt:i4>0</vt:i4>
      </vt:variant>
      <vt:variant>
        <vt:i4>5</vt:i4>
      </vt:variant>
      <vt:variant>
        <vt:lpwstr/>
      </vt:variant>
      <vt:variant>
        <vt:lpwstr>_Toc378256051</vt:lpwstr>
      </vt:variant>
      <vt:variant>
        <vt:i4>1114174</vt:i4>
      </vt:variant>
      <vt:variant>
        <vt:i4>44</vt:i4>
      </vt:variant>
      <vt:variant>
        <vt:i4>0</vt:i4>
      </vt:variant>
      <vt:variant>
        <vt:i4>5</vt:i4>
      </vt:variant>
      <vt:variant>
        <vt:lpwstr/>
      </vt:variant>
      <vt:variant>
        <vt:lpwstr>_Toc378256050</vt:lpwstr>
      </vt:variant>
      <vt:variant>
        <vt:i4>1048638</vt:i4>
      </vt:variant>
      <vt:variant>
        <vt:i4>38</vt:i4>
      </vt:variant>
      <vt:variant>
        <vt:i4>0</vt:i4>
      </vt:variant>
      <vt:variant>
        <vt:i4>5</vt:i4>
      </vt:variant>
      <vt:variant>
        <vt:lpwstr/>
      </vt:variant>
      <vt:variant>
        <vt:lpwstr>_Toc378256049</vt:lpwstr>
      </vt:variant>
      <vt:variant>
        <vt:i4>1048638</vt:i4>
      </vt:variant>
      <vt:variant>
        <vt:i4>32</vt:i4>
      </vt:variant>
      <vt:variant>
        <vt:i4>0</vt:i4>
      </vt:variant>
      <vt:variant>
        <vt:i4>5</vt:i4>
      </vt:variant>
      <vt:variant>
        <vt:lpwstr/>
      </vt:variant>
      <vt:variant>
        <vt:lpwstr>_Toc378256048</vt:lpwstr>
      </vt:variant>
      <vt:variant>
        <vt:i4>1048638</vt:i4>
      </vt:variant>
      <vt:variant>
        <vt:i4>26</vt:i4>
      </vt:variant>
      <vt:variant>
        <vt:i4>0</vt:i4>
      </vt:variant>
      <vt:variant>
        <vt:i4>5</vt:i4>
      </vt:variant>
      <vt:variant>
        <vt:lpwstr/>
      </vt:variant>
      <vt:variant>
        <vt:lpwstr>_Toc378256047</vt:lpwstr>
      </vt:variant>
      <vt:variant>
        <vt:i4>1048638</vt:i4>
      </vt:variant>
      <vt:variant>
        <vt:i4>20</vt:i4>
      </vt:variant>
      <vt:variant>
        <vt:i4>0</vt:i4>
      </vt:variant>
      <vt:variant>
        <vt:i4>5</vt:i4>
      </vt:variant>
      <vt:variant>
        <vt:lpwstr/>
      </vt:variant>
      <vt:variant>
        <vt:lpwstr>_Toc378256046</vt:lpwstr>
      </vt:variant>
      <vt:variant>
        <vt:i4>1048638</vt:i4>
      </vt:variant>
      <vt:variant>
        <vt:i4>14</vt:i4>
      </vt:variant>
      <vt:variant>
        <vt:i4>0</vt:i4>
      </vt:variant>
      <vt:variant>
        <vt:i4>5</vt:i4>
      </vt:variant>
      <vt:variant>
        <vt:lpwstr/>
      </vt:variant>
      <vt:variant>
        <vt:lpwstr>_Toc378256045</vt:lpwstr>
      </vt:variant>
      <vt:variant>
        <vt:i4>1048638</vt:i4>
      </vt:variant>
      <vt:variant>
        <vt:i4>8</vt:i4>
      </vt:variant>
      <vt:variant>
        <vt:i4>0</vt:i4>
      </vt:variant>
      <vt:variant>
        <vt:i4>5</vt:i4>
      </vt:variant>
      <vt:variant>
        <vt:lpwstr/>
      </vt:variant>
      <vt:variant>
        <vt:lpwstr>_Toc378256044</vt:lpwstr>
      </vt:variant>
      <vt:variant>
        <vt:i4>1048638</vt:i4>
      </vt:variant>
      <vt:variant>
        <vt:i4>2</vt:i4>
      </vt:variant>
      <vt:variant>
        <vt:i4>0</vt:i4>
      </vt:variant>
      <vt:variant>
        <vt:i4>5</vt:i4>
      </vt:variant>
      <vt:variant>
        <vt:lpwstr/>
      </vt:variant>
      <vt:variant>
        <vt:lpwstr>_Toc378256043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2014-04-28T20:59:00Z</cp:lastPrinted>
  <dcterms:created xsi:type="dcterms:W3CDTF">2014-05-04T18:42:00Z</dcterms:created>
  <dcterms:modified xsi:type="dcterms:W3CDTF">2014-05-04T18:42:00Z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