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B55" w:rsidRPr="00A961E9" w:rsidRDefault="00E43B55" w:rsidP="00864083">
      <w:pPr>
        <w:jc w:val="right"/>
        <w:rPr>
          <w:rFonts w:ascii="Arial" w:hAnsi="Arial" w:cs="Arial"/>
          <w:b/>
          <w:sz w:val="40"/>
          <w:szCs w:val="40"/>
        </w:rPr>
      </w:pPr>
      <w:bookmarkStart w:id="0" w:name="_Toc153189646"/>
      <w:r w:rsidRPr="00A961E9">
        <w:rPr>
          <w:rFonts w:ascii="Arial" w:hAnsi="Arial" w:cs="Arial"/>
          <w:b/>
          <w:sz w:val="40"/>
          <w:szCs w:val="40"/>
        </w:rPr>
        <w:t>Work</w:t>
      </w:r>
      <w:r w:rsidR="00E16FD8">
        <w:rPr>
          <w:rFonts w:ascii="Arial" w:hAnsi="Arial" w:cs="Arial"/>
          <w:b/>
          <w:sz w:val="40"/>
          <w:szCs w:val="40"/>
        </w:rPr>
        <w:t xml:space="preserve"> P</w:t>
      </w:r>
      <w:r w:rsidRPr="00A961E9">
        <w:rPr>
          <w:rFonts w:ascii="Arial" w:hAnsi="Arial" w:cs="Arial"/>
          <w:b/>
          <w:sz w:val="40"/>
          <w:szCs w:val="40"/>
        </w:rPr>
        <w:t xml:space="preserve">aper </w:t>
      </w:r>
      <w:bookmarkEnd w:id="0"/>
      <w:r w:rsidRPr="00A961E9">
        <w:rPr>
          <w:rFonts w:ascii="Arial" w:hAnsi="Arial" w:cs="Arial"/>
          <w:b/>
          <w:sz w:val="40"/>
          <w:szCs w:val="40"/>
        </w:rPr>
        <w:t>PGECO</w:t>
      </w:r>
      <w:r w:rsidR="00A961E9" w:rsidRPr="00A961E9">
        <w:rPr>
          <w:rFonts w:ascii="Arial" w:hAnsi="Arial" w:cs="Arial"/>
          <w:b/>
          <w:sz w:val="40"/>
          <w:szCs w:val="40"/>
        </w:rPr>
        <w:t>PRO</w:t>
      </w:r>
      <w:r w:rsidRPr="00A961E9">
        <w:rPr>
          <w:rFonts w:ascii="Arial" w:hAnsi="Arial" w:cs="Arial"/>
          <w:b/>
          <w:sz w:val="40"/>
          <w:szCs w:val="40"/>
        </w:rPr>
        <w:t>101</w:t>
      </w:r>
    </w:p>
    <w:p w:rsidR="00E43B55" w:rsidRPr="00A961E9" w:rsidRDefault="00DD43C2" w:rsidP="00864083">
      <w:pPr>
        <w:jc w:val="right"/>
        <w:rPr>
          <w:rFonts w:ascii="Arial" w:hAnsi="Arial" w:cs="Arial"/>
          <w:b/>
          <w:sz w:val="48"/>
          <w:szCs w:val="48"/>
        </w:rPr>
      </w:pPr>
      <w:r>
        <w:rPr>
          <w:rFonts w:ascii="Arial" w:hAnsi="Arial" w:cs="Arial"/>
          <w:b/>
          <w:sz w:val="48"/>
          <w:szCs w:val="48"/>
        </w:rPr>
        <w:t>Process B</w:t>
      </w:r>
      <w:r w:rsidR="00A961E9" w:rsidRPr="00A961E9">
        <w:rPr>
          <w:rFonts w:ascii="Arial" w:hAnsi="Arial" w:cs="Arial"/>
          <w:b/>
          <w:sz w:val="48"/>
          <w:szCs w:val="48"/>
        </w:rPr>
        <w:t>oiler</w:t>
      </w:r>
    </w:p>
    <w:p w:rsidR="00E43B55" w:rsidRPr="00A961E9" w:rsidRDefault="00E43B55" w:rsidP="00864083">
      <w:pPr>
        <w:jc w:val="right"/>
        <w:rPr>
          <w:rFonts w:ascii="Arial" w:hAnsi="Arial" w:cs="Arial"/>
          <w:b/>
          <w:sz w:val="48"/>
          <w:szCs w:val="48"/>
        </w:rPr>
      </w:pPr>
      <w:bookmarkStart w:id="1" w:name="_Toc153189647"/>
      <w:r w:rsidRPr="00A961E9">
        <w:rPr>
          <w:rFonts w:ascii="Arial" w:hAnsi="Arial" w:cs="Arial"/>
          <w:b/>
          <w:sz w:val="48"/>
          <w:szCs w:val="48"/>
        </w:rPr>
        <w:t xml:space="preserve">Revision </w:t>
      </w:r>
      <w:bookmarkEnd w:id="1"/>
      <w:r w:rsidR="006F2498">
        <w:rPr>
          <w:rFonts w:ascii="Arial" w:hAnsi="Arial" w:cs="Arial"/>
          <w:b/>
          <w:sz w:val="48"/>
          <w:szCs w:val="48"/>
        </w:rPr>
        <w:t>4</w:t>
      </w: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pBdr>
          <w:bottom w:val="single" w:sz="4" w:space="1" w:color="auto"/>
        </w:pBdr>
        <w:rPr>
          <w:rFonts w:ascii="Arial" w:hAnsi="Arial" w:cs="Arial"/>
          <w:b/>
          <w:sz w:val="36"/>
          <w:szCs w:val="36"/>
        </w:rPr>
      </w:pPr>
      <w:r w:rsidRPr="00A961E9">
        <w:rPr>
          <w:rFonts w:ascii="Arial" w:hAnsi="Arial" w:cs="Arial"/>
          <w:b/>
          <w:sz w:val="36"/>
          <w:szCs w:val="36"/>
        </w:rPr>
        <w:t>Pacific Gas &amp; Electric Company</w:t>
      </w:r>
    </w:p>
    <w:p w:rsidR="00E43B55" w:rsidRPr="00A961E9" w:rsidRDefault="00E43B55" w:rsidP="00864083">
      <w:pPr>
        <w:rPr>
          <w:rFonts w:ascii="Arial" w:hAnsi="Arial" w:cs="Arial"/>
          <w:b/>
          <w:sz w:val="32"/>
          <w:szCs w:val="32"/>
        </w:rPr>
      </w:pPr>
      <w:r w:rsidRPr="00A961E9">
        <w:rPr>
          <w:rFonts w:ascii="Arial" w:hAnsi="Arial" w:cs="Arial"/>
          <w:b/>
          <w:sz w:val="32"/>
          <w:szCs w:val="32"/>
        </w:rPr>
        <w:t xml:space="preserve">Customer Energy </w:t>
      </w:r>
      <w:r w:rsidR="006A60EC" w:rsidRPr="00A961E9">
        <w:rPr>
          <w:rFonts w:ascii="Arial" w:hAnsi="Arial" w:cs="Arial"/>
          <w:b/>
          <w:sz w:val="32"/>
          <w:szCs w:val="32"/>
        </w:rPr>
        <w:t>Solutions</w:t>
      </w: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864083">
      <w:pPr>
        <w:rPr>
          <w:rFonts w:ascii="Arial" w:hAnsi="Arial" w:cs="Arial"/>
        </w:rPr>
      </w:pPr>
    </w:p>
    <w:p w:rsidR="00E43B55" w:rsidRPr="00A961E9" w:rsidRDefault="00E43B55" w:rsidP="00E16FD8">
      <w:pPr>
        <w:jc w:val="center"/>
        <w:rPr>
          <w:rFonts w:ascii="Arial" w:hAnsi="Arial" w:cs="Arial"/>
        </w:rPr>
      </w:pPr>
    </w:p>
    <w:p w:rsidR="00E43B55" w:rsidRPr="00A961E9" w:rsidRDefault="00A961E9" w:rsidP="00864083">
      <w:pPr>
        <w:rPr>
          <w:rFonts w:ascii="Arial" w:hAnsi="Arial" w:cs="Arial"/>
          <w:b/>
          <w:sz w:val="72"/>
          <w:szCs w:val="72"/>
        </w:rPr>
      </w:pPr>
      <w:r w:rsidRPr="00A961E9">
        <w:rPr>
          <w:rFonts w:ascii="Arial" w:hAnsi="Arial" w:cs="Arial"/>
          <w:b/>
          <w:sz w:val="72"/>
          <w:szCs w:val="72"/>
        </w:rPr>
        <w:t>Process Boiler</w:t>
      </w:r>
    </w:p>
    <w:p w:rsidR="00E43B55" w:rsidRPr="00A961E9" w:rsidRDefault="00E43B55" w:rsidP="003C1A85">
      <w:pPr>
        <w:rPr>
          <w:rFonts w:ascii="Arial" w:hAnsi="Arial" w:cs="Arial"/>
          <w:b/>
        </w:rPr>
      </w:pPr>
      <w:r w:rsidRPr="00A961E9">
        <w:rPr>
          <w:rFonts w:ascii="Arial" w:hAnsi="Arial" w:cs="Arial"/>
          <w:b/>
        </w:rPr>
        <w:t>Meas</w:t>
      </w:r>
      <w:r w:rsidR="00A961E9" w:rsidRPr="00A961E9">
        <w:rPr>
          <w:rFonts w:ascii="Arial" w:hAnsi="Arial" w:cs="Arial"/>
          <w:b/>
        </w:rPr>
        <w:t>ure Codes H11, H15</w:t>
      </w:r>
    </w:p>
    <w:p w:rsidR="00E43B55" w:rsidRPr="00A961E9" w:rsidRDefault="00E43B55" w:rsidP="00864083">
      <w:pPr>
        <w:pStyle w:val="Heading1"/>
        <w:spacing w:before="0" w:after="0"/>
        <w:rPr>
          <w:b w:val="0"/>
        </w:rPr>
      </w:pPr>
    </w:p>
    <w:p w:rsidR="00E43B55" w:rsidRPr="00A961E9" w:rsidRDefault="00E43B55" w:rsidP="00864083">
      <w:pPr>
        <w:pStyle w:val="Heading1"/>
        <w:spacing w:before="0" w:after="0"/>
        <w:rPr>
          <w:b w:val="0"/>
        </w:rPr>
      </w:pPr>
    </w:p>
    <w:p w:rsidR="00E43B55" w:rsidRPr="00A961E9" w:rsidRDefault="00E43B55" w:rsidP="00864083">
      <w:pPr>
        <w:rPr>
          <w:rFonts w:ascii="Arial" w:hAnsi="Arial" w:cs="Arial"/>
          <w:color w:val="FF0000"/>
        </w:rPr>
      </w:pPr>
    </w:p>
    <w:p w:rsidR="00E43B55" w:rsidRPr="00A961E9" w:rsidRDefault="00E43B55" w:rsidP="00864083">
      <w:pPr>
        <w:rPr>
          <w:rFonts w:ascii="Arial" w:hAnsi="Arial" w:cs="Arial"/>
          <w:color w:val="FF0000"/>
        </w:rPr>
      </w:pPr>
    </w:p>
    <w:p w:rsidR="00E43B55" w:rsidRPr="00A961E9" w:rsidRDefault="00E43B55" w:rsidP="00864083">
      <w:pPr>
        <w:pStyle w:val="Heading1"/>
        <w:spacing w:before="0" w:after="0"/>
        <w:rPr>
          <w:b w:val="0"/>
          <w:color w:val="FF0000"/>
        </w:rPr>
      </w:pPr>
    </w:p>
    <w:p w:rsidR="00E43B55" w:rsidRPr="00A961E9" w:rsidRDefault="00E43B55" w:rsidP="00864083">
      <w:pPr>
        <w:pStyle w:val="Heading1"/>
        <w:spacing w:before="0" w:after="0"/>
        <w:rPr>
          <w:b w:val="0"/>
          <w:color w:val="FF0000"/>
        </w:rPr>
      </w:pPr>
    </w:p>
    <w:p w:rsidR="00E43B55" w:rsidRPr="00A961E9" w:rsidRDefault="00E43B55" w:rsidP="00864083">
      <w:pPr>
        <w:pStyle w:val="Heading1"/>
        <w:spacing w:before="0" w:after="0"/>
        <w:rPr>
          <w:b w:val="0"/>
          <w:color w:val="FF0000"/>
        </w:rPr>
      </w:pPr>
    </w:p>
    <w:p w:rsidR="00E43B55" w:rsidRPr="00A961E9" w:rsidRDefault="00E43B55" w:rsidP="00864083">
      <w:pPr>
        <w:pStyle w:val="Heading1"/>
        <w:spacing w:before="0" w:after="0"/>
        <w:rPr>
          <w:b w:val="0"/>
          <w:color w:val="FF0000"/>
        </w:rPr>
      </w:pPr>
    </w:p>
    <w:p w:rsidR="00E43B55" w:rsidRPr="00A961E9" w:rsidRDefault="00E43B55" w:rsidP="00864083">
      <w:pPr>
        <w:rPr>
          <w:rFonts w:ascii="Arial" w:hAnsi="Arial" w:cs="Arial"/>
          <w:color w:val="FF0000"/>
        </w:rPr>
      </w:pPr>
    </w:p>
    <w:p w:rsidR="00E43B55" w:rsidRPr="00A961E9" w:rsidRDefault="00E43B55" w:rsidP="00864083">
      <w:pPr>
        <w:rPr>
          <w:rFonts w:ascii="Arial" w:hAnsi="Arial" w:cs="Arial"/>
          <w:color w:val="FF0000"/>
        </w:rPr>
      </w:pPr>
    </w:p>
    <w:p w:rsidR="00E43B55" w:rsidRPr="00A961E9" w:rsidRDefault="00E43B55" w:rsidP="00864083">
      <w:pPr>
        <w:rPr>
          <w:rFonts w:ascii="Arial" w:hAnsi="Arial" w:cs="Arial"/>
          <w:color w:val="FF0000"/>
        </w:rPr>
      </w:pPr>
    </w:p>
    <w:p w:rsidR="00E43B55" w:rsidRPr="00A961E9" w:rsidRDefault="00E43B55" w:rsidP="00864083">
      <w:pPr>
        <w:rPr>
          <w:rFonts w:ascii="Arial" w:hAnsi="Arial" w:cs="Arial"/>
          <w:color w:val="FF0000"/>
        </w:rPr>
      </w:pPr>
    </w:p>
    <w:p w:rsidR="00E43B55" w:rsidRPr="00A961E9" w:rsidRDefault="00E43B55" w:rsidP="00864083">
      <w:pPr>
        <w:rPr>
          <w:rFonts w:ascii="Arial" w:hAnsi="Arial" w:cs="Arial"/>
          <w:color w:val="FF0000"/>
        </w:rPr>
      </w:pPr>
    </w:p>
    <w:p w:rsidR="00E43B55" w:rsidRPr="00A961E9" w:rsidRDefault="00E43B55" w:rsidP="00864083">
      <w:pPr>
        <w:rPr>
          <w:rFonts w:ascii="Arial" w:hAnsi="Arial" w:cs="Arial"/>
          <w:color w:val="FF0000"/>
        </w:rPr>
        <w:sectPr w:rsidR="00E43B55" w:rsidRPr="00A961E9" w:rsidSect="00672230">
          <w:headerReference w:type="even" r:id="rId12"/>
          <w:headerReference w:type="default" r:id="rId13"/>
          <w:footerReference w:type="even" r:id="rId14"/>
          <w:footerReference w:type="default" r:id="rId15"/>
          <w:footerReference w:type="first" r:id="rId16"/>
          <w:endnotePr>
            <w:numFmt w:val="decimal"/>
          </w:endnotePr>
          <w:pgSz w:w="12240" w:h="15840"/>
          <w:pgMar w:top="1440" w:right="1440" w:bottom="1440" w:left="1440" w:header="720" w:footer="720" w:gutter="0"/>
          <w:pgNumType w:fmt="lowerRoman"/>
          <w:cols w:space="720"/>
          <w:titlePg/>
          <w:docGrid w:linePitch="360"/>
        </w:sectPr>
      </w:pPr>
    </w:p>
    <w:p w:rsidR="00E43B55" w:rsidRPr="00DA0FEE" w:rsidRDefault="00E43B55" w:rsidP="00864083">
      <w:pPr>
        <w:rPr>
          <w:rFonts w:ascii="Arial" w:hAnsi="Arial" w:cs="Arial"/>
        </w:rPr>
      </w:pPr>
    </w:p>
    <w:p w:rsidR="00E71EF1" w:rsidRPr="00DA0FEE" w:rsidRDefault="00E731C6" w:rsidP="00864083">
      <w:pPr>
        <w:pStyle w:val="Heading1"/>
        <w:spacing w:before="0" w:after="0"/>
      </w:pPr>
      <w:bookmarkStart w:id="2" w:name="_Toc443922956"/>
      <w:r w:rsidRPr="00DA0FEE">
        <w:t>At-</w:t>
      </w:r>
      <w:r w:rsidR="003E04D8" w:rsidRPr="00DA0FEE">
        <w:t>A</w:t>
      </w:r>
      <w:r w:rsidRPr="00DA0FEE">
        <w:t>-</w:t>
      </w:r>
      <w:r w:rsidR="00E71EF1" w:rsidRPr="00DA0FEE">
        <w:t>Glance Summary</w:t>
      </w:r>
      <w:bookmarkEnd w:id="2"/>
    </w:p>
    <w:p w:rsidR="005F19E0" w:rsidRPr="00A961E9" w:rsidRDefault="005F19E0" w:rsidP="00864083">
      <w:pPr>
        <w:rPr>
          <w:rFonts w:ascii="Arial" w:hAnsi="Arial" w:cs="Arial"/>
          <w:b/>
          <w:color w:val="FF0000"/>
          <w:sz w:val="20"/>
          <w:szCs w:val="20"/>
        </w:rPr>
      </w:pPr>
    </w:p>
    <w:tbl>
      <w:tblPr>
        <w:tblW w:w="4897" w:type="pct"/>
        <w:tblBorders>
          <w:insideH w:val="single" w:sz="18" w:space="0" w:color="FFFFFF"/>
          <w:insideV w:val="single" w:sz="18" w:space="0" w:color="FFFFFF"/>
        </w:tblBorders>
        <w:tblLayout w:type="fixed"/>
        <w:tblLook w:val="01E0" w:firstRow="1" w:lastRow="1" w:firstColumn="1" w:lastColumn="1" w:noHBand="0" w:noVBand="0"/>
      </w:tblPr>
      <w:tblGrid>
        <w:gridCol w:w="2899"/>
        <w:gridCol w:w="3240"/>
        <w:gridCol w:w="3240"/>
      </w:tblGrid>
      <w:tr w:rsidR="00A961E9" w:rsidRPr="00A961E9" w:rsidTr="005E4134">
        <w:trPr>
          <w:trHeight w:val="594"/>
        </w:trPr>
        <w:tc>
          <w:tcPr>
            <w:tcW w:w="1545" w:type="pct"/>
            <w:shd w:val="pct20" w:color="000000" w:fill="FFFFFF"/>
            <w:vAlign w:val="center"/>
          </w:tcPr>
          <w:p w:rsidR="00A961E9" w:rsidRPr="00DA0FEE" w:rsidRDefault="00A961E9" w:rsidP="004C576E">
            <w:pPr>
              <w:rPr>
                <w:rFonts w:ascii="Arial" w:hAnsi="Arial" w:cs="Arial"/>
                <w:b/>
                <w:bCs/>
                <w:sz w:val="20"/>
                <w:szCs w:val="20"/>
              </w:rPr>
            </w:pPr>
            <w:r w:rsidRPr="00DA0FEE">
              <w:rPr>
                <w:rFonts w:ascii="Arial" w:hAnsi="Arial" w:cs="Arial"/>
                <w:b/>
                <w:bCs/>
                <w:sz w:val="20"/>
                <w:szCs w:val="20"/>
              </w:rPr>
              <w:t>Applicable Measure Codes:</w:t>
            </w:r>
          </w:p>
        </w:tc>
        <w:tc>
          <w:tcPr>
            <w:tcW w:w="1727" w:type="pct"/>
            <w:shd w:val="pct20" w:color="000000" w:fill="FFFFFF"/>
            <w:vAlign w:val="center"/>
          </w:tcPr>
          <w:p w:rsidR="00A961E9" w:rsidRPr="00DA0FEE" w:rsidRDefault="004C576E" w:rsidP="004C576E">
            <w:pPr>
              <w:rPr>
                <w:rFonts w:ascii="Arial" w:hAnsi="Arial" w:cs="Arial"/>
                <w:b/>
                <w:bCs/>
                <w:sz w:val="20"/>
                <w:szCs w:val="20"/>
              </w:rPr>
            </w:pPr>
            <w:r w:rsidRPr="00DA0FEE">
              <w:rPr>
                <w:rFonts w:ascii="Arial" w:hAnsi="Arial" w:cs="Arial"/>
                <w:b/>
                <w:bCs/>
                <w:sz w:val="20"/>
                <w:szCs w:val="20"/>
              </w:rPr>
              <w:t>H11</w:t>
            </w:r>
            <w:r w:rsidR="00A961E9" w:rsidRPr="00DA0FEE">
              <w:rPr>
                <w:rFonts w:ascii="Arial" w:hAnsi="Arial" w:cs="Arial"/>
                <w:b/>
                <w:bCs/>
                <w:sz w:val="20"/>
                <w:szCs w:val="20"/>
              </w:rPr>
              <w:t xml:space="preserve"> – </w:t>
            </w:r>
            <w:r w:rsidRPr="00DA0FEE">
              <w:rPr>
                <w:rFonts w:ascii="Arial" w:hAnsi="Arial" w:cs="Arial"/>
                <w:b/>
                <w:bCs/>
                <w:sz w:val="20"/>
                <w:szCs w:val="20"/>
              </w:rPr>
              <w:t>Water Process Boiler</w:t>
            </w:r>
          </w:p>
        </w:tc>
        <w:tc>
          <w:tcPr>
            <w:tcW w:w="1727" w:type="pct"/>
            <w:shd w:val="pct20" w:color="000000" w:fill="FFFFFF"/>
            <w:vAlign w:val="center"/>
          </w:tcPr>
          <w:p w:rsidR="00A961E9" w:rsidRPr="00DA0FEE" w:rsidRDefault="004C576E" w:rsidP="004C576E">
            <w:pPr>
              <w:rPr>
                <w:rFonts w:ascii="Arial" w:hAnsi="Arial" w:cs="Arial"/>
                <w:b/>
                <w:bCs/>
                <w:sz w:val="20"/>
                <w:szCs w:val="20"/>
              </w:rPr>
            </w:pPr>
            <w:r w:rsidRPr="00DA0FEE">
              <w:rPr>
                <w:rFonts w:ascii="Arial" w:hAnsi="Arial" w:cs="Arial"/>
                <w:b/>
                <w:bCs/>
                <w:sz w:val="20"/>
                <w:szCs w:val="20"/>
              </w:rPr>
              <w:t>H15</w:t>
            </w:r>
            <w:r w:rsidR="00A961E9" w:rsidRPr="00DA0FEE">
              <w:rPr>
                <w:rFonts w:ascii="Arial" w:hAnsi="Arial" w:cs="Arial"/>
                <w:b/>
                <w:bCs/>
                <w:sz w:val="20"/>
                <w:szCs w:val="20"/>
              </w:rPr>
              <w:t xml:space="preserve"> –</w:t>
            </w:r>
            <w:r w:rsidRPr="00DA0FEE">
              <w:rPr>
                <w:rFonts w:ascii="Arial" w:hAnsi="Arial" w:cs="Arial"/>
                <w:b/>
                <w:bCs/>
                <w:sz w:val="20"/>
                <w:szCs w:val="20"/>
              </w:rPr>
              <w:t xml:space="preserve"> Steam Process Boiler</w:t>
            </w:r>
          </w:p>
        </w:tc>
      </w:tr>
      <w:tr w:rsidR="00DA0FEE" w:rsidRPr="00A961E9" w:rsidTr="005E4134">
        <w:trPr>
          <w:trHeight w:val="465"/>
        </w:trPr>
        <w:tc>
          <w:tcPr>
            <w:tcW w:w="1545" w:type="pct"/>
            <w:shd w:val="pct5" w:color="000000" w:fill="FFFFFF"/>
          </w:tcPr>
          <w:p w:rsidR="00DA0FEE" w:rsidRPr="00DA0FEE" w:rsidRDefault="00DA0FEE" w:rsidP="00864083">
            <w:pPr>
              <w:rPr>
                <w:rFonts w:ascii="Arial" w:hAnsi="Arial" w:cs="Arial"/>
                <w:b/>
                <w:sz w:val="20"/>
                <w:szCs w:val="20"/>
              </w:rPr>
            </w:pPr>
            <w:r w:rsidRPr="00DA0FEE">
              <w:rPr>
                <w:rFonts w:ascii="Arial" w:hAnsi="Arial" w:cs="Arial"/>
                <w:b/>
                <w:sz w:val="20"/>
                <w:szCs w:val="20"/>
              </w:rPr>
              <w:t xml:space="preserve">Measure Description: </w:t>
            </w:r>
          </w:p>
        </w:tc>
        <w:tc>
          <w:tcPr>
            <w:tcW w:w="1727" w:type="pct"/>
            <w:shd w:val="pct5" w:color="000000" w:fill="FFFFFF"/>
          </w:tcPr>
          <w:p w:rsidR="00DA0FEE" w:rsidRPr="00ED564E" w:rsidRDefault="00DA0FEE" w:rsidP="00DA0FEE">
            <w:pPr>
              <w:rPr>
                <w:rFonts w:ascii="Arial" w:hAnsi="Arial" w:cs="Arial"/>
                <w:sz w:val="20"/>
                <w:szCs w:val="20"/>
              </w:rPr>
            </w:pPr>
            <w:r w:rsidRPr="00ED564E">
              <w:rPr>
                <w:rFonts w:ascii="Arial" w:hAnsi="Arial" w:cs="Arial"/>
                <w:sz w:val="20"/>
                <w:szCs w:val="20"/>
              </w:rPr>
              <w:t xml:space="preserve">Replacement of process water boiler with new boiler. Must have combustion test to verify combustion efficiency of 85% or better and input rating &lt; 20,000 </w:t>
            </w:r>
            <w:proofErr w:type="spellStart"/>
            <w:r w:rsidRPr="00ED564E">
              <w:rPr>
                <w:rFonts w:ascii="Arial" w:hAnsi="Arial" w:cs="Arial"/>
                <w:sz w:val="20"/>
                <w:szCs w:val="20"/>
              </w:rPr>
              <w:t>kBTUh</w:t>
            </w:r>
            <w:proofErr w:type="spellEnd"/>
          </w:p>
        </w:tc>
        <w:tc>
          <w:tcPr>
            <w:tcW w:w="1727" w:type="pct"/>
            <w:shd w:val="pct5" w:color="000000" w:fill="FFFFFF"/>
          </w:tcPr>
          <w:p w:rsidR="00DA0FEE" w:rsidRPr="00ED564E" w:rsidRDefault="00DA0FEE" w:rsidP="00DA0FEE">
            <w:pPr>
              <w:rPr>
                <w:rFonts w:ascii="Arial" w:hAnsi="Arial" w:cs="Arial"/>
                <w:sz w:val="20"/>
                <w:szCs w:val="20"/>
              </w:rPr>
            </w:pPr>
            <w:r w:rsidRPr="00ED564E">
              <w:rPr>
                <w:rFonts w:ascii="Arial" w:hAnsi="Arial" w:cs="Arial"/>
                <w:sz w:val="20"/>
                <w:szCs w:val="20"/>
              </w:rPr>
              <w:t xml:space="preserve">Replacement of process steam boiler with new boiler. Must have combustion test to verify combustion efficiency of 83% or better and input rating &lt; 20,000 </w:t>
            </w:r>
            <w:proofErr w:type="spellStart"/>
            <w:r w:rsidRPr="00ED564E">
              <w:rPr>
                <w:rFonts w:ascii="Arial" w:hAnsi="Arial" w:cs="Arial"/>
                <w:sz w:val="20"/>
                <w:szCs w:val="20"/>
              </w:rPr>
              <w:t>kBTUh</w:t>
            </w:r>
            <w:proofErr w:type="spellEnd"/>
          </w:p>
        </w:tc>
      </w:tr>
      <w:tr w:rsidR="00A961E9" w:rsidRPr="00A961E9" w:rsidTr="005E4134">
        <w:trPr>
          <w:trHeight w:val="465"/>
        </w:trPr>
        <w:tc>
          <w:tcPr>
            <w:tcW w:w="1545" w:type="pct"/>
            <w:shd w:val="pct20" w:color="000000" w:fill="FFFFFF"/>
          </w:tcPr>
          <w:p w:rsidR="00A961E9" w:rsidRPr="00DA0FEE" w:rsidRDefault="00A961E9" w:rsidP="00864083">
            <w:pPr>
              <w:rPr>
                <w:rFonts w:ascii="Arial" w:hAnsi="Arial" w:cs="Arial"/>
                <w:b/>
                <w:sz w:val="20"/>
                <w:szCs w:val="20"/>
              </w:rPr>
            </w:pPr>
            <w:r w:rsidRPr="00DA0FEE">
              <w:rPr>
                <w:rFonts w:ascii="Arial" w:hAnsi="Arial" w:cs="Arial"/>
                <w:b/>
                <w:sz w:val="20"/>
                <w:szCs w:val="20"/>
              </w:rPr>
              <w:t xml:space="preserve">Energy Impact Common Units: </w:t>
            </w:r>
          </w:p>
        </w:tc>
        <w:tc>
          <w:tcPr>
            <w:tcW w:w="1727" w:type="pct"/>
            <w:shd w:val="pct20" w:color="000000" w:fill="FFFFFF"/>
          </w:tcPr>
          <w:p w:rsidR="00A961E9" w:rsidRPr="00ED564E" w:rsidRDefault="00A961E9" w:rsidP="00864083">
            <w:pPr>
              <w:rPr>
                <w:rFonts w:ascii="Arial" w:hAnsi="Arial" w:cs="Arial"/>
                <w:sz w:val="20"/>
                <w:szCs w:val="20"/>
              </w:rPr>
            </w:pPr>
            <w:r w:rsidRPr="00ED564E">
              <w:rPr>
                <w:rFonts w:ascii="Arial" w:hAnsi="Arial" w:cs="Arial"/>
                <w:sz w:val="20"/>
                <w:szCs w:val="20"/>
              </w:rPr>
              <w:t xml:space="preserve">Per </w:t>
            </w:r>
            <w:proofErr w:type="spellStart"/>
            <w:r w:rsidRPr="00ED564E">
              <w:rPr>
                <w:rFonts w:ascii="Arial" w:hAnsi="Arial" w:cs="Arial"/>
                <w:sz w:val="20"/>
                <w:szCs w:val="20"/>
              </w:rPr>
              <w:t>kBTUh</w:t>
            </w:r>
            <w:proofErr w:type="spellEnd"/>
            <w:r w:rsidRPr="00ED564E">
              <w:rPr>
                <w:rFonts w:ascii="Arial" w:hAnsi="Arial" w:cs="Arial"/>
                <w:sz w:val="20"/>
                <w:szCs w:val="20"/>
              </w:rPr>
              <w:t xml:space="preserve"> of boiler rated input</w:t>
            </w:r>
          </w:p>
        </w:tc>
        <w:tc>
          <w:tcPr>
            <w:tcW w:w="1727" w:type="pct"/>
            <w:shd w:val="pct20" w:color="000000" w:fill="FFFFFF"/>
          </w:tcPr>
          <w:p w:rsidR="00A961E9" w:rsidRPr="00ED564E" w:rsidRDefault="00A961E9" w:rsidP="00864083">
            <w:pPr>
              <w:rPr>
                <w:rFonts w:ascii="Arial" w:hAnsi="Arial" w:cs="Arial"/>
                <w:sz w:val="20"/>
                <w:szCs w:val="20"/>
              </w:rPr>
            </w:pPr>
            <w:r w:rsidRPr="00ED564E">
              <w:rPr>
                <w:rFonts w:ascii="Arial" w:hAnsi="Arial" w:cs="Arial"/>
                <w:sz w:val="20"/>
                <w:szCs w:val="20"/>
              </w:rPr>
              <w:t xml:space="preserve">Per </w:t>
            </w:r>
            <w:proofErr w:type="spellStart"/>
            <w:r w:rsidRPr="00ED564E">
              <w:rPr>
                <w:rFonts w:ascii="Arial" w:hAnsi="Arial" w:cs="Arial"/>
                <w:sz w:val="20"/>
                <w:szCs w:val="20"/>
              </w:rPr>
              <w:t>kBTUh</w:t>
            </w:r>
            <w:proofErr w:type="spellEnd"/>
            <w:r w:rsidRPr="00ED564E">
              <w:rPr>
                <w:rFonts w:ascii="Arial" w:hAnsi="Arial" w:cs="Arial"/>
                <w:sz w:val="20"/>
                <w:szCs w:val="20"/>
              </w:rPr>
              <w:t xml:space="preserve"> of boiler rated input</w:t>
            </w:r>
          </w:p>
        </w:tc>
      </w:tr>
      <w:tr w:rsidR="00A961E9" w:rsidRPr="00A961E9" w:rsidTr="005E4134">
        <w:trPr>
          <w:trHeight w:val="465"/>
        </w:trPr>
        <w:tc>
          <w:tcPr>
            <w:tcW w:w="1545" w:type="pct"/>
            <w:shd w:val="pct5" w:color="000000" w:fill="FFFFFF"/>
          </w:tcPr>
          <w:p w:rsidR="00A961E9" w:rsidRPr="00273D84" w:rsidRDefault="00A961E9" w:rsidP="00864083">
            <w:pPr>
              <w:rPr>
                <w:rFonts w:ascii="Arial" w:hAnsi="Arial" w:cs="Arial"/>
                <w:b/>
                <w:sz w:val="20"/>
                <w:szCs w:val="20"/>
              </w:rPr>
            </w:pPr>
            <w:r w:rsidRPr="00273D84">
              <w:rPr>
                <w:rFonts w:ascii="Arial" w:hAnsi="Arial" w:cs="Arial"/>
                <w:b/>
                <w:sz w:val="20"/>
                <w:szCs w:val="20"/>
              </w:rPr>
              <w:t>Base Case Description:</w:t>
            </w:r>
          </w:p>
        </w:tc>
        <w:tc>
          <w:tcPr>
            <w:tcW w:w="1727" w:type="pct"/>
            <w:shd w:val="pct5" w:color="000000" w:fill="FFFFFF"/>
          </w:tcPr>
          <w:p w:rsidR="00A961E9" w:rsidRPr="00ED564E" w:rsidRDefault="00273D84" w:rsidP="00456EE0">
            <w:pPr>
              <w:rPr>
                <w:rFonts w:ascii="Arial" w:hAnsi="Arial" w:cs="Arial"/>
                <w:b/>
                <w:sz w:val="20"/>
                <w:szCs w:val="20"/>
              </w:rPr>
            </w:pPr>
            <w:r w:rsidRPr="00ED564E">
              <w:rPr>
                <w:rFonts w:ascii="Arial" w:hAnsi="Arial" w:cs="Arial"/>
                <w:sz w:val="20"/>
                <w:szCs w:val="20"/>
              </w:rPr>
              <w:t>Process</w:t>
            </w:r>
            <w:r w:rsidR="00A961E9" w:rsidRPr="00ED564E">
              <w:rPr>
                <w:rFonts w:ascii="Arial" w:hAnsi="Arial" w:cs="Arial"/>
                <w:sz w:val="20"/>
                <w:szCs w:val="20"/>
              </w:rPr>
              <w:t xml:space="preserve"> water boiler with</w:t>
            </w:r>
            <w:r w:rsidR="00A961E9" w:rsidRPr="00ED564E">
              <w:rPr>
                <w:rFonts w:ascii="Arial" w:hAnsi="Arial" w:cs="Arial"/>
                <w:b/>
                <w:sz w:val="20"/>
                <w:szCs w:val="20"/>
              </w:rPr>
              <w:t xml:space="preserve"> </w:t>
            </w:r>
            <w:r w:rsidRPr="00ED564E">
              <w:rPr>
                <w:rFonts w:ascii="Arial" w:hAnsi="Arial" w:cs="Arial"/>
                <w:b/>
                <w:sz w:val="20"/>
                <w:szCs w:val="20"/>
              </w:rPr>
              <w:t>combustion</w:t>
            </w:r>
            <w:r w:rsidR="00A961E9" w:rsidRPr="00ED564E">
              <w:rPr>
                <w:rFonts w:ascii="Arial" w:hAnsi="Arial" w:cs="Arial"/>
                <w:b/>
                <w:sz w:val="20"/>
                <w:szCs w:val="20"/>
              </w:rPr>
              <w:t xml:space="preserve"> efficiency of 8</w:t>
            </w:r>
            <w:r w:rsidR="00AE0D53" w:rsidRPr="00ED564E">
              <w:rPr>
                <w:rFonts w:ascii="Arial" w:hAnsi="Arial" w:cs="Arial"/>
                <w:b/>
                <w:sz w:val="20"/>
                <w:szCs w:val="20"/>
              </w:rPr>
              <w:t>2</w:t>
            </w:r>
            <w:r w:rsidR="00A961E9" w:rsidRPr="00ED564E">
              <w:rPr>
                <w:rFonts w:ascii="Arial" w:hAnsi="Arial" w:cs="Arial"/>
                <w:b/>
                <w:sz w:val="20"/>
                <w:szCs w:val="20"/>
              </w:rPr>
              <w:t>%.</w:t>
            </w:r>
            <w:r w:rsidR="00A961E9" w:rsidRPr="00ED564E">
              <w:rPr>
                <w:rFonts w:ascii="Arial" w:hAnsi="Arial" w:cs="Arial"/>
                <w:b/>
                <w:sz w:val="20"/>
                <w:szCs w:val="20"/>
              </w:rPr>
              <w:br/>
            </w:r>
          </w:p>
          <w:p w:rsidR="00A961E9" w:rsidRPr="00ED564E" w:rsidRDefault="005E4134" w:rsidP="00F97E2B">
            <w:pPr>
              <w:rPr>
                <w:rFonts w:ascii="Arial" w:hAnsi="Arial" w:cs="Arial"/>
                <w:sz w:val="20"/>
                <w:szCs w:val="20"/>
              </w:rPr>
            </w:pPr>
            <w:r w:rsidRPr="00ED564E">
              <w:rPr>
                <w:rFonts w:ascii="Arial" w:hAnsi="Arial" w:cs="Arial"/>
                <w:sz w:val="20"/>
                <w:szCs w:val="20"/>
              </w:rPr>
              <w:t>Source: 201</w:t>
            </w:r>
            <w:r w:rsidR="00AE0D53" w:rsidRPr="00ED564E">
              <w:rPr>
                <w:rFonts w:ascii="Arial" w:hAnsi="Arial" w:cs="Arial"/>
                <w:sz w:val="20"/>
                <w:szCs w:val="20"/>
              </w:rPr>
              <w:t>3 Title 24</w:t>
            </w:r>
          </w:p>
        </w:tc>
        <w:tc>
          <w:tcPr>
            <w:tcW w:w="1727" w:type="pct"/>
            <w:shd w:val="pct5" w:color="000000" w:fill="FFFFFF"/>
          </w:tcPr>
          <w:p w:rsidR="00273D84" w:rsidRPr="00ED564E" w:rsidRDefault="00273D84" w:rsidP="00273D84">
            <w:pPr>
              <w:rPr>
                <w:rFonts w:ascii="Arial" w:hAnsi="Arial" w:cs="Arial"/>
                <w:b/>
                <w:sz w:val="20"/>
                <w:szCs w:val="20"/>
              </w:rPr>
            </w:pPr>
            <w:r w:rsidRPr="00ED564E">
              <w:rPr>
                <w:rFonts w:ascii="Arial" w:hAnsi="Arial" w:cs="Arial"/>
                <w:sz w:val="20"/>
                <w:szCs w:val="20"/>
              </w:rPr>
              <w:t>Process steam boiler with</w:t>
            </w:r>
            <w:r w:rsidRPr="00ED564E">
              <w:rPr>
                <w:rFonts w:ascii="Arial" w:hAnsi="Arial" w:cs="Arial"/>
                <w:b/>
                <w:sz w:val="20"/>
                <w:szCs w:val="20"/>
              </w:rPr>
              <w:t xml:space="preserve"> combustion efficiency of 8</w:t>
            </w:r>
            <w:r w:rsidR="005E4134" w:rsidRPr="00ED564E">
              <w:rPr>
                <w:rFonts w:ascii="Arial" w:hAnsi="Arial" w:cs="Arial"/>
                <w:b/>
                <w:sz w:val="20"/>
                <w:szCs w:val="20"/>
              </w:rPr>
              <w:t>0</w:t>
            </w:r>
            <w:r w:rsidRPr="00ED564E">
              <w:rPr>
                <w:rFonts w:ascii="Arial" w:hAnsi="Arial" w:cs="Arial"/>
                <w:b/>
                <w:sz w:val="20"/>
                <w:szCs w:val="20"/>
              </w:rPr>
              <w:t>%.</w:t>
            </w:r>
            <w:r w:rsidRPr="00ED564E">
              <w:rPr>
                <w:rFonts w:ascii="Arial" w:hAnsi="Arial" w:cs="Arial"/>
                <w:b/>
                <w:sz w:val="20"/>
                <w:szCs w:val="20"/>
              </w:rPr>
              <w:br/>
            </w:r>
          </w:p>
          <w:p w:rsidR="00A961E9" w:rsidRPr="00ED564E" w:rsidRDefault="00273D84" w:rsidP="00F97E2B">
            <w:pPr>
              <w:rPr>
                <w:rFonts w:ascii="Arial" w:hAnsi="Arial" w:cs="Arial"/>
                <w:sz w:val="20"/>
                <w:szCs w:val="20"/>
              </w:rPr>
            </w:pPr>
            <w:r w:rsidRPr="00ED564E">
              <w:rPr>
                <w:rFonts w:ascii="Arial" w:hAnsi="Arial" w:cs="Arial"/>
                <w:sz w:val="20"/>
                <w:szCs w:val="20"/>
              </w:rPr>
              <w:t>Source: 201</w:t>
            </w:r>
            <w:r w:rsidR="00AE0D53" w:rsidRPr="00ED564E">
              <w:rPr>
                <w:rFonts w:ascii="Arial" w:hAnsi="Arial" w:cs="Arial"/>
                <w:sz w:val="20"/>
                <w:szCs w:val="20"/>
              </w:rPr>
              <w:t xml:space="preserve">3 Title 24 and DOE </w:t>
            </w:r>
            <w:r w:rsidR="00C72C78" w:rsidRPr="00ED564E">
              <w:rPr>
                <w:rFonts w:ascii="Arial" w:hAnsi="Arial" w:cs="Arial"/>
                <w:sz w:val="20"/>
                <w:szCs w:val="20"/>
              </w:rPr>
              <w:t>Steam Tip Sheet</w:t>
            </w:r>
          </w:p>
        </w:tc>
      </w:tr>
      <w:tr w:rsidR="00A961E9" w:rsidRPr="00A961E9" w:rsidTr="005E4134">
        <w:trPr>
          <w:trHeight w:val="465"/>
        </w:trPr>
        <w:tc>
          <w:tcPr>
            <w:tcW w:w="1545" w:type="pct"/>
            <w:shd w:val="pct20" w:color="000000" w:fill="FFFFFF"/>
          </w:tcPr>
          <w:p w:rsidR="00A961E9" w:rsidRPr="005E4134" w:rsidRDefault="00A961E9" w:rsidP="00864083">
            <w:pPr>
              <w:rPr>
                <w:rFonts w:ascii="Arial" w:hAnsi="Arial" w:cs="Arial"/>
                <w:b/>
                <w:sz w:val="20"/>
                <w:szCs w:val="20"/>
              </w:rPr>
            </w:pPr>
            <w:r w:rsidRPr="005E4134">
              <w:rPr>
                <w:rFonts w:ascii="Arial" w:hAnsi="Arial" w:cs="Arial"/>
                <w:b/>
                <w:sz w:val="20"/>
                <w:szCs w:val="20"/>
              </w:rPr>
              <w:t xml:space="preserve">Base Case Energy Consumption: </w:t>
            </w:r>
          </w:p>
        </w:tc>
        <w:tc>
          <w:tcPr>
            <w:tcW w:w="1727" w:type="pct"/>
            <w:shd w:val="pct20" w:color="000000" w:fill="FFFFFF"/>
          </w:tcPr>
          <w:p w:rsidR="00A961E9" w:rsidRPr="00ED564E" w:rsidRDefault="005E4134" w:rsidP="00864083">
            <w:pPr>
              <w:rPr>
                <w:rFonts w:ascii="Arial" w:hAnsi="Arial" w:cs="Arial"/>
                <w:b/>
                <w:sz w:val="20"/>
                <w:szCs w:val="20"/>
              </w:rPr>
            </w:pPr>
            <w:r w:rsidRPr="00ED564E">
              <w:rPr>
                <w:rFonts w:ascii="Arial" w:hAnsi="Arial" w:cs="Arial"/>
                <w:b/>
                <w:sz w:val="20"/>
                <w:szCs w:val="20"/>
              </w:rPr>
              <w:t xml:space="preserve">36.7 </w:t>
            </w:r>
            <w:proofErr w:type="spellStart"/>
            <w:r w:rsidRPr="00ED564E">
              <w:rPr>
                <w:rFonts w:ascii="Arial" w:hAnsi="Arial" w:cs="Arial"/>
                <w:b/>
                <w:sz w:val="20"/>
                <w:szCs w:val="20"/>
              </w:rPr>
              <w:t>Therms</w:t>
            </w:r>
            <w:proofErr w:type="spellEnd"/>
            <w:r w:rsidRPr="00ED564E">
              <w:rPr>
                <w:rFonts w:ascii="Arial" w:hAnsi="Arial" w:cs="Arial"/>
                <w:b/>
                <w:sz w:val="20"/>
                <w:szCs w:val="20"/>
              </w:rPr>
              <w:t xml:space="preserve"> / </w:t>
            </w:r>
            <w:proofErr w:type="spellStart"/>
            <w:r w:rsidRPr="00ED564E">
              <w:rPr>
                <w:rFonts w:ascii="Arial" w:hAnsi="Arial" w:cs="Arial"/>
                <w:b/>
                <w:sz w:val="20"/>
                <w:szCs w:val="20"/>
              </w:rPr>
              <w:t>kBTUh</w:t>
            </w:r>
            <w:proofErr w:type="spellEnd"/>
          </w:p>
          <w:p w:rsidR="00A961E9" w:rsidRPr="00ED564E" w:rsidRDefault="00A961E9" w:rsidP="0066794C">
            <w:pPr>
              <w:rPr>
                <w:rFonts w:ascii="Arial" w:hAnsi="Arial" w:cs="Arial"/>
                <w:sz w:val="20"/>
                <w:szCs w:val="20"/>
              </w:rPr>
            </w:pPr>
          </w:p>
          <w:p w:rsidR="00A961E9" w:rsidRPr="00ED564E" w:rsidRDefault="00A961E9" w:rsidP="0066794C">
            <w:pPr>
              <w:rPr>
                <w:rFonts w:ascii="Arial" w:hAnsi="Arial" w:cs="Arial"/>
                <w:sz w:val="20"/>
                <w:szCs w:val="20"/>
              </w:rPr>
            </w:pPr>
            <w:r w:rsidRPr="00ED564E">
              <w:rPr>
                <w:rFonts w:ascii="Arial" w:hAnsi="Arial" w:cs="Arial"/>
                <w:sz w:val="20"/>
                <w:szCs w:val="20"/>
              </w:rPr>
              <w:t xml:space="preserve">Source: </w:t>
            </w:r>
            <w:r w:rsidR="00954F35" w:rsidRPr="00ED564E">
              <w:rPr>
                <w:rFonts w:ascii="Arial" w:hAnsi="Arial" w:cs="Arial"/>
                <w:sz w:val="20"/>
                <w:szCs w:val="20"/>
              </w:rPr>
              <w:t>Engineering</w:t>
            </w:r>
            <w:r w:rsidR="00273D84" w:rsidRPr="00ED564E">
              <w:rPr>
                <w:rFonts w:ascii="Arial" w:hAnsi="Arial" w:cs="Arial"/>
                <w:sz w:val="20"/>
                <w:szCs w:val="20"/>
              </w:rPr>
              <w:t xml:space="preserve"> Calculations</w:t>
            </w:r>
          </w:p>
        </w:tc>
        <w:tc>
          <w:tcPr>
            <w:tcW w:w="1727" w:type="pct"/>
            <w:shd w:val="pct20" w:color="000000" w:fill="FFFFFF"/>
          </w:tcPr>
          <w:p w:rsidR="005E4134" w:rsidRPr="00ED564E" w:rsidRDefault="005E4134" w:rsidP="005E4134">
            <w:pPr>
              <w:rPr>
                <w:rFonts w:ascii="Arial" w:hAnsi="Arial" w:cs="Arial"/>
                <w:b/>
                <w:sz w:val="20"/>
                <w:szCs w:val="20"/>
              </w:rPr>
            </w:pPr>
            <w:r w:rsidRPr="00ED564E">
              <w:rPr>
                <w:rFonts w:ascii="Arial" w:hAnsi="Arial" w:cs="Arial"/>
                <w:b/>
                <w:sz w:val="20"/>
                <w:szCs w:val="20"/>
              </w:rPr>
              <w:t xml:space="preserve">36.7 </w:t>
            </w:r>
            <w:proofErr w:type="spellStart"/>
            <w:r w:rsidRPr="00ED564E">
              <w:rPr>
                <w:rFonts w:ascii="Arial" w:hAnsi="Arial" w:cs="Arial"/>
                <w:b/>
                <w:sz w:val="20"/>
                <w:szCs w:val="20"/>
              </w:rPr>
              <w:t>Therms</w:t>
            </w:r>
            <w:proofErr w:type="spellEnd"/>
            <w:r w:rsidRPr="00ED564E">
              <w:rPr>
                <w:rFonts w:ascii="Arial" w:hAnsi="Arial" w:cs="Arial"/>
                <w:b/>
                <w:sz w:val="20"/>
                <w:szCs w:val="20"/>
              </w:rPr>
              <w:t xml:space="preserve"> / </w:t>
            </w:r>
            <w:proofErr w:type="spellStart"/>
            <w:r w:rsidRPr="00ED564E">
              <w:rPr>
                <w:rFonts w:ascii="Arial" w:hAnsi="Arial" w:cs="Arial"/>
                <w:b/>
                <w:sz w:val="20"/>
                <w:szCs w:val="20"/>
              </w:rPr>
              <w:t>kBTUh</w:t>
            </w:r>
            <w:proofErr w:type="spellEnd"/>
          </w:p>
          <w:p w:rsidR="00A961E9" w:rsidRPr="00ED564E" w:rsidRDefault="00A961E9" w:rsidP="00864083">
            <w:pPr>
              <w:rPr>
                <w:rFonts w:ascii="Arial" w:hAnsi="Arial" w:cs="Arial"/>
                <w:sz w:val="20"/>
                <w:szCs w:val="20"/>
              </w:rPr>
            </w:pPr>
          </w:p>
          <w:p w:rsidR="00A961E9" w:rsidRPr="00ED564E" w:rsidRDefault="00954F35" w:rsidP="00864083">
            <w:pPr>
              <w:rPr>
                <w:rFonts w:ascii="Arial" w:hAnsi="Arial" w:cs="Arial"/>
                <w:sz w:val="20"/>
                <w:szCs w:val="20"/>
              </w:rPr>
            </w:pPr>
            <w:r w:rsidRPr="00ED564E">
              <w:rPr>
                <w:rFonts w:ascii="Arial" w:hAnsi="Arial" w:cs="Arial"/>
                <w:sz w:val="20"/>
                <w:szCs w:val="20"/>
              </w:rPr>
              <w:t>Source: Engineering Calculations</w:t>
            </w:r>
          </w:p>
        </w:tc>
      </w:tr>
      <w:tr w:rsidR="00A961E9" w:rsidRPr="00A961E9" w:rsidTr="005E4134">
        <w:trPr>
          <w:trHeight w:val="465"/>
        </w:trPr>
        <w:tc>
          <w:tcPr>
            <w:tcW w:w="1545" w:type="pct"/>
            <w:shd w:val="pct5" w:color="000000" w:fill="FFFFFF"/>
          </w:tcPr>
          <w:p w:rsidR="00A961E9" w:rsidRPr="005E4134" w:rsidRDefault="00A961E9" w:rsidP="00864083">
            <w:pPr>
              <w:rPr>
                <w:rFonts w:ascii="Arial" w:hAnsi="Arial" w:cs="Arial"/>
                <w:b/>
                <w:sz w:val="20"/>
                <w:szCs w:val="20"/>
              </w:rPr>
            </w:pPr>
            <w:r w:rsidRPr="005E4134">
              <w:rPr>
                <w:rFonts w:ascii="Arial" w:hAnsi="Arial" w:cs="Arial"/>
                <w:b/>
                <w:sz w:val="20"/>
                <w:szCs w:val="20"/>
              </w:rPr>
              <w:t>Measure Energy Consumption:</w:t>
            </w:r>
          </w:p>
        </w:tc>
        <w:tc>
          <w:tcPr>
            <w:tcW w:w="1727" w:type="pct"/>
            <w:shd w:val="pct5" w:color="000000" w:fill="FFFFFF"/>
          </w:tcPr>
          <w:p w:rsidR="005E4134" w:rsidRPr="00ED564E" w:rsidRDefault="00AE0D53" w:rsidP="005E4134">
            <w:pPr>
              <w:rPr>
                <w:rFonts w:ascii="Arial" w:hAnsi="Arial" w:cs="Arial"/>
                <w:b/>
                <w:sz w:val="20"/>
                <w:szCs w:val="20"/>
              </w:rPr>
            </w:pPr>
            <w:r w:rsidRPr="00ED564E">
              <w:rPr>
                <w:rFonts w:ascii="Arial" w:hAnsi="Arial" w:cs="Arial"/>
                <w:b/>
                <w:sz w:val="20"/>
                <w:szCs w:val="20"/>
              </w:rPr>
              <w:t>33.</w:t>
            </w:r>
            <w:r w:rsidR="00ED564E">
              <w:rPr>
                <w:rFonts w:ascii="Arial" w:hAnsi="Arial" w:cs="Arial"/>
                <w:b/>
                <w:sz w:val="20"/>
                <w:szCs w:val="20"/>
              </w:rPr>
              <w:t>6</w:t>
            </w:r>
            <w:r w:rsidR="005E4134" w:rsidRPr="00ED564E">
              <w:rPr>
                <w:rFonts w:ascii="Arial" w:hAnsi="Arial" w:cs="Arial"/>
                <w:b/>
                <w:sz w:val="20"/>
                <w:szCs w:val="20"/>
              </w:rPr>
              <w:t xml:space="preserve"> </w:t>
            </w:r>
            <w:proofErr w:type="spellStart"/>
            <w:r w:rsidR="005E4134" w:rsidRPr="00ED564E">
              <w:rPr>
                <w:rFonts w:ascii="Arial" w:hAnsi="Arial" w:cs="Arial"/>
                <w:b/>
                <w:sz w:val="20"/>
                <w:szCs w:val="20"/>
              </w:rPr>
              <w:t>Therms</w:t>
            </w:r>
            <w:proofErr w:type="spellEnd"/>
            <w:r w:rsidR="005E4134" w:rsidRPr="00ED564E">
              <w:rPr>
                <w:rFonts w:ascii="Arial" w:hAnsi="Arial" w:cs="Arial"/>
                <w:b/>
                <w:sz w:val="20"/>
                <w:szCs w:val="20"/>
              </w:rPr>
              <w:t xml:space="preserve"> / </w:t>
            </w:r>
            <w:proofErr w:type="spellStart"/>
            <w:r w:rsidR="005E4134" w:rsidRPr="00ED564E">
              <w:rPr>
                <w:rFonts w:ascii="Arial" w:hAnsi="Arial" w:cs="Arial"/>
                <w:b/>
                <w:sz w:val="20"/>
                <w:szCs w:val="20"/>
              </w:rPr>
              <w:t>kBTUh</w:t>
            </w:r>
            <w:proofErr w:type="spellEnd"/>
          </w:p>
          <w:p w:rsidR="00A961E9" w:rsidRPr="00ED564E" w:rsidRDefault="00A961E9" w:rsidP="00864083">
            <w:pPr>
              <w:rPr>
                <w:rFonts w:ascii="Arial" w:hAnsi="Arial" w:cs="Arial"/>
                <w:sz w:val="20"/>
                <w:szCs w:val="20"/>
              </w:rPr>
            </w:pPr>
          </w:p>
          <w:p w:rsidR="00A961E9" w:rsidRPr="00ED564E" w:rsidRDefault="00954F35" w:rsidP="00670235">
            <w:pPr>
              <w:rPr>
                <w:rFonts w:ascii="Arial" w:hAnsi="Arial" w:cs="Arial"/>
                <w:sz w:val="20"/>
                <w:szCs w:val="20"/>
              </w:rPr>
            </w:pPr>
            <w:r w:rsidRPr="00ED564E">
              <w:rPr>
                <w:rFonts w:ascii="Arial" w:hAnsi="Arial" w:cs="Arial"/>
                <w:sz w:val="20"/>
                <w:szCs w:val="20"/>
              </w:rPr>
              <w:t>Source: Engineering Calculations</w:t>
            </w:r>
          </w:p>
        </w:tc>
        <w:tc>
          <w:tcPr>
            <w:tcW w:w="1727" w:type="pct"/>
            <w:shd w:val="pct5" w:color="000000" w:fill="FFFFFF"/>
          </w:tcPr>
          <w:p w:rsidR="005E4134" w:rsidRPr="00ED564E" w:rsidRDefault="005E4134" w:rsidP="005E4134">
            <w:pPr>
              <w:rPr>
                <w:rFonts w:ascii="Arial" w:hAnsi="Arial" w:cs="Arial"/>
                <w:b/>
                <w:sz w:val="20"/>
                <w:szCs w:val="20"/>
              </w:rPr>
            </w:pPr>
            <w:r w:rsidRPr="00ED564E">
              <w:rPr>
                <w:rFonts w:ascii="Arial" w:hAnsi="Arial" w:cs="Arial"/>
                <w:b/>
                <w:sz w:val="20"/>
                <w:szCs w:val="20"/>
              </w:rPr>
              <w:t>3</w:t>
            </w:r>
            <w:r w:rsidR="00ED564E">
              <w:rPr>
                <w:rFonts w:ascii="Arial" w:hAnsi="Arial" w:cs="Arial"/>
                <w:b/>
                <w:sz w:val="20"/>
                <w:szCs w:val="20"/>
              </w:rPr>
              <w:t>4.8</w:t>
            </w:r>
            <w:r w:rsidRPr="00ED564E">
              <w:rPr>
                <w:rFonts w:ascii="Arial" w:hAnsi="Arial" w:cs="Arial"/>
                <w:b/>
                <w:sz w:val="20"/>
                <w:szCs w:val="20"/>
              </w:rPr>
              <w:t xml:space="preserve"> </w:t>
            </w:r>
            <w:proofErr w:type="spellStart"/>
            <w:r w:rsidRPr="00ED564E">
              <w:rPr>
                <w:rFonts w:ascii="Arial" w:hAnsi="Arial" w:cs="Arial"/>
                <w:b/>
                <w:sz w:val="20"/>
                <w:szCs w:val="20"/>
              </w:rPr>
              <w:t>Therms</w:t>
            </w:r>
            <w:proofErr w:type="spellEnd"/>
            <w:r w:rsidRPr="00ED564E">
              <w:rPr>
                <w:rFonts w:ascii="Arial" w:hAnsi="Arial" w:cs="Arial"/>
                <w:b/>
                <w:sz w:val="20"/>
                <w:szCs w:val="20"/>
              </w:rPr>
              <w:t xml:space="preserve"> / </w:t>
            </w:r>
            <w:proofErr w:type="spellStart"/>
            <w:r w:rsidRPr="00ED564E">
              <w:rPr>
                <w:rFonts w:ascii="Arial" w:hAnsi="Arial" w:cs="Arial"/>
                <w:b/>
                <w:sz w:val="20"/>
                <w:szCs w:val="20"/>
              </w:rPr>
              <w:t>kBTUh</w:t>
            </w:r>
            <w:proofErr w:type="spellEnd"/>
          </w:p>
          <w:p w:rsidR="00A961E9" w:rsidRPr="00ED564E" w:rsidRDefault="00A961E9" w:rsidP="00864083">
            <w:pPr>
              <w:rPr>
                <w:rFonts w:ascii="Arial" w:hAnsi="Arial" w:cs="Arial"/>
                <w:sz w:val="20"/>
                <w:szCs w:val="20"/>
              </w:rPr>
            </w:pPr>
          </w:p>
          <w:p w:rsidR="00A961E9" w:rsidRPr="00ED564E" w:rsidRDefault="00954F35" w:rsidP="00670235">
            <w:pPr>
              <w:rPr>
                <w:rFonts w:ascii="Arial" w:hAnsi="Arial" w:cs="Arial"/>
                <w:sz w:val="20"/>
                <w:szCs w:val="20"/>
              </w:rPr>
            </w:pPr>
            <w:r w:rsidRPr="00ED564E">
              <w:rPr>
                <w:rFonts w:ascii="Arial" w:hAnsi="Arial" w:cs="Arial"/>
                <w:sz w:val="20"/>
                <w:szCs w:val="20"/>
              </w:rPr>
              <w:t>Source: Engineering Calculations</w:t>
            </w:r>
          </w:p>
        </w:tc>
      </w:tr>
      <w:tr w:rsidR="005E4134" w:rsidRPr="00A961E9" w:rsidTr="005E4134">
        <w:trPr>
          <w:trHeight w:val="465"/>
        </w:trPr>
        <w:tc>
          <w:tcPr>
            <w:tcW w:w="1545" w:type="pct"/>
            <w:shd w:val="pct20" w:color="000000" w:fill="FFFFFF"/>
          </w:tcPr>
          <w:p w:rsidR="005E4134" w:rsidRPr="005E4134" w:rsidRDefault="005E4134" w:rsidP="00864083">
            <w:pPr>
              <w:rPr>
                <w:rFonts w:ascii="Arial" w:hAnsi="Arial" w:cs="Arial"/>
                <w:b/>
                <w:sz w:val="20"/>
                <w:szCs w:val="20"/>
              </w:rPr>
            </w:pPr>
            <w:r w:rsidRPr="005E4134">
              <w:rPr>
                <w:rFonts w:ascii="Arial" w:hAnsi="Arial" w:cs="Arial"/>
                <w:b/>
                <w:sz w:val="20"/>
                <w:szCs w:val="20"/>
              </w:rPr>
              <w:t>Energy Savings (Base Case – Measure)</w:t>
            </w:r>
          </w:p>
        </w:tc>
        <w:tc>
          <w:tcPr>
            <w:tcW w:w="1727" w:type="pct"/>
            <w:shd w:val="pct20" w:color="000000" w:fill="FFFFFF"/>
          </w:tcPr>
          <w:p w:rsidR="005E4134" w:rsidRPr="00ED564E" w:rsidRDefault="00ED564E" w:rsidP="005E4134">
            <w:pPr>
              <w:rPr>
                <w:rFonts w:ascii="Arial" w:hAnsi="Arial" w:cs="Arial"/>
                <w:b/>
                <w:sz w:val="20"/>
                <w:szCs w:val="20"/>
              </w:rPr>
            </w:pPr>
            <w:r>
              <w:rPr>
                <w:rFonts w:ascii="Arial" w:hAnsi="Arial" w:cs="Arial"/>
                <w:b/>
                <w:sz w:val="20"/>
                <w:szCs w:val="20"/>
              </w:rPr>
              <w:t xml:space="preserve">3.1 </w:t>
            </w:r>
            <w:proofErr w:type="spellStart"/>
            <w:r w:rsidR="005E4134" w:rsidRPr="00ED564E">
              <w:rPr>
                <w:rFonts w:ascii="Arial" w:hAnsi="Arial" w:cs="Arial"/>
                <w:b/>
                <w:sz w:val="20"/>
                <w:szCs w:val="20"/>
              </w:rPr>
              <w:t>Therms</w:t>
            </w:r>
            <w:proofErr w:type="spellEnd"/>
            <w:r w:rsidR="005E4134" w:rsidRPr="00ED564E">
              <w:rPr>
                <w:rFonts w:ascii="Arial" w:hAnsi="Arial" w:cs="Arial"/>
                <w:b/>
                <w:sz w:val="20"/>
                <w:szCs w:val="20"/>
              </w:rPr>
              <w:t xml:space="preserve"> / </w:t>
            </w:r>
            <w:proofErr w:type="spellStart"/>
            <w:r w:rsidR="005E4134" w:rsidRPr="00ED564E">
              <w:rPr>
                <w:rFonts w:ascii="Arial" w:hAnsi="Arial" w:cs="Arial"/>
                <w:b/>
                <w:sz w:val="20"/>
                <w:szCs w:val="20"/>
              </w:rPr>
              <w:t>kBTUh</w:t>
            </w:r>
            <w:proofErr w:type="spellEnd"/>
          </w:p>
          <w:p w:rsidR="005E4134" w:rsidRPr="00ED564E" w:rsidRDefault="005E4134" w:rsidP="005E4134">
            <w:pPr>
              <w:rPr>
                <w:rFonts w:ascii="Arial" w:hAnsi="Arial" w:cs="Arial"/>
                <w:sz w:val="20"/>
                <w:szCs w:val="20"/>
              </w:rPr>
            </w:pPr>
          </w:p>
          <w:p w:rsidR="005E4134" w:rsidRPr="00ED564E" w:rsidRDefault="00954F35" w:rsidP="005E4134">
            <w:pPr>
              <w:rPr>
                <w:rFonts w:ascii="Arial" w:hAnsi="Arial" w:cs="Arial"/>
                <w:sz w:val="20"/>
                <w:szCs w:val="20"/>
              </w:rPr>
            </w:pPr>
            <w:r w:rsidRPr="00ED564E">
              <w:rPr>
                <w:rFonts w:ascii="Arial" w:hAnsi="Arial" w:cs="Arial"/>
                <w:sz w:val="20"/>
                <w:szCs w:val="20"/>
              </w:rPr>
              <w:t>Source: Engineering Calculations</w:t>
            </w:r>
          </w:p>
        </w:tc>
        <w:tc>
          <w:tcPr>
            <w:tcW w:w="1727" w:type="pct"/>
            <w:shd w:val="pct20" w:color="000000" w:fill="FFFFFF"/>
          </w:tcPr>
          <w:p w:rsidR="005E4134" w:rsidRPr="00ED564E" w:rsidRDefault="00ED564E" w:rsidP="005E4134">
            <w:pPr>
              <w:rPr>
                <w:rFonts w:ascii="Arial" w:hAnsi="Arial" w:cs="Arial"/>
                <w:b/>
                <w:sz w:val="20"/>
                <w:szCs w:val="20"/>
              </w:rPr>
            </w:pPr>
            <w:r>
              <w:rPr>
                <w:rFonts w:ascii="Arial" w:hAnsi="Arial" w:cs="Arial"/>
                <w:b/>
                <w:sz w:val="20"/>
                <w:szCs w:val="20"/>
              </w:rPr>
              <w:t>1.9</w:t>
            </w:r>
            <w:r w:rsidR="005E4134" w:rsidRPr="00ED564E">
              <w:rPr>
                <w:rFonts w:ascii="Arial" w:hAnsi="Arial" w:cs="Arial"/>
                <w:b/>
                <w:sz w:val="20"/>
                <w:szCs w:val="20"/>
              </w:rPr>
              <w:t xml:space="preserve"> </w:t>
            </w:r>
            <w:proofErr w:type="spellStart"/>
            <w:r w:rsidR="005E4134" w:rsidRPr="00ED564E">
              <w:rPr>
                <w:rFonts w:ascii="Arial" w:hAnsi="Arial" w:cs="Arial"/>
                <w:b/>
                <w:sz w:val="20"/>
                <w:szCs w:val="20"/>
              </w:rPr>
              <w:t>Therms</w:t>
            </w:r>
            <w:proofErr w:type="spellEnd"/>
            <w:r w:rsidR="005E4134" w:rsidRPr="00ED564E">
              <w:rPr>
                <w:rFonts w:ascii="Arial" w:hAnsi="Arial" w:cs="Arial"/>
                <w:b/>
                <w:sz w:val="20"/>
                <w:szCs w:val="20"/>
              </w:rPr>
              <w:t xml:space="preserve"> / </w:t>
            </w:r>
            <w:proofErr w:type="spellStart"/>
            <w:r w:rsidR="005E4134" w:rsidRPr="00ED564E">
              <w:rPr>
                <w:rFonts w:ascii="Arial" w:hAnsi="Arial" w:cs="Arial"/>
                <w:b/>
                <w:sz w:val="20"/>
                <w:szCs w:val="20"/>
              </w:rPr>
              <w:t>kBTUh</w:t>
            </w:r>
            <w:proofErr w:type="spellEnd"/>
          </w:p>
          <w:p w:rsidR="005E4134" w:rsidRPr="00ED564E" w:rsidRDefault="005E4134" w:rsidP="005E4134">
            <w:pPr>
              <w:rPr>
                <w:rFonts w:ascii="Arial" w:hAnsi="Arial" w:cs="Arial"/>
                <w:sz w:val="20"/>
                <w:szCs w:val="20"/>
              </w:rPr>
            </w:pPr>
          </w:p>
          <w:p w:rsidR="005E4134" w:rsidRPr="00ED564E" w:rsidRDefault="00954F35" w:rsidP="005E4134">
            <w:pPr>
              <w:rPr>
                <w:rFonts w:ascii="Arial" w:hAnsi="Arial" w:cs="Arial"/>
                <w:sz w:val="20"/>
                <w:szCs w:val="20"/>
              </w:rPr>
            </w:pPr>
            <w:r w:rsidRPr="00ED564E">
              <w:rPr>
                <w:rFonts w:ascii="Arial" w:hAnsi="Arial" w:cs="Arial"/>
                <w:sz w:val="20"/>
                <w:szCs w:val="20"/>
              </w:rPr>
              <w:t>Source: Engineering Calculations</w:t>
            </w:r>
          </w:p>
        </w:tc>
      </w:tr>
      <w:tr w:rsidR="00A961E9" w:rsidRPr="00A961E9" w:rsidTr="005E4134">
        <w:trPr>
          <w:trHeight w:val="465"/>
        </w:trPr>
        <w:tc>
          <w:tcPr>
            <w:tcW w:w="1545" w:type="pct"/>
            <w:shd w:val="pct5" w:color="000000" w:fill="FFFFFF"/>
          </w:tcPr>
          <w:p w:rsidR="00A961E9" w:rsidRPr="00D96694" w:rsidRDefault="00A961E9" w:rsidP="00864083">
            <w:pPr>
              <w:rPr>
                <w:rFonts w:ascii="Arial" w:hAnsi="Arial" w:cs="Arial"/>
                <w:b/>
                <w:sz w:val="20"/>
                <w:szCs w:val="20"/>
              </w:rPr>
            </w:pPr>
            <w:r w:rsidRPr="00D96694">
              <w:rPr>
                <w:rFonts w:ascii="Arial" w:hAnsi="Arial" w:cs="Arial"/>
                <w:b/>
                <w:sz w:val="20"/>
                <w:szCs w:val="20"/>
              </w:rPr>
              <w:t xml:space="preserve">Costs Common Units: </w:t>
            </w:r>
          </w:p>
        </w:tc>
        <w:tc>
          <w:tcPr>
            <w:tcW w:w="1727" w:type="pct"/>
            <w:shd w:val="pct5" w:color="000000" w:fill="FFFFFF"/>
          </w:tcPr>
          <w:p w:rsidR="00A961E9" w:rsidRPr="00ED564E" w:rsidRDefault="00A961E9" w:rsidP="00C7036F">
            <w:pPr>
              <w:rPr>
                <w:rFonts w:ascii="Arial" w:hAnsi="Arial" w:cs="Arial"/>
                <w:sz w:val="20"/>
                <w:szCs w:val="20"/>
              </w:rPr>
            </w:pPr>
            <w:r w:rsidRPr="00ED564E">
              <w:rPr>
                <w:rFonts w:ascii="Arial" w:hAnsi="Arial" w:cs="Arial"/>
                <w:sz w:val="20"/>
                <w:szCs w:val="20"/>
              </w:rPr>
              <w:t xml:space="preserve">Per </w:t>
            </w:r>
            <w:proofErr w:type="spellStart"/>
            <w:r w:rsidRPr="00ED564E">
              <w:rPr>
                <w:rFonts w:ascii="Arial" w:hAnsi="Arial" w:cs="Arial"/>
                <w:sz w:val="20"/>
                <w:szCs w:val="20"/>
              </w:rPr>
              <w:t>kBTUh</w:t>
            </w:r>
            <w:proofErr w:type="spellEnd"/>
            <w:r w:rsidRPr="00ED564E">
              <w:rPr>
                <w:rFonts w:ascii="Arial" w:hAnsi="Arial" w:cs="Arial"/>
                <w:sz w:val="20"/>
                <w:szCs w:val="20"/>
              </w:rPr>
              <w:t xml:space="preserve"> of boiler rated input</w:t>
            </w:r>
          </w:p>
        </w:tc>
        <w:tc>
          <w:tcPr>
            <w:tcW w:w="1727" w:type="pct"/>
            <w:shd w:val="pct5" w:color="000000" w:fill="FFFFFF"/>
          </w:tcPr>
          <w:p w:rsidR="00A961E9" w:rsidRPr="00ED564E" w:rsidRDefault="00A961E9" w:rsidP="00165364">
            <w:pPr>
              <w:rPr>
                <w:rFonts w:ascii="Arial" w:hAnsi="Arial" w:cs="Arial"/>
                <w:sz w:val="20"/>
                <w:szCs w:val="20"/>
              </w:rPr>
            </w:pPr>
            <w:r w:rsidRPr="00ED564E">
              <w:rPr>
                <w:rFonts w:ascii="Arial" w:hAnsi="Arial" w:cs="Arial"/>
                <w:sz w:val="20"/>
                <w:szCs w:val="20"/>
              </w:rPr>
              <w:t xml:space="preserve">Per </w:t>
            </w:r>
            <w:proofErr w:type="spellStart"/>
            <w:r w:rsidRPr="00ED564E">
              <w:rPr>
                <w:rFonts w:ascii="Arial" w:hAnsi="Arial" w:cs="Arial"/>
                <w:sz w:val="20"/>
                <w:szCs w:val="20"/>
              </w:rPr>
              <w:t>kBTUh</w:t>
            </w:r>
            <w:proofErr w:type="spellEnd"/>
            <w:r w:rsidRPr="00ED564E">
              <w:rPr>
                <w:rFonts w:ascii="Arial" w:hAnsi="Arial" w:cs="Arial"/>
                <w:sz w:val="20"/>
                <w:szCs w:val="20"/>
              </w:rPr>
              <w:t xml:space="preserve"> of boiler rated input</w:t>
            </w:r>
          </w:p>
        </w:tc>
      </w:tr>
      <w:tr w:rsidR="00A961E9" w:rsidRPr="00A961E9" w:rsidTr="005E4134">
        <w:trPr>
          <w:trHeight w:val="465"/>
        </w:trPr>
        <w:tc>
          <w:tcPr>
            <w:tcW w:w="1545" w:type="pct"/>
            <w:shd w:val="pct20" w:color="000000" w:fill="FFFFFF"/>
          </w:tcPr>
          <w:p w:rsidR="00A961E9" w:rsidRPr="00D96694" w:rsidRDefault="00A961E9" w:rsidP="00864083">
            <w:pPr>
              <w:rPr>
                <w:rFonts w:ascii="Arial" w:hAnsi="Arial" w:cs="Arial"/>
                <w:b/>
                <w:sz w:val="20"/>
                <w:szCs w:val="20"/>
              </w:rPr>
            </w:pPr>
            <w:r w:rsidRPr="00D96694">
              <w:rPr>
                <w:rFonts w:ascii="Arial" w:hAnsi="Arial" w:cs="Arial"/>
                <w:b/>
                <w:sz w:val="20"/>
                <w:szCs w:val="20"/>
              </w:rPr>
              <w:t>Base Case Equipment Cost ($/unit):</w:t>
            </w:r>
          </w:p>
        </w:tc>
        <w:tc>
          <w:tcPr>
            <w:tcW w:w="1727" w:type="pct"/>
            <w:shd w:val="pct20" w:color="000000" w:fill="FFFFFF"/>
            <w:vAlign w:val="center"/>
          </w:tcPr>
          <w:p w:rsidR="00C97869" w:rsidRPr="00ED564E" w:rsidRDefault="00C97869" w:rsidP="00C97869">
            <w:pPr>
              <w:rPr>
                <w:rFonts w:ascii="Arial" w:hAnsi="Arial" w:cs="Arial"/>
                <w:sz w:val="20"/>
                <w:szCs w:val="20"/>
              </w:rPr>
            </w:pPr>
            <w:r w:rsidRPr="00ED564E">
              <w:rPr>
                <w:rFonts w:ascii="Arial" w:hAnsi="Arial" w:cs="Arial"/>
                <w:b/>
                <w:sz w:val="20"/>
                <w:szCs w:val="20"/>
              </w:rPr>
              <w:t>$</w:t>
            </w:r>
            <w:r w:rsidR="00ED564E">
              <w:rPr>
                <w:rFonts w:ascii="Arial" w:hAnsi="Arial" w:cs="Arial"/>
                <w:b/>
                <w:sz w:val="20"/>
                <w:szCs w:val="20"/>
              </w:rPr>
              <w:t>12.22/</w:t>
            </w:r>
            <w:proofErr w:type="spellStart"/>
            <w:r w:rsidRPr="00ED564E">
              <w:rPr>
                <w:rFonts w:ascii="Arial" w:hAnsi="Arial" w:cs="Arial"/>
                <w:b/>
                <w:sz w:val="20"/>
                <w:szCs w:val="20"/>
              </w:rPr>
              <w:t>kBTUh</w:t>
            </w:r>
            <w:proofErr w:type="spellEnd"/>
            <w:r w:rsidRPr="00ED564E">
              <w:rPr>
                <w:rFonts w:ascii="Arial" w:hAnsi="Arial" w:cs="Arial"/>
                <w:sz w:val="20"/>
                <w:szCs w:val="20"/>
              </w:rPr>
              <w:t xml:space="preserve"> </w:t>
            </w:r>
          </w:p>
          <w:p w:rsidR="00A961E9" w:rsidRPr="00ED564E" w:rsidRDefault="00486B45" w:rsidP="00ED564E">
            <w:pPr>
              <w:rPr>
                <w:rFonts w:ascii="Arial" w:hAnsi="Arial" w:cs="Arial"/>
                <w:b/>
                <w:sz w:val="20"/>
                <w:szCs w:val="20"/>
              </w:rPr>
            </w:pPr>
            <w:r w:rsidRPr="00ED564E">
              <w:rPr>
                <w:rFonts w:ascii="Arial" w:hAnsi="Arial" w:cs="Arial"/>
                <w:sz w:val="20"/>
                <w:szCs w:val="20"/>
              </w:rPr>
              <w:t xml:space="preserve">Source:  </w:t>
            </w:r>
            <w:r w:rsidR="00ED564E">
              <w:rPr>
                <w:rFonts w:ascii="Arial" w:hAnsi="Arial" w:cs="Arial"/>
                <w:sz w:val="20"/>
                <w:szCs w:val="20"/>
              </w:rPr>
              <w:t>SCG WP 2012 Data</w:t>
            </w:r>
          </w:p>
        </w:tc>
        <w:tc>
          <w:tcPr>
            <w:tcW w:w="1727" w:type="pct"/>
            <w:shd w:val="pct20" w:color="000000" w:fill="FFFFFF"/>
            <w:vAlign w:val="center"/>
          </w:tcPr>
          <w:p w:rsidR="00C97869" w:rsidRPr="00ED564E" w:rsidRDefault="00486B45" w:rsidP="00C97869">
            <w:pPr>
              <w:rPr>
                <w:rFonts w:ascii="Arial" w:hAnsi="Arial" w:cs="Arial"/>
                <w:sz w:val="20"/>
                <w:szCs w:val="20"/>
              </w:rPr>
            </w:pPr>
            <w:r w:rsidRPr="00ED564E">
              <w:rPr>
                <w:rFonts w:ascii="Arial" w:hAnsi="Arial" w:cs="Arial"/>
                <w:b/>
                <w:sz w:val="20"/>
                <w:szCs w:val="20"/>
              </w:rPr>
              <w:t>$1</w:t>
            </w:r>
            <w:r w:rsidR="00ED564E">
              <w:rPr>
                <w:rFonts w:ascii="Arial" w:hAnsi="Arial" w:cs="Arial"/>
                <w:b/>
                <w:sz w:val="20"/>
                <w:szCs w:val="20"/>
              </w:rPr>
              <w:t>4.89</w:t>
            </w:r>
            <w:r w:rsidR="00C97869" w:rsidRPr="00ED564E">
              <w:rPr>
                <w:rFonts w:ascii="Arial" w:hAnsi="Arial" w:cs="Arial"/>
                <w:b/>
                <w:sz w:val="20"/>
                <w:szCs w:val="20"/>
              </w:rPr>
              <w:t>/</w:t>
            </w:r>
            <w:proofErr w:type="spellStart"/>
            <w:r w:rsidR="00C97869" w:rsidRPr="00ED564E">
              <w:rPr>
                <w:rFonts w:ascii="Arial" w:hAnsi="Arial" w:cs="Arial"/>
                <w:b/>
                <w:sz w:val="20"/>
                <w:szCs w:val="20"/>
              </w:rPr>
              <w:t>kBTUh</w:t>
            </w:r>
            <w:proofErr w:type="spellEnd"/>
          </w:p>
          <w:p w:rsidR="00A961E9" w:rsidRPr="00ED564E" w:rsidRDefault="00486B45" w:rsidP="00486B45">
            <w:pPr>
              <w:rPr>
                <w:rFonts w:ascii="Arial" w:hAnsi="Arial" w:cs="Arial"/>
                <w:b/>
                <w:sz w:val="20"/>
                <w:szCs w:val="20"/>
              </w:rPr>
            </w:pPr>
            <w:r w:rsidRPr="00ED564E">
              <w:rPr>
                <w:rFonts w:ascii="Arial" w:hAnsi="Arial" w:cs="Arial"/>
                <w:sz w:val="20"/>
                <w:szCs w:val="20"/>
              </w:rPr>
              <w:t xml:space="preserve">Source:  </w:t>
            </w:r>
            <w:r w:rsidR="00ED564E">
              <w:rPr>
                <w:rFonts w:ascii="Arial" w:hAnsi="Arial" w:cs="Arial"/>
                <w:sz w:val="20"/>
                <w:szCs w:val="20"/>
              </w:rPr>
              <w:t>SCG WP 2012 Data</w:t>
            </w:r>
          </w:p>
        </w:tc>
      </w:tr>
      <w:tr w:rsidR="00A961E9" w:rsidRPr="00A961E9" w:rsidTr="005E4134">
        <w:trPr>
          <w:trHeight w:val="465"/>
        </w:trPr>
        <w:tc>
          <w:tcPr>
            <w:tcW w:w="1545" w:type="pct"/>
            <w:shd w:val="pct5" w:color="000000" w:fill="FFFFFF"/>
          </w:tcPr>
          <w:p w:rsidR="00A961E9" w:rsidRPr="00D96694" w:rsidRDefault="00A961E9" w:rsidP="00864083">
            <w:pPr>
              <w:rPr>
                <w:rFonts w:ascii="Arial" w:hAnsi="Arial" w:cs="Arial"/>
                <w:b/>
                <w:sz w:val="20"/>
                <w:szCs w:val="20"/>
              </w:rPr>
            </w:pPr>
            <w:r w:rsidRPr="00D96694">
              <w:rPr>
                <w:rFonts w:ascii="Arial" w:hAnsi="Arial" w:cs="Arial"/>
                <w:b/>
                <w:sz w:val="20"/>
                <w:szCs w:val="20"/>
              </w:rPr>
              <w:t xml:space="preserve">Measure Equipment Cost ($/unit): </w:t>
            </w:r>
          </w:p>
        </w:tc>
        <w:tc>
          <w:tcPr>
            <w:tcW w:w="1727" w:type="pct"/>
            <w:shd w:val="pct5" w:color="000000" w:fill="FFFFFF"/>
          </w:tcPr>
          <w:p w:rsidR="00C97869" w:rsidRPr="00ED564E" w:rsidRDefault="00C97869" w:rsidP="00864083">
            <w:pPr>
              <w:rPr>
                <w:rFonts w:ascii="Arial" w:hAnsi="Arial" w:cs="Arial"/>
                <w:sz w:val="20"/>
                <w:szCs w:val="20"/>
              </w:rPr>
            </w:pPr>
            <w:r w:rsidRPr="00ED564E">
              <w:rPr>
                <w:rFonts w:ascii="Arial" w:hAnsi="Arial" w:cs="Arial"/>
                <w:b/>
                <w:sz w:val="20"/>
                <w:szCs w:val="20"/>
              </w:rPr>
              <w:t>$</w:t>
            </w:r>
            <w:r w:rsidR="00ED564E">
              <w:rPr>
                <w:rFonts w:ascii="Arial" w:hAnsi="Arial" w:cs="Arial"/>
                <w:b/>
                <w:sz w:val="20"/>
                <w:szCs w:val="20"/>
              </w:rPr>
              <w:t>15.17</w:t>
            </w:r>
            <w:r w:rsidRPr="00ED564E">
              <w:rPr>
                <w:rFonts w:ascii="Arial" w:hAnsi="Arial" w:cs="Arial"/>
                <w:b/>
                <w:sz w:val="20"/>
                <w:szCs w:val="20"/>
              </w:rPr>
              <w:t>/</w:t>
            </w:r>
            <w:proofErr w:type="spellStart"/>
            <w:r w:rsidRPr="00ED564E">
              <w:rPr>
                <w:rFonts w:ascii="Arial" w:hAnsi="Arial" w:cs="Arial"/>
                <w:b/>
                <w:sz w:val="20"/>
                <w:szCs w:val="20"/>
              </w:rPr>
              <w:t>kBTUh</w:t>
            </w:r>
            <w:proofErr w:type="spellEnd"/>
            <w:r w:rsidRPr="00ED564E">
              <w:rPr>
                <w:rFonts w:ascii="Arial" w:hAnsi="Arial" w:cs="Arial"/>
                <w:sz w:val="20"/>
                <w:szCs w:val="20"/>
              </w:rPr>
              <w:t xml:space="preserve"> </w:t>
            </w:r>
          </w:p>
          <w:p w:rsidR="00A961E9" w:rsidRPr="00ED564E" w:rsidRDefault="00A961E9" w:rsidP="00486B45">
            <w:pPr>
              <w:rPr>
                <w:rFonts w:ascii="Arial" w:hAnsi="Arial" w:cs="Arial"/>
                <w:sz w:val="20"/>
                <w:szCs w:val="20"/>
              </w:rPr>
            </w:pPr>
            <w:r w:rsidRPr="00ED564E">
              <w:rPr>
                <w:rFonts w:ascii="Arial" w:hAnsi="Arial" w:cs="Arial"/>
                <w:sz w:val="20"/>
                <w:szCs w:val="20"/>
              </w:rPr>
              <w:t xml:space="preserve">Source:  </w:t>
            </w:r>
            <w:r w:rsidR="00ED564E">
              <w:rPr>
                <w:rFonts w:ascii="Arial" w:hAnsi="Arial" w:cs="Arial"/>
                <w:sz w:val="20"/>
                <w:szCs w:val="20"/>
              </w:rPr>
              <w:t>SCG WP 2012 Data</w:t>
            </w:r>
          </w:p>
        </w:tc>
        <w:tc>
          <w:tcPr>
            <w:tcW w:w="1727" w:type="pct"/>
            <w:shd w:val="pct5" w:color="000000" w:fill="FFFFFF"/>
          </w:tcPr>
          <w:p w:rsidR="00C97869" w:rsidRPr="00ED564E" w:rsidRDefault="00C97869" w:rsidP="00D96694">
            <w:pPr>
              <w:rPr>
                <w:rFonts w:ascii="Arial" w:hAnsi="Arial" w:cs="Arial"/>
                <w:sz w:val="20"/>
                <w:szCs w:val="20"/>
              </w:rPr>
            </w:pPr>
            <w:r w:rsidRPr="00ED564E">
              <w:rPr>
                <w:rFonts w:ascii="Arial" w:hAnsi="Arial" w:cs="Arial"/>
                <w:b/>
                <w:sz w:val="20"/>
                <w:szCs w:val="20"/>
              </w:rPr>
              <w:t>$</w:t>
            </w:r>
            <w:r w:rsidR="00486B45" w:rsidRPr="00ED564E">
              <w:rPr>
                <w:rFonts w:ascii="Arial" w:hAnsi="Arial" w:cs="Arial"/>
                <w:b/>
                <w:sz w:val="20"/>
                <w:szCs w:val="20"/>
              </w:rPr>
              <w:t>1</w:t>
            </w:r>
            <w:r w:rsidR="00ED564E">
              <w:rPr>
                <w:rFonts w:ascii="Arial" w:hAnsi="Arial" w:cs="Arial"/>
                <w:b/>
                <w:sz w:val="20"/>
                <w:szCs w:val="20"/>
              </w:rPr>
              <w:t>9.24</w:t>
            </w:r>
            <w:r w:rsidRPr="00ED564E">
              <w:rPr>
                <w:rFonts w:ascii="Arial" w:hAnsi="Arial" w:cs="Arial"/>
                <w:b/>
                <w:sz w:val="20"/>
                <w:szCs w:val="20"/>
              </w:rPr>
              <w:t>/</w:t>
            </w:r>
            <w:proofErr w:type="spellStart"/>
            <w:r w:rsidRPr="00ED564E">
              <w:rPr>
                <w:rFonts w:ascii="Arial" w:hAnsi="Arial" w:cs="Arial"/>
                <w:b/>
                <w:sz w:val="20"/>
                <w:szCs w:val="20"/>
              </w:rPr>
              <w:t>kBTUh</w:t>
            </w:r>
            <w:proofErr w:type="spellEnd"/>
            <w:r w:rsidRPr="00ED564E">
              <w:rPr>
                <w:rFonts w:ascii="Arial" w:hAnsi="Arial" w:cs="Arial"/>
                <w:sz w:val="20"/>
                <w:szCs w:val="20"/>
              </w:rPr>
              <w:t xml:space="preserve"> </w:t>
            </w:r>
          </w:p>
          <w:p w:rsidR="00A961E9" w:rsidRPr="00ED564E" w:rsidRDefault="00D96694" w:rsidP="00D96694">
            <w:pPr>
              <w:rPr>
                <w:rFonts w:ascii="Arial" w:hAnsi="Arial" w:cs="Arial"/>
                <w:sz w:val="20"/>
                <w:szCs w:val="20"/>
              </w:rPr>
            </w:pPr>
            <w:r w:rsidRPr="00ED564E">
              <w:rPr>
                <w:rFonts w:ascii="Arial" w:hAnsi="Arial" w:cs="Arial"/>
                <w:sz w:val="20"/>
                <w:szCs w:val="20"/>
              </w:rPr>
              <w:t xml:space="preserve">Source:  </w:t>
            </w:r>
            <w:r w:rsidR="00ED564E">
              <w:rPr>
                <w:rFonts w:ascii="Arial" w:hAnsi="Arial" w:cs="Arial"/>
                <w:sz w:val="20"/>
                <w:szCs w:val="20"/>
              </w:rPr>
              <w:t>SCG WP 2012 Data</w:t>
            </w:r>
          </w:p>
        </w:tc>
      </w:tr>
      <w:tr w:rsidR="00A961E9" w:rsidRPr="00A961E9" w:rsidTr="005E4134">
        <w:trPr>
          <w:trHeight w:val="558"/>
        </w:trPr>
        <w:tc>
          <w:tcPr>
            <w:tcW w:w="1545" w:type="pct"/>
            <w:shd w:val="pct20" w:color="000000" w:fill="FFFFFF"/>
          </w:tcPr>
          <w:p w:rsidR="00A961E9" w:rsidRPr="00D96694" w:rsidRDefault="00A961E9" w:rsidP="005E4134">
            <w:pPr>
              <w:rPr>
                <w:rFonts w:ascii="Arial" w:hAnsi="Arial" w:cs="Arial"/>
                <w:b/>
                <w:sz w:val="20"/>
                <w:szCs w:val="20"/>
              </w:rPr>
            </w:pPr>
            <w:r w:rsidRPr="00D96694">
              <w:rPr>
                <w:rFonts w:ascii="Arial" w:hAnsi="Arial" w:cs="Arial"/>
                <w:b/>
                <w:sz w:val="20"/>
                <w:szCs w:val="20"/>
              </w:rPr>
              <w:t xml:space="preserve">Measure Incremental Cost ($/unit): </w:t>
            </w:r>
          </w:p>
        </w:tc>
        <w:tc>
          <w:tcPr>
            <w:tcW w:w="1727" w:type="pct"/>
            <w:shd w:val="pct20" w:color="000000" w:fill="FFFFFF"/>
          </w:tcPr>
          <w:p w:rsidR="00434DD9" w:rsidRPr="00ED564E" w:rsidRDefault="003135E2" w:rsidP="00864083">
            <w:pPr>
              <w:rPr>
                <w:rFonts w:ascii="Arial" w:hAnsi="Arial" w:cs="Arial"/>
                <w:sz w:val="20"/>
                <w:szCs w:val="20"/>
              </w:rPr>
            </w:pPr>
            <w:r w:rsidRPr="00ED564E">
              <w:rPr>
                <w:rFonts w:ascii="Arial" w:hAnsi="Arial" w:cs="Arial"/>
                <w:b/>
                <w:sz w:val="20"/>
                <w:szCs w:val="20"/>
              </w:rPr>
              <w:t>$</w:t>
            </w:r>
            <w:r w:rsidR="00ED564E">
              <w:rPr>
                <w:rFonts w:ascii="Arial" w:hAnsi="Arial" w:cs="Arial"/>
                <w:b/>
                <w:sz w:val="20"/>
                <w:szCs w:val="20"/>
              </w:rPr>
              <w:t>2.95</w:t>
            </w:r>
            <w:r w:rsidR="00434DD9" w:rsidRPr="00ED564E">
              <w:rPr>
                <w:rFonts w:ascii="Arial" w:hAnsi="Arial" w:cs="Arial"/>
                <w:b/>
                <w:sz w:val="20"/>
                <w:szCs w:val="20"/>
              </w:rPr>
              <w:t>/</w:t>
            </w:r>
            <w:proofErr w:type="spellStart"/>
            <w:r w:rsidR="00434DD9" w:rsidRPr="00ED564E">
              <w:rPr>
                <w:rFonts w:ascii="Arial" w:hAnsi="Arial" w:cs="Arial"/>
                <w:b/>
                <w:sz w:val="20"/>
                <w:szCs w:val="20"/>
              </w:rPr>
              <w:t>kBTUh</w:t>
            </w:r>
            <w:proofErr w:type="spellEnd"/>
            <w:r w:rsidR="00434DD9" w:rsidRPr="00ED564E">
              <w:rPr>
                <w:rFonts w:ascii="Arial" w:hAnsi="Arial" w:cs="Arial"/>
                <w:sz w:val="20"/>
                <w:szCs w:val="20"/>
              </w:rPr>
              <w:t xml:space="preserve"> </w:t>
            </w:r>
          </w:p>
          <w:p w:rsidR="00A961E9" w:rsidRPr="00ED564E" w:rsidRDefault="00D96694" w:rsidP="00434DD9">
            <w:pPr>
              <w:rPr>
                <w:rFonts w:ascii="Arial" w:hAnsi="Arial" w:cs="Arial"/>
                <w:sz w:val="20"/>
                <w:szCs w:val="20"/>
              </w:rPr>
            </w:pPr>
            <w:r w:rsidRPr="00ED564E">
              <w:rPr>
                <w:rFonts w:ascii="Arial" w:hAnsi="Arial" w:cs="Arial"/>
                <w:sz w:val="20"/>
                <w:szCs w:val="20"/>
              </w:rPr>
              <w:t xml:space="preserve">Source:  </w:t>
            </w:r>
            <w:r w:rsidR="00ED564E">
              <w:rPr>
                <w:rFonts w:ascii="Arial" w:hAnsi="Arial" w:cs="Arial"/>
                <w:sz w:val="20"/>
                <w:szCs w:val="20"/>
              </w:rPr>
              <w:t>SCG WP 2012 Data</w:t>
            </w:r>
          </w:p>
        </w:tc>
        <w:tc>
          <w:tcPr>
            <w:tcW w:w="1727" w:type="pct"/>
            <w:shd w:val="pct20" w:color="000000" w:fill="FFFFFF"/>
          </w:tcPr>
          <w:p w:rsidR="00434DD9" w:rsidRPr="00ED564E" w:rsidRDefault="003135E2" w:rsidP="00434DD9">
            <w:pPr>
              <w:rPr>
                <w:rFonts w:ascii="Arial" w:hAnsi="Arial" w:cs="Arial"/>
                <w:b/>
                <w:sz w:val="20"/>
                <w:szCs w:val="20"/>
              </w:rPr>
            </w:pPr>
            <w:r w:rsidRPr="00ED564E">
              <w:rPr>
                <w:rFonts w:ascii="Arial" w:hAnsi="Arial" w:cs="Arial"/>
                <w:b/>
                <w:sz w:val="20"/>
                <w:szCs w:val="20"/>
              </w:rPr>
              <w:t>$</w:t>
            </w:r>
            <w:r w:rsidR="00ED564E">
              <w:rPr>
                <w:rFonts w:ascii="Arial" w:hAnsi="Arial" w:cs="Arial"/>
                <w:b/>
                <w:sz w:val="20"/>
                <w:szCs w:val="20"/>
              </w:rPr>
              <w:t>4.35</w:t>
            </w:r>
            <w:r w:rsidR="00434DD9" w:rsidRPr="00ED564E">
              <w:rPr>
                <w:rFonts w:ascii="Arial" w:hAnsi="Arial" w:cs="Arial"/>
                <w:b/>
                <w:sz w:val="20"/>
                <w:szCs w:val="20"/>
              </w:rPr>
              <w:t>/</w:t>
            </w:r>
            <w:proofErr w:type="spellStart"/>
            <w:r w:rsidR="00434DD9" w:rsidRPr="00ED564E">
              <w:rPr>
                <w:rFonts w:ascii="Arial" w:hAnsi="Arial" w:cs="Arial"/>
                <w:b/>
                <w:sz w:val="20"/>
                <w:szCs w:val="20"/>
              </w:rPr>
              <w:t>kBTUh</w:t>
            </w:r>
            <w:proofErr w:type="spellEnd"/>
          </w:p>
          <w:p w:rsidR="00A961E9" w:rsidRPr="00ED564E" w:rsidRDefault="00A961E9" w:rsidP="00434DD9">
            <w:pPr>
              <w:rPr>
                <w:rFonts w:ascii="Arial" w:hAnsi="Arial" w:cs="Arial"/>
                <w:sz w:val="20"/>
                <w:szCs w:val="20"/>
              </w:rPr>
            </w:pPr>
            <w:r w:rsidRPr="00ED564E">
              <w:rPr>
                <w:rFonts w:ascii="Arial" w:hAnsi="Arial" w:cs="Arial"/>
                <w:sz w:val="20"/>
                <w:szCs w:val="20"/>
              </w:rPr>
              <w:t xml:space="preserve">Source:  </w:t>
            </w:r>
            <w:r w:rsidR="00ED564E">
              <w:rPr>
                <w:rFonts w:ascii="Arial" w:hAnsi="Arial" w:cs="Arial"/>
                <w:sz w:val="20"/>
                <w:szCs w:val="20"/>
              </w:rPr>
              <w:t>SCG WP 2012 Data</w:t>
            </w:r>
          </w:p>
        </w:tc>
      </w:tr>
      <w:tr w:rsidR="00A961E9" w:rsidRPr="00A961E9" w:rsidTr="001C6B19">
        <w:trPr>
          <w:trHeight w:val="630"/>
        </w:trPr>
        <w:tc>
          <w:tcPr>
            <w:tcW w:w="1545" w:type="pct"/>
            <w:shd w:val="clear" w:color="auto" w:fill="F2F2F2"/>
          </w:tcPr>
          <w:p w:rsidR="00A961E9" w:rsidRPr="00CB3556" w:rsidRDefault="00A961E9" w:rsidP="00864083">
            <w:pPr>
              <w:rPr>
                <w:rFonts w:ascii="Arial" w:hAnsi="Arial" w:cs="Arial"/>
                <w:b/>
                <w:bCs/>
                <w:sz w:val="20"/>
                <w:szCs w:val="20"/>
              </w:rPr>
            </w:pPr>
            <w:r w:rsidRPr="00CB3556">
              <w:rPr>
                <w:rFonts w:ascii="Arial" w:hAnsi="Arial" w:cs="Arial"/>
                <w:b/>
                <w:bCs/>
                <w:sz w:val="20"/>
                <w:szCs w:val="20"/>
              </w:rPr>
              <w:t xml:space="preserve">Effective Useful Life (years): </w:t>
            </w:r>
          </w:p>
        </w:tc>
        <w:tc>
          <w:tcPr>
            <w:tcW w:w="1727" w:type="pct"/>
            <w:shd w:val="clear" w:color="auto" w:fill="F2F2F2"/>
          </w:tcPr>
          <w:p w:rsidR="00366152" w:rsidRPr="001C6B19" w:rsidRDefault="00366152" w:rsidP="00366152">
            <w:pPr>
              <w:rPr>
                <w:rFonts w:ascii="Arial" w:hAnsi="Arial" w:cs="Arial"/>
                <w:bCs/>
                <w:sz w:val="20"/>
                <w:szCs w:val="20"/>
              </w:rPr>
            </w:pPr>
            <w:r w:rsidRPr="001C6B19">
              <w:rPr>
                <w:rFonts w:ascii="Arial" w:hAnsi="Arial" w:cs="Arial"/>
                <w:bCs/>
                <w:sz w:val="20"/>
                <w:szCs w:val="20"/>
              </w:rPr>
              <w:t xml:space="preserve">EUL: 20yrs </w:t>
            </w:r>
          </w:p>
          <w:p w:rsidR="00366152" w:rsidRPr="001C6B19" w:rsidRDefault="00366152" w:rsidP="00366152">
            <w:pPr>
              <w:rPr>
                <w:rFonts w:ascii="Arial" w:hAnsi="Arial" w:cs="Arial"/>
                <w:bCs/>
                <w:sz w:val="20"/>
                <w:szCs w:val="20"/>
              </w:rPr>
            </w:pPr>
            <w:r w:rsidRPr="001C6B19">
              <w:rPr>
                <w:rFonts w:ascii="Arial" w:hAnsi="Arial" w:cs="Arial"/>
                <w:bCs/>
                <w:sz w:val="20"/>
                <w:szCs w:val="20"/>
              </w:rPr>
              <w:t xml:space="preserve">RUL: 6.67yrs </w:t>
            </w:r>
          </w:p>
          <w:p w:rsidR="00A961E9" w:rsidRPr="001C6B19" w:rsidRDefault="00A961E9" w:rsidP="00864083">
            <w:pPr>
              <w:rPr>
                <w:rFonts w:ascii="Arial" w:hAnsi="Arial" w:cs="Arial"/>
                <w:bCs/>
                <w:sz w:val="20"/>
                <w:szCs w:val="20"/>
              </w:rPr>
            </w:pPr>
            <w:r w:rsidRPr="001C6B19">
              <w:rPr>
                <w:rFonts w:ascii="Arial" w:hAnsi="Arial" w:cs="Arial"/>
                <w:bCs/>
                <w:sz w:val="20"/>
                <w:szCs w:val="20"/>
              </w:rPr>
              <w:t>Source: DEER 201</w:t>
            </w:r>
            <w:r w:rsidR="001C6B19">
              <w:rPr>
                <w:rFonts w:ascii="Arial" w:hAnsi="Arial" w:cs="Arial"/>
                <w:bCs/>
                <w:sz w:val="20"/>
                <w:szCs w:val="20"/>
              </w:rPr>
              <w:t>6</w:t>
            </w:r>
          </w:p>
        </w:tc>
        <w:tc>
          <w:tcPr>
            <w:tcW w:w="1727" w:type="pct"/>
            <w:shd w:val="clear" w:color="auto" w:fill="F2F2F2"/>
          </w:tcPr>
          <w:p w:rsidR="00434DD9" w:rsidRPr="001C6B19" w:rsidRDefault="00434DD9" w:rsidP="00434DD9">
            <w:pPr>
              <w:rPr>
                <w:rFonts w:ascii="Arial" w:hAnsi="Arial" w:cs="Arial"/>
                <w:bCs/>
                <w:sz w:val="20"/>
                <w:szCs w:val="20"/>
              </w:rPr>
            </w:pPr>
            <w:r w:rsidRPr="001C6B19">
              <w:rPr>
                <w:rFonts w:ascii="Arial" w:hAnsi="Arial" w:cs="Arial"/>
                <w:bCs/>
                <w:sz w:val="20"/>
                <w:szCs w:val="20"/>
              </w:rPr>
              <w:t xml:space="preserve">EUL: 20yrs </w:t>
            </w:r>
          </w:p>
          <w:p w:rsidR="00434DD9" w:rsidRPr="001C6B19" w:rsidRDefault="00434DD9" w:rsidP="00434DD9">
            <w:pPr>
              <w:rPr>
                <w:rFonts w:ascii="Arial" w:hAnsi="Arial" w:cs="Arial"/>
                <w:bCs/>
                <w:sz w:val="20"/>
                <w:szCs w:val="20"/>
              </w:rPr>
            </w:pPr>
            <w:r w:rsidRPr="001C6B19">
              <w:rPr>
                <w:rFonts w:ascii="Arial" w:hAnsi="Arial" w:cs="Arial"/>
                <w:bCs/>
                <w:sz w:val="20"/>
                <w:szCs w:val="20"/>
              </w:rPr>
              <w:t xml:space="preserve">RUL: 6.67yrs </w:t>
            </w:r>
          </w:p>
          <w:p w:rsidR="00A961E9" w:rsidRPr="001C6B19" w:rsidRDefault="00A961E9" w:rsidP="00864083">
            <w:pPr>
              <w:rPr>
                <w:rFonts w:ascii="Arial" w:hAnsi="Arial" w:cs="Arial"/>
                <w:bCs/>
                <w:sz w:val="20"/>
                <w:szCs w:val="20"/>
              </w:rPr>
            </w:pPr>
            <w:r w:rsidRPr="001C6B19">
              <w:rPr>
                <w:rFonts w:ascii="Arial" w:hAnsi="Arial" w:cs="Arial"/>
                <w:bCs/>
                <w:sz w:val="20"/>
                <w:szCs w:val="20"/>
              </w:rPr>
              <w:t>Source: DEER 201</w:t>
            </w:r>
            <w:r w:rsidR="001C6B19">
              <w:rPr>
                <w:rFonts w:ascii="Arial" w:hAnsi="Arial" w:cs="Arial"/>
                <w:bCs/>
                <w:sz w:val="20"/>
                <w:szCs w:val="20"/>
              </w:rPr>
              <w:t>6</w:t>
            </w:r>
          </w:p>
        </w:tc>
      </w:tr>
      <w:tr w:rsidR="00A961E9" w:rsidRPr="00A961E9" w:rsidTr="005E4134">
        <w:trPr>
          <w:trHeight w:val="252"/>
        </w:trPr>
        <w:tc>
          <w:tcPr>
            <w:tcW w:w="1545" w:type="pct"/>
            <w:shd w:val="pct20" w:color="000000" w:fill="FFFFFF"/>
          </w:tcPr>
          <w:p w:rsidR="00A961E9" w:rsidRPr="00CB3556" w:rsidRDefault="00A961E9" w:rsidP="00864083">
            <w:pPr>
              <w:rPr>
                <w:rFonts w:ascii="Arial" w:hAnsi="Arial" w:cs="Arial"/>
                <w:b/>
                <w:sz w:val="20"/>
                <w:szCs w:val="20"/>
              </w:rPr>
            </w:pPr>
            <w:r w:rsidRPr="00CB3556">
              <w:rPr>
                <w:rFonts w:ascii="Arial" w:hAnsi="Arial" w:cs="Arial"/>
                <w:b/>
                <w:sz w:val="20"/>
                <w:szCs w:val="20"/>
              </w:rPr>
              <w:t>Program Type:</w:t>
            </w:r>
          </w:p>
        </w:tc>
        <w:tc>
          <w:tcPr>
            <w:tcW w:w="1727" w:type="pct"/>
            <w:shd w:val="pct20" w:color="000000" w:fill="FFFFFF"/>
          </w:tcPr>
          <w:p w:rsidR="00A961E9" w:rsidRPr="001C6B19" w:rsidRDefault="00A961E9" w:rsidP="001C6B19">
            <w:pPr>
              <w:rPr>
                <w:rFonts w:ascii="Arial" w:hAnsi="Arial" w:cs="Arial"/>
                <w:sz w:val="20"/>
                <w:szCs w:val="20"/>
              </w:rPr>
            </w:pPr>
            <w:r w:rsidRPr="001C6B19">
              <w:rPr>
                <w:rFonts w:ascii="Arial" w:hAnsi="Arial" w:cs="Arial"/>
                <w:sz w:val="20"/>
                <w:szCs w:val="20"/>
              </w:rPr>
              <w:t>ROB</w:t>
            </w:r>
          </w:p>
        </w:tc>
        <w:tc>
          <w:tcPr>
            <w:tcW w:w="1727" w:type="pct"/>
            <w:shd w:val="pct20" w:color="000000" w:fill="FFFFFF"/>
          </w:tcPr>
          <w:p w:rsidR="00A961E9" w:rsidRPr="001C6B19" w:rsidRDefault="00A961E9" w:rsidP="001C6B19">
            <w:pPr>
              <w:rPr>
                <w:rFonts w:ascii="Arial" w:hAnsi="Arial" w:cs="Arial"/>
                <w:sz w:val="20"/>
                <w:szCs w:val="20"/>
              </w:rPr>
            </w:pPr>
            <w:r w:rsidRPr="001C6B19">
              <w:rPr>
                <w:rFonts w:ascii="Arial" w:hAnsi="Arial" w:cs="Arial"/>
                <w:sz w:val="20"/>
                <w:szCs w:val="20"/>
              </w:rPr>
              <w:t>ROB</w:t>
            </w:r>
          </w:p>
        </w:tc>
      </w:tr>
      <w:tr w:rsidR="00A961E9" w:rsidRPr="00A961E9" w:rsidTr="005E4134">
        <w:trPr>
          <w:trHeight w:val="465"/>
        </w:trPr>
        <w:tc>
          <w:tcPr>
            <w:tcW w:w="1545" w:type="pct"/>
            <w:shd w:val="clear" w:color="auto" w:fill="F2F2F2"/>
          </w:tcPr>
          <w:p w:rsidR="00A961E9" w:rsidRPr="00CB3556" w:rsidRDefault="00A961E9" w:rsidP="00864083">
            <w:pPr>
              <w:rPr>
                <w:rFonts w:ascii="Arial" w:hAnsi="Arial" w:cs="Arial"/>
                <w:b/>
                <w:sz w:val="20"/>
                <w:szCs w:val="20"/>
              </w:rPr>
            </w:pPr>
            <w:r w:rsidRPr="00CB3556">
              <w:rPr>
                <w:rFonts w:ascii="Arial" w:hAnsi="Arial" w:cs="Arial"/>
                <w:b/>
                <w:sz w:val="20"/>
                <w:szCs w:val="20"/>
              </w:rPr>
              <w:t xml:space="preserve">Net-to-Gross Ratios: </w:t>
            </w:r>
          </w:p>
        </w:tc>
        <w:tc>
          <w:tcPr>
            <w:tcW w:w="1727" w:type="pct"/>
            <w:shd w:val="clear" w:color="auto" w:fill="F2F2F2"/>
          </w:tcPr>
          <w:p w:rsidR="00A961E9" w:rsidRPr="001C6B19" w:rsidRDefault="00A961E9" w:rsidP="00976408">
            <w:pPr>
              <w:rPr>
                <w:rFonts w:ascii="Arial" w:hAnsi="Arial" w:cs="Arial"/>
                <w:sz w:val="20"/>
                <w:szCs w:val="20"/>
              </w:rPr>
            </w:pPr>
            <w:r w:rsidRPr="001C6B19">
              <w:rPr>
                <w:rFonts w:ascii="Arial" w:hAnsi="Arial" w:cs="Arial"/>
                <w:sz w:val="20"/>
                <w:szCs w:val="20"/>
              </w:rPr>
              <w:t xml:space="preserve">0.60 </w:t>
            </w:r>
          </w:p>
          <w:p w:rsidR="00A961E9" w:rsidRPr="001C6B19" w:rsidRDefault="00A961E9" w:rsidP="00976408">
            <w:pPr>
              <w:rPr>
                <w:rFonts w:ascii="Arial" w:hAnsi="Arial" w:cs="Arial"/>
                <w:sz w:val="20"/>
                <w:szCs w:val="20"/>
              </w:rPr>
            </w:pPr>
            <w:r w:rsidRPr="001C6B19">
              <w:rPr>
                <w:rFonts w:ascii="Arial" w:hAnsi="Arial" w:cs="Arial"/>
                <w:sz w:val="20"/>
                <w:szCs w:val="20"/>
              </w:rPr>
              <w:t>Source: DEER 201</w:t>
            </w:r>
            <w:r w:rsidR="001C6B19">
              <w:rPr>
                <w:rFonts w:ascii="Arial" w:hAnsi="Arial" w:cs="Arial"/>
                <w:sz w:val="20"/>
                <w:szCs w:val="20"/>
              </w:rPr>
              <w:t>4</w:t>
            </w:r>
            <w:r w:rsidRPr="001C6B19">
              <w:rPr>
                <w:rFonts w:ascii="Arial" w:hAnsi="Arial" w:cs="Arial"/>
                <w:sz w:val="20"/>
                <w:szCs w:val="20"/>
              </w:rPr>
              <w:t xml:space="preserve"> NTG Values – </w:t>
            </w:r>
            <w:r w:rsidR="005E4134" w:rsidRPr="001C6B19">
              <w:rPr>
                <w:rFonts w:ascii="Arial" w:hAnsi="Arial" w:cs="Arial"/>
                <w:sz w:val="20"/>
                <w:szCs w:val="20"/>
              </w:rPr>
              <w:t>Industrial</w:t>
            </w:r>
            <w:r w:rsidRPr="001C6B19">
              <w:rPr>
                <w:rFonts w:ascii="Arial" w:hAnsi="Arial" w:cs="Arial"/>
                <w:sz w:val="20"/>
                <w:szCs w:val="20"/>
              </w:rPr>
              <w:t xml:space="preserve">; All other EEMs with </w:t>
            </w:r>
            <w:r w:rsidRPr="001C6B19">
              <w:rPr>
                <w:rFonts w:ascii="Arial" w:hAnsi="Arial" w:cs="Arial"/>
                <w:sz w:val="20"/>
                <w:szCs w:val="20"/>
              </w:rPr>
              <w:lastRenderedPageBreak/>
              <w:t>no evaluated NTGR; existing EEM programs with same delivery mechanism for more than 2 years</w:t>
            </w:r>
          </w:p>
          <w:p w:rsidR="00A961E9" w:rsidRPr="001C6B19" w:rsidRDefault="00A961E9" w:rsidP="00976408">
            <w:pPr>
              <w:rPr>
                <w:rFonts w:ascii="Arial" w:hAnsi="Arial" w:cs="Arial"/>
                <w:sz w:val="20"/>
                <w:szCs w:val="20"/>
              </w:rPr>
            </w:pPr>
          </w:p>
        </w:tc>
        <w:tc>
          <w:tcPr>
            <w:tcW w:w="1727" w:type="pct"/>
            <w:shd w:val="clear" w:color="auto" w:fill="F2F2F2"/>
          </w:tcPr>
          <w:p w:rsidR="00A961E9" w:rsidRPr="001C6B19" w:rsidRDefault="00A961E9" w:rsidP="00976408">
            <w:pPr>
              <w:rPr>
                <w:rFonts w:ascii="Arial" w:hAnsi="Arial" w:cs="Arial"/>
                <w:sz w:val="20"/>
                <w:szCs w:val="20"/>
              </w:rPr>
            </w:pPr>
            <w:r w:rsidRPr="001C6B19">
              <w:rPr>
                <w:rFonts w:ascii="Arial" w:hAnsi="Arial" w:cs="Arial"/>
                <w:sz w:val="20"/>
                <w:szCs w:val="20"/>
              </w:rPr>
              <w:lastRenderedPageBreak/>
              <w:t xml:space="preserve">0.60 </w:t>
            </w:r>
          </w:p>
          <w:p w:rsidR="00A961E9" w:rsidRPr="001C6B19" w:rsidRDefault="00A961E9" w:rsidP="001C6B19">
            <w:pPr>
              <w:rPr>
                <w:rFonts w:ascii="Arial" w:hAnsi="Arial" w:cs="Arial"/>
                <w:sz w:val="20"/>
                <w:szCs w:val="20"/>
              </w:rPr>
            </w:pPr>
            <w:r w:rsidRPr="001C6B19">
              <w:rPr>
                <w:rFonts w:ascii="Arial" w:hAnsi="Arial" w:cs="Arial"/>
                <w:sz w:val="20"/>
                <w:szCs w:val="20"/>
              </w:rPr>
              <w:t>Source: DEER 201</w:t>
            </w:r>
            <w:r w:rsidR="001C6B19">
              <w:rPr>
                <w:rFonts w:ascii="Arial" w:hAnsi="Arial" w:cs="Arial"/>
                <w:sz w:val="20"/>
                <w:szCs w:val="20"/>
              </w:rPr>
              <w:t>4</w:t>
            </w:r>
            <w:r w:rsidRPr="001C6B19">
              <w:rPr>
                <w:rFonts w:ascii="Arial" w:hAnsi="Arial" w:cs="Arial"/>
                <w:sz w:val="20"/>
                <w:szCs w:val="20"/>
              </w:rPr>
              <w:t xml:space="preserve"> NTG Values – </w:t>
            </w:r>
            <w:r w:rsidR="005E4134" w:rsidRPr="001C6B19">
              <w:rPr>
                <w:rFonts w:ascii="Arial" w:hAnsi="Arial" w:cs="Arial"/>
                <w:sz w:val="20"/>
                <w:szCs w:val="20"/>
              </w:rPr>
              <w:t>Industrial</w:t>
            </w:r>
            <w:r w:rsidRPr="001C6B19">
              <w:rPr>
                <w:rFonts w:ascii="Arial" w:hAnsi="Arial" w:cs="Arial"/>
                <w:sz w:val="20"/>
                <w:szCs w:val="20"/>
              </w:rPr>
              <w:t xml:space="preserve">; All other EEMs with </w:t>
            </w:r>
            <w:r w:rsidRPr="001C6B19">
              <w:rPr>
                <w:rFonts w:ascii="Arial" w:hAnsi="Arial" w:cs="Arial"/>
                <w:sz w:val="20"/>
                <w:szCs w:val="20"/>
              </w:rPr>
              <w:lastRenderedPageBreak/>
              <w:t>no evaluated NTGR; existing EEM programs with same delivery mechanism for more than 2 years</w:t>
            </w:r>
          </w:p>
        </w:tc>
      </w:tr>
      <w:tr w:rsidR="00A961E9" w:rsidRPr="00A961E9" w:rsidTr="005E4134">
        <w:trPr>
          <w:trHeight w:val="465"/>
        </w:trPr>
        <w:tc>
          <w:tcPr>
            <w:tcW w:w="1545" w:type="pct"/>
            <w:shd w:val="pct20" w:color="000000" w:fill="FFFFFF"/>
          </w:tcPr>
          <w:p w:rsidR="00A961E9" w:rsidRPr="00CB3556" w:rsidRDefault="00A961E9" w:rsidP="00864083">
            <w:pPr>
              <w:rPr>
                <w:rFonts w:ascii="Arial" w:hAnsi="Arial" w:cs="Arial"/>
                <w:b/>
                <w:sz w:val="20"/>
                <w:szCs w:val="20"/>
              </w:rPr>
            </w:pPr>
            <w:r w:rsidRPr="00CB3556">
              <w:rPr>
                <w:rFonts w:ascii="Arial" w:hAnsi="Arial" w:cs="Arial"/>
                <w:b/>
                <w:sz w:val="20"/>
                <w:szCs w:val="20"/>
              </w:rPr>
              <w:lastRenderedPageBreak/>
              <w:t>Important Comments:</w:t>
            </w:r>
          </w:p>
        </w:tc>
        <w:tc>
          <w:tcPr>
            <w:tcW w:w="1727" w:type="pct"/>
            <w:shd w:val="pct20" w:color="000000" w:fill="FFFFFF"/>
          </w:tcPr>
          <w:p w:rsidR="00A961E9" w:rsidRPr="006F2498" w:rsidRDefault="00A961E9" w:rsidP="00864083">
            <w:pPr>
              <w:rPr>
                <w:rFonts w:ascii="Arial" w:hAnsi="Arial" w:cs="Arial"/>
                <w:sz w:val="20"/>
                <w:szCs w:val="20"/>
                <w:highlight w:val="yellow"/>
              </w:rPr>
            </w:pPr>
          </w:p>
        </w:tc>
        <w:tc>
          <w:tcPr>
            <w:tcW w:w="1727" w:type="pct"/>
            <w:shd w:val="pct20" w:color="000000" w:fill="FFFFFF"/>
          </w:tcPr>
          <w:p w:rsidR="00A961E9" w:rsidRPr="006F2498" w:rsidRDefault="00A961E9" w:rsidP="00864083">
            <w:pPr>
              <w:rPr>
                <w:rFonts w:ascii="Arial" w:hAnsi="Arial" w:cs="Arial"/>
                <w:sz w:val="20"/>
                <w:szCs w:val="20"/>
                <w:highlight w:val="yellow"/>
              </w:rPr>
            </w:pPr>
          </w:p>
        </w:tc>
      </w:tr>
    </w:tbl>
    <w:p w:rsidR="00E43B55" w:rsidRPr="00A961E9" w:rsidRDefault="00E43B55" w:rsidP="00864083">
      <w:pPr>
        <w:rPr>
          <w:rFonts w:ascii="Arial" w:hAnsi="Arial" w:cs="Arial"/>
          <w:b/>
          <w:color w:val="FF0000"/>
          <w:sz w:val="20"/>
          <w:szCs w:val="20"/>
        </w:rPr>
        <w:sectPr w:rsidR="00E43B55" w:rsidRPr="00A961E9" w:rsidSect="00A961E9">
          <w:footerReference w:type="default" r:id="rId17"/>
          <w:endnotePr>
            <w:numFmt w:val="decimal"/>
          </w:endnotePr>
          <w:pgSz w:w="12240" w:h="15840" w:code="1"/>
          <w:pgMar w:top="1440" w:right="1440" w:bottom="1440" w:left="1440" w:header="720" w:footer="720" w:gutter="0"/>
          <w:pgNumType w:fmt="lowerRoman" w:start="1"/>
          <w:cols w:space="720"/>
          <w:docGrid w:linePitch="360"/>
        </w:sectPr>
      </w:pPr>
    </w:p>
    <w:p w:rsidR="00EE7092" w:rsidRPr="00A961E9" w:rsidRDefault="00EE7092" w:rsidP="00864083">
      <w:pPr>
        <w:rPr>
          <w:rFonts w:ascii="Arial" w:hAnsi="Arial" w:cs="Arial"/>
          <w:color w:val="FF0000"/>
        </w:rPr>
      </w:pPr>
    </w:p>
    <w:p w:rsidR="00081FB4" w:rsidRPr="00CB3556" w:rsidRDefault="00BA458B" w:rsidP="00672230">
      <w:pPr>
        <w:pStyle w:val="Heading1"/>
        <w:spacing w:before="0" w:after="0"/>
      </w:pPr>
      <w:bookmarkStart w:id="3" w:name="_Toc197335199"/>
      <w:bookmarkStart w:id="4" w:name="_Toc443922957"/>
      <w:bookmarkStart w:id="5" w:name="_Toc186621650"/>
      <w:bookmarkStart w:id="6" w:name="_Toc304800197"/>
      <w:r w:rsidRPr="00CB3556">
        <w:t>Document Revision History</w:t>
      </w:r>
      <w:bookmarkEnd w:id="3"/>
      <w:bookmarkEnd w:id="4"/>
    </w:p>
    <w:tbl>
      <w:tblPr>
        <w:tblW w:w="4891" w:type="pct"/>
        <w:tblBorders>
          <w:insideH w:val="single" w:sz="18" w:space="0" w:color="FFFFFF"/>
          <w:insideV w:val="single" w:sz="18" w:space="0" w:color="FFFFFF"/>
        </w:tblBorders>
        <w:tblLook w:val="01E0" w:firstRow="1" w:lastRow="1" w:firstColumn="1" w:lastColumn="1" w:noHBand="0" w:noVBand="0"/>
      </w:tblPr>
      <w:tblGrid>
        <w:gridCol w:w="1264"/>
        <w:gridCol w:w="1218"/>
        <w:gridCol w:w="3777"/>
        <w:gridCol w:w="3108"/>
      </w:tblGrid>
      <w:tr w:rsidR="00672230" w:rsidRPr="00CB3556" w:rsidTr="006F2498">
        <w:trPr>
          <w:trHeight w:val="615"/>
        </w:trPr>
        <w:tc>
          <w:tcPr>
            <w:tcW w:w="675" w:type="pct"/>
            <w:tcBorders>
              <w:top w:val="nil"/>
              <w:bottom w:val="single" w:sz="18" w:space="0" w:color="FFFFFF"/>
            </w:tcBorders>
            <w:shd w:val="clear" w:color="auto" w:fill="F2F2F2"/>
          </w:tcPr>
          <w:p w:rsidR="00672230" w:rsidRPr="00CB3556" w:rsidRDefault="00672230" w:rsidP="00864083">
            <w:pPr>
              <w:rPr>
                <w:rFonts w:ascii="Arial" w:hAnsi="Arial" w:cs="Arial"/>
                <w:b/>
                <w:bCs/>
                <w:sz w:val="20"/>
                <w:szCs w:val="20"/>
              </w:rPr>
            </w:pPr>
            <w:r w:rsidRPr="00CB3556">
              <w:rPr>
                <w:rFonts w:ascii="Arial" w:hAnsi="Arial" w:cs="Arial"/>
                <w:b/>
                <w:bCs/>
                <w:sz w:val="20"/>
                <w:szCs w:val="20"/>
              </w:rPr>
              <w:t>Revision #</w:t>
            </w:r>
          </w:p>
        </w:tc>
        <w:tc>
          <w:tcPr>
            <w:tcW w:w="650" w:type="pct"/>
            <w:tcBorders>
              <w:top w:val="nil"/>
              <w:bottom w:val="single" w:sz="18" w:space="0" w:color="FFFFFF"/>
            </w:tcBorders>
            <w:shd w:val="clear" w:color="auto" w:fill="F2F2F2"/>
          </w:tcPr>
          <w:p w:rsidR="00672230" w:rsidRPr="00CB3556" w:rsidRDefault="00672230" w:rsidP="00864083">
            <w:pPr>
              <w:rPr>
                <w:rFonts w:ascii="Arial" w:hAnsi="Arial" w:cs="Arial"/>
                <w:b/>
                <w:bCs/>
                <w:sz w:val="20"/>
                <w:szCs w:val="20"/>
              </w:rPr>
            </w:pPr>
            <w:r w:rsidRPr="00CB3556">
              <w:rPr>
                <w:rFonts w:ascii="Arial" w:hAnsi="Arial" w:cs="Arial"/>
                <w:b/>
                <w:bCs/>
                <w:sz w:val="20"/>
                <w:szCs w:val="20"/>
              </w:rPr>
              <w:t>Revision Date</w:t>
            </w:r>
          </w:p>
        </w:tc>
        <w:tc>
          <w:tcPr>
            <w:tcW w:w="2016" w:type="pct"/>
            <w:tcBorders>
              <w:top w:val="nil"/>
              <w:bottom w:val="single" w:sz="18" w:space="0" w:color="FFFFFF"/>
            </w:tcBorders>
            <w:shd w:val="clear" w:color="auto" w:fill="F2F2F2"/>
          </w:tcPr>
          <w:p w:rsidR="00672230" w:rsidRPr="00CB3556" w:rsidRDefault="00672230" w:rsidP="00864083">
            <w:pPr>
              <w:rPr>
                <w:rFonts w:ascii="Arial" w:hAnsi="Arial" w:cs="Arial"/>
                <w:b/>
                <w:bCs/>
                <w:sz w:val="20"/>
                <w:szCs w:val="20"/>
              </w:rPr>
            </w:pPr>
            <w:r w:rsidRPr="00CB3556">
              <w:rPr>
                <w:rFonts w:ascii="Arial" w:hAnsi="Arial" w:cs="Arial"/>
                <w:b/>
                <w:bCs/>
                <w:sz w:val="20"/>
                <w:szCs w:val="20"/>
              </w:rPr>
              <w:t>Section-by-Section Description of Revisions</w:t>
            </w:r>
          </w:p>
        </w:tc>
        <w:tc>
          <w:tcPr>
            <w:tcW w:w="1659" w:type="pct"/>
            <w:tcBorders>
              <w:top w:val="nil"/>
              <w:bottom w:val="single" w:sz="18" w:space="0" w:color="FFFFFF"/>
            </w:tcBorders>
            <w:shd w:val="clear" w:color="auto" w:fill="F2F2F2"/>
          </w:tcPr>
          <w:p w:rsidR="00672230" w:rsidRPr="00CB3556" w:rsidRDefault="00672230" w:rsidP="00864083">
            <w:pPr>
              <w:rPr>
                <w:rFonts w:ascii="Arial" w:hAnsi="Arial" w:cs="Arial"/>
                <w:b/>
                <w:bCs/>
                <w:sz w:val="20"/>
                <w:szCs w:val="20"/>
              </w:rPr>
            </w:pPr>
            <w:r w:rsidRPr="00CB3556">
              <w:rPr>
                <w:rFonts w:ascii="Arial" w:hAnsi="Arial" w:cs="Arial"/>
                <w:b/>
                <w:bCs/>
                <w:sz w:val="20"/>
                <w:szCs w:val="20"/>
              </w:rPr>
              <w:t>Author (Company)</w:t>
            </w:r>
          </w:p>
        </w:tc>
      </w:tr>
      <w:tr w:rsidR="00CB3556" w:rsidRPr="00CB3556" w:rsidTr="006F2498">
        <w:trPr>
          <w:trHeight w:val="615"/>
        </w:trPr>
        <w:tc>
          <w:tcPr>
            <w:tcW w:w="675" w:type="pct"/>
            <w:tcBorders>
              <w:top w:val="single" w:sz="18" w:space="0" w:color="FFFFFF"/>
            </w:tcBorders>
            <w:shd w:val="pct20" w:color="000000" w:fill="FFFFFF"/>
          </w:tcPr>
          <w:p w:rsidR="00CB3556" w:rsidRPr="00CB3556" w:rsidRDefault="00CB3556" w:rsidP="00CB3556">
            <w:pPr>
              <w:rPr>
                <w:rFonts w:ascii="Arial" w:hAnsi="Arial" w:cs="Arial"/>
                <w:b/>
                <w:bCs/>
                <w:sz w:val="20"/>
                <w:szCs w:val="20"/>
              </w:rPr>
            </w:pPr>
            <w:r w:rsidRPr="00CB3556">
              <w:rPr>
                <w:rFonts w:ascii="Arial" w:hAnsi="Arial" w:cs="Arial"/>
                <w:b/>
                <w:bCs/>
                <w:sz w:val="20"/>
                <w:szCs w:val="20"/>
              </w:rPr>
              <w:t>Revision 0</w:t>
            </w:r>
          </w:p>
        </w:tc>
        <w:tc>
          <w:tcPr>
            <w:tcW w:w="650" w:type="pct"/>
            <w:tcBorders>
              <w:top w:val="single" w:sz="18" w:space="0" w:color="FFFFFF"/>
            </w:tcBorders>
            <w:shd w:val="pct20" w:color="000000" w:fill="FFFFFF"/>
          </w:tcPr>
          <w:p w:rsidR="00CB3556" w:rsidRPr="00CB3556" w:rsidRDefault="00CB3556" w:rsidP="00CB3556">
            <w:pPr>
              <w:rPr>
                <w:rFonts w:ascii="Arial" w:hAnsi="Arial" w:cs="Arial"/>
                <w:b/>
                <w:bCs/>
                <w:sz w:val="20"/>
                <w:szCs w:val="20"/>
              </w:rPr>
            </w:pPr>
            <w:r w:rsidRPr="00CB3556">
              <w:rPr>
                <w:rFonts w:ascii="Arial" w:hAnsi="Arial" w:cs="Arial"/>
                <w:b/>
                <w:bCs/>
                <w:sz w:val="20"/>
                <w:szCs w:val="20"/>
              </w:rPr>
              <w:t>02/27/08</w:t>
            </w:r>
          </w:p>
        </w:tc>
        <w:tc>
          <w:tcPr>
            <w:tcW w:w="2016" w:type="pct"/>
            <w:tcBorders>
              <w:top w:val="single" w:sz="18" w:space="0" w:color="FFFFFF"/>
            </w:tcBorders>
            <w:shd w:val="pct20" w:color="000000" w:fill="FFFFFF"/>
          </w:tcPr>
          <w:p w:rsidR="00CB3556" w:rsidRPr="00CB3556" w:rsidRDefault="00CB3556" w:rsidP="00CB3556">
            <w:pPr>
              <w:rPr>
                <w:rFonts w:ascii="Arial" w:hAnsi="Arial" w:cs="Arial"/>
                <w:b/>
                <w:bCs/>
                <w:sz w:val="20"/>
                <w:szCs w:val="20"/>
              </w:rPr>
            </w:pPr>
            <w:r w:rsidRPr="00CB3556">
              <w:rPr>
                <w:rFonts w:ascii="Arial" w:hAnsi="Arial" w:cs="Arial"/>
                <w:b/>
                <w:bCs/>
                <w:sz w:val="20"/>
                <w:szCs w:val="20"/>
              </w:rPr>
              <w:t xml:space="preserve">Original </w:t>
            </w:r>
            <w:proofErr w:type="spellStart"/>
            <w:r w:rsidRPr="00CB3556">
              <w:rPr>
                <w:rFonts w:ascii="Arial" w:hAnsi="Arial" w:cs="Arial"/>
                <w:b/>
                <w:bCs/>
                <w:sz w:val="20"/>
                <w:szCs w:val="20"/>
              </w:rPr>
              <w:t>workpaper</w:t>
            </w:r>
            <w:proofErr w:type="spellEnd"/>
            <w:r w:rsidRPr="00CB3556">
              <w:rPr>
                <w:rFonts w:ascii="Arial" w:hAnsi="Arial" w:cs="Arial"/>
                <w:b/>
                <w:bCs/>
                <w:sz w:val="20"/>
                <w:szCs w:val="20"/>
              </w:rPr>
              <w:t>:</w:t>
            </w:r>
          </w:p>
          <w:p w:rsidR="00CB3556" w:rsidRPr="00CB3556" w:rsidRDefault="00CB3556" w:rsidP="00CB3556">
            <w:pPr>
              <w:rPr>
                <w:rFonts w:ascii="Arial" w:hAnsi="Arial" w:cs="Arial"/>
                <w:b/>
                <w:bCs/>
                <w:sz w:val="20"/>
                <w:szCs w:val="20"/>
              </w:rPr>
            </w:pPr>
            <w:r w:rsidRPr="00CB3556">
              <w:rPr>
                <w:rFonts w:ascii="Arial" w:hAnsi="Arial" w:cs="Arial"/>
                <w:b/>
                <w:bCs/>
                <w:sz w:val="20"/>
                <w:szCs w:val="20"/>
              </w:rPr>
              <w:t>Process BoilerPGECOPRO101 R0.doc</w:t>
            </w:r>
          </w:p>
        </w:tc>
        <w:tc>
          <w:tcPr>
            <w:tcW w:w="1659" w:type="pct"/>
            <w:tcBorders>
              <w:top w:val="single" w:sz="18" w:space="0" w:color="FFFFFF"/>
            </w:tcBorders>
            <w:shd w:val="pct20" w:color="000000" w:fill="FFFFFF"/>
          </w:tcPr>
          <w:p w:rsidR="00CB3556" w:rsidRPr="00CB3556" w:rsidRDefault="00CB3556" w:rsidP="00CB3556">
            <w:pPr>
              <w:rPr>
                <w:rFonts w:ascii="Arial" w:hAnsi="Arial" w:cs="Arial"/>
                <w:b/>
                <w:bCs/>
                <w:sz w:val="20"/>
                <w:szCs w:val="20"/>
              </w:rPr>
            </w:pPr>
            <w:r w:rsidRPr="00CB3556">
              <w:rPr>
                <w:rFonts w:ascii="Arial" w:hAnsi="Arial" w:cs="Arial"/>
                <w:b/>
                <w:bCs/>
                <w:sz w:val="20"/>
                <w:szCs w:val="20"/>
              </w:rPr>
              <w:t xml:space="preserve">Jim Kelsey and Nicolas </w:t>
            </w:r>
            <w:proofErr w:type="spellStart"/>
            <w:r w:rsidRPr="00CB3556">
              <w:rPr>
                <w:rFonts w:ascii="Arial" w:hAnsi="Arial" w:cs="Arial"/>
                <w:b/>
                <w:bCs/>
                <w:sz w:val="20"/>
                <w:szCs w:val="20"/>
              </w:rPr>
              <w:t>Fauchier-Magnan</w:t>
            </w:r>
            <w:proofErr w:type="spellEnd"/>
            <w:r w:rsidRPr="00CB3556">
              <w:rPr>
                <w:rFonts w:ascii="Arial" w:hAnsi="Arial" w:cs="Arial"/>
                <w:b/>
                <w:bCs/>
                <w:sz w:val="20"/>
                <w:szCs w:val="20"/>
              </w:rPr>
              <w:t xml:space="preserve"> (kW Engineering) </w:t>
            </w:r>
          </w:p>
        </w:tc>
      </w:tr>
      <w:tr w:rsidR="00CB3556" w:rsidRPr="00CB3556" w:rsidTr="006F2498">
        <w:trPr>
          <w:trHeight w:val="615"/>
        </w:trPr>
        <w:tc>
          <w:tcPr>
            <w:tcW w:w="675" w:type="pct"/>
            <w:shd w:val="pct5"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Revision 1</w:t>
            </w:r>
          </w:p>
        </w:tc>
        <w:tc>
          <w:tcPr>
            <w:tcW w:w="650" w:type="pct"/>
            <w:shd w:val="pct5"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3/23/2010</w:t>
            </w:r>
          </w:p>
        </w:tc>
        <w:tc>
          <w:tcPr>
            <w:tcW w:w="2016" w:type="pct"/>
            <w:shd w:val="pct5"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Process BoilerPGECOPRO101 R1.doc update including available 2008 DEER cost data, and update NTGR value to 0.46.</w:t>
            </w:r>
          </w:p>
        </w:tc>
        <w:tc>
          <w:tcPr>
            <w:tcW w:w="1659" w:type="pct"/>
            <w:shd w:val="pct5" w:color="000000" w:fill="FFFFFF"/>
          </w:tcPr>
          <w:p w:rsidR="00CB3556" w:rsidRPr="00CB3556" w:rsidRDefault="00CB3556" w:rsidP="00CB3556">
            <w:pPr>
              <w:rPr>
                <w:rFonts w:ascii="Arial" w:hAnsi="Arial" w:cs="Arial"/>
                <w:b/>
                <w:bCs/>
                <w:sz w:val="20"/>
                <w:szCs w:val="20"/>
              </w:rPr>
            </w:pPr>
            <w:proofErr w:type="spellStart"/>
            <w:r w:rsidRPr="00CB3556">
              <w:rPr>
                <w:rFonts w:ascii="Arial" w:hAnsi="Arial" w:cs="Arial"/>
                <w:b/>
                <w:bCs/>
                <w:sz w:val="20"/>
                <w:szCs w:val="20"/>
              </w:rPr>
              <w:t>Breesa</w:t>
            </w:r>
            <w:proofErr w:type="spellEnd"/>
            <w:r w:rsidRPr="00CB3556">
              <w:rPr>
                <w:rFonts w:ascii="Arial" w:hAnsi="Arial" w:cs="Arial"/>
                <w:b/>
                <w:bCs/>
                <w:sz w:val="20"/>
                <w:szCs w:val="20"/>
              </w:rPr>
              <w:t xml:space="preserve"> </w:t>
            </w:r>
            <w:proofErr w:type="spellStart"/>
            <w:r w:rsidRPr="00CB3556">
              <w:rPr>
                <w:rFonts w:ascii="Arial" w:hAnsi="Arial" w:cs="Arial"/>
                <w:b/>
                <w:bCs/>
                <w:sz w:val="20"/>
                <w:szCs w:val="20"/>
              </w:rPr>
              <w:t>Kassing</w:t>
            </w:r>
            <w:proofErr w:type="spellEnd"/>
            <w:r w:rsidRPr="00CB3556">
              <w:rPr>
                <w:rFonts w:ascii="Arial" w:hAnsi="Arial" w:cs="Arial"/>
                <w:b/>
                <w:bCs/>
                <w:sz w:val="20"/>
                <w:szCs w:val="20"/>
              </w:rPr>
              <w:t xml:space="preserve"> (PG&amp;E) and Charlie Middleton (PG&amp;E)</w:t>
            </w:r>
          </w:p>
        </w:tc>
      </w:tr>
      <w:tr w:rsidR="00CB3556" w:rsidRPr="00CB3556" w:rsidTr="006F2498">
        <w:trPr>
          <w:trHeight w:val="615"/>
        </w:trPr>
        <w:tc>
          <w:tcPr>
            <w:tcW w:w="675" w:type="pct"/>
            <w:shd w:val="pct20"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Revision 2</w:t>
            </w:r>
          </w:p>
        </w:tc>
        <w:tc>
          <w:tcPr>
            <w:tcW w:w="650" w:type="pct"/>
            <w:shd w:val="pct20"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5/24/2012</w:t>
            </w:r>
          </w:p>
        </w:tc>
        <w:tc>
          <w:tcPr>
            <w:tcW w:w="2016" w:type="pct"/>
            <w:shd w:val="pct20"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 xml:space="preserve">Process BoilerPGECOPRO101 R2.doc </w:t>
            </w:r>
            <w:proofErr w:type="gramStart"/>
            <w:r w:rsidRPr="00CB3556">
              <w:rPr>
                <w:rFonts w:ascii="Arial" w:hAnsi="Arial" w:cs="Arial"/>
                <w:b/>
                <w:sz w:val="20"/>
                <w:szCs w:val="20"/>
              </w:rPr>
              <w:t>update</w:t>
            </w:r>
            <w:proofErr w:type="gramEnd"/>
            <w:r w:rsidRPr="00CB3556">
              <w:rPr>
                <w:rFonts w:ascii="Arial" w:hAnsi="Arial" w:cs="Arial"/>
                <w:b/>
                <w:sz w:val="20"/>
                <w:szCs w:val="20"/>
              </w:rPr>
              <w:t xml:space="preserve"> including available 2011 DEER data and update NTGR value to 0.60.</w:t>
            </w:r>
          </w:p>
        </w:tc>
        <w:tc>
          <w:tcPr>
            <w:tcW w:w="1659" w:type="pct"/>
            <w:shd w:val="pct20" w:color="000000" w:fill="FFFFFF"/>
          </w:tcPr>
          <w:p w:rsidR="00CB3556" w:rsidRPr="00CB3556" w:rsidRDefault="00CB3556" w:rsidP="00CB3556">
            <w:pPr>
              <w:rPr>
                <w:rFonts w:ascii="Arial" w:hAnsi="Arial" w:cs="Arial"/>
                <w:b/>
                <w:bCs/>
                <w:sz w:val="20"/>
                <w:szCs w:val="20"/>
              </w:rPr>
            </w:pPr>
            <w:r w:rsidRPr="00CB3556">
              <w:rPr>
                <w:rFonts w:ascii="Arial" w:hAnsi="Arial" w:cs="Arial"/>
                <w:b/>
                <w:bCs/>
                <w:sz w:val="20"/>
                <w:szCs w:val="20"/>
              </w:rPr>
              <w:t>Justin Westmoreland (PG&amp;E)</w:t>
            </w:r>
          </w:p>
        </w:tc>
      </w:tr>
      <w:tr w:rsidR="00CB3556" w:rsidRPr="00CB3556" w:rsidTr="006F2498">
        <w:trPr>
          <w:trHeight w:val="615"/>
        </w:trPr>
        <w:tc>
          <w:tcPr>
            <w:tcW w:w="675" w:type="pct"/>
            <w:shd w:val="pct5" w:color="000000" w:fill="FFFFFF"/>
          </w:tcPr>
          <w:p w:rsidR="00CB3556" w:rsidRPr="00CB3556" w:rsidRDefault="00CB3556" w:rsidP="00CB3556">
            <w:pPr>
              <w:rPr>
                <w:rFonts w:ascii="Arial" w:hAnsi="Arial" w:cs="Arial"/>
                <w:b/>
              </w:rPr>
            </w:pPr>
          </w:p>
        </w:tc>
        <w:tc>
          <w:tcPr>
            <w:tcW w:w="650" w:type="pct"/>
            <w:shd w:val="pct5"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8/28/2012</w:t>
            </w:r>
          </w:p>
        </w:tc>
        <w:tc>
          <w:tcPr>
            <w:tcW w:w="2016" w:type="pct"/>
            <w:shd w:val="pct5"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 xml:space="preserve">Nomenclature Update </w:t>
            </w:r>
          </w:p>
        </w:tc>
        <w:tc>
          <w:tcPr>
            <w:tcW w:w="1659" w:type="pct"/>
            <w:shd w:val="pct5" w:color="000000" w:fill="FFFFFF"/>
          </w:tcPr>
          <w:p w:rsidR="00CB3556" w:rsidRPr="00CB3556" w:rsidRDefault="00CB3556" w:rsidP="00CB3556">
            <w:pPr>
              <w:rPr>
                <w:rFonts w:ascii="Arial" w:hAnsi="Arial" w:cs="Arial"/>
                <w:b/>
                <w:sz w:val="20"/>
                <w:szCs w:val="20"/>
              </w:rPr>
            </w:pPr>
            <w:r w:rsidRPr="00CB3556">
              <w:rPr>
                <w:rFonts w:ascii="Arial" w:hAnsi="Arial" w:cs="Arial"/>
                <w:b/>
                <w:sz w:val="20"/>
                <w:szCs w:val="20"/>
              </w:rPr>
              <w:t>Justin Westmoreland (PG&amp;E)</w:t>
            </w:r>
          </w:p>
        </w:tc>
      </w:tr>
      <w:tr w:rsidR="00081FB4" w:rsidRPr="00CB3556" w:rsidTr="006F2498">
        <w:trPr>
          <w:trHeight w:val="615"/>
        </w:trPr>
        <w:tc>
          <w:tcPr>
            <w:tcW w:w="675" w:type="pct"/>
            <w:shd w:val="clear" w:color="auto" w:fill="BFBFBF"/>
          </w:tcPr>
          <w:p w:rsidR="00081FB4" w:rsidRPr="00CB3556" w:rsidRDefault="00081FB4" w:rsidP="00864083">
            <w:pPr>
              <w:rPr>
                <w:rFonts w:ascii="Arial" w:hAnsi="Arial" w:cs="Arial"/>
                <w:b/>
                <w:sz w:val="20"/>
                <w:szCs w:val="20"/>
              </w:rPr>
            </w:pPr>
            <w:r w:rsidRPr="00CB3556">
              <w:rPr>
                <w:rFonts w:ascii="Arial" w:hAnsi="Arial" w:cs="Arial"/>
                <w:b/>
                <w:sz w:val="20"/>
                <w:szCs w:val="20"/>
              </w:rPr>
              <w:t>Revision 3</w:t>
            </w:r>
          </w:p>
        </w:tc>
        <w:tc>
          <w:tcPr>
            <w:tcW w:w="650" w:type="pct"/>
            <w:shd w:val="clear" w:color="auto" w:fill="BFBFBF"/>
          </w:tcPr>
          <w:p w:rsidR="00081FB4" w:rsidRPr="00CB3556" w:rsidRDefault="00CB3556" w:rsidP="00D36019">
            <w:pPr>
              <w:rPr>
                <w:rFonts w:ascii="Arial" w:hAnsi="Arial" w:cs="Arial"/>
                <w:b/>
                <w:sz w:val="20"/>
                <w:szCs w:val="20"/>
              </w:rPr>
            </w:pPr>
            <w:r>
              <w:rPr>
                <w:rFonts w:ascii="Arial" w:hAnsi="Arial" w:cs="Arial"/>
                <w:b/>
                <w:sz w:val="20"/>
                <w:szCs w:val="20"/>
              </w:rPr>
              <w:t>04</w:t>
            </w:r>
            <w:r w:rsidR="00D36019">
              <w:rPr>
                <w:rFonts w:ascii="Arial" w:hAnsi="Arial" w:cs="Arial"/>
                <w:b/>
                <w:sz w:val="20"/>
                <w:szCs w:val="20"/>
              </w:rPr>
              <w:t>/25</w:t>
            </w:r>
            <w:r w:rsidR="00672230" w:rsidRPr="00CB3556">
              <w:rPr>
                <w:rFonts w:ascii="Arial" w:hAnsi="Arial" w:cs="Arial"/>
                <w:b/>
                <w:sz w:val="20"/>
                <w:szCs w:val="20"/>
              </w:rPr>
              <w:t>/2014</w:t>
            </w:r>
          </w:p>
        </w:tc>
        <w:tc>
          <w:tcPr>
            <w:tcW w:w="2016" w:type="pct"/>
            <w:shd w:val="clear" w:color="auto" w:fill="BFBFBF"/>
          </w:tcPr>
          <w:p w:rsidR="00081FB4" w:rsidRPr="00CB3556" w:rsidRDefault="00384319" w:rsidP="00D36019">
            <w:pPr>
              <w:rPr>
                <w:rFonts w:ascii="Arial" w:hAnsi="Arial" w:cs="Arial"/>
                <w:b/>
                <w:sz w:val="20"/>
                <w:szCs w:val="20"/>
              </w:rPr>
            </w:pPr>
            <w:r>
              <w:rPr>
                <w:rFonts w:ascii="Arial" w:hAnsi="Arial" w:cs="Arial"/>
                <w:b/>
                <w:sz w:val="20"/>
                <w:szCs w:val="20"/>
              </w:rPr>
              <w:t xml:space="preserve">Formatted to new template. </w:t>
            </w:r>
            <w:r w:rsidR="006A644D">
              <w:rPr>
                <w:rFonts w:ascii="Arial" w:hAnsi="Arial" w:cs="Arial"/>
                <w:b/>
                <w:sz w:val="20"/>
                <w:szCs w:val="20"/>
              </w:rPr>
              <w:t xml:space="preserve">Updated </w:t>
            </w:r>
            <w:r w:rsidR="00386730">
              <w:rPr>
                <w:rFonts w:ascii="Arial" w:hAnsi="Arial" w:cs="Arial"/>
                <w:b/>
                <w:sz w:val="20"/>
                <w:szCs w:val="20"/>
              </w:rPr>
              <w:t xml:space="preserve">for Title 24 code impact. </w:t>
            </w:r>
          </w:p>
        </w:tc>
        <w:tc>
          <w:tcPr>
            <w:tcW w:w="1659" w:type="pct"/>
            <w:shd w:val="clear" w:color="auto" w:fill="BFBFBF"/>
          </w:tcPr>
          <w:p w:rsidR="00081FB4" w:rsidRPr="00CB3556" w:rsidRDefault="00081FB4" w:rsidP="00864083">
            <w:pPr>
              <w:rPr>
                <w:rFonts w:ascii="Arial" w:hAnsi="Arial" w:cs="Arial"/>
                <w:b/>
                <w:sz w:val="20"/>
                <w:szCs w:val="20"/>
              </w:rPr>
            </w:pPr>
            <w:r w:rsidRPr="00CB3556">
              <w:rPr>
                <w:rFonts w:ascii="Arial" w:hAnsi="Arial" w:cs="Arial"/>
                <w:b/>
                <w:sz w:val="20"/>
                <w:szCs w:val="20"/>
              </w:rPr>
              <w:t>Curtis Lee</w:t>
            </w:r>
          </w:p>
          <w:p w:rsidR="00081FB4" w:rsidRDefault="00081FB4" w:rsidP="00864083">
            <w:pPr>
              <w:rPr>
                <w:rFonts w:ascii="Arial" w:hAnsi="Arial" w:cs="Arial"/>
                <w:b/>
                <w:sz w:val="20"/>
                <w:szCs w:val="20"/>
              </w:rPr>
            </w:pPr>
            <w:r w:rsidRPr="00CB3556">
              <w:rPr>
                <w:rFonts w:ascii="Arial" w:hAnsi="Arial" w:cs="Arial"/>
                <w:b/>
                <w:sz w:val="20"/>
                <w:szCs w:val="20"/>
              </w:rPr>
              <w:t>(kW Engineering)</w:t>
            </w:r>
          </w:p>
          <w:p w:rsidR="00E16FD8" w:rsidRPr="00CB3556" w:rsidRDefault="00E16FD8" w:rsidP="00864083">
            <w:pPr>
              <w:rPr>
                <w:rFonts w:ascii="Arial" w:hAnsi="Arial" w:cs="Arial"/>
                <w:b/>
                <w:sz w:val="20"/>
                <w:szCs w:val="20"/>
              </w:rPr>
            </w:pPr>
            <w:r>
              <w:rPr>
                <w:rFonts w:ascii="Arial" w:hAnsi="Arial" w:cs="Arial"/>
                <w:b/>
                <w:sz w:val="20"/>
                <w:szCs w:val="20"/>
              </w:rPr>
              <w:t>Charlie Middleton (PG&amp;E)</w:t>
            </w:r>
          </w:p>
        </w:tc>
      </w:tr>
      <w:tr w:rsidR="006F2498" w:rsidRPr="00CB3556" w:rsidTr="006F2498">
        <w:trPr>
          <w:trHeight w:val="615"/>
        </w:trPr>
        <w:tc>
          <w:tcPr>
            <w:tcW w:w="675" w:type="pct"/>
            <w:shd w:val="clear" w:color="auto" w:fill="F2F2F2" w:themeFill="background1" w:themeFillShade="F2"/>
          </w:tcPr>
          <w:p w:rsidR="006F2498" w:rsidRPr="00CB3556" w:rsidRDefault="006F2498" w:rsidP="006F2498">
            <w:pPr>
              <w:rPr>
                <w:rFonts w:ascii="Arial" w:hAnsi="Arial" w:cs="Arial"/>
                <w:b/>
                <w:sz w:val="20"/>
                <w:szCs w:val="20"/>
              </w:rPr>
            </w:pPr>
            <w:r w:rsidRPr="00CB3556">
              <w:rPr>
                <w:rFonts w:ascii="Arial" w:hAnsi="Arial" w:cs="Arial"/>
                <w:b/>
                <w:sz w:val="20"/>
                <w:szCs w:val="20"/>
              </w:rPr>
              <w:t xml:space="preserve">Revision </w:t>
            </w:r>
            <w:r>
              <w:rPr>
                <w:rFonts w:ascii="Arial" w:hAnsi="Arial" w:cs="Arial"/>
                <w:b/>
                <w:sz w:val="20"/>
                <w:szCs w:val="20"/>
              </w:rPr>
              <w:t>4</w:t>
            </w:r>
          </w:p>
        </w:tc>
        <w:tc>
          <w:tcPr>
            <w:tcW w:w="650" w:type="pct"/>
            <w:shd w:val="clear" w:color="auto" w:fill="F2F2F2" w:themeFill="background1" w:themeFillShade="F2"/>
          </w:tcPr>
          <w:p w:rsidR="006F2498" w:rsidRPr="00CB3556" w:rsidRDefault="006F2498" w:rsidP="00B65C36">
            <w:pPr>
              <w:rPr>
                <w:rFonts w:ascii="Arial" w:hAnsi="Arial" w:cs="Arial"/>
                <w:b/>
                <w:sz w:val="20"/>
                <w:szCs w:val="20"/>
              </w:rPr>
            </w:pPr>
            <w:r>
              <w:rPr>
                <w:rFonts w:ascii="Arial" w:hAnsi="Arial" w:cs="Arial"/>
                <w:b/>
                <w:sz w:val="20"/>
                <w:szCs w:val="20"/>
              </w:rPr>
              <w:t>3/1/2016</w:t>
            </w:r>
          </w:p>
        </w:tc>
        <w:tc>
          <w:tcPr>
            <w:tcW w:w="2016" w:type="pct"/>
            <w:shd w:val="clear" w:color="auto" w:fill="F2F2F2" w:themeFill="background1" w:themeFillShade="F2"/>
          </w:tcPr>
          <w:p w:rsidR="006F2498" w:rsidRPr="00CB3556" w:rsidRDefault="001C6B19" w:rsidP="008C0F09">
            <w:pPr>
              <w:rPr>
                <w:rFonts w:ascii="Arial" w:hAnsi="Arial" w:cs="Arial"/>
                <w:b/>
                <w:sz w:val="20"/>
                <w:szCs w:val="20"/>
              </w:rPr>
            </w:pPr>
            <w:r>
              <w:rPr>
                <w:rFonts w:ascii="Arial" w:hAnsi="Arial" w:cs="Arial"/>
                <w:b/>
                <w:sz w:val="20"/>
                <w:szCs w:val="20"/>
              </w:rPr>
              <w:t>Added</w:t>
            </w:r>
            <w:r w:rsidR="008C0F09">
              <w:rPr>
                <w:rFonts w:ascii="Arial" w:hAnsi="Arial" w:cs="Arial"/>
                <w:b/>
                <w:sz w:val="20"/>
                <w:szCs w:val="20"/>
              </w:rPr>
              <w:t xml:space="preserve"> Title 20 [2015].  Added midstream delivery channel.  Updated savings calculations.</w:t>
            </w:r>
          </w:p>
        </w:tc>
        <w:tc>
          <w:tcPr>
            <w:tcW w:w="1659" w:type="pct"/>
            <w:shd w:val="clear" w:color="auto" w:fill="F2F2F2" w:themeFill="background1" w:themeFillShade="F2"/>
          </w:tcPr>
          <w:p w:rsidR="006F2498" w:rsidRPr="00CB3556" w:rsidRDefault="006F2498" w:rsidP="006F2498">
            <w:pPr>
              <w:rPr>
                <w:rFonts w:ascii="Arial" w:hAnsi="Arial" w:cs="Arial"/>
                <w:b/>
                <w:bCs/>
                <w:sz w:val="20"/>
                <w:szCs w:val="20"/>
              </w:rPr>
            </w:pPr>
            <w:r>
              <w:rPr>
                <w:rFonts w:ascii="Arial" w:hAnsi="Arial" w:cs="Arial"/>
                <w:b/>
                <w:bCs/>
                <w:sz w:val="20"/>
                <w:szCs w:val="20"/>
              </w:rPr>
              <w:t>Linda Wan</w:t>
            </w:r>
            <w:r w:rsidRPr="00CB3556">
              <w:rPr>
                <w:rFonts w:ascii="Arial" w:hAnsi="Arial" w:cs="Arial"/>
                <w:b/>
                <w:bCs/>
                <w:sz w:val="20"/>
                <w:szCs w:val="20"/>
              </w:rPr>
              <w:t xml:space="preserve"> (PG&amp;E)</w:t>
            </w:r>
          </w:p>
        </w:tc>
      </w:tr>
    </w:tbl>
    <w:p w:rsidR="00161EE3" w:rsidRPr="00A961E9" w:rsidRDefault="00161EE3" w:rsidP="00864083">
      <w:pPr>
        <w:rPr>
          <w:rFonts w:ascii="Arial" w:hAnsi="Arial" w:cs="Arial"/>
          <w:color w:val="FF0000"/>
        </w:rPr>
      </w:pPr>
    </w:p>
    <w:p w:rsidR="00C40CE2" w:rsidRDefault="00C40CE2" w:rsidP="00864083">
      <w:pPr>
        <w:pStyle w:val="Heading1"/>
        <w:spacing w:before="0" w:after="0"/>
        <w:sectPr w:rsidR="00C40CE2" w:rsidSect="00DB2CE5">
          <w:endnotePr>
            <w:numFmt w:val="decimal"/>
          </w:endnotePr>
          <w:pgSz w:w="12240" w:h="15840"/>
          <w:pgMar w:top="1440" w:right="1440" w:bottom="1440" w:left="1440" w:header="720" w:footer="720" w:gutter="0"/>
          <w:pgNumType w:fmt="lowerRoman" w:chapStyle="1"/>
          <w:cols w:space="720"/>
          <w:docGrid w:linePitch="360"/>
        </w:sectPr>
      </w:pPr>
    </w:p>
    <w:p w:rsidR="00E71EF1" w:rsidRPr="00BD7B72" w:rsidRDefault="001248A3" w:rsidP="00864083">
      <w:pPr>
        <w:pStyle w:val="Heading1"/>
        <w:spacing w:before="0" w:after="0"/>
      </w:pPr>
      <w:bookmarkStart w:id="7" w:name="_Toc443922958"/>
      <w:r w:rsidRPr="00BD7B72">
        <w:lastRenderedPageBreak/>
        <w:t>Table</w:t>
      </w:r>
      <w:r w:rsidR="006559C8" w:rsidRPr="00BD7B72">
        <w:t xml:space="preserve"> of Contents</w:t>
      </w:r>
      <w:bookmarkEnd w:id="5"/>
      <w:bookmarkEnd w:id="6"/>
      <w:bookmarkEnd w:id="7"/>
    </w:p>
    <w:p w:rsidR="008C0F09" w:rsidRDefault="00E406EA">
      <w:pPr>
        <w:pStyle w:val="TOC1"/>
        <w:tabs>
          <w:tab w:val="right" w:leader="dot" w:pos="9350"/>
        </w:tabs>
        <w:rPr>
          <w:rFonts w:asciiTheme="minorHAnsi" w:eastAsiaTheme="minorEastAsia" w:hAnsiTheme="minorHAnsi" w:cstheme="minorBidi"/>
          <w:noProof/>
          <w:sz w:val="22"/>
          <w:szCs w:val="22"/>
        </w:rPr>
      </w:pPr>
      <w:r w:rsidRPr="00BD7B72">
        <w:rPr>
          <w:rFonts w:ascii="Arial" w:hAnsi="Arial" w:cs="Arial"/>
          <w:b/>
          <w:bCs/>
          <w:sz w:val="22"/>
          <w:szCs w:val="22"/>
        </w:rPr>
        <w:fldChar w:fldCharType="begin"/>
      </w:r>
      <w:r w:rsidR="009F6F8B" w:rsidRPr="00BD7B72">
        <w:rPr>
          <w:rFonts w:ascii="Arial" w:hAnsi="Arial" w:cs="Arial"/>
          <w:b/>
          <w:bCs/>
          <w:sz w:val="22"/>
          <w:szCs w:val="22"/>
        </w:rPr>
        <w:instrText xml:space="preserve"> TOC \o "1-3" \h \z \u </w:instrText>
      </w:r>
      <w:r w:rsidRPr="00BD7B72">
        <w:rPr>
          <w:rFonts w:ascii="Arial" w:hAnsi="Arial" w:cs="Arial"/>
          <w:b/>
          <w:bCs/>
          <w:sz w:val="22"/>
          <w:szCs w:val="22"/>
        </w:rPr>
        <w:fldChar w:fldCharType="separate"/>
      </w:r>
      <w:hyperlink w:anchor="_Toc443922956" w:history="1">
        <w:r w:rsidR="008C0F09" w:rsidRPr="0035050A">
          <w:rPr>
            <w:rStyle w:val="Hyperlink"/>
            <w:noProof/>
          </w:rPr>
          <w:t>At-A-Glance Summary</w:t>
        </w:r>
        <w:r w:rsidR="008C0F09">
          <w:rPr>
            <w:noProof/>
            <w:webHidden/>
          </w:rPr>
          <w:tab/>
        </w:r>
        <w:r w:rsidR="008C0F09">
          <w:rPr>
            <w:noProof/>
            <w:webHidden/>
          </w:rPr>
          <w:fldChar w:fldCharType="begin"/>
        </w:r>
        <w:r w:rsidR="008C0F09">
          <w:rPr>
            <w:noProof/>
            <w:webHidden/>
          </w:rPr>
          <w:instrText xml:space="preserve"> PAGEREF _Toc443922956 \h </w:instrText>
        </w:r>
        <w:r w:rsidR="008C0F09">
          <w:rPr>
            <w:noProof/>
            <w:webHidden/>
          </w:rPr>
        </w:r>
        <w:r w:rsidR="008C0F09">
          <w:rPr>
            <w:noProof/>
            <w:webHidden/>
          </w:rPr>
          <w:fldChar w:fldCharType="separate"/>
        </w:r>
        <w:r w:rsidR="008C0F09">
          <w:rPr>
            <w:noProof/>
            <w:webHidden/>
          </w:rPr>
          <w:t>i</w:t>
        </w:r>
        <w:r w:rsidR="008C0F09">
          <w:rPr>
            <w:noProof/>
            <w:webHidden/>
          </w:rPr>
          <w:fldChar w:fldCharType="end"/>
        </w:r>
      </w:hyperlink>
    </w:p>
    <w:p w:rsidR="008C0F09" w:rsidRDefault="00B41704">
      <w:pPr>
        <w:pStyle w:val="TOC1"/>
        <w:tabs>
          <w:tab w:val="right" w:leader="dot" w:pos="9350"/>
        </w:tabs>
        <w:rPr>
          <w:rFonts w:asciiTheme="minorHAnsi" w:eastAsiaTheme="minorEastAsia" w:hAnsiTheme="minorHAnsi" w:cstheme="minorBidi"/>
          <w:noProof/>
          <w:sz w:val="22"/>
          <w:szCs w:val="22"/>
        </w:rPr>
      </w:pPr>
      <w:hyperlink w:anchor="_Toc443922957" w:history="1">
        <w:r w:rsidR="008C0F09" w:rsidRPr="0035050A">
          <w:rPr>
            <w:rStyle w:val="Hyperlink"/>
            <w:noProof/>
          </w:rPr>
          <w:t>Document Revision History</w:t>
        </w:r>
        <w:r w:rsidR="008C0F09">
          <w:rPr>
            <w:noProof/>
            <w:webHidden/>
          </w:rPr>
          <w:tab/>
        </w:r>
        <w:r w:rsidR="008C0F09">
          <w:rPr>
            <w:noProof/>
            <w:webHidden/>
          </w:rPr>
          <w:fldChar w:fldCharType="begin"/>
        </w:r>
        <w:r w:rsidR="008C0F09">
          <w:rPr>
            <w:noProof/>
            <w:webHidden/>
          </w:rPr>
          <w:instrText xml:space="preserve"> PAGEREF _Toc443922957 \h </w:instrText>
        </w:r>
        <w:r w:rsidR="008C0F09">
          <w:rPr>
            <w:noProof/>
            <w:webHidden/>
          </w:rPr>
        </w:r>
        <w:r w:rsidR="008C0F09">
          <w:rPr>
            <w:noProof/>
            <w:webHidden/>
          </w:rPr>
          <w:fldChar w:fldCharType="separate"/>
        </w:r>
        <w:r w:rsidR="008C0F09">
          <w:rPr>
            <w:noProof/>
            <w:webHidden/>
          </w:rPr>
          <w:t>iii</w:t>
        </w:r>
        <w:r w:rsidR="008C0F09">
          <w:rPr>
            <w:noProof/>
            <w:webHidden/>
          </w:rPr>
          <w:fldChar w:fldCharType="end"/>
        </w:r>
      </w:hyperlink>
    </w:p>
    <w:p w:rsidR="008C0F09" w:rsidRDefault="00B41704">
      <w:pPr>
        <w:pStyle w:val="TOC1"/>
        <w:tabs>
          <w:tab w:val="right" w:leader="dot" w:pos="9350"/>
        </w:tabs>
        <w:rPr>
          <w:rFonts w:asciiTheme="minorHAnsi" w:eastAsiaTheme="minorEastAsia" w:hAnsiTheme="minorHAnsi" w:cstheme="minorBidi"/>
          <w:noProof/>
          <w:sz w:val="22"/>
          <w:szCs w:val="22"/>
        </w:rPr>
      </w:pPr>
      <w:hyperlink w:anchor="_Toc443922958" w:history="1">
        <w:r w:rsidR="008C0F09" w:rsidRPr="0035050A">
          <w:rPr>
            <w:rStyle w:val="Hyperlink"/>
            <w:noProof/>
          </w:rPr>
          <w:t>Table of Contents</w:t>
        </w:r>
        <w:r w:rsidR="008C0F09">
          <w:rPr>
            <w:noProof/>
            <w:webHidden/>
          </w:rPr>
          <w:tab/>
        </w:r>
        <w:r w:rsidR="008C0F09">
          <w:rPr>
            <w:noProof/>
            <w:webHidden/>
          </w:rPr>
          <w:fldChar w:fldCharType="begin"/>
        </w:r>
        <w:r w:rsidR="008C0F09">
          <w:rPr>
            <w:noProof/>
            <w:webHidden/>
          </w:rPr>
          <w:instrText xml:space="preserve"> PAGEREF _Toc443922958 \h </w:instrText>
        </w:r>
        <w:r w:rsidR="008C0F09">
          <w:rPr>
            <w:noProof/>
            <w:webHidden/>
          </w:rPr>
        </w:r>
        <w:r w:rsidR="008C0F09">
          <w:rPr>
            <w:noProof/>
            <w:webHidden/>
          </w:rPr>
          <w:fldChar w:fldCharType="separate"/>
        </w:r>
        <w:r w:rsidR="008C0F09">
          <w:rPr>
            <w:noProof/>
            <w:webHidden/>
          </w:rPr>
          <w:t>iv</w:t>
        </w:r>
        <w:r w:rsidR="008C0F09">
          <w:rPr>
            <w:noProof/>
            <w:webHidden/>
          </w:rPr>
          <w:fldChar w:fldCharType="end"/>
        </w:r>
      </w:hyperlink>
    </w:p>
    <w:p w:rsidR="008C0F09" w:rsidRDefault="00B41704">
      <w:pPr>
        <w:pStyle w:val="TOC1"/>
        <w:tabs>
          <w:tab w:val="right" w:leader="dot" w:pos="9350"/>
        </w:tabs>
        <w:rPr>
          <w:rFonts w:asciiTheme="minorHAnsi" w:eastAsiaTheme="minorEastAsia" w:hAnsiTheme="minorHAnsi" w:cstheme="minorBidi"/>
          <w:noProof/>
          <w:sz w:val="22"/>
          <w:szCs w:val="22"/>
        </w:rPr>
      </w:pPr>
      <w:hyperlink w:anchor="_Toc443922959" w:history="1">
        <w:r w:rsidR="008C0F09" w:rsidRPr="0035050A">
          <w:rPr>
            <w:rStyle w:val="Hyperlink"/>
            <w:noProof/>
          </w:rPr>
          <w:t>List of Tables</w:t>
        </w:r>
        <w:r w:rsidR="008C0F09">
          <w:rPr>
            <w:noProof/>
            <w:webHidden/>
          </w:rPr>
          <w:tab/>
        </w:r>
        <w:r w:rsidR="008C0F09">
          <w:rPr>
            <w:noProof/>
            <w:webHidden/>
          </w:rPr>
          <w:fldChar w:fldCharType="begin"/>
        </w:r>
        <w:r w:rsidR="008C0F09">
          <w:rPr>
            <w:noProof/>
            <w:webHidden/>
          </w:rPr>
          <w:instrText xml:space="preserve"> PAGEREF _Toc443922959 \h </w:instrText>
        </w:r>
        <w:r w:rsidR="008C0F09">
          <w:rPr>
            <w:noProof/>
            <w:webHidden/>
          </w:rPr>
        </w:r>
        <w:r w:rsidR="008C0F09">
          <w:rPr>
            <w:noProof/>
            <w:webHidden/>
          </w:rPr>
          <w:fldChar w:fldCharType="separate"/>
        </w:r>
        <w:r w:rsidR="008C0F09">
          <w:rPr>
            <w:noProof/>
            <w:webHidden/>
          </w:rPr>
          <w:t>v</w:t>
        </w:r>
        <w:r w:rsidR="008C0F09">
          <w:rPr>
            <w:noProof/>
            <w:webHidden/>
          </w:rPr>
          <w:fldChar w:fldCharType="end"/>
        </w:r>
      </w:hyperlink>
    </w:p>
    <w:p w:rsidR="008C0F09" w:rsidRDefault="00B41704">
      <w:pPr>
        <w:pStyle w:val="TOC1"/>
        <w:tabs>
          <w:tab w:val="right" w:leader="dot" w:pos="9350"/>
        </w:tabs>
        <w:rPr>
          <w:rFonts w:asciiTheme="minorHAnsi" w:eastAsiaTheme="minorEastAsia" w:hAnsiTheme="minorHAnsi" w:cstheme="minorBidi"/>
          <w:noProof/>
          <w:sz w:val="22"/>
          <w:szCs w:val="22"/>
        </w:rPr>
      </w:pPr>
      <w:hyperlink w:anchor="_Toc443922960" w:history="1">
        <w:r w:rsidR="008C0F09" w:rsidRPr="0035050A">
          <w:rPr>
            <w:rStyle w:val="Hyperlink"/>
            <w:i/>
            <w:noProof/>
          </w:rPr>
          <w:t>Section 1. General Measure &amp; Baseline Data</w:t>
        </w:r>
        <w:r w:rsidR="008C0F09">
          <w:rPr>
            <w:noProof/>
            <w:webHidden/>
          </w:rPr>
          <w:tab/>
        </w:r>
        <w:r w:rsidR="008C0F09">
          <w:rPr>
            <w:noProof/>
            <w:webHidden/>
          </w:rPr>
          <w:fldChar w:fldCharType="begin"/>
        </w:r>
        <w:r w:rsidR="008C0F09">
          <w:rPr>
            <w:noProof/>
            <w:webHidden/>
          </w:rPr>
          <w:instrText xml:space="preserve"> PAGEREF _Toc443922960 \h </w:instrText>
        </w:r>
        <w:r w:rsidR="008C0F09">
          <w:rPr>
            <w:noProof/>
            <w:webHidden/>
          </w:rPr>
        </w:r>
        <w:r w:rsidR="008C0F09">
          <w:rPr>
            <w:noProof/>
            <w:webHidden/>
          </w:rPr>
          <w:fldChar w:fldCharType="separate"/>
        </w:r>
        <w:r w:rsidR="008C0F09">
          <w:rPr>
            <w:noProof/>
            <w:webHidden/>
          </w:rPr>
          <w:t>1</w:t>
        </w:r>
        <w:r w:rsidR="008C0F09">
          <w:rPr>
            <w:noProof/>
            <w:webHidden/>
          </w:rPr>
          <w:fldChar w:fldCharType="end"/>
        </w:r>
      </w:hyperlink>
    </w:p>
    <w:p w:rsidR="008C0F09" w:rsidRDefault="00B41704">
      <w:pPr>
        <w:pStyle w:val="TOC2"/>
        <w:tabs>
          <w:tab w:val="right" w:leader="dot" w:pos="9350"/>
        </w:tabs>
        <w:rPr>
          <w:rFonts w:asciiTheme="minorHAnsi" w:eastAsiaTheme="minorEastAsia" w:hAnsiTheme="minorHAnsi" w:cstheme="minorBidi"/>
          <w:noProof/>
          <w:sz w:val="22"/>
          <w:szCs w:val="22"/>
        </w:rPr>
      </w:pPr>
      <w:hyperlink w:anchor="_Toc443922961" w:history="1">
        <w:r w:rsidR="008C0F09" w:rsidRPr="0035050A">
          <w:rPr>
            <w:rStyle w:val="Hyperlink"/>
            <w:noProof/>
          </w:rPr>
          <w:t>1.1 Product Measure Description &amp; Background</w:t>
        </w:r>
        <w:r w:rsidR="008C0F09">
          <w:rPr>
            <w:noProof/>
            <w:webHidden/>
          </w:rPr>
          <w:tab/>
        </w:r>
        <w:r w:rsidR="008C0F09">
          <w:rPr>
            <w:noProof/>
            <w:webHidden/>
          </w:rPr>
          <w:fldChar w:fldCharType="begin"/>
        </w:r>
        <w:r w:rsidR="008C0F09">
          <w:rPr>
            <w:noProof/>
            <w:webHidden/>
          </w:rPr>
          <w:instrText xml:space="preserve"> PAGEREF _Toc443922961 \h </w:instrText>
        </w:r>
        <w:r w:rsidR="008C0F09">
          <w:rPr>
            <w:noProof/>
            <w:webHidden/>
          </w:rPr>
        </w:r>
        <w:r w:rsidR="008C0F09">
          <w:rPr>
            <w:noProof/>
            <w:webHidden/>
          </w:rPr>
          <w:fldChar w:fldCharType="separate"/>
        </w:r>
        <w:r w:rsidR="008C0F09">
          <w:rPr>
            <w:noProof/>
            <w:webHidden/>
          </w:rPr>
          <w:t>1</w:t>
        </w:r>
        <w:r w:rsidR="008C0F09">
          <w:rPr>
            <w:noProof/>
            <w:webHidden/>
          </w:rPr>
          <w:fldChar w:fldCharType="end"/>
        </w:r>
      </w:hyperlink>
    </w:p>
    <w:p w:rsidR="008C0F09" w:rsidRDefault="00B41704">
      <w:pPr>
        <w:pStyle w:val="TOC2"/>
        <w:tabs>
          <w:tab w:val="right" w:leader="dot" w:pos="9350"/>
        </w:tabs>
        <w:rPr>
          <w:rFonts w:asciiTheme="minorHAnsi" w:eastAsiaTheme="minorEastAsia" w:hAnsiTheme="minorHAnsi" w:cstheme="minorBidi"/>
          <w:noProof/>
          <w:sz w:val="22"/>
          <w:szCs w:val="22"/>
        </w:rPr>
      </w:pPr>
      <w:hyperlink w:anchor="_Toc443922962" w:history="1">
        <w:r w:rsidR="008C0F09" w:rsidRPr="0035050A">
          <w:rPr>
            <w:rStyle w:val="Hyperlink"/>
            <w:noProof/>
          </w:rPr>
          <w:t>1.2 Product Technical Description</w:t>
        </w:r>
        <w:r w:rsidR="008C0F09">
          <w:rPr>
            <w:noProof/>
            <w:webHidden/>
          </w:rPr>
          <w:tab/>
        </w:r>
        <w:r w:rsidR="008C0F09">
          <w:rPr>
            <w:noProof/>
            <w:webHidden/>
          </w:rPr>
          <w:fldChar w:fldCharType="begin"/>
        </w:r>
        <w:r w:rsidR="008C0F09">
          <w:rPr>
            <w:noProof/>
            <w:webHidden/>
          </w:rPr>
          <w:instrText xml:space="preserve"> PAGEREF _Toc443922962 \h </w:instrText>
        </w:r>
        <w:r w:rsidR="008C0F09">
          <w:rPr>
            <w:noProof/>
            <w:webHidden/>
          </w:rPr>
        </w:r>
        <w:r w:rsidR="008C0F09">
          <w:rPr>
            <w:noProof/>
            <w:webHidden/>
          </w:rPr>
          <w:fldChar w:fldCharType="separate"/>
        </w:r>
        <w:r w:rsidR="008C0F09">
          <w:rPr>
            <w:noProof/>
            <w:webHidden/>
          </w:rPr>
          <w:t>1</w:t>
        </w:r>
        <w:r w:rsidR="008C0F09">
          <w:rPr>
            <w:noProof/>
            <w:webHidden/>
          </w:rPr>
          <w:fldChar w:fldCharType="end"/>
        </w:r>
      </w:hyperlink>
    </w:p>
    <w:p w:rsidR="008C0F09" w:rsidRDefault="00B41704">
      <w:pPr>
        <w:pStyle w:val="TOC2"/>
        <w:tabs>
          <w:tab w:val="right" w:leader="dot" w:pos="9350"/>
        </w:tabs>
        <w:rPr>
          <w:rFonts w:asciiTheme="minorHAnsi" w:eastAsiaTheme="minorEastAsia" w:hAnsiTheme="minorHAnsi" w:cstheme="minorBidi"/>
          <w:noProof/>
          <w:sz w:val="22"/>
          <w:szCs w:val="22"/>
        </w:rPr>
      </w:pPr>
      <w:hyperlink w:anchor="_Toc443922963" w:history="1">
        <w:r w:rsidR="008C0F09" w:rsidRPr="0035050A">
          <w:rPr>
            <w:rStyle w:val="Hyperlink"/>
            <w:noProof/>
          </w:rPr>
          <w:t>1.3 Measure Application Type</w:t>
        </w:r>
        <w:r w:rsidR="008C0F09">
          <w:rPr>
            <w:noProof/>
            <w:webHidden/>
          </w:rPr>
          <w:tab/>
        </w:r>
        <w:r w:rsidR="008C0F09">
          <w:rPr>
            <w:noProof/>
            <w:webHidden/>
          </w:rPr>
          <w:fldChar w:fldCharType="begin"/>
        </w:r>
        <w:r w:rsidR="008C0F09">
          <w:rPr>
            <w:noProof/>
            <w:webHidden/>
          </w:rPr>
          <w:instrText xml:space="preserve"> PAGEREF _Toc443922963 \h </w:instrText>
        </w:r>
        <w:r w:rsidR="008C0F09">
          <w:rPr>
            <w:noProof/>
            <w:webHidden/>
          </w:rPr>
        </w:r>
        <w:r w:rsidR="008C0F09">
          <w:rPr>
            <w:noProof/>
            <w:webHidden/>
          </w:rPr>
          <w:fldChar w:fldCharType="separate"/>
        </w:r>
        <w:r w:rsidR="008C0F09">
          <w:rPr>
            <w:noProof/>
            <w:webHidden/>
          </w:rPr>
          <w:t>2</w:t>
        </w:r>
        <w:r w:rsidR="008C0F09">
          <w:rPr>
            <w:noProof/>
            <w:webHidden/>
          </w:rPr>
          <w:fldChar w:fldCharType="end"/>
        </w:r>
      </w:hyperlink>
    </w:p>
    <w:p w:rsidR="008C0F09" w:rsidRDefault="00B41704">
      <w:pPr>
        <w:pStyle w:val="TOC2"/>
        <w:tabs>
          <w:tab w:val="right" w:leader="dot" w:pos="9350"/>
        </w:tabs>
        <w:rPr>
          <w:rFonts w:asciiTheme="minorHAnsi" w:eastAsiaTheme="minorEastAsia" w:hAnsiTheme="minorHAnsi" w:cstheme="minorBidi"/>
          <w:noProof/>
          <w:sz w:val="22"/>
          <w:szCs w:val="22"/>
        </w:rPr>
      </w:pPr>
      <w:hyperlink w:anchor="_Toc443922964" w:history="1">
        <w:r w:rsidR="008C0F09" w:rsidRPr="0035050A">
          <w:rPr>
            <w:rStyle w:val="Hyperlink"/>
            <w:noProof/>
          </w:rPr>
          <w:t>1.4 Product Base Case and Measure Case Data</w:t>
        </w:r>
        <w:r w:rsidR="008C0F09">
          <w:rPr>
            <w:noProof/>
            <w:webHidden/>
          </w:rPr>
          <w:tab/>
        </w:r>
        <w:r w:rsidR="008C0F09">
          <w:rPr>
            <w:noProof/>
            <w:webHidden/>
          </w:rPr>
          <w:fldChar w:fldCharType="begin"/>
        </w:r>
        <w:r w:rsidR="008C0F09">
          <w:rPr>
            <w:noProof/>
            <w:webHidden/>
          </w:rPr>
          <w:instrText xml:space="preserve"> PAGEREF _Toc443922964 \h </w:instrText>
        </w:r>
        <w:r w:rsidR="008C0F09">
          <w:rPr>
            <w:noProof/>
            <w:webHidden/>
          </w:rPr>
        </w:r>
        <w:r w:rsidR="008C0F09">
          <w:rPr>
            <w:noProof/>
            <w:webHidden/>
          </w:rPr>
          <w:fldChar w:fldCharType="separate"/>
        </w:r>
        <w:r w:rsidR="008C0F09">
          <w:rPr>
            <w:noProof/>
            <w:webHidden/>
          </w:rPr>
          <w:t>2</w:t>
        </w:r>
        <w:r w:rsidR="008C0F09">
          <w:rPr>
            <w:noProof/>
            <w:webHidden/>
          </w:rPr>
          <w:fldChar w:fldCharType="end"/>
        </w:r>
      </w:hyperlink>
    </w:p>
    <w:p w:rsidR="008C0F09" w:rsidRDefault="00B41704">
      <w:pPr>
        <w:pStyle w:val="TOC2"/>
        <w:tabs>
          <w:tab w:val="right" w:leader="dot" w:pos="9350"/>
        </w:tabs>
        <w:rPr>
          <w:rFonts w:asciiTheme="minorHAnsi" w:eastAsiaTheme="minorEastAsia" w:hAnsiTheme="minorHAnsi" w:cstheme="minorBidi"/>
          <w:noProof/>
          <w:sz w:val="22"/>
          <w:szCs w:val="22"/>
        </w:rPr>
      </w:pPr>
      <w:hyperlink w:anchor="_Toc443922965" w:history="1">
        <w:r w:rsidR="008C0F09" w:rsidRPr="0035050A">
          <w:rPr>
            <w:rStyle w:val="Hyperlink"/>
            <w:noProof/>
          </w:rPr>
          <w:t>1.4.1 DEER Base Case and Measure Case Information</w:t>
        </w:r>
        <w:r w:rsidR="008C0F09">
          <w:rPr>
            <w:noProof/>
            <w:webHidden/>
          </w:rPr>
          <w:tab/>
        </w:r>
        <w:r w:rsidR="008C0F09">
          <w:rPr>
            <w:noProof/>
            <w:webHidden/>
          </w:rPr>
          <w:fldChar w:fldCharType="begin"/>
        </w:r>
        <w:r w:rsidR="008C0F09">
          <w:rPr>
            <w:noProof/>
            <w:webHidden/>
          </w:rPr>
          <w:instrText xml:space="preserve"> PAGEREF _Toc443922965 \h </w:instrText>
        </w:r>
        <w:r w:rsidR="008C0F09">
          <w:rPr>
            <w:noProof/>
            <w:webHidden/>
          </w:rPr>
        </w:r>
        <w:r w:rsidR="008C0F09">
          <w:rPr>
            <w:noProof/>
            <w:webHidden/>
          </w:rPr>
          <w:fldChar w:fldCharType="separate"/>
        </w:r>
        <w:r w:rsidR="008C0F09">
          <w:rPr>
            <w:noProof/>
            <w:webHidden/>
          </w:rPr>
          <w:t>2</w:t>
        </w:r>
        <w:r w:rsidR="008C0F09">
          <w:rPr>
            <w:noProof/>
            <w:webHidden/>
          </w:rPr>
          <w:fldChar w:fldCharType="end"/>
        </w:r>
      </w:hyperlink>
    </w:p>
    <w:p w:rsidR="008C0F09" w:rsidRDefault="00B41704">
      <w:pPr>
        <w:pStyle w:val="TOC2"/>
        <w:tabs>
          <w:tab w:val="right" w:leader="dot" w:pos="9350"/>
        </w:tabs>
        <w:rPr>
          <w:rFonts w:asciiTheme="minorHAnsi" w:eastAsiaTheme="minorEastAsia" w:hAnsiTheme="minorHAnsi" w:cstheme="minorBidi"/>
          <w:noProof/>
          <w:sz w:val="22"/>
          <w:szCs w:val="22"/>
        </w:rPr>
      </w:pPr>
      <w:hyperlink w:anchor="_Toc443922966" w:history="1">
        <w:r w:rsidR="008C0F09" w:rsidRPr="0035050A">
          <w:rPr>
            <w:rStyle w:val="Hyperlink"/>
            <w:noProof/>
          </w:rPr>
          <w:t>1.4.2 Codes &amp; Standards Requirements Base Case and Measure Information</w:t>
        </w:r>
        <w:r w:rsidR="008C0F09">
          <w:rPr>
            <w:noProof/>
            <w:webHidden/>
          </w:rPr>
          <w:tab/>
        </w:r>
        <w:r w:rsidR="008C0F09">
          <w:rPr>
            <w:noProof/>
            <w:webHidden/>
          </w:rPr>
          <w:fldChar w:fldCharType="begin"/>
        </w:r>
        <w:r w:rsidR="008C0F09">
          <w:rPr>
            <w:noProof/>
            <w:webHidden/>
          </w:rPr>
          <w:instrText xml:space="preserve"> PAGEREF _Toc443922966 \h </w:instrText>
        </w:r>
        <w:r w:rsidR="008C0F09">
          <w:rPr>
            <w:noProof/>
            <w:webHidden/>
          </w:rPr>
        </w:r>
        <w:r w:rsidR="008C0F09">
          <w:rPr>
            <w:noProof/>
            <w:webHidden/>
          </w:rPr>
          <w:fldChar w:fldCharType="separate"/>
        </w:r>
        <w:r w:rsidR="008C0F09">
          <w:rPr>
            <w:noProof/>
            <w:webHidden/>
          </w:rPr>
          <w:t>3</w:t>
        </w:r>
        <w:r w:rsidR="008C0F09">
          <w:rPr>
            <w:noProof/>
            <w:webHidden/>
          </w:rPr>
          <w:fldChar w:fldCharType="end"/>
        </w:r>
      </w:hyperlink>
    </w:p>
    <w:p w:rsidR="008C0F09" w:rsidRDefault="00B41704">
      <w:pPr>
        <w:pStyle w:val="TOC2"/>
        <w:tabs>
          <w:tab w:val="right" w:leader="dot" w:pos="9350"/>
        </w:tabs>
        <w:rPr>
          <w:rFonts w:asciiTheme="minorHAnsi" w:eastAsiaTheme="minorEastAsia" w:hAnsiTheme="minorHAnsi" w:cstheme="minorBidi"/>
          <w:noProof/>
          <w:sz w:val="22"/>
          <w:szCs w:val="22"/>
        </w:rPr>
      </w:pPr>
      <w:hyperlink w:anchor="_Toc443922967" w:history="1">
        <w:r w:rsidR="008C0F09" w:rsidRPr="0035050A">
          <w:rPr>
            <w:rStyle w:val="Hyperlink"/>
            <w:noProof/>
          </w:rPr>
          <w:t>1.4.3 EM&amp;V, Market Potential, and Other Studies – Base Case and Measure Case Information</w:t>
        </w:r>
        <w:r w:rsidR="008C0F09">
          <w:rPr>
            <w:noProof/>
            <w:webHidden/>
          </w:rPr>
          <w:tab/>
        </w:r>
        <w:r w:rsidR="008C0F09">
          <w:rPr>
            <w:noProof/>
            <w:webHidden/>
          </w:rPr>
          <w:fldChar w:fldCharType="begin"/>
        </w:r>
        <w:r w:rsidR="008C0F09">
          <w:rPr>
            <w:noProof/>
            <w:webHidden/>
          </w:rPr>
          <w:instrText xml:space="preserve"> PAGEREF _Toc443922967 \h </w:instrText>
        </w:r>
        <w:r w:rsidR="008C0F09">
          <w:rPr>
            <w:noProof/>
            <w:webHidden/>
          </w:rPr>
        </w:r>
        <w:r w:rsidR="008C0F09">
          <w:rPr>
            <w:noProof/>
            <w:webHidden/>
          </w:rPr>
          <w:fldChar w:fldCharType="separate"/>
        </w:r>
        <w:r w:rsidR="008C0F09">
          <w:rPr>
            <w:noProof/>
            <w:webHidden/>
          </w:rPr>
          <w:t>6</w:t>
        </w:r>
        <w:r w:rsidR="008C0F09">
          <w:rPr>
            <w:noProof/>
            <w:webHidden/>
          </w:rPr>
          <w:fldChar w:fldCharType="end"/>
        </w:r>
      </w:hyperlink>
    </w:p>
    <w:p w:rsidR="008C0F09" w:rsidRDefault="00B41704">
      <w:pPr>
        <w:pStyle w:val="TOC2"/>
        <w:tabs>
          <w:tab w:val="right" w:leader="dot" w:pos="9350"/>
        </w:tabs>
        <w:rPr>
          <w:rFonts w:asciiTheme="minorHAnsi" w:eastAsiaTheme="minorEastAsia" w:hAnsiTheme="minorHAnsi" w:cstheme="minorBidi"/>
          <w:noProof/>
          <w:sz w:val="22"/>
          <w:szCs w:val="22"/>
        </w:rPr>
      </w:pPr>
      <w:hyperlink w:anchor="_Toc443922968" w:history="1">
        <w:r w:rsidR="008C0F09" w:rsidRPr="0035050A">
          <w:rPr>
            <w:rStyle w:val="Hyperlink"/>
            <w:noProof/>
          </w:rPr>
          <w:t>1.4.4 Assumptions and Calculations from other sources—Base and Measure Cases</w:t>
        </w:r>
        <w:r w:rsidR="008C0F09">
          <w:rPr>
            <w:noProof/>
            <w:webHidden/>
          </w:rPr>
          <w:tab/>
        </w:r>
        <w:r w:rsidR="008C0F09">
          <w:rPr>
            <w:noProof/>
            <w:webHidden/>
          </w:rPr>
          <w:fldChar w:fldCharType="begin"/>
        </w:r>
        <w:r w:rsidR="008C0F09">
          <w:rPr>
            <w:noProof/>
            <w:webHidden/>
          </w:rPr>
          <w:instrText xml:space="preserve"> PAGEREF _Toc443922968 \h </w:instrText>
        </w:r>
        <w:r w:rsidR="008C0F09">
          <w:rPr>
            <w:noProof/>
            <w:webHidden/>
          </w:rPr>
        </w:r>
        <w:r w:rsidR="008C0F09">
          <w:rPr>
            <w:noProof/>
            <w:webHidden/>
          </w:rPr>
          <w:fldChar w:fldCharType="separate"/>
        </w:r>
        <w:r w:rsidR="008C0F09">
          <w:rPr>
            <w:noProof/>
            <w:webHidden/>
          </w:rPr>
          <w:t>6</w:t>
        </w:r>
        <w:r w:rsidR="008C0F09">
          <w:rPr>
            <w:noProof/>
            <w:webHidden/>
          </w:rPr>
          <w:fldChar w:fldCharType="end"/>
        </w:r>
      </w:hyperlink>
    </w:p>
    <w:p w:rsidR="008C0F09" w:rsidRDefault="00B41704">
      <w:pPr>
        <w:pStyle w:val="TOC2"/>
        <w:tabs>
          <w:tab w:val="right" w:leader="dot" w:pos="9350"/>
        </w:tabs>
        <w:rPr>
          <w:rFonts w:asciiTheme="minorHAnsi" w:eastAsiaTheme="minorEastAsia" w:hAnsiTheme="minorHAnsi" w:cstheme="minorBidi"/>
          <w:noProof/>
          <w:sz w:val="22"/>
          <w:szCs w:val="22"/>
        </w:rPr>
      </w:pPr>
      <w:hyperlink w:anchor="_Toc443922969" w:history="1">
        <w:r w:rsidR="008C0F09" w:rsidRPr="0035050A">
          <w:rPr>
            <w:rStyle w:val="Hyperlink"/>
            <w:noProof/>
          </w:rPr>
          <w:t>1.4.5 Time-of-Use Adjustment Factor</w:t>
        </w:r>
        <w:r w:rsidR="008C0F09">
          <w:rPr>
            <w:noProof/>
            <w:webHidden/>
          </w:rPr>
          <w:tab/>
        </w:r>
        <w:r w:rsidR="008C0F09">
          <w:rPr>
            <w:noProof/>
            <w:webHidden/>
          </w:rPr>
          <w:fldChar w:fldCharType="begin"/>
        </w:r>
        <w:r w:rsidR="008C0F09">
          <w:rPr>
            <w:noProof/>
            <w:webHidden/>
          </w:rPr>
          <w:instrText xml:space="preserve"> PAGEREF _Toc443922969 \h </w:instrText>
        </w:r>
        <w:r w:rsidR="008C0F09">
          <w:rPr>
            <w:noProof/>
            <w:webHidden/>
          </w:rPr>
        </w:r>
        <w:r w:rsidR="008C0F09">
          <w:rPr>
            <w:noProof/>
            <w:webHidden/>
          </w:rPr>
          <w:fldChar w:fldCharType="separate"/>
        </w:r>
        <w:r w:rsidR="008C0F09">
          <w:rPr>
            <w:noProof/>
            <w:webHidden/>
          </w:rPr>
          <w:t>6</w:t>
        </w:r>
        <w:r w:rsidR="008C0F09">
          <w:rPr>
            <w:noProof/>
            <w:webHidden/>
          </w:rPr>
          <w:fldChar w:fldCharType="end"/>
        </w:r>
      </w:hyperlink>
    </w:p>
    <w:p w:rsidR="008C0F09" w:rsidRDefault="00B41704">
      <w:pPr>
        <w:pStyle w:val="TOC1"/>
        <w:tabs>
          <w:tab w:val="right" w:leader="dot" w:pos="9350"/>
        </w:tabs>
        <w:rPr>
          <w:rFonts w:asciiTheme="minorHAnsi" w:eastAsiaTheme="minorEastAsia" w:hAnsiTheme="minorHAnsi" w:cstheme="minorBidi"/>
          <w:noProof/>
          <w:sz w:val="22"/>
          <w:szCs w:val="22"/>
        </w:rPr>
      </w:pPr>
      <w:hyperlink w:anchor="_Toc443922970" w:history="1">
        <w:r w:rsidR="008C0F09" w:rsidRPr="0035050A">
          <w:rPr>
            <w:rStyle w:val="Hyperlink"/>
            <w:i/>
            <w:noProof/>
          </w:rPr>
          <w:t>Section 2. Calculation Methods</w:t>
        </w:r>
        <w:r w:rsidR="008C0F09">
          <w:rPr>
            <w:noProof/>
            <w:webHidden/>
          </w:rPr>
          <w:tab/>
        </w:r>
        <w:r w:rsidR="008C0F09">
          <w:rPr>
            <w:noProof/>
            <w:webHidden/>
          </w:rPr>
          <w:fldChar w:fldCharType="begin"/>
        </w:r>
        <w:r w:rsidR="008C0F09">
          <w:rPr>
            <w:noProof/>
            <w:webHidden/>
          </w:rPr>
          <w:instrText xml:space="preserve"> PAGEREF _Toc443922970 \h </w:instrText>
        </w:r>
        <w:r w:rsidR="008C0F09">
          <w:rPr>
            <w:noProof/>
            <w:webHidden/>
          </w:rPr>
        </w:r>
        <w:r w:rsidR="008C0F09">
          <w:rPr>
            <w:noProof/>
            <w:webHidden/>
          </w:rPr>
          <w:fldChar w:fldCharType="separate"/>
        </w:r>
        <w:r w:rsidR="008C0F09">
          <w:rPr>
            <w:noProof/>
            <w:webHidden/>
          </w:rPr>
          <w:t>7</w:t>
        </w:r>
        <w:r w:rsidR="008C0F09">
          <w:rPr>
            <w:noProof/>
            <w:webHidden/>
          </w:rPr>
          <w:fldChar w:fldCharType="end"/>
        </w:r>
      </w:hyperlink>
    </w:p>
    <w:p w:rsidR="008C0F09" w:rsidRDefault="00B41704">
      <w:pPr>
        <w:pStyle w:val="TOC2"/>
        <w:tabs>
          <w:tab w:val="right" w:leader="dot" w:pos="9350"/>
        </w:tabs>
        <w:rPr>
          <w:rFonts w:asciiTheme="minorHAnsi" w:eastAsiaTheme="minorEastAsia" w:hAnsiTheme="minorHAnsi" w:cstheme="minorBidi"/>
          <w:noProof/>
          <w:sz w:val="22"/>
          <w:szCs w:val="22"/>
        </w:rPr>
      </w:pPr>
      <w:hyperlink w:anchor="_Toc443922971" w:history="1">
        <w:r w:rsidR="008C0F09" w:rsidRPr="0035050A">
          <w:rPr>
            <w:rStyle w:val="Hyperlink"/>
            <w:noProof/>
          </w:rPr>
          <w:t>2.1 Electric Energy Savings Estimation Methodologies</w:t>
        </w:r>
        <w:r w:rsidR="008C0F09">
          <w:rPr>
            <w:noProof/>
            <w:webHidden/>
          </w:rPr>
          <w:tab/>
        </w:r>
        <w:r w:rsidR="008C0F09">
          <w:rPr>
            <w:noProof/>
            <w:webHidden/>
          </w:rPr>
          <w:fldChar w:fldCharType="begin"/>
        </w:r>
        <w:r w:rsidR="008C0F09">
          <w:rPr>
            <w:noProof/>
            <w:webHidden/>
          </w:rPr>
          <w:instrText xml:space="preserve"> PAGEREF _Toc443922971 \h </w:instrText>
        </w:r>
        <w:r w:rsidR="008C0F09">
          <w:rPr>
            <w:noProof/>
            <w:webHidden/>
          </w:rPr>
        </w:r>
        <w:r w:rsidR="008C0F09">
          <w:rPr>
            <w:noProof/>
            <w:webHidden/>
          </w:rPr>
          <w:fldChar w:fldCharType="separate"/>
        </w:r>
        <w:r w:rsidR="008C0F09">
          <w:rPr>
            <w:noProof/>
            <w:webHidden/>
          </w:rPr>
          <w:t>7</w:t>
        </w:r>
        <w:r w:rsidR="008C0F09">
          <w:rPr>
            <w:noProof/>
            <w:webHidden/>
          </w:rPr>
          <w:fldChar w:fldCharType="end"/>
        </w:r>
      </w:hyperlink>
    </w:p>
    <w:p w:rsidR="008C0F09" w:rsidRDefault="00B41704">
      <w:pPr>
        <w:pStyle w:val="TOC2"/>
        <w:tabs>
          <w:tab w:val="right" w:leader="dot" w:pos="9350"/>
        </w:tabs>
        <w:rPr>
          <w:rFonts w:asciiTheme="minorHAnsi" w:eastAsiaTheme="minorEastAsia" w:hAnsiTheme="minorHAnsi" w:cstheme="minorBidi"/>
          <w:noProof/>
          <w:sz w:val="22"/>
          <w:szCs w:val="22"/>
        </w:rPr>
      </w:pPr>
      <w:hyperlink w:anchor="_Toc443922972" w:history="1">
        <w:r w:rsidR="008C0F09" w:rsidRPr="0035050A">
          <w:rPr>
            <w:rStyle w:val="Hyperlink"/>
            <w:noProof/>
          </w:rPr>
          <w:t>2.2. Demand Reduction Estimation Methodologies</w:t>
        </w:r>
        <w:r w:rsidR="008C0F09">
          <w:rPr>
            <w:noProof/>
            <w:webHidden/>
          </w:rPr>
          <w:tab/>
        </w:r>
        <w:r w:rsidR="008C0F09">
          <w:rPr>
            <w:noProof/>
            <w:webHidden/>
          </w:rPr>
          <w:fldChar w:fldCharType="begin"/>
        </w:r>
        <w:r w:rsidR="008C0F09">
          <w:rPr>
            <w:noProof/>
            <w:webHidden/>
          </w:rPr>
          <w:instrText xml:space="preserve"> PAGEREF _Toc443922972 \h </w:instrText>
        </w:r>
        <w:r w:rsidR="008C0F09">
          <w:rPr>
            <w:noProof/>
            <w:webHidden/>
          </w:rPr>
        </w:r>
        <w:r w:rsidR="008C0F09">
          <w:rPr>
            <w:noProof/>
            <w:webHidden/>
          </w:rPr>
          <w:fldChar w:fldCharType="separate"/>
        </w:r>
        <w:r w:rsidR="008C0F09">
          <w:rPr>
            <w:noProof/>
            <w:webHidden/>
          </w:rPr>
          <w:t>7</w:t>
        </w:r>
        <w:r w:rsidR="008C0F09">
          <w:rPr>
            <w:noProof/>
            <w:webHidden/>
          </w:rPr>
          <w:fldChar w:fldCharType="end"/>
        </w:r>
      </w:hyperlink>
    </w:p>
    <w:p w:rsidR="008C0F09" w:rsidRDefault="00B41704">
      <w:pPr>
        <w:pStyle w:val="TOC2"/>
        <w:tabs>
          <w:tab w:val="right" w:leader="dot" w:pos="9350"/>
        </w:tabs>
        <w:rPr>
          <w:rFonts w:asciiTheme="minorHAnsi" w:eastAsiaTheme="minorEastAsia" w:hAnsiTheme="minorHAnsi" w:cstheme="minorBidi"/>
          <w:noProof/>
          <w:sz w:val="22"/>
          <w:szCs w:val="22"/>
        </w:rPr>
      </w:pPr>
      <w:hyperlink w:anchor="_Toc443922973" w:history="1">
        <w:r w:rsidR="008C0F09" w:rsidRPr="0035050A">
          <w:rPr>
            <w:rStyle w:val="Hyperlink"/>
            <w:noProof/>
          </w:rPr>
          <w:t>2.3. Gas Energy Savings Estimation Methodologies</w:t>
        </w:r>
        <w:r w:rsidR="008C0F09">
          <w:rPr>
            <w:noProof/>
            <w:webHidden/>
          </w:rPr>
          <w:tab/>
        </w:r>
        <w:r w:rsidR="008C0F09">
          <w:rPr>
            <w:noProof/>
            <w:webHidden/>
          </w:rPr>
          <w:fldChar w:fldCharType="begin"/>
        </w:r>
        <w:r w:rsidR="008C0F09">
          <w:rPr>
            <w:noProof/>
            <w:webHidden/>
          </w:rPr>
          <w:instrText xml:space="preserve"> PAGEREF _Toc443922973 \h </w:instrText>
        </w:r>
        <w:r w:rsidR="008C0F09">
          <w:rPr>
            <w:noProof/>
            <w:webHidden/>
          </w:rPr>
        </w:r>
        <w:r w:rsidR="008C0F09">
          <w:rPr>
            <w:noProof/>
            <w:webHidden/>
          </w:rPr>
          <w:fldChar w:fldCharType="separate"/>
        </w:r>
        <w:r w:rsidR="008C0F09">
          <w:rPr>
            <w:noProof/>
            <w:webHidden/>
          </w:rPr>
          <w:t>7</w:t>
        </w:r>
        <w:r w:rsidR="008C0F09">
          <w:rPr>
            <w:noProof/>
            <w:webHidden/>
          </w:rPr>
          <w:fldChar w:fldCharType="end"/>
        </w:r>
      </w:hyperlink>
    </w:p>
    <w:p w:rsidR="008C0F09" w:rsidRDefault="00B41704">
      <w:pPr>
        <w:pStyle w:val="TOC1"/>
        <w:tabs>
          <w:tab w:val="right" w:leader="dot" w:pos="9350"/>
        </w:tabs>
        <w:rPr>
          <w:rFonts w:asciiTheme="minorHAnsi" w:eastAsiaTheme="minorEastAsia" w:hAnsiTheme="minorHAnsi" w:cstheme="minorBidi"/>
          <w:noProof/>
          <w:sz w:val="22"/>
          <w:szCs w:val="22"/>
        </w:rPr>
      </w:pPr>
      <w:hyperlink w:anchor="_Toc443922974" w:history="1">
        <w:r w:rsidR="008C0F09" w:rsidRPr="0035050A">
          <w:rPr>
            <w:rStyle w:val="Hyperlink"/>
            <w:i/>
            <w:noProof/>
          </w:rPr>
          <w:t>Section 3. Load Shapes</w:t>
        </w:r>
        <w:r w:rsidR="008C0F09">
          <w:rPr>
            <w:noProof/>
            <w:webHidden/>
          </w:rPr>
          <w:tab/>
        </w:r>
        <w:r w:rsidR="008C0F09">
          <w:rPr>
            <w:noProof/>
            <w:webHidden/>
          </w:rPr>
          <w:fldChar w:fldCharType="begin"/>
        </w:r>
        <w:r w:rsidR="008C0F09">
          <w:rPr>
            <w:noProof/>
            <w:webHidden/>
          </w:rPr>
          <w:instrText xml:space="preserve"> PAGEREF _Toc443922974 \h </w:instrText>
        </w:r>
        <w:r w:rsidR="008C0F09">
          <w:rPr>
            <w:noProof/>
            <w:webHidden/>
          </w:rPr>
        </w:r>
        <w:r w:rsidR="008C0F09">
          <w:rPr>
            <w:noProof/>
            <w:webHidden/>
          </w:rPr>
          <w:fldChar w:fldCharType="separate"/>
        </w:r>
        <w:r w:rsidR="008C0F09">
          <w:rPr>
            <w:noProof/>
            <w:webHidden/>
          </w:rPr>
          <w:t>10</w:t>
        </w:r>
        <w:r w:rsidR="008C0F09">
          <w:rPr>
            <w:noProof/>
            <w:webHidden/>
          </w:rPr>
          <w:fldChar w:fldCharType="end"/>
        </w:r>
      </w:hyperlink>
    </w:p>
    <w:p w:rsidR="008C0F09" w:rsidRDefault="00B41704">
      <w:pPr>
        <w:pStyle w:val="TOC2"/>
        <w:tabs>
          <w:tab w:val="right" w:leader="dot" w:pos="9350"/>
        </w:tabs>
        <w:rPr>
          <w:rFonts w:asciiTheme="minorHAnsi" w:eastAsiaTheme="minorEastAsia" w:hAnsiTheme="minorHAnsi" w:cstheme="minorBidi"/>
          <w:noProof/>
          <w:sz w:val="22"/>
          <w:szCs w:val="22"/>
        </w:rPr>
      </w:pPr>
      <w:hyperlink w:anchor="_Toc443922975" w:history="1">
        <w:r w:rsidR="008C0F09" w:rsidRPr="0035050A">
          <w:rPr>
            <w:rStyle w:val="Hyperlink"/>
            <w:noProof/>
          </w:rPr>
          <w:t>3.1 Base Case Load Shapes</w:t>
        </w:r>
        <w:r w:rsidR="008C0F09">
          <w:rPr>
            <w:noProof/>
            <w:webHidden/>
          </w:rPr>
          <w:tab/>
        </w:r>
        <w:r w:rsidR="008C0F09">
          <w:rPr>
            <w:noProof/>
            <w:webHidden/>
          </w:rPr>
          <w:fldChar w:fldCharType="begin"/>
        </w:r>
        <w:r w:rsidR="008C0F09">
          <w:rPr>
            <w:noProof/>
            <w:webHidden/>
          </w:rPr>
          <w:instrText xml:space="preserve"> PAGEREF _Toc443922975 \h </w:instrText>
        </w:r>
        <w:r w:rsidR="008C0F09">
          <w:rPr>
            <w:noProof/>
            <w:webHidden/>
          </w:rPr>
        </w:r>
        <w:r w:rsidR="008C0F09">
          <w:rPr>
            <w:noProof/>
            <w:webHidden/>
          </w:rPr>
          <w:fldChar w:fldCharType="separate"/>
        </w:r>
        <w:r w:rsidR="008C0F09">
          <w:rPr>
            <w:noProof/>
            <w:webHidden/>
          </w:rPr>
          <w:t>10</w:t>
        </w:r>
        <w:r w:rsidR="008C0F09">
          <w:rPr>
            <w:noProof/>
            <w:webHidden/>
          </w:rPr>
          <w:fldChar w:fldCharType="end"/>
        </w:r>
      </w:hyperlink>
    </w:p>
    <w:p w:rsidR="008C0F09" w:rsidRDefault="00B41704">
      <w:pPr>
        <w:pStyle w:val="TOC2"/>
        <w:tabs>
          <w:tab w:val="right" w:leader="dot" w:pos="9350"/>
        </w:tabs>
        <w:rPr>
          <w:rFonts w:asciiTheme="minorHAnsi" w:eastAsiaTheme="minorEastAsia" w:hAnsiTheme="minorHAnsi" w:cstheme="minorBidi"/>
          <w:noProof/>
          <w:sz w:val="22"/>
          <w:szCs w:val="22"/>
        </w:rPr>
      </w:pPr>
      <w:hyperlink w:anchor="_Toc443922976" w:history="1">
        <w:r w:rsidR="008C0F09" w:rsidRPr="0035050A">
          <w:rPr>
            <w:rStyle w:val="Hyperlink"/>
            <w:noProof/>
          </w:rPr>
          <w:t>3.2 Measure Load Shapes</w:t>
        </w:r>
        <w:r w:rsidR="008C0F09">
          <w:rPr>
            <w:noProof/>
            <w:webHidden/>
          </w:rPr>
          <w:tab/>
        </w:r>
        <w:r w:rsidR="008C0F09">
          <w:rPr>
            <w:noProof/>
            <w:webHidden/>
          </w:rPr>
          <w:fldChar w:fldCharType="begin"/>
        </w:r>
        <w:r w:rsidR="008C0F09">
          <w:rPr>
            <w:noProof/>
            <w:webHidden/>
          </w:rPr>
          <w:instrText xml:space="preserve"> PAGEREF _Toc443922976 \h </w:instrText>
        </w:r>
        <w:r w:rsidR="008C0F09">
          <w:rPr>
            <w:noProof/>
            <w:webHidden/>
          </w:rPr>
        </w:r>
        <w:r w:rsidR="008C0F09">
          <w:rPr>
            <w:noProof/>
            <w:webHidden/>
          </w:rPr>
          <w:fldChar w:fldCharType="separate"/>
        </w:r>
        <w:r w:rsidR="008C0F09">
          <w:rPr>
            <w:noProof/>
            <w:webHidden/>
          </w:rPr>
          <w:t>10</w:t>
        </w:r>
        <w:r w:rsidR="008C0F09">
          <w:rPr>
            <w:noProof/>
            <w:webHidden/>
          </w:rPr>
          <w:fldChar w:fldCharType="end"/>
        </w:r>
      </w:hyperlink>
    </w:p>
    <w:p w:rsidR="008C0F09" w:rsidRDefault="00B41704">
      <w:pPr>
        <w:pStyle w:val="TOC1"/>
        <w:tabs>
          <w:tab w:val="right" w:leader="dot" w:pos="9350"/>
        </w:tabs>
        <w:rPr>
          <w:rFonts w:asciiTheme="minorHAnsi" w:eastAsiaTheme="minorEastAsia" w:hAnsiTheme="minorHAnsi" w:cstheme="minorBidi"/>
          <w:noProof/>
          <w:sz w:val="22"/>
          <w:szCs w:val="22"/>
        </w:rPr>
      </w:pPr>
      <w:hyperlink w:anchor="_Toc443922977" w:history="1">
        <w:r w:rsidR="008C0F09" w:rsidRPr="0035050A">
          <w:rPr>
            <w:rStyle w:val="Hyperlink"/>
            <w:i/>
            <w:noProof/>
          </w:rPr>
          <w:t>Section 4. Base Case &amp; Measure Costs</w:t>
        </w:r>
        <w:r w:rsidR="008C0F09">
          <w:rPr>
            <w:noProof/>
            <w:webHidden/>
          </w:rPr>
          <w:tab/>
        </w:r>
        <w:r w:rsidR="008C0F09">
          <w:rPr>
            <w:noProof/>
            <w:webHidden/>
          </w:rPr>
          <w:fldChar w:fldCharType="begin"/>
        </w:r>
        <w:r w:rsidR="008C0F09">
          <w:rPr>
            <w:noProof/>
            <w:webHidden/>
          </w:rPr>
          <w:instrText xml:space="preserve"> PAGEREF _Toc443922977 \h </w:instrText>
        </w:r>
        <w:r w:rsidR="008C0F09">
          <w:rPr>
            <w:noProof/>
            <w:webHidden/>
          </w:rPr>
        </w:r>
        <w:r w:rsidR="008C0F09">
          <w:rPr>
            <w:noProof/>
            <w:webHidden/>
          </w:rPr>
          <w:fldChar w:fldCharType="separate"/>
        </w:r>
        <w:r w:rsidR="008C0F09">
          <w:rPr>
            <w:noProof/>
            <w:webHidden/>
          </w:rPr>
          <w:t>11</w:t>
        </w:r>
        <w:r w:rsidR="008C0F09">
          <w:rPr>
            <w:noProof/>
            <w:webHidden/>
          </w:rPr>
          <w:fldChar w:fldCharType="end"/>
        </w:r>
      </w:hyperlink>
    </w:p>
    <w:p w:rsidR="008C0F09" w:rsidRDefault="00B41704">
      <w:pPr>
        <w:pStyle w:val="TOC2"/>
        <w:tabs>
          <w:tab w:val="right" w:leader="dot" w:pos="9350"/>
        </w:tabs>
        <w:rPr>
          <w:rFonts w:asciiTheme="minorHAnsi" w:eastAsiaTheme="minorEastAsia" w:hAnsiTheme="minorHAnsi" w:cstheme="minorBidi"/>
          <w:noProof/>
          <w:sz w:val="22"/>
          <w:szCs w:val="22"/>
        </w:rPr>
      </w:pPr>
      <w:hyperlink w:anchor="_Toc443922978" w:history="1">
        <w:r w:rsidR="008C0F09" w:rsidRPr="0035050A">
          <w:rPr>
            <w:rStyle w:val="Hyperlink"/>
            <w:noProof/>
          </w:rPr>
          <w:t>4.1 Base Case(s) Costs</w:t>
        </w:r>
        <w:r w:rsidR="008C0F09">
          <w:rPr>
            <w:noProof/>
            <w:webHidden/>
          </w:rPr>
          <w:tab/>
        </w:r>
        <w:r w:rsidR="008C0F09">
          <w:rPr>
            <w:noProof/>
            <w:webHidden/>
          </w:rPr>
          <w:fldChar w:fldCharType="begin"/>
        </w:r>
        <w:r w:rsidR="008C0F09">
          <w:rPr>
            <w:noProof/>
            <w:webHidden/>
          </w:rPr>
          <w:instrText xml:space="preserve"> PAGEREF _Toc443922978 \h </w:instrText>
        </w:r>
        <w:r w:rsidR="008C0F09">
          <w:rPr>
            <w:noProof/>
            <w:webHidden/>
          </w:rPr>
        </w:r>
        <w:r w:rsidR="008C0F09">
          <w:rPr>
            <w:noProof/>
            <w:webHidden/>
          </w:rPr>
          <w:fldChar w:fldCharType="separate"/>
        </w:r>
        <w:r w:rsidR="008C0F09">
          <w:rPr>
            <w:noProof/>
            <w:webHidden/>
          </w:rPr>
          <w:t>11</w:t>
        </w:r>
        <w:r w:rsidR="008C0F09">
          <w:rPr>
            <w:noProof/>
            <w:webHidden/>
          </w:rPr>
          <w:fldChar w:fldCharType="end"/>
        </w:r>
      </w:hyperlink>
    </w:p>
    <w:p w:rsidR="008C0F09" w:rsidRDefault="00B41704">
      <w:pPr>
        <w:pStyle w:val="TOC2"/>
        <w:tabs>
          <w:tab w:val="right" w:leader="dot" w:pos="9350"/>
        </w:tabs>
        <w:rPr>
          <w:rFonts w:asciiTheme="minorHAnsi" w:eastAsiaTheme="minorEastAsia" w:hAnsiTheme="minorHAnsi" w:cstheme="minorBidi"/>
          <w:noProof/>
          <w:sz w:val="22"/>
          <w:szCs w:val="22"/>
        </w:rPr>
      </w:pPr>
      <w:hyperlink w:anchor="_Toc443922979" w:history="1">
        <w:r w:rsidR="008C0F09" w:rsidRPr="0035050A">
          <w:rPr>
            <w:rStyle w:val="Hyperlink"/>
            <w:noProof/>
          </w:rPr>
          <w:t>4.2 Measure Case Costs</w:t>
        </w:r>
        <w:r w:rsidR="008C0F09">
          <w:rPr>
            <w:noProof/>
            <w:webHidden/>
          </w:rPr>
          <w:tab/>
        </w:r>
        <w:r w:rsidR="008C0F09">
          <w:rPr>
            <w:noProof/>
            <w:webHidden/>
          </w:rPr>
          <w:fldChar w:fldCharType="begin"/>
        </w:r>
        <w:r w:rsidR="008C0F09">
          <w:rPr>
            <w:noProof/>
            <w:webHidden/>
          </w:rPr>
          <w:instrText xml:space="preserve"> PAGEREF _Toc443922979 \h </w:instrText>
        </w:r>
        <w:r w:rsidR="008C0F09">
          <w:rPr>
            <w:noProof/>
            <w:webHidden/>
          </w:rPr>
        </w:r>
        <w:r w:rsidR="008C0F09">
          <w:rPr>
            <w:noProof/>
            <w:webHidden/>
          </w:rPr>
          <w:fldChar w:fldCharType="separate"/>
        </w:r>
        <w:r w:rsidR="008C0F09">
          <w:rPr>
            <w:noProof/>
            <w:webHidden/>
          </w:rPr>
          <w:t>11</w:t>
        </w:r>
        <w:r w:rsidR="008C0F09">
          <w:rPr>
            <w:noProof/>
            <w:webHidden/>
          </w:rPr>
          <w:fldChar w:fldCharType="end"/>
        </w:r>
      </w:hyperlink>
    </w:p>
    <w:p w:rsidR="008C0F09" w:rsidRDefault="00B41704">
      <w:pPr>
        <w:pStyle w:val="TOC2"/>
        <w:tabs>
          <w:tab w:val="right" w:leader="dot" w:pos="9350"/>
        </w:tabs>
        <w:rPr>
          <w:rFonts w:asciiTheme="minorHAnsi" w:eastAsiaTheme="minorEastAsia" w:hAnsiTheme="minorHAnsi" w:cstheme="minorBidi"/>
          <w:noProof/>
          <w:sz w:val="22"/>
          <w:szCs w:val="22"/>
        </w:rPr>
      </w:pPr>
      <w:hyperlink w:anchor="_Toc443922980" w:history="1">
        <w:r w:rsidR="008C0F09" w:rsidRPr="0035050A">
          <w:rPr>
            <w:rStyle w:val="Hyperlink"/>
            <w:noProof/>
          </w:rPr>
          <w:t>4.3 Incremental &amp; Full Measure Costs</w:t>
        </w:r>
        <w:r w:rsidR="008C0F09">
          <w:rPr>
            <w:noProof/>
            <w:webHidden/>
          </w:rPr>
          <w:tab/>
        </w:r>
        <w:r w:rsidR="008C0F09">
          <w:rPr>
            <w:noProof/>
            <w:webHidden/>
          </w:rPr>
          <w:fldChar w:fldCharType="begin"/>
        </w:r>
        <w:r w:rsidR="008C0F09">
          <w:rPr>
            <w:noProof/>
            <w:webHidden/>
          </w:rPr>
          <w:instrText xml:space="preserve"> PAGEREF _Toc443922980 \h </w:instrText>
        </w:r>
        <w:r w:rsidR="008C0F09">
          <w:rPr>
            <w:noProof/>
            <w:webHidden/>
          </w:rPr>
        </w:r>
        <w:r w:rsidR="008C0F09">
          <w:rPr>
            <w:noProof/>
            <w:webHidden/>
          </w:rPr>
          <w:fldChar w:fldCharType="separate"/>
        </w:r>
        <w:r w:rsidR="008C0F09">
          <w:rPr>
            <w:noProof/>
            <w:webHidden/>
          </w:rPr>
          <w:t>12</w:t>
        </w:r>
        <w:r w:rsidR="008C0F09">
          <w:rPr>
            <w:noProof/>
            <w:webHidden/>
          </w:rPr>
          <w:fldChar w:fldCharType="end"/>
        </w:r>
      </w:hyperlink>
    </w:p>
    <w:p w:rsidR="008C0F09" w:rsidRDefault="00B41704">
      <w:pPr>
        <w:pStyle w:val="TOC1"/>
        <w:tabs>
          <w:tab w:val="right" w:leader="dot" w:pos="9350"/>
        </w:tabs>
        <w:rPr>
          <w:rFonts w:asciiTheme="minorHAnsi" w:eastAsiaTheme="minorEastAsia" w:hAnsiTheme="minorHAnsi" w:cstheme="minorBidi"/>
          <w:noProof/>
          <w:sz w:val="22"/>
          <w:szCs w:val="22"/>
        </w:rPr>
      </w:pPr>
      <w:hyperlink w:anchor="_Toc443922981" w:history="1">
        <w:r w:rsidR="008C0F09" w:rsidRPr="0035050A">
          <w:rPr>
            <w:rStyle w:val="Hyperlink"/>
            <w:noProof/>
          </w:rPr>
          <w:t>References</w:t>
        </w:r>
        <w:r w:rsidR="008C0F09">
          <w:rPr>
            <w:noProof/>
            <w:webHidden/>
          </w:rPr>
          <w:tab/>
        </w:r>
        <w:r w:rsidR="008C0F09">
          <w:rPr>
            <w:noProof/>
            <w:webHidden/>
          </w:rPr>
          <w:fldChar w:fldCharType="begin"/>
        </w:r>
        <w:r w:rsidR="008C0F09">
          <w:rPr>
            <w:noProof/>
            <w:webHidden/>
          </w:rPr>
          <w:instrText xml:space="preserve"> PAGEREF _Toc443922981 \h </w:instrText>
        </w:r>
        <w:r w:rsidR="008C0F09">
          <w:rPr>
            <w:noProof/>
            <w:webHidden/>
          </w:rPr>
        </w:r>
        <w:r w:rsidR="008C0F09">
          <w:rPr>
            <w:noProof/>
            <w:webHidden/>
          </w:rPr>
          <w:fldChar w:fldCharType="separate"/>
        </w:r>
        <w:r w:rsidR="008C0F09">
          <w:rPr>
            <w:noProof/>
            <w:webHidden/>
          </w:rPr>
          <w:t>13</w:t>
        </w:r>
        <w:r w:rsidR="008C0F09">
          <w:rPr>
            <w:noProof/>
            <w:webHidden/>
          </w:rPr>
          <w:fldChar w:fldCharType="end"/>
        </w:r>
      </w:hyperlink>
    </w:p>
    <w:p w:rsidR="009048C4" w:rsidRPr="00A961E9" w:rsidRDefault="00E406EA" w:rsidP="00864083">
      <w:pPr>
        <w:pStyle w:val="Heading1"/>
        <w:spacing w:before="0" w:after="0"/>
        <w:rPr>
          <w:color w:val="FF0000"/>
          <w:sz w:val="22"/>
          <w:szCs w:val="22"/>
        </w:rPr>
      </w:pPr>
      <w:r w:rsidRPr="00BD7B72">
        <w:rPr>
          <w:b w:val="0"/>
          <w:bCs w:val="0"/>
          <w:kern w:val="0"/>
          <w:sz w:val="22"/>
          <w:szCs w:val="22"/>
        </w:rPr>
        <w:fldChar w:fldCharType="end"/>
      </w:r>
      <w:r w:rsidR="009048C4" w:rsidRPr="00A961E9">
        <w:rPr>
          <w:color w:val="FF0000"/>
          <w:sz w:val="22"/>
          <w:szCs w:val="22"/>
        </w:rPr>
        <w:t xml:space="preserve"> </w:t>
      </w:r>
    </w:p>
    <w:p w:rsidR="00C40CE2" w:rsidRDefault="00C40CE2" w:rsidP="00864083">
      <w:pPr>
        <w:pStyle w:val="Heading1"/>
        <w:spacing w:before="0" w:after="0"/>
        <w:sectPr w:rsidR="00C40CE2" w:rsidSect="00DB2CE5">
          <w:endnotePr>
            <w:numFmt w:val="decimal"/>
          </w:endnotePr>
          <w:pgSz w:w="12240" w:h="15840"/>
          <w:pgMar w:top="1440" w:right="1440" w:bottom="1440" w:left="1440" w:header="720" w:footer="720" w:gutter="0"/>
          <w:pgNumType w:fmt="lowerRoman" w:chapStyle="1"/>
          <w:cols w:space="720"/>
          <w:docGrid w:linePitch="360"/>
        </w:sectPr>
      </w:pPr>
      <w:bookmarkStart w:id="8" w:name="_Toc172205729"/>
    </w:p>
    <w:p w:rsidR="00ED21EE" w:rsidRPr="007E7CC5" w:rsidRDefault="00ED21EE" w:rsidP="00864083">
      <w:pPr>
        <w:pStyle w:val="Heading1"/>
        <w:spacing w:before="0" w:after="0"/>
      </w:pPr>
      <w:bookmarkStart w:id="9" w:name="_Toc443922959"/>
      <w:r w:rsidRPr="007E7CC5">
        <w:lastRenderedPageBreak/>
        <w:t>List of Tables</w:t>
      </w:r>
      <w:bookmarkEnd w:id="8"/>
      <w:bookmarkEnd w:id="9"/>
    </w:p>
    <w:p w:rsidR="008C0F09" w:rsidRDefault="008C0F09">
      <w:pPr>
        <w:pStyle w:val="TableofFigures"/>
        <w:tabs>
          <w:tab w:val="right" w:leader="dot" w:pos="9350"/>
        </w:tabs>
        <w:rPr>
          <w:rFonts w:asciiTheme="minorHAnsi" w:eastAsiaTheme="minorEastAsia" w:hAnsiTheme="minorHAnsi" w:cstheme="minorBidi"/>
          <w:noProof/>
          <w:sz w:val="22"/>
          <w:szCs w:val="22"/>
        </w:rPr>
      </w:pPr>
      <w:r w:rsidRPr="008C0F09">
        <w:rPr>
          <w:sz w:val="22"/>
          <w:szCs w:val="22"/>
        </w:rPr>
        <w:fldChar w:fldCharType="begin"/>
      </w:r>
      <w:r w:rsidRPr="008C0F09">
        <w:rPr>
          <w:sz w:val="22"/>
          <w:szCs w:val="22"/>
        </w:rPr>
        <w:instrText xml:space="preserve"> TOC \f c \h \z \c "Table" </w:instrText>
      </w:r>
      <w:r w:rsidRPr="008C0F09">
        <w:rPr>
          <w:sz w:val="22"/>
          <w:szCs w:val="22"/>
        </w:rPr>
        <w:fldChar w:fldCharType="separate"/>
      </w:r>
      <w:hyperlink w:anchor="_Toc443922933" w:history="1">
        <w:r w:rsidRPr="00F30312">
          <w:rPr>
            <w:rStyle w:val="Hyperlink"/>
            <w:noProof/>
          </w:rPr>
          <w:t>Table 1 Measures Application Type</w:t>
        </w:r>
        <w:r>
          <w:rPr>
            <w:noProof/>
            <w:webHidden/>
          </w:rPr>
          <w:tab/>
        </w:r>
        <w:r>
          <w:rPr>
            <w:noProof/>
            <w:webHidden/>
          </w:rPr>
          <w:fldChar w:fldCharType="begin"/>
        </w:r>
        <w:r>
          <w:rPr>
            <w:noProof/>
            <w:webHidden/>
          </w:rPr>
          <w:instrText xml:space="preserve"> PAGEREF _Toc443922933 \h </w:instrText>
        </w:r>
        <w:r>
          <w:rPr>
            <w:noProof/>
            <w:webHidden/>
          </w:rPr>
        </w:r>
        <w:r>
          <w:rPr>
            <w:noProof/>
            <w:webHidden/>
          </w:rPr>
          <w:fldChar w:fldCharType="separate"/>
        </w:r>
        <w:r>
          <w:rPr>
            <w:noProof/>
            <w:webHidden/>
          </w:rPr>
          <w:t>2</w:t>
        </w:r>
        <w:r>
          <w:rPr>
            <w:noProof/>
            <w:webHidden/>
          </w:rPr>
          <w:fldChar w:fldCharType="end"/>
        </w:r>
      </w:hyperlink>
    </w:p>
    <w:p w:rsidR="008C0F09" w:rsidRDefault="00B41704">
      <w:pPr>
        <w:pStyle w:val="TableofFigures"/>
        <w:tabs>
          <w:tab w:val="right" w:leader="dot" w:pos="9350"/>
        </w:tabs>
        <w:rPr>
          <w:rFonts w:asciiTheme="minorHAnsi" w:eastAsiaTheme="minorEastAsia" w:hAnsiTheme="minorHAnsi" w:cstheme="minorBidi"/>
          <w:noProof/>
          <w:sz w:val="22"/>
          <w:szCs w:val="22"/>
        </w:rPr>
      </w:pPr>
      <w:hyperlink w:anchor="_Toc443922934" w:history="1">
        <w:r w:rsidR="008C0F09" w:rsidRPr="00F30312">
          <w:rPr>
            <w:rStyle w:val="Hyperlink"/>
            <w:noProof/>
          </w:rPr>
          <w:t>Table 2 DEER Net-to-Gross Ratios</w:t>
        </w:r>
        <w:r w:rsidR="008C0F09">
          <w:rPr>
            <w:noProof/>
            <w:webHidden/>
          </w:rPr>
          <w:tab/>
        </w:r>
        <w:r w:rsidR="008C0F09">
          <w:rPr>
            <w:noProof/>
            <w:webHidden/>
          </w:rPr>
          <w:fldChar w:fldCharType="begin"/>
        </w:r>
        <w:r w:rsidR="008C0F09">
          <w:rPr>
            <w:noProof/>
            <w:webHidden/>
          </w:rPr>
          <w:instrText xml:space="preserve"> PAGEREF _Toc443922934 \h </w:instrText>
        </w:r>
        <w:r w:rsidR="008C0F09">
          <w:rPr>
            <w:noProof/>
            <w:webHidden/>
          </w:rPr>
        </w:r>
        <w:r w:rsidR="008C0F09">
          <w:rPr>
            <w:noProof/>
            <w:webHidden/>
          </w:rPr>
          <w:fldChar w:fldCharType="separate"/>
        </w:r>
        <w:r w:rsidR="008C0F09">
          <w:rPr>
            <w:noProof/>
            <w:webHidden/>
          </w:rPr>
          <w:t>2</w:t>
        </w:r>
        <w:r w:rsidR="008C0F09">
          <w:rPr>
            <w:noProof/>
            <w:webHidden/>
          </w:rPr>
          <w:fldChar w:fldCharType="end"/>
        </w:r>
      </w:hyperlink>
    </w:p>
    <w:p w:rsidR="008C0F09" w:rsidRDefault="00B41704">
      <w:pPr>
        <w:pStyle w:val="TableofFigures"/>
        <w:tabs>
          <w:tab w:val="right" w:leader="dot" w:pos="9350"/>
        </w:tabs>
        <w:rPr>
          <w:rFonts w:asciiTheme="minorHAnsi" w:eastAsiaTheme="minorEastAsia" w:hAnsiTheme="minorHAnsi" w:cstheme="minorBidi"/>
          <w:noProof/>
          <w:sz w:val="22"/>
          <w:szCs w:val="22"/>
        </w:rPr>
      </w:pPr>
      <w:hyperlink w:anchor="_Toc443922935" w:history="1">
        <w:r w:rsidR="008C0F09" w:rsidRPr="00F30312">
          <w:rPr>
            <w:rStyle w:val="Hyperlink"/>
            <w:noProof/>
          </w:rPr>
          <w:t>Table 3 Installation Rate</w:t>
        </w:r>
        <w:r w:rsidR="008C0F09">
          <w:rPr>
            <w:noProof/>
            <w:webHidden/>
          </w:rPr>
          <w:tab/>
        </w:r>
        <w:r w:rsidR="008C0F09">
          <w:rPr>
            <w:noProof/>
            <w:webHidden/>
          </w:rPr>
          <w:fldChar w:fldCharType="begin"/>
        </w:r>
        <w:r w:rsidR="008C0F09">
          <w:rPr>
            <w:noProof/>
            <w:webHidden/>
          </w:rPr>
          <w:instrText xml:space="preserve"> PAGEREF _Toc443922935 \h </w:instrText>
        </w:r>
        <w:r w:rsidR="008C0F09">
          <w:rPr>
            <w:noProof/>
            <w:webHidden/>
          </w:rPr>
        </w:r>
        <w:r w:rsidR="008C0F09">
          <w:rPr>
            <w:noProof/>
            <w:webHidden/>
          </w:rPr>
          <w:fldChar w:fldCharType="separate"/>
        </w:r>
        <w:r w:rsidR="008C0F09">
          <w:rPr>
            <w:noProof/>
            <w:webHidden/>
          </w:rPr>
          <w:t>3</w:t>
        </w:r>
        <w:r w:rsidR="008C0F09">
          <w:rPr>
            <w:noProof/>
            <w:webHidden/>
          </w:rPr>
          <w:fldChar w:fldCharType="end"/>
        </w:r>
      </w:hyperlink>
    </w:p>
    <w:p w:rsidR="008C0F09" w:rsidRDefault="00B41704">
      <w:pPr>
        <w:pStyle w:val="TableofFigures"/>
        <w:tabs>
          <w:tab w:val="right" w:leader="dot" w:pos="9350"/>
        </w:tabs>
        <w:rPr>
          <w:rFonts w:asciiTheme="minorHAnsi" w:eastAsiaTheme="minorEastAsia" w:hAnsiTheme="minorHAnsi" w:cstheme="minorBidi"/>
          <w:noProof/>
          <w:sz w:val="22"/>
          <w:szCs w:val="22"/>
        </w:rPr>
      </w:pPr>
      <w:hyperlink w:anchor="_Toc443922936" w:history="1">
        <w:r w:rsidR="008C0F09" w:rsidRPr="00F30312">
          <w:rPr>
            <w:rStyle w:val="Hyperlink"/>
            <w:noProof/>
          </w:rPr>
          <w:t>Table 4 Hours of Operation</w:t>
        </w:r>
        <w:r w:rsidR="008C0F09">
          <w:rPr>
            <w:noProof/>
            <w:webHidden/>
          </w:rPr>
          <w:tab/>
        </w:r>
        <w:r w:rsidR="008C0F09">
          <w:rPr>
            <w:noProof/>
            <w:webHidden/>
          </w:rPr>
          <w:fldChar w:fldCharType="begin"/>
        </w:r>
        <w:r w:rsidR="008C0F09">
          <w:rPr>
            <w:noProof/>
            <w:webHidden/>
          </w:rPr>
          <w:instrText xml:space="preserve"> PAGEREF _Toc443922936 \h </w:instrText>
        </w:r>
        <w:r w:rsidR="008C0F09">
          <w:rPr>
            <w:noProof/>
            <w:webHidden/>
          </w:rPr>
        </w:r>
        <w:r w:rsidR="008C0F09">
          <w:rPr>
            <w:noProof/>
            <w:webHidden/>
          </w:rPr>
          <w:fldChar w:fldCharType="separate"/>
        </w:r>
        <w:r w:rsidR="008C0F09">
          <w:rPr>
            <w:noProof/>
            <w:webHidden/>
          </w:rPr>
          <w:t>3</w:t>
        </w:r>
        <w:r w:rsidR="008C0F09">
          <w:rPr>
            <w:noProof/>
            <w:webHidden/>
          </w:rPr>
          <w:fldChar w:fldCharType="end"/>
        </w:r>
      </w:hyperlink>
    </w:p>
    <w:p w:rsidR="008C0F09" w:rsidRDefault="00B41704">
      <w:pPr>
        <w:pStyle w:val="TableofFigures"/>
        <w:tabs>
          <w:tab w:val="right" w:leader="dot" w:pos="9350"/>
        </w:tabs>
        <w:rPr>
          <w:rFonts w:asciiTheme="minorHAnsi" w:eastAsiaTheme="minorEastAsia" w:hAnsiTheme="minorHAnsi" w:cstheme="minorBidi"/>
          <w:noProof/>
          <w:sz w:val="22"/>
          <w:szCs w:val="22"/>
        </w:rPr>
      </w:pPr>
      <w:hyperlink w:anchor="_Toc443922937" w:history="1">
        <w:r w:rsidR="008C0F09" w:rsidRPr="00F30312">
          <w:rPr>
            <w:rStyle w:val="Hyperlink"/>
            <w:noProof/>
          </w:rPr>
          <w:t>Table 5 Effective and Remaining Useful Life</w:t>
        </w:r>
        <w:r w:rsidR="008C0F09">
          <w:rPr>
            <w:noProof/>
            <w:webHidden/>
          </w:rPr>
          <w:tab/>
        </w:r>
        <w:r w:rsidR="008C0F09">
          <w:rPr>
            <w:noProof/>
            <w:webHidden/>
          </w:rPr>
          <w:fldChar w:fldCharType="begin"/>
        </w:r>
        <w:r w:rsidR="008C0F09">
          <w:rPr>
            <w:noProof/>
            <w:webHidden/>
          </w:rPr>
          <w:instrText xml:space="preserve"> PAGEREF _Toc443922937 \h </w:instrText>
        </w:r>
        <w:r w:rsidR="008C0F09">
          <w:rPr>
            <w:noProof/>
            <w:webHidden/>
          </w:rPr>
        </w:r>
        <w:r w:rsidR="008C0F09">
          <w:rPr>
            <w:noProof/>
            <w:webHidden/>
          </w:rPr>
          <w:fldChar w:fldCharType="separate"/>
        </w:r>
        <w:r w:rsidR="008C0F09">
          <w:rPr>
            <w:noProof/>
            <w:webHidden/>
          </w:rPr>
          <w:t>3</w:t>
        </w:r>
        <w:r w:rsidR="008C0F09">
          <w:rPr>
            <w:noProof/>
            <w:webHidden/>
          </w:rPr>
          <w:fldChar w:fldCharType="end"/>
        </w:r>
      </w:hyperlink>
    </w:p>
    <w:p w:rsidR="008C0F09" w:rsidRDefault="00B41704">
      <w:pPr>
        <w:pStyle w:val="TableofFigures"/>
        <w:tabs>
          <w:tab w:val="right" w:leader="dot" w:pos="9350"/>
        </w:tabs>
        <w:rPr>
          <w:rFonts w:asciiTheme="minorHAnsi" w:eastAsiaTheme="minorEastAsia" w:hAnsiTheme="minorHAnsi" w:cstheme="minorBidi"/>
          <w:noProof/>
          <w:sz w:val="22"/>
          <w:szCs w:val="22"/>
        </w:rPr>
      </w:pPr>
      <w:hyperlink w:anchor="_Toc443922938" w:history="1">
        <w:r w:rsidR="008C0F09" w:rsidRPr="00F30312">
          <w:rPr>
            <w:rStyle w:val="Hyperlink"/>
            <w:noProof/>
          </w:rPr>
          <w:t>Table 6 Average Capacity Factor Across Different Industries</w:t>
        </w:r>
        <w:r w:rsidR="008C0F09">
          <w:rPr>
            <w:noProof/>
            <w:webHidden/>
          </w:rPr>
          <w:tab/>
        </w:r>
        <w:r w:rsidR="008C0F09">
          <w:rPr>
            <w:noProof/>
            <w:webHidden/>
          </w:rPr>
          <w:fldChar w:fldCharType="begin"/>
        </w:r>
        <w:r w:rsidR="008C0F09">
          <w:rPr>
            <w:noProof/>
            <w:webHidden/>
          </w:rPr>
          <w:instrText xml:space="preserve"> PAGEREF _Toc443922938 \h </w:instrText>
        </w:r>
        <w:r w:rsidR="008C0F09">
          <w:rPr>
            <w:noProof/>
            <w:webHidden/>
          </w:rPr>
        </w:r>
        <w:r w:rsidR="008C0F09">
          <w:rPr>
            <w:noProof/>
            <w:webHidden/>
          </w:rPr>
          <w:fldChar w:fldCharType="separate"/>
        </w:r>
        <w:r w:rsidR="008C0F09">
          <w:rPr>
            <w:noProof/>
            <w:webHidden/>
          </w:rPr>
          <w:t>8</w:t>
        </w:r>
        <w:r w:rsidR="008C0F09">
          <w:rPr>
            <w:noProof/>
            <w:webHidden/>
          </w:rPr>
          <w:fldChar w:fldCharType="end"/>
        </w:r>
      </w:hyperlink>
    </w:p>
    <w:p w:rsidR="008C0F09" w:rsidRDefault="00B41704">
      <w:pPr>
        <w:pStyle w:val="TableofFigures"/>
        <w:tabs>
          <w:tab w:val="right" w:leader="dot" w:pos="9350"/>
        </w:tabs>
        <w:rPr>
          <w:rFonts w:asciiTheme="minorHAnsi" w:eastAsiaTheme="minorEastAsia" w:hAnsiTheme="minorHAnsi" w:cstheme="minorBidi"/>
          <w:noProof/>
          <w:sz w:val="22"/>
          <w:szCs w:val="22"/>
        </w:rPr>
      </w:pPr>
      <w:hyperlink w:anchor="_Toc443922939" w:history="1">
        <w:r w:rsidR="008C0F09" w:rsidRPr="00F30312">
          <w:rPr>
            <w:rStyle w:val="Hyperlink"/>
            <w:noProof/>
          </w:rPr>
          <w:t>Table 7 Average Combustion Efficiencies for High Efficiency Boilers from CEC Inventory</w:t>
        </w:r>
        <w:r w:rsidR="008C0F09">
          <w:rPr>
            <w:noProof/>
            <w:webHidden/>
          </w:rPr>
          <w:tab/>
        </w:r>
        <w:r w:rsidR="008C0F09">
          <w:rPr>
            <w:noProof/>
            <w:webHidden/>
          </w:rPr>
          <w:fldChar w:fldCharType="begin"/>
        </w:r>
        <w:r w:rsidR="008C0F09">
          <w:rPr>
            <w:noProof/>
            <w:webHidden/>
          </w:rPr>
          <w:instrText xml:space="preserve"> PAGEREF _Toc443922939 \h </w:instrText>
        </w:r>
        <w:r w:rsidR="008C0F09">
          <w:rPr>
            <w:noProof/>
            <w:webHidden/>
          </w:rPr>
        </w:r>
        <w:r w:rsidR="008C0F09">
          <w:rPr>
            <w:noProof/>
            <w:webHidden/>
          </w:rPr>
          <w:fldChar w:fldCharType="separate"/>
        </w:r>
        <w:r w:rsidR="008C0F09">
          <w:rPr>
            <w:noProof/>
            <w:webHidden/>
          </w:rPr>
          <w:t>8</w:t>
        </w:r>
        <w:r w:rsidR="008C0F09">
          <w:rPr>
            <w:noProof/>
            <w:webHidden/>
          </w:rPr>
          <w:fldChar w:fldCharType="end"/>
        </w:r>
      </w:hyperlink>
    </w:p>
    <w:p w:rsidR="008C0F09" w:rsidRDefault="00B41704">
      <w:pPr>
        <w:pStyle w:val="TableofFigures"/>
        <w:tabs>
          <w:tab w:val="right" w:leader="dot" w:pos="9350"/>
        </w:tabs>
        <w:rPr>
          <w:rFonts w:asciiTheme="minorHAnsi" w:eastAsiaTheme="minorEastAsia" w:hAnsiTheme="minorHAnsi" w:cstheme="minorBidi"/>
          <w:noProof/>
          <w:sz w:val="22"/>
          <w:szCs w:val="22"/>
        </w:rPr>
      </w:pPr>
      <w:hyperlink w:anchor="_Toc443922940" w:history="1">
        <w:r w:rsidR="008C0F09" w:rsidRPr="00F30312">
          <w:rPr>
            <w:rStyle w:val="Hyperlink"/>
            <w:noProof/>
          </w:rPr>
          <w:t>Table 8 Base Case Equipment Costs</w:t>
        </w:r>
        <w:r w:rsidR="008C0F09">
          <w:rPr>
            <w:noProof/>
            <w:webHidden/>
          </w:rPr>
          <w:tab/>
        </w:r>
        <w:r w:rsidR="008C0F09">
          <w:rPr>
            <w:noProof/>
            <w:webHidden/>
          </w:rPr>
          <w:fldChar w:fldCharType="begin"/>
        </w:r>
        <w:r w:rsidR="008C0F09">
          <w:rPr>
            <w:noProof/>
            <w:webHidden/>
          </w:rPr>
          <w:instrText xml:space="preserve"> PAGEREF _Toc443922940 \h </w:instrText>
        </w:r>
        <w:r w:rsidR="008C0F09">
          <w:rPr>
            <w:noProof/>
            <w:webHidden/>
          </w:rPr>
        </w:r>
        <w:r w:rsidR="008C0F09">
          <w:rPr>
            <w:noProof/>
            <w:webHidden/>
          </w:rPr>
          <w:fldChar w:fldCharType="separate"/>
        </w:r>
        <w:r w:rsidR="008C0F09">
          <w:rPr>
            <w:noProof/>
            <w:webHidden/>
          </w:rPr>
          <w:t>11</w:t>
        </w:r>
        <w:r w:rsidR="008C0F09">
          <w:rPr>
            <w:noProof/>
            <w:webHidden/>
          </w:rPr>
          <w:fldChar w:fldCharType="end"/>
        </w:r>
      </w:hyperlink>
    </w:p>
    <w:p w:rsidR="008C0F09" w:rsidRDefault="00B41704">
      <w:pPr>
        <w:pStyle w:val="TableofFigures"/>
        <w:tabs>
          <w:tab w:val="right" w:leader="dot" w:pos="9350"/>
        </w:tabs>
        <w:rPr>
          <w:rFonts w:asciiTheme="minorHAnsi" w:eastAsiaTheme="minorEastAsia" w:hAnsiTheme="minorHAnsi" w:cstheme="minorBidi"/>
          <w:noProof/>
          <w:sz w:val="22"/>
          <w:szCs w:val="22"/>
        </w:rPr>
      </w:pPr>
      <w:hyperlink w:anchor="_Toc443922941" w:history="1">
        <w:r w:rsidR="008C0F09" w:rsidRPr="00F30312">
          <w:rPr>
            <w:rStyle w:val="Hyperlink"/>
            <w:noProof/>
          </w:rPr>
          <w:t>Table 9 Measure Case Equipment Costs</w:t>
        </w:r>
        <w:r w:rsidR="008C0F09">
          <w:rPr>
            <w:noProof/>
            <w:webHidden/>
          </w:rPr>
          <w:tab/>
        </w:r>
        <w:r w:rsidR="008C0F09">
          <w:rPr>
            <w:noProof/>
            <w:webHidden/>
          </w:rPr>
          <w:fldChar w:fldCharType="begin"/>
        </w:r>
        <w:r w:rsidR="008C0F09">
          <w:rPr>
            <w:noProof/>
            <w:webHidden/>
          </w:rPr>
          <w:instrText xml:space="preserve"> PAGEREF _Toc443922941 \h </w:instrText>
        </w:r>
        <w:r w:rsidR="008C0F09">
          <w:rPr>
            <w:noProof/>
            <w:webHidden/>
          </w:rPr>
        </w:r>
        <w:r w:rsidR="008C0F09">
          <w:rPr>
            <w:noProof/>
            <w:webHidden/>
          </w:rPr>
          <w:fldChar w:fldCharType="separate"/>
        </w:r>
        <w:r w:rsidR="008C0F09">
          <w:rPr>
            <w:noProof/>
            <w:webHidden/>
          </w:rPr>
          <w:t>11</w:t>
        </w:r>
        <w:r w:rsidR="008C0F09">
          <w:rPr>
            <w:noProof/>
            <w:webHidden/>
          </w:rPr>
          <w:fldChar w:fldCharType="end"/>
        </w:r>
      </w:hyperlink>
    </w:p>
    <w:p w:rsidR="008C0F09" w:rsidRDefault="00B41704">
      <w:pPr>
        <w:pStyle w:val="TableofFigures"/>
        <w:tabs>
          <w:tab w:val="right" w:leader="dot" w:pos="9350"/>
        </w:tabs>
        <w:rPr>
          <w:rFonts w:asciiTheme="minorHAnsi" w:eastAsiaTheme="minorEastAsia" w:hAnsiTheme="minorHAnsi" w:cstheme="minorBidi"/>
          <w:noProof/>
          <w:sz w:val="22"/>
          <w:szCs w:val="22"/>
        </w:rPr>
      </w:pPr>
      <w:hyperlink w:anchor="_Toc443922942" w:history="1">
        <w:r w:rsidR="008C0F09" w:rsidRPr="00F30312">
          <w:rPr>
            <w:rStyle w:val="Hyperlink"/>
            <w:noProof/>
          </w:rPr>
          <w:t>Table 10 Full and Incremental Measure Cost Equations</w:t>
        </w:r>
        <w:r w:rsidR="008C0F09">
          <w:rPr>
            <w:noProof/>
            <w:webHidden/>
          </w:rPr>
          <w:tab/>
        </w:r>
        <w:r w:rsidR="008C0F09">
          <w:rPr>
            <w:noProof/>
            <w:webHidden/>
          </w:rPr>
          <w:fldChar w:fldCharType="begin"/>
        </w:r>
        <w:r w:rsidR="008C0F09">
          <w:rPr>
            <w:noProof/>
            <w:webHidden/>
          </w:rPr>
          <w:instrText xml:space="preserve"> PAGEREF _Toc443922942 \h </w:instrText>
        </w:r>
        <w:r w:rsidR="008C0F09">
          <w:rPr>
            <w:noProof/>
            <w:webHidden/>
          </w:rPr>
        </w:r>
        <w:r w:rsidR="008C0F09">
          <w:rPr>
            <w:noProof/>
            <w:webHidden/>
          </w:rPr>
          <w:fldChar w:fldCharType="separate"/>
        </w:r>
        <w:r w:rsidR="008C0F09">
          <w:rPr>
            <w:noProof/>
            <w:webHidden/>
          </w:rPr>
          <w:t>12</w:t>
        </w:r>
        <w:r w:rsidR="008C0F09">
          <w:rPr>
            <w:noProof/>
            <w:webHidden/>
          </w:rPr>
          <w:fldChar w:fldCharType="end"/>
        </w:r>
      </w:hyperlink>
    </w:p>
    <w:p w:rsidR="008C0F09" w:rsidRDefault="00B41704">
      <w:pPr>
        <w:pStyle w:val="TableofFigures"/>
        <w:tabs>
          <w:tab w:val="right" w:leader="dot" w:pos="9350"/>
        </w:tabs>
        <w:rPr>
          <w:rFonts w:asciiTheme="minorHAnsi" w:eastAsiaTheme="minorEastAsia" w:hAnsiTheme="minorHAnsi" w:cstheme="minorBidi"/>
          <w:noProof/>
          <w:sz w:val="22"/>
          <w:szCs w:val="22"/>
        </w:rPr>
      </w:pPr>
      <w:hyperlink w:anchor="_Toc443922943" w:history="1">
        <w:r w:rsidR="008C0F09" w:rsidRPr="00F30312">
          <w:rPr>
            <w:rStyle w:val="Hyperlink"/>
            <w:noProof/>
          </w:rPr>
          <w:t>Table 11 Incremental Measure Costs</w:t>
        </w:r>
        <w:r w:rsidR="008C0F09">
          <w:rPr>
            <w:noProof/>
            <w:webHidden/>
          </w:rPr>
          <w:tab/>
        </w:r>
        <w:r w:rsidR="008C0F09">
          <w:rPr>
            <w:noProof/>
            <w:webHidden/>
          </w:rPr>
          <w:fldChar w:fldCharType="begin"/>
        </w:r>
        <w:r w:rsidR="008C0F09">
          <w:rPr>
            <w:noProof/>
            <w:webHidden/>
          </w:rPr>
          <w:instrText xml:space="preserve"> PAGEREF _Toc443922943 \h </w:instrText>
        </w:r>
        <w:r w:rsidR="008C0F09">
          <w:rPr>
            <w:noProof/>
            <w:webHidden/>
          </w:rPr>
        </w:r>
        <w:r w:rsidR="008C0F09">
          <w:rPr>
            <w:noProof/>
            <w:webHidden/>
          </w:rPr>
          <w:fldChar w:fldCharType="separate"/>
        </w:r>
        <w:r w:rsidR="008C0F09">
          <w:rPr>
            <w:noProof/>
            <w:webHidden/>
          </w:rPr>
          <w:t>12</w:t>
        </w:r>
        <w:r w:rsidR="008C0F09">
          <w:rPr>
            <w:noProof/>
            <w:webHidden/>
          </w:rPr>
          <w:fldChar w:fldCharType="end"/>
        </w:r>
      </w:hyperlink>
    </w:p>
    <w:p w:rsidR="005A1F9D" w:rsidRPr="00A961E9" w:rsidRDefault="008C0F09" w:rsidP="00864083">
      <w:pPr>
        <w:rPr>
          <w:rFonts w:ascii="Arial" w:hAnsi="Arial" w:cs="Arial"/>
          <w:color w:val="FF0000"/>
          <w:sz w:val="22"/>
          <w:szCs w:val="22"/>
        </w:rPr>
      </w:pPr>
      <w:r w:rsidRPr="008C0F09">
        <w:rPr>
          <w:sz w:val="22"/>
          <w:szCs w:val="22"/>
        </w:rPr>
        <w:fldChar w:fldCharType="end"/>
      </w:r>
      <w:r w:rsidR="005A1F9D" w:rsidRPr="00A961E9">
        <w:rPr>
          <w:rFonts w:ascii="Arial" w:hAnsi="Arial" w:cs="Arial"/>
          <w:color w:val="FF0000"/>
          <w:sz w:val="22"/>
          <w:szCs w:val="22"/>
        </w:rPr>
        <w:t xml:space="preserve"> </w:t>
      </w:r>
    </w:p>
    <w:p w:rsidR="00851FAF" w:rsidRPr="00A961E9" w:rsidRDefault="00851FAF" w:rsidP="00864083">
      <w:pPr>
        <w:pStyle w:val="Heading1"/>
        <w:spacing w:before="0" w:after="0"/>
        <w:rPr>
          <w:color w:val="FF0000"/>
        </w:rPr>
        <w:sectPr w:rsidR="00851FAF" w:rsidRPr="00A961E9" w:rsidSect="00DB2CE5">
          <w:endnotePr>
            <w:numFmt w:val="decimal"/>
          </w:endnotePr>
          <w:pgSz w:w="12240" w:h="15840"/>
          <w:pgMar w:top="1440" w:right="1440" w:bottom="1440" w:left="1440" w:header="720" w:footer="720" w:gutter="0"/>
          <w:pgNumType w:fmt="lowerRoman" w:chapStyle="1"/>
          <w:cols w:space="720"/>
          <w:docGrid w:linePitch="360"/>
        </w:sectPr>
      </w:pPr>
      <w:bookmarkStart w:id="10" w:name="_Toc172205732"/>
    </w:p>
    <w:p w:rsidR="007D229A" w:rsidRPr="00A961E9" w:rsidRDefault="007D229A" w:rsidP="00864083">
      <w:pPr>
        <w:pStyle w:val="Heading1"/>
        <w:spacing w:before="0" w:after="0"/>
        <w:rPr>
          <w:color w:val="FF0000"/>
        </w:rPr>
        <w:sectPr w:rsidR="007D229A" w:rsidRPr="00A961E9" w:rsidSect="007D229A">
          <w:footerReference w:type="default" r:id="rId18"/>
          <w:endnotePr>
            <w:numFmt w:val="decimal"/>
          </w:endnotePr>
          <w:type w:val="continuous"/>
          <w:pgSz w:w="12240" w:h="15840"/>
          <w:pgMar w:top="1440" w:right="1440" w:bottom="1440" w:left="1440" w:header="720" w:footer="720" w:gutter="0"/>
          <w:pgNumType w:start="1" w:chapStyle="1"/>
          <w:cols w:space="720"/>
          <w:docGrid w:linePitch="360"/>
        </w:sectPr>
      </w:pPr>
    </w:p>
    <w:p w:rsidR="00ED21EE" w:rsidRPr="00A72A6A" w:rsidRDefault="00ED21EE" w:rsidP="00864083">
      <w:pPr>
        <w:pStyle w:val="Heading1"/>
        <w:spacing w:before="0" w:after="0"/>
        <w:rPr>
          <w:i/>
        </w:rPr>
      </w:pPr>
      <w:bookmarkStart w:id="11" w:name="_Toc443922960"/>
      <w:proofErr w:type="gramStart"/>
      <w:r w:rsidRPr="00A72A6A">
        <w:rPr>
          <w:i/>
        </w:rPr>
        <w:lastRenderedPageBreak/>
        <w:t>Section 1.</w:t>
      </w:r>
      <w:proofErr w:type="gramEnd"/>
      <w:r w:rsidRPr="00A72A6A">
        <w:rPr>
          <w:i/>
        </w:rPr>
        <w:t xml:space="preserve"> General Measure &amp; Baseline Data</w:t>
      </w:r>
      <w:bookmarkEnd w:id="11"/>
    </w:p>
    <w:p w:rsidR="00864083" w:rsidRPr="00A72A6A" w:rsidRDefault="00864083" w:rsidP="00864083">
      <w:pPr>
        <w:rPr>
          <w:rFonts w:ascii="Arial" w:hAnsi="Arial" w:cs="Arial"/>
        </w:rPr>
      </w:pPr>
    </w:p>
    <w:p w:rsidR="00C219B8" w:rsidRPr="00A72A6A" w:rsidRDefault="001248A3" w:rsidP="00976408">
      <w:pPr>
        <w:pStyle w:val="Heading2"/>
        <w:spacing w:before="0" w:after="0"/>
      </w:pPr>
      <w:bookmarkStart w:id="12" w:name="_Toc443922961"/>
      <w:bookmarkEnd w:id="10"/>
      <w:r w:rsidRPr="00A72A6A">
        <w:t xml:space="preserve">1.1 </w:t>
      </w:r>
      <w:r w:rsidR="008C6AD1" w:rsidRPr="00A72A6A">
        <w:t xml:space="preserve">Product </w:t>
      </w:r>
      <w:r w:rsidR="00E71EF1" w:rsidRPr="00A72A6A">
        <w:t>Measure Description &amp; Background</w:t>
      </w:r>
      <w:bookmarkEnd w:id="12"/>
    </w:p>
    <w:p w:rsidR="0037707D" w:rsidRPr="00A72A6A" w:rsidRDefault="00521920" w:rsidP="00976408">
      <w:pPr>
        <w:rPr>
          <w:rFonts w:ascii="Arial" w:hAnsi="Arial" w:cs="Arial"/>
          <w:b/>
          <w:sz w:val="22"/>
          <w:szCs w:val="22"/>
        </w:rPr>
      </w:pPr>
      <w:r w:rsidRPr="00A72A6A">
        <w:rPr>
          <w:rFonts w:ascii="Arial" w:hAnsi="Arial" w:cs="Arial"/>
          <w:b/>
          <w:sz w:val="22"/>
          <w:szCs w:val="22"/>
        </w:rPr>
        <w:t>Catalog Description</w:t>
      </w:r>
      <w:r w:rsidR="00476B67" w:rsidRPr="00A72A6A">
        <w:rPr>
          <w:rFonts w:ascii="Arial" w:hAnsi="Arial" w:cs="Arial"/>
          <w:b/>
          <w:sz w:val="22"/>
          <w:szCs w:val="22"/>
        </w:rPr>
        <w:t xml:space="preserve"> </w:t>
      </w:r>
    </w:p>
    <w:p w:rsidR="009B3B2B" w:rsidRPr="00A72A6A" w:rsidRDefault="009B3B2B" w:rsidP="009B3B2B">
      <w:pPr>
        <w:widowControl w:val="0"/>
        <w:numPr>
          <w:ilvl w:val="0"/>
          <w:numId w:val="29"/>
        </w:numPr>
        <w:autoSpaceDE w:val="0"/>
        <w:autoSpaceDN w:val="0"/>
        <w:adjustRightInd w:val="0"/>
        <w:rPr>
          <w:rFonts w:ascii="Arial" w:hAnsi="Arial" w:cs="Arial"/>
          <w:sz w:val="22"/>
          <w:szCs w:val="22"/>
        </w:rPr>
      </w:pPr>
      <w:r w:rsidRPr="00A72A6A">
        <w:rPr>
          <w:rFonts w:ascii="Arial" w:hAnsi="Arial" w:cs="Arial"/>
          <w:sz w:val="22"/>
          <w:szCs w:val="22"/>
        </w:rPr>
        <w:t>H1</w:t>
      </w:r>
      <w:r w:rsidR="00A72A6A" w:rsidRPr="00A72A6A">
        <w:rPr>
          <w:rFonts w:ascii="Arial" w:hAnsi="Arial" w:cs="Arial"/>
          <w:sz w:val="22"/>
          <w:szCs w:val="22"/>
        </w:rPr>
        <w:t>1</w:t>
      </w:r>
      <w:r w:rsidRPr="00A72A6A">
        <w:rPr>
          <w:rFonts w:ascii="Arial" w:hAnsi="Arial" w:cs="Arial"/>
          <w:sz w:val="22"/>
          <w:szCs w:val="22"/>
        </w:rPr>
        <w:t xml:space="preserve"> </w:t>
      </w:r>
      <w:r w:rsidR="00A72A6A" w:rsidRPr="00A72A6A">
        <w:rPr>
          <w:rFonts w:ascii="Arial" w:hAnsi="Arial" w:cs="Arial"/>
          <w:sz w:val="22"/>
          <w:szCs w:val="22"/>
        </w:rPr>
        <w:t>Water Process Boiler</w:t>
      </w:r>
    </w:p>
    <w:p w:rsidR="009B3B2B" w:rsidRPr="00A72A6A" w:rsidRDefault="00A72A6A" w:rsidP="009B3B2B">
      <w:pPr>
        <w:widowControl w:val="0"/>
        <w:numPr>
          <w:ilvl w:val="0"/>
          <w:numId w:val="29"/>
        </w:numPr>
        <w:autoSpaceDE w:val="0"/>
        <w:autoSpaceDN w:val="0"/>
        <w:adjustRightInd w:val="0"/>
        <w:rPr>
          <w:rFonts w:ascii="Arial" w:hAnsi="Arial" w:cs="Arial"/>
          <w:sz w:val="22"/>
          <w:szCs w:val="22"/>
        </w:rPr>
      </w:pPr>
      <w:r w:rsidRPr="00A72A6A">
        <w:rPr>
          <w:rFonts w:ascii="Arial" w:hAnsi="Arial" w:cs="Arial"/>
          <w:sz w:val="22"/>
          <w:szCs w:val="22"/>
        </w:rPr>
        <w:t>H15</w:t>
      </w:r>
      <w:r w:rsidR="009B3B2B" w:rsidRPr="00A72A6A">
        <w:rPr>
          <w:rFonts w:ascii="Arial" w:hAnsi="Arial" w:cs="Arial"/>
          <w:sz w:val="22"/>
          <w:szCs w:val="22"/>
        </w:rPr>
        <w:t xml:space="preserve"> </w:t>
      </w:r>
      <w:r w:rsidRPr="00A72A6A">
        <w:rPr>
          <w:rFonts w:ascii="Arial" w:hAnsi="Arial" w:cs="Arial"/>
          <w:sz w:val="22"/>
          <w:szCs w:val="22"/>
        </w:rPr>
        <w:t>Steam Process Boiler</w:t>
      </w:r>
    </w:p>
    <w:p w:rsidR="00864083" w:rsidRPr="00A72A6A" w:rsidRDefault="00864083" w:rsidP="00864083">
      <w:pPr>
        <w:rPr>
          <w:rFonts w:ascii="Arial" w:hAnsi="Arial" w:cs="Arial"/>
          <w:b/>
          <w:i/>
          <w:sz w:val="22"/>
          <w:szCs w:val="22"/>
        </w:rPr>
      </w:pPr>
    </w:p>
    <w:p w:rsidR="00C219B8" w:rsidRPr="00A72A6A" w:rsidRDefault="00C219B8" w:rsidP="00864083">
      <w:pPr>
        <w:rPr>
          <w:rFonts w:ascii="Arial" w:hAnsi="Arial" w:cs="Arial"/>
          <w:b/>
          <w:sz w:val="22"/>
          <w:szCs w:val="22"/>
        </w:rPr>
      </w:pPr>
      <w:r w:rsidRPr="00A72A6A">
        <w:rPr>
          <w:rFonts w:ascii="Arial" w:hAnsi="Arial" w:cs="Arial"/>
          <w:b/>
          <w:sz w:val="22"/>
          <w:szCs w:val="22"/>
        </w:rPr>
        <w:t>Program Restrictions and Guidelines</w:t>
      </w:r>
    </w:p>
    <w:p w:rsidR="00B2258B" w:rsidRPr="002A7EE9" w:rsidRDefault="00B2258B" w:rsidP="00864083">
      <w:pPr>
        <w:rPr>
          <w:rFonts w:ascii="Arial" w:hAnsi="Arial" w:cs="Arial"/>
          <w:sz w:val="22"/>
          <w:szCs w:val="22"/>
        </w:rPr>
      </w:pPr>
      <w:r w:rsidRPr="00A72A6A">
        <w:rPr>
          <w:rFonts w:ascii="Arial" w:hAnsi="Arial" w:cs="Arial"/>
          <w:sz w:val="22"/>
          <w:szCs w:val="22"/>
        </w:rPr>
        <w:t xml:space="preserve">This work paper documents the rationale for the savings methodologies and assumptions for </w:t>
      </w:r>
      <w:r w:rsidR="00A72A6A" w:rsidRPr="00A72A6A">
        <w:rPr>
          <w:rFonts w:ascii="Arial" w:hAnsi="Arial" w:cs="Arial"/>
          <w:sz w:val="22"/>
          <w:szCs w:val="22"/>
        </w:rPr>
        <w:t>Process</w:t>
      </w:r>
      <w:r w:rsidRPr="00A72A6A">
        <w:rPr>
          <w:rFonts w:ascii="Arial" w:hAnsi="Arial" w:cs="Arial"/>
          <w:sz w:val="22"/>
          <w:szCs w:val="22"/>
        </w:rPr>
        <w:t xml:space="preserve"> Boilers, as listed in the Boilers and Water Heating </w:t>
      </w:r>
      <w:r w:rsidR="00885E14" w:rsidRPr="00A72A6A">
        <w:rPr>
          <w:rFonts w:ascii="Arial" w:hAnsi="Arial" w:cs="Arial"/>
          <w:sz w:val="22"/>
          <w:szCs w:val="22"/>
        </w:rPr>
        <w:t xml:space="preserve">Rebate </w:t>
      </w:r>
      <w:r w:rsidRPr="00A72A6A">
        <w:rPr>
          <w:rFonts w:ascii="Arial" w:hAnsi="Arial" w:cs="Arial"/>
          <w:sz w:val="22"/>
          <w:szCs w:val="22"/>
        </w:rPr>
        <w:t>Catalog. The Boilers and Water Heating</w:t>
      </w:r>
      <w:r w:rsidR="00842088">
        <w:rPr>
          <w:rFonts w:ascii="Arial" w:hAnsi="Arial" w:cs="Arial"/>
          <w:sz w:val="22"/>
          <w:szCs w:val="22"/>
        </w:rPr>
        <w:t xml:space="preserve"> Rebate</w:t>
      </w:r>
      <w:r w:rsidRPr="00A72A6A">
        <w:rPr>
          <w:rFonts w:ascii="Arial" w:hAnsi="Arial" w:cs="Arial"/>
          <w:sz w:val="22"/>
          <w:szCs w:val="22"/>
        </w:rPr>
        <w:t xml:space="preserve"> Catalog is part of Pacific Gas and Electric Company’s Customer Energy </w:t>
      </w:r>
      <w:r w:rsidRPr="002A7EE9">
        <w:rPr>
          <w:rFonts w:ascii="Arial" w:hAnsi="Arial" w:cs="Arial"/>
          <w:sz w:val="22"/>
          <w:szCs w:val="22"/>
        </w:rPr>
        <w:t xml:space="preserve">Efficiency Program. PG&amp;E offers incentives to </w:t>
      </w:r>
      <w:r w:rsidR="00DE03FB">
        <w:rPr>
          <w:rFonts w:ascii="Arial" w:hAnsi="Arial" w:cs="Arial"/>
          <w:sz w:val="22"/>
          <w:szCs w:val="22"/>
        </w:rPr>
        <w:t>industrial</w:t>
      </w:r>
      <w:r w:rsidRPr="002A7EE9">
        <w:rPr>
          <w:rFonts w:ascii="Arial" w:hAnsi="Arial" w:cs="Arial"/>
          <w:sz w:val="22"/>
          <w:szCs w:val="22"/>
        </w:rPr>
        <w:t xml:space="preserve"> customers for installing qualifying</w:t>
      </w:r>
      <w:r w:rsidR="009B3B2B" w:rsidRPr="002A7EE9">
        <w:rPr>
          <w:rFonts w:ascii="Arial" w:hAnsi="Arial" w:cs="Arial"/>
          <w:sz w:val="22"/>
          <w:szCs w:val="22"/>
        </w:rPr>
        <w:t>,</w:t>
      </w:r>
      <w:r w:rsidRPr="002A7EE9">
        <w:rPr>
          <w:rFonts w:ascii="Arial" w:hAnsi="Arial" w:cs="Arial"/>
          <w:sz w:val="22"/>
          <w:szCs w:val="22"/>
        </w:rPr>
        <w:t xml:space="preserve"> </w:t>
      </w:r>
      <w:r w:rsidR="009B3B2B" w:rsidRPr="002A7EE9">
        <w:rPr>
          <w:rFonts w:ascii="Arial" w:hAnsi="Arial" w:cs="Arial"/>
          <w:sz w:val="22"/>
          <w:szCs w:val="22"/>
        </w:rPr>
        <w:t>high-</w:t>
      </w:r>
      <w:r w:rsidRPr="002A7EE9">
        <w:rPr>
          <w:rFonts w:ascii="Arial" w:hAnsi="Arial" w:cs="Arial"/>
          <w:sz w:val="22"/>
          <w:szCs w:val="22"/>
        </w:rPr>
        <w:t xml:space="preserve">efficiency equipment. </w:t>
      </w:r>
    </w:p>
    <w:p w:rsidR="00A32930" w:rsidRPr="002A7EE9" w:rsidRDefault="00A32930" w:rsidP="00864083">
      <w:pPr>
        <w:rPr>
          <w:rFonts w:ascii="Arial" w:hAnsi="Arial" w:cs="Arial"/>
          <w:sz w:val="22"/>
          <w:szCs w:val="22"/>
        </w:rPr>
      </w:pPr>
    </w:p>
    <w:p w:rsidR="00F96D19" w:rsidRPr="002A7EE9" w:rsidRDefault="009A3B09" w:rsidP="00864083">
      <w:pPr>
        <w:ind w:left="360"/>
        <w:rPr>
          <w:rFonts w:ascii="Arial" w:hAnsi="Arial" w:cs="Arial"/>
          <w:b/>
          <w:sz w:val="22"/>
          <w:szCs w:val="22"/>
        </w:rPr>
      </w:pPr>
      <w:r w:rsidRPr="002A7EE9">
        <w:rPr>
          <w:rFonts w:ascii="Arial" w:hAnsi="Arial" w:cs="Arial"/>
          <w:b/>
          <w:sz w:val="22"/>
          <w:szCs w:val="22"/>
        </w:rPr>
        <w:t xml:space="preserve">Terms and Conditions: </w:t>
      </w:r>
    </w:p>
    <w:p w:rsidR="009B3B2B" w:rsidRPr="002A7EE9" w:rsidRDefault="009B3B2B" w:rsidP="00864083">
      <w:pPr>
        <w:ind w:left="360"/>
        <w:rPr>
          <w:rFonts w:ascii="Arial" w:hAnsi="Arial" w:cs="Arial"/>
          <w:sz w:val="22"/>
          <w:szCs w:val="22"/>
        </w:rPr>
      </w:pPr>
      <w:r w:rsidRPr="002A7EE9">
        <w:rPr>
          <w:rFonts w:ascii="Arial" w:hAnsi="Arial" w:cs="Arial"/>
          <w:sz w:val="22"/>
          <w:szCs w:val="22"/>
        </w:rPr>
        <w:t>Requirements from Boilers and Water Heating Catalog:</w:t>
      </w:r>
    </w:p>
    <w:p w:rsidR="009B3B2B" w:rsidRPr="002A7EE9" w:rsidRDefault="0007306B" w:rsidP="009B3B2B">
      <w:pPr>
        <w:numPr>
          <w:ilvl w:val="0"/>
          <w:numId w:val="29"/>
        </w:numPr>
        <w:rPr>
          <w:rFonts w:ascii="Arial" w:hAnsi="Arial" w:cs="Arial"/>
          <w:sz w:val="22"/>
          <w:szCs w:val="22"/>
        </w:rPr>
      </w:pPr>
      <w:r w:rsidRPr="002A7EE9">
        <w:rPr>
          <w:rFonts w:ascii="Arial" w:hAnsi="Arial" w:cs="Arial"/>
          <w:sz w:val="22"/>
          <w:szCs w:val="22"/>
        </w:rPr>
        <w:t>This rebate is available to industrial end-use customers who manufacture a saleable product typically in NAICS codes 31-33, but other NAICS codes may apply.</w:t>
      </w:r>
    </w:p>
    <w:p w:rsidR="009B3B2B" w:rsidRPr="002A7EE9" w:rsidRDefault="002A7EE9" w:rsidP="009B3B2B">
      <w:pPr>
        <w:numPr>
          <w:ilvl w:val="0"/>
          <w:numId w:val="29"/>
        </w:numPr>
        <w:rPr>
          <w:rFonts w:ascii="Arial" w:hAnsi="Arial" w:cs="Arial"/>
          <w:sz w:val="22"/>
          <w:szCs w:val="22"/>
        </w:rPr>
      </w:pPr>
      <w:r w:rsidRPr="002A7EE9">
        <w:rPr>
          <w:rFonts w:ascii="Arial" w:hAnsi="Arial" w:cs="Arial"/>
          <w:sz w:val="22"/>
          <w:szCs w:val="22"/>
        </w:rPr>
        <w:t>Application must include the manufacturer’s name and model name/number for the equipment.</w:t>
      </w:r>
    </w:p>
    <w:p w:rsidR="009B3B2B" w:rsidRPr="002A7EE9" w:rsidRDefault="002A7EE9" w:rsidP="009B3B2B">
      <w:pPr>
        <w:numPr>
          <w:ilvl w:val="0"/>
          <w:numId w:val="29"/>
        </w:numPr>
        <w:rPr>
          <w:rFonts w:ascii="Arial" w:hAnsi="Arial" w:cs="Arial"/>
          <w:sz w:val="22"/>
          <w:szCs w:val="22"/>
        </w:rPr>
      </w:pPr>
      <w:r w:rsidRPr="002A7EE9">
        <w:rPr>
          <w:rFonts w:ascii="Arial" w:hAnsi="Arial" w:cs="Arial"/>
          <w:sz w:val="22"/>
          <w:szCs w:val="22"/>
        </w:rPr>
        <w:t>Installation address must have a commercial natural gas account with PG&amp;E</w:t>
      </w:r>
    </w:p>
    <w:p w:rsidR="00B2258B" w:rsidRDefault="002A7EE9" w:rsidP="009B3B2B">
      <w:pPr>
        <w:numPr>
          <w:ilvl w:val="0"/>
          <w:numId w:val="29"/>
        </w:numPr>
        <w:rPr>
          <w:rFonts w:ascii="Arial" w:hAnsi="Arial" w:cs="Arial"/>
          <w:sz w:val="22"/>
          <w:szCs w:val="22"/>
        </w:rPr>
      </w:pPr>
      <w:r w:rsidRPr="002A7EE9">
        <w:rPr>
          <w:rFonts w:ascii="Arial" w:hAnsi="Arial" w:cs="Arial"/>
          <w:sz w:val="22"/>
          <w:szCs w:val="22"/>
        </w:rPr>
        <w:t>Boilers used primarily for domestic hot water, space conditioning</w:t>
      </w:r>
      <w:r w:rsidR="00B65C36">
        <w:rPr>
          <w:rFonts w:ascii="Arial" w:hAnsi="Arial" w:cs="Arial"/>
          <w:sz w:val="22"/>
          <w:szCs w:val="22"/>
        </w:rPr>
        <w:t>,</w:t>
      </w:r>
      <w:r w:rsidR="00730011" w:rsidRPr="002A7EE9">
        <w:rPr>
          <w:rFonts w:ascii="Arial" w:hAnsi="Arial" w:cs="Arial"/>
          <w:sz w:val="22"/>
          <w:szCs w:val="22"/>
        </w:rPr>
        <w:t xml:space="preserve"> </w:t>
      </w:r>
      <w:r w:rsidRPr="002A7EE9">
        <w:rPr>
          <w:rFonts w:ascii="Arial" w:hAnsi="Arial" w:cs="Arial"/>
          <w:sz w:val="22"/>
          <w:szCs w:val="22"/>
        </w:rPr>
        <w:t>pools</w:t>
      </w:r>
      <w:r w:rsidR="00B65C36">
        <w:rPr>
          <w:rFonts w:ascii="Arial" w:hAnsi="Arial" w:cs="Arial"/>
          <w:sz w:val="22"/>
          <w:szCs w:val="22"/>
        </w:rPr>
        <w:t>,</w:t>
      </w:r>
      <w:r w:rsidRPr="002A7EE9">
        <w:rPr>
          <w:rFonts w:ascii="Arial" w:hAnsi="Arial" w:cs="Arial"/>
          <w:sz w:val="22"/>
          <w:szCs w:val="22"/>
        </w:rPr>
        <w:t xml:space="preserve"> or spas do no</w:t>
      </w:r>
      <w:r w:rsidR="00842088">
        <w:rPr>
          <w:rFonts w:ascii="Arial" w:hAnsi="Arial" w:cs="Arial"/>
          <w:sz w:val="22"/>
          <w:szCs w:val="22"/>
        </w:rPr>
        <w:t>t</w:t>
      </w:r>
      <w:r w:rsidRPr="002A7EE9">
        <w:rPr>
          <w:rFonts w:ascii="Arial" w:hAnsi="Arial" w:cs="Arial"/>
          <w:sz w:val="22"/>
          <w:szCs w:val="22"/>
        </w:rPr>
        <w:t xml:space="preserve"> qualify for this rebate.</w:t>
      </w:r>
    </w:p>
    <w:p w:rsidR="002A7EE9" w:rsidRDefault="00B41704" w:rsidP="002A7EE9">
      <w:pPr>
        <w:numPr>
          <w:ilvl w:val="0"/>
          <w:numId w:val="29"/>
        </w:numPr>
        <w:rPr>
          <w:rFonts w:ascii="Arial" w:hAnsi="Arial" w:cs="Arial"/>
          <w:sz w:val="22"/>
          <w:szCs w:val="22"/>
        </w:rPr>
      </w:pPr>
      <w:r>
        <w:rPr>
          <w:rFonts w:ascii="Arial" w:hAnsi="Arial" w:cs="Arial"/>
          <w:sz w:val="22"/>
          <w:szCs w:val="22"/>
        </w:rPr>
        <w:t>A combustion test measured under full-load conditions to document combustion efficiency must be submitted after installation is complete.</w:t>
      </w:r>
    </w:p>
    <w:p w:rsidR="00B41704" w:rsidRPr="002A7EE9" w:rsidRDefault="00B41704" w:rsidP="002A7EE9">
      <w:pPr>
        <w:numPr>
          <w:ilvl w:val="0"/>
          <w:numId w:val="29"/>
        </w:numPr>
        <w:rPr>
          <w:rFonts w:ascii="Arial" w:hAnsi="Arial" w:cs="Arial"/>
          <w:sz w:val="22"/>
          <w:szCs w:val="22"/>
        </w:rPr>
      </w:pPr>
      <w:r>
        <w:rPr>
          <w:rFonts w:ascii="Arial" w:hAnsi="Arial" w:cs="Arial"/>
          <w:sz w:val="22"/>
          <w:szCs w:val="22"/>
        </w:rPr>
        <w:t xml:space="preserve">Input rating of the boiler is ≤ 20,000 </w:t>
      </w:r>
      <w:proofErr w:type="spellStart"/>
      <w:r>
        <w:rPr>
          <w:rFonts w:ascii="Arial" w:hAnsi="Arial" w:cs="Arial"/>
          <w:sz w:val="22"/>
          <w:szCs w:val="22"/>
        </w:rPr>
        <w:t>Mbtuh</w:t>
      </w:r>
      <w:proofErr w:type="spellEnd"/>
      <w:r>
        <w:rPr>
          <w:rFonts w:ascii="Arial" w:hAnsi="Arial" w:cs="Arial"/>
          <w:sz w:val="22"/>
          <w:szCs w:val="22"/>
        </w:rPr>
        <w:t>.</w:t>
      </w:r>
    </w:p>
    <w:p w:rsidR="000F2774" w:rsidRPr="002A7EE9" w:rsidRDefault="000F2774" w:rsidP="00864083">
      <w:pPr>
        <w:ind w:left="360"/>
        <w:rPr>
          <w:rFonts w:ascii="Arial" w:hAnsi="Arial" w:cs="Arial"/>
          <w:sz w:val="22"/>
          <w:szCs w:val="22"/>
        </w:rPr>
      </w:pPr>
    </w:p>
    <w:p w:rsidR="000F2774" w:rsidRPr="002A7EE9" w:rsidRDefault="009A3B09" w:rsidP="00864083">
      <w:pPr>
        <w:ind w:left="360"/>
        <w:rPr>
          <w:rFonts w:ascii="Arial" w:hAnsi="Arial" w:cs="Arial"/>
          <w:b/>
          <w:sz w:val="22"/>
          <w:szCs w:val="22"/>
        </w:rPr>
      </w:pPr>
      <w:r w:rsidRPr="002A7EE9">
        <w:rPr>
          <w:rFonts w:ascii="Arial" w:hAnsi="Arial" w:cs="Arial"/>
          <w:b/>
          <w:sz w:val="22"/>
          <w:szCs w:val="22"/>
        </w:rPr>
        <w:t xml:space="preserve">Market Applicability: </w:t>
      </w:r>
    </w:p>
    <w:p w:rsidR="00F85990" w:rsidRPr="00F85990" w:rsidRDefault="00B2258B" w:rsidP="00F85990">
      <w:pPr>
        <w:ind w:left="360"/>
        <w:rPr>
          <w:rFonts w:ascii="Arial" w:hAnsi="Arial" w:cs="Arial"/>
          <w:sz w:val="22"/>
          <w:szCs w:val="22"/>
        </w:rPr>
      </w:pPr>
      <w:r w:rsidRPr="002A7EE9">
        <w:rPr>
          <w:rFonts w:ascii="Arial" w:hAnsi="Arial" w:cs="Arial"/>
          <w:sz w:val="22"/>
          <w:szCs w:val="22"/>
        </w:rPr>
        <w:t>This measure is applicable to any</w:t>
      </w:r>
      <w:r w:rsidR="002A7EE9" w:rsidRPr="002A7EE9">
        <w:rPr>
          <w:rFonts w:ascii="Arial" w:hAnsi="Arial" w:cs="Arial"/>
          <w:sz w:val="22"/>
          <w:szCs w:val="22"/>
        </w:rPr>
        <w:t xml:space="preserve"> industrial process</w:t>
      </w:r>
      <w:r w:rsidRPr="002A7EE9">
        <w:rPr>
          <w:rFonts w:ascii="Arial" w:hAnsi="Arial" w:cs="Arial"/>
          <w:sz w:val="22"/>
          <w:szCs w:val="22"/>
        </w:rPr>
        <w:t xml:space="preserve"> boiler and not applicable to boilers used for </w:t>
      </w:r>
      <w:r w:rsidR="002A7EE9" w:rsidRPr="002A7EE9">
        <w:rPr>
          <w:rFonts w:ascii="Arial" w:hAnsi="Arial" w:cs="Arial"/>
          <w:sz w:val="22"/>
          <w:szCs w:val="22"/>
        </w:rPr>
        <w:t>space heating</w:t>
      </w:r>
      <w:r w:rsidRPr="002A7EE9">
        <w:rPr>
          <w:rFonts w:ascii="Arial" w:hAnsi="Arial" w:cs="Arial"/>
          <w:sz w:val="22"/>
          <w:szCs w:val="22"/>
        </w:rPr>
        <w:t xml:space="preserve">, domestic hot water, pools, or spas. </w:t>
      </w:r>
      <w:r w:rsidR="00F85990" w:rsidRPr="00F85990">
        <w:rPr>
          <w:rFonts w:ascii="Arial" w:hAnsi="Arial" w:cs="Arial"/>
          <w:sz w:val="22"/>
          <w:szCs w:val="22"/>
        </w:rPr>
        <w:t>This measure is applicable to any commerci</w:t>
      </w:r>
      <w:r w:rsidR="00B65C36">
        <w:rPr>
          <w:rFonts w:ascii="Arial" w:hAnsi="Arial" w:cs="Arial"/>
          <w:sz w:val="22"/>
          <w:szCs w:val="22"/>
        </w:rPr>
        <w:t xml:space="preserve">al application through midstream and </w:t>
      </w:r>
      <w:r w:rsidR="00F85990" w:rsidRPr="00F85990">
        <w:rPr>
          <w:rFonts w:ascii="Arial" w:hAnsi="Arial" w:cs="Arial"/>
          <w:sz w:val="22"/>
          <w:szCs w:val="22"/>
        </w:rPr>
        <w:t xml:space="preserve">downstream channels. </w:t>
      </w:r>
      <w:r w:rsidR="000222E6" w:rsidRPr="000222E6">
        <w:rPr>
          <w:rFonts w:ascii="Arial" w:hAnsi="Arial" w:cs="Arial"/>
          <w:sz w:val="22"/>
          <w:szCs w:val="22"/>
        </w:rPr>
        <w:t xml:space="preserve">The </w:t>
      </w:r>
      <w:r w:rsidR="000222E6">
        <w:rPr>
          <w:rFonts w:ascii="Arial" w:hAnsi="Arial" w:cs="Arial"/>
          <w:sz w:val="22"/>
          <w:szCs w:val="22"/>
        </w:rPr>
        <w:t xml:space="preserve">midstream </w:t>
      </w:r>
      <w:r w:rsidR="000222E6" w:rsidRPr="000222E6">
        <w:rPr>
          <w:rFonts w:ascii="Arial" w:hAnsi="Arial" w:cs="Arial"/>
          <w:sz w:val="22"/>
          <w:szCs w:val="22"/>
        </w:rPr>
        <w:t xml:space="preserve">rebate </w:t>
      </w:r>
      <w:r w:rsidR="000222E6">
        <w:rPr>
          <w:rFonts w:ascii="Arial" w:hAnsi="Arial" w:cs="Arial"/>
          <w:sz w:val="22"/>
          <w:szCs w:val="22"/>
        </w:rPr>
        <w:t xml:space="preserve">requires the </w:t>
      </w:r>
      <w:r w:rsidR="000222E6" w:rsidRPr="000222E6">
        <w:rPr>
          <w:rFonts w:ascii="Arial" w:hAnsi="Arial" w:cs="Arial"/>
          <w:sz w:val="22"/>
          <w:szCs w:val="22"/>
        </w:rPr>
        <w:t xml:space="preserve">distributor </w:t>
      </w:r>
      <w:r w:rsidR="000222E6">
        <w:rPr>
          <w:rFonts w:ascii="Arial" w:hAnsi="Arial" w:cs="Arial"/>
          <w:sz w:val="22"/>
          <w:szCs w:val="22"/>
        </w:rPr>
        <w:t>to send</w:t>
      </w:r>
      <w:r w:rsidR="000222E6" w:rsidRPr="000222E6">
        <w:rPr>
          <w:rFonts w:ascii="Arial" w:hAnsi="Arial" w:cs="Arial"/>
          <w:sz w:val="22"/>
          <w:szCs w:val="22"/>
        </w:rPr>
        <w:t xml:space="preserve"> receipt of th</w:t>
      </w:r>
      <w:r w:rsidR="000222E6">
        <w:rPr>
          <w:rFonts w:ascii="Arial" w:hAnsi="Arial" w:cs="Arial"/>
          <w:sz w:val="22"/>
          <w:szCs w:val="22"/>
        </w:rPr>
        <w:t>e make and model and spec sheet of the process boiler.</w:t>
      </w:r>
    </w:p>
    <w:p w:rsidR="00B2258B" w:rsidRDefault="00B2258B" w:rsidP="00864083">
      <w:pPr>
        <w:ind w:left="360"/>
        <w:rPr>
          <w:rFonts w:ascii="Arial" w:hAnsi="Arial" w:cs="Arial"/>
          <w:sz w:val="22"/>
          <w:szCs w:val="22"/>
        </w:rPr>
      </w:pPr>
    </w:p>
    <w:p w:rsidR="00F96D19" w:rsidRPr="002A7EE9" w:rsidRDefault="00F96D19" w:rsidP="00864083">
      <w:pPr>
        <w:rPr>
          <w:rFonts w:ascii="Arial" w:hAnsi="Arial" w:cs="Arial"/>
          <w:b/>
          <w:i/>
          <w:sz w:val="22"/>
          <w:szCs w:val="22"/>
        </w:rPr>
      </w:pPr>
    </w:p>
    <w:p w:rsidR="00521920" w:rsidRPr="002A7EE9" w:rsidRDefault="00806070" w:rsidP="00E8736C">
      <w:pPr>
        <w:pStyle w:val="Heading2"/>
        <w:spacing w:before="0"/>
      </w:pPr>
      <w:bookmarkStart w:id="13" w:name="_Toc443922962"/>
      <w:r w:rsidRPr="002A7EE9">
        <w:t xml:space="preserve">1.2 Product </w:t>
      </w:r>
      <w:r w:rsidR="00521920" w:rsidRPr="002A7EE9">
        <w:t>Technical Description</w:t>
      </w:r>
      <w:bookmarkEnd w:id="13"/>
    </w:p>
    <w:p w:rsidR="00B2258B" w:rsidRPr="00DE03FB" w:rsidRDefault="002A7EE9" w:rsidP="00864083">
      <w:pPr>
        <w:rPr>
          <w:rFonts w:ascii="Arial" w:hAnsi="Arial" w:cs="Arial"/>
          <w:sz w:val="22"/>
          <w:szCs w:val="22"/>
        </w:rPr>
      </w:pPr>
      <w:r w:rsidRPr="002A7EE9">
        <w:rPr>
          <w:rFonts w:ascii="Arial" w:hAnsi="Arial" w:cs="Arial"/>
          <w:sz w:val="22"/>
          <w:szCs w:val="22"/>
        </w:rPr>
        <w:t>Process</w:t>
      </w:r>
      <w:r w:rsidR="00B2258B" w:rsidRPr="002A7EE9">
        <w:rPr>
          <w:rFonts w:ascii="Arial" w:hAnsi="Arial" w:cs="Arial"/>
          <w:sz w:val="22"/>
          <w:szCs w:val="22"/>
        </w:rPr>
        <w:t xml:space="preserve"> boilers are pressure vessels that transfer heat to water for use primarily in </w:t>
      </w:r>
      <w:r w:rsidRPr="002A7EE9">
        <w:rPr>
          <w:rFonts w:ascii="Arial" w:hAnsi="Arial" w:cs="Arial"/>
          <w:sz w:val="22"/>
          <w:szCs w:val="22"/>
        </w:rPr>
        <w:t xml:space="preserve">process </w:t>
      </w:r>
      <w:r w:rsidR="00B2258B" w:rsidRPr="002A7EE9">
        <w:rPr>
          <w:rFonts w:ascii="Arial" w:hAnsi="Arial" w:cs="Arial"/>
          <w:sz w:val="22"/>
          <w:szCs w:val="22"/>
        </w:rPr>
        <w:t xml:space="preserve">applications. </w:t>
      </w:r>
      <w:r w:rsidR="00B2258B" w:rsidRPr="00DE03FB">
        <w:rPr>
          <w:rFonts w:ascii="Arial" w:hAnsi="Arial" w:cs="Arial"/>
          <w:sz w:val="22"/>
          <w:szCs w:val="22"/>
        </w:rPr>
        <w:t xml:space="preserve">Energy efficient units often feature </w:t>
      </w:r>
      <w:r w:rsidR="009B3B2B" w:rsidRPr="00DE03FB">
        <w:rPr>
          <w:rFonts w:ascii="Arial" w:hAnsi="Arial" w:cs="Arial"/>
          <w:sz w:val="22"/>
          <w:szCs w:val="22"/>
        </w:rPr>
        <w:t>high-</w:t>
      </w:r>
      <w:r w:rsidR="00B2258B" w:rsidRPr="00DE03FB">
        <w:rPr>
          <w:rFonts w:ascii="Arial" w:hAnsi="Arial" w:cs="Arial"/>
          <w:sz w:val="22"/>
          <w:szCs w:val="22"/>
        </w:rPr>
        <w:t xml:space="preserve">efficiency and/or low NOx burners, and typically have features such as forced air burners, relatively large heat exchange surfaces, and/or utilize heat recovery from stack gases. </w:t>
      </w:r>
    </w:p>
    <w:p w:rsidR="00E16FD8" w:rsidRDefault="00E16FD8" w:rsidP="00864083">
      <w:pPr>
        <w:pStyle w:val="Heading2"/>
        <w:keepNext w:val="0"/>
        <w:spacing w:before="0" w:after="0"/>
        <w:sectPr w:rsidR="00E16FD8" w:rsidSect="00E16FD8">
          <w:endnotePr>
            <w:numFmt w:val="decimal"/>
          </w:endnotePr>
          <w:pgSz w:w="12240" w:h="15840"/>
          <w:pgMar w:top="1440" w:right="1440" w:bottom="1440" w:left="1440" w:header="720" w:footer="720" w:gutter="0"/>
          <w:pgNumType w:start="1" w:chapStyle="1"/>
          <w:cols w:space="720"/>
          <w:docGrid w:linePitch="360"/>
        </w:sectPr>
      </w:pPr>
    </w:p>
    <w:p w:rsidR="009C5CA7" w:rsidRPr="00DE03FB" w:rsidRDefault="009C5CA7" w:rsidP="00864083">
      <w:pPr>
        <w:pStyle w:val="Heading2"/>
        <w:keepNext w:val="0"/>
        <w:spacing w:before="0" w:after="0"/>
      </w:pPr>
      <w:bookmarkStart w:id="14" w:name="_Toc443922963"/>
      <w:r w:rsidRPr="00DE03FB">
        <w:lastRenderedPageBreak/>
        <w:t>1.</w:t>
      </w:r>
      <w:r w:rsidR="00806070" w:rsidRPr="00DE03FB">
        <w:t>3</w:t>
      </w:r>
      <w:r w:rsidRPr="00DE03FB">
        <w:t xml:space="preserve"> </w:t>
      </w:r>
      <w:r w:rsidR="009048C4" w:rsidRPr="00DE03FB">
        <w:t>Measure Application Type</w:t>
      </w:r>
      <w:bookmarkEnd w:id="14"/>
    </w:p>
    <w:p w:rsidR="00976408" w:rsidRPr="00DE03FB" w:rsidRDefault="000E1C56" w:rsidP="00976408">
      <w:pPr>
        <w:rPr>
          <w:rFonts w:ascii="Arial" w:hAnsi="Arial" w:cs="Arial"/>
          <w:sz w:val="22"/>
          <w:szCs w:val="22"/>
        </w:rPr>
      </w:pPr>
      <w:bookmarkStart w:id="15" w:name="_Toc324427642"/>
      <w:r w:rsidRPr="00DE03FB">
        <w:rPr>
          <w:rFonts w:ascii="Arial" w:hAnsi="Arial" w:cs="Arial"/>
          <w:sz w:val="22"/>
          <w:szCs w:val="22"/>
        </w:rPr>
        <w:t xml:space="preserve">The DEER </w:t>
      </w:r>
      <w:bookmarkEnd w:id="15"/>
      <w:r w:rsidR="006646F9" w:rsidRPr="00DE03FB">
        <w:rPr>
          <w:rFonts w:ascii="Arial" w:hAnsi="Arial" w:cs="Arial"/>
          <w:sz w:val="22"/>
          <w:szCs w:val="22"/>
        </w:rPr>
        <w:t>measure application types are defined in the table below:</w:t>
      </w:r>
    </w:p>
    <w:p w:rsidR="00976408" w:rsidRPr="00906317" w:rsidRDefault="00976408" w:rsidP="00C218D5">
      <w:pPr>
        <w:pStyle w:val="Caption"/>
        <w:keepNext/>
        <w:jc w:val="center"/>
        <w:rPr>
          <w:rFonts w:ascii="Arial" w:hAnsi="Arial" w:cs="Arial"/>
          <w:sz w:val="22"/>
          <w:szCs w:val="22"/>
        </w:rPr>
      </w:pPr>
    </w:p>
    <w:p w:rsidR="001E3A20" w:rsidRDefault="001E3A20" w:rsidP="001E3A20">
      <w:pPr>
        <w:pStyle w:val="Caption"/>
        <w:keepNext/>
        <w:jc w:val="center"/>
      </w:pPr>
      <w:bookmarkStart w:id="16" w:name="_Toc443922933"/>
      <w:r>
        <w:t xml:space="preserve">Table </w:t>
      </w:r>
      <w:fldSimple w:instr=" SEQ Table \* ARABIC ">
        <w:r w:rsidR="00871EB2">
          <w:rPr>
            <w:noProof/>
          </w:rPr>
          <w:t>1</w:t>
        </w:r>
      </w:fldSimple>
      <w:r>
        <w:t xml:space="preserve"> Measures Application Type</w:t>
      </w:r>
      <w:r w:rsidRPr="00906317">
        <w:rPr>
          <w:rStyle w:val="EndnoteReference"/>
          <w:rFonts w:ascii="Arial" w:hAnsi="Arial" w:cs="Arial"/>
          <w:sz w:val="22"/>
          <w:szCs w:val="22"/>
        </w:rPr>
        <w:endnoteReference w:id="1"/>
      </w:r>
      <w:bookmarkEnd w:id="16"/>
    </w:p>
    <w:tbl>
      <w:tblPr>
        <w:tblW w:w="9090" w:type="dxa"/>
        <w:tblInd w:w="108" w:type="dxa"/>
        <w:tblLook w:val="04A0" w:firstRow="1" w:lastRow="0" w:firstColumn="1" w:lastColumn="0" w:noHBand="0" w:noVBand="1"/>
      </w:tblPr>
      <w:tblGrid>
        <w:gridCol w:w="900"/>
        <w:gridCol w:w="2610"/>
        <w:gridCol w:w="5580"/>
      </w:tblGrid>
      <w:tr w:rsidR="00976408" w:rsidRPr="00906317" w:rsidTr="00976408">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976408" w:rsidRPr="00906317" w:rsidRDefault="00976408" w:rsidP="00976408">
            <w:pPr>
              <w:keepNext/>
              <w:rPr>
                <w:rFonts w:ascii="Arial" w:hAnsi="Arial" w:cs="Arial"/>
                <w:b/>
                <w:sz w:val="22"/>
                <w:szCs w:val="22"/>
              </w:rPr>
            </w:pPr>
            <w:r w:rsidRPr="00906317">
              <w:rPr>
                <w:rFonts w:ascii="Arial" w:hAnsi="Arial" w:cs="Arial"/>
                <w:b/>
                <w:sz w:val="22"/>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976408" w:rsidRPr="00906317" w:rsidRDefault="00976408" w:rsidP="00976408">
            <w:pPr>
              <w:keepNext/>
              <w:rPr>
                <w:rFonts w:ascii="Arial" w:hAnsi="Arial" w:cs="Arial"/>
                <w:b/>
                <w:sz w:val="22"/>
                <w:szCs w:val="22"/>
              </w:rPr>
            </w:pPr>
            <w:r w:rsidRPr="00906317">
              <w:rPr>
                <w:rFonts w:ascii="Arial" w:hAnsi="Arial" w:cs="Arial"/>
                <w:b/>
                <w:sz w:val="22"/>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976408" w:rsidRPr="00906317" w:rsidRDefault="00976408" w:rsidP="00976408">
            <w:pPr>
              <w:keepNext/>
              <w:rPr>
                <w:rFonts w:ascii="Arial" w:hAnsi="Arial" w:cs="Arial"/>
                <w:b/>
                <w:sz w:val="22"/>
                <w:szCs w:val="22"/>
              </w:rPr>
            </w:pPr>
            <w:r w:rsidRPr="00906317">
              <w:rPr>
                <w:rFonts w:ascii="Arial" w:hAnsi="Arial" w:cs="Arial"/>
                <w:b/>
                <w:sz w:val="22"/>
                <w:szCs w:val="22"/>
              </w:rPr>
              <w:t>Comment</w:t>
            </w:r>
          </w:p>
        </w:tc>
      </w:tr>
      <w:tr w:rsidR="00976408" w:rsidRPr="00906317" w:rsidTr="00976408">
        <w:trPr>
          <w:trHeight w:val="600"/>
        </w:trPr>
        <w:tc>
          <w:tcPr>
            <w:tcW w:w="900" w:type="dxa"/>
            <w:tcBorders>
              <w:top w:val="nil"/>
              <w:left w:val="single" w:sz="4" w:space="0" w:color="auto"/>
              <w:bottom w:val="nil"/>
              <w:right w:val="nil"/>
            </w:tcBorders>
            <w:shd w:val="clear" w:color="auto" w:fill="auto"/>
            <w:noWrap/>
            <w:vAlign w:val="center"/>
            <w:hideMark/>
          </w:tcPr>
          <w:p w:rsidR="00976408" w:rsidRPr="00906317" w:rsidRDefault="00976408" w:rsidP="00976408">
            <w:pPr>
              <w:keepNext/>
              <w:rPr>
                <w:rFonts w:ascii="Arial" w:hAnsi="Arial" w:cs="Arial"/>
                <w:sz w:val="22"/>
                <w:szCs w:val="22"/>
              </w:rPr>
            </w:pPr>
            <w:r w:rsidRPr="00906317">
              <w:rPr>
                <w:rFonts w:ascii="Arial" w:hAnsi="Arial" w:cs="Arial"/>
                <w:sz w:val="22"/>
                <w:szCs w:val="22"/>
              </w:rPr>
              <w:t>ER</w:t>
            </w:r>
          </w:p>
        </w:tc>
        <w:tc>
          <w:tcPr>
            <w:tcW w:w="2610" w:type="dxa"/>
            <w:tcBorders>
              <w:top w:val="nil"/>
              <w:left w:val="nil"/>
              <w:bottom w:val="nil"/>
              <w:right w:val="nil"/>
            </w:tcBorders>
            <w:shd w:val="clear" w:color="auto" w:fill="auto"/>
            <w:noWrap/>
            <w:vAlign w:val="center"/>
            <w:hideMark/>
          </w:tcPr>
          <w:p w:rsidR="00976408" w:rsidRPr="00906317" w:rsidRDefault="00976408" w:rsidP="00976408">
            <w:pPr>
              <w:keepNext/>
              <w:rPr>
                <w:rFonts w:ascii="Arial" w:hAnsi="Arial" w:cs="Arial"/>
                <w:sz w:val="22"/>
                <w:szCs w:val="22"/>
              </w:rPr>
            </w:pPr>
            <w:r w:rsidRPr="00906317">
              <w:rPr>
                <w:rFonts w:ascii="Arial" w:hAnsi="Arial" w:cs="Arial"/>
                <w:sz w:val="22"/>
                <w:szCs w:val="22"/>
              </w:rPr>
              <w:t>Early retirement</w:t>
            </w:r>
          </w:p>
        </w:tc>
        <w:tc>
          <w:tcPr>
            <w:tcW w:w="5580" w:type="dxa"/>
            <w:tcBorders>
              <w:top w:val="nil"/>
              <w:left w:val="nil"/>
              <w:bottom w:val="nil"/>
              <w:right w:val="single" w:sz="4" w:space="0" w:color="auto"/>
            </w:tcBorders>
            <w:shd w:val="clear" w:color="auto" w:fill="auto"/>
            <w:vAlign w:val="center"/>
            <w:hideMark/>
          </w:tcPr>
          <w:p w:rsidR="00976408" w:rsidRPr="00906317" w:rsidRDefault="00976408" w:rsidP="00976408">
            <w:pPr>
              <w:keepNext/>
              <w:rPr>
                <w:rFonts w:ascii="Arial" w:hAnsi="Arial" w:cs="Arial"/>
                <w:i/>
                <w:iCs/>
                <w:sz w:val="22"/>
                <w:szCs w:val="22"/>
              </w:rPr>
            </w:pPr>
            <w:r w:rsidRPr="00906317">
              <w:rPr>
                <w:rFonts w:ascii="Arial" w:hAnsi="Arial" w:cs="Arial"/>
                <w:i/>
                <w:iCs/>
                <w:sz w:val="22"/>
                <w:szCs w:val="22"/>
              </w:rPr>
              <w:t>measure applied while existing equipment still viable, or retrofit of existing equipment</w:t>
            </w:r>
          </w:p>
        </w:tc>
      </w:tr>
      <w:tr w:rsidR="00976408" w:rsidRPr="00906317" w:rsidTr="00976408">
        <w:trPr>
          <w:trHeight w:val="600"/>
        </w:trPr>
        <w:tc>
          <w:tcPr>
            <w:tcW w:w="900" w:type="dxa"/>
            <w:tcBorders>
              <w:top w:val="nil"/>
              <w:left w:val="single" w:sz="4" w:space="0" w:color="auto"/>
              <w:bottom w:val="nil"/>
              <w:right w:val="nil"/>
            </w:tcBorders>
            <w:shd w:val="clear" w:color="auto" w:fill="auto"/>
            <w:noWrap/>
            <w:vAlign w:val="center"/>
            <w:hideMark/>
          </w:tcPr>
          <w:p w:rsidR="00976408" w:rsidRPr="00906317" w:rsidRDefault="00976408" w:rsidP="00976408">
            <w:pPr>
              <w:keepNext/>
              <w:rPr>
                <w:rFonts w:ascii="Arial" w:hAnsi="Arial" w:cs="Arial"/>
                <w:sz w:val="22"/>
                <w:szCs w:val="22"/>
              </w:rPr>
            </w:pPr>
            <w:r w:rsidRPr="00906317">
              <w:rPr>
                <w:rFonts w:ascii="Arial" w:hAnsi="Arial" w:cs="Arial"/>
                <w:sz w:val="22"/>
                <w:szCs w:val="22"/>
              </w:rPr>
              <w:t>ROB</w:t>
            </w:r>
          </w:p>
        </w:tc>
        <w:tc>
          <w:tcPr>
            <w:tcW w:w="2610" w:type="dxa"/>
            <w:tcBorders>
              <w:top w:val="nil"/>
              <w:left w:val="nil"/>
              <w:bottom w:val="nil"/>
              <w:right w:val="nil"/>
            </w:tcBorders>
            <w:shd w:val="clear" w:color="auto" w:fill="auto"/>
            <w:noWrap/>
            <w:vAlign w:val="center"/>
            <w:hideMark/>
          </w:tcPr>
          <w:p w:rsidR="00976408" w:rsidRPr="00906317" w:rsidRDefault="00976408" w:rsidP="00976408">
            <w:pPr>
              <w:keepNext/>
              <w:rPr>
                <w:rFonts w:ascii="Arial" w:hAnsi="Arial" w:cs="Arial"/>
                <w:sz w:val="22"/>
                <w:szCs w:val="22"/>
              </w:rPr>
            </w:pPr>
            <w:r w:rsidRPr="00906317">
              <w:rPr>
                <w:rFonts w:ascii="Arial" w:hAnsi="Arial" w:cs="Arial"/>
                <w:sz w:val="22"/>
                <w:szCs w:val="22"/>
              </w:rPr>
              <w:t>Replace on Burnout</w:t>
            </w:r>
            <w:r w:rsidR="00E406EA" w:rsidRPr="00906317">
              <w:rPr>
                <w:rFonts w:ascii="Arial" w:hAnsi="Arial" w:cs="Arial"/>
                <w:sz w:val="22"/>
                <w:szCs w:val="22"/>
              </w:rPr>
              <w:fldChar w:fldCharType="begin"/>
            </w:r>
            <w:r w:rsidR="00EC6D48" w:rsidRPr="00906317">
              <w:rPr>
                <w:rFonts w:ascii="Arial" w:hAnsi="Arial" w:cs="Arial"/>
              </w:rPr>
              <w:instrText xml:space="preserve"> XE "</w:instrText>
            </w:r>
            <w:r w:rsidR="00EC6D48" w:rsidRPr="00906317">
              <w:rPr>
                <w:rFonts w:ascii="Arial" w:hAnsi="Arial" w:cs="Arial"/>
                <w:sz w:val="22"/>
                <w:szCs w:val="22"/>
              </w:rPr>
              <w:instrText>Replace on Burnout</w:instrText>
            </w:r>
            <w:r w:rsidR="00EC6D48" w:rsidRPr="00906317">
              <w:rPr>
                <w:rFonts w:ascii="Arial" w:hAnsi="Arial" w:cs="Arial"/>
              </w:rPr>
              <w:instrText xml:space="preserve">" </w:instrText>
            </w:r>
            <w:r w:rsidR="00E406EA" w:rsidRPr="00906317">
              <w:rPr>
                <w:rFonts w:ascii="Arial" w:hAnsi="Arial" w:cs="Arial"/>
                <w:sz w:val="22"/>
                <w:szCs w:val="22"/>
              </w:rPr>
              <w:fldChar w:fldCharType="end"/>
            </w:r>
          </w:p>
        </w:tc>
        <w:tc>
          <w:tcPr>
            <w:tcW w:w="5580" w:type="dxa"/>
            <w:tcBorders>
              <w:top w:val="nil"/>
              <w:left w:val="nil"/>
              <w:bottom w:val="nil"/>
              <w:right w:val="single" w:sz="4" w:space="0" w:color="auto"/>
            </w:tcBorders>
            <w:shd w:val="clear" w:color="auto" w:fill="auto"/>
            <w:vAlign w:val="center"/>
            <w:hideMark/>
          </w:tcPr>
          <w:p w:rsidR="00976408" w:rsidRPr="00906317" w:rsidRDefault="00976408" w:rsidP="00976408">
            <w:pPr>
              <w:keepNext/>
              <w:rPr>
                <w:rFonts w:ascii="Arial" w:hAnsi="Arial" w:cs="Arial"/>
                <w:i/>
                <w:iCs/>
                <w:sz w:val="22"/>
                <w:szCs w:val="22"/>
              </w:rPr>
            </w:pPr>
            <w:r w:rsidRPr="00906317">
              <w:rPr>
                <w:rFonts w:ascii="Arial" w:hAnsi="Arial" w:cs="Arial"/>
                <w:i/>
                <w:iCs/>
                <w:sz w:val="22"/>
                <w:szCs w:val="22"/>
              </w:rPr>
              <w:t>measure applied when existing equipment fails or maintenance requires replacement</w:t>
            </w:r>
          </w:p>
        </w:tc>
      </w:tr>
      <w:tr w:rsidR="00976408" w:rsidRPr="00906317" w:rsidTr="00976408">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976408" w:rsidRPr="00906317" w:rsidRDefault="00976408" w:rsidP="00976408">
            <w:pPr>
              <w:rPr>
                <w:rFonts w:ascii="Arial" w:hAnsi="Arial" w:cs="Arial"/>
                <w:sz w:val="22"/>
                <w:szCs w:val="22"/>
              </w:rPr>
            </w:pPr>
            <w:r w:rsidRPr="00906317">
              <w:rPr>
                <w:rFonts w:ascii="Arial" w:hAnsi="Arial" w:cs="Arial"/>
                <w:sz w:val="22"/>
                <w:szCs w:val="22"/>
              </w:rPr>
              <w:t>NC</w:t>
            </w:r>
          </w:p>
        </w:tc>
        <w:tc>
          <w:tcPr>
            <w:tcW w:w="2610" w:type="dxa"/>
            <w:tcBorders>
              <w:top w:val="nil"/>
              <w:left w:val="nil"/>
              <w:bottom w:val="single" w:sz="4" w:space="0" w:color="auto"/>
              <w:right w:val="nil"/>
            </w:tcBorders>
            <w:shd w:val="clear" w:color="auto" w:fill="auto"/>
            <w:noWrap/>
            <w:vAlign w:val="center"/>
            <w:hideMark/>
          </w:tcPr>
          <w:p w:rsidR="00976408" w:rsidRPr="00906317" w:rsidRDefault="00976408" w:rsidP="00976408">
            <w:pPr>
              <w:rPr>
                <w:rFonts w:ascii="Arial" w:hAnsi="Arial" w:cs="Arial"/>
                <w:sz w:val="22"/>
                <w:szCs w:val="22"/>
              </w:rPr>
            </w:pPr>
            <w:r w:rsidRPr="00906317">
              <w:rPr>
                <w:rFonts w:ascii="Arial" w:hAnsi="Arial" w:cs="Arial"/>
                <w:sz w:val="22"/>
                <w:szCs w:val="22"/>
              </w:rPr>
              <w:t>New Construction</w:t>
            </w:r>
            <w:r w:rsidR="00E406EA" w:rsidRPr="00906317">
              <w:rPr>
                <w:rFonts w:ascii="Arial" w:hAnsi="Arial" w:cs="Arial"/>
                <w:sz w:val="22"/>
                <w:szCs w:val="22"/>
              </w:rPr>
              <w:fldChar w:fldCharType="begin"/>
            </w:r>
            <w:r w:rsidR="00EC6D48" w:rsidRPr="00906317">
              <w:instrText xml:space="preserve"> XE "</w:instrText>
            </w:r>
            <w:r w:rsidR="00EC6D48" w:rsidRPr="00906317">
              <w:rPr>
                <w:rFonts w:ascii="Arial" w:hAnsi="Arial" w:cs="Arial"/>
                <w:sz w:val="22"/>
                <w:szCs w:val="22"/>
              </w:rPr>
              <w:instrText>New Construction</w:instrText>
            </w:r>
            <w:r w:rsidR="00EC6D48" w:rsidRPr="00906317">
              <w:instrText xml:space="preserve">" </w:instrText>
            </w:r>
            <w:r w:rsidR="00E406EA" w:rsidRPr="00906317">
              <w:rPr>
                <w:rFonts w:ascii="Arial" w:hAnsi="Arial" w:cs="Arial"/>
                <w:sz w:val="22"/>
                <w:szCs w:val="22"/>
              </w:rPr>
              <w:fldChar w:fldCharType="end"/>
            </w:r>
          </w:p>
        </w:tc>
        <w:tc>
          <w:tcPr>
            <w:tcW w:w="5580" w:type="dxa"/>
            <w:tcBorders>
              <w:top w:val="nil"/>
              <w:left w:val="nil"/>
              <w:bottom w:val="single" w:sz="4" w:space="0" w:color="auto"/>
              <w:right w:val="single" w:sz="4" w:space="0" w:color="auto"/>
            </w:tcBorders>
            <w:shd w:val="clear" w:color="auto" w:fill="auto"/>
            <w:vAlign w:val="center"/>
            <w:hideMark/>
          </w:tcPr>
          <w:p w:rsidR="00976408" w:rsidRPr="00906317" w:rsidRDefault="00976408" w:rsidP="00976408">
            <w:pPr>
              <w:rPr>
                <w:rFonts w:ascii="Arial" w:hAnsi="Arial" w:cs="Arial"/>
                <w:i/>
                <w:iCs/>
                <w:sz w:val="22"/>
                <w:szCs w:val="22"/>
              </w:rPr>
            </w:pPr>
            <w:r w:rsidRPr="00906317">
              <w:rPr>
                <w:rFonts w:ascii="Arial" w:hAnsi="Arial" w:cs="Arial"/>
                <w:i/>
                <w:iCs/>
                <w:sz w:val="22"/>
                <w:szCs w:val="22"/>
              </w:rPr>
              <w:t>measure applied during construction design phase as an alternative to a code-compliant standard design</w:t>
            </w:r>
          </w:p>
        </w:tc>
      </w:tr>
    </w:tbl>
    <w:p w:rsidR="000E1C56" w:rsidRPr="00906317" w:rsidRDefault="000E1C56" w:rsidP="00864083">
      <w:pPr>
        <w:rPr>
          <w:rFonts w:ascii="Arial" w:hAnsi="Arial" w:cs="Arial"/>
          <w:sz w:val="22"/>
          <w:szCs w:val="22"/>
        </w:rPr>
      </w:pPr>
    </w:p>
    <w:p w:rsidR="000E1C56" w:rsidRPr="00A961E9" w:rsidRDefault="00976408" w:rsidP="00864083">
      <w:pPr>
        <w:rPr>
          <w:rFonts w:ascii="Arial" w:hAnsi="Arial" w:cs="Arial"/>
          <w:color w:val="FF0000"/>
          <w:sz w:val="22"/>
          <w:szCs w:val="22"/>
        </w:rPr>
      </w:pPr>
      <w:r w:rsidRPr="00906317">
        <w:rPr>
          <w:rFonts w:ascii="Arial" w:hAnsi="Arial" w:cs="Arial"/>
          <w:sz w:val="22"/>
          <w:szCs w:val="22"/>
        </w:rPr>
        <w:t>Measures H1</w:t>
      </w:r>
      <w:r w:rsidR="00906317" w:rsidRPr="00906317">
        <w:rPr>
          <w:rFonts w:ascii="Arial" w:hAnsi="Arial" w:cs="Arial"/>
          <w:sz w:val="22"/>
          <w:szCs w:val="22"/>
        </w:rPr>
        <w:t>1</w:t>
      </w:r>
      <w:r w:rsidR="00B65C36">
        <w:rPr>
          <w:rFonts w:ascii="Arial" w:hAnsi="Arial" w:cs="Arial"/>
          <w:sz w:val="22"/>
          <w:szCs w:val="22"/>
        </w:rPr>
        <w:t xml:space="preserve"> </w:t>
      </w:r>
      <w:r w:rsidR="00906317" w:rsidRPr="00906317">
        <w:rPr>
          <w:rFonts w:ascii="Arial" w:hAnsi="Arial" w:cs="Arial"/>
          <w:sz w:val="22"/>
          <w:szCs w:val="22"/>
        </w:rPr>
        <w:t>and H15</w:t>
      </w:r>
      <w:r w:rsidRPr="00906317">
        <w:rPr>
          <w:rFonts w:ascii="Arial" w:hAnsi="Arial" w:cs="Arial"/>
          <w:sz w:val="22"/>
          <w:szCs w:val="22"/>
        </w:rPr>
        <w:t xml:space="preserve"> </w:t>
      </w:r>
      <w:r w:rsidR="000E1C56" w:rsidRPr="00906317">
        <w:rPr>
          <w:rFonts w:ascii="Arial" w:hAnsi="Arial" w:cs="Arial"/>
          <w:sz w:val="22"/>
          <w:szCs w:val="22"/>
        </w:rPr>
        <w:t xml:space="preserve">are applicable to </w:t>
      </w:r>
      <w:r w:rsidR="00906317" w:rsidRPr="00906317">
        <w:rPr>
          <w:rFonts w:ascii="Arial" w:hAnsi="Arial" w:cs="Arial"/>
          <w:sz w:val="22"/>
          <w:szCs w:val="22"/>
        </w:rPr>
        <w:t xml:space="preserve">industrial </w:t>
      </w:r>
      <w:r w:rsidR="00C6512C" w:rsidRPr="00906317">
        <w:rPr>
          <w:rFonts w:ascii="Arial" w:hAnsi="Arial" w:cs="Arial"/>
          <w:sz w:val="22"/>
          <w:szCs w:val="22"/>
        </w:rPr>
        <w:t xml:space="preserve">installations. </w:t>
      </w:r>
      <w:r w:rsidR="000E1C56" w:rsidRPr="00906317">
        <w:rPr>
          <w:rFonts w:ascii="Arial" w:hAnsi="Arial" w:cs="Arial"/>
          <w:sz w:val="22"/>
          <w:szCs w:val="22"/>
        </w:rPr>
        <w:t xml:space="preserve">The savings for all measures are calculated assuming that the installation is replace-on-burnout (ROB). </w:t>
      </w:r>
    </w:p>
    <w:p w:rsidR="00864083" w:rsidRPr="00E8736C" w:rsidRDefault="00864083" w:rsidP="00864083">
      <w:pPr>
        <w:pStyle w:val="Heading2"/>
        <w:spacing w:before="0" w:after="0"/>
        <w:rPr>
          <w:color w:val="FF0000"/>
          <w:sz w:val="22"/>
          <w:szCs w:val="22"/>
        </w:rPr>
      </w:pPr>
    </w:p>
    <w:p w:rsidR="00806070" w:rsidRPr="00DE03FB" w:rsidRDefault="00806070" w:rsidP="00864083">
      <w:pPr>
        <w:pStyle w:val="Heading2"/>
        <w:spacing w:before="0" w:after="0"/>
      </w:pPr>
      <w:bookmarkStart w:id="17" w:name="_Toc443922964"/>
      <w:r w:rsidRPr="00DE03FB">
        <w:t>1.4 Product Base Case and Measure Case Data</w:t>
      </w:r>
      <w:bookmarkEnd w:id="17"/>
    </w:p>
    <w:p w:rsidR="00750504" w:rsidRPr="00DE03FB" w:rsidRDefault="00750504" w:rsidP="00750504">
      <w:pPr>
        <w:rPr>
          <w:rFonts w:ascii="Arial" w:hAnsi="Arial" w:cs="Arial"/>
        </w:rPr>
      </w:pPr>
    </w:p>
    <w:p w:rsidR="00E71EF1" w:rsidRPr="00DE03FB" w:rsidRDefault="001248A3" w:rsidP="00864083">
      <w:pPr>
        <w:pStyle w:val="Heading2"/>
        <w:spacing w:before="0" w:after="0"/>
        <w:ind w:right="-180"/>
      </w:pPr>
      <w:bookmarkStart w:id="18" w:name="_Toc443922965"/>
      <w:r w:rsidRPr="00DE03FB">
        <w:t>1.</w:t>
      </w:r>
      <w:r w:rsidR="00806070" w:rsidRPr="00DE03FB">
        <w:t>4.1</w:t>
      </w:r>
      <w:r w:rsidR="00FA595F" w:rsidRPr="00DE03FB">
        <w:t xml:space="preserve"> </w:t>
      </w:r>
      <w:r w:rsidR="00C069A2" w:rsidRPr="00DE03FB">
        <w:t xml:space="preserve">DEER </w:t>
      </w:r>
      <w:r w:rsidR="008C6AD1" w:rsidRPr="00DE03FB">
        <w:t>Base Case and Measure Case Information</w:t>
      </w:r>
      <w:bookmarkEnd w:id="18"/>
      <w:r w:rsidR="008C6AD1" w:rsidRPr="00DE03FB">
        <w:t xml:space="preserve"> </w:t>
      </w:r>
    </w:p>
    <w:p w:rsidR="00822EE1" w:rsidRPr="001E3A20" w:rsidRDefault="00DE03FB" w:rsidP="00822EE1">
      <w:pPr>
        <w:rPr>
          <w:rFonts w:ascii="Arial" w:hAnsi="Arial" w:cs="Arial"/>
          <w:sz w:val="22"/>
          <w:szCs w:val="22"/>
        </w:rPr>
      </w:pPr>
      <w:r w:rsidRPr="00BE12A4">
        <w:rPr>
          <w:rFonts w:ascii="Arial" w:hAnsi="Arial" w:cs="Arial"/>
          <w:sz w:val="22"/>
          <w:szCs w:val="22"/>
        </w:rPr>
        <w:t xml:space="preserve">The </w:t>
      </w:r>
      <w:r>
        <w:rPr>
          <w:rFonts w:ascii="Arial" w:hAnsi="Arial" w:cs="Arial"/>
          <w:sz w:val="22"/>
          <w:szCs w:val="22"/>
        </w:rPr>
        <w:t>DEER 201</w:t>
      </w:r>
      <w:r w:rsidR="00B65C36">
        <w:rPr>
          <w:rFonts w:ascii="Arial" w:hAnsi="Arial" w:cs="Arial"/>
          <w:sz w:val="22"/>
          <w:szCs w:val="22"/>
        </w:rPr>
        <w:t>6</w:t>
      </w:r>
      <w:r>
        <w:rPr>
          <w:rFonts w:ascii="Arial" w:hAnsi="Arial" w:cs="Arial"/>
          <w:sz w:val="22"/>
          <w:szCs w:val="22"/>
        </w:rPr>
        <w:t xml:space="preserve"> data</w:t>
      </w:r>
      <w:r w:rsidR="00842088">
        <w:rPr>
          <w:rFonts w:ascii="Arial" w:hAnsi="Arial" w:cs="Arial"/>
          <w:sz w:val="22"/>
          <w:szCs w:val="22"/>
        </w:rPr>
        <w:t>base</w:t>
      </w:r>
      <w:r>
        <w:rPr>
          <w:rFonts w:ascii="Arial" w:hAnsi="Arial" w:cs="Arial"/>
          <w:sz w:val="22"/>
          <w:szCs w:val="22"/>
        </w:rPr>
        <w:t xml:space="preserve"> does not contain </w:t>
      </w:r>
      <w:r w:rsidR="00842088">
        <w:rPr>
          <w:rFonts w:ascii="Arial" w:hAnsi="Arial" w:cs="Arial"/>
          <w:sz w:val="22"/>
          <w:szCs w:val="22"/>
        </w:rPr>
        <w:t xml:space="preserve">measures equivalent to either of the PG&amp;E catalog measures H11 or H15. </w:t>
      </w:r>
      <w:r w:rsidRPr="00B41704">
        <w:rPr>
          <w:rFonts w:ascii="Arial" w:hAnsi="Arial" w:cs="Arial"/>
          <w:sz w:val="22"/>
          <w:szCs w:val="22"/>
        </w:rPr>
        <w:t xml:space="preserve">Therefore, custom calculations have been </w:t>
      </w:r>
      <w:r w:rsidR="00842088" w:rsidRPr="00B41704">
        <w:rPr>
          <w:rFonts w:ascii="Arial" w:hAnsi="Arial" w:cs="Arial"/>
          <w:sz w:val="22"/>
          <w:szCs w:val="22"/>
        </w:rPr>
        <w:t xml:space="preserve">developed </w:t>
      </w:r>
      <w:r w:rsidRPr="00B41704">
        <w:rPr>
          <w:rFonts w:ascii="Arial" w:hAnsi="Arial" w:cs="Arial"/>
          <w:sz w:val="22"/>
          <w:szCs w:val="22"/>
        </w:rPr>
        <w:t>to estimate energy savings</w:t>
      </w:r>
      <w:r w:rsidR="00842088" w:rsidRPr="00B41704">
        <w:rPr>
          <w:rFonts w:ascii="Arial" w:hAnsi="Arial" w:cs="Arial"/>
          <w:sz w:val="22"/>
          <w:szCs w:val="22"/>
        </w:rPr>
        <w:t xml:space="preserve"> resulting from H11 and H15.</w:t>
      </w:r>
      <w:r w:rsidR="00842088">
        <w:rPr>
          <w:rFonts w:ascii="Arial" w:hAnsi="Arial" w:cs="Arial"/>
          <w:sz w:val="22"/>
          <w:szCs w:val="22"/>
        </w:rPr>
        <w:t xml:space="preserve"> See</w:t>
      </w:r>
      <w:r>
        <w:rPr>
          <w:rFonts w:ascii="Arial" w:hAnsi="Arial" w:cs="Arial"/>
          <w:sz w:val="22"/>
          <w:szCs w:val="22"/>
        </w:rPr>
        <w:t xml:space="preserve"> Section 2</w:t>
      </w:r>
      <w:r w:rsidR="00842088">
        <w:rPr>
          <w:rFonts w:ascii="Arial" w:hAnsi="Arial" w:cs="Arial"/>
          <w:sz w:val="22"/>
          <w:szCs w:val="22"/>
        </w:rPr>
        <w:t xml:space="preserve"> for further detail</w:t>
      </w:r>
      <w:r w:rsidRPr="00BE12A4">
        <w:rPr>
          <w:rFonts w:ascii="Arial" w:hAnsi="Arial" w:cs="Arial"/>
          <w:sz w:val="22"/>
          <w:szCs w:val="22"/>
        </w:rPr>
        <w:t>.</w:t>
      </w:r>
      <w:r w:rsidR="00B41704">
        <w:rPr>
          <w:rFonts w:ascii="Arial" w:hAnsi="Arial" w:cs="Arial"/>
          <w:sz w:val="22"/>
          <w:szCs w:val="22"/>
        </w:rPr>
        <w:t xml:space="preserve"> </w:t>
      </w:r>
      <w:r w:rsidR="00822EE1" w:rsidRPr="001E3A20">
        <w:rPr>
          <w:rFonts w:ascii="Arial" w:hAnsi="Arial" w:cs="Arial"/>
          <w:sz w:val="22"/>
          <w:szCs w:val="22"/>
        </w:rPr>
        <w:t>The DEER 201</w:t>
      </w:r>
      <w:r w:rsidR="00B65C36" w:rsidRPr="001E3A20">
        <w:rPr>
          <w:rFonts w:ascii="Arial" w:hAnsi="Arial" w:cs="Arial"/>
          <w:sz w:val="22"/>
          <w:szCs w:val="22"/>
        </w:rPr>
        <w:t>6</w:t>
      </w:r>
      <w:r w:rsidR="00822EE1" w:rsidRPr="001E3A20">
        <w:rPr>
          <w:rFonts w:ascii="Arial" w:hAnsi="Arial" w:cs="Arial"/>
          <w:sz w:val="22"/>
          <w:szCs w:val="22"/>
        </w:rPr>
        <w:t xml:space="preserve"> documentation does contain applicable information for </w:t>
      </w:r>
      <w:r w:rsidR="001E3A20" w:rsidRPr="001E3A20">
        <w:rPr>
          <w:rFonts w:ascii="Arial" w:hAnsi="Arial" w:cs="Arial"/>
          <w:sz w:val="22"/>
          <w:szCs w:val="22"/>
        </w:rPr>
        <w:t>net-to-gross, installation rate, and effective and remaining useful life for measures H11 and H15.</w:t>
      </w:r>
    </w:p>
    <w:p w:rsidR="00822EE1" w:rsidRDefault="00822EE1" w:rsidP="00822EE1">
      <w:pPr>
        <w:rPr>
          <w:rFonts w:ascii="Arial" w:hAnsi="Arial" w:cs="Arial"/>
          <w:sz w:val="22"/>
          <w:szCs w:val="22"/>
        </w:rPr>
      </w:pPr>
    </w:p>
    <w:p w:rsidR="00DE03FB" w:rsidRPr="0066794C" w:rsidRDefault="00DE03FB" w:rsidP="00DE03FB">
      <w:pPr>
        <w:rPr>
          <w:rFonts w:ascii="Arial" w:hAnsi="Arial" w:cs="Arial"/>
          <w:sz w:val="22"/>
          <w:szCs w:val="22"/>
        </w:rPr>
      </w:pPr>
      <w:r w:rsidRPr="0066794C">
        <w:rPr>
          <w:rFonts w:ascii="Arial" w:hAnsi="Arial" w:cs="Arial"/>
          <w:b/>
          <w:sz w:val="22"/>
          <w:szCs w:val="22"/>
        </w:rPr>
        <w:t xml:space="preserve">Net-to-Gross </w:t>
      </w:r>
      <w:r w:rsidR="00B65C36">
        <w:rPr>
          <w:rFonts w:ascii="Arial" w:hAnsi="Arial" w:cs="Arial"/>
          <w:b/>
          <w:sz w:val="22"/>
          <w:szCs w:val="22"/>
        </w:rPr>
        <w:t>Ratio</w:t>
      </w:r>
      <w:r w:rsidRPr="0066794C">
        <w:rPr>
          <w:rFonts w:ascii="Arial" w:hAnsi="Arial" w:cs="Arial"/>
          <w:b/>
          <w:sz w:val="22"/>
          <w:szCs w:val="22"/>
        </w:rPr>
        <w:t xml:space="preserve"> </w:t>
      </w:r>
      <w:r w:rsidRPr="0066794C">
        <w:rPr>
          <w:rFonts w:ascii="Arial" w:hAnsi="Arial" w:cs="Arial"/>
          <w:b/>
          <w:sz w:val="22"/>
          <w:szCs w:val="22"/>
        </w:rPr>
        <w:tab/>
      </w:r>
      <w:r w:rsidRPr="0066794C">
        <w:rPr>
          <w:rFonts w:ascii="Arial" w:hAnsi="Arial" w:cs="Arial"/>
          <w:b/>
          <w:sz w:val="22"/>
          <w:szCs w:val="22"/>
        </w:rPr>
        <w:tab/>
      </w:r>
      <w:r w:rsidRPr="0066794C">
        <w:rPr>
          <w:rFonts w:ascii="Arial" w:hAnsi="Arial" w:cs="Arial"/>
          <w:b/>
          <w:sz w:val="22"/>
          <w:szCs w:val="22"/>
        </w:rPr>
        <w:tab/>
      </w:r>
    </w:p>
    <w:p w:rsidR="00DE03FB" w:rsidRPr="0066794C" w:rsidRDefault="002C7997" w:rsidP="00DE03FB">
      <w:pPr>
        <w:rPr>
          <w:rFonts w:ascii="Arial" w:hAnsi="Arial" w:cs="Arial"/>
          <w:sz w:val="22"/>
          <w:szCs w:val="22"/>
        </w:rPr>
      </w:pPr>
      <w:r>
        <w:rPr>
          <w:rFonts w:ascii="Arial" w:hAnsi="Arial" w:cs="Arial"/>
          <w:sz w:val="22"/>
          <w:szCs w:val="22"/>
        </w:rPr>
        <w:t>The NTG value was obtained using the DEER READI tool</w:t>
      </w:r>
      <w:r w:rsidR="00B41704">
        <w:rPr>
          <w:rFonts w:ascii="Arial" w:hAnsi="Arial" w:cs="Arial"/>
          <w:sz w:val="22"/>
          <w:szCs w:val="22"/>
        </w:rPr>
        <w:t xml:space="preserve"> v 2.3.0</w:t>
      </w:r>
      <w:r>
        <w:rPr>
          <w:rFonts w:ascii="Arial" w:hAnsi="Arial" w:cs="Arial"/>
          <w:sz w:val="22"/>
          <w:szCs w:val="22"/>
        </w:rPr>
        <w:t xml:space="preserve">.  The relevant NTG value for the measures in this work paper is in the table below: </w:t>
      </w:r>
    </w:p>
    <w:p w:rsidR="00DE03FB" w:rsidRPr="0066794C" w:rsidRDefault="00DE03FB" w:rsidP="00DE03FB">
      <w:pPr>
        <w:rPr>
          <w:rFonts w:ascii="Arial" w:hAnsi="Arial" w:cs="Arial"/>
          <w:sz w:val="22"/>
          <w:szCs w:val="22"/>
        </w:rPr>
      </w:pPr>
    </w:p>
    <w:p w:rsidR="00EB01B5" w:rsidRDefault="00EB01B5" w:rsidP="00EB01B5">
      <w:pPr>
        <w:pStyle w:val="Caption"/>
        <w:keepNext/>
        <w:jc w:val="center"/>
      </w:pPr>
      <w:bookmarkStart w:id="19" w:name="_Toc443922934"/>
      <w:r>
        <w:t xml:space="preserve">Table </w:t>
      </w:r>
      <w:fldSimple w:instr=" SEQ Table \* ARABIC ">
        <w:r w:rsidR="00871EB2">
          <w:rPr>
            <w:noProof/>
          </w:rPr>
          <w:t>2</w:t>
        </w:r>
      </w:fldSimple>
      <w:r>
        <w:t xml:space="preserve"> DEER Net-to-Gross Ratios</w:t>
      </w:r>
      <w:bookmarkEnd w:id="19"/>
    </w:p>
    <w:tbl>
      <w:tblPr>
        <w:tblStyle w:val="TableGrid1"/>
        <w:tblW w:w="5000" w:type="pct"/>
        <w:tblLayout w:type="fixed"/>
        <w:tblLook w:val="01E0" w:firstRow="1" w:lastRow="1" w:firstColumn="1" w:lastColumn="1" w:noHBand="0" w:noVBand="0"/>
      </w:tblPr>
      <w:tblGrid>
        <w:gridCol w:w="1548"/>
        <w:gridCol w:w="3601"/>
        <w:gridCol w:w="990"/>
        <w:gridCol w:w="1260"/>
        <w:gridCol w:w="1260"/>
        <w:gridCol w:w="917"/>
      </w:tblGrid>
      <w:tr w:rsidR="001E3A20" w:rsidRPr="001E3A20" w:rsidTr="001E3A20">
        <w:tc>
          <w:tcPr>
            <w:tcW w:w="808" w:type="pct"/>
            <w:shd w:val="clear" w:color="auto" w:fill="D9D9D9" w:themeFill="background1" w:themeFillShade="D9"/>
          </w:tcPr>
          <w:p w:rsidR="002C7997" w:rsidRPr="001E3A20" w:rsidRDefault="002C7997" w:rsidP="00B41704">
            <w:pPr>
              <w:rPr>
                <w:rFonts w:ascii="Arial" w:hAnsi="Arial" w:cs="Arial"/>
                <w:b/>
                <w:sz w:val="22"/>
                <w:szCs w:val="22"/>
              </w:rPr>
            </w:pPr>
            <w:r w:rsidRPr="001E3A20">
              <w:rPr>
                <w:rFonts w:ascii="Arial" w:hAnsi="Arial" w:cs="Arial"/>
                <w:b/>
                <w:sz w:val="22"/>
                <w:szCs w:val="22"/>
              </w:rPr>
              <w:t>NTGR ID</w:t>
            </w:r>
          </w:p>
        </w:tc>
        <w:tc>
          <w:tcPr>
            <w:tcW w:w="1880" w:type="pct"/>
            <w:shd w:val="clear" w:color="auto" w:fill="D9D9D9" w:themeFill="background1" w:themeFillShade="D9"/>
          </w:tcPr>
          <w:p w:rsidR="002C7997" w:rsidRPr="001E3A20" w:rsidRDefault="002C7997" w:rsidP="00B41704">
            <w:pPr>
              <w:rPr>
                <w:rFonts w:ascii="Arial" w:hAnsi="Arial" w:cs="Arial"/>
                <w:b/>
                <w:sz w:val="22"/>
                <w:szCs w:val="22"/>
              </w:rPr>
            </w:pPr>
            <w:r w:rsidRPr="001E3A20">
              <w:rPr>
                <w:rFonts w:ascii="Arial" w:hAnsi="Arial" w:cs="Arial"/>
                <w:b/>
                <w:sz w:val="22"/>
                <w:szCs w:val="22"/>
              </w:rPr>
              <w:t>Description</w:t>
            </w:r>
          </w:p>
        </w:tc>
        <w:tc>
          <w:tcPr>
            <w:tcW w:w="517" w:type="pct"/>
            <w:shd w:val="clear" w:color="auto" w:fill="D9D9D9" w:themeFill="background1" w:themeFillShade="D9"/>
          </w:tcPr>
          <w:p w:rsidR="002C7997" w:rsidRPr="001E3A20" w:rsidRDefault="002C7997" w:rsidP="00B41704">
            <w:pPr>
              <w:rPr>
                <w:rFonts w:ascii="Arial" w:hAnsi="Arial" w:cs="Arial"/>
                <w:b/>
                <w:sz w:val="22"/>
                <w:szCs w:val="22"/>
              </w:rPr>
            </w:pPr>
            <w:r w:rsidRPr="001E3A20">
              <w:rPr>
                <w:rFonts w:ascii="Arial" w:hAnsi="Arial" w:cs="Arial"/>
                <w:b/>
                <w:sz w:val="22"/>
                <w:szCs w:val="22"/>
              </w:rPr>
              <w:t>Sector</w:t>
            </w:r>
          </w:p>
        </w:tc>
        <w:tc>
          <w:tcPr>
            <w:tcW w:w="658" w:type="pct"/>
            <w:shd w:val="clear" w:color="auto" w:fill="D9D9D9" w:themeFill="background1" w:themeFillShade="D9"/>
          </w:tcPr>
          <w:p w:rsidR="002C7997" w:rsidRPr="001E3A20" w:rsidRDefault="002C7997" w:rsidP="00B41704">
            <w:pPr>
              <w:rPr>
                <w:rFonts w:ascii="Arial" w:hAnsi="Arial" w:cs="Arial"/>
                <w:b/>
                <w:sz w:val="22"/>
                <w:szCs w:val="22"/>
              </w:rPr>
            </w:pPr>
            <w:proofErr w:type="spellStart"/>
            <w:r w:rsidRPr="001E3A20">
              <w:rPr>
                <w:rFonts w:ascii="Arial" w:hAnsi="Arial" w:cs="Arial"/>
                <w:b/>
                <w:sz w:val="22"/>
                <w:szCs w:val="22"/>
              </w:rPr>
              <w:t>BldgType</w:t>
            </w:r>
            <w:proofErr w:type="spellEnd"/>
          </w:p>
        </w:tc>
        <w:tc>
          <w:tcPr>
            <w:tcW w:w="658" w:type="pct"/>
            <w:shd w:val="clear" w:color="auto" w:fill="D9D9D9" w:themeFill="background1" w:themeFillShade="D9"/>
          </w:tcPr>
          <w:p w:rsidR="002C7997" w:rsidRPr="001E3A20" w:rsidRDefault="002C7997" w:rsidP="00B41704">
            <w:pPr>
              <w:rPr>
                <w:rFonts w:ascii="Arial" w:hAnsi="Arial" w:cs="Arial"/>
                <w:b/>
                <w:sz w:val="22"/>
                <w:szCs w:val="22"/>
              </w:rPr>
            </w:pPr>
            <w:r w:rsidRPr="001E3A20">
              <w:rPr>
                <w:rFonts w:ascii="Arial" w:hAnsi="Arial" w:cs="Arial"/>
                <w:b/>
                <w:sz w:val="22"/>
                <w:szCs w:val="22"/>
              </w:rPr>
              <w:t>Measure Delivery</w:t>
            </w:r>
          </w:p>
        </w:tc>
        <w:tc>
          <w:tcPr>
            <w:tcW w:w="479" w:type="pct"/>
            <w:shd w:val="clear" w:color="auto" w:fill="D9D9D9" w:themeFill="background1" w:themeFillShade="D9"/>
          </w:tcPr>
          <w:p w:rsidR="002C7997" w:rsidRPr="001E3A20" w:rsidRDefault="002C7997" w:rsidP="00B41704">
            <w:pPr>
              <w:rPr>
                <w:rFonts w:ascii="Arial" w:hAnsi="Arial" w:cs="Arial"/>
                <w:b/>
                <w:sz w:val="22"/>
                <w:szCs w:val="22"/>
              </w:rPr>
            </w:pPr>
            <w:r w:rsidRPr="001E3A20">
              <w:rPr>
                <w:rFonts w:ascii="Arial" w:hAnsi="Arial" w:cs="Arial"/>
                <w:b/>
                <w:sz w:val="22"/>
                <w:szCs w:val="22"/>
              </w:rPr>
              <w:t>NTGR</w:t>
            </w:r>
          </w:p>
        </w:tc>
      </w:tr>
      <w:tr w:rsidR="001E3A20" w:rsidRPr="001E3A20" w:rsidTr="001E3A20">
        <w:tc>
          <w:tcPr>
            <w:tcW w:w="808" w:type="pct"/>
          </w:tcPr>
          <w:p w:rsidR="002C7997" w:rsidRPr="001E3A20" w:rsidRDefault="001E3A20" w:rsidP="00B41704">
            <w:pPr>
              <w:rPr>
                <w:rFonts w:ascii="Arial" w:hAnsi="Arial" w:cs="Arial"/>
                <w:sz w:val="22"/>
                <w:szCs w:val="22"/>
              </w:rPr>
            </w:pPr>
            <w:proofErr w:type="spellStart"/>
            <w:r w:rsidRPr="001E3A20">
              <w:rPr>
                <w:rFonts w:ascii="Arial" w:hAnsi="Arial" w:cs="Arial"/>
                <w:sz w:val="22"/>
                <w:szCs w:val="22"/>
              </w:rPr>
              <w:t>Ind</w:t>
            </w:r>
            <w:proofErr w:type="spellEnd"/>
            <w:r w:rsidRPr="001E3A20">
              <w:rPr>
                <w:rFonts w:ascii="Arial" w:hAnsi="Arial" w:cs="Arial"/>
                <w:sz w:val="22"/>
                <w:szCs w:val="22"/>
              </w:rPr>
              <w:t>-Default&gt;2yrs</w:t>
            </w:r>
          </w:p>
        </w:tc>
        <w:tc>
          <w:tcPr>
            <w:tcW w:w="1880" w:type="pct"/>
          </w:tcPr>
          <w:p w:rsidR="002C7997" w:rsidRPr="001E3A20" w:rsidRDefault="001E3A20" w:rsidP="00B41704">
            <w:pPr>
              <w:rPr>
                <w:rFonts w:ascii="Arial" w:hAnsi="Arial" w:cs="Arial"/>
                <w:sz w:val="22"/>
                <w:szCs w:val="22"/>
              </w:rPr>
            </w:pPr>
            <w:r w:rsidRPr="001E3A20">
              <w:rPr>
                <w:rFonts w:ascii="Arial" w:hAnsi="Arial" w:cs="Arial"/>
                <w:sz w:val="22"/>
                <w:szCs w:val="22"/>
              </w:rPr>
              <w:t>All other EEMs with no evaluated NTGR; existing EEM in programs with same delivery mechanism for more than 2 years</w:t>
            </w:r>
          </w:p>
        </w:tc>
        <w:tc>
          <w:tcPr>
            <w:tcW w:w="517" w:type="pct"/>
          </w:tcPr>
          <w:p w:rsidR="002C7997" w:rsidRPr="001E3A20" w:rsidRDefault="001E3A20" w:rsidP="00B41704">
            <w:pPr>
              <w:rPr>
                <w:rFonts w:ascii="Arial" w:hAnsi="Arial" w:cs="Arial"/>
                <w:sz w:val="22"/>
                <w:szCs w:val="22"/>
              </w:rPr>
            </w:pPr>
            <w:proofErr w:type="spellStart"/>
            <w:r w:rsidRPr="001E3A20">
              <w:rPr>
                <w:rFonts w:ascii="Arial" w:hAnsi="Arial" w:cs="Arial"/>
                <w:sz w:val="22"/>
                <w:szCs w:val="22"/>
              </w:rPr>
              <w:t>Ind</w:t>
            </w:r>
            <w:proofErr w:type="spellEnd"/>
          </w:p>
        </w:tc>
        <w:tc>
          <w:tcPr>
            <w:tcW w:w="658" w:type="pct"/>
          </w:tcPr>
          <w:p w:rsidR="002C7997" w:rsidRPr="001E3A20" w:rsidRDefault="002C7997" w:rsidP="00B41704">
            <w:pPr>
              <w:rPr>
                <w:rFonts w:ascii="Arial" w:hAnsi="Arial" w:cs="Arial"/>
                <w:sz w:val="22"/>
                <w:szCs w:val="22"/>
              </w:rPr>
            </w:pPr>
            <w:r w:rsidRPr="001E3A20">
              <w:rPr>
                <w:rFonts w:ascii="Arial" w:hAnsi="Arial" w:cs="Arial"/>
                <w:sz w:val="22"/>
                <w:szCs w:val="22"/>
              </w:rPr>
              <w:t>Any</w:t>
            </w:r>
          </w:p>
        </w:tc>
        <w:tc>
          <w:tcPr>
            <w:tcW w:w="658" w:type="pct"/>
          </w:tcPr>
          <w:p w:rsidR="002C7997" w:rsidRPr="001E3A20" w:rsidRDefault="002C7997" w:rsidP="00B41704">
            <w:pPr>
              <w:rPr>
                <w:rFonts w:ascii="Arial" w:hAnsi="Arial" w:cs="Arial"/>
                <w:sz w:val="22"/>
                <w:szCs w:val="22"/>
              </w:rPr>
            </w:pPr>
            <w:r w:rsidRPr="001E3A20">
              <w:rPr>
                <w:rFonts w:ascii="Arial" w:hAnsi="Arial" w:cs="Arial"/>
                <w:sz w:val="22"/>
                <w:szCs w:val="22"/>
              </w:rPr>
              <w:t>Any</w:t>
            </w:r>
          </w:p>
        </w:tc>
        <w:tc>
          <w:tcPr>
            <w:tcW w:w="479" w:type="pct"/>
          </w:tcPr>
          <w:p w:rsidR="002C7997" w:rsidRPr="001E3A20" w:rsidRDefault="002C7997" w:rsidP="00B41704">
            <w:pPr>
              <w:rPr>
                <w:rFonts w:ascii="Arial" w:hAnsi="Arial" w:cs="Arial"/>
                <w:sz w:val="22"/>
                <w:szCs w:val="22"/>
              </w:rPr>
            </w:pPr>
            <w:r w:rsidRPr="001E3A20">
              <w:rPr>
                <w:rFonts w:ascii="Arial" w:hAnsi="Arial" w:cs="Arial"/>
                <w:sz w:val="22"/>
                <w:szCs w:val="22"/>
              </w:rPr>
              <w:t>0.</w:t>
            </w:r>
            <w:r w:rsidR="001E3A20" w:rsidRPr="001E3A20">
              <w:rPr>
                <w:rFonts w:ascii="Arial" w:hAnsi="Arial" w:cs="Arial"/>
                <w:sz w:val="22"/>
                <w:szCs w:val="22"/>
              </w:rPr>
              <w:t>6</w:t>
            </w:r>
          </w:p>
        </w:tc>
      </w:tr>
    </w:tbl>
    <w:p w:rsidR="00DE03FB" w:rsidRPr="0065193C" w:rsidRDefault="00DE03FB" w:rsidP="00DE03FB">
      <w:pPr>
        <w:tabs>
          <w:tab w:val="left" w:pos="6435"/>
        </w:tabs>
        <w:rPr>
          <w:rFonts w:ascii="Arial" w:hAnsi="Arial" w:cs="Arial"/>
          <w:sz w:val="22"/>
          <w:szCs w:val="22"/>
        </w:rPr>
      </w:pPr>
    </w:p>
    <w:p w:rsidR="00DE03FB" w:rsidRPr="0065193C" w:rsidRDefault="00DE03FB" w:rsidP="00DE03FB">
      <w:pPr>
        <w:tabs>
          <w:tab w:val="left" w:pos="6435"/>
        </w:tabs>
        <w:rPr>
          <w:rFonts w:ascii="Arial" w:hAnsi="Arial" w:cs="Arial"/>
          <w:sz w:val="22"/>
          <w:szCs w:val="22"/>
        </w:rPr>
      </w:pPr>
      <w:bookmarkStart w:id="20" w:name="OLE_LINK7"/>
      <w:r>
        <w:rPr>
          <w:rFonts w:ascii="Arial" w:hAnsi="Arial" w:cs="Arial"/>
          <w:sz w:val="22"/>
          <w:szCs w:val="22"/>
        </w:rPr>
        <w:t>The NTG Ratios</w:t>
      </w:r>
      <w:r w:rsidR="00E406EA">
        <w:rPr>
          <w:rFonts w:ascii="Arial" w:hAnsi="Arial" w:cs="Arial"/>
          <w:sz w:val="22"/>
          <w:szCs w:val="22"/>
        </w:rPr>
        <w:fldChar w:fldCharType="begin"/>
      </w:r>
      <w:r>
        <w:instrText xml:space="preserve"> XE "</w:instrText>
      </w:r>
      <w:r w:rsidRPr="0064030B">
        <w:rPr>
          <w:rFonts w:ascii="Arial" w:hAnsi="Arial" w:cs="Arial"/>
          <w:sz w:val="22"/>
          <w:szCs w:val="22"/>
        </w:rPr>
        <w:instrText>NTG Ratios</w:instrText>
      </w:r>
      <w:r>
        <w:instrText xml:space="preserve">" </w:instrText>
      </w:r>
      <w:r w:rsidR="00E406EA">
        <w:rPr>
          <w:rFonts w:ascii="Arial" w:hAnsi="Arial" w:cs="Arial"/>
          <w:sz w:val="22"/>
          <w:szCs w:val="22"/>
        </w:rPr>
        <w:fldChar w:fldCharType="end"/>
      </w:r>
      <w:r>
        <w:rPr>
          <w:rFonts w:ascii="Arial" w:hAnsi="Arial" w:cs="Arial"/>
          <w:sz w:val="22"/>
          <w:szCs w:val="22"/>
        </w:rPr>
        <w:t xml:space="preserve"> in Table 2</w:t>
      </w:r>
      <w:r w:rsidRPr="0065193C">
        <w:rPr>
          <w:rFonts w:ascii="Arial" w:hAnsi="Arial" w:cs="Arial"/>
          <w:sz w:val="22"/>
          <w:szCs w:val="22"/>
        </w:rPr>
        <w:t xml:space="preserve"> are appropriate for the measures because:</w:t>
      </w:r>
    </w:p>
    <w:p w:rsidR="00DE03FB" w:rsidRPr="0065193C" w:rsidRDefault="00DE03FB" w:rsidP="00DE03FB">
      <w:pPr>
        <w:numPr>
          <w:ilvl w:val="0"/>
          <w:numId w:val="24"/>
        </w:numPr>
        <w:rPr>
          <w:rFonts w:ascii="Arial" w:hAnsi="Arial" w:cs="Arial"/>
          <w:sz w:val="22"/>
          <w:szCs w:val="22"/>
        </w:rPr>
      </w:pPr>
      <w:r w:rsidRPr="0065193C">
        <w:rPr>
          <w:rFonts w:ascii="Arial" w:hAnsi="Arial" w:cs="Arial"/>
          <w:sz w:val="22"/>
          <w:szCs w:val="22"/>
        </w:rPr>
        <w:t xml:space="preserve">Measures are for </w:t>
      </w:r>
      <w:r>
        <w:rPr>
          <w:rFonts w:ascii="Arial" w:hAnsi="Arial" w:cs="Arial"/>
          <w:sz w:val="22"/>
          <w:szCs w:val="22"/>
        </w:rPr>
        <w:t>industrial</w:t>
      </w:r>
      <w:r w:rsidRPr="0065193C">
        <w:rPr>
          <w:rFonts w:ascii="Arial" w:hAnsi="Arial" w:cs="Arial"/>
          <w:sz w:val="22"/>
          <w:szCs w:val="22"/>
        </w:rPr>
        <w:t xml:space="preserve"> applications</w:t>
      </w:r>
    </w:p>
    <w:p w:rsidR="00DE03FB" w:rsidRPr="0065193C" w:rsidRDefault="00DE03FB" w:rsidP="00DE03FB">
      <w:pPr>
        <w:numPr>
          <w:ilvl w:val="0"/>
          <w:numId w:val="24"/>
        </w:numPr>
        <w:rPr>
          <w:rFonts w:ascii="Arial" w:hAnsi="Arial" w:cs="Arial"/>
          <w:sz w:val="22"/>
          <w:szCs w:val="22"/>
        </w:rPr>
      </w:pPr>
      <w:r w:rsidRPr="0065193C">
        <w:rPr>
          <w:rFonts w:ascii="Arial" w:hAnsi="Arial" w:cs="Arial"/>
          <w:sz w:val="22"/>
          <w:szCs w:val="22"/>
        </w:rPr>
        <w:t>No evaluated NTGR available for this measure</w:t>
      </w:r>
    </w:p>
    <w:p w:rsidR="00DE03FB" w:rsidRPr="0065193C" w:rsidRDefault="00DE03FB" w:rsidP="00DE03FB">
      <w:pPr>
        <w:numPr>
          <w:ilvl w:val="0"/>
          <w:numId w:val="24"/>
        </w:numPr>
        <w:rPr>
          <w:rFonts w:ascii="Arial" w:hAnsi="Arial" w:cs="Arial"/>
          <w:sz w:val="22"/>
          <w:szCs w:val="22"/>
        </w:rPr>
      </w:pPr>
      <w:r w:rsidRPr="0065193C">
        <w:rPr>
          <w:rFonts w:ascii="Arial" w:hAnsi="Arial" w:cs="Arial"/>
          <w:sz w:val="22"/>
          <w:szCs w:val="22"/>
        </w:rPr>
        <w:t>Equipment has the same delivery mechanism for more than two years</w:t>
      </w:r>
    </w:p>
    <w:bookmarkEnd w:id="20"/>
    <w:p w:rsidR="001C295C" w:rsidRPr="00A961E9" w:rsidRDefault="001C295C" w:rsidP="00864083">
      <w:pPr>
        <w:tabs>
          <w:tab w:val="left" w:pos="6435"/>
        </w:tabs>
        <w:rPr>
          <w:rFonts w:ascii="Arial" w:hAnsi="Arial" w:cs="Arial"/>
          <w:b/>
          <w:color w:val="FF0000"/>
          <w:sz w:val="22"/>
          <w:szCs w:val="22"/>
        </w:rPr>
      </w:pPr>
    </w:p>
    <w:p w:rsidR="001E3A20" w:rsidRPr="001E3A20" w:rsidRDefault="001E3A20" w:rsidP="001E3A20">
      <w:pPr>
        <w:pStyle w:val="Reminders"/>
        <w:rPr>
          <w:rFonts w:ascii="Arial" w:hAnsi="Arial" w:cs="Arial"/>
          <w:i w:val="0"/>
          <w:color w:val="auto"/>
          <w:sz w:val="22"/>
          <w:szCs w:val="22"/>
        </w:rPr>
      </w:pPr>
      <w:r w:rsidRPr="001E3A20">
        <w:rPr>
          <w:rFonts w:ascii="Arial" w:hAnsi="Arial" w:cs="Arial"/>
          <w:b/>
          <w:i w:val="0"/>
          <w:color w:val="auto"/>
          <w:sz w:val="22"/>
          <w:szCs w:val="22"/>
        </w:rPr>
        <w:t>Spillage Rate</w:t>
      </w:r>
    </w:p>
    <w:p w:rsidR="001E3A20" w:rsidRPr="001E3A20" w:rsidRDefault="001E3A20" w:rsidP="001E3A20">
      <w:pPr>
        <w:pStyle w:val="Reminders"/>
        <w:rPr>
          <w:rFonts w:ascii="Arial" w:hAnsi="Arial" w:cs="Arial"/>
          <w:i w:val="0"/>
          <w:color w:val="auto"/>
          <w:sz w:val="22"/>
          <w:szCs w:val="22"/>
        </w:rPr>
      </w:pPr>
      <w:r w:rsidRPr="001E3A20">
        <w:rPr>
          <w:rFonts w:ascii="Arial" w:hAnsi="Arial" w:cs="Arial"/>
          <w:i w:val="0"/>
          <w:color w:val="auto"/>
          <w:sz w:val="22"/>
          <w:szCs w:val="22"/>
        </w:rPr>
        <w:t>Spillage rates are not tracked in work papers; they are tracked in an external document which will be supplied to the Commission Staff.</w:t>
      </w:r>
    </w:p>
    <w:p w:rsidR="001E3A20" w:rsidRDefault="001E3A20" w:rsidP="00DE03FB">
      <w:pPr>
        <w:rPr>
          <w:rFonts w:ascii="Arial" w:hAnsi="Arial" w:cs="Arial"/>
          <w:b/>
          <w:sz w:val="22"/>
          <w:szCs w:val="22"/>
        </w:rPr>
      </w:pPr>
    </w:p>
    <w:p w:rsidR="001E3A20" w:rsidRDefault="001E3A20" w:rsidP="00DE03FB">
      <w:pPr>
        <w:rPr>
          <w:rFonts w:ascii="Arial" w:hAnsi="Arial" w:cs="Arial"/>
          <w:b/>
          <w:sz w:val="22"/>
          <w:szCs w:val="22"/>
        </w:rPr>
      </w:pPr>
    </w:p>
    <w:p w:rsidR="001E3A20" w:rsidRDefault="001E3A20" w:rsidP="00DE03FB">
      <w:pPr>
        <w:rPr>
          <w:rFonts w:ascii="Arial" w:hAnsi="Arial" w:cs="Arial"/>
          <w:b/>
          <w:sz w:val="22"/>
          <w:szCs w:val="22"/>
        </w:rPr>
      </w:pPr>
    </w:p>
    <w:p w:rsidR="001E3A20" w:rsidRPr="001E3A20" w:rsidRDefault="001E3A20" w:rsidP="001E3A20">
      <w:pPr>
        <w:rPr>
          <w:rFonts w:ascii="Arial" w:hAnsi="Arial" w:cs="Arial"/>
          <w:b/>
          <w:sz w:val="22"/>
        </w:rPr>
      </w:pPr>
      <w:r w:rsidRPr="001E3A20">
        <w:rPr>
          <w:rFonts w:ascii="Arial" w:hAnsi="Arial" w:cs="Arial"/>
          <w:b/>
          <w:sz w:val="22"/>
        </w:rPr>
        <w:t>Installation Rate</w:t>
      </w:r>
    </w:p>
    <w:p w:rsidR="001E3A20" w:rsidRDefault="001E3A20" w:rsidP="001E3A20">
      <w:pPr>
        <w:rPr>
          <w:rFonts w:ascii="Arial" w:hAnsi="Arial" w:cs="Arial"/>
          <w:sz w:val="22"/>
          <w:szCs w:val="22"/>
        </w:rPr>
      </w:pPr>
      <w:r>
        <w:rPr>
          <w:rFonts w:ascii="Arial" w:hAnsi="Arial" w:cs="Arial"/>
          <w:sz w:val="22"/>
          <w:szCs w:val="22"/>
        </w:rPr>
        <w:t xml:space="preserve">The IR value was obtained using the DEER READI tool.  The relevant IR </w:t>
      </w:r>
      <w:proofErr w:type="gramStart"/>
      <w:r>
        <w:rPr>
          <w:rFonts w:ascii="Arial" w:hAnsi="Arial" w:cs="Arial"/>
          <w:sz w:val="22"/>
          <w:szCs w:val="22"/>
        </w:rPr>
        <w:t>value for the measures in this work paper are</w:t>
      </w:r>
      <w:proofErr w:type="gramEnd"/>
      <w:r>
        <w:rPr>
          <w:rFonts w:ascii="Arial" w:hAnsi="Arial" w:cs="Arial"/>
          <w:sz w:val="22"/>
          <w:szCs w:val="22"/>
        </w:rPr>
        <w:t xml:space="preserve"> in the table below:</w:t>
      </w:r>
    </w:p>
    <w:p w:rsidR="001E3A20" w:rsidRDefault="001E3A20" w:rsidP="001E3A20">
      <w:pPr>
        <w:rPr>
          <w:rFonts w:ascii="Arial" w:hAnsi="Arial" w:cs="Arial"/>
          <w:sz w:val="22"/>
          <w:szCs w:val="22"/>
        </w:rPr>
      </w:pPr>
    </w:p>
    <w:p w:rsidR="00EB01B5" w:rsidRDefault="00EB01B5" w:rsidP="00EB01B5">
      <w:pPr>
        <w:pStyle w:val="Caption"/>
        <w:keepNext/>
        <w:jc w:val="center"/>
      </w:pPr>
      <w:bookmarkStart w:id="21" w:name="_Toc443922935"/>
      <w:r>
        <w:t xml:space="preserve">Table </w:t>
      </w:r>
      <w:fldSimple w:instr=" SEQ Table \* ARABIC ">
        <w:r w:rsidR="00871EB2">
          <w:rPr>
            <w:noProof/>
          </w:rPr>
          <w:t>3</w:t>
        </w:r>
      </w:fldSimple>
      <w:r>
        <w:t xml:space="preserve"> Installation Rate</w:t>
      </w:r>
      <w:bookmarkEnd w:id="21"/>
    </w:p>
    <w:tbl>
      <w:tblPr>
        <w:tblStyle w:val="TableGrid1"/>
        <w:tblW w:w="5000" w:type="pct"/>
        <w:tblLook w:val="01E0" w:firstRow="1" w:lastRow="1" w:firstColumn="1" w:lastColumn="1" w:noHBand="0" w:noVBand="0"/>
      </w:tblPr>
      <w:tblGrid>
        <w:gridCol w:w="1317"/>
        <w:gridCol w:w="2624"/>
        <w:gridCol w:w="1253"/>
        <w:gridCol w:w="1578"/>
        <w:gridCol w:w="1463"/>
        <w:gridCol w:w="1341"/>
      </w:tblGrid>
      <w:tr w:rsidR="001E3A20" w:rsidRPr="00695D47" w:rsidTr="00EB01B5">
        <w:tc>
          <w:tcPr>
            <w:tcW w:w="688" w:type="pct"/>
            <w:shd w:val="clear" w:color="auto" w:fill="D9D9D9" w:themeFill="background1" w:themeFillShade="D9"/>
          </w:tcPr>
          <w:p w:rsidR="001E3A20" w:rsidRPr="00695D47" w:rsidRDefault="001E3A20" w:rsidP="00B41704">
            <w:pPr>
              <w:rPr>
                <w:rFonts w:ascii="Arial" w:hAnsi="Arial" w:cs="Arial"/>
                <w:b/>
                <w:sz w:val="22"/>
                <w:szCs w:val="20"/>
              </w:rPr>
            </w:pPr>
            <w:r w:rsidRPr="00695D47">
              <w:rPr>
                <w:rFonts w:ascii="Arial" w:hAnsi="Arial" w:cs="Arial"/>
                <w:b/>
                <w:sz w:val="22"/>
                <w:szCs w:val="20"/>
              </w:rPr>
              <w:t>GSIA ID</w:t>
            </w:r>
          </w:p>
        </w:tc>
        <w:tc>
          <w:tcPr>
            <w:tcW w:w="1370" w:type="pct"/>
            <w:shd w:val="clear" w:color="auto" w:fill="D9D9D9" w:themeFill="background1" w:themeFillShade="D9"/>
          </w:tcPr>
          <w:p w:rsidR="001E3A20" w:rsidRPr="00695D47" w:rsidRDefault="001E3A20" w:rsidP="00B41704">
            <w:pPr>
              <w:rPr>
                <w:rFonts w:ascii="Arial" w:hAnsi="Arial" w:cs="Arial"/>
                <w:b/>
                <w:sz w:val="22"/>
                <w:szCs w:val="20"/>
              </w:rPr>
            </w:pPr>
            <w:r w:rsidRPr="00695D47">
              <w:rPr>
                <w:rFonts w:ascii="Arial" w:hAnsi="Arial" w:cs="Arial"/>
                <w:b/>
                <w:sz w:val="22"/>
                <w:szCs w:val="20"/>
              </w:rPr>
              <w:t>Description</w:t>
            </w:r>
          </w:p>
        </w:tc>
        <w:tc>
          <w:tcPr>
            <w:tcW w:w="654" w:type="pct"/>
            <w:shd w:val="clear" w:color="auto" w:fill="D9D9D9" w:themeFill="background1" w:themeFillShade="D9"/>
          </w:tcPr>
          <w:p w:rsidR="001E3A20" w:rsidRPr="00695D47" w:rsidRDefault="001E3A20" w:rsidP="00B41704">
            <w:pPr>
              <w:rPr>
                <w:rFonts w:ascii="Arial" w:hAnsi="Arial" w:cs="Arial"/>
                <w:b/>
                <w:sz w:val="22"/>
                <w:szCs w:val="20"/>
              </w:rPr>
            </w:pPr>
            <w:r w:rsidRPr="00695D47">
              <w:rPr>
                <w:rFonts w:ascii="Arial" w:hAnsi="Arial" w:cs="Arial"/>
                <w:b/>
                <w:sz w:val="22"/>
                <w:szCs w:val="20"/>
              </w:rPr>
              <w:t>Sector</w:t>
            </w:r>
          </w:p>
        </w:tc>
        <w:tc>
          <w:tcPr>
            <w:tcW w:w="824" w:type="pct"/>
            <w:shd w:val="clear" w:color="auto" w:fill="D9D9D9" w:themeFill="background1" w:themeFillShade="D9"/>
          </w:tcPr>
          <w:p w:rsidR="001E3A20" w:rsidRPr="00695D47" w:rsidRDefault="001E3A20" w:rsidP="00B41704">
            <w:pPr>
              <w:rPr>
                <w:rFonts w:ascii="Arial" w:hAnsi="Arial" w:cs="Arial"/>
                <w:b/>
                <w:sz w:val="22"/>
                <w:szCs w:val="20"/>
              </w:rPr>
            </w:pPr>
            <w:proofErr w:type="spellStart"/>
            <w:r w:rsidRPr="00695D47">
              <w:rPr>
                <w:rFonts w:ascii="Arial" w:hAnsi="Arial" w:cs="Arial"/>
                <w:b/>
                <w:sz w:val="22"/>
                <w:szCs w:val="20"/>
              </w:rPr>
              <w:t>BldgType</w:t>
            </w:r>
            <w:proofErr w:type="spellEnd"/>
          </w:p>
        </w:tc>
        <w:tc>
          <w:tcPr>
            <w:tcW w:w="764" w:type="pct"/>
            <w:shd w:val="clear" w:color="auto" w:fill="D9D9D9" w:themeFill="background1" w:themeFillShade="D9"/>
          </w:tcPr>
          <w:p w:rsidR="001E3A20" w:rsidRPr="00695D47" w:rsidRDefault="001E3A20" w:rsidP="00B41704">
            <w:pPr>
              <w:rPr>
                <w:rFonts w:ascii="Arial" w:hAnsi="Arial" w:cs="Arial"/>
                <w:b/>
                <w:sz w:val="22"/>
                <w:szCs w:val="20"/>
              </w:rPr>
            </w:pPr>
            <w:proofErr w:type="spellStart"/>
            <w:r w:rsidRPr="00695D47">
              <w:rPr>
                <w:rFonts w:ascii="Arial" w:hAnsi="Arial" w:cs="Arial"/>
                <w:b/>
                <w:sz w:val="22"/>
                <w:szCs w:val="20"/>
              </w:rPr>
              <w:t>ProgDelivID</w:t>
            </w:r>
            <w:proofErr w:type="spellEnd"/>
          </w:p>
        </w:tc>
        <w:tc>
          <w:tcPr>
            <w:tcW w:w="700" w:type="pct"/>
            <w:shd w:val="clear" w:color="auto" w:fill="D9D9D9" w:themeFill="background1" w:themeFillShade="D9"/>
          </w:tcPr>
          <w:p w:rsidR="001E3A20" w:rsidRPr="00695D47" w:rsidRDefault="001E3A20" w:rsidP="00B41704">
            <w:pPr>
              <w:rPr>
                <w:rFonts w:ascii="Arial" w:hAnsi="Arial" w:cs="Arial"/>
                <w:b/>
                <w:sz w:val="22"/>
                <w:szCs w:val="20"/>
              </w:rPr>
            </w:pPr>
            <w:proofErr w:type="spellStart"/>
            <w:r w:rsidRPr="00695D47">
              <w:rPr>
                <w:rFonts w:ascii="Arial" w:hAnsi="Arial" w:cs="Arial"/>
                <w:b/>
                <w:sz w:val="22"/>
                <w:szCs w:val="20"/>
              </w:rPr>
              <w:t>GSIAValue</w:t>
            </w:r>
            <w:proofErr w:type="spellEnd"/>
          </w:p>
        </w:tc>
      </w:tr>
      <w:tr w:rsidR="001E3A20" w:rsidRPr="00695D47" w:rsidTr="00EB01B5">
        <w:tc>
          <w:tcPr>
            <w:tcW w:w="688" w:type="pct"/>
          </w:tcPr>
          <w:p w:rsidR="001E3A20" w:rsidRPr="00695D47" w:rsidRDefault="001E3A20" w:rsidP="00B41704">
            <w:pPr>
              <w:rPr>
                <w:rFonts w:ascii="Arial" w:hAnsi="Arial" w:cs="Arial"/>
                <w:sz w:val="22"/>
                <w:szCs w:val="20"/>
              </w:rPr>
            </w:pPr>
            <w:r w:rsidRPr="00695D47">
              <w:rPr>
                <w:rFonts w:ascii="Arial" w:hAnsi="Arial" w:cs="Arial"/>
                <w:sz w:val="22"/>
                <w:szCs w:val="20"/>
              </w:rPr>
              <w:t>Def-GSIA</w:t>
            </w:r>
          </w:p>
        </w:tc>
        <w:tc>
          <w:tcPr>
            <w:tcW w:w="1370" w:type="pct"/>
          </w:tcPr>
          <w:p w:rsidR="001E3A20" w:rsidRPr="00695D47" w:rsidRDefault="001E3A20" w:rsidP="00B41704">
            <w:pPr>
              <w:rPr>
                <w:rFonts w:ascii="Arial" w:hAnsi="Arial" w:cs="Arial"/>
                <w:sz w:val="22"/>
                <w:szCs w:val="20"/>
              </w:rPr>
            </w:pPr>
            <w:r w:rsidRPr="00695D47">
              <w:rPr>
                <w:rFonts w:ascii="Arial" w:hAnsi="Arial" w:cs="Arial"/>
                <w:sz w:val="22"/>
                <w:szCs w:val="20"/>
              </w:rPr>
              <w:t>Default GSIA values</w:t>
            </w:r>
          </w:p>
        </w:tc>
        <w:tc>
          <w:tcPr>
            <w:tcW w:w="654" w:type="pct"/>
          </w:tcPr>
          <w:p w:rsidR="001E3A20" w:rsidRPr="00695D47" w:rsidRDefault="001E3A20" w:rsidP="00B41704">
            <w:pPr>
              <w:rPr>
                <w:rFonts w:ascii="Arial" w:hAnsi="Arial" w:cs="Arial"/>
                <w:sz w:val="22"/>
                <w:szCs w:val="20"/>
              </w:rPr>
            </w:pPr>
            <w:r w:rsidRPr="00695D47">
              <w:rPr>
                <w:rFonts w:ascii="Arial" w:hAnsi="Arial" w:cs="Arial"/>
                <w:sz w:val="22"/>
                <w:szCs w:val="20"/>
              </w:rPr>
              <w:t>Any</w:t>
            </w:r>
          </w:p>
        </w:tc>
        <w:tc>
          <w:tcPr>
            <w:tcW w:w="824" w:type="pct"/>
          </w:tcPr>
          <w:p w:rsidR="001E3A20" w:rsidRPr="00695D47" w:rsidRDefault="001E3A20" w:rsidP="00B41704">
            <w:pPr>
              <w:rPr>
                <w:rFonts w:ascii="Arial" w:hAnsi="Arial" w:cs="Arial"/>
                <w:sz w:val="22"/>
                <w:szCs w:val="20"/>
              </w:rPr>
            </w:pPr>
            <w:r w:rsidRPr="00695D47">
              <w:rPr>
                <w:rFonts w:ascii="Arial" w:hAnsi="Arial" w:cs="Arial"/>
                <w:sz w:val="22"/>
                <w:szCs w:val="20"/>
              </w:rPr>
              <w:t>Any</w:t>
            </w:r>
          </w:p>
        </w:tc>
        <w:tc>
          <w:tcPr>
            <w:tcW w:w="764" w:type="pct"/>
          </w:tcPr>
          <w:p w:rsidR="001E3A20" w:rsidRPr="00695D47" w:rsidRDefault="001E3A20" w:rsidP="00B41704">
            <w:pPr>
              <w:rPr>
                <w:rFonts w:ascii="Arial" w:hAnsi="Arial" w:cs="Arial"/>
                <w:sz w:val="22"/>
                <w:szCs w:val="20"/>
              </w:rPr>
            </w:pPr>
            <w:r w:rsidRPr="00695D47">
              <w:rPr>
                <w:rFonts w:ascii="Arial" w:hAnsi="Arial" w:cs="Arial"/>
                <w:sz w:val="22"/>
                <w:szCs w:val="20"/>
              </w:rPr>
              <w:t>Any</w:t>
            </w:r>
          </w:p>
        </w:tc>
        <w:tc>
          <w:tcPr>
            <w:tcW w:w="700" w:type="pct"/>
          </w:tcPr>
          <w:p w:rsidR="001E3A20" w:rsidRPr="00695D47" w:rsidRDefault="001E3A20" w:rsidP="00B41704">
            <w:pPr>
              <w:rPr>
                <w:rFonts w:ascii="Arial" w:hAnsi="Arial" w:cs="Arial"/>
                <w:sz w:val="22"/>
                <w:szCs w:val="20"/>
              </w:rPr>
            </w:pPr>
            <w:r w:rsidRPr="00695D47">
              <w:rPr>
                <w:rFonts w:ascii="Arial" w:hAnsi="Arial" w:cs="Arial"/>
                <w:sz w:val="22"/>
                <w:szCs w:val="20"/>
              </w:rPr>
              <w:t>1</w:t>
            </w:r>
          </w:p>
        </w:tc>
      </w:tr>
    </w:tbl>
    <w:p w:rsidR="001E3A20" w:rsidRDefault="001E3A20" w:rsidP="00DE03FB">
      <w:pPr>
        <w:rPr>
          <w:rFonts w:ascii="Arial" w:hAnsi="Arial" w:cs="Arial"/>
          <w:b/>
          <w:sz w:val="22"/>
          <w:szCs w:val="22"/>
        </w:rPr>
      </w:pPr>
    </w:p>
    <w:p w:rsidR="00A87D0E" w:rsidRPr="00440771" w:rsidRDefault="00A87D0E" w:rsidP="00A87D0E">
      <w:pPr>
        <w:rPr>
          <w:rFonts w:ascii="Arial" w:hAnsi="Arial" w:cs="Arial"/>
          <w:i/>
          <w:sz w:val="22"/>
          <w:szCs w:val="22"/>
        </w:rPr>
      </w:pPr>
      <w:r w:rsidRPr="00D04D41">
        <w:rPr>
          <w:rFonts w:ascii="Arial" w:hAnsi="Arial" w:cs="Arial"/>
          <w:b/>
          <w:sz w:val="22"/>
          <w:szCs w:val="22"/>
        </w:rPr>
        <w:t>Hours of Operation</w:t>
      </w:r>
    </w:p>
    <w:p w:rsidR="00A87D0E" w:rsidRPr="00786F05" w:rsidRDefault="00A87D0E" w:rsidP="00A87D0E">
      <w:pPr>
        <w:rPr>
          <w:rFonts w:ascii="Arial" w:hAnsi="Arial" w:cs="Arial"/>
          <w:sz w:val="22"/>
          <w:szCs w:val="22"/>
        </w:rPr>
      </w:pPr>
      <w:r>
        <w:rPr>
          <w:rFonts w:ascii="Arial" w:hAnsi="Arial" w:cs="Arial"/>
          <w:sz w:val="22"/>
          <w:szCs w:val="22"/>
        </w:rPr>
        <w:t xml:space="preserve">The assumed hours of operation are based on continual plant operation. Variation in plant operating hours is accounted for in the capacity factor. While the boiler may be enabled to operate during the entire year, it may not be operating at its full rated load. To account for this, the capacity factor is multiplied by the enabled hours of operation to obtain the effective full load hours (EFLH). </w:t>
      </w:r>
      <w:r w:rsidR="00055AD6">
        <w:rPr>
          <w:rFonts w:ascii="Arial" w:hAnsi="Arial" w:cs="Arial"/>
          <w:sz w:val="22"/>
          <w:szCs w:val="22"/>
        </w:rPr>
        <w:t xml:space="preserve"> </w:t>
      </w:r>
      <w:r>
        <w:rPr>
          <w:rFonts w:ascii="Arial" w:hAnsi="Arial" w:cs="Arial"/>
          <w:sz w:val="22"/>
          <w:szCs w:val="22"/>
        </w:rPr>
        <w:t xml:space="preserve">See Section 2 for details. </w:t>
      </w:r>
    </w:p>
    <w:p w:rsidR="00A87D0E" w:rsidRPr="0015447E" w:rsidRDefault="00A87D0E" w:rsidP="00A87D0E">
      <w:pPr>
        <w:pStyle w:val="Caption"/>
        <w:keepNext/>
        <w:rPr>
          <w:rFonts w:ascii="Arial" w:hAnsi="Arial" w:cs="Arial"/>
          <w:sz w:val="22"/>
          <w:szCs w:val="22"/>
        </w:rPr>
      </w:pPr>
    </w:p>
    <w:p w:rsidR="00055AD6" w:rsidRDefault="00055AD6" w:rsidP="00055AD6">
      <w:pPr>
        <w:pStyle w:val="Caption"/>
        <w:keepNext/>
        <w:jc w:val="center"/>
      </w:pPr>
      <w:bookmarkStart w:id="22" w:name="_Toc443922936"/>
      <w:r>
        <w:t xml:space="preserve">Table </w:t>
      </w:r>
      <w:fldSimple w:instr=" SEQ Table \* ARABIC ">
        <w:r w:rsidR="00871EB2">
          <w:rPr>
            <w:noProof/>
          </w:rPr>
          <w:t>4</w:t>
        </w:r>
      </w:fldSimple>
      <w:r>
        <w:t xml:space="preserve"> Hours of Operation</w:t>
      </w:r>
      <w:bookmarkEnd w:id="22"/>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3"/>
        <w:gridCol w:w="1670"/>
        <w:gridCol w:w="1709"/>
        <w:gridCol w:w="1918"/>
        <w:gridCol w:w="2160"/>
      </w:tblGrid>
      <w:tr w:rsidR="00A87D0E" w:rsidRPr="009B46F3" w:rsidTr="00055AD6">
        <w:trPr>
          <w:trHeight w:val="593"/>
        </w:trPr>
        <w:tc>
          <w:tcPr>
            <w:tcW w:w="1723" w:type="dxa"/>
            <w:shd w:val="clear" w:color="auto" w:fill="D9D9D9" w:themeFill="background1" w:themeFillShade="D9"/>
            <w:vAlign w:val="center"/>
          </w:tcPr>
          <w:p w:rsidR="00A87D0E" w:rsidRPr="009B46F3" w:rsidRDefault="00A87D0E" w:rsidP="00B41704">
            <w:pPr>
              <w:jc w:val="center"/>
              <w:rPr>
                <w:rFonts w:ascii="Arial" w:hAnsi="Arial" w:cs="Arial"/>
                <w:b/>
                <w:sz w:val="22"/>
                <w:szCs w:val="20"/>
              </w:rPr>
            </w:pPr>
            <w:r w:rsidRPr="009B46F3">
              <w:rPr>
                <w:rFonts w:ascii="Arial" w:hAnsi="Arial" w:cs="Arial"/>
                <w:b/>
                <w:sz w:val="22"/>
                <w:szCs w:val="20"/>
              </w:rPr>
              <w:t>Building type</w:t>
            </w:r>
          </w:p>
        </w:tc>
        <w:tc>
          <w:tcPr>
            <w:tcW w:w="1670" w:type="dxa"/>
            <w:shd w:val="clear" w:color="auto" w:fill="D9D9D9" w:themeFill="background1" w:themeFillShade="D9"/>
            <w:vAlign w:val="center"/>
          </w:tcPr>
          <w:p w:rsidR="00A87D0E" w:rsidRPr="009B46F3" w:rsidRDefault="00A87D0E" w:rsidP="00B41704">
            <w:pPr>
              <w:jc w:val="center"/>
              <w:rPr>
                <w:rFonts w:ascii="Arial" w:hAnsi="Arial" w:cs="Arial"/>
                <w:b/>
                <w:sz w:val="22"/>
                <w:szCs w:val="20"/>
              </w:rPr>
            </w:pPr>
            <w:r w:rsidRPr="009B46F3">
              <w:rPr>
                <w:rFonts w:ascii="Arial" w:hAnsi="Arial" w:cs="Arial"/>
                <w:b/>
                <w:sz w:val="22"/>
                <w:szCs w:val="20"/>
              </w:rPr>
              <w:t>Building Vintage</w:t>
            </w:r>
          </w:p>
        </w:tc>
        <w:tc>
          <w:tcPr>
            <w:tcW w:w="1709" w:type="dxa"/>
            <w:shd w:val="clear" w:color="auto" w:fill="D9D9D9" w:themeFill="background1" w:themeFillShade="D9"/>
            <w:vAlign w:val="center"/>
          </w:tcPr>
          <w:p w:rsidR="00A87D0E" w:rsidRPr="009B46F3" w:rsidRDefault="00A87D0E" w:rsidP="00B41704">
            <w:pPr>
              <w:jc w:val="center"/>
              <w:rPr>
                <w:rFonts w:ascii="Arial" w:hAnsi="Arial" w:cs="Arial"/>
                <w:b/>
                <w:sz w:val="22"/>
                <w:szCs w:val="20"/>
              </w:rPr>
            </w:pPr>
            <w:r w:rsidRPr="009B46F3">
              <w:rPr>
                <w:rFonts w:ascii="Arial" w:hAnsi="Arial" w:cs="Arial"/>
                <w:b/>
                <w:sz w:val="22"/>
                <w:szCs w:val="20"/>
              </w:rPr>
              <w:t>Climate Zone</w:t>
            </w:r>
          </w:p>
        </w:tc>
        <w:tc>
          <w:tcPr>
            <w:tcW w:w="1918" w:type="dxa"/>
            <w:shd w:val="clear" w:color="auto" w:fill="D9D9D9" w:themeFill="background1" w:themeFillShade="D9"/>
            <w:vAlign w:val="center"/>
          </w:tcPr>
          <w:p w:rsidR="00A87D0E" w:rsidRPr="009B46F3" w:rsidRDefault="00A87D0E" w:rsidP="00B41704">
            <w:pPr>
              <w:jc w:val="center"/>
              <w:rPr>
                <w:rFonts w:ascii="Arial" w:hAnsi="Arial" w:cs="Arial"/>
                <w:b/>
                <w:sz w:val="22"/>
                <w:szCs w:val="20"/>
              </w:rPr>
            </w:pPr>
            <w:r w:rsidRPr="009B46F3">
              <w:rPr>
                <w:rFonts w:ascii="Arial" w:hAnsi="Arial" w:cs="Arial"/>
                <w:b/>
                <w:sz w:val="22"/>
                <w:szCs w:val="20"/>
              </w:rPr>
              <w:t xml:space="preserve">Hours of Operation </w:t>
            </w:r>
            <w:proofErr w:type="spellStart"/>
            <w:r w:rsidRPr="009B46F3">
              <w:rPr>
                <w:rFonts w:ascii="Arial" w:hAnsi="Arial" w:cs="Arial"/>
                <w:b/>
                <w:sz w:val="22"/>
                <w:szCs w:val="20"/>
              </w:rPr>
              <w:t>hrs</w:t>
            </w:r>
            <w:proofErr w:type="spellEnd"/>
            <w:r w:rsidRPr="009B46F3">
              <w:rPr>
                <w:rFonts w:ascii="Arial" w:hAnsi="Arial" w:cs="Arial"/>
                <w:b/>
                <w:sz w:val="22"/>
                <w:szCs w:val="20"/>
              </w:rPr>
              <w:t>/</w:t>
            </w:r>
            <w:proofErr w:type="spellStart"/>
            <w:r w:rsidRPr="009B46F3">
              <w:rPr>
                <w:rFonts w:ascii="Arial" w:hAnsi="Arial" w:cs="Arial"/>
                <w:b/>
                <w:sz w:val="22"/>
                <w:szCs w:val="20"/>
              </w:rPr>
              <w:t>yr</w:t>
            </w:r>
            <w:proofErr w:type="spellEnd"/>
          </w:p>
        </w:tc>
        <w:tc>
          <w:tcPr>
            <w:tcW w:w="2160" w:type="dxa"/>
            <w:shd w:val="clear" w:color="auto" w:fill="D9D9D9" w:themeFill="background1" w:themeFillShade="D9"/>
            <w:vAlign w:val="center"/>
          </w:tcPr>
          <w:p w:rsidR="00A87D0E" w:rsidRPr="009B46F3" w:rsidRDefault="00A87D0E" w:rsidP="00B41704">
            <w:pPr>
              <w:jc w:val="center"/>
              <w:rPr>
                <w:rFonts w:ascii="Arial" w:hAnsi="Arial" w:cs="Arial"/>
                <w:b/>
                <w:sz w:val="22"/>
                <w:szCs w:val="20"/>
              </w:rPr>
            </w:pPr>
            <w:r w:rsidRPr="009B46F3">
              <w:rPr>
                <w:rFonts w:ascii="Arial" w:hAnsi="Arial" w:cs="Arial"/>
                <w:b/>
                <w:sz w:val="22"/>
                <w:szCs w:val="20"/>
              </w:rPr>
              <w:t>Reference</w:t>
            </w:r>
          </w:p>
        </w:tc>
      </w:tr>
      <w:tr w:rsidR="00A87D0E" w:rsidRPr="009B46F3" w:rsidTr="00B41704">
        <w:tc>
          <w:tcPr>
            <w:tcW w:w="1723" w:type="dxa"/>
            <w:shd w:val="clear" w:color="auto" w:fill="auto"/>
            <w:vAlign w:val="center"/>
          </w:tcPr>
          <w:p w:rsidR="00A87D0E" w:rsidRPr="009B46F3" w:rsidRDefault="00A87D0E" w:rsidP="00B41704">
            <w:pPr>
              <w:jc w:val="center"/>
              <w:rPr>
                <w:rFonts w:ascii="Arial" w:hAnsi="Arial" w:cs="Arial"/>
                <w:sz w:val="22"/>
                <w:szCs w:val="20"/>
              </w:rPr>
            </w:pPr>
            <w:r w:rsidRPr="009B46F3">
              <w:rPr>
                <w:rFonts w:ascii="Arial" w:hAnsi="Arial" w:cs="Arial"/>
                <w:sz w:val="22"/>
                <w:szCs w:val="20"/>
              </w:rPr>
              <w:t>ANY</w:t>
            </w:r>
          </w:p>
        </w:tc>
        <w:tc>
          <w:tcPr>
            <w:tcW w:w="1670" w:type="dxa"/>
            <w:shd w:val="clear" w:color="auto" w:fill="auto"/>
            <w:vAlign w:val="center"/>
          </w:tcPr>
          <w:p w:rsidR="00A87D0E" w:rsidRPr="009B46F3" w:rsidRDefault="00A87D0E" w:rsidP="00B41704">
            <w:pPr>
              <w:jc w:val="center"/>
              <w:rPr>
                <w:rFonts w:ascii="Arial" w:hAnsi="Arial" w:cs="Arial"/>
                <w:sz w:val="22"/>
                <w:szCs w:val="20"/>
              </w:rPr>
            </w:pPr>
            <w:r w:rsidRPr="009B46F3">
              <w:rPr>
                <w:rFonts w:ascii="Arial" w:hAnsi="Arial" w:cs="Arial"/>
                <w:sz w:val="22"/>
                <w:szCs w:val="20"/>
              </w:rPr>
              <w:t>EX</w:t>
            </w:r>
          </w:p>
        </w:tc>
        <w:tc>
          <w:tcPr>
            <w:tcW w:w="1709" w:type="dxa"/>
            <w:shd w:val="clear" w:color="auto" w:fill="auto"/>
            <w:vAlign w:val="center"/>
          </w:tcPr>
          <w:p w:rsidR="00A87D0E" w:rsidRPr="009B46F3" w:rsidRDefault="00A87D0E" w:rsidP="00B41704">
            <w:pPr>
              <w:jc w:val="center"/>
              <w:rPr>
                <w:rFonts w:ascii="Arial" w:hAnsi="Arial" w:cs="Arial"/>
                <w:sz w:val="22"/>
                <w:szCs w:val="20"/>
              </w:rPr>
            </w:pPr>
            <w:r w:rsidRPr="009B46F3">
              <w:rPr>
                <w:rFonts w:ascii="Arial" w:hAnsi="Arial" w:cs="Arial"/>
                <w:sz w:val="22"/>
                <w:szCs w:val="20"/>
              </w:rPr>
              <w:t>ANY</w:t>
            </w:r>
          </w:p>
        </w:tc>
        <w:tc>
          <w:tcPr>
            <w:tcW w:w="1918" w:type="dxa"/>
            <w:shd w:val="clear" w:color="auto" w:fill="auto"/>
            <w:vAlign w:val="center"/>
          </w:tcPr>
          <w:p w:rsidR="00A87D0E" w:rsidRPr="009B46F3" w:rsidRDefault="00A87D0E" w:rsidP="00B41704">
            <w:pPr>
              <w:jc w:val="center"/>
              <w:rPr>
                <w:rFonts w:ascii="Arial" w:hAnsi="Arial" w:cs="Arial"/>
                <w:sz w:val="22"/>
                <w:szCs w:val="20"/>
              </w:rPr>
            </w:pPr>
            <w:r w:rsidRPr="009B46F3">
              <w:rPr>
                <w:rFonts w:ascii="Arial" w:hAnsi="Arial" w:cs="Arial"/>
                <w:sz w:val="22"/>
                <w:szCs w:val="20"/>
              </w:rPr>
              <w:t>8,760</w:t>
            </w:r>
          </w:p>
        </w:tc>
        <w:tc>
          <w:tcPr>
            <w:tcW w:w="2160" w:type="dxa"/>
            <w:shd w:val="clear" w:color="auto" w:fill="auto"/>
            <w:vAlign w:val="center"/>
          </w:tcPr>
          <w:p w:rsidR="00A87D0E" w:rsidRPr="009B46F3" w:rsidRDefault="00A87D0E" w:rsidP="00B41704">
            <w:pPr>
              <w:jc w:val="center"/>
              <w:rPr>
                <w:rFonts w:ascii="Arial" w:hAnsi="Arial" w:cs="Arial"/>
                <w:sz w:val="22"/>
                <w:szCs w:val="20"/>
              </w:rPr>
            </w:pPr>
            <w:r w:rsidRPr="009B46F3">
              <w:rPr>
                <w:rFonts w:ascii="Arial" w:hAnsi="Arial" w:cs="Arial"/>
                <w:sz w:val="22"/>
                <w:szCs w:val="20"/>
              </w:rPr>
              <w:t>N/A</w:t>
            </w:r>
          </w:p>
        </w:tc>
      </w:tr>
    </w:tbl>
    <w:p w:rsidR="00A87D0E" w:rsidRPr="002C3770" w:rsidRDefault="00A87D0E" w:rsidP="00A87D0E">
      <w:pPr>
        <w:rPr>
          <w:rFonts w:ascii="Arial" w:hAnsi="Arial" w:cs="Arial"/>
          <w:b/>
          <w:sz w:val="22"/>
          <w:szCs w:val="22"/>
        </w:rPr>
      </w:pPr>
    </w:p>
    <w:p w:rsidR="00DE03FB" w:rsidRPr="0066794C" w:rsidRDefault="00DE03FB" w:rsidP="00DE03FB">
      <w:pPr>
        <w:rPr>
          <w:rFonts w:ascii="Arial" w:hAnsi="Arial" w:cs="Arial"/>
          <w:b/>
          <w:sz w:val="22"/>
          <w:szCs w:val="22"/>
        </w:rPr>
      </w:pPr>
      <w:r w:rsidRPr="0066794C">
        <w:rPr>
          <w:rFonts w:ascii="Arial" w:hAnsi="Arial" w:cs="Arial"/>
          <w:b/>
          <w:sz w:val="22"/>
          <w:szCs w:val="22"/>
        </w:rPr>
        <w:t xml:space="preserve">Effective </w:t>
      </w:r>
      <w:r w:rsidR="00695D47">
        <w:rPr>
          <w:rFonts w:ascii="Arial" w:hAnsi="Arial" w:cs="Arial"/>
          <w:b/>
          <w:sz w:val="22"/>
          <w:szCs w:val="22"/>
        </w:rPr>
        <w:t>and Remaining Useful Life</w:t>
      </w:r>
      <w:r w:rsidRPr="0066794C">
        <w:rPr>
          <w:rFonts w:ascii="Arial" w:hAnsi="Arial" w:cs="Arial"/>
          <w:b/>
          <w:sz w:val="22"/>
          <w:szCs w:val="22"/>
        </w:rPr>
        <w:tab/>
      </w:r>
      <w:r w:rsidRPr="0066794C">
        <w:rPr>
          <w:rFonts w:ascii="Arial" w:hAnsi="Arial" w:cs="Arial"/>
          <w:b/>
          <w:sz w:val="22"/>
          <w:szCs w:val="22"/>
        </w:rPr>
        <w:tab/>
      </w:r>
    </w:p>
    <w:p w:rsidR="00695D47" w:rsidRDefault="00695D47" w:rsidP="00DE03FB">
      <w:pPr>
        <w:rPr>
          <w:rFonts w:ascii="Arial" w:hAnsi="Arial" w:cs="Arial"/>
          <w:sz w:val="22"/>
          <w:szCs w:val="22"/>
        </w:rPr>
      </w:pPr>
      <w:r w:rsidRPr="00695D47">
        <w:rPr>
          <w:rFonts w:ascii="Arial" w:hAnsi="Arial" w:cs="Arial"/>
          <w:sz w:val="22"/>
          <w:szCs w:val="22"/>
        </w:rPr>
        <w:t>The EUL and RUL values were obtained using the DEER READI tool. DEER defines the RUL as 1/3 of the EUL value. The RUL value is only applicable to the first baseline period for an RET measure with an applicable code baseline. The relevant EUL and RUL values for the measures in this wo</w:t>
      </w:r>
      <w:r>
        <w:rPr>
          <w:rFonts w:ascii="Arial" w:hAnsi="Arial" w:cs="Arial"/>
          <w:sz w:val="22"/>
          <w:szCs w:val="22"/>
        </w:rPr>
        <w:t>rk paper are in the table below:</w:t>
      </w:r>
    </w:p>
    <w:p w:rsidR="00DE03FB" w:rsidRPr="0066794C" w:rsidRDefault="00DE03FB" w:rsidP="00DE03FB">
      <w:pPr>
        <w:rPr>
          <w:rFonts w:ascii="Arial" w:hAnsi="Arial" w:cs="Arial"/>
          <w:sz w:val="22"/>
          <w:szCs w:val="22"/>
        </w:rPr>
      </w:pPr>
    </w:p>
    <w:p w:rsidR="00EB01B5" w:rsidRDefault="00EB01B5" w:rsidP="00EB01B5">
      <w:pPr>
        <w:pStyle w:val="Caption"/>
        <w:keepNext/>
        <w:jc w:val="center"/>
      </w:pPr>
      <w:bookmarkStart w:id="23" w:name="_Toc443922937"/>
      <w:r>
        <w:t xml:space="preserve">Table </w:t>
      </w:r>
      <w:fldSimple w:instr=" SEQ Table \* ARABIC ">
        <w:r w:rsidR="00871EB2">
          <w:rPr>
            <w:noProof/>
          </w:rPr>
          <w:t>5</w:t>
        </w:r>
      </w:fldSimple>
      <w:r>
        <w:t xml:space="preserve"> Effective and Remaining Useful Life</w:t>
      </w:r>
      <w:bookmarkEnd w:id="23"/>
    </w:p>
    <w:tbl>
      <w:tblPr>
        <w:tblStyle w:val="TableGrid1"/>
        <w:tblW w:w="5000" w:type="pct"/>
        <w:tblLook w:val="04A0" w:firstRow="1" w:lastRow="0" w:firstColumn="1" w:lastColumn="0" w:noHBand="0" w:noVBand="1"/>
      </w:tblPr>
      <w:tblGrid>
        <w:gridCol w:w="1522"/>
        <w:gridCol w:w="2694"/>
        <w:gridCol w:w="901"/>
        <w:gridCol w:w="1574"/>
        <w:gridCol w:w="1452"/>
        <w:gridCol w:w="1433"/>
      </w:tblGrid>
      <w:tr w:rsidR="00695D47" w:rsidRPr="00EB01B5" w:rsidTr="00EB01B5">
        <w:tc>
          <w:tcPr>
            <w:tcW w:w="795" w:type="pct"/>
            <w:shd w:val="clear" w:color="auto" w:fill="D9D9D9" w:themeFill="background1" w:themeFillShade="D9"/>
          </w:tcPr>
          <w:p w:rsidR="00695D47" w:rsidRPr="00EB01B5" w:rsidRDefault="00695D47" w:rsidP="00B41704">
            <w:pPr>
              <w:rPr>
                <w:rFonts w:ascii="Arial" w:hAnsi="Arial" w:cs="Arial"/>
                <w:b/>
                <w:sz w:val="22"/>
                <w:szCs w:val="20"/>
              </w:rPr>
            </w:pPr>
            <w:r w:rsidRPr="00EB01B5">
              <w:rPr>
                <w:rFonts w:ascii="Arial" w:hAnsi="Arial" w:cs="Arial"/>
                <w:b/>
                <w:sz w:val="22"/>
                <w:szCs w:val="20"/>
              </w:rPr>
              <w:t>EUL ID</w:t>
            </w:r>
          </w:p>
        </w:tc>
        <w:tc>
          <w:tcPr>
            <w:tcW w:w="1407" w:type="pct"/>
            <w:shd w:val="clear" w:color="auto" w:fill="D9D9D9" w:themeFill="background1" w:themeFillShade="D9"/>
          </w:tcPr>
          <w:p w:rsidR="00695D47" w:rsidRPr="00EB01B5" w:rsidRDefault="00695D47" w:rsidP="00B41704">
            <w:pPr>
              <w:rPr>
                <w:rFonts w:ascii="Arial" w:hAnsi="Arial" w:cs="Arial"/>
                <w:b/>
                <w:sz w:val="22"/>
                <w:szCs w:val="20"/>
              </w:rPr>
            </w:pPr>
            <w:r w:rsidRPr="00EB01B5">
              <w:rPr>
                <w:rFonts w:ascii="Arial" w:hAnsi="Arial" w:cs="Arial"/>
                <w:b/>
                <w:sz w:val="22"/>
                <w:szCs w:val="20"/>
              </w:rPr>
              <w:t>Description</w:t>
            </w:r>
          </w:p>
        </w:tc>
        <w:tc>
          <w:tcPr>
            <w:tcW w:w="470" w:type="pct"/>
            <w:shd w:val="clear" w:color="auto" w:fill="D9D9D9" w:themeFill="background1" w:themeFillShade="D9"/>
          </w:tcPr>
          <w:p w:rsidR="00695D47" w:rsidRPr="00EB01B5" w:rsidRDefault="00695D47" w:rsidP="00B41704">
            <w:pPr>
              <w:rPr>
                <w:rFonts w:ascii="Arial" w:hAnsi="Arial" w:cs="Arial"/>
                <w:b/>
                <w:sz w:val="22"/>
                <w:szCs w:val="20"/>
              </w:rPr>
            </w:pPr>
            <w:r w:rsidRPr="00EB01B5">
              <w:rPr>
                <w:rFonts w:ascii="Arial" w:hAnsi="Arial" w:cs="Arial"/>
                <w:b/>
                <w:sz w:val="22"/>
                <w:szCs w:val="20"/>
              </w:rPr>
              <w:t>Sector</w:t>
            </w:r>
          </w:p>
        </w:tc>
        <w:tc>
          <w:tcPr>
            <w:tcW w:w="822" w:type="pct"/>
            <w:shd w:val="clear" w:color="auto" w:fill="D9D9D9" w:themeFill="background1" w:themeFillShade="D9"/>
          </w:tcPr>
          <w:p w:rsidR="00695D47" w:rsidRPr="00EB01B5" w:rsidRDefault="00695D47" w:rsidP="00B41704">
            <w:pPr>
              <w:rPr>
                <w:rFonts w:ascii="Arial" w:hAnsi="Arial" w:cs="Arial"/>
                <w:b/>
                <w:sz w:val="22"/>
                <w:szCs w:val="20"/>
              </w:rPr>
            </w:pPr>
            <w:proofErr w:type="spellStart"/>
            <w:r w:rsidRPr="00EB01B5">
              <w:rPr>
                <w:rFonts w:ascii="Arial" w:hAnsi="Arial" w:cs="Arial"/>
                <w:b/>
                <w:sz w:val="22"/>
                <w:szCs w:val="20"/>
              </w:rPr>
              <w:t>UseCategory</w:t>
            </w:r>
            <w:proofErr w:type="spellEnd"/>
          </w:p>
        </w:tc>
        <w:tc>
          <w:tcPr>
            <w:tcW w:w="758" w:type="pct"/>
            <w:shd w:val="clear" w:color="auto" w:fill="D9D9D9" w:themeFill="background1" w:themeFillShade="D9"/>
          </w:tcPr>
          <w:p w:rsidR="00695D47" w:rsidRPr="00EB01B5" w:rsidRDefault="00695D47" w:rsidP="00B41704">
            <w:pPr>
              <w:rPr>
                <w:rFonts w:ascii="Arial" w:hAnsi="Arial" w:cs="Arial"/>
                <w:b/>
                <w:sz w:val="22"/>
                <w:szCs w:val="20"/>
              </w:rPr>
            </w:pPr>
            <w:r w:rsidRPr="00EB01B5">
              <w:rPr>
                <w:rFonts w:ascii="Arial" w:hAnsi="Arial" w:cs="Arial"/>
                <w:b/>
                <w:sz w:val="22"/>
                <w:szCs w:val="20"/>
              </w:rPr>
              <w:t>EUL (Years)</w:t>
            </w:r>
          </w:p>
        </w:tc>
        <w:tc>
          <w:tcPr>
            <w:tcW w:w="748" w:type="pct"/>
            <w:shd w:val="clear" w:color="auto" w:fill="D9D9D9" w:themeFill="background1" w:themeFillShade="D9"/>
          </w:tcPr>
          <w:p w:rsidR="00695D47" w:rsidRPr="00EB01B5" w:rsidRDefault="00695D47" w:rsidP="00B41704">
            <w:pPr>
              <w:rPr>
                <w:rFonts w:ascii="Arial" w:hAnsi="Arial" w:cs="Arial"/>
                <w:b/>
                <w:sz w:val="22"/>
                <w:szCs w:val="20"/>
              </w:rPr>
            </w:pPr>
            <w:r w:rsidRPr="00EB01B5">
              <w:rPr>
                <w:rFonts w:ascii="Arial" w:hAnsi="Arial" w:cs="Arial"/>
                <w:b/>
                <w:sz w:val="22"/>
                <w:szCs w:val="20"/>
              </w:rPr>
              <w:t>RUL (Years)</w:t>
            </w:r>
          </w:p>
        </w:tc>
      </w:tr>
      <w:tr w:rsidR="00695D47" w:rsidRPr="00EB01B5" w:rsidTr="00EB01B5">
        <w:trPr>
          <w:trHeight w:val="243"/>
        </w:trPr>
        <w:tc>
          <w:tcPr>
            <w:tcW w:w="795" w:type="pct"/>
          </w:tcPr>
          <w:p w:rsidR="00695D47" w:rsidRPr="00EB01B5" w:rsidRDefault="00EB01B5" w:rsidP="00B41704">
            <w:pPr>
              <w:rPr>
                <w:rFonts w:ascii="Arial" w:hAnsi="Arial" w:cs="Arial"/>
                <w:sz w:val="22"/>
                <w:szCs w:val="20"/>
              </w:rPr>
            </w:pPr>
            <w:proofErr w:type="spellStart"/>
            <w:r w:rsidRPr="00EB01B5">
              <w:rPr>
                <w:rFonts w:ascii="Arial" w:hAnsi="Arial" w:cs="Arial"/>
                <w:sz w:val="22"/>
                <w:szCs w:val="20"/>
              </w:rPr>
              <w:t>PrcHt-Blr</w:t>
            </w:r>
            <w:proofErr w:type="spellEnd"/>
          </w:p>
        </w:tc>
        <w:tc>
          <w:tcPr>
            <w:tcW w:w="1407" w:type="pct"/>
          </w:tcPr>
          <w:p w:rsidR="00695D47" w:rsidRPr="00EB01B5" w:rsidRDefault="00EB01B5" w:rsidP="00B41704">
            <w:pPr>
              <w:rPr>
                <w:rFonts w:ascii="Arial" w:hAnsi="Arial" w:cs="Arial"/>
                <w:color w:val="000000"/>
                <w:sz w:val="22"/>
                <w:szCs w:val="22"/>
              </w:rPr>
            </w:pPr>
            <w:r w:rsidRPr="00EB01B5">
              <w:rPr>
                <w:rFonts w:ascii="Arial" w:hAnsi="Arial" w:cs="Arial"/>
                <w:color w:val="000000"/>
                <w:sz w:val="22"/>
                <w:szCs w:val="22"/>
              </w:rPr>
              <w:t xml:space="preserve">High Efficiency Boiler </w:t>
            </w:r>
          </w:p>
        </w:tc>
        <w:tc>
          <w:tcPr>
            <w:tcW w:w="470" w:type="pct"/>
          </w:tcPr>
          <w:p w:rsidR="00695D47" w:rsidRPr="00EB01B5" w:rsidRDefault="00695D47" w:rsidP="00B41704">
            <w:pPr>
              <w:rPr>
                <w:rFonts w:ascii="Arial" w:hAnsi="Arial" w:cs="Arial"/>
                <w:sz w:val="22"/>
                <w:szCs w:val="20"/>
              </w:rPr>
            </w:pPr>
            <w:r w:rsidRPr="00EB01B5">
              <w:rPr>
                <w:rFonts w:ascii="Arial" w:hAnsi="Arial" w:cs="Arial"/>
                <w:sz w:val="22"/>
                <w:szCs w:val="20"/>
              </w:rPr>
              <w:t>Com</w:t>
            </w:r>
          </w:p>
        </w:tc>
        <w:tc>
          <w:tcPr>
            <w:tcW w:w="822" w:type="pct"/>
          </w:tcPr>
          <w:p w:rsidR="00695D47" w:rsidRPr="00EB01B5" w:rsidRDefault="00EB01B5" w:rsidP="00B41704">
            <w:pPr>
              <w:rPr>
                <w:rFonts w:ascii="Arial" w:hAnsi="Arial" w:cs="Arial"/>
                <w:sz w:val="22"/>
                <w:szCs w:val="20"/>
              </w:rPr>
            </w:pPr>
            <w:proofErr w:type="spellStart"/>
            <w:r w:rsidRPr="00EB01B5">
              <w:rPr>
                <w:rFonts w:ascii="Arial" w:hAnsi="Arial" w:cs="Arial"/>
                <w:sz w:val="22"/>
                <w:szCs w:val="20"/>
              </w:rPr>
              <w:t>ProcHeat</w:t>
            </w:r>
            <w:proofErr w:type="spellEnd"/>
          </w:p>
        </w:tc>
        <w:tc>
          <w:tcPr>
            <w:tcW w:w="758" w:type="pct"/>
          </w:tcPr>
          <w:p w:rsidR="00695D47" w:rsidRPr="00EB01B5" w:rsidRDefault="00EB01B5" w:rsidP="00B41704">
            <w:pPr>
              <w:rPr>
                <w:rFonts w:ascii="Arial" w:hAnsi="Arial" w:cs="Arial"/>
                <w:sz w:val="22"/>
                <w:szCs w:val="20"/>
              </w:rPr>
            </w:pPr>
            <w:r w:rsidRPr="00EB01B5">
              <w:rPr>
                <w:rFonts w:ascii="Arial" w:hAnsi="Arial" w:cs="Arial"/>
                <w:sz w:val="22"/>
                <w:szCs w:val="20"/>
              </w:rPr>
              <w:t>20</w:t>
            </w:r>
          </w:p>
        </w:tc>
        <w:tc>
          <w:tcPr>
            <w:tcW w:w="748" w:type="pct"/>
          </w:tcPr>
          <w:p w:rsidR="00695D47" w:rsidRPr="00EB01B5" w:rsidRDefault="00EB01B5" w:rsidP="00B41704">
            <w:pPr>
              <w:rPr>
                <w:rFonts w:ascii="Arial" w:hAnsi="Arial" w:cs="Arial"/>
                <w:sz w:val="22"/>
                <w:szCs w:val="20"/>
              </w:rPr>
            </w:pPr>
            <w:r w:rsidRPr="00EB01B5">
              <w:rPr>
                <w:rFonts w:ascii="Arial" w:hAnsi="Arial" w:cs="Arial"/>
                <w:sz w:val="22"/>
                <w:szCs w:val="20"/>
              </w:rPr>
              <w:t>6.67</w:t>
            </w:r>
          </w:p>
        </w:tc>
      </w:tr>
      <w:tr w:rsidR="00EB01B5" w:rsidRPr="00EB01B5" w:rsidTr="00EB01B5">
        <w:trPr>
          <w:trHeight w:val="243"/>
        </w:trPr>
        <w:tc>
          <w:tcPr>
            <w:tcW w:w="795" w:type="pct"/>
          </w:tcPr>
          <w:p w:rsidR="00EB01B5" w:rsidRPr="00EB01B5" w:rsidRDefault="00EB01B5" w:rsidP="00B41704">
            <w:pPr>
              <w:rPr>
                <w:rFonts w:ascii="Arial" w:hAnsi="Arial" w:cs="Arial"/>
                <w:sz w:val="22"/>
                <w:szCs w:val="20"/>
              </w:rPr>
            </w:pPr>
            <w:proofErr w:type="spellStart"/>
            <w:r w:rsidRPr="00EB01B5">
              <w:rPr>
                <w:rFonts w:ascii="Arial" w:hAnsi="Arial" w:cs="Arial"/>
                <w:sz w:val="22"/>
                <w:szCs w:val="20"/>
              </w:rPr>
              <w:t>PrcHt-StmBlr</w:t>
            </w:r>
            <w:proofErr w:type="spellEnd"/>
          </w:p>
        </w:tc>
        <w:tc>
          <w:tcPr>
            <w:tcW w:w="1407" w:type="pct"/>
          </w:tcPr>
          <w:p w:rsidR="00EB01B5" w:rsidRPr="00EB01B5" w:rsidRDefault="00EB01B5" w:rsidP="00B41704">
            <w:pPr>
              <w:rPr>
                <w:rFonts w:ascii="Arial" w:hAnsi="Arial" w:cs="Arial"/>
                <w:color w:val="000000"/>
                <w:sz w:val="22"/>
                <w:szCs w:val="22"/>
              </w:rPr>
            </w:pPr>
            <w:r w:rsidRPr="00EB01B5">
              <w:rPr>
                <w:rFonts w:ascii="Arial" w:hAnsi="Arial" w:cs="Arial"/>
                <w:color w:val="000000"/>
                <w:sz w:val="22"/>
                <w:szCs w:val="22"/>
              </w:rPr>
              <w:t xml:space="preserve">High Efficiency Boiler </w:t>
            </w:r>
          </w:p>
        </w:tc>
        <w:tc>
          <w:tcPr>
            <w:tcW w:w="470" w:type="pct"/>
          </w:tcPr>
          <w:p w:rsidR="00EB01B5" w:rsidRPr="00EB01B5" w:rsidRDefault="00EB01B5" w:rsidP="00B41704">
            <w:pPr>
              <w:rPr>
                <w:rFonts w:ascii="Arial" w:hAnsi="Arial" w:cs="Arial"/>
                <w:sz w:val="22"/>
                <w:szCs w:val="20"/>
              </w:rPr>
            </w:pPr>
            <w:r w:rsidRPr="00EB01B5">
              <w:rPr>
                <w:rFonts w:ascii="Arial" w:hAnsi="Arial" w:cs="Arial"/>
                <w:sz w:val="22"/>
                <w:szCs w:val="20"/>
              </w:rPr>
              <w:t>Com</w:t>
            </w:r>
          </w:p>
        </w:tc>
        <w:tc>
          <w:tcPr>
            <w:tcW w:w="822" w:type="pct"/>
          </w:tcPr>
          <w:p w:rsidR="00EB01B5" w:rsidRPr="00EB01B5" w:rsidRDefault="00EB01B5" w:rsidP="00B41704">
            <w:pPr>
              <w:rPr>
                <w:rFonts w:ascii="Arial" w:hAnsi="Arial" w:cs="Arial"/>
                <w:sz w:val="22"/>
                <w:szCs w:val="20"/>
              </w:rPr>
            </w:pPr>
            <w:proofErr w:type="spellStart"/>
            <w:r w:rsidRPr="00EB01B5">
              <w:rPr>
                <w:rFonts w:ascii="Arial" w:hAnsi="Arial" w:cs="Arial"/>
                <w:sz w:val="22"/>
                <w:szCs w:val="20"/>
              </w:rPr>
              <w:t>ProcHeat</w:t>
            </w:r>
            <w:proofErr w:type="spellEnd"/>
          </w:p>
        </w:tc>
        <w:tc>
          <w:tcPr>
            <w:tcW w:w="758" w:type="pct"/>
          </w:tcPr>
          <w:p w:rsidR="00EB01B5" w:rsidRPr="00EB01B5" w:rsidRDefault="00EB01B5" w:rsidP="00B41704">
            <w:pPr>
              <w:rPr>
                <w:rFonts w:ascii="Arial" w:hAnsi="Arial" w:cs="Arial"/>
                <w:sz w:val="22"/>
                <w:szCs w:val="20"/>
              </w:rPr>
            </w:pPr>
            <w:r w:rsidRPr="00EB01B5">
              <w:rPr>
                <w:rFonts w:ascii="Arial" w:hAnsi="Arial" w:cs="Arial"/>
                <w:sz w:val="22"/>
                <w:szCs w:val="20"/>
              </w:rPr>
              <w:t>20</w:t>
            </w:r>
          </w:p>
        </w:tc>
        <w:tc>
          <w:tcPr>
            <w:tcW w:w="748" w:type="pct"/>
          </w:tcPr>
          <w:p w:rsidR="00EB01B5" w:rsidRPr="00EB01B5" w:rsidRDefault="00EB01B5" w:rsidP="00B41704">
            <w:pPr>
              <w:rPr>
                <w:rFonts w:ascii="Arial" w:hAnsi="Arial" w:cs="Arial"/>
                <w:sz w:val="22"/>
                <w:szCs w:val="20"/>
              </w:rPr>
            </w:pPr>
            <w:r w:rsidRPr="00EB01B5">
              <w:rPr>
                <w:rFonts w:ascii="Arial" w:hAnsi="Arial" w:cs="Arial"/>
                <w:sz w:val="22"/>
                <w:szCs w:val="20"/>
              </w:rPr>
              <w:t>6.67</w:t>
            </w:r>
          </w:p>
        </w:tc>
      </w:tr>
    </w:tbl>
    <w:p w:rsidR="00DE03FB" w:rsidRPr="0065193C" w:rsidRDefault="00DE03FB" w:rsidP="00EB01B5">
      <w:pPr>
        <w:ind w:left="720"/>
        <w:rPr>
          <w:rFonts w:ascii="Arial" w:hAnsi="Arial" w:cs="Arial"/>
          <w:sz w:val="22"/>
          <w:szCs w:val="22"/>
        </w:rPr>
      </w:pPr>
    </w:p>
    <w:p w:rsidR="00815281" w:rsidRDefault="001248A3" w:rsidP="00C84349">
      <w:pPr>
        <w:pStyle w:val="Heading2"/>
        <w:spacing w:before="0" w:after="0"/>
      </w:pPr>
      <w:bookmarkStart w:id="24" w:name="_Toc443922966"/>
      <w:r w:rsidRPr="00CF0C1F">
        <w:t>1.</w:t>
      </w:r>
      <w:r w:rsidR="00FA595F" w:rsidRPr="00CF0C1F">
        <w:t>4</w:t>
      </w:r>
      <w:r w:rsidR="00793646" w:rsidRPr="00CF0C1F">
        <w:t>.2</w:t>
      </w:r>
      <w:r w:rsidR="00FA595F" w:rsidRPr="00CF0C1F">
        <w:t xml:space="preserve"> </w:t>
      </w:r>
      <w:r w:rsidR="00E71EF1" w:rsidRPr="00CF0C1F">
        <w:t xml:space="preserve">Codes &amp; Standards Requirements </w:t>
      </w:r>
      <w:r w:rsidR="009C5CA7" w:rsidRPr="00CF0C1F">
        <w:t>Base Case and Measure Information</w:t>
      </w:r>
      <w:bookmarkEnd w:id="24"/>
    </w:p>
    <w:p w:rsidR="00844529" w:rsidRPr="009A04C7" w:rsidRDefault="00844529" w:rsidP="00844529">
      <w:pPr>
        <w:rPr>
          <w:rFonts w:ascii="Arial" w:hAnsi="Arial" w:cs="Arial"/>
          <w:sz w:val="22"/>
          <w:szCs w:val="22"/>
        </w:rPr>
      </w:pPr>
      <w:r>
        <w:rPr>
          <w:rFonts w:ascii="Arial" w:hAnsi="Arial" w:cs="Arial"/>
          <w:sz w:val="22"/>
          <w:szCs w:val="22"/>
        </w:rPr>
        <w:t>It should be noted that the more stringent code be applied in all applicable situations.</w:t>
      </w:r>
    </w:p>
    <w:p w:rsidR="00530D89" w:rsidRPr="00CF0C1F" w:rsidRDefault="00530D89" w:rsidP="00530D89">
      <w:pPr>
        <w:rPr>
          <w:rFonts w:ascii="Arial" w:hAnsi="Arial" w:cs="Arial"/>
        </w:rPr>
      </w:pPr>
    </w:p>
    <w:p w:rsidR="008E0A03" w:rsidRPr="00CF0C1F" w:rsidRDefault="00EE53FF" w:rsidP="00BA4375">
      <w:pPr>
        <w:autoSpaceDE w:val="0"/>
        <w:autoSpaceDN w:val="0"/>
        <w:adjustRightInd w:val="0"/>
        <w:rPr>
          <w:rFonts w:ascii="Arial" w:hAnsi="Arial" w:cs="Arial"/>
          <w:sz w:val="22"/>
          <w:szCs w:val="22"/>
        </w:rPr>
      </w:pPr>
      <w:r w:rsidRPr="00CF0C1F">
        <w:rPr>
          <w:rFonts w:ascii="Arial" w:hAnsi="Arial" w:cs="Arial"/>
          <w:b/>
          <w:i/>
        </w:rPr>
        <w:t>Title 20</w:t>
      </w:r>
      <w:r w:rsidR="00E406EA" w:rsidRPr="00CF0C1F">
        <w:rPr>
          <w:rFonts w:ascii="Arial" w:hAnsi="Arial" w:cs="Arial"/>
          <w:b/>
          <w:i/>
        </w:rPr>
        <w:fldChar w:fldCharType="begin"/>
      </w:r>
      <w:r w:rsidR="00EC6D48" w:rsidRPr="00CF0C1F">
        <w:instrText xml:space="preserve"> XE "</w:instrText>
      </w:r>
      <w:r w:rsidR="00EC6D48" w:rsidRPr="00CF0C1F">
        <w:rPr>
          <w:rFonts w:ascii="Arial" w:hAnsi="Arial" w:cs="Arial"/>
          <w:b/>
          <w:i/>
        </w:rPr>
        <w:instrText>Title 20</w:instrText>
      </w:r>
      <w:r w:rsidR="00EC6D48" w:rsidRPr="00CF0C1F">
        <w:instrText xml:space="preserve">" </w:instrText>
      </w:r>
      <w:r w:rsidR="00E406EA" w:rsidRPr="00CF0C1F">
        <w:rPr>
          <w:rFonts w:ascii="Arial" w:hAnsi="Arial" w:cs="Arial"/>
          <w:b/>
          <w:i/>
        </w:rPr>
        <w:fldChar w:fldCharType="end"/>
      </w:r>
      <w:r w:rsidRPr="00CF0C1F">
        <w:rPr>
          <w:rFonts w:ascii="Arial" w:hAnsi="Arial" w:cs="Arial"/>
          <w:b/>
          <w:i/>
        </w:rPr>
        <w:t>:</w:t>
      </w:r>
      <w:r w:rsidRPr="00CF0C1F">
        <w:rPr>
          <w:rFonts w:ascii="Arial" w:hAnsi="Arial" w:cs="Arial"/>
        </w:rPr>
        <w:t xml:space="preserve"> </w:t>
      </w:r>
      <w:bookmarkStart w:id="25" w:name="_Ref189276216"/>
      <w:bookmarkStart w:id="26" w:name="_Toc225758842"/>
      <w:r w:rsidR="001C1257" w:rsidRPr="00CF0C1F">
        <w:rPr>
          <w:rFonts w:ascii="Arial" w:hAnsi="Arial" w:cs="Arial"/>
          <w:sz w:val="22"/>
          <w:szCs w:val="22"/>
        </w:rPr>
        <w:t xml:space="preserve">These measures do fall under Title 20 </w:t>
      </w:r>
      <w:r w:rsidR="00EB01B5">
        <w:rPr>
          <w:rFonts w:ascii="Arial" w:hAnsi="Arial" w:cs="Arial"/>
          <w:sz w:val="22"/>
          <w:szCs w:val="22"/>
        </w:rPr>
        <w:t xml:space="preserve">[2015] </w:t>
      </w:r>
      <w:r w:rsidR="001C1257" w:rsidRPr="00CF0C1F">
        <w:rPr>
          <w:rFonts w:ascii="Arial" w:hAnsi="Arial" w:cs="Arial"/>
          <w:sz w:val="22"/>
          <w:szCs w:val="22"/>
        </w:rPr>
        <w:t xml:space="preserve">of the California Energy Regulations. </w:t>
      </w:r>
      <w:r w:rsidR="00BA4375" w:rsidRPr="00CF0C1F">
        <w:rPr>
          <w:rFonts w:ascii="Arial" w:hAnsi="Arial" w:cs="Arial"/>
          <w:sz w:val="22"/>
          <w:szCs w:val="22"/>
        </w:rPr>
        <w:t>Section 1605</w:t>
      </w:r>
      <w:r w:rsidR="00B86CDC">
        <w:rPr>
          <w:rFonts w:ascii="Arial" w:hAnsi="Arial" w:cs="Arial"/>
          <w:sz w:val="22"/>
          <w:szCs w:val="22"/>
        </w:rPr>
        <w:t>.3</w:t>
      </w:r>
      <w:r w:rsidR="00BA4375" w:rsidRPr="00CF0C1F">
        <w:rPr>
          <w:rFonts w:ascii="Arial" w:hAnsi="Arial" w:cs="Arial"/>
          <w:sz w:val="22"/>
          <w:szCs w:val="22"/>
        </w:rPr>
        <w:t xml:space="preserve"> of Title 20 states</w:t>
      </w:r>
      <w:r w:rsidR="001C1257" w:rsidRPr="00CF0C1F">
        <w:rPr>
          <w:rFonts w:ascii="Arial" w:hAnsi="Arial" w:cs="Arial"/>
          <w:sz w:val="22"/>
          <w:szCs w:val="22"/>
        </w:rPr>
        <w:t xml:space="preserve">: </w:t>
      </w:r>
    </w:p>
    <w:p w:rsidR="008E0A03" w:rsidRPr="00CF0C1F" w:rsidRDefault="008E0A03" w:rsidP="00BA4375">
      <w:pPr>
        <w:autoSpaceDE w:val="0"/>
        <w:autoSpaceDN w:val="0"/>
        <w:adjustRightInd w:val="0"/>
        <w:rPr>
          <w:rFonts w:ascii="Arial" w:hAnsi="Arial" w:cs="Arial"/>
          <w:sz w:val="22"/>
          <w:szCs w:val="22"/>
        </w:rPr>
      </w:pPr>
    </w:p>
    <w:p w:rsidR="001C1257" w:rsidRPr="00384319" w:rsidRDefault="00384319" w:rsidP="00384319">
      <w:pPr>
        <w:autoSpaceDE w:val="0"/>
        <w:autoSpaceDN w:val="0"/>
        <w:adjustRightInd w:val="0"/>
        <w:ind w:left="720"/>
        <w:rPr>
          <w:rFonts w:ascii="ArialMT" w:hAnsi="ArialMT" w:cs="ArialMT"/>
          <w:i/>
          <w:sz w:val="22"/>
          <w:szCs w:val="22"/>
        </w:rPr>
      </w:pPr>
      <w:r w:rsidRPr="00384319">
        <w:rPr>
          <w:rFonts w:ascii="ArialMT" w:hAnsi="ArialMT" w:cs="ArialMT"/>
          <w:i/>
          <w:sz w:val="22"/>
          <w:szCs w:val="22"/>
        </w:rPr>
        <w:t xml:space="preserve">The efficiency of boilers, central furnaces, duct furnaces, and unit heaters shall be no less than, and the standby loss shall be not greater than, the applicable values shown in Tables E-7, </w:t>
      </w:r>
      <w:r w:rsidR="00B86CDC">
        <w:rPr>
          <w:rFonts w:ascii="ArialMT" w:hAnsi="ArialMT" w:cs="ArialMT"/>
          <w:i/>
          <w:sz w:val="22"/>
          <w:szCs w:val="22"/>
        </w:rPr>
        <w:t xml:space="preserve">E-8, </w:t>
      </w:r>
      <w:r w:rsidRPr="00384319">
        <w:rPr>
          <w:rFonts w:ascii="ArialMT" w:hAnsi="ArialMT" w:cs="ArialMT"/>
          <w:i/>
          <w:sz w:val="22"/>
          <w:szCs w:val="22"/>
        </w:rPr>
        <w:t>and E-</w:t>
      </w:r>
      <w:r w:rsidR="00B86CDC">
        <w:rPr>
          <w:rFonts w:ascii="ArialMT" w:hAnsi="ArialMT" w:cs="ArialMT"/>
          <w:i/>
          <w:sz w:val="22"/>
          <w:szCs w:val="22"/>
        </w:rPr>
        <w:t>9</w:t>
      </w:r>
      <w:r w:rsidRPr="00384319">
        <w:rPr>
          <w:rFonts w:ascii="ArialMT" w:hAnsi="ArialMT" w:cs="ArialMT"/>
          <w:i/>
          <w:sz w:val="22"/>
          <w:szCs w:val="22"/>
        </w:rPr>
        <w:t xml:space="preserve">. </w:t>
      </w:r>
    </w:p>
    <w:p w:rsidR="00384319" w:rsidRPr="00CF0C1F" w:rsidRDefault="00384319" w:rsidP="00384319">
      <w:pPr>
        <w:rPr>
          <w:rFonts w:ascii="Arial" w:hAnsi="Arial" w:cs="Arial"/>
          <w:sz w:val="22"/>
          <w:szCs w:val="22"/>
        </w:rPr>
      </w:pPr>
    </w:p>
    <w:p w:rsidR="001C1257" w:rsidRPr="00CF0C1F" w:rsidRDefault="00BA4375" w:rsidP="00864083">
      <w:pPr>
        <w:rPr>
          <w:rFonts w:ascii="Arial" w:hAnsi="Arial" w:cs="Arial"/>
          <w:sz w:val="22"/>
          <w:szCs w:val="22"/>
        </w:rPr>
      </w:pPr>
      <w:r w:rsidRPr="00CF0C1F">
        <w:rPr>
          <w:rFonts w:ascii="Arial" w:hAnsi="Arial" w:cs="Arial"/>
          <w:sz w:val="22"/>
          <w:szCs w:val="22"/>
        </w:rPr>
        <w:t xml:space="preserve">The table below shows the </w:t>
      </w:r>
      <w:r w:rsidR="001C1257" w:rsidRPr="00CF0C1F">
        <w:rPr>
          <w:rFonts w:ascii="Arial" w:hAnsi="Arial" w:cs="Arial"/>
          <w:sz w:val="22"/>
          <w:szCs w:val="22"/>
        </w:rPr>
        <w:t>201</w:t>
      </w:r>
      <w:r w:rsidR="00B86CDC">
        <w:rPr>
          <w:rFonts w:ascii="Arial" w:hAnsi="Arial" w:cs="Arial"/>
          <w:sz w:val="22"/>
          <w:szCs w:val="22"/>
        </w:rPr>
        <w:t>5</w:t>
      </w:r>
      <w:r w:rsidR="001C1257" w:rsidRPr="00CF0C1F">
        <w:rPr>
          <w:rFonts w:ascii="Arial" w:hAnsi="Arial" w:cs="Arial"/>
          <w:sz w:val="22"/>
          <w:szCs w:val="22"/>
        </w:rPr>
        <w:t xml:space="preserve"> California Title 20 Appliance Effici</w:t>
      </w:r>
      <w:r w:rsidR="00B86CDC">
        <w:rPr>
          <w:rFonts w:ascii="Arial" w:hAnsi="Arial" w:cs="Arial"/>
          <w:sz w:val="22"/>
          <w:szCs w:val="22"/>
        </w:rPr>
        <w:t>ency Regulations, Section 1605.</w:t>
      </w:r>
      <w:r w:rsidR="002506E6">
        <w:rPr>
          <w:rFonts w:ascii="Arial" w:hAnsi="Arial" w:cs="Arial"/>
          <w:sz w:val="22"/>
          <w:szCs w:val="22"/>
        </w:rPr>
        <w:t>1</w:t>
      </w:r>
      <w:r w:rsidR="001C1257" w:rsidRPr="00CF0C1F">
        <w:rPr>
          <w:rFonts w:ascii="Arial" w:hAnsi="Arial" w:cs="Arial"/>
          <w:sz w:val="22"/>
          <w:szCs w:val="22"/>
        </w:rPr>
        <w:t>, Table E-</w:t>
      </w:r>
      <w:r w:rsidR="002506E6">
        <w:rPr>
          <w:rFonts w:ascii="Arial" w:hAnsi="Arial" w:cs="Arial"/>
          <w:sz w:val="22"/>
          <w:szCs w:val="22"/>
        </w:rPr>
        <w:t>4</w:t>
      </w:r>
      <w:r w:rsidR="001C1257" w:rsidRPr="00CF0C1F">
        <w:rPr>
          <w:rFonts w:ascii="Arial" w:hAnsi="Arial" w:cs="Arial"/>
          <w:sz w:val="22"/>
          <w:szCs w:val="22"/>
        </w:rPr>
        <w:t xml:space="preserve">, </w:t>
      </w:r>
      <w:r w:rsidR="00C60319" w:rsidRPr="00CF0C1F">
        <w:rPr>
          <w:rFonts w:ascii="Arial" w:hAnsi="Arial" w:cs="Arial"/>
          <w:sz w:val="22"/>
          <w:szCs w:val="22"/>
        </w:rPr>
        <w:t xml:space="preserve">Standards for </w:t>
      </w:r>
      <w:r w:rsidR="002506E6">
        <w:rPr>
          <w:rFonts w:ascii="Arial" w:hAnsi="Arial" w:cs="Arial"/>
          <w:sz w:val="22"/>
          <w:szCs w:val="22"/>
        </w:rPr>
        <w:t>Gas- and Oil-Fired Packaged Boilers ≥ 300,000 Btu/hour Input</w:t>
      </w:r>
      <w:r w:rsidR="002506E6">
        <w:rPr>
          <w:rStyle w:val="EndnoteReference"/>
          <w:rFonts w:ascii="Arial" w:hAnsi="Arial" w:cs="Arial"/>
          <w:sz w:val="22"/>
          <w:szCs w:val="22"/>
        </w:rPr>
        <w:endnoteReference w:id="2"/>
      </w:r>
      <w:r w:rsidR="002506E6">
        <w:rPr>
          <w:rFonts w:ascii="Arial" w:hAnsi="Arial" w:cs="Arial"/>
          <w:sz w:val="22"/>
          <w:szCs w:val="22"/>
        </w:rPr>
        <w:t>.</w:t>
      </w:r>
    </w:p>
    <w:bookmarkEnd w:id="25"/>
    <w:bookmarkEnd w:id="26"/>
    <w:p w:rsidR="001C1257" w:rsidRPr="00CF0C1F" w:rsidRDefault="001C1257" w:rsidP="00864083">
      <w:pPr>
        <w:jc w:val="center"/>
        <w:rPr>
          <w:rFonts w:ascii="Arial" w:hAnsi="Arial" w:cs="Arial"/>
          <w:b/>
          <w:bCs/>
          <w:sz w:val="22"/>
          <w:szCs w:val="22"/>
        </w:rPr>
      </w:pPr>
    </w:p>
    <w:p w:rsidR="00022172" w:rsidRPr="002506E6" w:rsidRDefault="002506E6" w:rsidP="00864083">
      <w:pPr>
        <w:rPr>
          <w:noProof/>
        </w:rPr>
      </w:pPr>
      <w:r>
        <w:rPr>
          <w:noProof/>
        </w:rPr>
        <w:lastRenderedPageBreak/>
        <w:drawing>
          <wp:inline distT="0" distB="0" distL="0" distR="0" wp14:anchorId="3CC84A53" wp14:editId="6AD82A6A">
            <wp:extent cx="5943600" cy="26377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2637790"/>
                    </a:xfrm>
                    <a:prstGeom prst="rect">
                      <a:avLst/>
                    </a:prstGeom>
                  </pic:spPr>
                </pic:pic>
              </a:graphicData>
            </a:graphic>
          </wp:inline>
        </w:drawing>
      </w:r>
      <w:r w:rsidRPr="002506E6">
        <w:rPr>
          <w:noProof/>
        </w:rPr>
        <w:t xml:space="preserve"> </w:t>
      </w:r>
      <w:r>
        <w:rPr>
          <w:noProof/>
        </w:rPr>
        <w:drawing>
          <wp:inline distT="0" distB="0" distL="0" distR="0" wp14:anchorId="01E023AA" wp14:editId="0EC4EDAE">
            <wp:extent cx="5943600" cy="119951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943600" cy="1199515"/>
                    </a:xfrm>
                    <a:prstGeom prst="rect">
                      <a:avLst/>
                    </a:prstGeom>
                  </pic:spPr>
                </pic:pic>
              </a:graphicData>
            </a:graphic>
          </wp:inline>
        </w:drawing>
      </w:r>
    </w:p>
    <w:p w:rsidR="00B86CDC" w:rsidRPr="00CF0C1F" w:rsidRDefault="00B86CDC" w:rsidP="00864083">
      <w:pPr>
        <w:rPr>
          <w:rFonts w:ascii="Arial" w:hAnsi="Arial" w:cs="Arial"/>
          <w:i/>
          <w:sz w:val="20"/>
          <w:szCs w:val="20"/>
        </w:rPr>
      </w:pPr>
    </w:p>
    <w:p w:rsidR="00844529" w:rsidRDefault="00EE53FF" w:rsidP="00844529">
      <w:pPr>
        <w:autoSpaceDE w:val="0"/>
        <w:autoSpaceDN w:val="0"/>
        <w:adjustRightInd w:val="0"/>
        <w:rPr>
          <w:rFonts w:ascii="Arial" w:hAnsi="Arial" w:cs="Arial"/>
          <w:sz w:val="22"/>
          <w:szCs w:val="22"/>
        </w:rPr>
      </w:pPr>
      <w:r w:rsidRPr="00CF0C1F">
        <w:rPr>
          <w:rFonts w:ascii="Arial" w:hAnsi="Arial" w:cs="Arial"/>
          <w:b/>
          <w:i/>
        </w:rPr>
        <w:t>Title 24</w:t>
      </w:r>
      <w:r w:rsidR="00E406EA" w:rsidRPr="00CF0C1F">
        <w:rPr>
          <w:rFonts w:ascii="Arial" w:hAnsi="Arial" w:cs="Arial"/>
          <w:b/>
          <w:i/>
        </w:rPr>
        <w:fldChar w:fldCharType="begin"/>
      </w:r>
      <w:r w:rsidR="00592F58" w:rsidRPr="00CF0C1F">
        <w:instrText xml:space="preserve"> XE "</w:instrText>
      </w:r>
      <w:r w:rsidR="00592F58" w:rsidRPr="00CF0C1F">
        <w:rPr>
          <w:rFonts w:ascii="Arial" w:hAnsi="Arial" w:cs="Arial"/>
          <w:b/>
          <w:i/>
        </w:rPr>
        <w:instrText>Title 24</w:instrText>
      </w:r>
      <w:r w:rsidR="00592F58" w:rsidRPr="00CF0C1F">
        <w:instrText xml:space="preserve">" </w:instrText>
      </w:r>
      <w:r w:rsidR="00E406EA" w:rsidRPr="00CF0C1F">
        <w:rPr>
          <w:rFonts w:ascii="Arial" w:hAnsi="Arial" w:cs="Arial"/>
          <w:b/>
          <w:i/>
        </w:rPr>
        <w:fldChar w:fldCharType="end"/>
      </w:r>
      <w:r w:rsidRPr="00CF0C1F">
        <w:rPr>
          <w:rFonts w:ascii="Arial" w:hAnsi="Arial" w:cs="Arial"/>
          <w:b/>
          <w:i/>
        </w:rPr>
        <w:t>:</w:t>
      </w:r>
      <w:r w:rsidRPr="00CF0C1F">
        <w:rPr>
          <w:rFonts w:ascii="Arial" w:hAnsi="Arial" w:cs="Arial"/>
        </w:rPr>
        <w:t xml:space="preserve"> </w:t>
      </w:r>
      <w:r w:rsidR="00844529" w:rsidRPr="00836FE5">
        <w:rPr>
          <w:rFonts w:ascii="Arial" w:hAnsi="Arial" w:cs="Arial"/>
          <w:sz w:val="22"/>
          <w:szCs w:val="22"/>
        </w:rPr>
        <w:t>These measures do fall under Title 24 of the California Energy Regulations. Title 24 states</w:t>
      </w:r>
      <w:bookmarkStart w:id="27" w:name="_Ref384825822"/>
      <w:r w:rsidR="00844529">
        <w:rPr>
          <w:rStyle w:val="EndnoteReference"/>
          <w:rFonts w:ascii="Arial" w:hAnsi="Arial" w:cs="Arial"/>
          <w:sz w:val="22"/>
          <w:szCs w:val="22"/>
        </w:rPr>
        <w:endnoteReference w:id="3"/>
      </w:r>
      <w:bookmarkEnd w:id="27"/>
      <w:r w:rsidR="00844529" w:rsidRPr="00836FE5">
        <w:rPr>
          <w:rFonts w:ascii="Arial" w:hAnsi="Arial" w:cs="Arial"/>
          <w:sz w:val="22"/>
          <w:szCs w:val="22"/>
        </w:rPr>
        <w:t xml:space="preserve">: </w:t>
      </w:r>
    </w:p>
    <w:p w:rsidR="00844529" w:rsidRDefault="00844529" w:rsidP="00844529">
      <w:pPr>
        <w:autoSpaceDE w:val="0"/>
        <w:autoSpaceDN w:val="0"/>
        <w:adjustRightInd w:val="0"/>
        <w:rPr>
          <w:rFonts w:ascii="Arial" w:hAnsi="Arial" w:cs="Arial"/>
          <w:sz w:val="22"/>
          <w:szCs w:val="22"/>
        </w:rPr>
      </w:pPr>
    </w:p>
    <w:p w:rsidR="00844529" w:rsidRPr="008E0A03" w:rsidRDefault="00844529" w:rsidP="00844529">
      <w:pPr>
        <w:autoSpaceDE w:val="0"/>
        <w:autoSpaceDN w:val="0"/>
        <w:adjustRightInd w:val="0"/>
        <w:rPr>
          <w:rFonts w:ascii="Arial" w:hAnsi="Arial" w:cs="Arial"/>
          <w:i/>
          <w:sz w:val="22"/>
          <w:szCs w:val="22"/>
        </w:rPr>
      </w:pPr>
      <w:r w:rsidRPr="008E0A03">
        <w:rPr>
          <w:rFonts w:ascii="Arial" w:hAnsi="Arial" w:cs="Arial"/>
          <w:i/>
          <w:sz w:val="22"/>
          <w:szCs w:val="22"/>
        </w:rPr>
        <w:t>Any space-conditioning equipment listed in this section may be installed only if the manufacturer has certified to the Commission that the equipment complies with all the applicable requirements of this section.</w:t>
      </w:r>
    </w:p>
    <w:p w:rsidR="00844529" w:rsidRPr="008E0A03" w:rsidRDefault="00844529" w:rsidP="00844529">
      <w:pPr>
        <w:autoSpaceDE w:val="0"/>
        <w:autoSpaceDN w:val="0"/>
        <w:adjustRightInd w:val="0"/>
        <w:rPr>
          <w:rFonts w:ascii="Arial" w:hAnsi="Arial" w:cs="Arial"/>
          <w:i/>
          <w:sz w:val="22"/>
          <w:szCs w:val="22"/>
        </w:rPr>
      </w:pPr>
    </w:p>
    <w:p w:rsidR="00844529" w:rsidRPr="008E0A03" w:rsidRDefault="00844529" w:rsidP="00844529">
      <w:pPr>
        <w:numPr>
          <w:ilvl w:val="0"/>
          <w:numId w:val="26"/>
        </w:numPr>
        <w:autoSpaceDE w:val="0"/>
        <w:autoSpaceDN w:val="0"/>
        <w:adjustRightInd w:val="0"/>
        <w:rPr>
          <w:rFonts w:ascii="Arial" w:hAnsi="Arial" w:cs="Arial"/>
          <w:i/>
          <w:sz w:val="22"/>
          <w:szCs w:val="22"/>
        </w:rPr>
      </w:pPr>
      <w:r w:rsidRPr="008E0A03">
        <w:rPr>
          <w:rFonts w:ascii="Arial" w:hAnsi="Arial" w:cs="Arial"/>
          <w:b/>
          <w:bCs/>
          <w:i/>
          <w:sz w:val="22"/>
          <w:szCs w:val="22"/>
        </w:rPr>
        <w:t xml:space="preserve">Efficiency. </w:t>
      </w:r>
      <w:r w:rsidRPr="008E0A03">
        <w:rPr>
          <w:rFonts w:ascii="Arial" w:hAnsi="Arial" w:cs="Arial"/>
          <w:i/>
          <w:sz w:val="22"/>
          <w:szCs w:val="22"/>
        </w:rPr>
        <w:t>Equipment shall meet the applicable efficiency requirements in TABLE 110.2-A through TABLE 110.2- K subject to the following:</w:t>
      </w:r>
    </w:p>
    <w:p w:rsidR="00844529" w:rsidRPr="008E0A03" w:rsidRDefault="00844529" w:rsidP="00844529">
      <w:pPr>
        <w:autoSpaceDE w:val="0"/>
        <w:autoSpaceDN w:val="0"/>
        <w:adjustRightInd w:val="0"/>
        <w:ind w:left="1080"/>
        <w:rPr>
          <w:rFonts w:ascii="Arial" w:hAnsi="Arial" w:cs="Arial"/>
          <w:i/>
          <w:sz w:val="22"/>
          <w:szCs w:val="22"/>
        </w:rPr>
      </w:pPr>
    </w:p>
    <w:p w:rsidR="00844529" w:rsidRPr="008E0A03" w:rsidRDefault="00844529" w:rsidP="00844529">
      <w:pPr>
        <w:numPr>
          <w:ilvl w:val="1"/>
          <w:numId w:val="26"/>
        </w:numPr>
        <w:autoSpaceDE w:val="0"/>
        <w:autoSpaceDN w:val="0"/>
        <w:adjustRightInd w:val="0"/>
        <w:rPr>
          <w:rFonts w:ascii="Arial" w:hAnsi="Arial" w:cs="Arial"/>
          <w:i/>
          <w:sz w:val="22"/>
          <w:szCs w:val="22"/>
        </w:rPr>
      </w:pPr>
      <w:r w:rsidRPr="008E0A03">
        <w:rPr>
          <w:rFonts w:ascii="Arial" w:hAnsi="Arial" w:cs="Arial"/>
          <w:i/>
          <w:sz w:val="22"/>
          <w:szCs w:val="22"/>
        </w:rPr>
        <w:t>If more than one efficiency standard is listed for any equipment in TABLE 110.2-A through TABLE 110.2-K, the equipment shall meet all the applicable standards that are listed; and</w:t>
      </w:r>
    </w:p>
    <w:p w:rsidR="00844529" w:rsidRPr="008E0A03" w:rsidRDefault="00844529" w:rsidP="00844529">
      <w:pPr>
        <w:numPr>
          <w:ilvl w:val="1"/>
          <w:numId w:val="26"/>
        </w:numPr>
        <w:autoSpaceDE w:val="0"/>
        <w:autoSpaceDN w:val="0"/>
        <w:adjustRightInd w:val="0"/>
        <w:rPr>
          <w:rFonts w:ascii="Arial" w:hAnsi="Arial" w:cs="Arial"/>
          <w:i/>
          <w:sz w:val="22"/>
          <w:szCs w:val="22"/>
        </w:rPr>
      </w:pPr>
      <w:r w:rsidRPr="008E0A03">
        <w:rPr>
          <w:rFonts w:ascii="Arial" w:hAnsi="Arial" w:cs="Arial"/>
          <w:i/>
          <w:sz w:val="22"/>
          <w:szCs w:val="22"/>
        </w:rPr>
        <w:t xml:space="preserve">If more than one test method is listed in TABLE 110.2-A through TABLE 110.2-K, the equipment shall comply with the applicable efficiency standards when tested with each listed test method; and </w:t>
      </w:r>
    </w:p>
    <w:p w:rsidR="00844529" w:rsidRPr="008E0A03" w:rsidRDefault="00844529" w:rsidP="00844529">
      <w:pPr>
        <w:numPr>
          <w:ilvl w:val="1"/>
          <w:numId w:val="26"/>
        </w:numPr>
        <w:autoSpaceDE w:val="0"/>
        <w:autoSpaceDN w:val="0"/>
        <w:adjustRightInd w:val="0"/>
        <w:rPr>
          <w:rFonts w:ascii="Arial" w:hAnsi="Arial" w:cs="Arial"/>
          <w:i/>
          <w:sz w:val="22"/>
          <w:szCs w:val="22"/>
        </w:rPr>
      </w:pPr>
      <w:r w:rsidRPr="008E0A03">
        <w:rPr>
          <w:rFonts w:ascii="Arial" w:hAnsi="Arial" w:cs="Arial"/>
          <w:i/>
          <w:sz w:val="22"/>
          <w:szCs w:val="22"/>
        </w:rPr>
        <w:t>Where equipment can serve more than one function, such as both heating and cooling, or both space heating and water heating, it shall comply with all the efficiency standards applicable to each function; and</w:t>
      </w:r>
    </w:p>
    <w:p w:rsidR="00844529" w:rsidRPr="008E0A03" w:rsidRDefault="00844529" w:rsidP="00844529">
      <w:pPr>
        <w:numPr>
          <w:ilvl w:val="1"/>
          <w:numId w:val="26"/>
        </w:numPr>
        <w:autoSpaceDE w:val="0"/>
        <w:autoSpaceDN w:val="0"/>
        <w:adjustRightInd w:val="0"/>
        <w:rPr>
          <w:rFonts w:ascii="Arial" w:hAnsi="Arial" w:cs="Arial"/>
          <w:i/>
          <w:sz w:val="22"/>
          <w:szCs w:val="22"/>
        </w:rPr>
      </w:pPr>
      <w:r w:rsidRPr="008E0A03">
        <w:rPr>
          <w:rFonts w:ascii="Arial" w:hAnsi="Arial" w:cs="Arial"/>
          <w:i/>
          <w:sz w:val="22"/>
          <w:szCs w:val="22"/>
        </w:rPr>
        <w:t>Where a requirement is for equipment rated at its "maximum rated capacity" or "minimum rated capacity," the capacity shall be as provided for and allowed by the controls, during steady-state operation.</w:t>
      </w:r>
    </w:p>
    <w:p w:rsidR="00E16FD8" w:rsidRDefault="00E16FD8" w:rsidP="00844529">
      <w:pPr>
        <w:rPr>
          <w:rFonts w:ascii="Arial" w:hAnsi="Arial" w:cs="Arial"/>
          <w:sz w:val="22"/>
          <w:szCs w:val="22"/>
        </w:rPr>
        <w:sectPr w:rsidR="00E16FD8" w:rsidSect="00DD43C2">
          <w:endnotePr>
            <w:numFmt w:val="decimal"/>
          </w:endnotePr>
          <w:pgSz w:w="12240" w:h="15840"/>
          <w:pgMar w:top="1440" w:right="1440" w:bottom="1440" w:left="1440" w:header="720" w:footer="720" w:gutter="0"/>
          <w:pgNumType w:chapStyle="1"/>
          <w:cols w:space="720"/>
          <w:docGrid w:linePitch="360"/>
        </w:sectPr>
      </w:pPr>
    </w:p>
    <w:p w:rsidR="00844529" w:rsidRDefault="00844529" w:rsidP="00844529">
      <w:pPr>
        <w:rPr>
          <w:rFonts w:ascii="Arial" w:hAnsi="Arial" w:cs="Arial"/>
          <w:sz w:val="22"/>
          <w:szCs w:val="22"/>
        </w:rPr>
      </w:pPr>
      <w:r w:rsidRPr="00836FE5">
        <w:rPr>
          <w:rFonts w:ascii="Arial" w:hAnsi="Arial" w:cs="Arial"/>
          <w:sz w:val="22"/>
          <w:szCs w:val="22"/>
        </w:rPr>
        <w:lastRenderedPageBreak/>
        <w:t>The table below lists the 2013 California Title 24 Build Energy Efficiency Standards, Section 110.2, Table 110.2-K, Gas- and Oil-Fired Boilers, Minimum Efficiency requirements.</w:t>
      </w:r>
    </w:p>
    <w:p w:rsidR="00844529" w:rsidRPr="00836FE5" w:rsidRDefault="00844529" w:rsidP="00844529">
      <w:pPr>
        <w:rPr>
          <w:rFonts w:ascii="Arial" w:hAnsi="Arial" w:cs="Arial"/>
          <w:sz w:val="22"/>
          <w:szCs w:val="22"/>
        </w:rPr>
      </w:pPr>
    </w:p>
    <w:p w:rsidR="008F161F" w:rsidRDefault="002506E6" w:rsidP="00844529">
      <w:pPr>
        <w:autoSpaceDE w:val="0"/>
        <w:autoSpaceDN w:val="0"/>
        <w:adjustRightInd w:val="0"/>
        <w:rPr>
          <w:rFonts w:ascii="Arial" w:hAnsi="Arial" w:cs="Arial"/>
          <w:sz w:val="22"/>
          <w:szCs w:val="22"/>
        </w:rPr>
      </w:pPr>
      <w:r>
        <w:rPr>
          <w:noProof/>
        </w:rPr>
        <w:drawing>
          <wp:inline distT="0" distB="0" distL="0" distR="0" wp14:anchorId="33DED32D" wp14:editId="06584137">
            <wp:extent cx="5829300" cy="6629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829300" cy="6629400"/>
                    </a:xfrm>
                    <a:prstGeom prst="rect">
                      <a:avLst/>
                    </a:prstGeom>
                  </pic:spPr>
                </pic:pic>
              </a:graphicData>
            </a:graphic>
          </wp:inline>
        </w:drawing>
      </w:r>
    </w:p>
    <w:p w:rsidR="002506E6" w:rsidRPr="00CF0C1F" w:rsidRDefault="002506E6" w:rsidP="00844529">
      <w:pPr>
        <w:autoSpaceDE w:val="0"/>
        <w:autoSpaceDN w:val="0"/>
        <w:adjustRightInd w:val="0"/>
        <w:rPr>
          <w:rFonts w:ascii="Arial" w:hAnsi="Arial" w:cs="Arial"/>
          <w:sz w:val="22"/>
          <w:szCs w:val="22"/>
        </w:rPr>
      </w:pPr>
    </w:p>
    <w:p w:rsidR="005471B9" w:rsidRPr="00CF0C1F" w:rsidRDefault="00EE53FF" w:rsidP="00864083">
      <w:pPr>
        <w:rPr>
          <w:rFonts w:ascii="Arial" w:hAnsi="Arial" w:cs="Arial"/>
          <w:sz w:val="22"/>
          <w:szCs w:val="22"/>
        </w:rPr>
      </w:pPr>
      <w:r w:rsidRPr="00CF0C1F">
        <w:rPr>
          <w:rFonts w:ascii="Arial" w:hAnsi="Arial" w:cs="Arial"/>
          <w:b/>
          <w:i/>
          <w:sz w:val="22"/>
          <w:szCs w:val="22"/>
        </w:rPr>
        <w:t>Federal Standards:</w:t>
      </w:r>
      <w:r w:rsidRPr="00CF0C1F">
        <w:rPr>
          <w:rFonts w:ascii="Arial" w:hAnsi="Arial" w:cs="Arial"/>
          <w:sz w:val="22"/>
          <w:szCs w:val="22"/>
        </w:rPr>
        <w:t xml:space="preserve"> </w:t>
      </w:r>
      <w:r w:rsidR="00B13099" w:rsidRPr="00CF0C1F">
        <w:rPr>
          <w:rFonts w:ascii="Arial" w:hAnsi="Arial" w:cs="Arial"/>
          <w:sz w:val="22"/>
          <w:szCs w:val="22"/>
        </w:rPr>
        <w:t xml:space="preserve">These measures do not fall </w:t>
      </w:r>
      <w:r w:rsidRPr="00CF0C1F">
        <w:rPr>
          <w:rFonts w:ascii="Arial" w:hAnsi="Arial" w:cs="Arial"/>
          <w:sz w:val="22"/>
          <w:szCs w:val="22"/>
        </w:rPr>
        <w:t>under Federal DOE or EPA Energy Regulations.</w:t>
      </w:r>
      <w:r w:rsidR="00476B67" w:rsidRPr="00CF0C1F">
        <w:rPr>
          <w:rFonts w:ascii="Arial" w:hAnsi="Arial" w:cs="Arial"/>
          <w:sz w:val="22"/>
          <w:szCs w:val="22"/>
        </w:rPr>
        <w:t xml:space="preserve"> </w:t>
      </w:r>
    </w:p>
    <w:p w:rsidR="008F6A71" w:rsidRPr="00A961E9" w:rsidRDefault="008F6A71" w:rsidP="008F6A71">
      <w:pPr>
        <w:rPr>
          <w:color w:val="FF0000"/>
        </w:rPr>
      </w:pPr>
    </w:p>
    <w:p w:rsidR="002E0043" w:rsidRPr="00CF0C1F" w:rsidRDefault="001248A3" w:rsidP="00864083">
      <w:pPr>
        <w:pStyle w:val="Heading2"/>
        <w:keepNext w:val="0"/>
        <w:spacing w:before="0" w:after="0"/>
      </w:pPr>
      <w:bookmarkStart w:id="28" w:name="_Toc443922967"/>
      <w:r w:rsidRPr="00CF0C1F">
        <w:lastRenderedPageBreak/>
        <w:t>1.4</w:t>
      </w:r>
      <w:r w:rsidR="00264B03" w:rsidRPr="00CF0C1F">
        <w:t>.3</w:t>
      </w:r>
      <w:r w:rsidR="00A02F0A" w:rsidRPr="00CF0C1F">
        <w:t xml:space="preserve"> </w:t>
      </w:r>
      <w:r w:rsidR="00C069A2" w:rsidRPr="00CF0C1F">
        <w:t>EM&amp;V</w:t>
      </w:r>
      <w:r w:rsidR="00755961" w:rsidRPr="00CF0C1F">
        <w:t>, Market Potential,</w:t>
      </w:r>
      <w:r w:rsidR="00C069A2" w:rsidRPr="00CF0C1F">
        <w:t xml:space="preserve"> </w:t>
      </w:r>
      <w:r w:rsidR="0044337C" w:rsidRPr="00CF0C1F">
        <w:t xml:space="preserve">and Other </w:t>
      </w:r>
      <w:r w:rsidR="00C069A2" w:rsidRPr="00CF0C1F">
        <w:t>Studies</w:t>
      </w:r>
      <w:r w:rsidR="009C5CA7" w:rsidRPr="00CF0C1F">
        <w:t xml:space="preserve"> – Base Case and Measure Case Information</w:t>
      </w:r>
      <w:bookmarkEnd w:id="28"/>
    </w:p>
    <w:p w:rsidR="00D210DB" w:rsidRPr="00CF0C1F" w:rsidRDefault="00D210DB" w:rsidP="00D210DB">
      <w:pPr>
        <w:rPr>
          <w:rFonts w:ascii="Arial" w:hAnsi="Arial" w:cs="Arial"/>
          <w:sz w:val="22"/>
          <w:szCs w:val="22"/>
        </w:rPr>
      </w:pPr>
      <w:r w:rsidRPr="00CF0C1F">
        <w:rPr>
          <w:rFonts w:ascii="Arial" w:hAnsi="Arial" w:cs="Arial"/>
          <w:sz w:val="22"/>
          <w:szCs w:val="22"/>
        </w:rPr>
        <w:t>There are no M&amp;V or other studies which apply to these measures. Information on the base and measure case is found in the sub-sections of 1.4.</w:t>
      </w:r>
    </w:p>
    <w:p w:rsidR="000C56C0" w:rsidRPr="002C3770" w:rsidRDefault="000C56C0" w:rsidP="00D210DB"/>
    <w:p w:rsidR="003F4FFF" w:rsidRPr="002C3770" w:rsidRDefault="003F4FFF" w:rsidP="00864083">
      <w:pPr>
        <w:pStyle w:val="Heading2"/>
        <w:keepNext w:val="0"/>
        <w:spacing w:before="0" w:after="0"/>
      </w:pPr>
      <w:bookmarkStart w:id="29" w:name="_Toc443922968"/>
      <w:r w:rsidRPr="002C3770">
        <w:t>1.4.4 Assumptions and Calculations from other sources—Base and Measure Cases</w:t>
      </w:r>
      <w:bookmarkEnd w:id="29"/>
    </w:p>
    <w:p w:rsidR="00CF0C1F" w:rsidRPr="002C3770" w:rsidRDefault="00CF0C1F" w:rsidP="00CF0C1F">
      <w:pPr>
        <w:rPr>
          <w:rFonts w:ascii="Arial" w:hAnsi="Arial" w:cs="Arial"/>
          <w:sz w:val="22"/>
          <w:szCs w:val="22"/>
        </w:rPr>
      </w:pPr>
      <w:r w:rsidRPr="002C3770">
        <w:rPr>
          <w:rFonts w:ascii="Arial" w:hAnsi="Arial" w:cs="Arial"/>
          <w:sz w:val="22"/>
          <w:szCs w:val="22"/>
        </w:rPr>
        <w:t>The following assumptions from other sources were used to estimate savings.</w:t>
      </w:r>
    </w:p>
    <w:p w:rsidR="00844529" w:rsidRDefault="00844529" w:rsidP="00CF0C1F">
      <w:pPr>
        <w:rPr>
          <w:rFonts w:ascii="Arial" w:hAnsi="Arial" w:cs="Arial"/>
          <w:b/>
          <w:sz w:val="22"/>
          <w:szCs w:val="22"/>
        </w:rPr>
      </w:pPr>
    </w:p>
    <w:p w:rsidR="00CF0C1F" w:rsidRDefault="00CF0C1F" w:rsidP="00CF0C1F">
      <w:pPr>
        <w:rPr>
          <w:rFonts w:ascii="Arial" w:hAnsi="Arial" w:cs="Arial"/>
          <w:b/>
          <w:sz w:val="22"/>
          <w:szCs w:val="22"/>
        </w:rPr>
      </w:pPr>
      <w:r w:rsidRPr="00676CA9">
        <w:rPr>
          <w:rFonts w:ascii="Arial" w:hAnsi="Arial" w:cs="Arial"/>
          <w:b/>
          <w:sz w:val="22"/>
          <w:szCs w:val="22"/>
        </w:rPr>
        <w:t>Energy Savings Assumption (</w:t>
      </w:r>
      <w:proofErr w:type="spellStart"/>
      <w:r w:rsidRPr="00676CA9">
        <w:rPr>
          <w:rFonts w:ascii="Arial" w:hAnsi="Arial" w:cs="Arial"/>
          <w:b/>
          <w:sz w:val="22"/>
          <w:szCs w:val="22"/>
        </w:rPr>
        <w:t>Δ</w:t>
      </w:r>
      <w:r>
        <w:rPr>
          <w:rFonts w:ascii="Arial" w:hAnsi="Arial" w:cs="Arial"/>
          <w:b/>
          <w:sz w:val="22"/>
          <w:szCs w:val="22"/>
        </w:rPr>
        <w:t>Therms</w:t>
      </w:r>
      <w:proofErr w:type="spellEnd"/>
      <w:r w:rsidRPr="00676CA9">
        <w:rPr>
          <w:rFonts w:ascii="Arial" w:hAnsi="Arial" w:cs="Arial"/>
          <w:b/>
          <w:sz w:val="22"/>
          <w:szCs w:val="22"/>
        </w:rPr>
        <w:t>):</w:t>
      </w:r>
    </w:p>
    <w:p w:rsidR="00D327F3" w:rsidRPr="00D327F3" w:rsidRDefault="00D327F3" w:rsidP="00D327F3">
      <w:pPr>
        <w:numPr>
          <w:ilvl w:val="0"/>
          <w:numId w:val="41"/>
        </w:numPr>
        <w:rPr>
          <w:rFonts w:ascii="Arial" w:hAnsi="Arial" w:cs="Arial"/>
          <w:sz w:val="22"/>
          <w:szCs w:val="22"/>
        </w:rPr>
      </w:pPr>
      <w:r w:rsidRPr="00D327F3">
        <w:rPr>
          <w:rFonts w:ascii="Arial" w:hAnsi="Arial" w:cs="Arial"/>
          <w:sz w:val="22"/>
          <w:szCs w:val="22"/>
        </w:rPr>
        <w:t xml:space="preserve">New high-efficiency unit has the same input rating (measured in </w:t>
      </w:r>
      <w:proofErr w:type="spellStart"/>
      <w:r w:rsidRPr="00D327F3">
        <w:rPr>
          <w:rFonts w:ascii="Arial" w:hAnsi="Arial" w:cs="Arial"/>
          <w:sz w:val="22"/>
          <w:szCs w:val="22"/>
        </w:rPr>
        <w:t>kBTU</w:t>
      </w:r>
      <w:proofErr w:type="spellEnd"/>
      <w:r w:rsidR="002506E6">
        <w:rPr>
          <w:rFonts w:ascii="Arial" w:hAnsi="Arial" w:cs="Arial"/>
          <w:sz w:val="22"/>
          <w:szCs w:val="22"/>
        </w:rPr>
        <w:t>/</w:t>
      </w:r>
      <w:r w:rsidRPr="00D327F3">
        <w:rPr>
          <w:rFonts w:ascii="Arial" w:hAnsi="Arial" w:cs="Arial"/>
          <w:sz w:val="22"/>
          <w:szCs w:val="22"/>
        </w:rPr>
        <w:t>h) as the unit being replaced.</w:t>
      </w:r>
    </w:p>
    <w:p w:rsidR="00CF0C1F" w:rsidRPr="00184950" w:rsidRDefault="00D327F3" w:rsidP="00CF0C1F">
      <w:pPr>
        <w:numPr>
          <w:ilvl w:val="0"/>
          <w:numId w:val="41"/>
        </w:numPr>
        <w:rPr>
          <w:rFonts w:ascii="Arial" w:hAnsi="Arial" w:cs="Arial"/>
          <w:sz w:val="22"/>
          <w:szCs w:val="22"/>
        </w:rPr>
      </w:pPr>
      <w:r w:rsidRPr="00D327F3">
        <w:rPr>
          <w:rFonts w:ascii="Arial" w:hAnsi="Arial" w:cs="Arial"/>
          <w:sz w:val="22"/>
          <w:szCs w:val="22"/>
        </w:rPr>
        <w:t>Both units (old and new) deliver the same amount of hot water or steam on an annual basis (i.e., customer demand for hot water or steam does not change).</w:t>
      </w:r>
    </w:p>
    <w:p w:rsidR="00CF0C1F" w:rsidRPr="00676CA9" w:rsidRDefault="00CF0C1F" w:rsidP="00CF0C1F">
      <w:pPr>
        <w:rPr>
          <w:rFonts w:ascii="Arial" w:hAnsi="Arial" w:cs="Arial"/>
          <w:b/>
        </w:rPr>
      </w:pPr>
    </w:p>
    <w:p w:rsidR="00CF0C1F" w:rsidRPr="00D04D41" w:rsidRDefault="00CF0C1F" w:rsidP="00CF0C1F">
      <w:pPr>
        <w:rPr>
          <w:rFonts w:ascii="Arial" w:hAnsi="Arial" w:cs="Arial"/>
          <w:sz w:val="22"/>
          <w:szCs w:val="22"/>
        </w:rPr>
      </w:pPr>
      <w:r w:rsidRPr="00D04D41">
        <w:rPr>
          <w:rFonts w:ascii="Arial" w:hAnsi="Arial" w:cs="Arial"/>
          <w:sz w:val="22"/>
          <w:szCs w:val="22"/>
        </w:rPr>
        <w:t>RUL savings are not applicable to this measure because this measure only covers ROB measure types.</w:t>
      </w:r>
    </w:p>
    <w:p w:rsidR="00C502A1" w:rsidRPr="00D04D41" w:rsidRDefault="00C502A1">
      <w:pPr>
        <w:rPr>
          <w:rFonts w:ascii="Arial" w:hAnsi="Arial" w:cs="Arial"/>
          <w:sz w:val="22"/>
          <w:szCs w:val="22"/>
        </w:rPr>
      </w:pPr>
    </w:p>
    <w:p w:rsidR="00F20510" w:rsidRPr="00D04D41" w:rsidRDefault="003E5998" w:rsidP="00184950">
      <w:pPr>
        <w:rPr>
          <w:rFonts w:ascii="Arial" w:hAnsi="Arial" w:cs="Arial"/>
          <w:sz w:val="22"/>
          <w:szCs w:val="22"/>
        </w:rPr>
      </w:pPr>
      <w:r w:rsidRPr="00D04D41">
        <w:rPr>
          <w:rFonts w:ascii="Arial" w:hAnsi="Arial" w:cs="Arial"/>
          <w:sz w:val="22"/>
          <w:szCs w:val="22"/>
        </w:rPr>
        <w:t>Base case efficiencies are based on</w:t>
      </w:r>
      <w:r w:rsidR="001018BD" w:rsidRPr="00D04D41">
        <w:rPr>
          <w:rFonts w:ascii="Arial" w:hAnsi="Arial" w:cs="Arial"/>
          <w:sz w:val="22"/>
          <w:szCs w:val="22"/>
        </w:rPr>
        <w:t xml:space="preserve"> 2013</w:t>
      </w:r>
      <w:r w:rsidRPr="00D04D41">
        <w:rPr>
          <w:rFonts w:ascii="Arial" w:hAnsi="Arial" w:cs="Arial"/>
          <w:sz w:val="22"/>
          <w:szCs w:val="22"/>
        </w:rPr>
        <w:t xml:space="preserve"> </w:t>
      </w:r>
      <w:r w:rsidR="00C72C78" w:rsidRPr="00D04D41">
        <w:rPr>
          <w:rFonts w:ascii="Arial" w:hAnsi="Arial" w:cs="Arial"/>
          <w:sz w:val="22"/>
          <w:szCs w:val="22"/>
        </w:rPr>
        <w:t>Title 24</w:t>
      </w:r>
      <w:r w:rsidRPr="00D04D41">
        <w:rPr>
          <w:rFonts w:ascii="Arial" w:hAnsi="Arial" w:cs="Arial"/>
          <w:sz w:val="22"/>
          <w:szCs w:val="22"/>
        </w:rPr>
        <w:t xml:space="preserve"> minimum efficienc</w:t>
      </w:r>
      <w:r w:rsidR="00D04D41">
        <w:rPr>
          <w:rFonts w:ascii="Arial" w:hAnsi="Arial" w:cs="Arial"/>
          <w:sz w:val="22"/>
          <w:szCs w:val="22"/>
        </w:rPr>
        <w:t>ies for boilers</w:t>
      </w:r>
      <w:r w:rsidRPr="00D04D41">
        <w:rPr>
          <w:rFonts w:ascii="Arial" w:hAnsi="Arial" w:cs="Arial"/>
          <w:sz w:val="22"/>
          <w:szCs w:val="22"/>
        </w:rPr>
        <w:t xml:space="preserve">. Title 24 requires </w:t>
      </w:r>
      <w:r w:rsidR="00F20510" w:rsidRPr="00D04D41">
        <w:rPr>
          <w:rFonts w:ascii="Arial" w:hAnsi="Arial" w:cs="Arial"/>
          <w:sz w:val="22"/>
          <w:szCs w:val="22"/>
        </w:rPr>
        <w:t>large</w:t>
      </w:r>
      <w:r w:rsidRPr="00D04D41">
        <w:rPr>
          <w:rFonts w:ascii="Arial" w:hAnsi="Arial" w:cs="Arial"/>
          <w:sz w:val="22"/>
          <w:szCs w:val="22"/>
        </w:rPr>
        <w:t xml:space="preserve"> water boilers to have a minim</w:t>
      </w:r>
      <w:r w:rsidR="00F20510" w:rsidRPr="00D04D41">
        <w:rPr>
          <w:rFonts w:ascii="Arial" w:hAnsi="Arial" w:cs="Arial"/>
          <w:sz w:val="22"/>
          <w:szCs w:val="22"/>
        </w:rPr>
        <w:t>um combustion efficiency of 82% and large steam boilers to have a minimum thermal efficiency of 79%.</w:t>
      </w:r>
      <w:r w:rsidR="00E16FD8" w:rsidRPr="003A2470">
        <w:rPr>
          <w:vertAlign w:val="superscript"/>
        </w:rPr>
        <w:fldChar w:fldCharType="begin"/>
      </w:r>
      <w:r w:rsidR="00E16FD8" w:rsidRPr="003A2470">
        <w:rPr>
          <w:vertAlign w:val="superscript"/>
        </w:rPr>
        <w:instrText xml:space="preserve"> NOTEREF _Ref384825822 \h  \* MERGEFORMAT </w:instrText>
      </w:r>
      <w:r w:rsidR="00E16FD8" w:rsidRPr="003A2470">
        <w:rPr>
          <w:vertAlign w:val="superscript"/>
        </w:rPr>
      </w:r>
      <w:r w:rsidR="00E16FD8" w:rsidRPr="003A2470">
        <w:rPr>
          <w:vertAlign w:val="superscript"/>
        </w:rPr>
        <w:fldChar w:fldCharType="separate"/>
      </w:r>
      <w:r w:rsidR="006A644D" w:rsidRPr="003A2470">
        <w:rPr>
          <w:vertAlign w:val="superscript"/>
        </w:rPr>
        <w:t>7</w:t>
      </w:r>
      <w:r w:rsidR="00E16FD8" w:rsidRPr="003A2470">
        <w:rPr>
          <w:vertAlign w:val="superscript"/>
        </w:rPr>
        <w:fldChar w:fldCharType="end"/>
      </w:r>
      <w:r w:rsidR="00F20510" w:rsidRPr="00D04D41">
        <w:rPr>
          <w:rFonts w:ascii="Arial" w:hAnsi="Arial" w:cs="Arial"/>
          <w:sz w:val="22"/>
          <w:szCs w:val="22"/>
        </w:rPr>
        <w:t xml:space="preserve"> While Title 24 is targeted specifically to space conditioning equipment, we have applied the more stringent code regulations to this </w:t>
      </w:r>
      <w:proofErr w:type="spellStart"/>
      <w:r w:rsidR="00F20510" w:rsidRPr="00D04D41">
        <w:rPr>
          <w:rFonts w:ascii="Arial" w:hAnsi="Arial" w:cs="Arial"/>
          <w:sz w:val="22"/>
          <w:szCs w:val="22"/>
        </w:rPr>
        <w:t>workpaper</w:t>
      </w:r>
      <w:proofErr w:type="spellEnd"/>
      <w:r w:rsidR="00F20510" w:rsidRPr="00D04D41">
        <w:rPr>
          <w:rFonts w:ascii="Arial" w:hAnsi="Arial" w:cs="Arial"/>
          <w:sz w:val="22"/>
          <w:szCs w:val="22"/>
        </w:rPr>
        <w:t xml:space="preserve">. </w:t>
      </w:r>
    </w:p>
    <w:p w:rsidR="00F20510" w:rsidRPr="00D04D41" w:rsidRDefault="00F20510" w:rsidP="00184950">
      <w:pPr>
        <w:rPr>
          <w:rFonts w:ascii="Arial" w:hAnsi="Arial" w:cs="Arial"/>
          <w:sz w:val="22"/>
          <w:szCs w:val="22"/>
        </w:rPr>
      </w:pPr>
    </w:p>
    <w:p w:rsidR="00014F9F" w:rsidRPr="00D04D41" w:rsidRDefault="00F20510" w:rsidP="00184950">
      <w:pPr>
        <w:rPr>
          <w:rFonts w:ascii="Arial" w:hAnsi="Arial" w:cs="Arial"/>
          <w:sz w:val="22"/>
          <w:szCs w:val="22"/>
        </w:rPr>
      </w:pPr>
      <w:r w:rsidRPr="00D04D41">
        <w:rPr>
          <w:rFonts w:ascii="Arial" w:hAnsi="Arial" w:cs="Arial"/>
          <w:sz w:val="22"/>
          <w:szCs w:val="22"/>
        </w:rPr>
        <w:t>Since PG&amp;E cannot readily measure thermal efficiency, combustion efficiency will be used to determine the eligibility of the boilers.</w:t>
      </w:r>
      <w:r w:rsidR="00DB598E" w:rsidRPr="00D04D41">
        <w:rPr>
          <w:rFonts w:ascii="Arial" w:hAnsi="Arial" w:cs="Arial"/>
          <w:sz w:val="22"/>
          <w:szCs w:val="22"/>
        </w:rPr>
        <w:t xml:space="preserve"> </w:t>
      </w:r>
      <w:r w:rsidR="00B334B4" w:rsidRPr="00D04D41">
        <w:rPr>
          <w:rFonts w:ascii="Arial" w:hAnsi="Arial" w:cs="Arial"/>
          <w:sz w:val="22"/>
          <w:szCs w:val="22"/>
        </w:rPr>
        <w:t xml:space="preserve">In addition, because </w:t>
      </w:r>
      <w:r w:rsidR="00DB598E" w:rsidRPr="00D04D41">
        <w:rPr>
          <w:rFonts w:ascii="Arial" w:hAnsi="Arial" w:cs="Arial"/>
          <w:sz w:val="22"/>
          <w:szCs w:val="22"/>
        </w:rPr>
        <w:t>Title 24 evaluates steam boilers in thermal efficiency, we have adjusted the combustion efficiency of a water boiler to estimate the combustion efficiency of a steam boiler. Based on the DOE Steam Tip Sheet #4</w:t>
      </w:r>
      <w:r w:rsidR="00DB598E" w:rsidRPr="00D04D41">
        <w:rPr>
          <w:rStyle w:val="EndnoteReference"/>
          <w:rFonts w:ascii="Arial" w:hAnsi="Arial" w:cs="Arial"/>
          <w:sz w:val="22"/>
          <w:szCs w:val="22"/>
        </w:rPr>
        <w:endnoteReference w:id="4"/>
      </w:r>
      <w:r w:rsidR="00DB598E" w:rsidRPr="00D04D41">
        <w:rPr>
          <w:rFonts w:ascii="Arial" w:hAnsi="Arial" w:cs="Arial"/>
          <w:sz w:val="22"/>
          <w:szCs w:val="22"/>
        </w:rPr>
        <w:t xml:space="preserve"> we have estimated the combustion efficiency for a steam boiler. If we assume a 3% excess oxygen level and </w:t>
      </w:r>
      <w:r w:rsidR="00241BD5" w:rsidRPr="00D04D41">
        <w:rPr>
          <w:rFonts w:ascii="Arial" w:hAnsi="Arial" w:cs="Arial"/>
          <w:sz w:val="22"/>
          <w:szCs w:val="22"/>
        </w:rPr>
        <w:t>assume</w:t>
      </w:r>
      <w:r w:rsidR="00DB598E" w:rsidRPr="00D04D41">
        <w:rPr>
          <w:rFonts w:ascii="Arial" w:hAnsi="Arial" w:cs="Arial"/>
          <w:sz w:val="22"/>
          <w:szCs w:val="22"/>
        </w:rPr>
        <w:t xml:space="preserve"> that steam boilers have flue gas temperatures 100 </w:t>
      </w:r>
      <w:r w:rsidR="00DB598E" w:rsidRPr="00D04D41">
        <w:rPr>
          <w:rFonts w:ascii="Calibri" w:hAnsi="Calibri" w:cs="Arial"/>
          <w:sz w:val="22"/>
          <w:szCs w:val="22"/>
        </w:rPr>
        <w:t>⁰</w:t>
      </w:r>
      <w:r w:rsidR="00DB598E" w:rsidRPr="00D04D41">
        <w:rPr>
          <w:rFonts w:ascii="Arial" w:hAnsi="Arial" w:cs="Arial"/>
          <w:sz w:val="22"/>
          <w:szCs w:val="22"/>
        </w:rPr>
        <w:t>F higher than a similarly sized water boiler, we have estimated that steam boilers are 2% less efficient than a comparable water boiler.</w:t>
      </w:r>
    </w:p>
    <w:p w:rsidR="00DB598E" w:rsidRPr="00D04D41" w:rsidRDefault="00DB598E" w:rsidP="00184950">
      <w:pPr>
        <w:rPr>
          <w:rFonts w:ascii="Arial" w:hAnsi="Arial" w:cs="Arial"/>
          <w:sz w:val="22"/>
          <w:szCs w:val="22"/>
        </w:rPr>
      </w:pPr>
    </w:p>
    <w:p w:rsidR="00F20510" w:rsidRPr="00D04D41" w:rsidRDefault="00DB598E" w:rsidP="00184950">
      <w:pPr>
        <w:rPr>
          <w:rFonts w:ascii="Arial" w:hAnsi="Arial" w:cs="Arial"/>
          <w:sz w:val="22"/>
          <w:szCs w:val="22"/>
        </w:rPr>
      </w:pPr>
      <w:r w:rsidRPr="00D04D41">
        <w:rPr>
          <w:rFonts w:ascii="Arial" w:hAnsi="Arial" w:cs="Arial"/>
          <w:sz w:val="22"/>
          <w:szCs w:val="22"/>
        </w:rPr>
        <w:t>Therefore, we have reduced the Title 24 minimum combustion efficiency of a large water boiler by 2% to estimate the Title 24 minimum combustion efficiency for a large steam boiler.</w:t>
      </w:r>
    </w:p>
    <w:p w:rsidR="00F20510" w:rsidRDefault="00F20510" w:rsidP="00184950">
      <w:pPr>
        <w:rPr>
          <w:rFonts w:ascii="Arial" w:hAnsi="Arial" w:cs="Arial"/>
          <w:b/>
          <w:sz w:val="22"/>
          <w:szCs w:val="22"/>
        </w:rPr>
      </w:pPr>
    </w:p>
    <w:p w:rsidR="00871EB2" w:rsidRDefault="00871EB2" w:rsidP="00871EB2">
      <w:pPr>
        <w:pStyle w:val="Caption"/>
        <w:keepNext/>
        <w:jc w:val="center"/>
      </w:pPr>
      <w:r>
        <w:t xml:space="preserve">Table </w:t>
      </w:r>
      <w:fldSimple w:instr=" SEQ Table \* ARABIC ">
        <w:r>
          <w:rPr>
            <w:noProof/>
          </w:rPr>
          <w:t>6</w:t>
        </w:r>
      </w:fldSimple>
      <w:r>
        <w:t xml:space="preserve"> Base Case Combustion Efficiencies</w:t>
      </w:r>
    </w:p>
    <w:tbl>
      <w:tblPr>
        <w:tblStyle w:val="TableGrid"/>
        <w:tblW w:w="0" w:type="auto"/>
        <w:jc w:val="center"/>
        <w:tblLook w:val="04A0" w:firstRow="1" w:lastRow="0" w:firstColumn="1" w:lastColumn="0" w:noHBand="0" w:noVBand="1"/>
      </w:tblPr>
      <w:tblGrid>
        <w:gridCol w:w="1795"/>
        <w:gridCol w:w="3529"/>
      </w:tblGrid>
      <w:tr w:rsidR="00871EB2" w:rsidTr="00871EB2">
        <w:trPr>
          <w:jc w:val="center"/>
        </w:trPr>
        <w:tc>
          <w:tcPr>
            <w:tcW w:w="1795" w:type="dxa"/>
          </w:tcPr>
          <w:p w:rsidR="00871EB2" w:rsidRPr="00871EB2" w:rsidRDefault="00871EB2" w:rsidP="00871EB2">
            <w:pPr>
              <w:jc w:val="center"/>
              <w:rPr>
                <w:rFonts w:ascii="Arial" w:hAnsi="Arial" w:cs="Arial"/>
                <w:b/>
                <w:sz w:val="20"/>
                <w:szCs w:val="22"/>
              </w:rPr>
            </w:pPr>
          </w:p>
        </w:tc>
        <w:tc>
          <w:tcPr>
            <w:tcW w:w="3529" w:type="dxa"/>
          </w:tcPr>
          <w:p w:rsidR="00871EB2" w:rsidRPr="00871EB2" w:rsidRDefault="00871EB2" w:rsidP="00871EB2">
            <w:pPr>
              <w:jc w:val="center"/>
              <w:rPr>
                <w:rFonts w:ascii="Arial" w:hAnsi="Arial" w:cs="Arial"/>
                <w:b/>
                <w:sz w:val="20"/>
                <w:szCs w:val="22"/>
              </w:rPr>
            </w:pPr>
            <w:r w:rsidRPr="00871EB2">
              <w:rPr>
                <w:rFonts w:ascii="Arial" w:hAnsi="Arial" w:cs="Arial"/>
                <w:b/>
                <w:sz w:val="20"/>
                <w:szCs w:val="22"/>
              </w:rPr>
              <w:t>Standard</w:t>
            </w:r>
            <w:r>
              <w:rPr>
                <w:rFonts w:ascii="Arial" w:hAnsi="Arial" w:cs="Arial"/>
                <w:b/>
                <w:sz w:val="20"/>
                <w:szCs w:val="22"/>
              </w:rPr>
              <w:t>/Base Case</w:t>
            </w:r>
            <w:r w:rsidRPr="00871EB2">
              <w:rPr>
                <w:rFonts w:ascii="Arial" w:hAnsi="Arial" w:cs="Arial"/>
                <w:b/>
                <w:sz w:val="20"/>
                <w:szCs w:val="22"/>
              </w:rPr>
              <w:t xml:space="preserve"> Title T20/T24</w:t>
            </w:r>
          </w:p>
          <w:p w:rsidR="00871EB2" w:rsidRPr="00871EB2" w:rsidRDefault="00871EB2" w:rsidP="00871EB2">
            <w:pPr>
              <w:jc w:val="center"/>
              <w:rPr>
                <w:rFonts w:ascii="Arial" w:hAnsi="Arial" w:cs="Arial"/>
                <w:sz w:val="20"/>
                <w:szCs w:val="22"/>
              </w:rPr>
            </w:pPr>
            <w:r w:rsidRPr="00871EB2">
              <w:rPr>
                <w:rFonts w:ascii="Arial" w:hAnsi="Arial" w:cs="Arial"/>
                <w:b/>
                <w:sz w:val="20"/>
                <w:szCs w:val="22"/>
              </w:rPr>
              <w:t>Combustion Efficiency</w:t>
            </w:r>
          </w:p>
        </w:tc>
      </w:tr>
      <w:tr w:rsidR="00871EB2" w:rsidTr="00871EB2">
        <w:trPr>
          <w:jc w:val="center"/>
        </w:trPr>
        <w:tc>
          <w:tcPr>
            <w:tcW w:w="1795" w:type="dxa"/>
          </w:tcPr>
          <w:p w:rsidR="00871EB2" w:rsidRPr="00871EB2" w:rsidRDefault="00871EB2" w:rsidP="00871EB2">
            <w:pPr>
              <w:jc w:val="center"/>
              <w:rPr>
                <w:rFonts w:ascii="Arial" w:hAnsi="Arial" w:cs="Arial"/>
                <w:b/>
                <w:sz w:val="20"/>
                <w:szCs w:val="22"/>
              </w:rPr>
            </w:pPr>
            <w:r w:rsidRPr="00871EB2">
              <w:rPr>
                <w:rFonts w:ascii="Arial" w:hAnsi="Arial" w:cs="Arial"/>
                <w:b/>
                <w:sz w:val="20"/>
                <w:szCs w:val="22"/>
              </w:rPr>
              <w:t>Hot Water Boiler</w:t>
            </w:r>
          </w:p>
        </w:tc>
        <w:tc>
          <w:tcPr>
            <w:tcW w:w="3529" w:type="dxa"/>
          </w:tcPr>
          <w:p w:rsidR="00871EB2" w:rsidRPr="00871EB2" w:rsidRDefault="00871EB2" w:rsidP="00871EB2">
            <w:pPr>
              <w:jc w:val="center"/>
              <w:rPr>
                <w:rFonts w:ascii="Arial" w:hAnsi="Arial" w:cs="Arial"/>
                <w:sz w:val="20"/>
                <w:szCs w:val="22"/>
              </w:rPr>
            </w:pPr>
            <w:r w:rsidRPr="00871EB2">
              <w:rPr>
                <w:rFonts w:ascii="Arial" w:hAnsi="Arial" w:cs="Arial"/>
                <w:sz w:val="20"/>
                <w:szCs w:val="22"/>
              </w:rPr>
              <w:t>82%</w:t>
            </w:r>
          </w:p>
        </w:tc>
      </w:tr>
      <w:tr w:rsidR="00871EB2" w:rsidTr="00871EB2">
        <w:trPr>
          <w:jc w:val="center"/>
        </w:trPr>
        <w:tc>
          <w:tcPr>
            <w:tcW w:w="1795" w:type="dxa"/>
          </w:tcPr>
          <w:p w:rsidR="00871EB2" w:rsidRPr="00871EB2" w:rsidRDefault="00871EB2" w:rsidP="00871EB2">
            <w:pPr>
              <w:jc w:val="center"/>
              <w:rPr>
                <w:rFonts w:ascii="Arial" w:hAnsi="Arial" w:cs="Arial"/>
                <w:b/>
                <w:sz w:val="20"/>
                <w:szCs w:val="22"/>
              </w:rPr>
            </w:pPr>
            <w:r w:rsidRPr="00871EB2">
              <w:rPr>
                <w:rFonts w:ascii="Arial" w:hAnsi="Arial" w:cs="Arial"/>
                <w:b/>
                <w:sz w:val="20"/>
                <w:szCs w:val="22"/>
              </w:rPr>
              <w:t>Steam Boiler</w:t>
            </w:r>
          </w:p>
        </w:tc>
        <w:tc>
          <w:tcPr>
            <w:tcW w:w="3529" w:type="dxa"/>
          </w:tcPr>
          <w:p w:rsidR="00871EB2" w:rsidRPr="00871EB2" w:rsidRDefault="00871EB2" w:rsidP="00871EB2">
            <w:pPr>
              <w:jc w:val="center"/>
              <w:rPr>
                <w:rFonts w:ascii="Arial" w:hAnsi="Arial" w:cs="Arial"/>
                <w:sz w:val="20"/>
                <w:szCs w:val="22"/>
              </w:rPr>
            </w:pPr>
            <w:r w:rsidRPr="00871EB2">
              <w:rPr>
                <w:rFonts w:ascii="Arial" w:hAnsi="Arial" w:cs="Arial"/>
                <w:sz w:val="20"/>
                <w:szCs w:val="22"/>
              </w:rPr>
              <w:t>80%</w:t>
            </w:r>
          </w:p>
        </w:tc>
      </w:tr>
    </w:tbl>
    <w:p w:rsidR="00871EB2" w:rsidRDefault="00871EB2" w:rsidP="00871EB2">
      <w:pPr>
        <w:jc w:val="center"/>
        <w:rPr>
          <w:rFonts w:ascii="Arial" w:hAnsi="Arial" w:cs="Arial"/>
          <w:b/>
          <w:sz w:val="22"/>
          <w:szCs w:val="22"/>
        </w:rPr>
      </w:pPr>
    </w:p>
    <w:p w:rsidR="00871EB2" w:rsidRPr="00D04D41" w:rsidRDefault="00871EB2" w:rsidP="00184950">
      <w:pPr>
        <w:rPr>
          <w:rFonts w:ascii="Arial" w:hAnsi="Arial" w:cs="Arial"/>
          <w:b/>
          <w:sz w:val="22"/>
          <w:szCs w:val="22"/>
        </w:rPr>
      </w:pPr>
    </w:p>
    <w:p w:rsidR="003F4FFF" w:rsidRPr="002C3770" w:rsidRDefault="003F4FFF" w:rsidP="00E8736C">
      <w:pPr>
        <w:pStyle w:val="Heading2"/>
        <w:spacing w:before="0"/>
      </w:pPr>
      <w:bookmarkStart w:id="30" w:name="_Toc443922969"/>
      <w:r w:rsidRPr="002C3770">
        <w:t>1.4.5 Time-of-Use Adjustment Factor</w:t>
      </w:r>
      <w:bookmarkEnd w:id="30"/>
    </w:p>
    <w:p w:rsidR="00530D89" w:rsidRPr="002C3770" w:rsidRDefault="003F4FFF" w:rsidP="00C218D5">
      <w:pPr>
        <w:pStyle w:val="Reminders"/>
        <w:spacing w:before="0" w:after="0"/>
        <w:rPr>
          <w:rFonts w:ascii="Arial" w:hAnsi="Arial" w:cs="Arial"/>
          <w:i w:val="0"/>
          <w:color w:val="auto"/>
          <w:sz w:val="22"/>
          <w:szCs w:val="22"/>
        </w:rPr>
      </w:pPr>
      <w:r w:rsidRPr="002C3770">
        <w:rPr>
          <w:rFonts w:ascii="Arial" w:hAnsi="Arial" w:cs="Arial"/>
          <w:i w:val="0"/>
          <w:color w:val="auto"/>
          <w:sz w:val="22"/>
          <w:szCs w:val="22"/>
        </w:rPr>
        <w:t xml:space="preserve">We are required by CPUC decision 06-06-063 dated June 29, 2006 to apply time-of-use (TOU) adjustment factors on residential A/C and commercial A/C (packaged and split-system direct-expansion cooling) measures only. Since this is not an A/C measure, the TOU adjustment factor is 0. </w:t>
      </w:r>
    </w:p>
    <w:p w:rsidR="00E16FD8" w:rsidRDefault="00E16FD8" w:rsidP="00C218D5">
      <w:pPr>
        <w:pStyle w:val="Heading2"/>
        <w:sectPr w:rsidR="00E16FD8" w:rsidSect="00DD43C2">
          <w:endnotePr>
            <w:numFmt w:val="decimal"/>
          </w:endnotePr>
          <w:pgSz w:w="12240" w:h="15840"/>
          <w:pgMar w:top="1440" w:right="1440" w:bottom="1440" w:left="1440" w:header="720" w:footer="720" w:gutter="0"/>
          <w:pgNumType w:chapStyle="1"/>
          <w:cols w:space="720"/>
          <w:docGrid w:linePitch="360"/>
        </w:sectPr>
      </w:pPr>
    </w:p>
    <w:p w:rsidR="003F4FFF" w:rsidRPr="002C3770" w:rsidRDefault="003F4FFF" w:rsidP="00E8736C">
      <w:pPr>
        <w:pStyle w:val="Heading1"/>
        <w:spacing w:before="0"/>
        <w:rPr>
          <w:i/>
          <w:sz w:val="28"/>
          <w:szCs w:val="28"/>
        </w:rPr>
      </w:pPr>
      <w:bookmarkStart w:id="31" w:name="_Toc443922970"/>
      <w:proofErr w:type="gramStart"/>
      <w:r w:rsidRPr="002C3770">
        <w:rPr>
          <w:i/>
        </w:rPr>
        <w:lastRenderedPageBreak/>
        <w:t>Section 2.</w:t>
      </w:r>
      <w:proofErr w:type="gramEnd"/>
      <w:r w:rsidRPr="002C3770">
        <w:rPr>
          <w:i/>
        </w:rPr>
        <w:t xml:space="preserve"> Calculation Methods</w:t>
      </w:r>
      <w:bookmarkEnd w:id="31"/>
    </w:p>
    <w:p w:rsidR="003F4FFF" w:rsidRDefault="003F4FFF" w:rsidP="00864083">
      <w:pPr>
        <w:pStyle w:val="Heading2"/>
        <w:spacing w:before="0" w:after="0"/>
        <w:rPr>
          <w:color w:val="FF0000"/>
          <w:sz w:val="24"/>
          <w:szCs w:val="24"/>
        </w:rPr>
      </w:pPr>
    </w:p>
    <w:p w:rsidR="00C35600" w:rsidRPr="00C35600" w:rsidRDefault="00C35600" w:rsidP="00C35600">
      <w:pPr>
        <w:rPr>
          <w:rFonts w:ascii="Arial" w:hAnsi="Arial" w:cs="Arial"/>
          <w:b/>
          <w:sz w:val="22"/>
          <w:szCs w:val="22"/>
        </w:rPr>
      </w:pPr>
      <w:r w:rsidRPr="00C35600">
        <w:rPr>
          <w:rFonts w:ascii="Arial" w:hAnsi="Arial" w:cs="Arial"/>
          <w:b/>
          <w:sz w:val="22"/>
          <w:szCs w:val="22"/>
        </w:rPr>
        <w:t>H11 –</w:t>
      </w:r>
      <w:r>
        <w:rPr>
          <w:rFonts w:ascii="Arial" w:hAnsi="Arial" w:cs="Arial"/>
          <w:b/>
          <w:sz w:val="22"/>
          <w:szCs w:val="22"/>
        </w:rPr>
        <w:t xml:space="preserve"> </w:t>
      </w:r>
      <w:r w:rsidRPr="00C35600">
        <w:rPr>
          <w:rFonts w:ascii="Arial" w:hAnsi="Arial" w:cs="Arial"/>
          <w:b/>
          <w:sz w:val="22"/>
          <w:szCs w:val="22"/>
        </w:rPr>
        <w:t xml:space="preserve">Water </w:t>
      </w:r>
      <w:r>
        <w:rPr>
          <w:rFonts w:ascii="Arial" w:hAnsi="Arial" w:cs="Arial"/>
          <w:b/>
          <w:sz w:val="22"/>
          <w:szCs w:val="22"/>
        </w:rPr>
        <w:t xml:space="preserve">Process </w:t>
      </w:r>
      <w:r w:rsidRPr="00C35600">
        <w:rPr>
          <w:rFonts w:ascii="Arial" w:hAnsi="Arial" w:cs="Arial"/>
          <w:b/>
          <w:sz w:val="22"/>
          <w:szCs w:val="22"/>
        </w:rPr>
        <w:t>Boiler</w:t>
      </w:r>
    </w:p>
    <w:p w:rsidR="00C35600" w:rsidRDefault="00C35600" w:rsidP="00C35600">
      <w:pPr>
        <w:rPr>
          <w:rFonts w:ascii="Arial" w:hAnsi="Arial" w:cs="Arial"/>
          <w:sz w:val="22"/>
          <w:szCs w:val="22"/>
        </w:rPr>
      </w:pPr>
      <w:r w:rsidRPr="00C35600">
        <w:rPr>
          <w:rFonts w:ascii="Arial" w:hAnsi="Arial" w:cs="Arial"/>
          <w:sz w:val="22"/>
          <w:szCs w:val="22"/>
        </w:rPr>
        <w:t xml:space="preserve">Qualifying </w:t>
      </w:r>
      <w:r>
        <w:rPr>
          <w:rFonts w:ascii="Arial" w:hAnsi="Arial" w:cs="Arial"/>
          <w:sz w:val="22"/>
          <w:szCs w:val="22"/>
        </w:rPr>
        <w:t xml:space="preserve">water </w:t>
      </w:r>
      <w:r w:rsidRPr="00C35600">
        <w:rPr>
          <w:rFonts w:ascii="Arial" w:hAnsi="Arial" w:cs="Arial"/>
          <w:sz w:val="22"/>
          <w:szCs w:val="22"/>
        </w:rPr>
        <w:t xml:space="preserve">boilers for this measure must have an input rating </w:t>
      </w:r>
      <w:proofErr w:type="gramStart"/>
      <w:r w:rsidRPr="00C35600">
        <w:rPr>
          <w:rFonts w:ascii="Arial" w:hAnsi="Arial" w:cs="Arial"/>
          <w:sz w:val="22"/>
          <w:szCs w:val="22"/>
        </w:rPr>
        <w:t xml:space="preserve">of less than 20,000 </w:t>
      </w:r>
      <w:proofErr w:type="spellStart"/>
      <w:r w:rsidRPr="00C35600">
        <w:rPr>
          <w:rFonts w:ascii="Arial" w:hAnsi="Arial" w:cs="Arial"/>
          <w:sz w:val="22"/>
          <w:szCs w:val="22"/>
        </w:rPr>
        <w:t>kBTU</w:t>
      </w:r>
      <w:proofErr w:type="spellEnd"/>
      <w:r w:rsidR="009B46F3">
        <w:rPr>
          <w:rFonts w:ascii="Arial" w:hAnsi="Arial" w:cs="Arial"/>
          <w:sz w:val="22"/>
          <w:szCs w:val="22"/>
        </w:rPr>
        <w:t>/</w:t>
      </w:r>
      <w:r w:rsidRPr="00C35600">
        <w:rPr>
          <w:rFonts w:ascii="Arial" w:hAnsi="Arial" w:cs="Arial"/>
          <w:sz w:val="22"/>
          <w:szCs w:val="22"/>
        </w:rPr>
        <w:t>h</w:t>
      </w:r>
      <w:proofErr w:type="gramEnd"/>
      <w:r>
        <w:rPr>
          <w:rFonts w:ascii="Arial" w:hAnsi="Arial" w:cs="Arial"/>
          <w:sz w:val="22"/>
          <w:szCs w:val="22"/>
        </w:rPr>
        <w:t>.</w:t>
      </w:r>
      <w:r w:rsidRPr="00C35600">
        <w:rPr>
          <w:rFonts w:ascii="Arial" w:hAnsi="Arial" w:cs="Arial"/>
          <w:sz w:val="22"/>
          <w:szCs w:val="22"/>
        </w:rPr>
        <w:t xml:space="preserve"> </w:t>
      </w:r>
      <w:r>
        <w:rPr>
          <w:rFonts w:ascii="Arial" w:hAnsi="Arial" w:cs="Arial"/>
          <w:sz w:val="22"/>
          <w:szCs w:val="22"/>
        </w:rPr>
        <w:t>The combustion efficiency must be documented achieving a combustion efficiency of 85% or greater under full load conditions.</w:t>
      </w:r>
    </w:p>
    <w:p w:rsidR="00C35600" w:rsidRDefault="00C35600" w:rsidP="00C35600">
      <w:pPr>
        <w:rPr>
          <w:rFonts w:ascii="Arial" w:hAnsi="Arial" w:cs="Arial"/>
          <w:b/>
          <w:sz w:val="22"/>
          <w:szCs w:val="22"/>
        </w:rPr>
      </w:pPr>
    </w:p>
    <w:p w:rsidR="00C35600" w:rsidRPr="00C35600" w:rsidRDefault="00C35600" w:rsidP="00C35600">
      <w:pPr>
        <w:rPr>
          <w:rFonts w:ascii="Arial" w:hAnsi="Arial" w:cs="Arial"/>
          <w:b/>
          <w:sz w:val="22"/>
          <w:szCs w:val="22"/>
        </w:rPr>
      </w:pPr>
      <w:r w:rsidRPr="00C35600">
        <w:rPr>
          <w:rFonts w:ascii="Arial" w:hAnsi="Arial" w:cs="Arial"/>
          <w:b/>
          <w:sz w:val="22"/>
          <w:szCs w:val="22"/>
        </w:rPr>
        <w:t>H1</w:t>
      </w:r>
      <w:r>
        <w:rPr>
          <w:rFonts w:ascii="Arial" w:hAnsi="Arial" w:cs="Arial"/>
          <w:b/>
          <w:sz w:val="22"/>
          <w:szCs w:val="22"/>
        </w:rPr>
        <w:t>5</w:t>
      </w:r>
      <w:r w:rsidRPr="00C35600">
        <w:rPr>
          <w:rFonts w:ascii="Arial" w:hAnsi="Arial" w:cs="Arial"/>
          <w:b/>
          <w:sz w:val="22"/>
          <w:szCs w:val="22"/>
        </w:rPr>
        <w:t xml:space="preserve"> –</w:t>
      </w:r>
      <w:r>
        <w:rPr>
          <w:rFonts w:ascii="Arial" w:hAnsi="Arial" w:cs="Arial"/>
          <w:b/>
          <w:sz w:val="22"/>
          <w:szCs w:val="22"/>
        </w:rPr>
        <w:t xml:space="preserve"> Steam</w:t>
      </w:r>
      <w:r w:rsidRPr="00C35600">
        <w:rPr>
          <w:rFonts w:ascii="Arial" w:hAnsi="Arial" w:cs="Arial"/>
          <w:b/>
          <w:sz w:val="22"/>
          <w:szCs w:val="22"/>
        </w:rPr>
        <w:t xml:space="preserve"> </w:t>
      </w:r>
      <w:r>
        <w:rPr>
          <w:rFonts w:ascii="Arial" w:hAnsi="Arial" w:cs="Arial"/>
          <w:b/>
          <w:sz w:val="22"/>
          <w:szCs w:val="22"/>
        </w:rPr>
        <w:t xml:space="preserve">Process </w:t>
      </w:r>
      <w:r w:rsidRPr="00C35600">
        <w:rPr>
          <w:rFonts w:ascii="Arial" w:hAnsi="Arial" w:cs="Arial"/>
          <w:b/>
          <w:sz w:val="22"/>
          <w:szCs w:val="22"/>
        </w:rPr>
        <w:t>Boiler</w:t>
      </w:r>
    </w:p>
    <w:p w:rsidR="00C35600" w:rsidRPr="00A961E9" w:rsidRDefault="00C35600" w:rsidP="00C35600">
      <w:pPr>
        <w:rPr>
          <w:rFonts w:ascii="Arial" w:hAnsi="Arial" w:cs="Arial"/>
          <w:color w:val="FF0000"/>
          <w:sz w:val="22"/>
          <w:szCs w:val="22"/>
        </w:rPr>
      </w:pPr>
      <w:r w:rsidRPr="00C35600">
        <w:rPr>
          <w:rFonts w:ascii="Arial" w:hAnsi="Arial" w:cs="Arial"/>
          <w:sz w:val="22"/>
          <w:szCs w:val="22"/>
        </w:rPr>
        <w:t xml:space="preserve">Qualifying </w:t>
      </w:r>
      <w:r>
        <w:rPr>
          <w:rFonts w:ascii="Arial" w:hAnsi="Arial" w:cs="Arial"/>
          <w:sz w:val="22"/>
          <w:szCs w:val="22"/>
        </w:rPr>
        <w:t xml:space="preserve">steam </w:t>
      </w:r>
      <w:r w:rsidRPr="00C35600">
        <w:rPr>
          <w:rFonts w:ascii="Arial" w:hAnsi="Arial" w:cs="Arial"/>
          <w:sz w:val="22"/>
          <w:szCs w:val="22"/>
        </w:rPr>
        <w:t xml:space="preserve">boilers for this measure must have an input rating </w:t>
      </w:r>
      <w:proofErr w:type="gramStart"/>
      <w:r w:rsidRPr="00C35600">
        <w:rPr>
          <w:rFonts w:ascii="Arial" w:hAnsi="Arial" w:cs="Arial"/>
          <w:sz w:val="22"/>
          <w:szCs w:val="22"/>
        </w:rPr>
        <w:t xml:space="preserve">of less than 20,000 </w:t>
      </w:r>
      <w:proofErr w:type="spellStart"/>
      <w:r w:rsidRPr="00C35600">
        <w:rPr>
          <w:rFonts w:ascii="Arial" w:hAnsi="Arial" w:cs="Arial"/>
          <w:sz w:val="22"/>
          <w:szCs w:val="22"/>
        </w:rPr>
        <w:t>kBTU</w:t>
      </w:r>
      <w:proofErr w:type="spellEnd"/>
      <w:r w:rsidR="009B46F3">
        <w:rPr>
          <w:rFonts w:ascii="Arial" w:hAnsi="Arial" w:cs="Arial"/>
          <w:sz w:val="22"/>
          <w:szCs w:val="22"/>
        </w:rPr>
        <w:t>/</w:t>
      </w:r>
      <w:r w:rsidRPr="00C35600">
        <w:rPr>
          <w:rFonts w:ascii="Arial" w:hAnsi="Arial" w:cs="Arial"/>
          <w:sz w:val="22"/>
          <w:szCs w:val="22"/>
        </w:rPr>
        <w:t>h</w:t>
      </w:r>
      <w:proofErr w:type="gramEnd"/>
      <w:r>
        <w:rPr>
          <w:rFonts w:ascii="Arial" w:hAnsi="Arial" w:cs="Arial"/>
          <w:sz w:val="22"/>
          <w:szCs w:val="22"/>
        </w:rPr>
        <w:t>.</w:t>
      </w:r>
      <w:r w:rsidRPr="00C35600">
        <w:rPr>
          <w:rFonts w:ascii="Arial" w:hAnsi="Arial" w:cs="Arial"/>
          <w:sz w:val="22"/>
          <w:szCs w:val="22"/>
        </w:rPr>
        <w:t xml:space="preserve"> </w:t>
      </w:r>
      <w:r>
        <w:rPr>
          <w:rFonts w:ascii="Arial" w:hAnsi="Arial" w:cs="Arial"/>
          <w:sz w:val="22"/>
          <w:szCs w:val="22"/>
        </w:rPr>
        <w:t>The combustion efficiency must be documented achieving a combustion efficiency of 83% or greater under full load conditions.</w:t>
      </w:r>
    </w:p>
    <w:p w:rsidR="00C35600" w:rsidRPr="00C35600" w:rsidRDefault="00C35600" w:rsidP="00C35600"/>
    <w:p w:rsidR="003F4FFF" w:rsidRPr="00C35600" w:rsidRDefault="003F4FFF" w:rsidP="00864083">
      <w:pPr>
        <w:pStyle w:val="Heading2"/>
        <w:spacing w:before="0" w:after="0"/>
      </w:pPr>
      <w:bookmarkStart w:id="32" w:name="_Toc443922971"/>
      <w:r w:rsidRPr="00C35600">
        <w:t>2.1 Electric Energy Savings Estimation Methodologies</w:t>
      </w:r>
      <w:bookmarkEnd w:id="32"/>
      <w:r w:rsidRPr="00C35600">
        <w:t xml:space="preserve"> </w:t>
      </w:r>
    </w:p>
    <w:p w:rsidR="00F36FF8" w:rsidRPr="00C35600" w:rsidRDefault="00C35600" w:rsidP="00F36FF8">
      <w:pPr>
        <w:rPr>
          <w:rFonts w:ascii="Arial" w:hAnsi="Arial" w:cs="Arial"/>
          <w:sz w:val="22"/>
          <w:szCs w:val="22"/>
        </w:rPr>
      </w:pPr>
      <w:r w:rsidRPr="00C35600">
        <w:rPr>
          <w:rFonts w:ascii="Arial" w:hAnsi="Arial" w:cs="Arial"/>
          <w:sz w:val="22"/>
          <w:szCs w:val="22"/>
        </w:rPr>
        <w:t xml:space="preserve">There are no electric savings (kWh per </w:t>
      </w:r>
      <w:proofErr w:type="spellStart"/>
      <w:r w:rsidRPr="00C35600">
        <w:rPr>
          <w:rFonts w:ascii="Arial" w:hAnsi="Arial" w:cs="Arial"/>
          <w:sz w:val="22"/>
          <w:szCs w:val="22"/>
        </w:rPr>
        <w:t>kBTUh</w:t>
      </w:r>
      <w:proofErr w:type="spellEnd"/>
      <w:r w:rsidRPr="00C35600">
        <w:rPr>
          <w:rFonts w:ascii="Arial" w:hAnsi="Arial" w:cs="Arial"/>
          <w:sz w:val="22"/>
          <w:szCs w:val="22"/>
        </w:rPr>
        <w:t>) associated with this measure.</w:t>
      </w:r>
    </w:p>
    <w:p w:rsidR="00A15AEC" w:rsidRPr="00E8736C" w:rsidRDefault="00A15AEC" w:rsidP="00216BB5">
      <w:pPr>
        <w:rPr>
          <w:rFonts w:ascii="Arial" w:hAnsi="Arial" w:cs="Arial"/>
          <w:sz w:val="22"/>
          <w:szCs w:val="22"/>
        </w:rPr>
      </w:pPr>
    </w:p>
    <w:p w:rsidR="003F4FFF" w:rsidRPr="00C35600" w:rsidRDefault="003F4FFF" w:rsidP="00864083">
      <w:pPr>
        <w:pStyle w:val="Heading2"/>
        <w:keepNext w:val="0"/>
        <w:spacing w:before="0" w:after="0"/>
      </w:pPr>
      <w:bookmarkStart w:id="33" w:name="_Toc443922972"/>
      <w:r w:rsidRPr="00C35600">
        <w:t>2.2. Demand Reduction Estimation Methodologies</w:t>
      </w:r>
      <w:bookmarkEnd w:id="33"/>
    </w:p>
    <w:p w:rsidR="00095C1D" w:rsidRPr="00C35600" w:rsidRDefault="00BE4687" w:rsidP="00C35600">
      <w:pPr>
        <w:rPr>
          <w:rFonts w:ascii="Arial" w:hAnsi="Arial" w:cs="Arial"/>
          <w:sz w:val="22"/>
          <w:szCs w:val="22"/>
        </w:rPr>
      </w:pPr>
      <w:r w:rsidRPr="00C35600">
        <w:rPr>
          <w:rFonts w:ascii="Arial" w:hAnsi="Arial" w:cs="Arial"/>
          <w:sz w:val="22"/>
          <w:szCs w:val="22"/>
        </w:rPr>
        <w:t xml:space="preserve">There </w:t>
      </w:r>
      <w:r w:rsidR="00C35600" w:rsidRPr="00C35600">
        <w:rPr>
          <w:rFonts w:ascii="Arial" w:hAnsi="Arial" w:cs="Arial"/>
          <w:sz w:val="22"/>
          <w:szCs w:val="22"/>
        </w:rPr>
        <w:t xml:space="preserve">is no Demand Reduction (kW per </w:t>
      </w:r>
      <w:proofErr w:type="spellStart"/>
      <w:r w:rsidR="00C35600" w:rsidRPr="00C35600">
        <w:rPr>
          <w:rFonts w:ascii="Arial" w:hAnsi="Arial" w:cs="Arial"/>
          <w:sz w:val="22"/>
          <w:szCs w:val="22"/>
        </w:rPr>
        <w:t>kBTUh</w:t>
      </w:r>
      <w:proofErr w:type="spellEnd"/>
      <w:r w:rsidR="00C35600" w:rsidRPr="00C35600">
        <w:rPr>
          <w:rFonts w:ascii="Arial" w:hAnsi="Arial" w:cs="Arial"/>
          <w:sz w:val="22"/>
          <w:szCs w:val="22"/>
        </w:rPr>
        <w:t>) associated with this measure.</w:t>
      </w:r>
    </w:p>
    <w:p w:rsidR="00A15AEC" w:rsidRPr="00C35600" w:rsidRDefault="00A15AEC" w:rsidP="00C35600">
      <w:pPr>
        <w:rPr>
          <w:rFonts w:ascii="Arial" w:hAnsi="Arial" w:cs="Arial"/>
          <w:sz w:val="22"/>
          <w:szCs w:val="22"/>
        </w:rPr>
      </w:pPr>
    </w:p>
    <w:p w:rsidR="003F4FFF" w:rsidRPr="00C35600" w:rsidRDefault="003F4FFF" w:rsidP="00C35600">
      <w:pPr>
        <w:pStyle w:val="Heading2"/>
        <w:spacing w:before="0" w:after="0"/>
      </w:pPr>
      <w:bookmarkStart w:id="34" w:name="_Toc443922973"/>
      <w:r w:rsidRPr="00C35600">
        <w:t>2.3. Gas Energy Savings Estimation Methodologies</w:t>
      </w:r>
      <w:bookmarkEnd w:id="34"/>
    </w:p>
    <w:p w:rsidR="00C35600" w:rsidRDefault="00C35600" w:rsidP="00C35600">
      <w:pPr>
        <w:rPr>
          <w:rFonts w:ascii="Arial" w:hAnsi="Arial" w:cs="Arial"/>
          <w:sz w:val="22"/>
          <w:szCs w:val="22"/>
        </w:rPr>
      </w:pPr>
      <w:r w:rsidRPr="00C35600">
        <w:rPr>
          <w:rFonts w:ascii="Arial" w:hAnsi="Arial" w:cs="Arial"/>
          <w:sz w:val="22"/>
          <w:szCs w:val="22"/>
        </w:rPr>
        <w:t xml:space="preserve">There are no DEER measures </w:t>
      </w:r>
      <w:r w:rsidR="003B3D5E">
        <w:rPr>
          <w:rFonts w:ascii="Arial" w:hAnsi="Arial" w:cs="Arial"/>
          <w:sz w:val="22"/>
          <w:szCs w:val="22"/>
        </w:rPr>
        <w:t>that match catalog measures H11</w:t>
      </w:r>
      <w:r w:rsidRPr="00C35600">
        <w:rPr>
          <w:rFonts w:ascii="Arial" w:hAnsi="Arial" w:cs="Arial"/>
          <w:sz w:val="22"/>
          <w:szCs w:val="22"/>
        </w:rPr>
        <w:t xml:space="preserve"> and H15. Therefore, we calculated energy savings</w:t>
      </w:r>
      <w:r w:rsidR="00545890">
        <w:rPr>
          <w:rStyle w:val="EndnoteReference"/>
          <w:rFonts w:ascii="Arial" w:hAnsi="Arial" w:cs="Arial"/>
          <w:sz w:val="22"/>
          <w:szCs w:val="22"/>
        </w:rPr>
        <w:endnoteReference w:id="5"/>
      </w:r>
      <w:r w:rsidRPr="00C35600">
        <w:rPr>
          <w:rFonts w:ascii="Arial" w:hAnsi="Arial" w:cs="Arial"/>
          <w:sz w:val="22"/>
          <w:szCs w:val="22"/>
        </w:rPr>
        <w:t xml:space="preserve"> based on average combustion efficiencies from the California Energy Commission (CEC</w:t>
      </w:r>
      <w:r w:rsidR="00E406EA" w:rsidRPr="00C35600">
        <w:rPr>
          <w:rFonts w:ascii="Arial" w:hAnsi="Arial" w:cs="Arial"/>
          <w:sz w:val="22"/>
          <w:szCs w:val="22"/>
        </w:rPr>
        <w:fldChar w:fldCharType="begin"/>
      </w:r>
      <w:r w:rsidRPr="00C35600">
        <w:rPr>
          <w:rFonts w:ascii="Arial" w:hAnsi="Arial" w:cs="Arial"/>
          <w:sz w:val="22"/>
          <w:szCs w:val="22"/>
        </w:rPr>
        <w:instrText xml:space="preserve"> XE "CEC" </w:instrText>
      </w:r>
      <w:r w:rsidR="00E406EA" w:rsidRPr="00C35600">
        <w:rPr>
          <w:rFonts w:ascii="Arial" w:hAnsi="Arial" w:cs="Arial"/>
          <w:sz w:val="22"/>
          <w:szCs w:val="22"/>
        </w:rPr>
        <w:fldChar w:fldCharType="end"/>
      </w:r>
      <w:r w:rsidRPr="00C35600">
        <w:rPr>
          <w:rFonts w:ascii="Arial" w:hAnsi="Arial" w:cs="Arial"/>
          <w:sz w:val="22"/>
          <w:szCs w:val="22"/>
        </w:rPr>
        <w:t>) Appliance Databases</w:t>
      </w:r>
      <w:bookmarkStart w:id="35" w:name="_Ref384822420"/>
      <w:r w:rsidR="00230B1A">
        <w:rPr>
          <w:rStyle w:val="EndnoteReference"/>
          <w:rFonts w:ascii="Arial" w:hAnsi="Arial" w:cs="Arial"/>
          <w:sz w:val="22"/>
          <w:szCs w:val="22"/>
        </w:rPr>
        <w:endnoteReference w:id="6"/>
      </w:r>
      <w:bookmarkEnd w:id="35"/>
      <w:r w:rsidRPr="00C35600">
        <w:rPr>
          <w:rFonts w:ascii="Arial" w:hAnsi="Arial" w:cs="Arial"/>
          <w:sz w:val="22"/>
          <w:szCs w:val="22"/>
        </w:rPr>
        <w:t xml:space="preserve"> and capacity factors taken from the Characterization of the U.S. Industrial/Commercial Boiler Population</w:t>
      </w:r>
      <w:r w:rsidR="00230B1A">
        <w:rPr>
          <w:rStyle w:val="EndnoteReference"/>
          <w:rFonts w:ascii="Arial" w:hAnsi="Arial" w:cs="Arial"/>
          <w:sz w:val="22"/>
          <w:szCs w:val="22"/>
        </w:rPr>
        <w:endnoteReference w:id="7"/>
      </w:r>
      <w:r w:rsidRPr="00C35600">
        <w:rPr>
          <w:rFonts w:ascii="Arial" w:hAnsi="Arial" w:cs="Arial"/>
          <w:sz w:val="22"/>
          <w:szCs w:val="22"/>
        </w:rPr>
        <w:t xml:space="preserve">. </w:t>
      </w:r>
    </w:p>
    <w:p w:rsidR="00216837" w:rsidRDefault="00216837" w:rsidP="00C35600">
      <w:pPr>
        <w:rPr>
          <w:rFonts w:ascii="Arial" w:hAnsi="Arial" w:cs="Arial"/>
          <w:sz w:val="22"/>
          <w:szCs w:val="22"/>
        </w:rPr>
      </w:pPr>
    </w:p>
    <w:p w:rsidR="00216837" w:rsidRPr="00216837" w:rsidRDefault="00216837" w:rsidP="00216837">
      <w:pPr>
        <w:rPr>
          <w:rFonts w:ascii="Arial" w:hAnsi="Arial" w:cs="Arial"/>
          <w:b/>
          <w:bCs/>
          <w:sz w:val="22"/>
          <w:szCs w:val="22"/>
        </w:rPr>
      </w:pPr>
      <w:bookmarkStart w:id="36" w:name="_Toc226364463"/>
      <w:r w:rsidRPr="00216837">
        <w:rPr>
          <w:rFonts w:ascii="Arial" w:hAnsi="Arial" w:cs="Arial"/>
          <w:b/>
          <w:bCs/>
          <w:sz w:val="22"/>
          <w:szCs w:val="22"/>
        </w:rPr>
        <w:t>Capacity Factor</w:t>
      </w:r>
      <w:bookmarkEnd w:id="36"/>
    </w:p>
    <w:p w:rsidR="00216837" w:rsidRDefault="00216837" w:rsidP="00216837">
      <w:pPr>
        <w:rPr>
          <w:rFonts w:ascii="Arial" w:hAnsi="Arial" w:cs="Arial"/>
          <w:sz w:val="22"/>
          <w:szCs w:val="22"/>
        </w:rPr>
      </w:pPr>
      <w:r w:rsidRPr="00216837">
        <w:rPr>
          <w:rFonts w:ascii="Arial" w:hAnsi="Arial" w:cs="Arial"/>
          <w:sz w:val="22"/>
          <w:szCs w:val="22"/>
        </w:rPr>
        <w:t>Boilers, like many gas systems, have modulating controls that allow them to operate at a fraction of their nominal capacity. As a result, the number of operating hours of a boiler is not an accurate representation of its energy consumption, and the average capacity factor needs to be taken into account. This capacity factor</w:t>
      </w:r>
      <w:r w:rsidR="00E406EA" w:rsidRPr="00216837">
        <w:rPr>
          <w:rFonts w:ascii="Arial" w:hAnsi="Arial" w:cs="Arial"/>
          <w:sz w:val="22"/>
          <w:szCs w:val="22"/>
        </w:rPr>
        <w:fldChar w:fldCharType="begin"/>
      </w:r>
      <w:r w:rsidRPr="00216837">
        <w:rPr>
          <w:rFonts w:ascii="Arial" w:hAnsi="Arial" w:cs="Arial"/>
          <w:sz w:val="22"/>
          <w:szCs w:val="22"/>
        </w:rPr>
        <w:instrText xml:space="preserve"> XE "Capacity factor" </w:instrText>
      </w:r>
      <w:r w:rsidR="00E406EA" w:rsidRPr="00216837">
        <w:rPr>
          <w:rFonts w:ascii="Arial" w:hAnsi="Arial" w:cs="Arial"/>
          <w:sz w:val="22"/>
          <w:szCs w:val="22"/>
        </w:rPr>
        <w:fldChar w:fldCharType="end"/>
      </w:r>
      <w:r w:rsidRPr="00216837">
        <w:rPr>
          <w:rFonts w:ascii="Arial" w:hAnsi="Arial" w:cs="Arial"/>
          <w:sz w:val="22"/>
          <w:szCs w:val="22"/>
        </w:rPr>
        <w:t xml:space="preserve"> is the ratio of actual energy consumption during a certain time period and the consumption that would have occurred if the boiler were at full capacity during the same period (see formula below):</w:t>
      </w:r>
    </w:p>
    <w:p w:rsidR="00216837" w:rsidRDefault="00216837" w:rsidP="00216837">
      <w:pPr>
        <w:rPr>
          <w:rFonts w:ascii="Arial" w:hAnsi="Arial" w:cs="Arial"/>
          <w:sz w:val="22"/>
          <w:szCs w:val="22"/>
        </w:rPr>
      </w:pPr>
    </w:p>
    <w:p w:rsidR="00216837" w:rsidRPr="00497800" w:rsidRDefault="00216837" w:rsidP="00216837">
      <w:pPr>
        <w:rPr>
          <w:rFonts w:ascii="Cambria Math" w:hAnsi="Arial" w:cs="Arial"/>
          <w:sz w:val="22"/>
          <w:szCs w:val="22"/>
          <w:oMath/>
        </w:rPr>
      </w:pPr>
      <m:oMathPara>
        <m:oMath>
          <m:r>
            <w:rPr>
              <w:rFonts w:ascii="Cambria Math" w:hAnsi="Arial" w:cs="Arial"/>
              <w:sz w:val="22"/>
              <w:szCs w:val="22"/>
            </w:rPr>
            <m:t>CF= AGC/MGC</m:t>
          </m:r>
        </m:oMath>
      </m:oMathPara>
    </w:p>
    <w:p w:rsidR="00216837" w:rsidRDefault="00216837" w:rsidP="00216837">
      <w:pPr>
        <w:rPr>
          <w:rFonts w:ascii="Arial" w:hAnsi="Arial" w:cs="Arial"/>
          <w:sz w:val="22"/>
          <w:szCs w:val="22"/>
        </w:rPr>
      </w:pPr>
      <w:r>
        <w:rPr>
          <w:rFonts w:ascii="Arial" w:hAnsi="Arial" w:cs="Arial"/>
          <w:sz w:val="22"/>
          <w:szCs w:val="22"/>
        </w:rPr>
        <w:t>Where,</w:t>
      </w:r>
    </w:p>
    <w:p w:rsidR="00216837" w:rsidRDefault="00216837" w:rsidP="00216837">
      <w:pPr>
        <w:rPr>
          <w:rFonts w:ascii="Arial" w:hAnsi="Arial" w:cs="Arial"/>
          <w:sz w:val="22"/>
          <w:szCs w:val="22"/>
        </w:rPr>
      </w:pPr>
      <w:r>
        <w:rPr>
          <w:rFonts w:ascii="Arial" w:hAnsi="Arial" w:cs="Arial"/>
          <w:sz w:val="22"/>
          <w:szCs w:val="22"/>
        </w:rPr>
        <w:tab/>
        <w:t>CF</w:t>
      </w:r>
      <w:r>
        <w:rPr>
          <w:rFonts w:ascii="Arial" w:hAnsi="Arial" w:cs="Arial"/>
          <w:sz w:val="22"/>
          <w:szCs w:val="22"/>
        </w:rPr>
        <w:tab/>
        <w:t xml:space="preserve">= </w:t>
      </w:r>
      <w:r w:rsidR="00516A96">
        <w:rPr>
          <w:rFonts w:ascii="Arial" w:hAnsi="Arial" w:cs="Arial"/>
          <w:sz w:val="22"/>
          <w:szCs w:val="22"/>
        </w:rPr>
        <w:t>c</w:t>
      </w:r>
      <w:r>
        <w:rPr>
          <w:rFonts w:ascii="Arial" w:hAnsi="Arial" w:cs="Arial"/>
          <w:sz w:val="22"/>
          <w:szCs w:val="22"/>
        </w:rPr>
        <w:t xml:space="preserve">apacity </w:t>
      </w:r>
      <w:r w:rsidR="00516A96">
        <w:rPr>
          <w:rFonts w:ascii="Arial" w:hAnsi="Arial" w:cs="Arial"/>
          <w:sz w:val="22"/>
          <w:szCs w:val="22"/>
        </w:rPr>
        <w:t>f</w:t>
      </w:r>
      <w:r>
        <w:rPr>
          <w:rFonts w:ascii="Arial" w:hAnsi="Arial" w:cs="Arial"/>
          <w:sz w:val="22"/>
          <w:szCs w:val="22"/>
        </w:rPr>
        <w:t>actor, no units</w:t>
      </w:r>
    </w:p>
    <w:p w:rsidR="00216837" w:rsidRDefault="00216837" w:rsidP="00216837">
      <w:pPr>
        <w:rPr>
          <w:rFonts w:ascii="Arial" w:hAnsi="Arial" w:cs="Arial"/>
          <w:sz w:val="22"/>
          <w:szCs w:val="22"/>
        </w:rPr>
      </w:pPr>
      <w:r>
        <w:rPr>
          <w:rFonts w:ascii="Arial" w:hAnsi="Arial" w:cs="Arial"/>
          <w:sz w:val="22"/>
          <w:szCs w:val="22"/>
        </w:rPr>
        <w:tab/>
        <w:t>AGC</w:t>
      </w:r>
      <w:r>
        <w:rPr>
          <w:rFonts w:ascii="Arial" w:hAnsi="Arial" w:cs="Arial"/>
          <w:sz w:val="22"/>
          <w:szCs w:val="22"/>
        </w:rPr>
        <w:tab/>
        <w:t xml:space="preserve">= </w:t>
      </w:r>
      <w:r w:rsidR="00516A96">
        <w:rPr>
          <w:rFonts w:ascii="Arial" w:hAnsi="Arial" w:cs="Arial"/>
          <w:sz w:val="22"/>
          <w:szCs w:val="22"/>
        </w:rPr>
        <w:t>a</w:t>
      </w:r>
      <w:r>
        <w:rPr>
          <w:rFonts w:ascii="Arial" w:hAnsi="Arial" w:cs="Arial"/>
          <w:sz w:val="22"/>
          <w:szCs w:val="22"/>
        </w:rPr>
        <w:t xml:space="preserve">ctual </w:t>
      </w:r>
      <w:r w:rsidR="00516A96">
        <w:rPr>
          <w:rFonts w:ascii="Arial" w:hAnsi="Arial" w:cs="Arial"/>
          <w:sz w:val="22"/>
          <w:szCs w:val="22"/>
        </w:rPr>
        <w:t>g</w:t>
      </w:r>
      <w:r>
        <w:rPr>
          <w:rFonts w:ascii="Arial" w:hAnsi="Arial" w:cs="Arial"/>
          <w:sz w:val="22"/>
          <w:szCs w:val="22"/>
        </w:rPr>
        <w:t xml:space="preserve">as </w:t>
      </w:r>
      <w:r w:rsidR="00516A96">
        <w:rPr>
          <w:rFonts w:ascii="Arial" w:hAnsi="Arial" w:cs="Arial"/>
          <w:sz w:val="22"/>
          <w:szCs w:val="22"/>
        </w:rPr>
        <w:t>c</w:t>
      </w:r>
      <w:r>
        <w:rPr>
          <w:rFonts w:ascii="Arial" w:hAnsi="Arial" w:cs="Arial"/>
          <w:sz w:val="22"/>
          <w:szCs w:val="22"/>
        </w:rPr>
        <w:t xml:space="preserve">onsumption during a given time period, </w:t>
      </w:r>
      <w:proofErr w:type="spellStart"/>
      <w:r>
        <w:rPr>
          <w:rFonts w:ascii="Arial" w:hAnsi="Arial" w:cs="Arial"/>
          <w:sz w:val="22"/>
          <w:szCs w:val="22"/>
        </w:rPr>
        <w:t>kBTUh</w:t>
      </w:r>
      <w:proofErr w:type="spellEnd"/>
    </w:p>
    <w:p w:rsidR="00216837" w:rsidRPr="00D04D41" w:rsidRDefault="00216837" w:rsidP="00216837">
      <w:pPr>
        <w:rPr>
          <w:rFonts w:ascii="Arial" w:hAnsi="Arial" w:cs="Arial"/>
          <w:sz w:val="22"/>
          <w:szCs w:val="22"/>
        </w:rPr>
      </w:pPr>
      <w:r>
        <w:rPr>
          <w:rFonts w:ascii="Arial" w:hAnsi="Arial" w:cs="Arial"/>
          <w:sz w:val="22"/>
          <w:szCs w:val="22"/>
        </w:rPr>
        <w:tab/>
      </w:r>
      <w:r w:rsidRPr="00D04D41">
        <w:rPr>
          <w:rFonts w:ascii="Arial" w:hAnsi="Arial" w:cs="Arial"/>
          <w:sz w:val="22"/>
          <w:szCs w:val="22"/>
        </w:rPr>
        <w:t>MGC</w:t>
      </w:r>
      <w:r w:rsidRPr="00D04D41">
        <w:rPr>
          <w:rFonts w:ascii="Arial" w:hAnsi="Arial" w:cs="Arial"/>
          <w:sz w:val="22"/>
          <w:szCs w:val="22"/>
        </w:rPr>
        <w:tab/>
        <w:t xml:space="preserve">= </w:t>
      </w:r>
      <w:r w:rsidR="00516A96" w:rsidRPr="00D04D41">
        <w:rPr>
          <w:rFonts w:ascii="Arial" w:hAnsi="Arial" w:cs="Arial"/>
          <w:sz w:val="22"/>
          <w:szCs w:val="22"/>
        </w:rPr>
        <w:t>m</w:t>
      </w:r>
      <w:r w:rsidRPr="00D04D41">
        <w:rPr>
          <w:rFonts w:ascii="Arial" w:hAnsi="Arial" w:cs="Arial"/>
          <w:sz w:val="22"/>
          <w:szCs w:val="22"/>
        </w:rPr>
        <w:t xml:space="preserve">aximum </w:t>
      </w:r>
      <w:r w:rsidR="00516A96" w:rsidRPr="00D04D41">
        <w:rPr>
          <w:rFonts w:ascii="Arial" w:hAnsi="Arial" w:cs="Arial"/>
          <w:sz w:val="22"/>
          <w:szCs w:val="22"/>
        </w:rPr>
        <w:t>g</w:t>
      </w:r>
      <w:r w:rsidRPr="00D04D41">
        <w:rPr>
          <w:rFonts w:ascii="Arial" w:hAnsi="Arial" w:cs="Arial"/>
          <w:sz w:val="22"/>
          <w:szCs w:val="22"/>
        </w:rPr>
        <w:t xml:space="preserve">as </w:t>
      </w:r>
      <w:r w:rsidR="00516A96" w:rsidRPr="00D04D41">
        <w:rPr>
          <w:rFonts w:ascii="Arial" w:hAnsi="Arial" w:cs="Arial"/>
          <w:sz w:val="22"/>
          <w:szCs w:val="22"/>
        </w:rPr>
        <w:t>c</w:t>
      </w:r>
      <w:r w:rsidRPr="00D04D41">
        <w:rPr>
          <w:rFonts w:ascii="Arial" w:hAnsi="Arial" w:cs="Arial"/>
          <w:sz w:val="22"/>
          <w:szCs w:val="22"/>
        </w:rPr>
        <w:t xml:space="preserve">onsumption during a given time period, </w:t>
      </w:r>
      <w:proofErr w:type="spellStart"/>
      <w:r w:rsidRPr="00D04D41">
        <w:rPr>
          <w:rFonts w:ascii="Arial" w:hAnsi="Arial" w:cs="Arial"/>
          <w:sz w:val="22"/>
          <w:szCs w:val="22"/>
        </w:rPr>
        <w:t>kBTUh</w:t>
      </w:r>
      <w:proofErr w:type="spellEnd"/>
    </w:p>
    <w:p w:rsidR="00216837" w:rsidRPr="00D04D41" w:rsidRDefault="00216837" w:rsidP="00216837">
      <w:pPr>
        <w:rPr>
          <w:rFonts w:ascii="Arial" w:hAnsi="Arial" w:cs="Arial"/>
          <w:sz w:val="22"/>
          <w:szCs w:val="22"/>
        </w:rPr>
      </w:pPr>
    </w:p>
    <w:p w:rsidR="00216837" w:rsidRPr="00D04D41" w:rsidRDefault="00D327F3" w:rsidP="00216837">
      <w:pPr>
        <w:rPr>
          <w:rFonts w:ascii="Arial" w:hAnsi="Arial" w:cs="Arial"/>
          <w:sz w:val="22"/>
          <w:szCs w:val="22"/>
        </w:rPr>
      </w:pPr>
      <w:r w:rsidRPr="00D04D41">
        <w:rPr>
          <w:rFonts w:ascii="Arial" w:hAnsi="Arial" w:cs="Arial"/>
          <w:sz w:val="22"/>
          <w:szCs w:val="22"/>
        </w:rPr>
        <w:t>Data from the analysis of industrial and commercial boilers was combined with industry-specific G</w:t>
      </w:r>
      <w:r w:rsidR="000C6A67" w:rsidRPr="00D04D41">
        <w:rPr>
          <w:rFonts w:ascii="Arial" w:hAnsi="Arial" w:cs="Arial"/>
          <w:sz w:val="22"/>
          <w:szCs w:val="22"/>
        </w:rPr>
        <w:t xml:space="preserve">ross </w:t>
      </w:r>
      <w:r w:rsidRPr="00D04D41">
        <w:rPr>
          <w:rFonts w:ascii="Arial" w:hAnsi="Arial" w:cs="Arial"/>
          <w:sz w:val="22"/>
          <w:szCs w:val="22"/>
        </w:rPr>
        <w:t>D</w:t>
      </w:r>
      <w:r w:rsidR="000C6A67" w:rsidRPr="00D04D41">
        <w:rPr>
          <w:rFonts w:ascii="Arial" w:hAnsi="Arial" w:cs="Arial"/>
          <w:sz w:val="22"/>
          <w:szCs w:val="22"/>
        </w:rPr>
        <w:t xml:space="preserve">omestic </w:t>
      </w:r>
      <w:r w:rsidRPr="00D04D41">
        <w:rPr>
          <w:rFonts w:ascii="Arial" w:hAnsi="Arial" w:cs="Arial"/>
          <w:sz w:val="22"/>
          <w:szCs w:val="22"/>
        </w:rPr>
        <w:t>P</w:t>
      </w:r>
      <w:r w:rsidR="000C6A67" w:rsidRPr="00D04D41">
        <w:rPr>
          <w:rFonts w:ascii="Arial" w:hAnsi="Arial" w:cs="Arial"/>
          <w:sz w:val="22"/>
          <w:szCs w:val="22"/>
        </w:rPr>
        <w:t>roduct (GDP)</w:t>
      </w:r>
      <w:r w:rsidRPr="00D04D41">
        <w:rPr>
          <w:rFonts w:ascii="Arial" w:hAnsi="Arial" w:cs="Arial"/>
          <w:sz w:val="22"/>
          <w:szCs w:val="22"/>
        </w:rPr>
        <w:t xml:space="preserve"> data to get an accurate estimation of the average process boiler capacity factor in California.</w:t>
      </w:r>
      <w:r w:rsidR="00C502A1" w:rsidRPr="00D04D41">
        <w:rPr>
          <w:rFonts w:ascii="Arial" w:hAnsi="Arial" w:cs="Arial"/>
          <w:sz w:val="22"/>
          <w:szCs w:val="22"/>
        </w:rPr>
        <w:t xml:space="preserve"> The average capacity factor is estimated by the equation below:</w:t>
      </w:r>
    </w:p>
    <w:p w:rsidR="00C502A1" w:rsidRPr="00D04D41" w:rsidRDefault="00C502A1" w:rsidP="00216837">
      <w:pPr>
        <w:rPr>
          <w:rFonts w:ascii="Arial" w:hAnsi="Arial" w:cs="Arial"/>
          <w:sz w:val="22"/>
          <w:szCs w:val="22"/>
        </w:rPr>
      </w:pPr>
    </w:p>
    <w:p w:rsidR="00C502A1" w:rsidRPr="00D04D41" w:rsidRDefault="00C502A1" w:rsidP="00C502A1">
      <w:pPr>
        <w:rPr>
          <w:rFonts w:ascii="Cambria Math" w:hAnsi="Arial" w:cs="Arial"/>
          <w:sz w:val="22"/>
          <w:szCs w:val="22"/>
          <w:oMath/>
        </w:rPr>
      </w:pPr>
      <m:oMathPara>
        <m:oMath>
          <m:r>
            <w:rPr>
              <w:rFonts w:ascii="Cambria Math" w:hAnsi="Arial" w:cs="Arial"/>
              <w:sz w:val="22"/>
              <w:szCs w:val="22"/>
            </w:rPr>
            <m:t xml:space="preserve">ACF= </m:t>
          </m:r>
          <m:nary>
            <m:naryPr>
              <m:chr m:val="∑"/>
              <m:limLoc m:val="undOvr"/>
              <m:subHide m:val="1"/>
              <m:supHide m:val="1"/>
              <m:ctrlPr>
                <w:rPr>
                  <w:rFonts w:ascii="Cambria Math" w:hAnsi="Arial" w:cs="Arial"/>
                  <w:i/>
                  <w:sz w:val="22"/>
                  <w:szCs w:val="22"/>
                </w:rPr>
              </m:ctrlPr>
            </m:naryPr>
            <m:sub/>
            <m:sup/>
            <m:e>
              <m:r>
                <w:rPr>
                  <w:rFonts w:ascii="Cambria Math" w:hAnsi="Arial" w:cs="Arial"/>
                  <w:sz w:val="22"/>
                  <w:szCs w:val="22"/>
                </w:rPr>
                <m:t>WCF</m:t>
              </m:r>
            </m:e>
          </m:nary>
        </m:oMath>
      </m:oMathPara>
    </w:p>
    <w:p w:rsidR="00C502A1" w:rsidRPr="00D04D41" w:rsidRDefault="00C502A1" w:rsidP="00216837">
      <w:pPr>
        <w:rPr>
          <w:rFonts w:ascii="Arial" w:hAnsi="Arial" w:cs="Arial"/>
          <w:sz w:val="22"/>
          <w:szCs w:val="22"/>
        </w:rPr>
      </w:pPr>
    </w:p>
    <w:p w:rsidR="00C502A1" w:rsidRPr="00D04D41" w:rsidRDefault="00C502A1" w:rsidP="00487828">
      <w:pPr>
        <w:rPr>
          <w:rFonts w:ascii="Arial" w:hAnsi="Arial" w:cs="Arial"/>
          <w:sz w:val="22"/>
          <w:szCs w:val="22"/>
        </w:rPr>
      </w:pPr>
      <w:r w:rsidRPr="00D04D41">
        <w:rPr>
          <w:rFonts w:ascii="Arial" w:hAnsi="Arial" w:cs="Arial"/>
          <w:sz w:val="22"/>
          <w:szCs w:val="22"/>
        </w:rPr>
        <w:t>Where,</w:t>
      </w:r>
    </w:p>
    <w:p w:rsidR="00C502A1" w:rsidRPr="00D04D41" w:rsidRDefault="00487828" w:rsidP="00C502A1">
      <w:pPr>
        <w:ind w:firstLine="720"/>
        <w:rPr>
          <w:rFonts w:ascii="Arial" w:hAnsi="Arial" w:cs="Arial"/>
          <w:sz w:val="22"/>
          <w:szCs w:val="22"/>
        </w:rPr>
      </w:pPr>
      <w:r w:rsidRPr="00D04D41">
        <w:rPr>
          <w:rFonts w:ascii="Arial" w:hAnsi="Arial" w:cs="Arial"/>
          <w:sz w:val="22"/>
          <w:szCs w:val="22"/>
        </w:rPr>
        <w:t xml:space="preserve"> </w:t>
      </w:r>
      <w:r w:rsidR="00C502A1" w:rsidRPr="00D04D41">
        <w:rPr>
          <w:rFonts w:ascii="Arial" w:hAnsi="Arial" w:cs="Arial"/>
          <w:sz w:val="22"/>
          <w:szCs w:val="22"/>
        </w:rPr>
        <w:t>ACF</w:t>
      </w:r>
      <w:r w:rsidR="00C502A1" w:rsidRPr="00D04D41">
        <w:rPr>
          <w:rFonts w:ascii="Arial" w:hAnsi="Arial" w:cs="Arial"/>
          <w:sz w:val="22"/>
          <w:szCs w:val="22"/>
        </w:rPr>
        <w:tab/>
        <w:t>= average capacity factor, no units</w:t>
      </w:r>
    </w:p>
    <w:p w:rsidR="00C502A1" w:rsidRPr="00D04D41" w:rsidRDefault="00C502A1" w:rsidP="00C502A1">
      <w:pPr>
        <w:rPr>
          <w:rFonts w:ascii="Arial" w:hAnsi="Arial" w:cs="Arial"/>
          <w:sz w:val="22"/>
          <w:szCs w:val="22"/>
        </w:rPr>
      </w:pPr>
      <w:r w:rsidRPr="00D04D41">
        <w:rPr>
          <w:rFonts w:ascii="Arial" w:hAnsi="Arial" w:cs="Arial"/>
          <w:sz w:val="22"/>
          <w:szCs w:val="22"/>
        </w:rPr>
        <w:tab/>
        <w:t>WCF</w:t>
      </w:r>
      <w:r w:rsidRPr="00D04D41">
        <w:rPr>
          <w:rFonts w:ascii="Arial" w:hAnsi="Arial" w:cs="Arial"/>
          <w:sz w:val="22"/>
          <w:szCs w:val="22"/>
        </w:rPr>
        <w:tab/>
        <w:t>= weighted capacity factor, no units</w:t>
      </w:r>
    </w:p>
    <w:p w:rsidR="00C502A1" w:rsidRPr="00D04D41" w:rsidRDefault="00C502A1" w:rsidP="00D327F3">
      <w:pPr>
        <w:pStyle w:val="Caption"/>
        <w:jc w:val="center"/>
        <w:rPr>
          <w:rFonts w:ascii="Arial" w:hAnsi="Arial" w:cs="Arial"/>
          <w:b w:val="0"/>
          <w:sz w:val="22"/>
          <w:szCs w:val="22"/>
        </w:rPr>
      </w:pPr>
      <w:bookmarkStart w:id="37" w:name="_Toc257287391"/>
    </w:p>
    <w:p w:rsidR="00C502A1" w:rsidRPr="00D04D41" w:rsidRDefault="00C502A1" w:rsidP="00C502A1">
      <w:pPr>
        <w:pStyle w:val="Caption"/>
        <w:rPr>
          <w:rFonts w:ascii="Arial" w:hAnsi="Arial" w:cs="Arial"/>
          <w:b w:val="0"/>
          <w:sz w:val="22"/>
          <w:szCs w:val="22"/>
        </w:rPr>
      </w:pPr>
      <w:r w:rsidRPr="00D04D41">
        <w:rPr>
          <w:rFonts w:ascii="Arial" w:hAnsi="Arial" w:cs="Arial"/>
          <w:b w:val="0"/>
          <w:sz w:val="22"/>
          <w:szCs w:val="22"/>
        </w:rPr>
        <w:t>The weighted capacity factor accounts for the number of boilers in each industry. This factor is weighted based on the total number of boilers surveyed in Characterization of the U.S. Industrial/Commercial Boiler Population</w:t>
      </w:r>
      <w:r w:rsidR="00E16FD8">
        <w:fldChar w:fldCharType="begin"/>
      </w:r>
      <w:r w:rsidR="00E16FD8">
        <w:instrText xml:space="preserve"> NOTEREF _Ref384822420 \h  \* MERGEFORMAT </w:instrText>
      </w:r>
      <w:r w:rsidR="00E16FD8">
        <w:fldChar w:fldCharType="separate"/>
      </w:r>
      <w:r w:rsidR="006A644D">
        <w:t>9</w:t>
      </w:r>
      <w:r w:rsidR="00E16FD8">
        <w:fldChar w:fldCharType="end"/>
      </w:r>
      <w:r w:rsidRPr="00D04D41">
        <w:rPr>
          <w:rFonts w:ascii="Arial" w:hAnsi="Arial" w:cs="Arial"/>
          <w:b w:val="0"/>
          <w:sz w:val="22"/>
          <w:szCs w:val="22"/>
          <w:vertAlign w:val="superscript"/>
        </w:rPr>
        <w:t xml:space="preserve"> </w:t>
      </w:r>
      <w:r w:rsidRPr="00D04D41">
        <w:rPr>
          <w:rFonts w:ascii="Arial" w:hAnsi="Arial" w:cs="Arial"/>
          <w:b w:val="0"/>
          <w:sz w:val="22"/>
          <w:szCs w:val="22"/>
        </w:rPr>
        <w:t>multiplied by the size of each industry based on California GDP information from the Bureau of Economic Analysis.</w:t>
      </w:r>
      <w:r w:rsidRPr="00D04D41">
        <w:rPr>
          <w:rStyle w:val="EndnoteReference"/>
          <w:rFonts w:ascii="Arial" w:hAnsi="Arial" w:cs="Arial"/>
          <w:b w:val="0"/>
          <w:sz w:val="22"/>
          <w:szCs w:val="22"/>
        </w:rPr>
        <w:endnoteReference w:id="8"/>
      </w:r>
      <w:r w:rsidR="00C26004" w:rsidRPr="00D04D41">
        <w:rPr>
          <w:rFonts w:ascii="Arial" w:hAnsi="Arial" w:cs="Arial"/>
          <w:b w:val="0"/>
          <w:sz w:val="22"/>
          <w:szCs w:val="22"/>
        </w:rPr>
        <w:t xml:space="preserve"> The weighted capacity factor is estimated by the equation below:</w:t>
      </w:r>
    </w:p>
    <w:p w:rsidR="00C26004" w:rsidRPr="00D04D41" w:rsidRDefault="00C26004" w:rsidP="00C26004"/>
    <w:p w:rsidR="00C26004" w:rsidRPr="00D04D41" w:rsidRDefault="00C26004" w:rsidP="00C26004">
      <w:pPr>
        <w:rPr>
          <w:rFonts w:ascii="Cambria Math" w:hAnsi="Arial" w:cs="Arial"/>
          <w:sz w:val="22"/>
          <w:szCs w:val="22"/>
          <w:oMath/>
        </w:rPr>
      </w:pPr>
      <m:oMathPara>
        <m:oMath>
          <m:r>
            <w:rPr>
              <w:rFonts w:ascii="Cambria Math" w:hAnsi="Arial" w:cs="Arial"/>
              <w:sz w:val="22"/>
              <w:szCs w:val="22"/>
            </w:rPr>
            <m:t>WCF= CF</m:t>
          </m:r>
          <m:r>
            <w:rPr>
              <w:rFonts w:ascii="Cambria Math" w:hAnsi="Arial" w:cs="Arial"/>
              <w:sz w:val="22"/>
              <w:szCs w:val="22"/>
            </w:rPr>
            <m:t>*</m:t>
          </m:r>
          <m:r>
            <w:rPr>
              <w:rFonts w:ascii="Cambria Math" w:hAnsi="Arial" w:cs="Arial"/>
              <w:sz w:val="22"/>
              <w:szCs w:val="22"/>
            </w:rPr>
            <m:t>NB</m:t>
          </m:r>
          <m:r>
            <w:rPr>
              <w:rFonts w:ascii="Cambria Math" w:hAnsi="Arial" w:cs="Arial"/>
              <w:sz w:val="22"/>
              <w:szCs w:val="22"/>
            </w:rPr>
            <m:t>*</m:t>
          </m:r>
          <m:r>
            <w:rPr>
              <w:rFonts w:ascii="Cambria Math" w:hAnsi="Arial" w:cs="Arial"/>
              <w:sz w:val="22"/>
              <w:szCs w:val="22"/>
            </w:rPr>
            <m:t>PGDP/</m:t>
          </m:r>
          <m:sSub>
            <m:sSubPr>
              <m:ctrlPr>
                <w:rPr>
                  <w:rFonts w:ascii="Cambria Math" w:hAnsi="Arial" w:cs="Arial"/>
                  <w:i/>
                  <w:sz w:val="22"/>
                  <w:szCs w:val="22"/>
                </w:rPr>
              </m:ctrlPr>
            </m:sSubPr>
            <m:e>
              <m:r>
                <w:rPr>
                  <w:rFonts w:ascii="Cambria Math" w:hAnsi="Arial" w:cs="Arial"/>
                  <w:sz w:val="22"/>
                  <w:szCs w:val="22"/>
                </w:rPr>
                <m:t>TB</m:t>
              </m:r>
            </m:e>
            <m:sub>
              <m:r>
                <w:rPr>
                  <w:rFonts w:ascii="Cambria Math" w:hAnsi="Arial" w:cs="Arial"/>
                  <w:sz w:val="22"/>
                  <w:szCs w:val="22"/>
                </w:rPr>
                <m:t>CA</m:t>
              </m:r>
            </m:sub>
          </m:sSub>
        </m:oMath>
      </m:oMathPara>
    </w:p>
    <w:p w:rsidR="00C502A1" w:rsidRPr="00D04D41" w:rsidRDefault="00C502A1" w:rsidP="00C502A1"/>
    <w:p w:rsidR="009145B5" w:rsidRPr="00D04D41" w:rsidRDefault="009145B5" w:rsidP="009145B5">
      <w:pPr>
        <w:rPr>
          <w:rFonts w:ascii="Arial" w:hAnsi="Arial" w:cs="Arial"/>
          <w:sz w:val="22"/>
          <w:szCs w:val="22"/>
        </w:rPr>
      </w:pPr>
      <w:r w:rsidRPr="00D04D41">
        <w:rPr>
          <w:rFonts w:ascii="Arial" w:hAnsi="Arial" w:cs="Arial"/>
          <w:sz w:val="22"/>
          <w:szCs w:val="22"/>
        </w:rPr>
        <w:t>Where,</w:t>
      </w:r>
    </w:p>
    <w:p w:rsidR="009145B5" w:rsidRPr="00D04D41" w:rsidRDefault="009145B5" w:rsidP="009145B5">
      <w:pPr>
        <w:ind w:firstLine="720"/>
        <w:rPr>
          <w:rFonts w:ascii="Arial" w:hAnsi="Arial" w:cs="Arial"/>
          <w:sz w:val="22"/>
          <w:szCs w:val="22"/>
        </w:rPr>
      </w:pPr>
      <w:r w:rsidRPr="00D04D41">
        <w:rPr>
          <w:rFonts w:ascii="Arial" w:hAnsi="Arial" w:cs="Arial"/>
          <w:sz w:val="22"/>
          <w:szCs w:val="22"/>
        </w:rPr>
        <w:t xml:space="preserve"> NB</w:t>
      </w:r>
      <w:r w:rsidRPr="00D04D41">
        <w:rPr>
          <w:rFonts w:ascii="Arial" w:hAnsi="Arial" w:cs="Arial"/>
          <w:sz w:val="22"/>
          <w:szCs w:val="22"/>
        </w:rPr>
        <w:tab/>
        <w:t>= number of boilers in industry, no units</w:t>
      </w:r>
    </w:p>
    <w:p w:rsidR="009145B5" w:rsidRPr="00D04D41" w:rsidRDefault="009145B5" w:rsidP="009145B5">
      <w:pPr>
        <w:rPr>
          <w:rFonts w:ascii="Arial" w:hAnsi="Arial" w:cs="Arial"/>
          <w:sz w:val="22"/>
          <w:szCs w:val="22"/>
        </w:rPr>
      </w:pPr>
      <w:r w:rsidRPr="00D04D41">
        <w:rPr>
          <w:rFonts w:ascii="Arial" w:hAnsi="Arial" w:cs="Arial"/>
          <w:sz w:val="22"/>
          <w:szCs w:val="22"/>
        </w:rPr>
        <w:tab/>
        <w:t>PGDP</w:t>
      </w:r>
      <w:r w:rsidRPr="00D04D41">
        <w:rPr>
          <w:rFonts w:ascii="Arial" w:hAnsi="Arial" w:cs="Arial"/>
          <w:sz w:val="22"/>
          <w:szCs w:val="22"/>
        </w:rPr>
        <w:tab/>
        <w:t>= percent of California GDP versus nationwide GDP, no units</w:t>
      </w:r>
    </w:p>
    <w:p w:rsidR="009145B5" w:rsidRPr="009145B5" w:rsidRDefault="009145B5" w:rsidP="00C502A1">
      <w:pPr>
        <w:rPr>
          <w:rFonts w:ascii="Arial" w:hAnsi="Arial" w:cs="Arial"/>
          <w:sz w:val="22"/>
          <w:szCs w:val="22"/>
        </w:rPr>
      </w:pPr>
      <w:r w:rsidRPr="00D04D41">
        <w:rPr>
          <w:rFonts w:ascii="Arial" w:hAnsi="Arial" w:cs="Arial"/>
          <w:sz w:val="22"/>
          <w:szCs w:val="22"/>
        </w:rPr>
        <w:tab/>
        <w:t>TB</w:t>
      </w:r>
      <w:r w:rsidRPr="00D04D41">
        <w:rPr>
          <w:rFonts w:ascii="Arial" w:hAnsi="Arial" w:cs="Arial"/>
          <w:sz w:val="22"/>
          <w:szCs w:val="22"/>
          <w:vertAlign w:val="subscript"/>
        </w:rPr>
        <w:t>CA</w:t>
      </w:r>
      <w:r w:rsidRPr="00D04D41">
        <w:rPr>
          <w:rFonts w:ascii="Arial" w:hAnsi="Arial" w:cs="Arial"/>
          <w:sz w:val="22"/>
          <w:szCs w:val="22"/>
        </w:rPr>
        <w:tab/>
        <w:t>= total number of boilers in California, no units</w:t>
      </w:r>
    </w:p>
    <w:p w:rsidR="00C502A1" w:rsidRPr="00C502A1" w:rsidRDefault="00C502A1" w:rsidP="00C502A1"/>
    <w:p w:rsidR="008C0F09" w:rsidRDefault="008C0F09" w:rsidP="008C0F09">
      <w:pPr>
        <w:pStyle w:val="Caption"/>
        <w:keepNext/>
        <w:jc w:val="center"/>
      </w:pPr>
      <w:bookmarkStart w:id="38" w:name="_Toc443922938"/>
      <w:bookmarkEnd w:id="37"/>
      <w:r>
        <w:t xml:space="preserve">Table </w:t>
      </w:r>
      <w:fldSimple w:instr=" SEQ Table \* ARABIC ">
        <w:r w:rsidR="00871EB2">
          <w:rPr>
            <w:noProof/>
          </w:rPr>
          <w:t>7</w:t>
        </w:r>
      </w:fldSimple>
      <w:r>
        <w:t xml:space="preserve"> Average Capacity Factor </w:t>
      </w:r>
      <w:proofErr w:type="gramStart"/>
      <w:r>
        <w:t>Across</w:t>
      </w:r>
      <w:proofErr w:type="gramEnd"/>
      <w:r>
        <w:t xml:space="preserve"> Different Industries</w:t>
      </w:r>
      <w:bookmarkEnd w:id="38"/>
    </w:p>
    <w:p w:rsidR="00D327F3" w:rsidRDefault="00D327F3" w:rsidP="00487828">
      <w:pPr>
        <w:rPr>
          <w:rFonts w:ascii="Arial" w:hAnsi="Arial" w:cs="Arial"/>
          <w:color w:val="FF0000"/>
          <w:sz w:val="22"/>
          <w:szCs w:val="22"/>
        </w:rPr>
      </w:pPr>
      <w:r w:rsidRPr="00D327F3">
        <w:rPr>
          <w:noProof/>
          <w:szCs w:val="22"/>
        </w:rPr>
        <w:drawing>
          <wp:inline distT="0" distB="0" distL="0" distR="0" wp14:anchorId="417C3867" wp14:editId="558CA620">
            <wp:extent cx="5943600" cy="192865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5943600" cy="1928656"/>
                    </a:xfrm>
                    <a:prstGeom prst="rect">
                      <a:avLst/>
                    </a:prstGeom>
                    <a:noFill/>
                    <a:ln w="9525">
                      <a:noFill/>
                      <a:miter lim="800000"/>
                      <a:headEnd/>
                      <a:tailEnd/>
                    </a:ln>
                  </pic:spPr>
                </pic:pic>
              </a:graphicData>
            </a:graphic>
          </wp:inline>
        </w:drawing>
      </w:r>
    </w:p>
    <w:p w:rsidR="00D327F3" w:rsidRPr="004F588A" w:rsidRDefault="00D327F3" w:rsidP="00487828">
      <w:pPr>
        <w:rPr>
          <w:rFonts w:ascii="Arial" w:hAnsi="Arial" w:cs="Arial"/>
          <w:sz w:val="22"/>
          <w:szCs w:val="22"/>
        </w:rPr>
      </w:pPr>
    </w:p>
    <w:p w:rsidR="004F588A" w:rsidRDefault="004F588A" w:rsidP="004F588A">
      <w:pPr>
        <w:rPr>
          <w:rFonts w:ascii="Arial" w:hAnsi="Arial" w:cs="Arial"/>
          <w:sz w:val="22"/>
          <w:szCs w:val="22"/>
        </w:rPr>
      </w:pPr>
      <w:r w:rsidRPr="004F588A">
        <w:rPr>
          <w:rFonts w:ascii="Arial" w:hAnsi="Arial" w:cs="Arial"/>
          <w:sz w:val="22"/>
          <w:szCs w:val="22"/>
        </w:rPr>
        <w:t>To determine the average boiler efficiency</w:t>
      </w:r>
      <w:r w:rsidR="00E406EA" w:rsidRPr="004F588A">
        <w:rPr>
          <w:rFonts w:ascii="Arial" w:hAnsi="Arial" w:cs="Arial"/>
          <w:sz w:val="22"/>
          <w:szCs w:val="22"/>
        </w:rPr>
        <w:fldChar w:fldCharType="begin"/>
      </w:r>
      <w:r w:rsidRPr="004F588A">
        <w:rPr>
          <w:rFonts w:ascii="Arial" w:hAnsi="Arial" w:cs="Arial"/>
          <w:sz w:val="22"/>
          <w:szCs w:val="22"/>
        </w:rPr>
        <w:instrText xml:space="preserve"> XE "Efficiency" </w:instrText>
      </w:r>
      <w:r w:rsidR="00E406EA" w:rsidRPr="004F588A">
        <w:rPr>
          <w:rFonts w:ascii="Arial" w:hAnsi="Arial" w:cs="Arial"/>
          <w:sz w:val="22"/>
          <w:szCs w:val="22"/>
        </w:rPr>
        <w:fldChar w:fldCharType="end"/>
      </w:r>
      <w:r w:rsidRPr="004F588A">
        <w:rPr>
          <w:rFonts w:ascii="Arial" w:hAnsi="Arial" w:cs="Arial"/>
          <w:sz w:val="22"/>
          <w:szCs w:val="22"/>
        </w:rPr>
        <w:t xml:space="preserve"> in the measure</w:t>
      </w:r>
      <w:r w:rsidR="00E406EA" w:rsidRPr="004F588A">
        <w:rPr>
          <w:rFonts w:ascii="Arial" w:hAnsi="Arial" w:cs="Arial"/>
          <w:sz w:val="22"/>
          <w:szCs w:val="22"/>
        </w:rPr>
        <w:fldChar w:fldCharType="begin"/>
      </w:r>
      <w:r w:rsidRPr="004F588A">
        <w:rPr>
          <w:rFonts w:ascii="Arial" w:hAnsi="Arial" w:cs="Arial"/>
          <w:sz w:val="22"/>
          <w:szCs w:val="22"/>
        </w:rPr>
        <w:instrText xml:space="preserve"> XE "Measure" </w:instrText>
      </w:r>
      <w:r w:rsidR="00E406EA" w:rsidRPr="004F588A">
        <w:rPr>
          <w:rFonts w:ascii="Arial" w:hAnsi="Arial" w:cs="Arial"/>
          <w:sz w:val="22"/>
          <w:szCs w:val="22"/>
        </w:rPr>
        <w:fldChar w:fldCharType="end"/>
      </w:r>
      <w:r w:rsidRPr="004F588A">
        <w:rPr>
          <w:rFonts w:ascii="Arial" w:hAnsi="Arial" w:cs="Arial"/>
          <w:sz w:val="22"/>
          <w:szCs w:val="22"/>
        </w:rPr>
        <w:t xml:space="preserve"> case, the California Energy Commission (CEC</w:t>
      </w:r>
      <w:r w:rsidR="00E406EA" w:rsidRPr="004F588A">
        <w:rPr>
          <w:rFonts w:ascii="Arial" w:hAnsi="Arial" w:cs="Arial"/>
          <w:sz w:val="22"/>
          <w:szCs w:val="22"/>
        </w:rPr>
        <w:fldChar w:fldCharType="begin"/>
      </w:r>
      <w:r w:rsidRPr="004F588A">
        <w:rPr>
          <w:rFonts w:ascii="Arial" w:hAnsi="Arial" w:cs="Arial"/>
          <w:sz w:val="22"/>
          <w:szCs w:val="22"/>
        </w:rPr>
        <w:instrText xml:space="preserve"> XE "CEC</w:instrText>
      </w:r>
      <w:proofErr w:type="gramStart"/>
      <w:r w:rsidRPr="004F588A">
        <w:rPr>
          <w:rFonts w:ascii="Arial" w:hAnsi="Arial" w:cs="Arial"/>
          <w:sz w:val="22"/>
          <w:szCs w:val="22"/>
        </w:rPr>
        <w:instrText xml:space="preserve">" </w:instrText>
      </w:r>
      <w:proofErr w:type="gramEnd"/>
      <w:r w:rsidR="00E406EA" w:rsidRPr="004F588A">
        <w:rPr>
          <w:rFonts w:ascii="Arial" w:hAnsi="Arial" w:cs="Arial"/>
          <w:sz w:val="22"/>
          <w:szCs w:val="22"/>
        </w:rPr>
        <w:fldChar w:fldCharType="end"/>
      </w:r>
      <w:r w:rsidRPr="004F588A">
        <w:rPr>
          <w:rFonts w:ascii="Arial" w:hAnsi="Arial" w:cs="Arial"/>
          <w:sz w:val="22"/>
          <w:szCs w:val="22"/>
        </w:rPr>
        <w:t>) Appliance Databases and records of boilers that PG&amp;E has rebated under this measure were used.  The CEC inventory</w:t>
      </w:r>
      <w:r w:rsidR="00E406EA" w:rsidRPr="004F588A">
        <w:rPr>
          <w:rFonts w:ascii="Arial" w:hAnsi="Arial" w:cs="Arial"/>
          <w:sz w:val="22"/>
          <w:szCs w:val="22"/>
        </w:rPr>
        <w:fldChar w:fldCharType="begin"/>
      </w:r>
      <w:r w:rsidRPr="004F588A">
        <w:rPr>
          <w:rFonts w:ascii="Arial" w:hAnsi="Arial" w:cs="Arial"/>
          <w:sz w:val="22"/>
          <w:szCs w:val="22"/>
        </w:rPr>
        <w:instrText xml:space="preserve"> XE "CEC inventory" </w:instrText>
      </w:r>
      <w:r w:rsidR="00E406EA" w:rsidRPr="004F588A">
        <w:rPr>
          <w:rFonts w:ascii="Arial" w:hAnsi="Arial" w:cs="Arial"/>
          <w:sz w:val="22"/>
          <w:szCs w:val="22"/>
        </w:rPr>
        <w:fldChar w:fldCharType="end"/>
      </w:r>
      <w:r w:rsidRPr="004F588A">
        <w:rPr>
          <w:rFonts w:ascii="Arial" w:hAnsi="Arial" w:cs="Arial"/>
          <w:sz w:val="22"/>
          <w:szCs w:val="22"/>
        </w:rPr>
        <w:t xml:space="preserve"> includes over 3,000 gas boilers for steam and hot water production. To determine efficiencies for the measure case boilers in the database were sorted in order of increasing efficiency and divided into steam and hot water boilers. </w:t>
      </w:r>
    </w:p>
    <w:p w:rsidR="007E7CC5" w:rsidRPr="004F588A" w:rsidRDefault="007E7CC5" w:rsidP="004F588A">
      <w:pPr>
        <w:rPr>
          <w:rFonts w:ascii="Arial" w:hAnsi="Arial" w:cs="Arial"/>
          <w:sz w:val="22"/>
          <w:szCs w:val="22"/>
        </w:rPr>
      </w:pPr>
    </w:p>
    <w:p w:rsidR="004F588A" w:rsidRPr="004F588A" w:rsidRDefault="004F588A" w:rsidP="004F588A">
      <w:pPr>
        <w:rPr>
          <w:rFonts w:ascii="Arial" w:hAnsi="Arial" w:cs="Arial"/>
          <w:sz w:val="22"/>
          <w:szCs w:val="22"/>
        </w:rPr>
      </w:pPr>
      <w:r w:rsidRPr="004F588A">
        <w:rPr>
          <w:rFonts w:ascii="Arial" w:hAnsi="Arial" w:cs="Arial"/>
          <w:sz w:val="22"/>
          <w:szCs w:val="22"/>
        </w:rPr>
        <w:t>The measure efficiencies were calculated as a simple average of the efficiencies of boilers listed in the CEC inventory. Finally, an average efficiency</w:t>
      </w:r>
      <w:r w:rsidR="00E406EA" w:rsidRPr="004F588A">
        <w:rPr>
          <w:rFonts w:ascii="Arial" w:hAnsi="Arial" w:cs="Arial"/>
          <w:sz w:val="22"/>
          <w:szCs w:val="22"/>
        </w:rPr>
        <w:fldChar w:fldCharType="begin"/>
      </w:r>
      <w:r w:rsidRPr="004F588A">
        <w:rPr>
          <w:rFonts w:ascii="Arial" w:hAnsi="Arial" w:cs="Arial"/>
          <w:sz w:val="22"/>
          <w:szCs w:val="22"/>
        </w:rPr>
        <w:instrText xml:space="preserve"> XE "Efficiency" </w:instrText>
      </w:r>
      <w:r w:rsidR="00E406EA" w:rsidRPr="004F588A">
        <w:rPr>
          <w:rFonts w:ascii="Arial" w:hAnsi="Arial" w:cs="Arial"/>
          <w:sz w:val="22"/>
          <w:szCs w:val="22"/>
        </w:rPr>
        <w:fldChar w:fldCharType="end"/>
      </w:r>
      <w:r w:rsidRPr="004F588A">
        <w:rPr>
          <w:rFonts w:ascii="Arial" w:hAnsi="Arial" w:cs="Arial"/>
          <w:sz w:val="22"/>
          <w:szCs w:val="22"/>
        </w:rPr>
        <w:t xml:space="preserve"> was calculated for all models with </w:t>
      </w:r>
      <w:r w:rsidR="005759FD">
        <w:rPr>
          <w:rFonts w:ascii="Arial" w:hAnsi="Arial" w:cs="Arial"/>
          <w:sz w:val="22"/>
          <w:szCs w:val="22"/>
        </w:rPr>
        <w:t xml:space="preserve">combustion </w:t>
      </w:r>
      <w:r w:rsidRPr="004F588A">
        <w:rPr>
          <w:rFonts w:ascii="Arial" w:hAnsi="Arial" w:cs="Arial"/>
          <w:sz w:val="22"/>
          <w:szCs w:val="22"/>
        </w:rPr>
        <w:t>efficiency</w:t>
      </w:r>
      <w:r w:rsidR="00E406EA" w:rsidRPr="004F588A">
        <w:rPr>
          <w:rFonts w:ascii="Arial" w:hAnsi="Arial" w:cs="Arial"/>
          <w:sz w:val="22"/>
          <w:szCs w:val="22"/>
        </w:rPr>
        <w:fldChar w:fldCharType="begin"/>
      </w:r>
      <w:r w:rsidRPr="004F588A">
        <w:rPr>
          <w:rFonts w:ascii="Arial" w:hAnsi="Arial" w:cs="Arial"/>
          <w:sz w:val="22"/>
          <w:szCs w:val="22"/>
        </w:rPr>
        <w:instrText xml:space="preserve"> XE "Efficiency" </w:instrText>
      </w:r>
      <w:r w:rsidR="00E406EA" w:rsidRPr="004F588A">
        <w:rPr>
          <w:rFonts w:ascii="Arial" w:hAnsi="Arial" w:cs="Arial"/>
          <w:sz w:val="22"/>
          <w:szCs w:val="22"/>
        </w:rPr>
        <w:fldChar w:fldCharType="end"/>
      </w:r>
      <w:r w:rsidRPr="004F588A">
        <w:rPr>
          <w:rFonts w:ascii="Arial" w:hAnsi="Arial" w:cs="Arial"/>
          <w:sz w:val="22"/>
          <w:szCs w:val="22"/>
        </w:rPr>
        <w:t xml:space="preserve"> of at least 83% and 85% respectively, the minimum efficiency</w:t>
      </w:r>
      <w:r w:rsidR="00E406EA" w:rsidRPr="004F588A">
        <w:rPr>
          <w:rFonts w:ascii="Arial" w:hAnsi="Arial" w:cs="Arial"/>
          <w:sz w:val="22"/>
          <w:szCs w:val="22"/>
        </w:rPr>
        <w:fldChar w:fldCharType="begin"/>
      </w:r>
      <w:r w:rsidRPr="004F588A">
        <w:rPr>
          <w:rFonts w:ascii="Arial" w:hAnsi="Arial" w:cs="Arial"/>
          <w:sz w:val="22"/>
          <w:szCs w:val="22"/>
        </w:rPr>
        <w:instrText xml:space="preserve"> XE "Efficiency" </w:instrText>
      </w:r>
      <w:r w:rsidR="00E406EA" w:rsidRPr="004F588A">
        <w:rPr>
          <w:rFonts w:ascii="Arial" w:hAnsi="Arial" w:cs="Arial"/>
          <w:sz w:val="22"/>
          <w:szCs w:val="22"/>
        </w:rPr>
        <w:fldChar w:fldCharType="end"/>
      </w:r>
      <w:r w:rsidRPr="004F588A">
        <w:rPr>
          <w:rFonts w:ascii="Arial" w:hAnsi="Arial" w:cs="Arial"/>
          <w:sz w:val="22"/>
          <w:szCs w:val="22"/>
        </w:rPr>
        <w:t xml:space="preserve"> specified for this measure</w:t>
      </w:r>
      <w:r w:rsidR="00E406EA" w:rsidRPr="004F588A">
        <w:rPr>
          <w:rFonts w:ascii="Arial" w:hAnsi="Arial" w:cs="Arial"/>
          <w:sz w:val="22"/>
          <w:szCs w:val="22"/>
        </w:rPr>
        <w:fldChar w:fldCharType="begin"/>
      </w:r>
      <w:r w:rsidRPr="004F588A">
        <w:rPr>
          <w:rFonts w:ascii="Arial" w:hAnsi="Arial" w:cs="Arial"/>
          <w:sz w:val="22"/>
          <w:szCs w:val="22"/>
        </w:rPr>
        <w:instrText xml:space="preserve"> XE "Measure" </w:instrText>
      </w:r>
      <w:r w:rsidR="00E406EA" w:rsidRPr="004F588A">
        <w:rPr>
          <w:rFonts w:ascii="Arial" w:hAnsi="Arial" w:cs="Arial"/>
          <w:sz w:val="22"/>
          <w:szCs w:val="22"/>
        </w:rPr>
        <w:fldChar w:fldCharType="end"/>
      </w:r>
      <w:r w:rsidRPr="004F588A">
        <w:rPr>
          <w:rFonts w:ascii="Arial" w:hAnsi="Arial" w:cs="Arial"/>
          <w:sz w:val="22"/>
          <w:szCs w:val="22"/>
        </w:rPr>
        <w:t>, including very high efficiency</w:t>
      </w:r>
      <w:r w:rsidR="00E406EA" w:rsidRPr="004F588A">
        <w:rPr>
          <w:rFonts w:ascii="Arial" w:hAnsi="Arial" w:cs="Arial"/>
          <w:sz w:val="22"/>
          <w:szCs w:val="22"/>
        </w:rPr>
        <w:fldChar w:fldCharType="begin"/>
      </w:r>
      <w:r w:rsidRPr="004F588A">
        <w:rPr>
          <w:rFonts w:ascii="Arial" w:hAnsi="Arial" w:cs="Arial"/>
          <w:sz w:val="22"/>
          <w:szCs w:val="22"/>
        </w:rPr>
        <w:instrText xml:space="preserve"> XE "Efficiency" </w:instrText>
      </w:r>
      <w:r w:rsidR="00E406EA" w:rsidRPr="004F588A">
        <w:rPr>
          <w:rFonts w:ascii="Arial" w:hAnsi="Arial" w:cs="Arial"/>
          <w:sz w:val="22"/>
          <w:szCs w:val="22"/>
        </w:rPr>
        <w:fldChar w:fldCharType="end"/>
      </w:r>
      <w:r w:rsidRPr="004F588A">
        <w:rPr>
          <w:rFonts w:ascii="Arial" w:hAnsi="Arial" w:cs="Arial"/>
          <w:sz w:val="22"/>
          <w:szCs w:val="22"/>
        </w:rPr>
        <w:t xml:space="preserve"> condensing models. The calculated average efficiencies are summarized in the following table:</w:t>
      </w:r>
    </w:p>
    <w:p w:rsidR="004F588A" w:rsidRPr="004F588A" w:rsidRDefault="004F588A" w:rsidP="004F588A">
      <w:pPr>
        <w:ind w:firstLine="720"/>
        <w:rPr>
          <w:rFonts w:ascii="Arial" w:hAnsi="Arial" w:cs="Arial"/>
          <w:b/>
          <w:bCs/>
          <w:sz w:val="22"/>
          <w:szCs w:val="22"/>
        </w:rPr>
      </w:pPr>
      <w:bookmarkStart w:id="39" w:name="_Toc257287389"/>
    </w:p>
    <w:p w:rsidR="005759FD" w:rsidRDefault="005759FD" w:rsidP="005759FD">
      <w:pPr>
        <w:pStyle w:val="Caption"/>
        <w:keepNext/>
        <w:jc w:val="center"/>
      </w:pPr>
      <w:bookmarkStart w:id="40" w:name="_Toc443922939"/>
      <w:bookmarkEnd w:id="39"/>
      <w:r>
        <w:t xml:space="preserve">Table </w:t>
      </w:r>
      <w:fldSimple w:instr=" SEQ Table \* ARABIC ">
        <w:r w:rsidR="00871EB2">
          <w:rPr>
            <w:noProof/>
          </w:rPr>
          <w:t>8</w:t>
        </w:r>
      </w:fldSimple>
      <w:r>
        <w:t xml:space="preserve"> Average Combustion Efficiencies for High Efficiency Boilers from CEC Inventory</w:t>
      </w:r>
      <w:bookmarkEnd w:id="40"/>
    </w:p>
    <w:tbl>
      <w:tblPr>
        <w:tblW w:w="3060" w:type="dxa"/>
        <w:jc w:val="center"/>
        <w:tblInd w:w="93" w:type="dxa"/>
        <w:tblLook w:val="04A0" w:firstRow="1" w:lastRow="0" w:firstColumn="1" w:lastColumn="0" w:noHBand="0" w:noVBand="1"/>
      </w:tblPr>
      <w:tblGrid>
        <w:gridCol w:w="1916"/>
        <w:gridCol w:w="1144"/>
      </w:tblGrid>
      <w:tr w:rsidR="005759FD" w:rsidTr="005759FD">
        <w:trPr>
          <w:trHeight w:val="300"/>
          <w:jc w:val="center"/>
        </w:trPr>
        <w:tc>
          <w:tcPr>
            <w:tcW w:w="3060" w:type="dxa"/>
            <w:gridSpan w:val="2"/>
            <w:tcBorders>
              <w:top w:val="single" w:sz="8" w:space="0" w:color="auto"/>
              <w:left w:val="single" w:sz="8" w:space="0" w:color="auto"/>
              <w:bottom w:val="nil"/>
              <w:right w:val="single" w:sz="8" w:space="0" w:color="000000"/>
            </w:tcBorders>
            <w:shd w:val="clear" w:color="auto" w:fill="auto"/>
            <w:vAlign w:val="bottom"/>
            <w:hideMark/>
          </w:tcPr>
          <w:p w:rsidR="005759FD" w:rsidRDefault="005759FD">
            <w:pPr>
              <w:jc w:val="center"/>
              <w:rPr>
                <w:rFonts w:ascii="Calibri" w:hAnsi="Calibri" w:cs="Calibri"/>
                <w:color w:val="000000"/>
                <w:sz w:val="22"/>
                <w:szCs w:val="22"/>
              </w:rPr>
            </w:pPr>
            <w:r>
              <w:rPr>
                <w:rFonts w:ascii="Calibri" w:hAnsi="Calibri" w:cs="Calibri"/>
                <w:color w:val="000000"/>
                <w:sz w:val="22"/>
                <w:szCs w:val="22"/>
              </w:rPr>
              <w:t>Average Combustion Efficiency</w:t>
            </w:r>
          </w:p>
        </w:tc>
      </w:tr>
      <w:tr w:rsidR="005759FD" w:rsidTr="005759FD">
        <w:trPr>
          <w:trHeight w:val="300"/>
          <w:jc w:val="center"/>
        </w:trPr>
        <w:tc>
          <w:tcPr>
            <w:tcW w:w="3060" w:type="dxa"/>
            <w:gridSpan w:val="2"/>
            <w:tcBorders>
              <w:top w:val="nil"/>
              <w:left w:val="single" w:sz="8" w:space="0" w:color="auto"/>
              <w:bottom w:val="single" w:sz="4" w:space="0" w:color="auto"/>
              <w:right w:val="single" w:sz="8" w:space="0" w:color="000000"/>
            </w:tcBorders>
            <w:shd w:val="clear" w:color="auto" w:fill="auto"/>
            <w:noWrap/>
            <w:vAlign w:val="bottom"/>
            <w:hideMark/>
          </w:tcPr>
          <w:p w:rsidR="005759FD" w:rsidRDefault="005759FD">
            <w:pPr>
              <w:jc w:val="center"/>
              <w:rPr>
                <w:rFonts w:ascii="Calibri" w:hAnsi="Calibri" w:cs="Calibri"/>
                <w:color w:val="000000"/>
                <w:sz w:val="22"/>
                <w:szCs w:val="22"/>
              </w:rPr>
            </w:pPr>
            <w:r>
              <w:rPr>
                <w:rFonts w:ascii="Calibri" w:hAnsi="Calibri" w:cs="Calibri"/>
                <w:color w:val="000000"/>
                <w:sz w:val="22"/>
                <w:szCs w:val="22"/>
              </w:rPr>
              <w:t>(High Efficiency Boilers)</w:t>
            </w:r>
          </w:p>
        </w:tc>
      </w:tr>
      <w:tr w:rsidR="005759FD" w:rsidTr="005759FD">
        <w:trPr>
          <w:trHeight w:val="300"/>
          <w:jc w:val="center"/>
        </w:trPr>
        <w:tc>
          <w:tcPr>
            <w:tcW w:w="1916" w:type="dxa"/>
            <w:tcBorders>
              <w:top w:val="nil"/>
              <w:left w:val="single" w:sz="8" w:space="0" w:color="auto"/>
              <w:bottom w:val="single" w:sz="4" w:space="0" w:color="auto"/>
              <w:right w:val="single" w:sz="4" w:space="0" w:color="auto"/>
            </w:tcBorders>
            <w:shd w:val="clear" w:color="auto" w:fill="auto"/>
            <w:noWrap/>
            <w:vAlign w:val="bottom"/>
            <w:hideMark/>
          </w:tcPr>
          <w:p w:rsidR="005759FD" w:rsidRDefault="005759FD">
            <w:pPr>
              <w:rPr>
                <w:rFonts w:ascii="Calibri" w:hAnsi="Calibri" w:cs="Calibri"/>
                <w:color w:val="000000"/>
                <w:sz w:val="22"/>
                <w:szCs w:val="22"/>
              </w:rPr>
            </w:pPr>
            <w:r>
              <w:rPr>
                <w:rFonts w:ascii="Calibri" w:hAnsi="Calibri" w:cs="Calibri"/>
                <w:color w:val="000000"/>
                <w:sz w:val="22"/>
                <w:szCs w:val="22"/>
              </w:rPr>
              <w:t>Hot Water</w:t>
            </w:r>
          </w:p>
        </w:tc>
        <w:tc>
          <w:tcPr>
            <w:tcW w:w="1144" w:type="dxa"/>
            <w:tcBorders>
              <w:top w:val="nil"/>
              <w:left w:val="nil"/>
              <w:bottom w:val="single" w:sz="4" w:space="0" w:color="auto"/>
              <w:right w:val="single" w:sz="8" w:space="0" w:color="auto"/>
            </w:tcBorders>
            <w:shd w:val="clear" w:color="auto" w:fill="auto"/>
            <w:noWrap/>
            <w:vAlign w:val="bottom"/>
            <w:hideMark/>
          </w:tcPr>
          <w:p w:rsidR="005759FD" w:rsidRDefault="005759FD">
            <w:pPr>
              <w:jc w:val="right"/>
              <w:rPr>
                <w:rFonts w:ascii="Calibri" w:hAnsi="Calibri" w:cs="Calibri"/>
                <w:color w:val="000000"/>
                <w:sz w:val="22"/>
                <w:szCs w:val="22"/>
              </w:rPr>
            </w:pPr>
            <w:r>
              <w:rPr>
                <w:rFonts w:ascii="Calibri" w:hAnsi="Calibri" w:cs="Calibri"/>
                <w:color w:val="000000"/>
                <w:sz w:val="22"/>
                <w:szCs w:val="22"/>
              </w:rPr>
              <w:t>89.4%</w:t>
            </w:r>
          </w:p>
        </w:tc>
      </w:tr>
      <w:tr w:rsidR="005759FD" w:rsidTr="005759FD">
        <w:trPr>
          <w:trHeight w:val="315"/>
          <w:jc w:val="center"/>
        </w:trPr>
        <w:tc>
          <w:tcPr>
            <w:tcW w:w="1916" w:type="dxa"/>
            <w:tcBorders>
              <w:top w:val="nil"/>
              <w:left w:val="single" w:sz="8" w:space="0" w:color="auto"/>
              <w:bottom w:val="single" w:sz="8" w:space="0" w:color="auto"/>
              <w:right w:val="single" w:sz="4" w:space="0" w:color="auto"/>
            </w:tcBorders>
            <w:shd w:val="clear" w:color="auto" w:fill="auto"/>
            <w:noWrap/>
            <w:vAlign w:val="bottom"/>
            <w:hideMark/>
          </w:tcPr>
          <w:p w:rsidR="005759FD" w:rsidRDefault="005759FD">
            <w:pPr>
              <w:rPr>
                <w:rFonts w:ascii="Calibri" w:hAnsi="Calibri" w:cs="Calibri"/>
                <w:color w:val="000000"/>
                <w:sz w:val="22"/>
                <w:szCs w:val="22"/>
              </w:rPr>
            </w:pPr>
            <w:r>
              <w:rPr>
                <w:rFonts w:ascii="Calibri" w:hAnsi="Calibri" w:cs="Calibri"/>
                <w:color w:val="000000"/>
                <w:sz w:val="22"/>
                <w:szCs w:val="22"/>
              </w:rPr>
              <w:t>Steam</w:t>
            </w:r>
          </w:p>
        </w:tc>
        <w:tc>
          <w:tcPr>
            <w:tcW w:w="1144" w:type="dxa"/>
            <w:tcBorders>
              <w:top w:val="nil"/>
              <w:left w:val="nil"/>
              <w:bottom w:val="single" w:sz="8" w:space="0" w:color="auto"/>
              <w:right w:val="single" w:sz="8" w:space="0" w:color="auto"/>
            </w:tcBorders>
            <w:shd w:val="clear" w:color="auto" w:fill="auto"/>
            <w:noWrap/>
            <w:vAlign w:val="bottom"/>
            <w:hideMark/>
          </w:tcPr>
          <w:p w:rsidR="005759FD" w:rsidRDefault="005759FD">
            <w:pPr>
              <w:jc w:val="right"/>
              <w:rPr>
                <w:rFonts w:ascii="Calibri" w:hAnsi="Calibri" w:cs="Calibri"/>
                <w:color w:val="000000"/>
                <w:sz w:val="22"/>
                <w:szCs w:val="22"/>
              </w:rPr>
            </w:pPr>
            <w:r>
              <w:rPr>
                <w:rFonts w:ascii="Calibri" w:hAnsi="Calibri" w:cs="Calibri"/>
                <w:color w:val="000000"/>
                <w:sz w:val="22"/>
                <w:szCs w:val="22"/>
              </w:rPr>
              <w:t>84.4%</w:t>
            </w:r>
          </w:p>
        </w:tc>
      </w:tr>
    </w:tbl>
    <w:p w:rsidR="004F588A" w:rsidRDefault="004F588A" w:rsidP="004F588A">
      <w:pPr>
        <w:jc w:val="center"/>
        <w:rPr>
          <w:rFonts w:ascii="Arial" w:hAnsi="Arial" w:cs="Arial"/>
          <w:color w:val="FF0000"/>
          <w:sz w:val="22"/>
          <w:szCs w:val="22"/>
        </w:rPr>
      </w:pPr>
    </w:p>
    <w:p w:rsidR="003E5998" w:rsidRDefault="003E5998" w:rsidP="003E5998">
      <w:pPr>
        <w:rPr>
          <w:rFonts w:ascii="Arial" w:hAnsi="Arial" w:cs="Arial"/>
          <w:color w:val="FF0000"/>
          <w:sz w:val="22"/>
          <w:szCs w:val="22"/>
        </w:rPr>
      </w:pPr>
    </w:p>
    <w:p w:rsidR="005759FD" w:rsidRDefault="005759FD" w:rsidP="003E5998">
      <w:pPr>
        <w:rPr>
          <w:rFonts w:ascii="Arial" w:hAnsi="Arial" w:cs="Arial"/>
          <w:color w:val="FF0000"/>
          <w:sz w:val="22"/>
          <w:szCs w:val="22"/>
        </w:rPr>
      </w:pPr>
    </w:p>
    <w:p w:rsidR="003E5998" w:rsidRPr="00A961E9" w:rsidRDefault="003E5998" w:rsidP="004F588A">
      <w:pPr>
        <w:jc w:val="center"/>
        <w:rPr>
          <w:rFonts w:ascii="Arial" w:hAnsi="Arial" w:cs="Arial"/>
          <w:color w:val="FF0000"/>
          <w:sz w:val="22"/>
          <w:szCs w:val="22"/>
        </w:rPr>
      </w:pPr>
    </w:p>
    <w:p w:rsidR="00EC7B2D" w:rsidRPr="004F2BFC" w:rsidRDefault="00487828" w:rsidP="00487828">
      <w:pPr>
        <w:rPr>
          <w:rFonts w:ascii="Arial" w:hAnsi="Arial" w:cs="Arial"/>
          <w:b/>
          <w:sz w:val="22"/>
          <w:szCs w:val="22"/>
        </w:rPr>
      </w:pPr>
      <w:r w:rsidRPr="004F2BFC">
        <w:rPr>
          <w:rFonts w:ascii="Arial" w:hAnsi="Arial" w:cs="Arial"/>
          <w:b/>
          <w:sz w:val="22"/>
          <w:szCs w:val="22"/>
        </w:rPr>
        <w:t>∆</w:t>
      </w:r>
      <w:proofErr w:type="spellStart"/>
      <w:r w:rsidRPr="004F2BFC">
        <w:rPr>
          <w:rFonts w:ascii="Arial" w:hAnsi="Arial" w:cs="Arial"/>
          <w:b/>
          <w:sz w:val="22"/>
          <w:szCs w:val="22"/>
        </w:rPr>
        <w:t>Therms</w:t>
      </w:r>
      <w:proofErr w:type="spellEnd"/>
      <w:r w:rsidRPr="004F2BFC">
        <w:rPr>
          <w:rFonts w:ascii="Arial" w:hAnsi="Arial" w:cs="Arial"/>
          <w:b/>
          <w:sz w:val="22"/>
          <w:szCs w:val="22"/>
        </w:rPr>
        <w:t xml:space="preserve"> per </w:t>
      </w:r>
      <w:proofErr w:type="spellStart"/>
      <w:r w:rsidRPr="004F2BFC">
        <w:rPr>
          <w:rFonts w:ascii="Arial" w:hAnsi="Arial" w:cs="Arial"/>
          <w:b/>
          <w:sz w:val="22"/>
          <w:szCs w:val="22"/>
        </w:rPr>
        <w:t>kBTUh</w:t>
      </w:r>
      <w:proofErr w:type="spellEnd"/>
      <w:r w:rsidR="00BE4687" w:rsidRPr="004F2BFC">
        <w:rPr>
          <w:rFonts w:ascii="Arial" w:hAnsi="Arial" w:cs="Arial"/>
          <w:b/>
          <w:sz w:val="22"/>
          <w:szCs w:val="22"/>
        </w:rPr>
        <w:t xml:space="preserve"> for H11</w:t>
      </w:r>
      <w:r w:rsidR="00C8731E" w:rsidRPr="004F2BFC">
        <w:rPr>
          <w:rFonts w:ascii="Arial" w:hAnsi="Arial" w:cs="Arial"/>
          <w:b/>
          <w:sz w:val="22"/>
          <w:szCs w:val="22"/>
        </w:rPr>
        <w:t xml:space="preserve"> and H15</w:t>
      </w:r>
      <w:r w:rsidRPr="004F2BFC">
        <w:rPr>
          <w:rFonts w:ascii="Arial" w:hAnsi="Arial" w:cs="Arial"/>
          <w:b/>
          <w:sz w:val="22"/>
          <w:szCs w:val="22"/>
        </w:rPr>
        <w:t>:</w:t>
      </w:r>
      <w:r w:rsidRPr="004F2BFC" w:rsidDel="00CF3FF0">
        <w:rPr>
          <w:rFonts w:ascii="Arial" w:hAnsi="Arial" w:cs="Arial"/>
          <w:b/>
          <w:sz w:val="22"/>
          <w:szCs w:val="22"/>
        </w:rPr>
        <w:t xml:space="preserve"> </w:t>
      </w:r>
    </w:p>
    <w:p w:rsidR="00487828" w:rsidRPr="004F2BFC" w:rsidRDefault="00487828" w:rsidP="00487828">
      <w:pPr>
        <w:rPr>
          <w:rFonts w:ascii="Arial" w:hAnsi="Arial" w:cs="Arial"/>
          <w:sz w:val="22"/>
          <w:szCs w:val="22"/>
        </w:rPr>
      </w:pPr>
      <w:r w:rsidRPr="004F2BFC">
        <w:rPr>
          <w:rFonts w:ascii="Arial" w:hAnsi="Arial" w:cs="Arial"/>
          <w:sz w:val="22"/>
          <w:szCs w:val="22"/>
        </w:rPr>
        <w:t>The gas savings (</w:t>
      </w:r>
      <w:proofErr w:type="spellStart"/>
      <w:r w:rsidR="00F3361F" w:rsidRPr="004F2BFC">
        <w:rPr>
          <w:rFonts w:ascii="Arial" w:hAnsi="Arial" w:cs="Arial"/>
          <w:sz w:val="22"/>
          <w:szCs w:val="22"/>
        </w:rPr>
        <w:t>t</w:t>
      </w:r>
      <w:r w:rsidRPr="004F2BFC">
        <w:rPr>
          <w:rFonts w:ascii="Arial" w:hAnsi="Arial" w:cs="Arial"/>
          <w:sz w:val="22"/>
          <w:szCs w:val="22"/>
        </w:rPr>
        <w:t>herms</w:t>
      </w:r>
      <w:proofErr w:type="spellEnd"/>
      <w:r w:rsidRPr="004F2BFC">
        <w:rPr>
          <w:rFonts w:ascii="Arial" w:hAnsi="Arial" w:cs="Arial"/>
          <w:sz w:val="22"/>
          <w:szCs w:val="22"/>
        </w:rPr>
        <w:t xml:space="preserve"> per </w:t>
      </w:r>
      <w:proofErr w:type="spellStart"/>
      <w:r w:rsidRPr="004F2BFC">
        <w:rPr>
          <w:rFonts w:ascii="Arial" w:hAnsi="Arial" w:cs="Arial"/>
          <w:sz w:val="22"/>
          <w:szCs w:val="22"/>
        </w:rPr>
        <w:t>kBTUh</w:t>
      </w:r>
      <w:proofErr w:type="spellEnd"/>
      <w:r w:rsidRPr="004F2BFC">
        <w:rPr>
          <w:rFonts w:ascii="Arial" w:hAnsi="Arial" w:cs="Arial"/>
          <w:sz w:val="22"/>
          <w:szCs w:val="22"/>
        </w:rPr>
        <w:t>) for measures H11</w:t>
      </w:r>
      <w:r w:rsidR="00D327F3" w:rsidRPr="004F2BFC">
        <w:rPr>
          <w:rFonts w:ascii="Arial" w:hAnsi="Arial" w:cs="Arial"/>
          <w:sz w:val="22"/>
          <w:szCs w:val="22"/>
        </w:rPr>
        <w:t xml:space="preserve"> and</w:t>
      </w:r>
      <w:r w:rsidRPr="004F2BFC">
        <w:rPr>
          <w:rFonts w:ascii="Arial" w:hAnsi="Arial" w:cs="Arial"/>
          <w:sz w:val="22"/>
          <w:szCs w:val="22"/>
        </w:rPr>
        <w:t xml:space="preserve"> H1</w:t>
      </w:r>
      <w:r w:rsidR="00D327F3" w:rsidRPr="004F2BFC">
        <w:rPr>
          <w:rFonts w:ascii="Arial" w:hAnsi="Arial" w:cs="Arial"/>
          <w:sz w:val="22"/>
          <w:szCs w:val="22"/>
        </w:rPr>
        <w:t>5</w:t>
      </w:r>
      <w:r w:rsidRPr="004F2BFC">
        <w:rPr>
          <w:rFonts w:ascii="Arial" w:hAnsi="Arial" w:cs="Arial"/>
          <w:sz w:val="22"/>
          <w:szCs w:val="22"/>
        </w:rPr>
        <w:t xml:space="preserve"> is </w:t>
      </w:r>
      <w:r w:rsidR="00C8731E" w:rsidRPr="004F2BFC">
        <w:rPr>
          <w:rFonts w:ascii="Arial" w:hAnsi="Arial" w:cs="Arial"/>
          <w:sz w:val="22"/>
          <w:szCs w:val="22"/>
        </w:rPr>
        <w:t xml:space="preserve">based on </w:t>
      </w:r>
      <w:r w:rsidRPr="004F2BFC">
        <w:rPr>
          <w:rFonts w:ascii="Arial" w:hAnsi="Arial" w:cs="Arial"/>
          <w:sz w:val="22"/>
          <w:szCs w:val="22"/>
        </w:rPr>
        <w:t xml:space="preserve">the </w:t>
      </w:r>
      <w:r w:rsidR="00C8731E" w:rsidRPr="004F2BFC">
        <w:rPr>
          <w:rFonts w:ascii="Arial" w:hAnsi="Arial" w:cs="Arial"/>
          <w:sz w:val="22"/>
          <w:szCs w:val="22"/>
        </w:rPr>
        <w:t xml:space="preserve">difference between the annual gas usage </w:t>
      </w:r>
      <w:r w:rsidR="00B75FA6">
        <w:rPr>
          <w:rFonts w:ascii="Arial" w:hAnsi="Arial" w:cs="Arial"/>
          <w:sz w:val="22"/>
          <w:szCs w:val="22"/>
        </w:rPr>
        <w:t>of</w:t>
      </w:r>
      <w:r w:rsidR="00B75FA6" w:rsidRPr="004F2BFC">
        <w:rPr>
          <w:rFonts w:ascii="Arial" w:hAnsi="Arial" w:cs="Arial"/>
          <w:sz w:val="22"/>
          <w:szCs w:val="22"/>
        </w:rPr>
        <w:t xml:space="preserve"> </w:t>
      </w:r>
      <w:r w:rsidR="00C8731E" w:rsidRPr="004F2BFC">
        <w:rPr>
          <w:rFonts w:ascii="Arial" w:hAnsi="Arial" w:cs="Arial"/>
          <w:sz w:val="22"/>
          <w:szCs w:val="22"/>
        </w:rPr>
        <w:t>the base case boiler and the measure boiler.</w:t>
      </w:r>
      <w:r w:rsidR="00990CC6" w:rsidRPr="004F2BFC">
        <w:rPr>
          <w:rFonts w:ascii="Arial" w:hAnsi="Arial" w:cs="Arial"/>
          <w:sz w:val="22"/>
          <w:szCs w:val="22"/>
        </w:rPr>
        <w:t xml:space="preserve"> </w:t>
      </w:r>
      <w:r w:rsidR="00B04B0C">
        <w:rPr>
          <w:rFonts w:ascii="Arial" w:hAnsi="Arial" w:cs="Arial"/>
          <w:sz w:val="22"/>
          <w:szCs w:val="22"/>
        </w:rPr>
        <w:t>The gas savings for these measures is defined as:</w:t>
      </w:r>
    </w:p>
    <w:p w:rsidR="00487828" w:rsidRPr="00A961E9" w:rsidRDefault="00487828" w:rsidP="00487828">
      <w:pPr>
        <w:ind w:left="720"/>
        <w:rPr>
          <w:rFonts w:ascii="Arial" w:hAnsi="Arial" w:cs="Arial"/>
          <w:color w:val="FF0000"/>
          <w:sz w:val="22"/>
          <w:szCs w:val="22"/>
        </w:rPr>
      </w:pPr>
    </w:p>
    <w:p w:rsidR="00B04B0C" w:rsidRDefault="00B04B0C" w:rsidP="00B04B0C">
      <w:pPr>
        <w:jc w:val="center"/>
        <w:rPr>
          <w:rFonts w:ascii="Arial" w:hAnsi="Arial" w:cs="Arial"/>
          <w:sz w:val="22"/>
          <w:szCs w:val="22"/>
        </w:rPr>
      </w:pPr>
      <m:oMathPara>
        <m:oMath>
          <m:r>
            <w:rPr>
              <w:rFonts w:ascii="Cambria Math" w:hAnsi="Arial" w:cs="Arial"/>
              <w:sz w:val="22"/>
              <w:szCs w:val="22"/>
            </w:rPr>
            <m:t>GS=BCGU</m:t>
          </m:r>
          <m:r>
            <w:rPr>
              <w:rFonts w:ascii="Cambria Math" w:hAnsi="Cambria Math" w:cs="Arial"/>
              <w:sz w:val="22"/>
              <w:szCs w:val="22"/>
            </w:rPr>
            <m:t>-MCGU</m:t>
          </m:r>
        </m:oMath>
      </m:oMathPara>
    </w:p>
    <w:p w:rsidR="00487828" w:rsidRDefault="00487828" w:rsidP="00487828">
      <w:pPr>
        <w:rPr>
          <w:rFonts w:ascii="Arial" w:hAnsi="Arial" w:cs="Arial"/>
          <w:b/>
          <w:color w:val="FF0000"/>
          <w:sz w:val="22"/>
          <w:szCs w:val="22"/>
        </w:rPr>
      </w:pPr>
    </w:p>
    <w:p w:rsidR="00B04B0C" w:rsidRPr="00B04B0C" w:rsidRDefault="00B04B0C" w:rsidP="00487828">
      <w:pPr>
        <w:rPr>
          <w:rFonts w:ascii="Arial" w:hAnsi="Arial" w:cs="Arial"/>
          <w:sz w:val="22"/>
          <w:szCs w:val="22"/>
        </w:rPr>
      </w:pPr>
      <w:r w:rsidRPr="00B04B0C">
        <w:rPr>
          <w:rFonts w:ascii="Arial" w:hAnsi="Arial" w:cs="Arial"/>
          <w:sz w:val="22"/>
          <w:szCs w:val="22"/>
        </w:rPr>
        <w:t>Where,</w:t>
      </w:r>
    </w:p>
    <w:p w:rsidR="00B04B0C" w:rsidRDefault="009145B5" w:rsidP="00487828">
      <w:pPr>
        <w:rPr>
          <w:rFonts w:ascii="Arial" w:hAnsi="Arial" w:cs="Arial"/>
          <w:sz w:val="22"/>
          <w:szCs w:val="22"/>
        </w:rPr>
      </w:pPr>
      <w:r>
        <w:rPr>
          <w:rFonts w:ascii="Arial" w:hAnsi="Arial" w:cs="Arial"/>
          <w:sz w:val="22"/>
          <w:szCs w:val="22"/>
        </w:rPr>
        <w:tab/>
        <w:t>GS</w:t>
      </w:r>
      <w:r>
        <w:rPr>
          <w:rFonts w:ascii="Arial" w:hAnsi="Arial" w:cs="Arial"/>
          <w:sz w:val="22"/>
          <w:szCs w:val="22"/>
        </w:rPr>
        <w:tab/>
        <w:t>= g</w:t>
      </w:r>
      <w:r w:rsidR="00B04B0C" w:rsidRPr="00B04B0C">
        <w:rPr>
          <w:rFonts w:ascii="Arial" w:hAnsi="Arial" w:cs="Arial"/>
          <w:sz w:val="22"/>
          <w:szCs w:val="22"/>
        </w:rPr>
        <w:t xml:space="preserve">as savings, </w:t>
      </w:r>
      <w:proofErr w:type="spellStart"/>
      <w:r w:rsidR="00B04B0C" w:rsidRPr="00B04B0C">
        <w:rPr>
          <w:rFonts w:ascii="Arial" w:hAnsi="Arial" w:cs="Arial"/>
          <w:sz w:val="22"/>
          <w:szCs w:val="22"/>
        </w:rPr>
        <w:t>therms</w:t>
      </w:r>
      <w:proofErr w:type="spellEnd"/>
      <w:r w:rsidR="00B04B0C" w:rsidRPr="00B04B0C">
        <w:rPr>
          <w:rFonts w:ascii="Arial" w:hAnsi="Arial" w:cs="Arial"/>
          <w:sz w:val="22"/>
          <w:szCs w:val="22"/>
        </w:rPr>
        <w:t xml:space="preserve"> / </w:t>
      </w:r>
      <w:proofErr w:type="spellStart"/>
      <w:r w:rsidR="00B04B0C" w:rsidRPr="00B04B0C">
        <w:rPr>
          <w:rFonts w:ascii="Arial" w:hAnsi="Arial" w:cs="Arial"/>
          <w:sz w:val="22"/>
          <w:szCs w:val="22"/>
        </w:rPr>
        <w:t>kBTUh</w:t>
      </w:r>
      <w:proofErr w:type="spellEnd"/>
      <w:r w:rsidR="00B04B0C" w:rsidRPr="00B04B0C">
        <w:rPr>
          <w:rFonts w:ascii="Arial" w:hAnsi="Arial" w:cs="Arial"/>
          <w:sz w:val="22"/>
          <w:szCs w:val="22"/>
        </w:rPr>
        <w:t xml:space="preserve"> input rating</w:t>
      </w:r>
    </w:p>
    <w:p w:rsidR="00B04B0C" w:rsidRDefault="009145B5" w:rsidP="00487828">
      <w:pPr>
        <w:rPr>
          <w:rFonts w:ascii="Arial" w:hAnsi="Arial" w:cs="Arial"/>
          <w:sz w:val="22"/>
          <w:szCs w:val="22"/>
        </w:rPr>
      </w:pPr>
      <w:r>
        <w:rPr>
          <w:rFonts w:ascii="Arial" w:hAnsi="Arial" w:cs="Arial"/>
          <w:sz w:val="22"/>
          <w:szCs w:val="22"/>
        </w:rPr>
        <w:tab/>
        <w:t>BCGU</w:t>
      </w:r>
      <w:r>
        <w:rPr>
          <w:rFonts w:ascii="Arial" w:hAnsi="Arial" w:cs="Arial"/>
          <w:sz w:val="22"/>
          <w:szCs w:val="22"/>
        </w:rPr>
        <w:tab/>
        <w:t>= b</w:t>
      </w:r>
      <w:r w:rsidR="00B04B0C">
        <w:rPr>
          <w:rFonts w:ascii="Arial" w:hAnsi="Arial" w:cs="Arial"/>
          <w:sz w:val="22"/>
          <w:szCs w:val="22"/>
        </w:rPr>
        <w:t xml:space="preserve">ase </w:t>
      </w:r>
      <w:r>
        <w:rPr>
          <w:rFonts w:ascii="Arial" w:hAnsi="Arial" w:cs="Arial"/>
          <w:sz w:val="22"/>
          <w:szCs w:val="22"/>
        </w:rPr>
        <w:t>c</w:t>
      </w:r>
      <w:r w:rsidR="00B04B0C">
        <w:rPr>
          <w:rFonts w:ascii="Arial" w:hAnsi="Arial" w:cs="Arial"/>
          <w:sz w:val="22"/>
          <w:szCs w:val="22"/>
        </w:rPr>
        <w:t xml:space="preserve">ase </w:t>
      </w:r>
      <w:r>
        <w:rPr>
          <w:rFonts w:ascii="Arial" w:hAnsi="Arial" w:cs="Arial"/>
          <w:sz w:val="22"/>
          <w:szCs w:val="22"/>
        </w:rPr>
        <w:t>g</w:t>
      </w:r>
      <w:r w:rsidR="00B04B0C">
        <w:rPr>
          <w:rFonts w:ascii="Arial" w:hAnsi="Arial" w:cs="Arial"/>
          <w:sz w:val="22"/>
          <w:szCs w:val="22"/>
        </w:rPr>
        <w:t xml:space="preserve">as </w:t>
      </w:r>
      <w:r>
        <w:rPr>
          <w:rFonts w:ascii="Arial" w:hAnsi="Arial" w:cs="Arial"/>
          <w:sz w:val="22"/>
          <w:szCs w:val="22"/>
        </w:rPr>
        <w:t>u</w:t>
      </w:r>
      <w:r w:rsidR="00B04B0C">
        <w:rPr>
          <w:rFonts w:ascii="Arial" w:hAnsi="Arial" w:cs="Arial"/>
          <w:sz w:val="22"/>
          <w:szCs w:val="22"/>
        </w:rPr>
        <w:t xml:space="preserve">sage, </w:t>
      </w:r>
      <w:proofErr w:type="spellStart"/>
      <w:r w:rsidR="00B04B0C">
        <w:rPr>
          <w:rFonts w:ascii="Arial" w:hAnsi="Arial" w:cs="Arial"/>
          <w:sz w:val="22"/>
          <w:szCs w:val="22"/>
        </w:rPr>
        <w:t>therms</w:t>
      </w:r>
      <w:proofErr w:type="spellEnd"/>
      <w:r w:rsidR="00B04B0C">
        <w:rPr>
          <w:rFonts w:ascii="Arial" w:hAnsi="Arial" w:cs="Arial"/>
          <w:sz w:val="22"/>
          <w:szCs w:val="22"/>
        </w:rPr>
        <w:t xml:space="preserve"> / </w:t>
      </w:r>
      <w:proofErr w:type="spellStart"/>
      <w:r w:rsidR="00B04B0C">
        <w:rPr>
          <w:rFonts w:ascii="Arial" w:hAnsi="Arial" w:cs="Arial"/>
          <w:sz w:val="22"/>
          <w:szCs w:val="22"/>
        </w:rPr>
        <w:t>kBTUh</w:t>
      </w:r>
      <w:proofErr w:type="spellEnd"/>
      <w:r w:rsidR="00B04B0C">
        <w:rPr>
          <w:rFonts w:ascii="Arial" w:hAnsi="Arial" w:cs="Arial"/>
          <w:sz w:val="22"/>
          <w:szCs w:val="22"/>
        </w:rPr>
        <w:t xml:space="preserve"> input rating</w:t>
      </w:r>
    </w:p>
    <w:p w:rsidR="00B04B0C" w:rsidRDefault="009145B5" w:rsidP="00487828">
      <w:pPr>
        <w:rPr>
          <w:rFonts w:ascii="Arial" w:hAnsi="Arial" w:cs="Arial"/>
          <w:sz w:val="22"/>
          <w:szCs w:val="22"/>
        </w:rPr>
      </w:pPr>
      <w:r>
        <w:rPr>
          <w:rFonts w:ascii="Arial" w:hAnsi="Arial" w:cs="Arial"/>
          <w:sz w:val="22"/>
          <w:szCs w:val="22"/>
        </w:rPr>
        <w:tab/>
        <w:t>MCGU</w:t>
      </w:r>
      <w:r>
        <w:rPr>
          <w:rFonts w:ascii="Arial" w:hAnsi="Arial" w:cs="Arial"/>
          <w:sz w:val="22"/>
          <w:szCs w:val="22"/>
        </w:rPr>
        <w:tab/>
        <w:t>= measure case g</w:t>
      </w:r>
      <w:r w:rsidR="00B04B0C">
        <w:rPr>
          <w:rFonts w:ascii="Arial" w:hAnsi="Arial" w:cs="Arial"/>
          <w:sz w:val="22"/>
          <w:szCs w:val="22"/>
        </w:rPr>
        <w:t xml:space="preserve">as </w:t>
      </w:r>
      <w:r>
        <w:rPr>
          <w:rFonts w:ascii="Arial" w:hAnsi="Arial" w:cs="Arial"/>
          <w:sz w:val="22"/>
          <w:szCs w:val="22"/>
        </w:rPr>
        <w:t>u</w:t>
      </w:r>
      <w:r w:rsidR="00B04B0C">
        <w:rPr>
          <w:rFonts w:ascii="Arial" w:hAnsi="Arial" w:cs="Arial"/>
          <w:sz w:val="22"/>
          <w:szCs w:val="22"/>
        </w:rPr>
        <w:t xml:space="preserve">sage, </w:t>
      </w:r>
      <w:proofErr w:type="spellStart"/>
      <w:r w:rsidR="00B04B0C">
        <w:rPr>
          <w:rFonts w:ascii="Arial" w:hAnsi="Arial" w:cs="Arial"/>
          <w:sz w:val="22"/>
          <w:szCs w:val="22"/>
        </w:rPr>
        <w:t>therms</w:t>
      </w:r>
      <w:proofErr w:type="spellEnd"/>
      <w:r w:rsidR="00B04B0C">
        <w:rPr>
          <w:rFonts w:ascii="Arial" w:hAnsi="Arial" w:cs="Arial"/>
          <w:sz w:val="22"/>
          <w:szCs w:val="22"/>
        </w:rPr>
        <w:t xml:space="preserve"> / </w:t>
      </w:r>
      <w:proofErr w:type="spellStart"/>
      <w:r w:rsidR="00B04B0C">
        <w:rPr>
          <w:rFonts w:ascii="Arial" w:hAnsi="Arial" w:cs="Arial"/>
          <w:sz w:val="22"/>
          <w:szCs w:val="22"/>
        </w:rPr>
        <w:t>kBTUh</w:t>
      </w:r>
      <w:proofErr w:type="spellEnd"/>
      <w:r w:rsidR="00B04B0C">
        <w:rPr>
          <w:rFonts w:ascii="Arial" w:hAnsi="Arial" w:cs="Arial"/>
          <w:sz w:val="22"/>
          <w:szCs w:val="22"/>
        </w:rPr>
        <w:t xml:space="preserve"> input rating</w:t>
      </w:r>
    </w:p>
    <w:p w:rsidR="00B04B0C" w:rsidRDefault="00B04B0C" w:rsidP="00487828">
      <w:pPr>
        <w:rPr>
          <w:rFonts w:ascii="Arial" w:hAnsi="Arial" w:cs="Arial"/>
          <w:sz w:val="22"/>
          <w:szCs w:val="22"/>
        </w:rPr>
      </w:pPr>
    </w:p>
    <w:p w:rsidR="00B04B0C" w:rsidRDefault="00B75FA6" w:rsidP="00487828">
      <w:pPr>
        <w:rPr>
          <w:rFonts w:ascii="Arial" w:hAnsi="Arial" w:cs="Arial"/>
          <w:sz w:val="22"/>
          <w:szCs w:val="22"/>
        </w:rPr>
      </w:pPr>
      <w:r w:rsidRPr="004F2BFC">
        <w:rPr>
          <w:rFonts w:ascii="Arial" w:hAnsi="Arial" w:cs="Arial"/>
          <w:sz w:val="22"/>
          <w:szCs w:val="22"/>
        </w:rPr>
        <w:t xml:space="preserve">Base case annual gas usage is based the average capacity factor, and operating hours. </w:t>
      </w:r>
      <w:r w:rsidR="00B04B0C">
        <w:rPr>
          <w:rFonts w:ascii="Arial" w:hAnsi="Arial" w:cs="Arial"/>
          <w:sz w:val="22"/>
          <w:szCs w:val="22"/>
        </w:rPr>
        <w:t>The base case gas usage is calculated as:</w:t>
      </w:r>
    </w:p>
    <w:p w:rsidR="00B04B0C" w:rsidRDefault="00B04B0C" w:rsidP="00487828">
      <w:pPr>
        <w:rPr>
          <w:rFonts w:ascii="Arial" w:hAnsi="Arial" w:cs="Arial"/>
          <w:sz w:val="22"/>
          <w:szCs w:val="22"/>
        </w:rPr>
      </w:pPr>
    </w:p>
    <w:p w:rsidR="00B04B0C" w:rsidRDefault="00B04B0C" w:rsidP="00B04B0C">
      <w:pPr>
        <w:jc w:val="center"/>
        <w:rPr>
          <w:rFonts w:ascii="Arial" w:hAnsi="Arial" w:cs="Arial"/>
          <w:sz w:val="22"/>
          <w:szCs w:val="22"/>
        </w:rPr>
      </w:pPr>
      <m:oMathPara>
        <m:oMath>
          <m:r>
            <w:rPr>
              <w:rFonts w:ascii="Cambria Math" w:hAnsi="Arial" w:cs="Arial"/>
              <w:sz w:val="22"/>
              <w:szCs w:val="22"/>
            </w:rPr>
            <m:t>BCGU=</m:t>
          </m:r>
          <m:sSub>
            <m:sSubPr>
              <m:ctrlPr>
                <w:rPr>
                  <w:rFonts w:ascii="Cambria Math" w:hAnsi="Arial" w:cs="Arial"/>
                  <w:i/>
                  <w:sz w:val="22"/>
                  <w:szCs w:val="22"/>
                </w:rPr>
              </m:ctrlPr>
            </m:sSubPr>
            <m:e>
              <m:r>
                <w:rPr>
                  <w:rFonts w:ascii="Cambria Math" w:hAnsi="Arial" w:cs="Arial"/>
                  <w:sz w:val="22"/>
                  <w:szCs w:val="22"/>
                </w:rPr>
                <m:t>CF</m:t>
              </m:r>
            </m:e>
            <m:sub>
              <m:r>
                <w:rPr>
                  <w:rFonts w:ascii="Cambria Math" w:hAnsi="Arial" w:cs="Arial"/>
                  <w:sz w:val="22"/>
                  <w:szCs w:val="22"/>
                </w:rPr>
                <m:t>A</m:t>
              </m:r>
            </m:sub>
          </m:sSub>
          <m:r>
            <w:rPr>
              <w:rFonts w:ascii="Cambria Math" w:hAnsi="Arial" w:cs="Arial"/>
              <w:sz w:val="22"/>
              <w:szCs w:val="22"/>
            </w:rPr>
            <m:t>*</m:t>
          </m:r>
          <m:r>
            <w:rPr>
              <w:rFonts w:ascii="Cambria Math" w:hAnsi="Arial" w:cs="Arial"/>
              <w:sz w:val="22"/>
              <w:szCs w:val="22"/>
            </w:rPr>
            <m:t>H</m:t>
          </m:r>
          <m:r>
            <w:rPr>
              <w:rFonts w:ascii="Cambria Math" w:hAnsi="Arial" w:cs="Arial"/>
              <w:sz w:val="22"/>
              <w:szCs w:val="22"/>
            </w:rPr>
            <m:t>*</m:t>
          </m:r>
          <m:r>
            <w:rPr>
              <w:rFonts w:ascii="Cambria Math" w:hAnsi="Arial" w:cs="Arial"/>
              <w:sz w:val="22"/>
              <w:szCs w:val="22"/>
            </w:rPr>
            <m:t>C</m:t>
          </m:r>
        </m:oMath>
      </m:oMathPara>
    </w:p>
    <w:p w:rsidR="00B04B0C" w:rsidRDefault="00B04B0C" w:rsidP="00487828">
      <w:pPr>
        <w:rPr>
          <w:rFonts w:ascii="Arial" w:hAnsi="Arial" w:cs="Arial"/>
          <w:sz w:val="22"/>
          <w:szCs w:val="22"/>
        </w:rPr>
      </w:pPr>
    </w:p>
    <w:p w:rsidR="00B04B0C" w:rsidRDefault="00B04B0C" w:rsidP="00487828">
      <w:pPr>
        <w:rPr>
          <w:rFonts w:ascii="Arial" w:hAnsi="Arial" w:cs="Arial"/>
          <w:sz w:val="22"/>
          <w:szCs w:val="22"/>
        </w:rPr>
      </w:pPr>
      <w:r>
        <w:rPr>
          <w:rFonts w:ascii="Arial" w:hAnsi="Arial" w:cs="Arial"/>
          <w:sz w:val="22"/>
          <w:szCs w:val="22"/>
        </w:rPr>
        <w:t xml:space="preserve">Where, </w:t>
      </w:r>
    </w:p>
    <w:p w:rsidR="00B04B0C" w:rsidRDefault="00B04B0C" w:rsidP="00487828">
      <w:pPr>
        <w:rPr>
          <w:rFonts w:ascii="Arial" w:hAnsi="Arial" w:cs="Arial"/>
          <w:sz w:val="22"/>
          <w:szCs w:val="22"/>
        </w:rPr>
      </w:pPr>
      <w:r>
        <w:rPr>
          <w:rFonts w:ascii="Arial" w:hAnsi="Arial" w:cs="Arial"/>
          <w:sz w:val="22"/>
          <w:szCs w:val="22"/>
        </w:rPr>
        <w:tab/>
      </w:r>
      <m:oMath>
        <m:sSub>
          <m:sSubPr>
            <m:ctrlPr>
              <w:rPr>
                <w:rFonts w:ascii="Cambria Math" w:hAnsi="Arial" w:cs="Arial"/>
                <w:i/>
                <w:sz w:val="22"/>
                <w:szCs w:val="22"/>
              </w:rPr>
            </m:ctrlPr>
          </m:sSubPr>
          <m:e>
            <m:r>
              <w:rPr>
                <w:rFonts w:ascii="Cambria Math" w:hAnsi="Arial" w:cs="Arial"/>
                <w:sz w:val="22"/>
                <w:szCs w:val="22"/>
              </w:rPr>
              <m:t>CF</m:t>
            </m:r>
          </m:e>
          <m:sub>
            <m:r>
              <w:rPr>
                <w:rFonts w:ascii="Cambria Math" w:hAnsi="Arial" w:cs="Arial"/>
                <w:sz w:val="22"/>
                <w:szCs w:val="22"/>
              </w:rPr>
              <m:t>A</m:t>
            </m:r>
          </m:sub>
        </m:sSub>
      </m:oMath>
      <w:r>
        <w:rPr>
          <w:rFonts w:ascii="Arial" w:hAnsi="Arial" w:cs="Arial"/>
          <w:sz w:val="22"/>
          <w:szCs w:val="22"/>
        </w:rPr>
        <w:t xml:space="preserve">      = 0.419, </w:t>
      </w:r>
      <w:r w:rsidR="009145B5">
        <w:rPr>
          <w:rFonts w:ascii="Arial" w:hAnsi="Arial" w:cs="Arial"/>
          <w:sz w:val="22"/>
          <w:szCs w:val="22"/>
        </w:rPr>
        <w:t>a</w:t>
      </w:r>
      <w:r>
        <w:rPr>
          <w:rFonts w:ascii="Arial" w:hAnsi="Arial" w:cs="Arial"/>
          <w:sz w:val="22"/>
          <w:szCs w:val="22"/>
        </w:rPr>
        <w:t xml:space="preserve">verage </w:t>
      </w:r>
      <w:r w:rsidR="009145B5">
        <w:rPr>
          <w:rFonts w:ascii="Arial" w:hAnsi="Arial" w:cs="Arial"/>
          <w:sz w:val="22"/>
          <w:szCs w:val="22"/>
        </w:rPr>
        <w:t>c</w:t>
      </w:r>
      <w:r>
        <w:rPr>
          <w:rFonts w:ascii="Arial" w:hAnsi="Arial" w:cs="Arial"/>
          <w:sz w:val="22"/>
          <w:szCs w:val="22"/>
        </w:rPr>
        <w:t xml:space="preserve">apacity </w:t>
      </w:r>
      <w:r w:rsidR="009145B5">
        <w:rPr>
          <w:rFonts w:ascii="Arial" w:hAnsi="Arial" w:cs="Arial"/>
          <w:sz w:val="22"/>
          <w:szCs w:val="22"/>
        </w:rPr>
        <w:t>f</w:t>
      </w:r>
      <w:r>
        <w:rPr>
          <w:rFonts w:ascii="Arial" w:hAnsi="Arial" w:cs="Arial"/>
          <w:sz w:val="22"/>
          <w:szCs w:val="22"/>
        </w:rPr>
        <w:t>actor across all industries,</w:t>
      </w:r>
      <w:r w:rsidR="00FA3423">
        <w:rPr>
          <w:rFonts w:ascii="Arial" w:hAnsi="Arial" w:cs="Arial"/>
          <w:sz w:val="22"/>
          <w:szCs w:val="22"/>
        </w:rPr>
        <w:t xml:space="preserve"> no units</w:t>
      </w:r>
    </w:p>
    <w:p w:rsidR="00B04B0C" w:rsidRDefault="00440AAD" w:rsidP="00487828">
      <w:pPr>
        <w:rPr>
          <w:rFonts w:ascii="Arial" w:hAnsi="Arial" w:cs="Arial"/>
          <w:sz w:val="22"/>
          <w:szCs w:val="22"/>
        </w:rPr>
      </w:pPr>
      <w:r>
        <w:rPr>
          <w:rFonts w:ascii="Arial" w:hAnsi="Arial" w:cs="Arial"/>
          <w:sz w:val="22"/>
          <w:szCs w:val="22"/>
        </w:rPr>
        <w:tab/>
        <w:t>H</w:t>
      </w:r>
      <w:r>
        <w:rPr>
          <w:rFonts w:ascii="Arial" w:hAnsi="Arial" w:cs="Arial"/>
          <w:sz w:val="22"/>
          <w:szCs w:val="22"/>
        </w:rPr>
        <w:tab/>
        <w:t xml:space="preserve">= 8,760, </w:t>
      </w:r>
      <w:r w:rsidR="009145B5">
        <w:rPr>
          <w:rFonts w:ascii="Arial" w:hAnsi="Arial" w:cs="Arial"/>
          <w:sz w:val="22"/>
          <w:szCs w:val="22"/>
        </w:rPr>
        <w:t>a</w:t>
      </w:r>
      <w:r w:rsidR="00FA3423">
        <w:rPr>
          <w:rFonts w:ascii="Arial" w:hAnsi="Arial" w:cs="Arial"/>
          <w:sz w:val="22"/>
          <w:szCs w:val="22"/>
        </w:rPr>
        <w:t xml:space="preserve">nnual operating hours, </w:t>
      </w:r>
      <w:proofErr w:type="spellStart"/>
      <w:r w:rsidR="00FA3423">
        <w:rPr>
          <w:rFonts w:ascii="Arial" w:hAnsi="Arial" w:cs="Arial"/>
          <w:sz w:val="22"/>
          <w:szCs w:val="22"/>
        </w:rPr>
        <w:t>hr</w:t>
      </w:r>
      <w:proofErr w:type="spellEnd"/>
      <w:r w:rsidR="00516A96">
        <w:rPr>
          <w:rFonts w:ascii="Arial" w:hAnsi="Arial" w:cs="Arial"/>
          <w:sz w:val="22"/>
          <w:szCs w:val="22"/>
        </w:rPr>
        <w:t>/</w:t>
      </w:r>
      <w:proofErr w:type="spellStart"/>
      <w:r w:rsidR="00516A96">
        <w:rPr>
          <w:rFonts w:ascii="Arial" w:hAnsi="Arial" w:cs="Arial"/>
          <w:sz w:val="22"/>
          <w:szCs w:val="22"/>
        </w:rPr>
        <w:t>yr</w:t>
      </w:r>
      <w:proofErr w:type="spellEnd"/>
    </w:p>
    <w:p w:rsidR="00440AAD" w:rsidRDefault="00440AAD" w:rsidP="00487828">
      <w:pPr>
        <w:rPr>
          <w:rFonts w:ascii="Arial" w:hAnsi="Arial" w:cs="Arial"/>
          <w:sz w:val="22"/>
          <w:szCs w:val="22"/>
        </w:rPr>
      </w:pPr>
      <w:r>
        <w:rPr>
          <w:rFonts w:ascii="Arial" w:hAnsi="Arial" w:cs="Arial"/>
          <w:sz w:val="22"/>
          <w:szCs w:val="22"/>
        </w:rPr>
        <w:tab/>
        <w:t>C</w:t>
      </w:r>
      <w:r>
        <w:rPr>
          <w:rFonts w:ascii="Arial" w:hAnsi="Arial" w:cs="Arial"/>
          <w:sz w:val="22"/>
          <w:szCs w:val="22"/>
        </w:rPr>
        <w:tab/>
        <w:t xml:space="preserve">= 0.01, conversion factor, </w:t>
      </w:r>
      <w:proofErr w:type="spellStart"/>
      <w:r>
        <w:rPr>
          <w:rFonts w:ascii="Arial" w:hAnsi="Arial" w:cs="Arial"/>
          <w:sz w:val="22"/>
          <w:szCs w:val="22"/>
        </w:rPr>
        <w:t>therms</w:t>
      </w:r>
      <w:proofErr w:type="spellEnd"/>
      <w:r>
        <w:rPr>
          <w:rFonts w:ascii="Arial" w:hAnsi="Arial" w:cs="Arial"/>
          <w:sz w:val="22"/>
          <w:szCs w:val="22"/>
        </w:rPr>
        <w:t xml:space="preserve"> / </w:t>
      </w:r>
      <w:proofErr w:type="spellStart"/>
      <w:r>
        <w:rPr>
          <w:rFonts w:ascii="Arial" w:hAnsi="Arial" w:cs="Arial"/>
          <w:sz w:val="22"/>
          <w:szCs w:val="22"/>
        </w:rPr>
        <w:t>kBTU</w:t>
      </w:r>
      <w:proofErr w:type="spellEnd"/>
    </w:p>
    <w:p w:rsidR="00815281" w:rsidRDefault="00815281" w:rsidP="00487828">
      <w:pPr>
        <w:rPr>
          <w:rFonts w:ascii="Arial" w:hAnsi="Arial" w:cs="Arial"/>
          <w:sz w:val="22"/>
          <w:szCs w:val="22"/>
        </w:rPr>
      </w:pPr>
    </w:p>
    <w:p w:rsidR="00440AAD" w:rsidRDefault="00B75FA6" w:rsidP="00487828">
      <w:pPr>
        <w:rPr>
          <w:rFonts w:ascii="Arial" w:hAnsi="Arial" w:cs="Arial"/>
          <w:sz w:val="22"/>
          <w:szCs w:val="22"/>
        </w:rPr>
      </w:pPr>
      <w:r w:rsidRPr="004F2BFC">
        <w:rPr>
          <w:rFonts w:ascii="Arial" w:hAnsi="Arial" w:cs="Arial"/>
          <w:sz w:val="22"/>
          <w:szCs w:val="22"/>
        </w:rPr>
        <w:t>Measure case annual gas consumption is based on the ratio of efficiencies between the base case efficiency and the measure case efficiency.</w:t>
      </w:r>
      <w:r>
        <w:rPr>
          <w:rFonts w:ascii="Arial" w:hAnsi="Arial" w:cs="Arial"/>
          <w:sz w:val="22"/>
          <w:szCs w:val="22"/>
        </w:rPr>
        <w:t xml:space="preserve"> </w:t>
      </w:r>
      <w:r w:rsidR="00A63955">
        <w:rPr>
          <w:rFonts w:ascii="Arial" w:hAnsi="Arial" w:cs="Arial"/>
          <w:sz w:val="22"/>
          <w:szCs w:val="22"/>
        </w:rPr>
        <w:t>The measure case gas usage is calculated as:</w:t>
      </w:r>
    </w:p>
    <w:p w:rsidR="00A63955" w:rsidRDefault="00A63955" w:rsidP="00487828">
      <w:pPr>
        <w:rPr>
          <w:rFonts w:ascii="Arial" w:hAnsi="Arial" w:cs="Arial"/>
          <w:sz w:val="22"/>
          <w:szCs w:val="22"/>
        </w:rPr>
      </w:pPr>
    </w:p>
    <w:p w:rsidR="00A63955" w:rsidRDefault="00A63955" w:rsidP="00A63955">
      <w:pPr>
        <w:jc w:val="center"/>
        <w:rPr>
          <w:rFonts w:ascii="Arial" w:hAnsi="Arial" w:cs="Arial"/>
          <w:sz w:val="22"/>
          <w:szCs w:val="22"/>
        </w:rPr>
      </w:pPr>
      <m:oMathPara>
        <m:oMath>
          <m:r>
            <w:rPr>
              <w:rFonts w:ascii="Cambria Math" w:hAnsi="Arial" w:cs="Arial"/>
              <w:sz w:val="22"/>
              <w:szCs w:val="22"/>
            </w:rPr>
            <m:t>MCGU=BCGU</m:t>
          </m:r>
          <m:r>
            <w:rPr>
              <w:rFonts w:ascii="Cambria Math" w:hAnsi="Cambria Math" w:cs="Cambria Math"/>
              <w:sz w:val="22"/>
              <w:szCs w:val="22"/>
            </w:rPr>
            <m:t>*</m:t>
          </m:r>
          <m:r>
            <w:rPr>
              <w:rFonts w:ascii="Cambria Math" w:hAnsi="Arial" w:cs="Arial"/>
              <w:sz w:val="22"/>
              <w:szCs w:val="22"/>
            </w:rPr>
            <m:t>(</m:t>
          </m:r>
          <m:f>
            <m:fPr>
              <m:type m:val="lin"/>
              <m:ctrlPr>
                <w:rPr>
                  <w:rFonts w:ascii="Cambria Math" w:hAnsi="Arial" w:cs="Arial"/>
                  <w:i/>
                  <w:sz w:val="22"/>
                  <w:szCs w:val="22"/>
                </w:rPr>
              </m:ctrlPr>
            </m:fPr>
            <m:num>
              <m:sSub>
                <m:sSubPr>
                  <m:ctrlPr>
                    <w:rPr>
                      <w:rFonts w:ascii="Cambria Math" w:hAnsi="Arial" w:cs="Arial"/>
                      <w:i/>
                      <w:sz w:val="22"/>
                      <w:szCs w:val="22"/>
                    </w:rPr>
                  </m:ctrlPr>
                </m:sSubPr>
                <m:e>
                  <m:r>
                    <w:rPr>
                      <w:rFonts w:ascii="Cambria Math" w:hAnsi="Arial" w:cs="Arial"/>
                      <w:sz w:val="22"/>
                      <w:szCs w:val="22"/>
                    </w:rPr>
                    <m:t>eff</m:t>
                  </m:r>
                </m:e>
                <m:sub>
                  <m:r>
                    <w:rPr>
                      <w:rFonts w:ascii="Cambria Math" w:hAnsi="Arial" w:cs="Arial"/>
                      <w:sz w:val="22"/>
                      <w:szCs w:val="22"/>
                    </w:rPr>
                    <m:t>B</m:t>
                  </m:r>
                </m:sub>
              </m:sSub>
            </m:num>
            <m:den>
              <m:sSub>
                <m:sSubPr>
                  <m:ctrlPr>
                    <w:rPr>
                      <w:rFonts w:ascii="Cambria Math" w:hAnsi="Arial" w:cs="Arial"/>
                      <w:i/>
                      <w:sz w:val="22"/>
                      <w:szCs w:val="22"/>
                    </w:rPr>
                  </m:ctrlPr>
                </m:sSubPr>
                <m:e>
                  <m:r>
                    <w:rPr>
                      <w:rFonts w:ascii="Cambria Math" w:hAnsi="Arial" w:cs="Arial"/>
                      <w:sz w:val="22"/>
                      <w:szCs w:val="22"/>
                    </w:rPr>
                    <m:t>eff</m:t>
                  </m:r>
                </m:e>
                <m:sub>
                  <m:r>
                    <w:rPr>
                      <w:rFonts w:ascii="Cambria Math" w:hAnsi="Arial" w:cs="Arial"/>
                      <w:sz w:val="22"/>
                      <w:szCs w:val="22"/>
                    </w:rPr>
                    <m:t>M</m:t>
                  </m:r>
                </m:sub>
              </m:sSub>
              <m:ctrlPr>
                <w:rPr>
                  <w:rFonts w:ascii="Cambria Math" w:hAnsi="Cambria Math" w:cs="Arial"/>
                  <w:i/>
                  <w:sz w:val="22"/>
                  <w:szCs w:val="22"/>
                </w:rPr>
              </m:ctrlPr>
            </m:den>
          </m:f>
          <m:r>
            <w:rPr>
              <w:rFonts w:ascii="Cambria Math" w:hAnsi="Arial" w:cs="Arial"/>
              <w:sz w:val="22"/>
              <w:szCs w:val="22"/>
            </w:rPr>
            <m:t>)</m:t>
          </m:r>
        </m:oMath>
      </m:oMathPara>
    </w:p>
    <w:p w:rsidR="00A63955" w:rsidRPr="00625623" w:rsidRDefault="00A63955" w:rsidP="00487828">
      <w:pPr>
        <w:rPr>
          <w:rFonts w:ascii="Arial" w:hAnsi="Arial" w:cs="Arial"/>
          <w:sz w:val="22"/>
          <w:szCs w:val="22"/>
        </w:rPr>
      </w:pPr>
    </w:p>
    <w:p w:rsidR="00A63955" w:rsidRPr="00625623" w:rsidRDefault="00A63955" w:rsidP="00487828">
      <w:pPr>
        <w:rPr>
          <w:rFonts w:ascii="Arial" w:hAnsi="Arial" w:cs="Arial"/>
          <w:sz w:val="22"/>
          <w:szCs w:val="22"/>
        </w:rPr>
      </w:pPr>
      <w:r w:rsidRPr="00625623">
        <w:rPr>
          <w:rFonts w:ascii="Arial" w:hAnsi="Arial" w:cs="Arial"/>
          <w:sz w:val="22"/>
          <w:szCs w:val="22"/>
        </w:rPr>
        <w:t>Where,</w:t>
      </w:r>
    </w:p>
    <w:p w:rsidR="00A63955" w:rsidRPr="00625623" w:rsidRDefault="00A63955" w:rsidP="00487828">
      <w:pPr>
        <w:rPr>
          <w:rFonts w:ascii="Arial" w:hAnsi="Arial" w:cs="Arial"/>
          <w:sz w:val="22"/>
          <w:szCs w:val="22"/>
        </w:rPr>
      </w:pPr>
      <w:r w:rsidRPr="00625623">
        <w:rPr>
          <w:rFonts w:ascii="Arial" w:hAnsi="Arial" w:cs="Arial"/>
          <w:sz w:val="22"/>
          <w:szCs w:val="22"/>
        </w:rPr>
        <w:tab/>
      </w:r>
      <m:oMath>
        <m:sSub>
          <m:sSubPr>
            <m:ctrlPr>
              <w:rPr>
                <w:rFonts w:ascii="Cambria Math" w:hAnsi="Arial" w:cs="Arial"/>
                <w:i/>
                <w:sz w:val="22"/>
                <w:szCs w:val="22"/>
              </w:rPr>
            </m:ctrlPr>
          </m:sSubPr>
          <m:e>
            <m:r>
              <w:rPr>
                <w:rFonts w:ascii="Cambria Math" w:hAnsi="Arial" w:cs="Arial"/>
                <w:sz w:val="22"/>
                <w:szCs w:val="22"/>
              </w:rPr>
              <m:t>eff</m:t>
            </m:r>
          </m:e>
          <m:sub>
            <m:r>
              <w:rPr>
                <w:rFonts w:ascii="Cambria Math" w:hAnsi="Arial" w:cs="Arial"/>
                <w:sz w:val="22"/>
                <w:szCs w:val="22"/>
              </w:rPr>
              <m:t>B</m:t>
            </m:r>
          </m:sub>
        </m:sSub>
      </m:oMath>
      <w:r w:rsidRPr="00625623">
        <w:rPr>
          <w:rFonts w:ascii="Arial" w:hAnsi="Arial" w:cs="Arial"/>
          <w:sz w:val="22"/>
          <w:szCs w:val="22"/>
        </w:rPr>
        <w:t xml:space="preserve">     = </w:t>
      </w:r>
      <w:r w:rsidR="003E5998">
        <w:rPr>
          <w:rFonts w:ascii="Arial" w:hAnsi="Arial" w:cs="Arial"/>
          <w:sz w:val="22"/>
          <w:szCs w:val="22"/>
        </w:rPr>
        <w:t>base case</w:t>
      </w:r>
      <w:r w:rsidRPr="00625623">
        <w:rPr>
          <w:rFonts w:ascii="Arial" w:hAnsi="Arial" w:cs="Arial"/>
          <w:sz w:val="22"/>
          <w:szCs w:val="22"/>
        </w:rPr>
        <w:t xml:space="preserve"> efficiency, no units</w:t>
      </w:r>
    </w:p>
    <w:p w:rsidR="00A63955" w:rsidRPr="00625623" w:rsidRDefault="00A63955" w:rsidP="00487828">
      <w:pPr>
        <w:rPr>
          <w:rFonts w:ascii="Arial" w:hAnsi="Arial" w:cs="Arial"/>
          <w:sz w:val="22"/>
          <w:szCs w:val="22"/>
        </w:rPr>
      </w:pPr>
      <w:r w:rsidRPr="00625623">
        <w:rPr>
          <w:rFonts w:ascii="Arial" w:hAnsi="Arial" w:cs="Arial"/>
          <w:sz w:val="22"/>
          <w:szCs w:val="22"/>
        </w:rPr>
        <w:t xml:space="preserve">            </w:t>
      </w:r>
      <m:oMath>
        <m:sSub>
          <m:sSubPr>
            <m:ctrlPr>
              <w:rPr>
                <w:rFonts w:ascii="Cambria Math" w:hAnsi="Arial" w:cs="Arial"/>
                <w:i/>
                <w:sz w:val="22"/>
                <w:szCs w:val="22"/>
              </w:rPr>
            </m:ctrlPr>
          </m:sSubPr>
          <m:e>
            <m:r>
              <w:rPr>
                <w:rFonts w:ascii="Cambria Math" w:hAnsi="Arial" w:cs="Arial"/>
                <w:sz w:val="22"/>
                <w:szCs w:val="22"/>
              </w:rPr>
              <m:t>eff</m:t>
            </m:r>
          </m:e>
          <m:sub>
            <m:r>
              <w:rPr>
                <w:rFonts w:ascii="Cambria Math" w:hAnsi="Arial" w:cs="Arial"/>
                <w:sz w:val="22"/>
                <w:szCs w:val="22"/>
              </w:rPr>
              <m:t>M</m:t>
            </m:r>
          </m:sub>
        </m:sSub>
      </m:oMath>
      <w:r w:rsidR="009145B5">
        <w:rPr>
          <w:rFonts w:ascii="Arial" w:hAnsi="Arial" w:cs="Arial"/>
          <w:sz w:val="22"/>
          <w:szCs w:val="22"/>
        </w:rPr>
        <w:t xml:space="preserve">    = m</w:t>
      </w:r>
      <w:r w:rsidRPr="00625623">
        <w:rPr>
          <w:rFonts w:ascii="Arial" w:hAnsi="Arial" w:cs="Arial"/>
          <w:sz w:val="22"/>
          <w:szCs w:val="22"/>
        </w:rPr>
        <w:t>easure case efficiency, no units</w:t>
      </w:r>
    </w:p>
    <w:p w:rsidR="005759FD" w:rsidRDefault="005759FD" w:rsidP="00563E95">
      <w:pPr>
        <w:rPr>
          <w:rFonts w:ascii="Arial" w:hAnsi="Arial" w:cs="Arial"/>
          <w:b/>
          <w:sz w:val="22"/>
          <w:szCs w:val="22"/>
        </w:rPr>
      </w:pPr>
    </w:p>
    <w:p w:rsidR="00487828" w:rsidRPr="00625623" w:rsidRDefault="00563E95" w:rsidP="00563E95">
      <w:pPr>
        <w:rPr>
          <w:rFonts w:ascii="Arial" w:hAnsi="Arial" w:cs="Arial"/>
          <w:b/>
          <w:sz w:val="22"/>
          <w:szCs w:val="22"/>
        </w:rPr>
      </w:pPr>
      <w:r w:rsidRPr="00625623">
        <w:rPr>
          <w:rFonts w:ascii="Arial" w:hAnsi="Arial" w:cs="Arial"/>
          <w:b/>
          <w:sz w:val="22"/>
          <w:szCs w:val="22"/>
        </w:rPr>
        <w:t>Savings</w:t>
      </w:r>
      <w:r w:rsidR="00487828" w:rsidRPr="00625623">
        <w:rPr>
          <w:rFonts w:ascii="Arial" w:hAnsi="Arial" w:cs="Arial"/>
          <w:b/>
          <w:sz w:val="22"/>
          <w:szCs w:val="22"/>
        </w:rPr>
        <w:t xml:space="preserve"> for H11</w:t>
      </w:r>
      <w:r w:rsidR="004F588A" w:rsidRPr="00625623">
        <w:rPr>
          <w:rFonts w:ascii="Arial" w:hAnsi="Arial" w:cs="Arial"/>
          <w:b/>
          <w:sz w:val="22"/>
          <w:szCs w:val="22"/>
        </w:rPr>
        <w:t xml:space="preserve"> (∆</w:t>
      </w:r>
      <w:proofErr w:type="spellStart"/>
      <w:r w:rsidR="004F588A" w:rsidRPr="00625623">
        <w:rPr>
          <w:rFonts w:ascii="Arial" w:hAnsi="Arial" w:cs="Arial"/>
          <w:b/>
          <w:sz w:val="22"/>
          <w:szCs w:val="22"/>
        </w:rPr>
        <w:t>Therms</w:t>
      </w:r>
      <w:proofErr w:type="spellEnd"/>
      <w:r w:rsidR="004F588A" w:rsidRPr="00625623">
        <w:rPr>
          <w:rFonts w:ascii="Arial" w:hAnsi="Arial" w:cs="Arial"/>
          <w:b/>
          <w:sz w:val="22"/>
          <w:szCs w:val="22"/>
        </w:rPr>
        <w:t xml:space="preserve"> / </w:t>
      </w:r>
      <w:proofErr w:type="spellStart"/>
      <w:r w:rsidR="004F588A" w:rsidRPr="00625623">
        <w:rPr>
          <w:rFonts w:ascii="Arial" w:hAnsi="Arial" w:cs="Arial"/>
          <w:b/>
          <w:sz w:val="22"/>
          <w:szCs w:val="22"/>
        </w:rPr>
        <w:t>kBTUh</w:t>
      </w:r>
      <w:proofErr w:type="spellEnd"/>
      <w:r w:rsidR="004F588A" w:rsidRPr="00625623">
        <w:rPr>
          <w:rFonts w:ascii="Arial" w:hAnsi="Arial" w:cs="Arial"/>
          <w:b/>
          <w:sz w:val="22"/>
          <w:szCs w:val="22"/>
        </w:rPr>
        <w:t>)</w:t>
      </w:r>
      <w:r w:rsidR="00487828" w:rsidRPr="00625623">
        <w:rPr>
          <w:rFonts w:ascii="Arial" w:hAnsi="Arial" w:cs="Arial"/>
          <w:b/>
          <w:sz w:val="22"/>
          <w:szCs w:val="22"/>
        </w:rPr>
        <w:t>:</w:t>
      </w:r>
    </w:p>
    <w:p w:rsidR="00487828" w:rsidRPr="00625623" w:rsidRDefault="00487828" w:rsidP="00563E95">
      <w:pPr>
        <w:rPr>
          <w:rFonts w:ascii="Arial" w:hAnsi="Arial" w:cs="Arial"/>
          <w:sz w:val="22"/>
          <w:szCs w:val="22"/>
        </w:rPr>
      </w:pPr>
    </w:p>
    <w:p w:rsidR="00487828" w:rsidRPr="00625623" w:rsidRDefault="00563E95" w:rsidP="00563E95">
      <w:pPr>
        <w:rPr>
          <w:rFonts w:ascii="Arial" w:hAnsi="Arial" w:cs="Arial"/>
          <w:sz w:val="22"/>
          <w:szCs w:val="22"/>
        </w:rPr>
      </w:pPr>
      <w:r w:rsidRPr="00625623">
        <w:rPr>
          <w:rFonts w:ascii="Arial" w:hAnsi="Arial" w:cs="Arial"/>
          <w:sz w:val="22"/>
          <w:szCs w:val="22"/>
        </w:rPr>
        <w:t xml:space="preserve">            </w:t>
      </w:r>
      <m:oMath>
        <m:r>
          <w:rPr>
            <w:rFonts w:ascii="Cambria Math" w:hAnsi="Arial" w:cs="Arial"/>
            <w:sz w:val="22"/>
            <w:szCs w:val="22"/>
          </w:rPr>
          <m:t xml:space="preserve"> BCGU=0.419</m:t>
        </m:r>
        <m:r>
          <w:rPr>
            <w:rFonts w:ascii="Cambria Math" w:hAnsi="Arial" w:cs="Arial"/>
            <w:sz w:val="22"/>
            <w:szCs w:val="22"/>
          </w:rPr>
          <m:t>*</m:t>
        </m:r>
        <m:r>
          <w:rPr>
            <w:rFonts w:ascii="Cambria Math" w:hAnsi="Arial" w:cs="Arial"/>
            <w:sz w:val="22"/>
            <w:szCs w:val="22"/>
          </w:rPr>
          <m:t>8,760</m:t>
        </m:r>
        <m:r>
          <w:rPr>
            <w:rFonts w:ascii="Cambria Math" w:hAnsi="Arial" w:cs="Arial"/>
            <w:sz w:val="22"/>
            <w:szCs w:val="22"/>
          </w:rPr>
          <m:t>*</m:t>
        </m:r>
        <m:r>
          <w:rPr>
            <w:rFonts w:ascii="Cambria Math" w:hAnsi="Arial" w:cs="Arial"/>
            <w:sz w:val="22"/>
            <w:szCs w:val="22"/>
          </w:rPr>
          <m:t xml:space="preserve">0.01=36.7 </m:t>
        </m:r>
      </m:oMath>
      <w:proofErr w:type="gramStart"/>
      <w:r w:rsidRPr="00625623">
        <w:rPr>
          <w:rFonts w:ascii="Arial" w:hAnsi="Arial" w:cs="Arial"/>
          <w:i/>
          <w:sz w:val="20"/>
          <w:szCs w:val="20"/>
        </w:rPr>
        <w:t>therms</w:t>
      </w:r>
      <w:proofErr w:type="gramEnd"/>
      <w:r w:rsidRPr="00625623">
        <w:rPr>
          <w:rFonts w:ascii="Arial" w:hAnsi="Arial" w:cs="Arial"/>
          <w:i/>
          <w:sz w:val="20"/>
          <w:szCs w:val="20"/>
        </w:rPr>
        <w:t xml:space="preserve"> / kBTUh input rating</w:t>
      </w:r>
    </w:p>
    <w:p w:rsidR="00563E95" w:rsidRPr="00625623" w:rsidRDefault="00563E95" w:rsidP="00563E95">
      <w:pPr>
        <w:rPr>
          <w:rFonts w:ascii="Arial" w:hAnsi="Arial" w:cs="Arial"/>
          <w:sz w:val="22"/>
          <w:szCs w:val="22"/>
        </w:rPr>
      </w:pPr>
      <w:r w:rsidRPr="00625623">
        <w:rPr>
          <w:rFonts w:ascii="Arial" w:hAnsi="Arial" w:cs="Arial"/>
          <w:sz w:val="22"/>
          <w:szCs w:val="22"/>
        </w:rPr>
        <w:t xml:space="preserve">            </w:t>
      </w:r>
      <m:oMath>
        <m:r>
          <w:rPr>
            <w:rFonts w:ascii="Cambria Math" w:hAnsi="Arial" w:cs="Arial"/>
            <w:sz w:val="22"/>
            <w:szCs w:val="22"/>
          </w:rPr>
          <m:t>MCGU=36.7</m:t>
        </m:r>
        <m:r>
          <w:rPr>
            <w:rFonts w:ascii="Cambria Math" w:hAnsi="Cambria Math" w:cs="Cambria Math"/>
            <w:sz w:val="22"/>
            <w:szCs w:val="22"/>
          </w:rPr>
          <m:t>*</m:t>
        </m:r>
        <m:r>
          <w:rPr>
            <w:rFonts w:ascii="Cambria Math" w:hAnsi="Arial" w:cs="Arial"/>
            <w:sz w:val="22"/>
            <w:szCs w:val="22"/>
          </w:rPr>
          <m:t>(</m:t>
        </m:r>
        <m:f>
          <m:fPr>
            <m:type m:val="lin"/>
            <m:ctrlPr>
              <w:rPr>
                <w:rFonts w:ascii="Cambria Math" w:hAnsi="Arial" w:cs="Arial"/>
                <w:i/>
                <w:sz w:val="22"/>
                <w:szCs w:val="22"/>
              </w:rPr>
            </m:ctrlPr>
          </m:fPr>
          <m:num>
            <m:r>
              <w:rPr>
                <w:rFonts w:ascii="Cambria Math" w:hAnsi="Arial" w:cs="Arial"/>
                <w:sz w:val="22"/>
                <w:szCs w:val="22"/>
              </w:rPr>
              <m:t>82%</m:t>
            </m:r>
          </m:num>
          <m:den>
            <m:r>
              <w:rPr>
                <w:rFonts w:ascii="Cambria Math" w:hAnsi="Arial" w:cs="Arial"/>
                <w:sz w:val="22"/>
                <w:szCs w:val="22"/>
              </w:rPr>
              <m:t>89.4</m:t>
            </m:r>
          </m:den>
        </m:f>
        <m:r>
          <w:rPr>
            <w:rFonts w:ascii="Cambria Math" w:hAnsi="Arial" w:cs="Arial"/>
            <w:sz w:val="22"/>
            <w:szCs w:val="22"/>
          </w:rPr>
          <m:t>%)= 33.6</m:t>
        </m:r>
      </m:oMath>
      <w:r w:rsidRPr="00625623">
        <w:rPr>
          <w:rFonts w:ascii="Arial" w:hAnsi="Arial" w:cs="Arial"/>
          <w:sz w:val="22"/>
          <w:szCs w:val="22"/>
        </w:rPr>
        <w:t xml:space="preserve"> </w:t>
      </w:r>
      <w:proofErr w:type="spellStart"/>
      <w:proofErr w:type="gramStart"/>
      <w:r w:rsidRPr="00625623">
        <w:rPr>
          <w:rFonts w:ascii="Arial" w:hAnsi="Arial" w:cs="Arial"/>
          <w:i/>
          <w:sz w:val="20"/>
          <w:szCs w:val="20"/>
        </w:rPr>
        <w:t>therms</w:t>
      </w:r>
      <w:proofErr w:type="spellEnd"/>
      <w:proofErr w:type="gramEnd"/>
      <w:r w:rsidRPr="00625623">
        <w:rPr>
          <w:rFonts w:ascii="Arial" w:hAnsi="Arial" w:cs="Arial"/>
          <w:i/>
          <w:sz w:val="20"/>
          <w:szCs w:val="20"/>
        </w:rPr>
        <w:t xml:space="preserve"> / </w:t>
      </w:r>
      <w:proofErr w:type="spellStart"/>
      <w:r w:rsidRPr="00625623">
        <w:rPr>
          <w:rFonts w:ascii="Arial" w:hAnsi="Arial" w:cs="Arial"/>
          <w:i/>
          <w:sz w:val="20"/>
          <w:szCs w:val="20"/>
        </w:rPr>
        <w:t>kBTUh</w:t>
      </w:r>
      <w:proofErr w:type="spellEnd"/>
      <w:r w:rsidRPr="00625623">
        <w:rPr>
          <w:rFonts w:ascii="Arial" w:hAnsi="Arial" w:cs="Arial"/>
          <w:i/>
          <w:sz w:val="20"/>
          <w:szCs w:val="20"/>
        </w:rPr>
        <w:t xml:space="preserve"> input rating</w:t>
      </w:r>
    </w:p>
    <w:p w:rsidR="00563E95" w:rsidRPr="00625623" w:rsidRDefault="00563E95" w:rsidP="00563E95">
      <w:pPr>
        <w:rPr>
          <w:rFonts w:ascii="Arial" w:hAnsi="Arial" w:cs="Arial"/>
          <w:sz w:val="22"/>
          <w:szCs w:val="22"/>
        </w:rPr>
      </w:pPr>
      <w:r w:rsidRPr="00625623">
        <w:rPr>
          <w:rFonts w:ascii="Arial" w:hAnsi="Arial" w:cs="Arial"/>
          <w:sz w:val="22"/>
          <w:szCs w:val="22"/>
        </w:rPr>
        <w:t xml:space="preserve">                  </w:t>
      </w:r>
      <m:oMath>
        <m:r>
          <w:rPr>
            <w:rFonts w:ascii="Cambria Math" w:hAnsi="Arial" w:cs="Arial"/>
            <w:sz w:val="22"/>
            <w:szCs w:val="22"/>
          </w:rPr>
          <m:t>GS=36.7</m:t>
        </m:r>
        <m:r>
          <w:rPr>
            <w:rFonts w:ascii="Cambria Math" w:hAnsi="Cambria Math" w:cs="Arial"/>
            <w:sz w:val="22"/>
            <w:szCs w:val="22"/>
          </w:rPr>
          <m:t>-33.6=3.1</m:t>
        </m:r>
      </m:oMath>
      <w:r w:rsidRPr="00625623">
        <w:rPr>
          <w:rFonts w:ascii="Arial" w:hAnsi="Arial" w:cs="Arial"/>
          <w:sz w:val="22"/>
          <w:szCs w:val="22"/>
        </w:rPr>
        <w:t xml:space="preserve"> </w:t>
      </w:r>
      <w:proofErr w:type="spellStart"/>
      <w:proofErr w:type="gramStart"/>
      <w:r w:rsidRPr="00625623">
        <w:rPr>
          <w:rFonts w:ascii="Arial" w:hAnsi="Arial" w:cs="Arial"/>
          <w:i/>
          <w:sz w:val="20"/>
          <w:szCs w:val="20"/>
        </w:rPr>
        <w:t>therms</w:t>
      </w:r>
      <w:proofErr w:type="spellEnd"/>
      <w:proofErr w:type="gramEnd"/>
      <w:r w:rsidRPr="00625623">
        <w:rPr>
          <w:rFonts w:ascii="Arial" w:hAnsi="Arial" w:cs="Arial"/>
          <w:i/>
          <w:sz w:val="20"/>
          <w:szCs w:val="20"/>
        </w:rPr>
        <w:t xml:space="preserve"> / </w:t>
      </w:r>
      <w:proofErr w:type="spellStart"/>
      <w:r w:rsidRPr="00625623">
        <w:rPr>
          <w:rFonts w:ascii="Arial" w:hAnsi="Arial" w:cs="Arial"/>
          <w:i/>
          <w:sz w:val="20"/>
          <w:szCs w:val="20"/>
        </w:rPr>
        <w:t>kBTUh</w:t>
      </w:r>
      <w:proofErr w:type="spellEnd"/>
      <w:r w:rsidRPr="00625623">
        <w:rPr>
          <w:rFonts w:ascii="Arial" w:hAnsi="Arial" w:cs="Arial"/>
          <w:i/>
          <w:sz w:val="20"/>
          <w:szCs w:val="20"/>
        </w:rPr>
        <w:t xml:space="preserve"> input rating</w:t>
      </w:r>
    </w:p>
    <w:p w:rsidR="00563E95" w:rsidRPr="00625623" w:rsidRDefault="00563E95" w:rsidP="00563E95">
      <w:pPr>
        <w:rPr>
          <w:rFonts w:ascii="Arial" w:hAnsi="Arial" w:cs="Arial"/>
          <w:sz w:val="22"/>
          <w:szCs w:val="22"/>
        </w:rPr>
      </w:pPr>
    </w:p>
    <w:p w:rsidR="00563E95" w:rsidRPr="00625623" w:rsidRDefault="00563E95" w:rsidP="00563E95">
      <w:pPr>
        <w:rPr>
          <w:rFonts w:ascii="Arial" w:hAnsi="Arial" w:cs="Arial"/>
          <w:b/>
          <w:sz w:val="22"/>
          <w:szCs w:val="22"/>
        </w:rPr>
      </w:pPr>
      <w:r w:rsidRPr="00625623">
        <w:rPr>
          <w:rFonts w:ascii="Arial" w:hAnsi="Arial" w:cs="Arial"/>
          <w:b/>
          <w:sz w:val="22"/>
          <w:szCs w:val="22"/>
        </w:rPr>
        <w:t>Savings for H15 (∆</w:t>
      </w:r>
      <w:proofErr w:type="spellStart"/>
      <w:r w:rsidRPr="00625623">
        <w:rPr>
          <w:rFonts w:ascii="Arial" w:hAnsi="Arial" w:cs="Arial"/>
          <w:b/>
          <w:sz w:val="22"/>
          <w:szCs w:val="22"/>
        </w:rPr>
        <w:t>Therms</w:t>
      </w:r>
      <w:proofErr w:type="spellEnd"/>
      <w:r w:rsidRPr="00625623">
        <w:rPr>
          <w:rFonts w:ascii="Arial" w:hAnsi="Arial" w:cs="Arial"/>
          <w:b/>
          <w:sz w:val="22"/>
          <w:szCs w:val="22"/>
        </w:rPr>
        <w:t xml:space="preserve"> / </w:t>
      </w:r>
      <w:proofErr w:type="spellStart"/>
      <w:r w:rsidRPr="00625623">
        <w:rPr>
          <w:rFonts w:ascii="Arial" w:hAnsi="Arial" w:cs="Arial"/>
          <w:b/>
          <w:sz w:val="22"/>
          <w:szCs w:val="22"/>
        </w:rPr>
        <w:t>kBTUh</w:t>
      </w:r>
      <w:proofErr w:type="spellEnd"/>
      <w:r w:rsidRPr="00625623">
        <w:rPr>
          <w:rFonts w:ascii="Arial" w:hAnsi="Arial" w:cs="Arial"/>
          <w:b/>
          <w:sz w:val="22"/>
          <w:szCs w:val="22"/>
        </w:rPr>
        <w:t>):</w:t>
      </w:r>
    </w:p>
    <w:p w:rsidR="00563E95" w:rsidRPr="00A961E9" w:rsidRDefault="00563E95" w:rsidP="00563E95">
      <w:pPr>
        <w:rPr>
          <w:rFonts w:ascii="Arial" w:hAnsi="Arial" w:cs="Arial"/>
          <w:color w:val="FF0000"/>
          <w:sz w:val="22"/>
          <w:szCs w:val="22"/>
        </w:rPr>
      </w:pPr>
    </w:p>
    <w:p w:rsidR="00563E95" w:rsidRDefault="00563E95" w:rsidP="00563E95">
      <w:pPr>
        <w:rPr>
          <w:rFonts w:ascii="Arial" w:hAnsi="Arial" w:cs="Arial"/>
          <w:sz w:val="22"/>
          <w:szCs w:val="22"/>
        </w:rPr>
      </w:pPr>
      <w:r>
        <w:rPr>
          <w:rFonts w:ascii="Arial" w:hAnsi="Arial" w:cs="Arial"/>
          <w:sz w:val="22"/>
          <w:szCs w:val="22"/>
        </w:rPr>
        <w:t xml:space="preserve">            </w:t>
      </w:r>
      <m:oMath>
        <m:r>
          <w:rPr>
            <w:rFonts w:ascii="Cambria Math" w:hAnsi="Arial" w:cs="Arial"/>
            <w:sz w:val="22"/>
            <w:szCs w:val="22"/>
          </w:rPr>
          <m:t xml:space="preserve"> BCGU=0.419</m:t>
        </m:r>
        <m:r>
          <w:rPr>
            <w:rFonts w:ascii="Cambria Math" w:hAnsi="Arial" w:cs="Arial"/>
            <w:sz w:val="22"/>
            <w:szCs w:val="22"/>
          </w:rPr>
          <m:t>*</m:t>
        </m:r>
        <m:r>
          <w:rPr>
            <w:rFonts w:ascii="Cambria Math" w:hAnsi="Arial" w:cs="Arial"/>
            <w:sz w:val="22"/>
            <w:szCs w:val="22"/>
          </w:rPr>
          <m:t>8,760</m:t>
        </m:r>
        <m:r>
          <w:rPr>
            <w:rFonts w:ascii="Cambria Math" w:hAnsi="Arial" w:cs="Arial"/>
            <w:sz w:val="22"/>
            <w:szCs w:val="22"/>
          </w:rPr>
          <m:t>*</m:t>
        </m:r>
        <m:r>
          <w:rPr>
            <w:rFonts w:ascii="Cambria Math" w:hAnsi="Arial" w:cs="Arial"/>
            <w:sz w:val="22"/>
            <w:szCs w:val="22"/>
          </w:rPr>
          <m:t xml:space="preserve">0.01=36.7 </m:t>
        </m:r>
      </m:oMath>
      <w:proofErr w:type="gramStart"/>
      <w:r w:rsidRPr="00563E95">
        <w:rPr>
          <w:rFonts w:ascii="Arial" w:hAnsi="Arial" w:cs="Arial"/>
          <w:i/>
          <w:sz w:val="20"/>
          <w:szCs w:val="20"/>
        </w:rPr>
        <w:t>therms</w:t>
      </w:r>
      <w:proofErr w:type="gramEnd"/>
      <w:r>
        <w:rPr>
          <w:rFonts w:ascii="Arial" w:hAnsi="Arial" w:cs="Arial"/>
          <w:i/>
          <w:sz w:val="20"/>
          <w:szCs w:val="20"/>
        </w:rPr>
        <w:t xml:space="preserve"> / </w:t>
      </w:r>
      <w:proofErr w:type="spellStart"/>
      <w:r>
        <w:rPr>
          <w:rFonts w:ascii="Arial" w:hAnsi="Arial" w:cs="Arial"/>
          <w:i/>
          <w:sz w:val="20"/>
          <w:szCs w:val="20"/>
        </w:rPr>
        <w:t>kBTUh</w:t>
      </w:r>
      <w:proofErr w:type="spellEnd"/>
      <w:r>
        <w:rPr>
          <w:rFonts w:ascii="Arial" w:hAnsi="Arial" w:cs="Arial"/>
          <w:i/>
          <w:sz w:val="20"/>
          <w:szCs w:val="20"/>
        </w:rPr>
        <w:t xml:space="preserve"> input rating</w:t>
      </w:r>
    </w:p>
    <w:p w:rsidR="00563E95" w:rsidRDefault="00563E95" w:rsidP="00563E95">
      <w:pPr>
        <w:rPr>
          <w:rFonts w:ascii="Arial" w:hAnsi="Arial" w:cs="Arial"/>
          <w:sz w:val="22"/>
          <w:szCs w:val="22"/>
        </w:rPr>
      </w:pPr>
      <w:r>
        <w:rPr>
          <w:rFonts w:ascii="Arial" w:hAnsi="Arial" w:cs="Arial"/>
          <w:sz w:val="22"/>
          <w:szCs w:val="22"/>
        </w:rPr>
        <w:t xml:space="preserve">            </w:t>
      </w:r>
      <m:oMath>
        <m:r>
          <w:rPr>
            <w:rFonts w:ascii="Cambria Math" w:hAnsi="Arial" w:cs="Arial"/>
            <w:sz w:val="22"/>
            <w:szCs w:val="22"/>
          </w:rPr>
          <m:t>MCGU=36.7</m:t>
        </m:r>
        <m:r>
          <w:rPr>
            <w:rFonts w:ascii="Cambria Math" w:hAnsi="Cambria Math" w:cs="Cambria Math"/>
            <w:sz w:val="22"/>
            <w:szCs w:val="22"/>
          </w:rPr>
          <m:t>*</m:t>
        </m:r>
        <m:r>
          <w:rPr>
            <w:rFonts w:ascii="Cambria Math" w:hAnsi="Arial" w:cs="Arial"/>
            <w:sz w:val="22"/>
            <w:szCs w:val="22"/>
          </w:rPr>
          <m:t>(</m:t>
        </m:r>
        <m:f>
          <m:fPr>
            <m:type m:val="lin"/>
            <m:ctrlPr>
              <w:rPr>
                <w:rFonts w:ascii="Cambria Math" w:hAnsi="Arial" w:cs="Arial"/>
                <w:i/>
                <w:sz w:val="22"/>
                <w:szCs w:val="22"/>
              </w:rPr>
            </m:ctrlPr>
          </m:fPr>
          <m:num>
            <m:r>
              <w:rPr>
                <w:rFonts w:ascii="Cambria Math" w:hAnsi="Arial" w:cs="Arial"/>
                <w:sz w:val="22"/>
                <w:szCs w:val="22"/>
              </w:rPr>
              <m:t>80%</m:t>
            </m:r>
          </m:num>
          <m:den>
            <m:r>
              <w:rPr>
                <w:rFonts w:ascii="Cambria Math" w:hAnsi="Arial" w:cs="Arial"/>
                <w:sz w:val="22"/>
                <w:szCs w:val="22"/>
              </w:rPr>
              <m:t>84.4</m:t>
            </m:r>
          </m:den>
        </m:f>
        <m:r>
          <w:rPr>
            <w:rFonts w:ascii="Cambria Math" w:hAnsi="Arial" w:cs="Arial"/>
            <w:sz w:val="22"/>
            <w:szCs w:val="22"/>
          </w:rPr>
          <m:t>%)= 34.8</m:t>
        </m:r>
      </m:oMath>
      <w:r>
        <w:rPr>
          <w:rFonts w:ascii="Arial" w:hAnsi="Arial" w:cs="Arial"/>
          <w:sz w:val="22"/>
          <w:szCs w:val="22"/>
        </w:rPr>
        <w:t xml:space="preserve"> </w:t>
      </w:r>
      <w:proofErr w:type="spellStart"/>
      <w:proofErr w:type="gramStart"/>
      <w:r w:rsidRPr="00563E95">
        <w:rPr>
          <w:rFonts w:ascii="Arial" w:hAnsi="Arial" w:cs="Arial"/>
          <w:i/>
          <w:sz w:val="20"/>
          <w:szCs w:val="20"/>
        </w:rPr>
        <w:t>therms</w:t>
      </w:r>
      <w:proofErr w:type="spellEnd"/>
      <w:proofErr w:type="gramEnd"/>
      <w:r>
        <w:rPr>
          <w:rFonts w:ascii="Arial" w:hAnsi="Arial" w:cs="Arial"/>
          <w:i/>
          <w:sz w:val="20"/>
          <w:szCs w:val="20"/>
        </w:rPr>
        <w:t xml:space="preserve"> / </w:t>
      </w:r>
      <w:proofErr w:type="spellStart"/>
      <w:r>
        <w:rPr>
          <w:rFonts w:ascii="Arial" w:hAnsi="Arial" w:cs="Arial"/>
          <w:i/>
          <w:sz w:val="20"/>
          <w:szCs w:val="20"/>
        </w:rPr>
        <w:t>kBTUh</w:t>
      </w:r>
      <w:proofErr w:type="spellEnd"/>
      <w:r>
        <w:rPr>
          <w:rFonts w:ascii="Arial" w:hAnsi="Arial" w:cs="Arial"/>
          <w:i/>
          <w:sz w:val="20"/>
          <w:szCs w:val="20"/>
        </w:rPr>
        <w:t xml:space="preserve"> input rating</w:t>
      </w:r>
    </w:p>
    <w:p w:rsidR="00563E95" w:rsidRDefault="00563E95" w:rsidP="00563E95">
      <w:pPr>
        <w:rPr>
          <w:rFonts w:ascii="Arial" w:hAnsi="Arial" w:cs="Arial"/>
          <w:sz w:val="22"/>
          <w:szCs w:val="22"/>
        </w:rPr>
      </w:pPr>
      <w:r>
        <w:rPr>
          <w:rFonts w:ascii="Arial" w:hAnsi="Arial" w:cs="Arial"/>
          <w:sz w:val="22"/>
          <w:szCs w:val="22"/>
        </w:rPr>
        <w:t xml:space="preserve">                  </w:t>
      </w:r>
      <m:oMath>
        <m:r>
          <w:rPr>
            <w:rFonts w:ascii="Cambria Math" w:hAnsi="Arial" w:cs="Arial"/>
            <w:sz w:val="22"/>
            <w:szCs w:val="22"/>
          </w:rPr>
          <m:t>GS=36.7</m:t>
        </m:r>
        <m:r>
          <w:rPr>
            <w:rFonts w:ascii="Cambria Math" w:hAnsi="Cambria Math" w:cs="Arial"/>
            <w:sz w:val="22"/>
            <w:szCs w:val="22"/>
          </w:rPr>
          <m:t>-34.8=1.9</m:t>
        </m:r>
      </m:oMath>
      <w:r>
        <w:rPr>
          <w:rFonts w:ascii="Arial" w:hAnsi="Arial" w:cs="Arial"/>
          <w:sz w:val="22"/>
          <w:szCs w:val="22"/>
        </w:rPr>
        <w:t xml:space="preserve"> </w:t>
      </w:r>
      <w:proofErr w:type="spellStart"/>
      <w:proofErr w:type="gramStart"/>
      <w:r w:rsidRPr="00563E95">
        <w:rPr>
          <w:rFonts w:ascii="Arial" w:hAnsi="Arial" w:cs="Arial"/>
          <w:i/>
          <w:sz w:val="20"/>
          <w:szCs w:val="20"/>
        </w:rPr>
        <w:t>therms</w:t>
      </w:r>
      <w:proofErr w:type="spellEnd"/>
      <w:proofErr w:type="gramEnd"/>
      <w:r>
        <w:rPr>
          <w:rFonts w:ascii="Arial" w:hAnsi="Arial" w:cs="Arial"/>
          <w:i/>
          <w:sz w:val="20"/>
          <w:szCs w:val="20"/>
        </w:rPr>
        <w:t xml:space="preserve"> / </w:t>
      </w:r>
      <w:proofErr w:type="spellStart"/>
      <w:r>
        <w:rPr>
          <w:rFonts w:ascii="Arial" w:hAnsi="Arial" w:cs="Arial"/>
          <w:i/>
          <w:sz w:val="20"/>
          <w:szCs w:val="20"/>
        </w:rPr>
        <w:t>kBTUh</w:t>
      </w:r>
      <w:proofErr w:type="spellEnd"/>
      <w:r>
        <w:rPr>
          <w:rFonts w:ascii="Arial" w:hAnsi="Arial" w:cs="Arial"/>
          <w:i/>
          <w:sz w:val="20"/>
          <w:szCs w:val="20"/>
        </w:rPr>
        <w:t xml:space="preserve"> input rating</w:t>
      </w:r>
    </w:p>
    <w:p w:rsidR="00563E95" w:rsidRPr="00D13811" w:rsidRDefault="00563E95" w:rsidP="00D13811">
      <w:pPr>
        <w:rPr>
          <w:rFonts w:ascii="Arial" w:hAnsi="Arial" w:cs="Arial"/>
          <w:b/>
          <w:bCs/>
          <w:i/>
          <w:color w:val="FF0000"/>
          <w:kern w:val="32"/>
          <w:sz w:val="28"/>
          <w:szCs w:val="28"/>
        </w:rPr>
      </w:pPr>
    </w:p>
    <w:p w:rsidR="005759FD" w:rsidRDefault="005759FD">
      <w:pPr>
        <w:rPr>
          <w:rFonts w:ascii="Arial" w:hAnsi="Arial" w:cs="Arial"/>
          <w:b/>
          <w:bCs/>
          <w:i/>
          <w:kern w:val="32"/>
          <w:sz w:val="28"/>
          <w:szCs w:val="28"/>
        </w:rPr>
      </w:pPr>
      <w:r>
        <w:rPr>
          <w:i/>
          <w:sz w:val="28"/>
          <w:szCs w:val="28"/>
        </w:rPr>
        <w:br w:type="page"/>
      </w:r>
    </w:p>
    <w:p w:rsidR="003F4FFF" w:rsidRPr="00563E95" w:rsidRDefault="003F4FFF" w:rsidP="00864083">
      <w:pPr>
        <w:pStyle w:val="Heading1"/>
        <w:spacing w:before="0" w:after="0"/>
        <w:rPr>
          <w:i/>
          <w:sz w:val="28"/>
          <w:szCs w:val="28"/>
        </w:rPr>
      </w:pPr>
      <w:bookmarkStart w:id="41" w:name="_Toc443922974"/>
      <w:proofErr w:type="gramStart"/>
      <w:r w:rsidRPr="00563E95">
        <w:rPr>
          <w:i/>
          <w:sz w:val="28"/>
          <w:szCs w:val="28"/>
        </w:rPr>
        <w:lastRenderedPageBreak/>
        <w:t>Section 3.</w:t>
      </w:r>
      <w:proofErr w:type="gramEnd"/>
      <w:r w:rsidRPr="00563E95">
        <w:rPr>
          <w:i/>
          <w:sz w:val="28"/>
          <w:szCs w:val="28"/>
        </w:rPr>
        <w:t xml:space="preserve"> Load Shapes</w:t>
      </w:r>
      <w:bookmarkEnd w:id="41"/>
      <w:r w:rsidRPr="00563E95">
        <w:rPr>
          <w:i/>
          <w:sz w:val="28"/>
          <w:szCs w:val="28"/>
        </w:rPr>
        <w:t xml:space="preserve"> </w:t>
      </w:r>
    </w:p>
    <w:p w:rsidR="005E3C06" w:rsidRPr="005E3C06" w:rsidRDefault="005E3C06" w:rsidP="005E3C06">
      <w:pPr>
        <w:rPr>
          <w:rFonts w:ascii="Arial" w:hAnsi="Arial" w:cs="Arial"/>
          <w:sz w:val="22"/>
          <w:szCs w:val="22"/>
        </w:rPr>
      </w:pPr>
      <w:bookmarkStart w:id="42" w:name="_Toc173742996"/>
      <w:bookmarkStart w:id="43" w:name="_Toc304800215"/>
      <w:bookmarkStart w:id="44" w:name="_Toc324318369"/>
      <w:bookmarkStart w:id="45" w:name="_Toc324340498"/>
      <w:r w:rsidRPr="005E3C06">
        <w:rPr>
          <w:rFonts w:ascii="Arial" w:hAnsi="Arial" w:cs="Arial"/>
          <w:sz w:val="22"/>
          <w:szCs w:val="22"/>
        </w:rPr>
        <w:t>Load Shapes are an important part of the life-cycle cost analysis of any energy efficiency</w:t>
      </w:r>
      <w:r w:rsidRPr="005E3C06">
        <w:rPr>
          <w:rFonts w:ascii="Arial" w:hAnsi="Arial" w:cs="Arial"/>
          <w:sz w:val="22"/>
          <w:szCs w:val="22"/>
        </w:rPr>
        <w:fldChar w:fldCharType="begin"/>
      </w:r>
      <w:proofErr w:type="spellStart"/>
      <w:r w:rsidRPr="005E3C06">
        <w:rPr>
          <w:rFonts w:ascii="Arial" w:hAnsi="Arial" w:cs="Arial"/>
          <w:sz w:val="22"/>
          <w:szCs w:val="22"/>
        </w:rPr>
        <w:instrText>xe</w:instrText>
      </w:r>
      <w:proofErr w:type="spellEnd"/>
      <w:r w:rsidRPr="005E3C06">
        <w:rPr>
          <w:rFonts w:ascii="Arial" w:hAnsi="Arial" w:cs="Arial"/>
          <w:sz w:val="22"/>
          <w:szCs w:val="22"/>
        </w:rPr>
        <w:instrText xml:space="preserve"> "Efficiency"</w:instrText>
      </w:r>
      <w:r w:rsidRPr="005E3C06">
        <w:rPr>
          <w:rFonts w:ascii="Arial" w:hAnsi="Arial" w:cs="Arial"/>
          <w:sz w:val="22"/>
          <w:szCs w:val="22"/>
        </w:rPr>
        <w:fldChar w:fldCharType="end"/>
      </w:r>
      <w:r w:rsidRPr="005E3C06">
        <w:rPr>
          <w:rFonts w:ascii="Arial" w:hAnsi="Arial" w:cs="Arial"/>
          <w:sz w:val="22"/>
          <w:szCs w:val="22"/>
        </w:rPr>
        <w:t xml:space="preserve"> program portfolio.  The net benefits associated with a measure</w:t>
      </w:r>
      <w:r w:rsidRPr="005E3C06">
        <w:rPr>
          <w:rFonts w:ascii="Arial" w:hAnsi="Arial" w:cs="Arial"/>
          <w:sz w:val="22"/>
          <w:szCs w:val="22"/>
        </w:rPr>
        <w:fldChar w:fldCharType="begin"/>
      </w:r>
      <w:proofErr w:type="spellStart"/>
      <w:proofErr w:type="gramStart"/>
      <w:r w:rsidRPr="005E3C06">
        <w:rPr>
          <w:rFonts w:ascii="Arial" w:hAnsi="Arial" w:cs="Arial"/>
          <w:sz w:val="22"/>
          <w:szCs w:val="22"/>
        </w:rPr>
        <w:instrText>xe</w:instrText>
      </w:r>
      <w:proofErr w:type="spellEnd"/>
      <w:proofErr w:type="gramEnd"/>
      <w:r w:rsidRPr="005E3C06">
        <w:rPr>
          <w:rFonts w:ascii="Arial" w:hAnsi="Arial" w:cs="Arial"/>
          <w:sz w:val="22"/>
          <w:szCs w:val="22"/>
        </w:rPr>
        <w:instrText xml:space="preserve"> "Measure"</w:instrText>
      </w:r>
      <w:r w:rsidRPr="005E3C06">
        <w:rPr>
          <w:rFonts w:ascii="Arial" w:hAnsi="Arial" w:cs="Arial"/>
          <w:sz w:val="22"/>
          <w:szCs w:val="22"/>
        </w:rPr>
        <w:fldChar w:fldCharType="end"/>
      </w:r>
      <w:r w:rsidRPr="005E3C06">
        <w:rPr>
          <w:rFonts w:ascii="Arial" w:hAnsi="Arial" w:cs="Arial"/>
          <w:sz w:val="22"/>
          <w:szCs w:val="22"/>
        </w:rPr>
        <w:t xml:space="preserve"> are based on the amount of energy saved and the avoided cost per unit of energy saved.  For electricity, the avoided cost varies hourly over an entire year.  Thus, the net benefits calculation for a measure</w:t>
      </w:r>
      <w:r w:rsidRPr="005E3C06">
        <w:rPr>
          <w:rFonts w:ascii="Arial" w:hAnsi="Arial" w:cs="Arial"/>
          <w:sz w:val="22"/>
          <w:szCs w:val="22"/>
        </w:rPr>
        <w:fldChar w:fldCharType="begin"/>
      </w:r>
      <w:proofErr w:type="spellStart"/>
      <w:proofErr w:type="gramStart"/>
      <w:r w:rsidRPr="005E3C06">
        <w:rPr>
          <w:rFonts w:ascii="Arial" w:hAnsi="Arial" w:cs="Arial"/>
          <w:sz w:val="22"/>
          <w:szCs w:val="22"/>
        </w:rPr>
        <w:instrText>xe</w:instrText>
      </w:r>
      <w:proofErr w:type="spellEnd"/>
      <w:proofErr w:type="gramEnd"/>
      <w:r w:rsidRPr="005E3C06">
        <w:rPr>
          <w:rFonts w:ascii="Arial" w:hAnsi="Arial" w:cs="Arial"/>
          <w:sz w:val="22"/>
          <w:szCs w:val="22"/>
        </w:rPr>
        <w:instrText xml:space="preserve"> "Measure"</w:instrText>
      </w:r>
      <w:r w:rsidRPr="005E3C06">
        <w:rPr>
          <w:rFonts w:ascii="Arial" w:hAnsi="Arial" w:cs="Arial"/>
          <w:sz w:val="22"/>
          <w:szCs w:val="22"/>
        </w:rPr>
        <w:fldChar w:fldCharType="end"/>
      </w:r>
      <w:r w:rsidRPr="005E3C06">
        <w:rPr>
          <w:rFonts w:ascii="Arial" w:hAnsi="Arial" w:cs="Arial"/>
          <w:sz w:val="22"/>
          <w:szCs w:val="22"/>
        </w:rPr>
        <w:t xml:space="preserve"> requires both the total annual energy savings</w:t>
      </w:r>
      <w:r w:rsidRPr="005E3C06">
        <w:rPr>
          <w:rFonts w:ascii="Arial" w:hAnsi="Arial" w:cs="Arial"/>
          <w:sz w:val="22"/>
          <w:szCs w:val="22"/>
        </w:rPr>
        <w:fldChar w:fldCharType="begin"/>
      </w:r>
      <w:proofErr w:type="spellStart"/>
      <w:r w:rsidRPr="005E3C06">
        <w:rPr>
          <w:rFonts w:ascii="Arial" w:hAnsi="Arial" w:cs="Arial"/>
          <w:sz w:val="22"/>
          <w:szCs w:val="22"/>
        </w:rPr>
        <w:instrText>xe</w:instrText>
      </w:r>
      <w:proofErr w:type="spellEnd"/>
      <w:r w:rsidRPr="005E3C06">
        <w:rPr>
          <w:rFonts w:ascii="Arial" w:hAnsi="Arial" w:cs="Arial"/>
          <w:sz w:val="22"/>
          <w:szCs w:val="22"/>
        </w:rPr>
        <w:instrText xml:space="preserve"> "Savings"</w:instrText>
      </w:r>
      <w:r w:rsidRPr="005E3C06">
        <w:rPr>
          <w:rFonts w:ascii="Arial" w:hAnsi="Arial" w:cs="Arial"/>
          <w:sz w:val="22"/>
          <w:szCs w:val="22"/>
        </w:rPr>
        <w:fldChar w:fldCharType="end"/>
      </w:r>
      <w:r w:rsidRPr="005E3C06">
        <w:rPr>
          <w:rFonts w:ascii="Arial" w:hAnsi="Arial" w:cs="Arial"/>
          <w:sz w:val="22"/>
          <w:szCs w:val="22"/>
        </w:rPr>
        <w:t xml:space="preserve"> (kWh) of the measure</w:t>
      </w:r>
      <w:r w:rsidRPr="005E3C06">
        <w:rPr>
          <w:rFonts w:ascii="Arial" w:hAnsi="Arial" w:cs="Arial"/>
          <w:sz w:val="22"/>
          <w:szCs w:val="22"/>
        </w:rPr>
        <w:fldChar w:fldCharType="begin"/>
      </w:r>
      <w:proofErr w:type="spellStart"/>
      <w:r w:rsidRPr="005E3C06">
        <w:rPr>
          <w:rFonts w:ascii="Arial" w:hAnsi="Arial" w:cs="Arial"/>
          <w:sz w:val="22"/>
          <w:szCs w:val="22"/>
        </w:rPr>
        <w:instrText>xe</w:instrText>
      </w:r>
      <w:proofErr w:type="spellEnd"/>
      <w:r w:rsidRPr="005E3C06">
        <w:rPr>
          <w:rFonts w:ascii="Arial" w:hAnsi="Arial" w:cs="Arial"/>
          <w:sz w:val="22"/>
          <w:szCs w:val="22"/>
        </w:rPr>
        <w:instrText xml:space="preserve"> "Measure"</w:instrText>
      </w:r>
      <w:r w:rsidRPr="005E3C06">
        <w:rPr>
          <w:rFonts w:ascii="Arial" w:hAnsi="Arial" w:cs="Arial"/>
          <w:sz w:val="22"/>
          <w:szCs w:val="22"/>
        </w:rPr>
        <w:fldChar w:fldCharType="end"/>
      </w:r>
      <w:r w:rsidRPr="005E3C06">
        <w:rPr>
          <w:rFonts w:ascii="Arial" w:hAnsi="Arial" w:cs="Arial"/>
          <w:sz w:val="22"/>
          <w:szCs w:val="22"/>
        </w:rPr>
        <w:t xml:space="preserve"> and the distribution of that savings</w:t>
      </w:r>
      <w:r w:rsidRPr="005E3C06">
        <w:rPr>
          <w:rFonts w:ascii="Arial" w:hAnsi="Arial" w:cs="Arial"/>
          <w:sz w:val="22"/>
          <w:szCs w:val="22"/>
        </w:rPr>
        <w:fldChar w:fldCharType="begin"/>
      </w:r>
      <w:proofErr w:type="spellStart"/>
      <w:r w:rsidRPr="005E3C06">
        <w:rPr>
          <w:rFonts w:ascii="Arial" w:hAnsi="Arial" w:cs="Arial"/>
          <w:sz w:val="22"/>
          <w:szCs w:val="22"/>
        </w:rPr>
        <w:instrText>xe</w:instrText>
      </w:r>
      <w:proofErr w:type="spellEnd"/>
      <w:r w:rsidRPr="005E3C06">
        <w:rPr>
          <w:rFonts w:ascii="Arial" w:hAnsi="Arial" w:cs="Arial"/>
          <w:sz w:val="22"/>
          <w:szCs w:val="22"/>
        </w:rPr>
        <w:instrText xml:space="preserve"> "Savings"</w:instrText>
      </w:r>
      <w:r w:rsidRPr="005E3C06">
        <w:rPr>
          <w:rFonts w:ascii="Arial" w:hAnsi="Arial" w:cs="Arial"/>
          <w:sz w:val="22"/>
          <w:szCs w:val="22"/>
        </w:rPr>
        <w:fldChar w:fldCharType="end"/>
      </w:r>
      <w:r w:rsidRPr="005E3C06">
        <w:rPr>
          <w:rFonts w:ascii="Arial" w:hAnsi="Arial" w:cs="Arial"/>
          <w:sz w:val="22"/>
          <w:szCs w:val="22"/>
        </w:rPr>
        <w:t xml:space="preserve"> over the year.  The distribution of savings</w:t>
      </w:r>
      <w:r w:rsidRPr="005E3C06">
        <w:rPr>
          <w:rFonts w:ascii="Arial" w:hAnsi="Arial" w:cs="Arial"/>
          <w:sz w:val="22"/>
          <w:szCs w:val="22"/>
        </w:rPr>
        <w:fldChar w:fldCharType="begin"/>
      </w:r>
      <w:proofErr w:type="spellStart"/>
      <w:proofErr w:type="gramStart"/>
      <w:r w:rsidRPr="005E3C06">
        <w:rPr>
          <w:rFonts w:ascii="Arial" w:hAnsi="Arial" w:cs="Arial"/>
          <w:sz w:val="22"/>
          <w:szCs w:val="22"/>
        </w:rPr>
        <w:instrText>xe</w:instrText>
      </w:r>
      <w:proofErr w:type="spellEnd"/>
      <w:proofErr w:type="gramEnd"/>
      <w:r w:rsidRPr="005E3C06">
        <w:rPr>
          <w:rFonts w:ascii="Arial" w:hAnsi="Arial" w:cs="Arial"/>
          <w:sz w:val="22"/>
          <w:szCs w:val="22"/>
        </w:rPr>
        <w:instrText xml:space="preserve"> "Savings"</w:instrText>
      </w:r>
      <w:r w:rsidRPr="005E3C06">
        <w:rPr>
          <w:rFonts w:ascii="Arial" w:hAnsi="Arial" w:cs="Arial"/>
          <w:sz w:val="22"/>
          <w:szCs w:val="22"/>
        </w:rPr>
        <w:fldChar w:fldCharType="end"/>
      </w:r>
      <w:r w:rsidRPr="005E3C06">
        <w:rPr>
          <w:rFonts w:ascii="Arial" w:hAnsi="Arial" w:cs="Arial"/>
          <w:sz w:val="22"/>
          <w:szCs w:val="22"/>
        </w:rPr>
        <w:t xml:space="preserve"> over the year is represented by the measure</w:t>
      </w:r>
      <w:r w:rsidRPr="005E3C06">
        <w:rPr>
          <w:rFonts w:ascii="Arial" w:hAnsi="Arial" w:cs="Arial"/>
          <w:sz w:val="22"/>
          <w:szCs w:val="22"/>
        </w:rPr>
        <w:fldChar w:fldCharType="begin"/>
      </w:r>
      <w:proofErr w:type="spellStart"/>
      <w:r w:rsidRPr="005E3C06">
        <w:rPr>
          <w:rFonts w:ascii="Arial" w:hAnsi="Arial" w:cs="Arial"/>
          <w:sz w:val="22"/>
          <w:szCs w:val="22"/>
        </w:rPr>
        <w:instrText>xe</w:instrText>
      </w:r>
      <w:proofErr w:type="spellEnd"/>
      <w:r w:rsidRPr="005E3C06">
        <w:rPr>
          <w:rFonts w:ascii="Arial" w:hAnsi="Arial" w:cs="Arial"/>
          <w:sz w:val="22"/>
          <w:szCs w:val="22"/>
        </w:rPr>
        <w:instrText xml:space="preserve"> "Measure"</w:instrText>
      </w:r>
      <w:r w:rsidRPr="005E3C06">
        <w:rPr>
          <w:rFonts w:ascii="Arial" w:hAnsi="Arial" w:cs="Arial"/>
          <w:sz w:val="22"/>
          <w:szCs w:val="22"/>
        </w:rPr>
        <w:fldChar w:fldCharType="end"/>
      </w:r>
      <w:r w:rsidRPr="005E3C06">
        <w:rPr>
          <w:rFonts w:ascii="Arial" w:hAnsi="Arial" w:cs="Arial"/>
          <w:sz w:val="22"/>
          <w:szCs w:val="22"/>
        </w:rPr>
        <w:t>’s load shape.  The measure</w:t>
      </w:r>
      <w:r w:rsidRPr="005E3C06">
        <w:rPr>
          <w:rFonts w:ascii="Arial" w:hAnsi="Arial" w:cs="Arial"/>
          <w:sz w:val="22"/>
          <w:szCs w:val="22"/>
        </w:rPr>
        <w:fldChar w:fldCharType="begin"/>
      </w:r>
      <w:proofErr w:type="spellStart"/>
      <w:proofErr w:type="gramStart"/>
      <w:r w:rsidRPr="005E3C06">
        <w:rPr>
          <w:rFonts w:ascii="Arial" w:hAnsi="Arial" w:cs="Arial"/>
          <w:sz w:val="22"/>
          <w:szCs w:val="22"/>
        </w:rPr>
        <w:instrText>xe</w:instrText>
      </w:r>
      <w:proofErr w:type="spellEnd"/>
      <w:proofErr w:type="gramEnd"/>
      <w:r w:rsidRPr="005E3C06">
        <w:rPr>
          <w:rFonts w:ascii="Arial" w:hAnsi="Arial" w:cs="Arial"/>
          <w:sz w:val="22"/>
          <w:szCs w:val="22"/>
        </w:rPr>
        <w:instrText xml:space="preserve"> "Measure"</w:instrText>
      </w:r>
      <w:r w:rsidRPr="005E3C06">
        <w:rPr>
          <w:rFonts w:ascii="Arial" w:hAnsi="Arial" w:cs="Arial"/>
          <w:sz w:val="22"/>
          <w:szCs w:val="22"/>
        </w:rPr>
        <w:fldChar w:fldCharType="end"/>
      </w:r>
      <w:r w:rsidRPr="005E3C06">
        <w:rPr>
          <w:rFonts w:ascii="Arial" w:hAnsi="Arial" w:cs="Arial"/>
          <w:sz w:val="22"/>
          <w:szCs w:val="22"/>
        </w:rPr>
        <w:t>’s load shape indicates what fraction of annual energy savings</w:t>
      </w:r>
      <w:r w:rsidRPr="005E3C06">
        <w:rPr>
          <w:rFonts w:ascii="Arial" w:hAnsi="Arial" w:cs="Arial"/>
          <w:sz w:val="22"/>
          <w:szCs w:val="22"/>
        </w:rPr>
        <w:fldChar w:fldCharType="begin"/>
      </w:r>
      <w:proofErr w:type="spellStart"/>
      <w:r w:rsidRPr="005E3C06">
        <w:rPr>
          <w:rFonts w:ascii="Arial" w:hAnsi="Arial" w:cs="Arial"/>
          <w:sz w:val="22"/>
          <w:szCs w:val="22"/>
        </w:rPr>
        <w:instrText>xe</w:instrText>
      </w:r>
      <w:proofErr w:type="spellEnd"/>
      <w:r w:rsidRPr="005E3C06">
        <w:rPr>
          <w:rFonts w:ascii="Arial" w:hAnsi="Arial" w:cs="Arial"/>
          <w:sz w:val="22"/>
          <w:szCs w:val="22"/>
        </w:rPr>
        <w:instrText xml:space="preserve"> "Savings"</w:instrText>
      </w:r>
      <w:r w:rsidRPr="005E3C06">
        <w:rPr>
          <w:rFonts w:ascii="Arial" w:hAnsi="Arial" w:cs="Arial"/>
          <w:sz w:val="22"/>
          <w:szCs w:val="22"/>
        </w:rPr>
        <w:fldChar w:fldCharType="end"/>
      </w:r>
      <w:r w:rsidRPr="005E3C06">
        <w:rPr>
          <w:rFonts w:ascii="Arial" w:hAnsi="Arial" w:cs="Arial"/>
          <w:sz w:val="22"/>
          <w:szCs w:val="22"/>
        </w:rPr>
        <w:t xml:space="preserve"> occurs in each time period of the year.  An hourly load shape indicates what fraction of annual savings</w:t>
      </w:r>
      <w:r w:rsidRPr="005E3C06">
        <w:rPr>
          <w:rFonts w:ascii="Arial" w:hAnsi="Arial" w:cs="Arial"/>
          <w:sz w:val="22"/>
          <w:szCs w:val="22"/>
        </w:rPr>
        <w:fldChar w:fldCharType="begin"/>
      </w:r>
      <w:proofErr w:type="spellStart"/>
      <w:proofErr w:type="gramStart"/>
      <w:r w:rsidRPr="005E3C06">
        <w:rPr>
          <w:rFonts w:ascii="Arial" w:hAnsi="Arial" w:cs="Arial"/>
          <w:sz w:val="22"/>
          <w:szCs w:val="22"/>
        </w:rPr>
        <w:instrText>xe</w:instrText>
      </w:r>
      <w:proofErr w:type="spellEnd"/>
      <w:proofErr w:type="gramEnd"/>
      <w:r w:rsidRPr="005E3C06">
        <w:rPr>
          <w:rFonts w:ascii="Arial" w:hAnsi="Arial" w:cs="Arial"/>
          <w:sz w:val="22"/>
          <w:szCs w:val="22"/>
        </w:rPr>
        <w:instrText xml:space="preserve"> "Savings"</w:instrText>
      </w:r>
      <w:r w:rsidRPr="005E3C06">
        <w:rPr>
          <w:rFonts w:ascii="Arial" w:hAnsi="Arial" w:cs="Arial"/>
          <w:sz w:val="22"/>
          <w:szCs w:val="22"/>
        </w:rPr>
        <w:fldChar w:fldCharType="end"/>
      </w:r>
      <w:r w:rsidRPr="005E3C06">
        <w:rPr>
          <w:rFonts w:ascii="Arial" w:hAnsi="Arial" w:cs="Arial"/>
          <w:sz w:val="22"/>
          <w:szCs w:val="22"/>
        </w:rPr>
        <w:t xml:space="preserve">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w:t>
      </w:r>
      <w:r w:rsidRPr="005E3C06">
        <w:rPr>
          <w:rFonts w:ascii="Arial" w:hAnsi="Arial" w:cs="Arial"/>
          <w:sz w:val="22"/>
          <w:szCs w:val="22"/>
        </w:rPr>
        <w:fldChar w:fldCharType="begin"/>
      </w:r>
      <w:proofErr w:type="spellStart"/>
      <w:proofErr w:type="gramStart"/>
      <w:r w:rsidRPr="005E3C06">
        <w:rPr>
          <w:rFonts w:ascii="Arial" w:hAnsi="Arial" w:cs="Arial"/>
          <w:sz w:val="22"/>
          <w:szCs w:val="22"/>
        </w:rPr>
        <w:instrText>xe</w:instrText>
      </w:r>
      <w:proofErr w:type="spellEnd"/>
      <w:proofErr w:type="gramEnd"/>
      <w:r w:rsidRPr="005E3C06">
        <w:rPr>
          <w:rFonts w:ascii="Arial" w:hAnsi="Arial" w:cs="Arial"/>
          <w:sz w:val="22"/>
          <w:szCs w:val="22"/>
        </w:rPr>
        <w:instrText xml:space="preserve"> "Measure"</w:instrText>
      </w:r>
      <w:r w:rsidRPr="005E3C06">
        <w:rPr>
          <w:rFonts w:ascii="Arial" w:hAnsi="Arial" w:cs="Arial"/>
          <w:sz w:val="22"/>
          <w:szCs w:val="22"/>
        </w:rPr>
        <w:fldChar w:fldCharType="end"/>
      </w:r>
      <w:r w:rsidRPr="005E3C06">
        <w:rPr>
          <w:rFonts w:ascii="Arial" w:hAnsi="Arial" w:cs="Arial"/>
          <w:sz w:val="22"/>
          <w:szCs w:val="22"/>
        </w:rPr>
        <w:t xml:space="preserve"> load shape with the hourly avoided cost stream determines the average avoided cost per kWh for use in the life cycle cost analysis that determines a measure</w:t>
      </w:r>
      <w:r w:rsidRPr="005E3C06">
        <w:rPr>
          <w:rFonts w:ascii="Arial" w:hAnsi="Arial" w:cs="Arial"/>
          <w:sz w:val="22"/>
          <w:szCs w:val="22"/>
        </w:rPr>
        <w:fldChar w:fldCharType="begin"/>
      </w:r>
      <w:proofErr w:type="spellStart"/>
      <w:r w:rsidRPr="005E3C06">
        <w:rPr>
          <w:rFonts w:ascii="Arial" w:hAnsi="Arial" w:cs="Arial"/>
          <w:sz w:val="22"/>
          <w:szCs w:val="22"/>
        </w:rPr>
        <w:instrText>xe</w:instrText>
      </w:r>
      <w:proofErr w:type="spellEnd"/>
      <w:r w:rsidRPr="005E3C06">
        <w:rPr>
          <w:rFonts w:ascii="Arial" w:hAnsi="Arial" w:cs="Arial"/>
          <w:sz w:val="22"/>
          <w:szCs w:val="22"/>
        </w:rPr>
        <w:instrText xml:space="preserve"> "Measure"</w:instrText>
      </w:r>
      <w:r w:rsidRPr="005E3C06">
        <w:rPr>
          <w:rFonts w:ascii="Arial" w:hAnsi="Arial" w:cs="Arial"/>
          <w:sz w:val="22"/>
          <w:szCs w:val="22"/>
        </w:rPr>
        <w:fldChar w:fldCharType="end"/>
      </w:r>
      <w:r w:rsidRPr="005E3C06">
        <w:rPr>
          <w:rFonts w:ascii="Arial" w:hAnsi="Arial" w:cs="Arial"/>
          <w:sz w:val="22"/>
          <w:szCs w:val="22"/>
        </w:rPr>
        <w:t>’s Total Resource Cost (TRC) benefit.</w:t>
      </w:r>
    </w:p>
    <w:p w:rsidR="005E3C06" w:rsidRDefault="005E3C06" w:rsidP="005E3C06">
      <w:pPr>
        <w:rPr>
          <w:rFonts w:ascii="Arial" w:hAnsi="Arial" w:cs="Arial"/>
          <w:b/>
          <w:bCs/>
          <w:i/>
          <w:iCs/>
          <w:sz w:val="22"/>
          <w:szCs w:val="22"/>
        </w:rPr>
      </w:pPr>
      <w:bookmarkStart w:id="46" w:name="_Toc327979949"/>
    </w:p>
    <w:p w:rsidR="005E3C06" w:rsidRPr="005E3C06" w:rsidRDefault="005E3C06" w:rsidP="005E3C06">
      <w:pPr>
        <w:pStyle w:val="Heading2"/>
      </w:pPr>
      <w:bookmarkStart w:id="47" w:name="_Toc443922975"/>
      <w:r w:rsidRPr="005E3C06">
        <w:t>3.1 Base Case Load Shapes</w:t>
      </w:r>
      <w:bookmarkEnd w:id="42"/>
      <w:bookmarkEnd w:id="43"/>
      <w:bookmarkEnd w:id="44"/>
      <w:bookmarkEnd w:id="45"/>
      <w:bookmarkEnd w:id="46"/>
      <w:bookmarkEnd w:id="47"/>
    </w:p>
    <w:p w:rsidR="005E3C06" w:rsidRPr="005E3C06" w:rsidRDefault="005E3C06" w:rsidP="005E3C06">
      <w:pPr>
        <w:rPr>
          <w:rFonts w:ascii="Arial" w:hAnsi="Arial" w:cs="Arial"/>
          <w:sz w:val="22"/>
          <w:szCs w:val="22"/>
        </w:rPr>
      </w:pPr>
      <w:bookmarkStart w:id="48" w:name="_Toc173742997"/>
      <w:r w:rsidRPr="005E3C06">
        <w:rPr>
          <w:rFonts w:ascii="Arial" w:hAnsi="Arial" w:cs="Arial"/>
          <w:sz w:val="22"/>
          <w:szCs w:val="22"/>
        </w:rPr>
        <w:t>Load shapes are not applicable to gas measures, however, because the price of gas is not dependent on time-of-use.</w:t>
      </w:r>
    </w:p>
    <w:p w:rsidR="005E3C06" w:rsidRPr="005E3C06" w:rsidRDefault="005E3C06" w:rsidP="005E3C06">
      <w:pPr>
        <w:pStyle w:val="Heading2"/>
      </w:pPr>
    </w:p>
    <w:p w:rsidR="005E3C06" w:rsidRPr="005E3C06" w:rsidRDefault="005E3C06" w:rsidP="005E3C06">
      <w:pPr>
        <w:pStyle w:val="Heading2"/>
      </w:pPr>
      <w:bookmarkStart w:id="49" w:name="_Toc304800216"/>
      <w:bookmarkStart w:id="50" w:name="_Toc324318370"/>
      <w:bookmarkStart w:id="51" w:name="_Toc324340499"/>
      <w:bookmarkStart w:id="52" w:name="_Toc327979950"/>
      <w:bookmarkStart w:id="53" w:name="_Toc443922976"/>
      <w:r w:rsidRPr="005E3C06">
        <w:t>3.2 Measure Load Shapes</w:t>
      </w:r>
      <w:bookmarkEnd w:id="48"/>
      <w:bookmarkEnd w:id="49"/>
      <w:bookmarkEnd w:id="50"/>
      <w:bookmarkEnd w:id="51"/>
      <w:bookmarkEnd w:id="52"/>
      <w:bookmarkEnd w:id="53"/>
    </w:p>
    <w:p w:rsidR="005E3C06" w:rsidRPr="005E3C06" w:rsidRDefault="005E3C06" w:rsidP="005E3C06">
      <w:pPr>
        <w:rPr>
          <w:rFonts w:ascii="Arial" w:hAnsi="Arial" w:cs="Arial"/>
          <w:sz w:val="22"/>
          <w:szCs w:val="22"/>
        </w:rPr>
      </w:pPr>
      <w:r w:rsidRPr="005E3C06">
        <w:rPr>
          <w:rFonts w:ascii="Arial" w:hAnsi="Arial" w:cs="Arial"/>
          <w:sz w:val="22"/>
          <w:szCs w:val="22"/>
        </w:rPr>
        <w:t>Load shapes are not applicable to gas measures, however, because the price of gas is not dependent on time-of-use.</w:t>
      </w:r>
    </w:p>
    <w:p w:rsidR="00E16FD8" w:rsidRDefault="00E16FD8" w:rsidP="00CA3D16">
      <w:pPr>
        <w:sectPr w:rsidR="00E16FD8" w:rsidSect="00DD43C2">
          <w:endnotePr>
            <w:numFmt w:val="decimal"/>
          </w:endnotePr>
          <w:pgSz w:w="12240" w:h="15840"/>
          <w:pgMar w:top="1440" w:right="1440" w:bottom="1440" w:left="1440" w:header="720" w:footer="720" w:gutter="0"/>
          <w:pgNumType w:chapStyle="1"/>
          <w:cols w:space="720"/>
          <w:docGrid w:linePitch="360"/>
        </w:sectPr>
      </w:pPr>
    </w:p>
    <w:p w:rsidR="003F4FFF" w:rsidRPr="00563E95" w:rsidRDefault="003F4FFF" w:rsidP="00864083">
      <w:pPr>
        <w:pStyle w:val="Heading1"/>
        <w:keepLines/>
        <w:spacing w:before="0" w:after="0"/>
        <w:rPr>
          <w:i/>
          <w:sz w:val="28"/>
          <w:szCs w:val="28"/>
        </w:rPr>
      </w:pPr>
      <w:bookmarkStart w:id="54" w:name="_Toc443922977"/>
      <w:proofErr w:type="gramStart"/>
      <w:r w:rsidRPr="00563E95">
        <w:rPr>
          <w:i/>
          <w:sz w:val="28"/>
          <w:szCs w:val="28"/>
        </w:rPr>
        <w:lastRenderedPageBreak/>
        <w:t>Section 4.</w:t>
      </w:r>
      <w:proofErr w:type="gramEnd"/>
      <w:r w:rsidRPr="00563E95">
        <w:rPr>
          <w:i/>
          <w:sz w:val="28"/>
          <w:szCs w:val="28"/>
        </w:rPr>
        <w:t xml:space="preserve"> Base Case &amp; Measure Costs</w:t>
      </w:r>
      <w:bookmarkEnd w:id="54"/>
    </w:p>
    <w:p w:rsidR="00842157" w:rsidRPr="00C22185" w:rsidRDefault="00C22185" w:rsidP="00842157">
      <w:pPr>
        <w:rPr>
          <w:rFonts w:ascii="Arial" w:hAnsi="Arial" w:cs="Arial"/>
          <w:sz w:val="22"/>
        </w:rPr>
      </w:pPr>
      <w:r w:rsidRPr="00C22185">
        <w:rPr>
          <w:rFonts w:ascii="Arial" w:hAnsi="Arial" w:cs="Arial"/>
          <w:sz w:val="22"/>
        </w:rPr>
        <w:t>DEER</w:t>
      </w:r>
      <w:r>
        <w:rPr>
          <w:rFonts w:ascii="Arial" w:hAnsi="Arial" w:cs="Arial"/>
          <w:sz w:val="22"/>
        </w:rPr>
        <w:t xml:space="preserve">2016 </w:t>
      </w:r>
      <w:r w:rsidRPr="00C22185">
        <w:rPr>
          <w:rFonts w:ascii="Arial" w:hAnsi="Arial" w:cs="Arial"/>
          <w:sz w:val="22"/>
        </w:rPr>
        <w:t>does not contain base case or measure costs for process boilers.</w:t>
      </w:r>
      <w:r>
        <w:rPr>
          <w:rFonts w:ascii="Arial" w:hAnsi="Arial" w:cs="Arial"/>
          <w:sz w:val="22"/>
        </w:rPr>
        <w:t xml:space="preserve">  The costs gathered for the base case and measure was from a survey, also reported in Southern California Gas Company’s </w:t>
      </w:r>
      <w:proofErr w:type="spellStart"/>
      <w:r>
        <w:rPr>
          <w:rFonts w:ascii="Arial" w:hAnsi="Arial" w:cs="Arial"/>
          <w:sz w:val="22"/>
        </w:rPr>
        <w:t>Workpaper</w:t>
      </w:r>
      <w:proofErr w:type="spellEnd"/>
      <w:r>
        <w:rPr>
          <w:rFonts w:ascii="Arial" w:hAnsi="Arial" w:cs="Arial"/>
          <w:sz w:val="22"/>
        </w:rPr>
        <w:t xml:space="preserve"> WPSCGNRPH120206A Revision 5 Process Boilers (Including Direct Contact Hot Water Heaters).</w:t>
      </w:r>
    </w:p>
    <w:p w:rsidR="00C22185" w:rsidRPr="00A961E9" w:rsidRDefault="00C22185" w:rsidP="00842157">
      <w:pPr>
        <w:rPr>
          <w:color w:val="FF0000"/>
        </w:rPr>
      </w:pPr>
    </w:p>
    <w:p w:rsidR="003F4FFF" w:rsidRPr="006A2042" w:rsidRDefault="003F4FFF" w:rsidP="00864083">
      <w:pPr>
        <w:pStyle w:val="Heading2"/>
        <w:spacing w:before="0" w:after="0"/>
      </w:pPr>
      <w:bookmarkStart w:id="55" w:name="_Toc443922978"/>
      <w:r w:rsidRPr="006A2042">
        <w:t>4.1 Base Case(s) Costs</w:t>
      </w:r>
      <w:bookmarkEnd w:id="55"/>
    </w:p>
    <w:p w:rsidR="00434DD9" w:rsidRDefault="00C22185" w:rsidP="00C22185">
      <w:pPr>
        <w:rPr>
          <w:rFonts w:ascii="Arial" w:hAnsi="Arial" w:cs="Arial"/>
          <w:sz w:val="22"/>
          <w:szCs w:val="22"/>
        </w:rPr>
      </w:pPr>
      <w:r>
        <w:rPr>
          <w:rFonts w:ascii="Arial" w:hAnsi="Arial" w:cs="Arial"/>
          <w:sz w:val="22"/>
          <w:szCs w:val="22"/>
        </w:rPr>
        <w:t xml:space="preserve">The table below lists the results of a survey of equipment vendors that sell process hot water and steam </w:t>
      </w:r>
      <w:r w:rsidR="005C409E">
        <w:rPr>
          <w:rFonts w:ascii="Arial" w:hAnsi="Arial" w:cs="Arial"/>
          <w:sz w:val="22"/>
          <w:szCs w:val="22"/>
        </w:rPr>
        <w:t xml:space="preserve">process </w:t>
      </w:r>
      <w:r>
        <w:rPr>
          <w:rFonts w:ascii="Arial" w:hAnsi="Arial" w:cs="Arial"/>
          <w:sz w:val="22"/>
          <w:szCs w:val="22"/>
        </w:rPr>
        <w:t xml:space="preserve">boilers in California.  The vendor calls produced data for the categories of boiler type, rated input, and efficiency used in this </w:t>
      </w:r>
      <w:proofErr w:type="spellStart"/>
      <w:r>
        <w:rPr>
          <w:rFonts w:ascii="Arial" w:hAnsi="Arial" w:cs="Arial"/>
          <w:sz w:val="22"/>
          <w:szCs w:val="22"/>
        </w:rPr>
        <w:t>workpaper</w:t>
      </w:r>
      <w:proofErr w:type="spellEnd"/>
      <w:r>
        <w:rPr>
          <w:rFonts w:ascii="Arial" w:hAnsi="Arial" w:cs="Arial"/>
          <w:sz w:val="22"/>
          <w:szCs w:val="22"/>
        </w:rPr>
        <w:t xml:space="preserve">.  The base case costs shown represent an arithmetic average of the equipment cost per </w:t>
      </w:r>
      <w:proofErr w:type="spellStart"/>
      <w:r>
        <w:rPr>
          <w:rFonts w:ascii="Arial" w:hAnsi="Arial" w:cs="Arial"/>
          <w:sz w:val="22"/>
          <w:szCs w:val="22"/>
        </w:rPr>
        <w:t>kBtu</w:t>
      </w:r>
      <w:proofErr w:type="spellEnd"/>
      <w:r>
        <w:rPr>
          <w:rFonts w:ascii="Arial" w:hAnsi="Arial" w:cs="Arial"/>
          <w:sz w:val="22"/>
          <w:szCs w:val="22"/>
        </w:rPr>
        <w:t>/h.</w:t>
      </w:r>
      <w:r w:rsidR="005C409E">
        <w:rPr>
          <w:rFonts w:ascii="Arial" w:hAnsi="Arial" w:cs="Arial"/>
          <w:sz w:val="22"/>
          <w:szCs w:val="22"/>
        </w:rPr>
        <w:t xml:space="preserve">  Please reference the cost spreadsheet for detailed information</w:t>
      </w:r>
      <w:r w:rsidR="00545890">
        <w:rPr>
          <w:rStyle w:val="EndnoteReference"/>
          <w:rFonts w:ascii="Arial" w:hAnsi="Arial" w:cs="Arial"/>
          <w:sz w:val="22"/>
          <w:szCs w:val="22"/>
        </w:rPr>
        <w:endnoteReference w:id="9"/>
      </w:r>
      <w:r w:rsidR="005C409E">
        <w:rPr>
          <w:rFonts w:ascii="Arial" w:hAnsi="Arial" w:cs="Arial"/>
          <w:sz w:val="22"/>
          <w:szCs w:val="22"/>
        </w:rPr>
        <w:t>.</w:t>
      </w:r>
    </w:p>
    <w:p w:rsidR="00C22185" w:rsidRDefault="00C22185" w:rsidP="00C22185">
      <w:pPr>
        <w:rPr>
          <w:rFonts w:ascii="Arial" w:hAnsi="Arial" w:cs="Arial"/>
          <w:sz w:val="22"/>
          <w:szCs w:val="22"/>
        </w:rPr>
      </w:pPr>
    </w:p>
    <w:p w:rsidR="00C22185" w:rsidRDefault="00C22185" w:rsidP="00C22185">
      <w:pPr>
        <w:pStyle w:val="Caption"/>
        <w:keepNext/>
        <w:jc w:val="center"/>
      </w:pPr>
      <w:r>
        <w:t xml:space="preserve">Table </w:t>
      </w:r>
      <w:fldSimple w:instr=" SEQ Table \* ARABIC ">
        <w:r w:rsidR="00871EB2">
          <w:rPr>
            <w:noProof/>
          </w:rPr>
          <w:t>9</w:t>
        </w:r>
      </w:fldSimple>
      <w:r>
        <w:t xml:space="preserve"> Base Case Cost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2532"/>
        <w:gridCol w:w="2532"/>
        <w:gridCol w:w="2361"/>
      </w:tblGrid>
      <w:tr w:rsidR="005C409E" w:rsidRPr="00594B8D" w:rsidTr="005C409E">
        <w:trPr>
          <w:jc w:val="center"/>
        </w:trPr>
        <w:tc>
          <w:tcPr>
            <w:tcW w:w="1123" w:type="pct"/>
            <w:shd w:val="clear" w:color="auto" w:fill="D9D9D9" w:themeFill="background1" w:themeFillShade="D9"/>
            <w:vAlign w:val="center"/>
          </w:tcPr>
          <w:p w:rsidR="005C409E" w:rsidRPr="00594B8D" w:rsidRDefault="005C409E" w:rsidP="007A6876">
            <w:pPr>
              <w:jc w:val="center"/>
              <w:rPr>
                <w:rFonts w:ascii="Arial" w:hAnsi="Arial" w:cs="Arial"/>
                <w:b/>
                <w:sz w:val="20"/>
                <w:szCs w:val="20"/>
              </w:rPr>
            </w:pPr>
            <w:r w:rsidRPr="00594B8D">
              <w:rPr>
                <w:rFonts w:ascii="Arial" w:hAnsi="Arial" w:cs="Arial"/>
                <w:b/>
                <w:sz w:val="20"/>
                <w:szCs w:val="20"/>
              </w:rPr>
              <w:t>Measure ID</w:t>
            </w:r>
          </w:p>
        </w:tc>
        <w:tc>
          <w:tcPr>
            <w:tcW w:w="1322" w:type="pct"/>
            <w:shd w:val="clear" w:color="auto" w:fill="D9D9D9" w:themeFill="background1" w:themeFillShade="D9"/>
            <w:vAlign w:val="center"/>
          </w:tcPr>
          <w:p w:rsidR="005C409E" w:rsidRPr="00594B8D" w:rsidRDefault="005C409E" w:rsidP="007A6876">
            <w:pPr>
              <w:jc w:val="center"/>
              <w:rPr>
                <w:rFonts w:ascii="Arial" w:hAnsi="Arial" w:cs="Arial"/>
                <w:b/>
                <w:sz w:val="20"/>
                <w:szCs w:val="20"/>
              </w:rPr>
            </w:pPr>
            <w:r>
              <w:rPr>
                <w:rFonts w:ascii="Arial" w:hAnsi="Arial" w:cs="Arial"/>
                <w:b/>
                <w:sz w:val="20"/>
                <w:szCs w:val="20"/>
              </w:rPr>
              <w:t>Measure Description</w:t>
            </w:r>
          </w:p>
        </w:tc>
        <w:tc>
          <w:tcPr>
            <w:tcW w:w="1322" w:type="pct"/>
            <w:shd w:val="clear" w:color="auto" w:fill="D9D9D9" w:themeFill="background1" w:themeFillShade="D9"/>
            <w:vAlign w:val="center"/>
          </w:tcPr>
          <w:p w:rsidR="005C409E" w:rsidRPr="00594B8D" w:rsidRDefault="005C409E" w:rsidP="007A6876">
            <w:pPr>
              <w:jc w:val="center"/>
              <w:rPr>
                <w:rFonts w:ascii="Arial" w:hAnsi="Arial" w:cs="Arial"/>
                <w:b/>
                <w:sz w:val="20"/>
                <w:szCs w:val="20"/>
              </w:rPr>
            </w:pPr>
            <w:r w:rsidRPr="00594B8D">
              <w:rPr>
                <w:rFonts w:ascii="Arial" w:hAnsi="Arial" w:cs="Arial"/>
                <w:b/>
                <w:sz w:val="20"/>
                <w:szCs w:val="20"/>
              </w:rPr>
              <w:t>Measure Application Types</w:t>
            </w:r>
          </w:p>
        </w:tc>
        <w:tc>
          <w:tcPr>
            <w:tcW w:w="1233" w:type="pct"/>
            <w:shd w:val="clear" w:color="auto" w:fill="D9D9D9" w:themeFill="background1" w:themeFillShade="D9"/>
            <w:vAlign w:val="center"/>
          </w:tcPr>
          <w:p w:rsidR="005C409E" w:rsidRPr="00594B8D" w:rsidRDefault="005C409E" w:rsidP="007A6876">
            <w:pPr>
              <w:jc w:val="center"/>
              <w:rPr>
                <w:rFonts w:ascii="Arial" w:hAnsi="Arial" w:cs="Arial"/>
                <w:b/>
                <w:sz w:val="20"/>
                <w:szCs w:val="20"/>
              </w:rPr>
            </w:pPr>
            <w:r w:rsidRPr="00594B8D">
              <w:rPr>
                <w:rFonts w:ascii="Arial" w:hAnsi="Arial" w:cs="Arial"/>
                <w:b/>
                <w:sz w:val="20"/>
                <w:szCs w:val="20"/>
              </w:rPr>
              <w:t xml:space="preserve">Base </w:t>
            </w:r>
            <w:r>
              <w:rPr>
                <w:rFonts w:ascii="Arial" w:hAnsi="Arial" w:cs="Arial"/>
                <w:b/>
                <w:sz w:val="20"/>
                <w:szCs w:val="20"/>
              </w:rPr>
              <w:t xml:space="preserve">Case </w:t>
            </w:r>
            <w:r w:rsidRPr="00594B8D">
              <w:rPr>
                <w:rFonts w:ascii="Arial" w:hAnsi="Arial" w:cs="Arial"/>
                <w:b/>
                <w:sz w:val="20"/>
                <w:szCs w:val="20"/>
              </w:rPr>
              <w:t>Cost</w:t>
            </w:r>
            <w:r>
              <w:rPr>
                <w:rFonts w:ascii="Arial" w:hAnsi="Arial" w:cs="Arial"/>
                <w:b/>
                <w:sz w:val="20"/>
                <w:szCs w:val="20"/>
              </w:rPr>
              <w:t xml:space="preserve"> ($/</w:t>
            </w:r>
            <w:proofErr w:type="spellStart"/>
            <w:r>
              <w:rPr>
                <w:rFonts w:ascii="Arial" w:hAnsi="Arial" w:cs="Arial"/>
                <w:b/>
                <w:sz w:val="20"/>
                <w:szCs w:val="20"/>
              </w:rPr>
              <w:t>MBtuh</w:t>
            </w:r>
            <w:proofErr w:type="spellEnd"/>
            <w:r>
              <w:rPr>
                <w:rFonts w:ascii="Arial" w:hAnsi="Arial" w:cs="Arial"/>
                <w:b/>
                <w:sz w:val="20"/>
                <w:szCs w:val="20"/>
              </w:rPr>
              <w:t>)</w:t>
            </w:r>
          </w:p>
        </w:tc>
      </w:tr>
      <w:tr w:rsidR="005C409E" w:rsidRPr="00594B8D" w:rsidTr="005C409E">
        <w:trPr>
          <w:jc w:val="center"/>
        </w:trPr>
        <w:tc>
          <w:tcPr>
            <w:tcW w:w="1123" w:type="pct"/>
            <w:shd w:val="clear" w:color="auto" w:fill="auto"/>
            <w:vAlign w:val="center"/>
          </w:tcPr>
          <w:p w:rsidR="005C409E" w:rsidRPr="00594B8D" w:rsidRDefault="005C409E" w:rsidP="007A6876">
            <w:pPr>
              <w:jc w:val="center"/>
              <w:rPr>
                <w:rFonts w:ascii="Arial" w:hAnsi="Arial" w:cs="Arial"/>
                <w:sz w:val="20"/>
                <w:szCs w:val="20"/>
              </w:rPr>
            </w:pPr>
            <w:r>
              <w:rPr>
                <w:rFonts w:ascii="Arial" w:hAnsi="Arial" w:cs="Arial"/>
                <w:sz w:val="20"/>
                <w:szCs w:val="20"/>
              </w:rPr>
              <w:t>H11</w:t>
            </w:r>
          </w:p>
        </w:tc>
        <w:tc>
          <w:tcPr>
            <w:tcW w:w="1322" w:type="pct"/>
            <w:vAlign w:val="center"/>
          </w:tcPr>
          <w:p w:rsidR="005C409E" w:rsidRPr="00594B8D" w:rsidRDefault="005C409E" w:rsidP="007A6876">
            <w:pPr>
              <w:jc w:val="center"/>
              <w:rPr>
                <w:rFonts w:ascii="Arial" w:hAnsi="Arial" w:cs="Arial"/>
                <w:sz w:val="20"/>
                <w:szCs w:val="20"/>
              </w:rPr>
            </w:pPr>
            <w:r>
              <w:rPr>
                <w:rFonts w:ascii="Arial" w:hAnsi="Arial" w:cs="Arial"/>
                <w:sz w:val="20"/>
                <w:szCs w:val="20"/>
              </w:rPr>
              <w:t>Water Process Boiler</w:t>
            </w:r>
          </w:p>
        </w:tc>
        <w:tc>
          <w:tcPr>
            <w:tcW w:w="1322" w:type="pct"/>
            <w:vAlign w:val="center"/>
          </w:tcPr>
          <w:p w:rsidR="005C409E" w:rsidRPr="00594B8D" w:rsidRDefault="005C409E" w:rsidP="007A6876">
            <w:pPr>
              <w:jc w:val="center"/>
              <w:rPr>
                <w:rFonts w:ascii="Arial" w:hAnsi="Arial" w:cs="Arial"/>
                <w:sz w:val="20"/>
                <w:szCs w:val="20"/>
              </w:rPr>
            </w:pPr>
            <w:r w:rsidRPr="00594B8D">
              <w:rPr>
                <w:rFonts w:ascii="Arial" w:hAnsi="Arial" w:cs="Arial"/>
                <w:sz w:val="20"/>
                <w:szCs w:val="20"/>
              </w:rPr>
              <w:t>ROB</w:t>
            </w:r>
          </w:p>
        </w:tc>
        <w:tc>
          <w:tcPr>
            <w:tcW w:w="1233" w:type="pct"/>
            <w:shd w:val="clear" w:color="auto" w:fill="auto"/>
            <w:vAlign w:val="center"/>
          </w:tcPr>
          <w:p w:rsidR="005C409E" w:rsidRPr="00594B8D" w:rsidRDefault="005C409E" w:rsidP="005C409E">
            <w:pPr>
              <w:jc w:val="center"/>
              <w:rPr>
                <w:rFonts w:ascii="Arial" w:hAnsi="Arial" w:cs="Arial"/>
                <w:sz w:val="20"/>
                <w:szCs w:val="20"/>
              </w:rPr>
            </w:pPr>
            <w:r w:rsidRPr="00594B8D">
              <w:rPr>
                <w:rFonts w:ascii="Arial" w:hAnsi="Arial" w:cs="Arial"/>
                <w:sz w:val="20"/>
                <w:szCs w:val="20"/>
              </w:rPr>
              <w:t>$</w:t>
            </w:r>
            <w:r>
              <w:rPr>
                <w:rFonts w:ascii="Arial" w:hAnsi="Arial" w:cs="Arial"/>
                <w:sz w:val="20"/>
                <w:szCs w:val="20"/>
              </w:rPr>
              <w:t>1</w:t>
            </w:r>
            <w:r>
              <w:rPr>
                <w:rFonts w:ascii="Arial" w:hAnsi="Arial" w:cs="Arial"/>
                <w:sz w:val="20"/>
                <w:szCs w:val="20"/>
              </w:rPr>
              <w:t>2.22</w:t>
            </w:r>
          </w:p>
        </w:tc>
      </w:tr>
      <w:tr w:rsidR="005C409E" w:rsidRPr="00594B8D" w:rsidTr="005C409E">
        <w:trPr>
          <w:jc w:val="center"/>
        </w:trPr>
        <w:tc>
          <w:tcPr>
            <w:tcW w:w="1123" w:type="pct"/>
            <w:shd w:val="clear" w:color="auto" w:fill="auto"/>
            <w:vAlign w:val="center"/>
          </w:tcPr>
          <w:p w:rsidR="005C409E" w:rsidRPr="00594B8D" w:rsidRDefault="005C409E" w:rsidP="007A6876">
            <w:pPr>
              <w:jc w:val="center"/>
              <w:rPr>
                <w:rFonts w:ascii="Arial" w:hAnsi="Arial" w:cs="Arial"/>
                <w:sz w:val="20"/>
                <w:szCs w:val="20"/>
              </w:rPr>
            </w:pPr>
            <w:r>
              <w:rPr>
                <w:rFonts w:ascii="Arial" w:hAnsi="Arial" w:cs="Arial"/>
                <w:sz w:val="20"/>
                <w:szCs w:val="20"/>
              </w:rPr>
              <w:t>H15</w:t>
            </w:r>
          </w:p>
        </w:tc>
        <w:tc>
          <w:tcPr>
            <w:tcW w:w="1322" w:type="pct"/>
            <w:vAlign w:val="center"/>
          </w:tcPr>
          <w:p w:rsidR="005C409E" w:rsidRPr="00594B8D" w:rsidRDefault="005C409E" w:rsidP="007A6876">
            <w:pPr>
              <w:jc w:val="center"/>
              <w:rPr>
                <w:rFonts w:ascii="Arial" w:hAnsi="Arial" w:cs="Arial"/>
                <w:sz w:val="20"/>
                <w:szCs w:val="20"/>
              </w:rPr>
            </w:pPr>
            <w:r>
              <w:rPr>
                <w:rFonts w:ascii="Arial" w:hAnsi="Arial" w:cs="Arial"/>
                <w:sz w:val="20"/>
                <w:szCs w:val="20"/>
              </w:rPr>
              <w:t>Steam Process Boiler</w:t>
            </w:r>
          </w:p>
        </w:tc>
        <w:tc>
          <w:tcPr>
            <w:tcW w:w="1322" w:type="pct"/>
            <w:vAlign w:val="center"/>
          </w:tcPr>
          <w:p w:rsidR="005C409E" w:rsidRPr="00594B8D" w:rsidRDefault="005C409E" w:rsidP="007A6876">
            <w:pPr>
              <w:jc w:val="center"/>
              <w:rPr>
                <w:rFonts w:ascii="Arial" w:hAnsi="Arial" w:cs="Arial"/>
                <w:sz w:val="20"/>
                <w:szCs w:val="20"/>
              </w:rPr>
            </w:pPr>
            <w:r w:rsidRPr="00594B8D">
              <w:rPr>
                <w:rFonts w:ascii="Arial" w:hAnsi="Arial" w:cs="Arial"/>
                <w:sz w:val="20"/>
                <w:szCs w:val="20"/>
              </w:rPr>
              <w:t>ROB</w:t>
            </w:r>
          </w:p>
        </w:tc>
        <w:tc>
          <w:tcPr>
            <w:tcW w:w="1233" w:type="pct"/>
            <w:shd w:val="clear" w:color="auto" w:fill="auto"/>
            <w:vAlign w:val="center"/>
          </w:tcPr>
          <w:p w:rsidR="005C409E" w:rsidRPr="00594B8D" w:rsidRDefault="005C409E" w:rsidP="007A6876">
            <w:pPr>
              <w:jc w:val="center"/>
              <w:rPr>
                <w:rFonts w:ascii="Arial" w:hAnsi="Arial" w:cs="Arial"/>
                <w:sz w:val="20"/>
                <w:szCs w:val="20"/>
              </w:rPr>
            </w:pPr>
            <w:r w:rsidRPr="00594B8D">
              <w:rPr>
                <w:rFonts w:ascii="Arial" w:hAnsi="Arial" w:cs="Arial"/>
                <w:sz w:val="20"/>
                <w:szCs w:val="20"/>
              </w:rPr>
              <w:t>$</w:t>
            </w:r>
            <w:r>
              <w:rPr>
                <w:rFonts w:ascii="Arial" w:hAnsi="Arial" w:cs="Arial"/>
                <w:sz w:val="20"/>
                <w:szCs w:val="20"/>
              </w:rPr>
              <w:t>14.89</w:t>
            </w:r>
          </w:p>
        </w:tc>
      </w:tr>
    </w:tbl>
    <w:p w:rsidR="00C22185" w:rsidRDefault="00C22185" w:rsidP="00C22185">
      <w:pPr>
        <w:rPr>
          <w:rFonts w:ascii="Arial" w:hAnsi="Arial" w:cs="Arial"/>
          <w:sz w:val="22"/>
          <w:szCs w:val="22"/>
        </w:rPr>
      </w:pPr>
    </w:p>
    <w:p w:rsidR="005346A6" w:rsidRPr="005C409E" w:rsidRDefault="003F4FFF" w:rsidP="005C409E">
      <w:pPr>
        <w:pStyle w:val="Heading2"/>
        <w:keepLines/>
        <w:spacing w:before="0" w:after="0"/>
      </w:pPr>
      <w:bookmarkStart w:id="57" w:name="_Toc443922979"/>
      <w:r w:rsidRPr="00591D1C">
        <w:t>4.2 Measure Case Costs</w:t>
      </w:r>
      <w:bookmarkEnd w:id="57"/>
    </w:p>
    <w:p w:rsidR="00C22185" w:rsidRDefault="005C409E" w:rsidP="00C22185">
      <w:pPr>
        <w:rPr>
          <w:rFonts w:ascii="Arial" w:hAnsi="Arial" w:cs="Arial"/>
          <w:sz w:val="22"/>
          <w:szCs w:val="22"/>
        </w:rPr>
      </w:pPr>
      <w:bookmarkStart w:id="58" w:name="_Toc443922980"/>
      <w:r>
        <w:rPr>
          <w:rFonts w:ascii="Arial" w:hAnsi="Arial" w:cs="Arial"/>
          <w:sz w:val="22"/>
          <w:szCs w:val="22"/>
        </w:rPr>
        <w:t xml:space="preserve">The table below lists the results of a survey of equipment vendors that sell hot water and steam process boilers in California.  </w:t>
      </w:r>
      <w:r>
        <w:rPr>
          <w:rFonts w:ascii="Arial" w:hAnsi="Arial" w:cs="Arial"/>
          <w:sz w:val="22"/>
          <w:szCs w:val="22"/>
        </w:rPr>
        <w:t xml:space="preserve">The vendor calls produced data for the categories of boiler type, rated input, and efficiency used in this </w:t>
      </w:r>
      <w:proofErr w:type="spellStart"/>
      <w:r>
        <w:rPr>
          <w:rFonts w:ascii="Arial" w:hAnsi="Arial" w:cs="Arial"/>
          <w:sz w:val="22"/>
          <w:szCs w:val="22"/>
        </w:rPr>
        <w:t>workpaper</w:t>
      </w:r>
      <w:proofErr w:type="spellEnd"/>
      <w:r>
        <w:rPr>
          <w:rFonts w:ascii="Arial" w:hAnsi="Arial" w:cs="Arial"/>
          <w:sz w:val="22"/>
          <w:szCs w:val="22"/>
        </w:rPr>
        <w:t xml:space="preserve">.  The base case costs shown represent an arithmetic average of the equipment cost per </w:t>
      </w:r>
      <w:proofErr w:type="spellStart"/>
      <w:r>
        <w:rPr>
          <w:rFonts w:ascii="Arial" w:hAnsi="Arial" w:cs="Arial"/>
          <w:sz w:val="22"/>
          <w:szCs w:val="22"/>
        </w:rPr>
        <w:t>kBtu</w:t>
      </w:r>
      <w:proofErr w:type="spellEnd"/>
      <w:r>
        <w:rPr>
          <w:rFonts w:ascii="Arial" w:hAnsi="Arial" w:cs="Arial"/>
          <w:sz w:val="22"/>
          <w:szCs w:val="22"/>
        </w:rPr>
        <w:t>/h.  Please reference the cost spreadsheet for detailed information.</w:t>
      </w:r>
    </w:p>
    <w:p w:rsidR="00C22185" w:rsidRDefault="00C22185" w:rsidP="00C22185">
      <w:pPr>
        <w:rPr>
          <w:rFonts w:ascii="Arial" w:hAnsi="Arial" w:cs="Arial"/>
          <w:sz w:val="22"/>
          <w:szCs w:val="22"/>
        </w:rPr>
      </w:pPr>
    </w:p>
    <w:p w:rsidR="005C409E" w:rsidRDefault="005C409E" w:rsidP="00C22185">
      <w:pPr>
        <w:rPr>
          <w:rFonts w:ascii="Arial" w:hAnsi="Arial" w:cs="Arial"/>
          <w:sz w:val="22"/>
          <w:szCs w:val="22"/>
        </w:rPr>
      </w:pPr>
      <w:r>
        <w:rPr>
          <w:rFonts w:ascii="Arial" w:hAnsi="Arial" w:cs="Arial"/>
          <w:sz w:val="22"/>
          <w:szCs w:val="22"/>
        </w:rPr>
        <w:t xml:space="preserve">The start-up costs and labor costs </w:t>
      </w:r>
      <w:r w:rsidRPr="00D04D41">
        <w:rPr>
          <w:rFonts w:ascii="Arial" w:hAnsi="Arial" w:cs="Arial"/>
          <w:sz w:val="22"/>
          <w:szCs w:val="22"/>
        </w:rPr>
        <w:t>are estimated to be the sa</w:t>
      </w:r>
      <w:r>
        <w:rPr>
          <w:rFonts w:ascii="Arial" w:hAnsi="Arial" w:cs="Arial"/>
          <w:sz w:val="22"/>
          <w:szCs w:val="22"/>
        </w:rPr>
        <w:t xml:space="preserve">me in the base case and measure case.  </w:t>
      </w:r>
    </w:p>
    <w:p w:rsidR="005C409E" w:rsidRDefault="005C409E" w:rsidP="00C22185">
      <w:pPr>
        <w:rPr>
          <w:rFonts w:ascii="Arial" w:hAnsi="Arial" w:cs="Arial"/>
          <w:sz w:val="22"/>
          <w:szCs w:val="22"/>
        </w:rPr>
      </w:pPr>
    </w:p>
    <w:p w:rsidR="005C409E" w:rsidRDefault="005C409E" w:rsidP="005C409E">
      <w:pPr>
        <w:pStyle w:val="Caption"/>
        <w:keepNext/>
        <w:jc w:val="center"/>
      </w:pPr>
      <w:r>
        <w:t xml:space="preserve">Table </w:t>
      </w:r>
      <w:fldSimple w:instr=" SEQ Table \* ARABIC ">
        <w:r w:rsidR="00871EB2">
          <w:rPr>
            <w:noProof/>
          </w:rPr>
          <w:t>10</w:t>
        </w:r>
      </w:fldSimple>
      <w:r>
        <w:t xml:space="preserve"> Measure Cost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2532"/>
        <w:gridCol w:w="2532"/>
        <w:gridCol w:w="2361"/>
      </w:tblGrid>
      <w:tr w:rsidR="005C409E" w:rsidRPr="00594B8D" w:rsidTr="007A6876">
        <w:trPr>
          <w:jc w:val="center"/>
        </w:trPr>
        <w:tc>
          <w:tcPr>
            <w:tcW w:w="1123" w:type="pct"/>
            <w:shd w:val="clear" w:color="auto" w:fill="D9D9D9" w:themeFill="background1" w:themeFillShade="D9"/>
            <w:vAlign w:val="center"/>
          </w:tcPr>
          <w:p w:rsidR="005C409E" w:rsidRPr="00594B8D" w:rsidRDefault="005C409E" w:rsidP="007A6876">
            <w:pPr>
              <w:jc w:val="center"/>
              <w:rPr>
                <w:rFonts w:ascii="Arial" w:hAnsi="Arial" w:cs="Arial"/>
                <w:b/>
                <w:sz w:val="20"/>
                <w:szCs w:val="20"/>
              </w:rPr>
            </w:pPr>
            <w:r w:rsidRPr="00594B8D">
              <w:rPr>
                <w:rFonts w:ascii="Arial" w:hAnsi="Arial" w:cs="Arial"/>
                <w:b/>
                <w:sz w:val="20"/>
                <w:szCs w:val="20"/>
              </w:rPr>
              <w:t>Measure ID</w:t>
            </w:r>
          </w:p>
        </w:tc>
        <w:tc>
          <w:tcPr>
            <w:tcW w:w="1322" w:type="pct"/>
            <w:shd w:val="clear" w:color="auto" w:fill="D9D9D9" w:themeFill="background1" w:themeFillShade="D9"/>
            <w:vAlign w:val="center"/>
          </w:tcPr>
          <w:p w:rsidR="005C409E" w:rsidRPr="00594B8D" w:rsidRDefault="005C409E" w:rsidP="007A6876">
            <w:pPr>
              <w:jc w:val="center"/>
              <w:rPr>
                <w:rFonts w:ascii="Arial" w:hAnsi="Arial" w:cs="Arial"/>
                <w:b/>
                <w:sz w:val="20"/>
                <w:szCs w:val="20"/>
              </w:rPr>
            </w:pPr>
            <w:r>
              <w:rPr>
                <w:rFonts w:ascii="Arial" w:hAnsi="Arial" w:cs="Arial"/>
                <w:b/>
                <w:sz w:val="20"/>
                <w:szCs w:val="20"/>
              </w:rPr>
              <w:t>Measure Description</w:t>
            </w:r>
          </w:p>
        </w:tc>
        <w:tc>
          <w:tcPr>
            <w:tcW w:w="1322" w:type="pct"/>
            <w:shd w:val="clear" w:color="auto" w:fill="D9D9D9" w:themeFill="background1" w:themeFillShade="D9"/>
            <w:vAlign w:val="center"/>
          </w:tcPr>
          <w:p w:rsidR="005C409E" w:rsidRPr="00594B8D" w:rsidRDefault="005C409E" w:rsidP="007A6876">
            <w:pPr>
              <w:jc w:val="center"/>
              <w:rPr>
                <w:rFonts w:ascii="Arial" w:hAnsi="Arial" w:cs="Arial"/>
                <w:b/>
                <w:sz w:val="20"/>
                <w:szCs w:val="20"/>
              </w:rPr>
            </w:pPr>
            <w:r w:rsidRPr="00594B8D">
              <w:rPr>
                <w:rFonts w:ascii="Arial" w:hAnsi="Arial" w:cs="Arial"/>
                <w:b/>
                <w:sz w:val="20"/>
                <w:szCs w:val="20"/>
              </w:rPr>
              <w:t>Measure Application Types</w:t>
            </w:r>
          </w:p>
        </w:tc>
        <w:tc>
          <w:tcPr>
            <w:tcW w:w="1233" w:type="pct"/>
            <w:shd w:val="clear" w:color="auto" w:fill="D9D9D9" w:themeFill="background1" w:themeFillShade="D9"/>
            <w:vAlign w:val="center"/>
          </w:tcPr>
          <w:p w:rsidR="005C409E" w:rsidRPr="00594B8D" w:rsidRDefault="005C409E" w:rsidP="007A6876">
            <w:pPr>
              <w:jc w:val="center"/>
              <w:rPr>
                <w:rFonts w:ascii="Arial" w:hAnsi="Arial" w:cs="Arial"/>
                <w:b/>
                <w:sz w:val="20"/>
                <w:szCs w:val="20"/>
              </w:rPr>
            </w:pPr>
            <w:r>
              <w:rPr>
                <w:rFonts w:ascii="Arial" w:hAnsi="Arial" w:cs="Arial"/>
                <w:b/>
                <w:sz w:val="20"/>
                <w:szCs w:val="20"/>
              </w:rPr>
              <w:t>Measure</w:t>
            </w:r>
            <w:r>
              <w:rPr>
                <w:rFonts w:ascii="Arial" w:hAnsi="Arial" w:cs="Arial"/>
                <w:b/>
                <w:sz w:val="20"/>
                <w:szCs w:val="20"/>
              </w:rPr>
              <w:t xml:space="preserve"> </w:t>
            </w:r>
            <w:r w:rsidRPr="00594B8D">
              <w:rPr>
                <w:rFonts w:ascii="Arial" w:hAnsi="Arial" w:cs="Arial"/>
                <w:b/>
                <w:sz w:val="20"/>
                <w:szCs w:val="20"/>
              </w:rPr>
              <w:t>Cost</w:t>
            </w:r>
            <w:r>
              <w:rPr>
                <w:rFonts w:ascii="Arial" w:hAnsi="Arial" w:cs="Arial"/>
                <w:b/>
                <w:sz w:val="20"/>
                <w:szCs w:val="20"/>
              </w:rPr>
              <w:t xml:space="preserve"> ($/</w:t>
            </w:r>
            <w:proofErr w:type="spellStart"/>
            <w:r>
              <w:rPr>
                <w:rFonts w:ascii="Arial" w:hAnsi="Arial" w:cs="Arial"/>
                <w:b/>
                <w:sz w:val="20"/>
                <w:szCs w:val="20"/>
              </w:rPr>
              <w:t>MBtuh</w:t>
            </w:r>
            <w:proofErr w:type="spellEnd"/>
            <w:r>
              <w:rPr>
                <w:rFonts w:ascii="Arial" w:hAnsi="Arial" w:cs="Arial"/>
                <w:b/>
                <w:sz w:val="20"/>
                <w:szCs w:val="20"/>
              </w:rPr>
              <w:t>)</w:t>
            </w:r>
          </w:p>
        </w:tc>
      </w:tr>
      <w:tr w:rsidR="005C409E" w:rsidRPr="00594B8D" w:rsidTr="007A6876">
        <w:trPr>
          <w:jc w:val="center"/>
        </w:trPr>
        <w:tc>
          <w:tcPr>
            <w:tcW w:w="1123" w:type="pct"/>
            <w:shd w:val="clear" w:color="auto" w:fill="auto"/>
            <w:vAlign w:val="center"/>
          </w:tcPr>
          <w:p w:rsidR="005C409E" w:rsidRPr="00594B8D" w:rsidRDefault="005C409E" w:rsidP="007A6876">
            <w:pPr>
              <w:jc w:val="center"/>
              <w:rPr>
                <w:rFonts w:ascii="Arial" w:hAnsi="Arial" w:cs="Arial"/>
                <w:sz w:val="20"/>
                <w:szCs w:val="20"/>
              </w:rPr>
            </w:pPr>
            <w:r>
              <w:rPr>
                <w:rFonts w:ascii="Arial" w:hAnsi="Arial" w:cs="Arial"/>
                <w:sz w:val="20"/>
                <w:szCs w:val="20"/>
              </w:rPr>
              <w:t>H11</w:t>
            </w:r>
          </w:p>
        </w:tc>
        <w:tc>
          <w:tcPr>
            <w:tcW w:w="1322" w:type="pct"/>
            <w:vAlign w:val="center"/>
          </w:tcPr>
          <w:p w:rsidR="005C409E" w:rsidRPr="00594B8D" w:rsidRDefault="005C409E" w:rsidP="007A6876">
            <w:pPr>
              <w:jc w:val="center"/>
              <w:rPr>
                <w:rFonts w:ascii="Arial" w:hAnsi="Arial" w:cs="Arial"/>
                <w:sz w:val="20"/>
                <w:szCs w:val="20"/>
              </w:rPr>
            </w:pPr>
            <w:r>
              <w:rPr>
                <w:rFonts w:ascii="Arial" w:hAnsi="Arial" w:cs="Arial"/>
                <w:sz w:val="20"/>
                <w:szCs w:val="20"/>
              </w:rPr>
              <w:t>Water Process Boiler</w:t>
            </w:r>
          </w:p>
        </w:tc>
        <w:tc>
          <w:tcPr>
            <w:tcW w:w="1322" w:type="pct"/>
            <w:vAlign w:val="center"/>
          </w:tcPr>
          <w:p w:rsidR="005C409E" w:rsidRPr="00594B8D" w:rsidRDefault="005C409E" w:rsidP="007A6876">
            <w:pPr>
              <w:jc w:val="center"/>
              <w:rPr>
                <w:rFonts w:ascii="Arial" w:hAnsi="Arial" w:cs="Arial"/>
                <w:sz w:val="20"/>
                <w:szCs w:val="20"/>
              </w:rPr>
            </w:pPr>
            <w:r w:rsidRPr="00594B8D">
              <w:rPr>
                <w:rFonts w:ascii="Arial" w:hAnsi="Arial" w:cs="Arial"/>
                <w:sz w:val="20"/>
                <w:szCs w:val="20"/>
              </w:rPr>
              <w:t>ROB</w:t>
            </w:r>
          </w:p>
        </w:tc>
        <w:tc>
          <w:tcPr>
            <w:tcW w:w="1233" w:type="pct"/>
            <w:shd w:val="clear" w:color="auto" w:fill="auto"/>
            <w:vAlign w:val="center"/>
          </w:tcPr>
          <w:p w:rsidR="005C409E" w:rsidRPr="00594B8D" w:rsidRDefault="005C409E" w:rsidP="007A6876">
            <w:pPr>
              <w:jc w:val="center"/>
              <w:rPr>
                <w:rFonts w:ascii="Arial" w:hAnsi="Arial" w:cs="Arial"/>
                <w:sz w:val="20"/>
                <w:szCs w:val="20"/>
              </w:rPr>
            </w:pPr>
            <w:r>
              <w:rPr>
                <w:rFonts w:ascii="Arial" w:hAnsi="Arial" w:cs="Arial"/>
                <w:sz w:val="20"/>
                <w:szCs w:val="20"/>
              </w:rPr>
              <w:t>$15.17</w:t>
            </w:r>
          </w:p>
        </w:tc>
      </w:tr>
      <w:tr w:rsidR="005C409E" w:rsidRPr="00594B8D" w:rsidTr="007A6876">
        <w:trPr>
          <w:jc w:val="center"/>
        </w:trPr>
        <w:tc>
          <w:tcPr>
            <w:tcW w:w="1123" w:type="pct"/>
            <w:shd w:val="clear" w:color="auto" w:fill="auto"/>
            <w:vAlign w:val="center"/>
          </w:tcPr>
          <w:p w:rsidR="005C409E" w:rsidRPr="00594B8D" w:rsidRDefault="005C409E" w:rsidP="007A6876">
            <w:pPr>
              <w:jc w:val="center"/>
              <w:rPr>
                <w:rFonts w:ascii="Arial" w:hAnsi="Arial" w:cs="Arial"/>
                <w:sz w:val="20"/>
                <w:szCs w:val="20"/>
              </w:rPr>
            </w:pPr>
            <w:r>
              <w:rPr>
                <w:rFonts w:ascii="Arial" w:hAnsi="Arial" w:cs="Arial"/>
                <w:sz w:val="20"/>
                <w:szCs w:val="20"/>
              </w:rPr>
              <w:t>H15</w:t>
            </w:r>
          </w:p>
        </w:tc>
        <w:tc>
          <w:tcPr>
            <w:tcW w:w="1322" w:type="pct"/>
            <w:vAlign w:val="center"/>
          </w:tcPr>
          <w:p w:rsidR="005C409E" w:rsidRPr="00594B8D" w:rsidRDefault="005C409E" w:rsidP="007A6876">
            <w:pPr>
              <w:jc w:val="center"/>
              <w:rPr>
                <w:rFonts w:ascii="Arial" w:hAnsi="Arial" w:cs="Arial"/>
                <w:sz w:val="20"/>
                <w:szCs w:val="20"/>
              </w:rPr>
            </w:pPr>
            <w:r>
              <w:rPr>
                <w:rFonts w:ascii="Arial" w:hAnsi="Arial" w:cs="Arial"/>
                <w:sz w:val="20"/>
                <w:szCs w:val="20"/>
              </w:rPr>
              <w:t>Steam Process Boiler</w:t>
            </w:r>
          </w:p>
        </w:tc>
        <w:tc>
          <w:tcPr>
            <w:tcW w:w="1322" w:type="pct"/>
            <w:vAlign w:val="center"/>
          </w:tcPr>
          <w:p w:rsidR="005C409E" w:rsidRPr="00594B8D" w:rsidRDefault="005C409E" w:rsidP="007A6876">
            <w:pPr>
              <w:jc w:val="center"/>
              <w:rPr>
                <w:rFonts w:ascii="Arial" w:hAnsi="Arial" w:cs="Arial"/>
                <w:sz w:val="20"/>
                <w:szCs w:val="20"/>
              </w:rPr>
            </w:pPr>
            <w:r w:rsidRPr="00594B8D">
              <w:rPr>
                <w:rFonts w:ascii="Arial" w:hAnsi="Arial" w:cs="Arial"/>
                <w:sz w:val="20"/>
                <w:szCs w:val="20"/>
              </w:rPr>
              <w:t>ROB</w:t>
            </w:r>
          </w:p>
        </w:tc>
        <w:tc>
          <w:tcPr>
            <w:tcW w:w="1233" w:type="pct"/>
            <w:shd w:val="clear" w:color="auto" w:fill="auto"/>
            <w:vAlign w:val="center"/>
          </w:tcPr>
          <w:p w:rsidR="005C409E" w:rsidRPr="00594B8D" w:rsidRDefault="005C409E" w:rsidP="007A6876">
            <w:pPr>
              <w:jc w:val="center"/>
              <w:rPr>
                <w:rFonts w:ascii="Arial" w:hAnsi="Arial" w:cs="Arial"/>
                <w:sz w:val="20"/>
                <w:szCs w:val="20"/>
              </w:rPr>
            </w:pPr>
            <w:r>
              <w:rPr>
                <w:rFonts w:ascii="Arial" w:hAnsi="Arial" w:cs="Arial"/>
                <w:sz w:val="20"/>
                <w:szCs w:val="20"/>
              </w:rPr>
              <w:t>$19.24</w:t>
            </w:r>
          </w:p>
        </w:tc>
      </w:tr>
    </w:tbl>
    <w:p w:rsidR="005C409E" w:rsidRDefault="005C409E" w:rsidP="00C22185">
      <w:pPr>
        <w:rPr>
          <w:rFonts w:ascii="Arial" w:hAnsi="Arial" w:cs="Arial"/>
          <w:sz w:val="22"/>
          <w:szCs w:val="22"/>
        </w:rPr>
      </w:pPr>
    </w:p>
    <w:p w:rsidR="003F4FFF" w:rsidRPr="00594B8D" w:rsidRDefault="003F4FFF" w:rsidP="00C22185">
      <w:pPr>
        <w:pStyle w:val="Heading2"/>
      </w:pPr>
      <w:r w:rsidRPr="00594B8D">
        <w:t>4.3 Incremental &amp; Full Measure Costs</w:t>
      </w:r>
      <w:bookmarkEnd w:id="58"/>
    </w:p>
    <w:p w:rsidR="005759FD" w:rsidRDefault="005759FD" w:rsidP="005759FD">
      <w:pPr>
        <w:pStyle w:val="Caption"/>
        <w:keepNext/>
        <w:jc w:val="center"/>
      </w:pPr>
      <w:bookmarkStart w:id="59" w:name="_Toc443922942"/>
      <w:r>
        <w:t xml:space="preserve">Table </w:t>
      </w:r>
      <w:fldSimple w:instr=" SEQ Table \* ARABIC ">
        <w:r w:rsidR="00871EB2">
          <w:rPr>
            <w:noProof/>
          </w:rPr>
          <w:t>11</w:t>
        </w:r>
      </w:fldSimple>
      <w:r>
        <w:t xml:space="preserve"> Full and Incremental Measure Cost Equations</w:t>
      </w:r>
      <w:bookmarkEnd w:id="59"/>
    </w:p>
    <w:tbl>
      <w:tblPr>
        <w:tblStyle w:val="TableGrid1"/>
        <w:tblW w:w="5000" w:type="pct"/>
        <w:tblLook w:val="01E0" w:firstRow="1" w:lastRow="1" w:firstColumn="1" w:lastColumn="1" w:noHBand="0" w:noVBand="0"/>
      </w:tblPr>
      <w:tblGrid>
        <w:gridCol w:w="1379"/>
        <w:gridCol w:w="2733"/>
        <w:gridCol w:w="2643"/>
        <w:gridCol w:w="2821"/>
      </w:tblGrid>
      <w:tr w:rsidR="005759FD" w:rsidRPr="00C22185" w:rsidTr="00250858">
        <w:tc>
          <w:tcPr>
            <w:tcW w:w="720" w:type="pct"/>
            <w:vMerge w:val="restart"/>
            <w:shd w:val="clear" w:color="auto" w:fill="D9D9D9" w:themeFill="background1" w:themeFillShade="D9"/>
          </w:tcPr>
          <w:p w:rsidR="005759FD" w:rsidRPr="00C22185" w:rsidRDefault="005759FD" w:rsidP="00B41704">
            <w:pPr>
              <w:rPr>
                <w:rFonts w:ascii="Arial" w:hAnsi="Arial" w:cs="Arial"/>
                <w:b/>
                <w:sz w:val="20"/>
                <w:szCs w:val="22"/>
                <w:highlight w:val="yellow"/>
              </w:rPr>
            </w:pPr>
            <w:r w:rsidRPr="00C22185">
              <w:rPr>
                <w:rFonts w:ascii="Arial" w:hAnsi="Arial" w:cs="Arial"/>
                <w:b/>
                <w:sz w:val="20"/>
                <w:szCs w:val="22"/>
              </w:rPr>
              <w:t>Installation Type</w:t>
            </w:r>
          </w:p>
        </w:tc>
        <w:tc>
          <w:tcPr>
            <w:tcW w:w="1427" w:type="pct"/>
            <w:vMerge w:val="restart"/>
            <w:shd w:val="clear" w:color="auto" w:fill="D9D9D9" w:themeFill="background1" w:themeFillShade="D9"/>
          </w:tcPr>
          <w:p w:rsidR="005759FD" w:rsidRPr="00C22185" w:rsidRDefault="005759FD" w:rsidP="00B41704">
            <w:pPr>
              <w:rPr>
                <w:rFonts w:ascii="Arial" w:hAnsi="Arial" w:cs="Arial"/>
                <w:b/>
                <w:sz w:val="20"/>
                <w:szCs w:val="22"/>
              </w:rPr>
            </w:pPr>
            <w:r w:rsidRPr="00C22185">
              <w:rPr>
                <w:rFonts w:ascii="Arial" w:hAnsi="Arial" w:cs="Arial"/>
                <w:b/>
                <w:sz w:val="20"/>
                <w:szCs w:val="22"/>
              </w:rPr>
              <w:t>Incremental Measure Cost</w:t>
            </w:r>
          </w:p>
        </w:tc>
        <w:tc>
          <w:tcPr>
            <w:tcW w:w="2853" w:type="pct"/>
            <w:gridSpan w:val="2"/>
            <w:shd w:val="clear" w:color="auto" w:fill="D9D9D9" w:themeFill="background1" w:themeFillShade="D9"/>
          </w:tcPr>
          <w:p w:rsidR="005759FD" w:rsidRPr="00C22185" w:rsidRDefault="005759FD" w:rsidP="00B41704">
            <w:pPr>
              <w:rPr>
                <w:rFonts w:ascii="Arial" w:hAnsi="Arial" w:cs="Arial"/>
                <w:b/>
                <w:sz w:val="20"/>
                <w:szCs w:val="22"/>
                <w:highlight w:val="yellow"/>
              </w:rPr>
            </w:pPr>
            <w:r w:rsidRPr="00C22185">
              <w:rPr>
                <w:rFonts w:ascii="Arial" w:hAnsi="Arial" w:cs="Arial"/>
                <w:b/>
                <w:sz w:val="20"/>
                <w:szCs w:val="22"/>
              </w:rPr>
              <w:t>Full Measure Cost</w:t>
            </w:r>
          </w:p>
        </w:tc>
      </w:tr>
      <w:tr w:rsidR="005759FD" w:rsidRPr="00C22185" w:rsidTr="00250858">
        <w:tc>
          <w:tcPr>
            <w:tcW w:w="720" w:type="pct"/>
            <w:vMerge/>
            <w:shd w:val="clear" w:color="auto" w:fill="D9D9D9" w:themeFill="background1" w:themeFillShade="D9"/>
          </w:tcPr>
          <w:p w:rsidR="005759FD" w:rsidRPr="00C22185" w:rsidRDefault="005759FD" w:rsidP="00B41704">
            <w:pPr>
              <w:rPr>
                <w:rFonts w:ascii="Arial" w:hAnsi="Arial" w:cs="Arial"/>
                <w:b/>
                <w:sz w:val="20"/>
                <w:szCs w:val="22"/>
              </w:rPr>
            </w:pPr>
          </w:p>
        </w:tc>
        <w:tc>
          <w:tcPr>
            <w:tcW w:w="1427" w:type="pct"/>
            <w:vMerge/>
            <w:shd w:val="clear" w:color="auto" w:fill="D9D9D9" w:themeFill="background1" w:themeFillShade="D9"/>
          </w:tcPr>
          <w:p w:rsidR="005759FD" w:rsidRPr="00C22185" w:rsidRDefault="005759FD" w:rsidP="00B41704">
            <w:pPr>
              <w:rPr>
                <w:rFonts w:ascii="Arial" w:hAnsi="Arial" w:cs="Arial"/>
                <w:b/>
                <w:sz w:val="20"/>
                <w:szCs w:val="22"/>
              </w:rPr>
            </w:pPr>
          </w:p>
        </w:tc>
        <w:tc>
          <w:tcPr>
            <w:tcW w:w="1380" w:type="pct"/>
            <w:shd w:val="clear" w:color="auto" w:fill="F2F2F2" w:themeFill="background1" w:themeFillShade="F2"/>
          </w:tcPr>
          <w:p w:rsidR="005759FD" w:rsidRPr="00C22185" w:rsidRDefault="005759FD" w:rsidP="00B41704">
            <w:pPr>
              <w:rPr>
                <w:rFonts w:ascii="Arial" w:hAnsi="Arial" w:cs="Arial"/>
                <w:b/>
                <w:sz w:val="20"/>
                <w:szCs w:val="22"/>
              </w:rPr>
            </w:pPr>
            <w:r w:rsidRPr="00C22185">
              <w:rPr>
                <w:rFonts w:ascii="Arial" w:hAnsi="Arial" w:cs="Arial"/>
                <w:b/>
                <w:sz w:val="20"/>
                <w:szCs w:val="22"/>
              </w:rPr>
              <w:t>1</w:t>
            </w:r>
            <w:r w:rsidRPr="00C22185">
              <w:rPr>
                <w:rFonts w:ascii="Arial" w:hAnsi="Arial" w:cs="Arial"/>
                <w:b/>
                <w:sz w:val="20"/>
                <w:szCs w:val="22"/>
                <w:vertAlign w:val="superscript"/>
              </w:rPr>
              <w:t>st</w:t>
            </w:r>
            <w:r w:rsidRPr="00C22185">
              <w:rPr>
                <w:rFonts w:ascii="Arial" w:hAnsi="Arial" w:cs="Arial"/>
                <w:b/>
                <w:sz w:val="20"/>
                <w:szCs w:val="22"/>
              </w:rPr>
              <w:t xml:space="preserve"> Baseline</w:t>
            </w:r>
          </w:p>
        </w:tc>
        <w:tc>
          <w:tcPr>
            <w:tcW w:w="1473" w:type="pct"/>
            <w:shd w:val="clear" w:color="auto" w:fill="F2F2F2" w:themeFill="background1" w:themeFillShade="F2"/>
          </w:tcPr>
          <w:p w:rsidR="005759FD" w:rsidRPr="00C22185" w:rsidRDefault="005759FD" w:rsidP="00B41704">
            <w:pPr>
              <w:rPr>
                <w:rFonts w:ascii="Arial" w:hAnsi="Arial" w:cs="Arial"/>
                <w:b/>
                <w:sz w:val="20"/>
                <w:szCs w:val="22"/>
              </w:rPr>
            </w:pPr>
            <w:r w:rsidRPr="00C22185">
              <w:rPr>
                <w:rFonts w:ascii="Arial" w:hAnsi="Arial" w:cs="Arial"/>
                <w:b/>
                <w:sz w:val="20"/>
                <w:szCs w:val="22"/>
              </w:rPr>
              <w:t>2</w:t>
            </w:r>
            <w:r w:rsidRPr="00C22185">
              <w:rPr>
                <w:rFonts w:ascii="Arial" w:hAnsi="Arial" w:cs="Arial"/>
                <w:b/>
                <w:sz w:val="20"/>
                <w:szCs w:val="22"/>
                <w:vertAlign w:val="superscript"/>
              </w:rPr>
              <w:t>nd</w:t>
            </w:r>
            <w:r w:rsidRPr="00C22185">
              <w:rPr>
                <w:rFonts w:ascii="Arial" w:hAnsi="Arial" w:cs="Arial"/>
                <w:b/>
                <w:sz w:val="20"/>
                <w:szCs w:val="22"/>
              </w:rPr>
              <w:t xml:space="preserve"> Baseline</w:t>
            </w:r>
          </w:p>
        </w:tc>
      </w:tr>
      <w:tr w:rsidR="005759FD" w:rsidRPr="00C22185" w:rsidTr="00250858">
        <w:tc>
          <w:tcPr>
            <w:tcW w:w="720" w:type="pct"/>
          </w:tcPr>
          <w:p w:rsidR="005759FD" w:rsidRPr="00C22185" w:rsidRDefault="005759FD" w:rsidP="00B41704">
            <w:pPr>
              <w:rPr>
                <w:rFonts w:ascii="Arial" w:hAnsi="Arial" w:cs="Arial"/>
                <w:sz w:val="20"/>
                <w:szCs w:val="22"/>
              </w:rPr>
            </w:pPr>
            <w:r w:rsidRPr="00C22185">
              <w:rPr>
                <w:rFonts w:ascii="Arial" w:hAnsi="Arial" w:cs="Arial"/>
                <w:sz w:val="20"/>
                <w:szCs w:val="22"/>
              </w:rPr>
              <w:t>ROB</w:t>
            </w:r>
          </w:p>
        </w:tc>
        <w:tc>
          <w:tcPr>
            <w:tcW w:w="1427" w:type="pct"/>
            <w:vMerge w:val="restart"/>
          </w:tcPr>
          <w:p w:rsidR="005759FD" w:rsidRPr="00C22185" w:rsidRDefault="005759FD" w:rsidP="00B41704">
            <w:pPr>
              <w:rPr>
                <w:rFonts w:ascii="Arial" w:hAnsi="Arial" w:cs="Arial"/>
                <w:sz w:val="20"/>
                <w:szCs w:val="22"/>
              </w:rPr>
            </w:pPr>
            <w:r w:rsidRPr="00C22185">
              <w:rPr>
                <w:rFonts w:ascii="Arial" w:hAnsi="Arial" w:cs="Arial"/>
                <w:sz w:val="20"/>
                <w:szCs w:val="22"/>
              </w:rPr>
              <w:t>(MEC + MLC) – (BEC + BLC)</w:t>
            </w:r>
          </w:p>
        </w:tc>
        <w:tc>
          <w:tcPr>
            <w:tcW w:w="1380" w:type="pct"/>
            <w:vMerge w:val="restart"/>
          </w:tcPr>
          <w:p w:rsidR="005759FD" w:rsidRPr="00C22185" w:rsidRDefault="005759FD" w:rsidP="00B41704">
            <w:pPr>
              <w:rPr>
                <w:rFonts w:ascii="Arial" w:hAnsi="Arial" w:cs="Arial"/>
                <w:sz w:val="20"/>
                <w:szCs w:val="22"/>
              </w:rPr>
            </w:pPr>
            <w:r w:rsidRPr="00C22185">
              <w:rPr>
                <w:rFonts w:ascii="Arial" w:hAnsi="Arial" w:cs="Arial"/>
                <w:sz w:val="20"/>
                <w:szCs w:val="22"/>
              </w:rPr>
              <w:t>(MEC + MLC) – (BEC + BLC)</w:t>
            </w:r>
          </w:p>
        </w:tc>
        <w:tc>
          <w:tcPr>
            <w:tcW w:w="1473" w:type="pct"/>
            <w:vMerge w:val="restart"/>
          </w:tcPr>
          <w:p w:rsidR="005759FD" w:rsidRPr="00C22185" w:rsidRDefault="005759FD" w:rsidP="00B41704">
            <w:pPr>
              <w:rPr>
                <w:rFonts w:ascii="Arial" w:hAnsi="Arial" w:cs="Arial"/>
                <w:sz w:val="20"/>
                <w:szCs w:val="22"/>
              </w:rPr>
            </w:pPr>
            <w:r w:rsidRPr="00C22185">
              <w:rPr>
                <w:rFonts w:ascii="Arial" w:hAnsi="Arial" w:cs="Arial"/>
                <w:sz w:val="20"/>
                <w:szCs w:val="22"/>
              </w:rPr>
              <w:t>N/A</w:t>
            </w:r>
          </w:p>
        </w:tc>
      </w:tr>
      <w:tr w:rsidR="005759FD" w:rsidRPr="00C22185" w:rsidTr="00250858">
        <w:tc>
          <w:tcPr>
            <w:tcW w:w="720" w:type="pct"/>
          </w:tcPr>
          <w:p w:rsidR="005759FD" w:rsidRPr="00C22185" w:rsidRDefault="005759FD" w:rsidP="00B41704">
            <w:pPr>
              <w:rPr>
                <w:rFonts w:ascii="Arial" w:hAnsi="Arial" w:cs="Arial"/>
                <w:sz w:val="20"/>
                <w:szCs w:val="22"/>
              </w:rPr>
            </w:pPr>
            <w:r w:rsidRPr="00C22185">
              <w:rPr>
                <w:rFonts w:ascii="Arial" w:hAnsi="Arial" w:cs="Arial"/>
                <w:sz w:val="20"/>
                <w:szCs w:val="22"/>
              </w:rPr>
              <w:t>NEW/NC</w:t>
            </w:r>
          </w:p>
        </w:tc>
        <w:tc>
          <w:tcPr>
            <w:tcW w:w="1427" w:type="pct"/>
            <w:vMerge/>
          </w:tcPr>
          <w:p w:rsidR="005759FD" w:rsidRPr="00C22185" w:rsidRDefault="005759FD" w:rsidP="00B41704">
            <w:pPr>
              <w:rPr>
                <w:rFonts w:ascii="Arial" w:hAnsi="Arial" w:cs="Arial"/>
                <w:sz w:val="20"/>
                <w:szCs w:val="22"/>
              </w:rPr>
            </w:pPr>
          </w:p>
        </w:tc>
        <w:tc>
          <w:tcPr>
            <w:tcW w:w="1380" w:type="pct"/>
            <w:vMerge/>
          </w:tcPr>
          <w:p w:rsidR="005759FD" w:rsidRPr="00C22185" w:rsidRDefault="005759FD" w:rsidP="00B41704">
            <w:pPr>
              <w:rPr>
                <w:rFonts w:ascii="Arial" w:hAnsi="Arial" w:cs="Arial"/>
                <w:sz w:val="20"/>
                <w:szCs w:val="22"/>
              </w:rPr>
            </w:pPr>
          </w:p>
        </w:tc>
        <w:tc>
          <w:tcPr>
            <w:tcW w:w="1473" w:type="pct"/>
            <w:vMerge/>
          </w:tcPr>
          <w:p w:rsidR="005759FD" w:rsidRPr="00C22185" w:rsidRDefault="005759FD" w:rsidP="00B41704">
            <w:pPr>
              <w:rPr>
                <w:rFonts w:ascii="Arial" w:hAnsi="Arial" w:cs="Arial"/>
                <w:sz w:val="20"/>
                <w:szCs w:val="22"/>
              </w:rPr>
            </w:pPr>
          </w:p>
        </w:tc>
      </w:tr>
      <w:tr w:rsidR="005759FD" w:rsidRPr="00C22185" w:rsidTr="00250858">
        <w:tc>
          <w:tcPr>
            <w:tcW w:w="720" w:type="pct"/>
          </w:tcPr>
          <w:p w:rsidR="005759FD" w:rsidRPr="00C22185" w:rsidRDefault="005759FD" w:rsidP="00B41704">
            <w:pPr>
              <w:rPr>
                <w:rFonts w:ascii="Arial" w:hAnsi="Arial" w:cs="Arial"/>
                <w:sz w:val="20"/>
                <w:szCs w:val="22"/>
              </w:rPr>
            </w:pPr>
            <w:r w:rsidRPr="00C22185">
              <w:rPr>
                <w:rFonts w:ascii="Arial" w:hAnsi="Arial" w:cs="Arial"/>
                <w:sz w:val="20"/>
                <w:szCs w:val="22"/>
              </w:rPr>
              <w:t>RET/ER</w:t>
            </w:r>
          </w:p>
        </w:tc>
        <w:tc>
          <w:tcPr>
            <w:tcW w:w="1427" w:type="pct"/>
          </w:tcPr>
          <w:p w:rsidR="005759FD" w:rsidRPr="00C22185" w:rsidRDefault="005759FD" w:rsidP="00B41704">
            <w:pPr>
              <w:rPr>
                <w:rFonts w:ascii="Arial" w:hAnsi="Arial" w:cs="Arial"/>
                <w:sz w:val="20"/>
                <w:szCs w:val="22"/>
              </w:rPr>
            </w:pPr>
            <w:r w:rsidRPr="00C22185">
              <w:rPr>
                <w:rFonts w:ascii="Arial" w:hAnsi="Arial" w:cs="Arial"/>
                <w:sz w:val="20"/>
                <w:szCs w:val="22"/>
              </w:rPr>
              <w:t>(MEC + MLC) – (BEC + BLC)</w:t>
            </w:r>
          </w:p>
        </w:tc>
        <w:tc>
          <w:tcPr>
            <w:tcW w:w="1380" w:type="pct"/>
          </w:tcPr>
          <w:p w:rsidR="005759FD" w:rsidRPr="00C22185" w:rsidRDefault="005759FD" w:rsidP="00B41704">
            <w:pPr>
              <w:rPr>
                <w:rFonts w:ascii="Arial" w:hAnsi="Arial" w:cs="Arial"/>
                <w:sz w:val="20"/>
                <w:szCs w:val="22"/>
              </w:rPr>
            </w:pPr>
            <w:r w:rsidRPr="00C22185">
              <w:rPr>
                <w:rFonts w:ascii="Arial" w:hAnsi="Arial" w:cs="Arial"/>
                <w:sz w:val="20"/>
                <w:szCs w:val="22"/>
              </w:rPr>
              <w:t>MEC + MLC</w:t>
            </w:r>
          </w:p>
        </w:tc>
        <w:tc>
          <w:tcPr>
            <w:tcW w:w="1473" w:type="pct"/>
          </w:tcPr>
          <w:p w:rsidR="005759FD" w:rsidRPr="00C22185" w:rsidRDefault="005759FD" w:rsidP="00B41704">
            <w:pPr>
              <w:rPr>
                <w:rFonts w:ascii="Arial" w:hAnsi="Arial" w:cs="Arial"/>
                <w:sz w:val="20"/>
                <w:szCs w:val="22"/>
              </w:rPr>
            </w:pPr>
            <w:r w:rsidRPr="00C22185">
              <w:rPr>
                <w:rFonts w:ascii="Arial" w:hAnsi="Arial" w:cs="Arial"/>
                <w:sz w:val="20"/>
                <w:szCs w:val="22"/>
              </w:rPr>
              <w:t>(MEC + MLC) – (BEC + BLC)</w:t>
            </w:r>
          </w:p>
        </w:tc>
      </w:tr>
      <w:tr w:rsidR="005759FD" w:rsidRPr="00C22185" w:rsidTr="00250858">
        <w:tc>
          <w:tcPr>
            <w:tcW w:w="720" w:type="pct"/>
          </w:tcPr>
          <w:p w:rsidR="005759FD" w:rsidRPr="00C22185" w:rsidRDefault="005759FD" w:rsidP="00B41704">
            <w:pPr>
              <w:rPr>
                <w:rFonts w:ascii="Arial" w:hAnsi="Arial" w:cs="Arial"/>
                <w:sz w:val="20"/>
                <w:szCs w:val="22"/>
              </w:rPr>
            </w:pPr>
            <w:r w:rsidRPr="00C22185">
              <w:rPr>
                <w:rFonts w:ascii="Arial" w:hAnsi="Arial" w:cs="Arial"/>
                <w:sz w:val="20"/>
                <w:szCs w:val="22"/>
              </w:rPr>
              <w:t>REF</w:t>
            </w:r>
          </w:p>
        </w:tc>
        <w:tc>
          <w:tcPr>
            <w:tcW w:w="1427" w:type="pct"/>
          </w:tcPr>
          <w:p w:rsidR="005759FD" w:rsidRPr="00C22185" w:rsidRDefault="005759FD" w:rsidP="00B41704">
            <w:pPr>
              <w:rPr>
                <w:rFonts w:ascii="Arial" w:hAnsi="Arial" w:cs="Arial"/>
                <w:sz w:val="20"/>
                <w:szCs w:val="22"/>
              </w:rPr>
            </w:pPr>
            <w:r w:rsidRPr="00C22185">
              <w:rPr>
                <w:rFonts w:ascii="Arial" w:hAnsi="Arial" w:cs="Arial"/>
                <w:sz w:val="20"/>
                <w:szCs w:val="22"/>
              </w:rPr>
              <w:t>(MEC + MLC) – (BEC + BLC)</w:t>
            </w:r>
          </w:p>
        </w:tc>
        <w:tc>
          <w:tcPr>
            <w:tcW w:w="1380" w:type="pct"/>
          </w:tcPr>
          <w:p w:rsidR="005759FD" w:rsidRPr="00C22185" w:rsidRDefault="005759FD" w:rsidP="00B41704">
            <w:pPr>
              <w:rPr>
                <w:rFonts w:ascii="Arial" w:hAnsi="Arial" w:cs="Arial"/>
                <w:sz w:val="20"/>
                <w:szCs w:val="22"/>
              </w:rPr>
            </w:pPr>
            <w:r w:rsidRPr="00C22185">
              <w:rPr>
                <w:rFonts w:ascii="Arial" w:hAnsi="Arial" w:cs="Arial"/>
                <w:sz w:val="20"/>
                <w:szCs w:val="22"/>
              </w:rPr>
              <w:t>MEC + MLC</w:t>
            </w:r>
          </w:p>
        </w:tc>
        <w:tc>
          <w:tcPr>
            <w:tcW w:w="1473" w:type="pct"/>
          </w:tcPr>
          <w:p w:rsidR="005759FD" w:rsidRPr="00C22185" w:rsidRDefault="005759FD" w:rsidP="00B41704">
            <w:pPr>
              <w:rPr>
                <w:rFonts w:ascii="Arial" w:hAnsi="Arial" w:cs="Arial"/>
                <w:sz w:val="20"/>
                <w:szCs w:val="22"/>
              </w:rPr>
            </w:pPr>
            <w:r w:rsidRPr="00C22185">
              <w:rPr>
                <w:rFonts w:ascii="Arial" w:hAnsi="Arial" w:cs="Arial"/>
                <w:sz w:val="20"/>
                <w:szCs w:val="22"/>
              </w:rPr>
              <w:t>N/A</w:t>
            </w:r>
          </w:p>
        </w:tc>
      </w:tr>
      <w:tr w:rsidR="005759FD" w:rsidRPr="00C22185" w:rsidTr="00250858">
        <w:tc>
          <w:tcPr>
            <w:tcW w:w="720" w:type="pct"/>
          </w:tcPr>
          <w:p w:rsidR="005759FD" w:rsidRPr="00C22185" w:rsidRDefault="005759FD" w:rsidP="00B41704">
            <w:pPr>
              <w:rPr>
                <w:rFonts w:ascii="Arial" w:hAnsi="Arial" w:cs="Arial"/>
                <w:sz w:val="20"/>
                <w:szCs w:val="22"/>
              </w:rPr>
            </w:pPr>
            <w:r w:rsidRPr="00C22185">
              <w:rPr>
                <w:rFonts w:ascii="Arial" w:hAnsi="Arial" w:cs="Arial"/>
                <w:sz w:val="20"/>
                <w:szCs w:val="22"/>
              </w:rPr>
              <w:t>REA</w:t>
            </w:r>
          </w:p>
        </w:tc>
        <w:tc>
          <w:tcPr>
            <w:tcW w:w="1427" w:type="pct"/>
          </w:tcPr>
          <w:p w:rsidR="005759FD" w:rsidRPr="00C22185" w:rsidRDefault="005759FD" w:rsidP="00B41704">
            <w:pPr>
              <w:rPr>
                <w:rFonts w:ascii="Arial" w:hAnsi="Arial" w:cs="Arial"/>
                <w:sz w:val="20"/>
                <w:szCs w:val="22"/>
              </w:rPr>
            </w:pPr>
            <w:r w:rsidRPr="00C22185">
              <w:rPr>
                <w:rFonts w:ascii="Arial" w:hAnsi="Arial" w:cs="Arial"/>
                <w:sz w:val="20"/>
                <w:szCs w:val="22"/>
              </w:rPr>
              <w:t>MEC + MLC</w:t>
            </w:r>
          </w:p>
        </w:tc>
        <w:tc>
          <w:tcPr>
            <w:tcW w:w="1380" w:type="pct"/>
          </w:tcPr>
          <w:p w:rsidR="005759FD" w:rsidRPr="00C22185" w:rsidRDefault="005759FD" w:rsidP="00B41704">
            <w:pPr>
              <w:rPr>
                <w:rFonts w:ascii="Arial" w:hAnsi="Arial" w:cs="Arial"/>
                <w:sz w:val="20"/>
                <w:szCs w:val="22"/>
              </w:rPr>
            </w:pPr>
            <w:r w:rsidRPr="00C22185">
              <w:rPr>
                <w:rFonts w:ascii="Arial" w:hAnsi="Arial" w:cs="Arial"/>
                <w:sz w:val="20"/>
                <w:szCs w:val="22"/>
              </w:rPr>
              <w:t>MEC + MLC</w:t>
            </w:r>
          </w:p>
        </w:tc>
        <w:tc>
          <w:tcPr>
            <w:tcW w:w="1473" w:type="pct"/>
          </w:tcPr>
          <w:p w:rsidR="005759FD" w:rsidRPr="00C22185" w:rsidRDefault="005759FD" w:rsidP="00B41704">
            <w:pPr>
              <w:rPr>
                <w:rFonts w:ascii="Arial" w:hAnsi="Arial" w:cs="Arial"/>
                <w:sz w:val="20"/>
                <w:szCs w:val="22"/>
              </w:rPr>
            </w:pPr>
            <w:r w:rsidRPr="00C22185">
              <w:rPr>
                <w:rFonts w:ascii="Arial" w:hAnsi="Arial" w:cs="Arial"/>
                <w:sz w:val="20"/>
                <w:szCs w:val="22"/>
              </w:rPr>
              <w:t>N/A</w:t>
            </w:r>
          </w:p>
        </w:tc>
      </w:tr>
    </w:tbl>
    <w:p w:rsidR="00250858" w:rsidRPr="00C22185" w:rsidRDefault="00250858" w:rsidP="00250858">
      <w:pPr>
        <w:rPr>
          <w:rFonts w:ascii="Arial" w:hAnsi="Arial" w:cs="Arial"/>
          <w:sz w:val="20"/>
          <w:szCs w:val="20"/>
        </w:rPr>
      </w:pPr>
      <w:r w:rsidRPr="00C22185">
        <w:rPr>
          <w:rFonts w:ascii="Arial" w:hAnsi="Arial" w:cs="Arial"/>
          <w:sz w:val="20"/>
          <w:szCs w:val="20"/>
        </w:rPr>
        <w:t>MEC = Measure Equipment Cost; MLC = Measure Labor Cost</w:t>
      </w:r>
    </w:p>
    <w:p w:rsidR="005759FD" w:rsidRPr="00C22185" w:rsidRDefault="00250858" w:rsidP="00250858">
      <w:pPr>
        <w:rPr>
          <w:sz w:val="22"/>
        </w:rPr>
      </w:pPr>
      <w:r w:rsidRPr="00C22185">
        <w:rPr>
          <w:rFonts w:ascii="Arial" w:hAnsi="Arial" w:cs="Arial"/>
          <w:sz w:val="20"/>
          <w:szCs w:val="20"/>
        </w:rPr>
        <w:t>BEC = Base Case Equipment Cost; BLC = Base Case Labor Cost</w:t>
      </w:r>
    </w:p>
    <w:p w:rsidR="005A61F0" w:rsidRDefault="005A61F0" w:rsidP="00864083">
      <w:pPr>
        <w:rPr>
          <w:rFonts w:ascii="Arial" w:hAnsi="Arial" w:cs="Arial"/>
          <w:sz w:val="22"/>
          <w:szCs w:val="22"/>
        </w:rPr>
      </w:pPr>
      <w:bookmarkStart w:id="60" w:name="_Ref189286871"/>
      <w:bookmarkStart w:id="61" w:name="_Toc225758844"/>
    </w:p>
    <w:p w:rsidR="00284768" w:rsidRPr="00594B8D" w:rsidRDefault="00881640" w:rsidP="005C409E">
      <w:pPr>
        <w:rPr>
          <w:rFonts w:ascii="Arial" w:hAnsi="Arial" w:cs="Arial"/>
          <w:sz w:val="22"/>
          <w:szCs w:val="22"/>
        </w:rPr>
      </w:pPr>
      <w:r w:rsidRPr="00594B8D">
        <w:rPr>
          <w:rFonts w:ascii="Arial" w:hAnsi="Arial" w:cs="Arial"/>
          <w:sz w:val="22"/>
          <w:szCs w:val="22"/>
        </w:rPr>
        <w:t xml:space="preserve">This </w:t>
      </w:r>
      <w:r w:rsidR="005C409E">
        <w:rPr>
          <w:rFonts w:ascii="Arial" w:hAnsi="Arial" w:cs="Arial"/>
          <w:sz w:val="22"/>
          <w:szCs w:val="22"/>
        </w:rPr>
        <w:t>table below is a summary of the base case cost, measure cost, and incremental measure cost.</w:t>
      </w:r>
    </w:p>
    <w:p w:rsidR="00530D89" w:rsidRPr="00594B8D" w:rsidRDefault="00530D89" w:rsidP="0044295D">
      <w:pPr>
        <w:rPr>
          <w:rFonts w:ascii="Arial" w:hAnsi="Arial" w:cs="Arial"/>
          <w:b/>
          <w:sz w:val="22"/>
          <w:szCs w:val="22"/>
        </w:rPr>
      </w:pPr>
    </w:p>
    <w:p w:rsidR="005A61F0" w:rsidRDefault="005A61F0" w:rsidP="005A61F0">
      <w:pPr>
        <w:pStyle w:val="Caption"/>
        <w:keepNext/>
        <w:jc w:val="center"/>
      </w:pPr>
      <w:bookmarkStart w:id="62" w:name="_Toc443922943"/>
      <w:r>
        <w:t xml:space="preserve">Table </w:t>
      </w:r>
      <w:fldSimple w:instr=" SEQ Table \* ARABIC ">
        <w:r w:rsidR="00871EB2">
          <w:rPr>
            <w:noProof/>
          </w:rPr>
          <w:t>12</w:t>
        </w:r>
      </w:fldSimple>
      <w:r>
        <w:t xml:space="preserve"> Incremental Measure Costs</w:t>
      </w:r>
      <w:bookmarkEnd w:id="6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2"/>
        <w:gridCol w:w="2050"/>
        <w:gridCol w:w="1914"/>
        <w:gridCol w:w="1689"/>
        <w:gridCol w:w="2191"/>
      </w:tblGrid>
      <w:tr w:rsidR="005A61F0" w:rsidRPr="00594B8D" w:rsidTr="005A61F0">
        <w:trPr>
          <w:jc w:val="center"/>
        </w:trPr>
        <w:tc>
          <w:tcPr>
            <w:tcW w:w="904" w:type="pct"/>
            <w:shd w:val="clear" w:color="auto" w:fill="D9D9D9" w:themeFill="background1" w:themeFillShade="D9"/>
            <w:vAlign w:val="center"/>
          </w:tcPr>
          <w:p w:rsidR="005A61F0" w:rsidRPr="00594B8D" w:rsidRDefault="005A61F0" w:rsidP="00842157">
            <w:pPr>
              <w:jc w:val="center"/>
              <w:rPr>
                <w:rFonts w:ascii="Arial" w:hAnsi="Arial" w:cs="Arial"/>
                <w:b/>
                <w:sz w:val="20"/>
                <w:szCs w:val="20"/>
              </w:rPr>
            </w:pPr>
            <w:r w:rsidRPr="00594B8D">
              <w:rPr>
                <w:rFonts w:ascii="Arial" w:hAnsi="Arial" w:cs="Arial"/>
                <w:b/>
                <w:sz w:val="20"/>
                <w:szCs w:val="20"/>
              </w:rPr>
              <w:t>Measure ID</w:t>
            </w:r>
          </w:p>
        </w:tc>
        <w:tc>
          <w:tcPr>
            <w:tcW w:w="1070" w:type="pct"/>
            <w:shd w:val="clear" w:color="auto" w:fill="D9D9D9" w:themeFill="background1" w:themeFillShade="D9"/>
            <w:vAlign w:val="center"/>
          </w:tcPr>
          <w:p w:rsidR="005A61F0" w:rsidRPr="00594B8D" w:rsidRDefault="005A61F0" w:rsidP="00842157">
            <w:pPr>
              <w:jc w:val="center"/>
              <w:rPr>
                <w:rFonts w:ascii="Arial" w:hAnsi="Arial" w:cs="Arial"/>
                <w:b/>
                <w:sz w:val="20"/>
                <w:szCs w:val="20"/>
              </w:rPr>
            </w:pPr>
            <w:r w:rsidRPr="00594B8D">
              <w:rPr>
                <w:rFonts w:ascii="Arial" w:hAnsi="Arial" w:cs="Arial"/>
                <w:b/>
                <w:sz w:val="20"/>
                <w:szCs w:val="20"/>
              </w:rPr>
              <w:t>Measure Application Types</w:t>
            </w:r>
          </w:p>
        </w:tc>
        <w:tc>
          <w:tcPr>
            <w:tcW w:w="999" w:type="pct"/>
            <w:shd w:val="clear" w:color="auto" w:fill="D9D9D9" w:themeFill="background1" w:themeFillShade="D9"/>
            <w:vAlign w:val="center"/>
          </w:tcPr>
          <w:p w:rsidR="005A61F0" w:rsidRPr="00594B8D" w:rsidRDefault="005A61F0" w:rsidP="005A61F0">
            <w:pPr>
              <w:jc w:val="center"/>
              <w:rPr>
                <w:rFonts w:ascii="Arial" w:hAnsi="Arial" w:cs="Arial"/>
                <w:b/>
                <w:sz w:val="20"/>
                <w:szCs w:val="20"/>
              </w:rPr>
            </w:pPr>
            <w:r w:rsidRPr="00594B8D">
              <w:rPr>
                <w:rFonts w:ascii="Arial" w:hAnsi="Arial" w:cs="Arial"/>
                <w:b/>
                <w:sz w:val="20"/>
                <w:szCs w:val="20"/>
              </w:rPr>
              <w:t xml:space="preserve">Base </w:t>
            </w:r>
            <w:r>
              <w:rPr>
                <w:rFonts w:ascii="Arial" w:hAnsi="Arial" w:cs="Arial"/>
                <w:b/>
                <w:sz w:val="20"/>
                <w:szCs w:val="20"/>
              </w:rPr>
              <w:t xml:space="preserve">Case </w:t>
            </w:r>
            <w:r w:rsidRPr="00594B8D">
              <w:rPr>
                <w:rFonts w:ascii="Arial" w:hAnsi="Arial" w:cs="Arial"/>
                <w:b/>
                <w:sz w:val="20"/>
                <w:szCs w:val="20"/>
              </w:rPr>
              <w:t>Cost</w:t>
            </w:r>
            <w:r w:rsidR="007645C6">
              <w:rPr>
                <w:rFonts w:ascii="Arial" w:hAnsi="Arial" w:cs="Arial"/>
                <w:b/>
                <w:sz w:val="20"/>
                <w:szCs w:val="20"/>
              </w:rPr>
              <w:t xml:space="preserve"> </w:t>
            </w:r>
            <w:r w:rsidR="007645C6">
              <w:rPr>
                <w:rFonts w:ascii="Arial" w:hAnsi="Arial" w:cs="Arial"/>
                <w:b/>
                <w:sz w:val="20"/>
                <w:szCs w:val="20"/>
              </w:rPr>
              <w:t xml:space="preserve">(per </w:t>
            </w:r>
            <w:proofErr w:type="spellStart"/>
            <w:r w:rsidR="007645C6">
              <w:rPr>
                <w:rFonts w:ascii="Arial" w:hAnsi="Arial" w:cs="Arial"/>
                <w:b/>
                <w:sz w:val="20"/>
                <w:szCs w:val="20"/>
              </w:rPr>
              <w:t>kBtuh</w:t>
            </w:r>
            <w:proofErr w:type="spellEnd"/>
            <w:r w:rsidR="007645C6">
              <w:rPr>
                <w:rFonts w:ascii="Arial" w:hAnsi="Arial" w:cs="Arial"/>
                <w:b/>
                <w:sz w:val="20"/>
                <w:szCs w:val="20"/>
              </w:rPr>
              <w:t>)</w:t>
            </w:r>
          </w:p>
        </w:tc>
        <w:tc>
          <w:tcPr>
            <w:tcW w:w="882" w:type="pct"/>
            <w:shd w:val="clear" w:color="auto" w:fill="D9D9D9" w:themeFill="background1" w:themeFillShade="D9"/>
            <w:vAlign w:val="center"/>
          </w:tcPr>
          <w:p w:rsidR="005A61F0" w:rsidRPr="00594B8D" w:rsidRDefault="005A61F0" w:rsidP="005A61F0">
            <w:pPr>
              <w:jc w:val="center"/>
              <w:rPr>
                <w:rFonts w:ascii="Arial" w:hAnsi="Arial" w:cs="Arial"/>
                <w:b/>
                <w:sz w:val="20"/>
                <w:szCs w:val="20"/>
              </w:rPr>
            </w:pPr>
            <w:r>
              <w:rPr>
                <w:rFonts w:ascii="Arial" w:hAnsi="Arial" w:cs="Arial"/>
                <w:b/>
                <w:sz w:val="20"/>
                <w:szCs w:val="20"/>
              </w:rPr>
              <w:t xml:space="preserve">Measure Case </w:t>
            </w:r>
            <w:r w:rsidRPr="00594B8D">
              <w:rPr>
                <w:rFonts w:ascii="Arial" w:hAnsi="Arial" w:cs="Arial"/>
                <w:b/>
                <w:sz w:val="20"/>
                <w:szCs w:val="20"/>
              </w:rPr>
              <w:t>Cost</w:t>
            </w:r>
            <w:r w:rsidR="007645C6">
              <w:rPr>
                <w:rFonts w:ascii="Arial" w:hAnsi="Arial" w:cs="Arial"/>
                <w:b/>
                <w:sz w:val="20"/>
                <w:szCs w:val="20"/>
              </w:rPr>
              <w:t xml:space="preserve"> </w:t>
            </w:r>
            <w:r w:rsidR="007645C6">
              <w:rPr>
                <w:rFonts w:ascii="Arial" w:hAnsi="Arial" w:cs="Arial"/>
                <w:b/>
                <w:sz w:val="20"/>
                <w:szCs w:val="20"/>
              </w:rPr>
              <w:t xml:space="preserve">(per </w:t>
            </w:r>
            <w:proofErr w:type="spellStart"/>
            <w:r w:rsidR="007645C6">
              <w:rPr>
                <w:rFonts w:ascii="Arial" w:hAnsi="Arial" w:cs="Arial"/>
                <w:b/>
                <w:sz w:val="20"/>
                <w:szCs w:val="20"/>
              </w:rPr>
              <w:t>kBtuh</w:t>
            </w:r>
            <w:proofErr w:type="spellEnd"/>
            <w:r w:rsidR="007645C6">
              <w:rPr>
                <w:rFonts w:ascii="Arial" w:hAnsi="Arial" w:cs="Arial"/>
                <w:b/>
                <w:sz w:val="20"/>
                <w:szCs w:val="20"/>
              </w:rPr>
              <w:t>)</w:t>
            </w:r>
          </w:p>
        </w:tc>
        <w:tc>
          <w:tcPr>
            <w:tcW w:w="1144" w:type="pct"/>
            <w:shd w:val="clear" w:color="auto" w:fill="D9D9D9" w:themeFill="background1" w:themeFillShade="D9"/>
            <w:vAlign w:val="center"/>
          </w:tcPr>
          <w:p w:rsidR="005A61F0" w:rsidRPr="00594B8D" w:rsidRDefault="005A61F0" w:rsidP="00842157">
            <w:pPr>
              <w:jc w:val="center"/>
              <w:rPr>
                <w:rFonts w:ascii="Arial" w:hAnsi="Arial" w:cs="Arial"/>
                <w:b/>
                <w:sz w:val="20"/>
                <w:szCs w:val="20"/>
              </w:rPr>
            </w:pPr>
            <w:r w:rsidRPr="00594B8D">
              <w:rPr>
                <w:rFonts w:ascii="Arial" w:hAnsi="Arial" w:cs="Arial"/>
                <w:b/>
                <w:sz w:val="20"/>
                <w:szCs w:val="20"/>
              </w:rPr>
              <w:t>Incremental Measure Cost</w:t>
            </w:r>
            <w:r w:rsidR="00A16123">
              <w:rPr>
                <w:rFonts w:ascii="Arial" w:hAnsi="Arial" w:cs="Arial"/>
                <w:b/>
                <w:sz w:val="20"/>
                <w:szCs w:val="20"/>
              </w:rPr>
              <w:t xml:space="preserve"> (per </w:t>
            </w:r>
            <w:proofErr w:type="spellStart"/>
            <w:r w:rsidR="00A16123">
              <w:rPr>
                <w:rFonts w:ascii="Arial" w:hAnsi="Arial" w:cs="Arial"/>
                <w:b/>
                <w:sz w:val="20"/>
                <w:szCs w:val="20"/>
              </w:rPr>
              <w:t>kBtuh</w:t>
            </w:r>
            <w:proofErr w:type="spellEnd"/>
            <w:r w:rsidR="00A16123">
              <w:rPr>
                <w:rFonts w:ascii="Arial" w:hAnsi="Arial" w:cs="Arial"/>
                <w:b/>
                <w:sz w:val="20"/>
                <w:szCs w:val="20"/>
              </w:rPr>
              <w:t>)</w:t>
            </w:r>
          </w:p>
        </w:tc>
      </w:tr>
      <w:tr w:rsidR="007645C6" w:rsidRPr="00594B8D" w:rsidTr="005A61F0">
        <w:trPr>
          <w:jc w:val="center"/>
        </w:trPr>
        <w:tc>
          <w:tcPr>
            <w:tcW w:w="904" w:type="pct"/>
            <w:shd w:val="clear" w:color="auto" w:fill="auto"/>
            <w:vAlign w:val="center"/>
          </w:tcPr>
          <w:p w:rsidR="007645C6" w:rsidRPr="00594B8D" w:rsidRDefault="007645C6" w:rsidP="00842157">
            <w:pPr>
              <w:jc w:val="center"/>
              <w:rPr>
                <w:rFonts w:ascii="Arial" w:hAnsi="Arial" w:cs="Arial"/>
                <w:sz w:val="20"/>
                <w:szCs w:val="20"/>
              </w:rPr>
            </w:pPr>
            <w:r>
              <w:rPr>
                <w:rFonts w:ascii="Arial" w:hAnsi="Arial" w:cs="Arial"/>
                <w:sz w:val="20"/>
                <w:szCs w:val="20"/>
              </w:rPr>
              <w:t>H11</w:t>
            </w:r>
          </w:p>
        </w:tc>
        <w:tc>
          <w:tcPr>
            <w:tcW w:w="1070" w:type="pct"/>
            <w:shd w:val="clear" w:color="auto" w:fill="auto"/>
            <w:vAlign w:val="center"/>
          </w:tcPr>
          <w:p w:rsidR="007645C6" w:rsidRPr="00594B8D" w:rsidRDefault="007645C6" w:rsidP="00161EE3">
            <w:pPr>
              <w:jc w:val="center"/>
              <w:rPr>
                <w:rFonts w:ascii="Arial" w:hAnsi="Arial" w:cs="Arial"/>
                <w:sz w:val="20"/>
                <w:szCs w:val="20"/>
              </w:rPr>
            </w:pPr>
            <w:r w:rsidRPr="00594B8D">
              <w:rPr>
                <w:rFonts w:ascii="Arial" w:hAnsi="Arial" w:cs="Arial"/>
                <w:sz w:val="20"/>
                <w:szCs w:val="20"/>
              </w:rPr>
              <w:t>ROB</w:t>
            </w:r>
          </w:p>
        </w:tc>
        <w:tc>
          <w:tcPr>
            <w:tcW w:w="999" w:type="pct"/>
            <w:shd w:val="clear" w:color="auto" w:fill="auto"/>
            <w:vAlign w:val="center"/>
          </w:tcPr>
          <w:p w:rsidR="007645C6" w:rsidRPr="00594B8D" w:rsidRDefault="007645C6" w:rsidP="007A6876">
            <w:pPr>
              <w:jc w:val="center"/>
              <w:rPr>
                <w:rFonts w:ascii="Arial" w:hAnsi="Arial" w:cs="Arial"/>
                <w:sz w:val="20"/>
                <w:szCs w:val="20"/>
              </w:rPr>
            </w:pPr>
            <w:r w:rsidRPr="00594B8D">
              <w:rPr>
                <w:rFonts w:ascii="Arial" w:hAnsi="Arial" w:cs="Arial"/>
                <w:sz w:val="20"/>
                <w:szCs w:val="20"/>
              </w:rPr>
              <w:t>$</w:t>
            </w:r>
            <w:r>
              <w:rPr>
                <w:rFonts w:ascii="Arial" w:hAnsi="Arial" w:cs="Arial"/>
                <w:sz w:val="20"/>
                <w:szCs w:val="20"/>
              </w:rPr>
              <w:t>1</w:t>
            </w:r>
            <w:r>
              <w:rPr>
                <w:rFonts w:ascii="Arial" w:hAnsi="Arial" w:cs="Arial"/>
                <w:sz w:val="20"/>
                <w:szCs w:val="20"/>
              </w:rPr>
              <w:t>2.22</w:t>
            </w:r>
          </w:p>
        </w:tc>
        <w:tc>
          <w:tcPr>
            <w:tcW w:w="882" w:type="pct"/>
            <w:shd w:val="clear" w:color="auto" w:fill="auto"/>
            <w:vAlign w:val="center"/>
          </w:tcPr>
          <w:p w:rsidR="007645C6" w:rsidRPr="00594B8D" w:rsidRDefault="007645C6" w:rsidP="007A6876">
            <w:pPr>
              <w:jc w:val="center"/>
              <w:rPr>
                <w:rFonts w:ascii="Arial" w:hAnsi="Arial" w:cs="Arial"/>
                <w:sz w:val="20"/>
                <w:szCs w:val="20"/>
              </w:rPr>
            </w:pPr>
            <w:r>
              <w:rPr>
                <w:rFonts w:ascii="Arial" w:hAnsi="Arial" w:cs="Arial"/>
                <w:sz w:val="20"/>
                <w:szCs w:val="20"/>
              </w:rPr>
              <w:t>$15.17</w:t>
            </w:r>
          </w:p>
        </w:tc>
        <w:tc>
          <w:tcPr>
            <w:tcW w:w="1144" w:type="pct"/>
            <w:shd w:val="clear" w:color="auto" w:fill="auto"/>
            <w:vAlign w:val="center"/>
          </w:tcPr>
          <w:p w:rsidR="007645C6" w:rsidRPr="00594B8D" w:rsidRDefault="007645C6" w:rsidP="005A61F0">
            <w:pPr>
              <w:jc w:val="center"/>
              <w:rPr>
                <w:rFonts w:ascii="Arial" w:hAnsi="Arial" w:cs="Arial"/>
                <w:sz w:val="20"/>
                <w:szCs w:val="20"/>
              </w:rPr>
            </w:pPr>
            <w:r>
              <w:rPr>
                <w:rFonts w:ascii="Arial" w:hAnsi="Arial" w:cs="Arial"/>
                <w:sz w:val="20"/>
                <w:szCs w:val="20"/>
              </w:rPr>
              <w:t>$2.95</w:t>
            </w:r>
          </w:p>
        </w:tc>
      </w:tr>
      <w:tr w:rsidR="007645C6" w:rsidRPr="00594B8D" w:rsidTr="005A61F0">
        <w:trPr>
          <w:jc w:val="center"/>
        </w:trPr>
        <w:tc>
          <w:tcPr>
            <w:tcW w:w="904" w:type="pct"/>
            <w:shd w:val="clear" w:color="auto" w:fill="auto"/>
            <w:vAlign w:val="center"/>
          </w:tcPr>
          <w:p w:rsidR="007645C6" w:rsidRPr="00594B8D" w:rsidRDefault="007645C6" w:rsidP="00403978">
            <w:pPr>
              <w:jc w:val="center"/>
              <w:rPr>
                <w:rFonts w:ascii="Arial" w:hAnsi="Arial" w:cs="Arial"/>
                <w:sz w:val="20"/>
                <w:szCs w:val="20"/>
              </w:rPr>
            </w:pPr>
            <w:r>
              <w:rPr>
                <w:rFonts w:ascii="Arial" w:hAnsi="Arial" w:cs="Arial"/>
                <w:sz w:val="20"/>
                <w:szCs w:val="20"/>
              </w:rPr>
              <w:t>H15</w:t>
            </w:r>
          </w:p>
        </w:tc>
        <w:tc>
          <w:tcPr>
            <w:tcW w:w="1070" w:type="pct"/>
            <w:shd w:val="clear" w:color="auto" w:fill="auto"/>
            <w:vAlign w:val="center"/>
          </w:tcPr>
          <w:p w:rsidR="007645C6" w:rsidRPr="00594B8D" w:rsidRDefault="007645C6" w:rsidP="00161EE3">
            <w:pPr>
              <w:jc w:val="center"/>
              <w:rPr>
                <w:rFonts w:ascii="Arial" w:hAnsi="Arial" w:cs="Arial"/>
                <w:sz w:val="20"/>
                <w:szCs w:val="20"/>
              </w:rPr>
            </w:pPr>
            <w:r w:rsidRPr="00594B8D">
              <w:rPr>
                <w:rFonts w:ascii="Arial" w:hAnsi="Arial" w:cs="Arial"/>
                <w:sz w:val="20"/>
                <w:szCs w:val="20"/>
              </w:rPr>
              <w:t>ROB</w:t>
            </w:r>
          </w:p>
        </w:tc>
        <w:tc>
          <w:tcPr>
            <w:tcW w:w="999" w:type="pct"/>
            <w:shd w:val="clear" w:color="auto" w:fill="auto"/>
            <w:vAlign w:val="center"/>
          </w:tcPr>
          <w:p w:rsidR="007645C6" w:rsidRPr="00594B8D" w:rsidRDefault="007645C6" w:rsidP="007A6876">
            <w:pPr>
              <w:jc w:val="center"/>
              <w:rPr>
                <w:rFonts w:ascii="Arial" w:hAnsi="Arial" w:cs="Arial"/>
                <w:sz w:val="20"/>
                <w:szCs w:val="20"/>
              </w:rPr>
            </w:pPr>
            <w:r w:rsidRPr="00594B8D">
              <w:rPr>
                <w:rFonts w:ascii="Arial" w:hAnsi="Arial" w:cs="Arial"/>
                <w:sz w:val="20"/>
                <w:szCs w:val="20"/>
              </w:rPr>
              <w:t>$</w:t>
            </w:r>
            <w:r>
              <w:rPr>
                <w:rFonts w:ascii="Arial" w:hAnsi="Arial" w:cs="Arial"/>
                <w:sz w:val="20"/>
                <w:szCs w:val="20"/>
              </w:rPr>
              <w:t>14.89</w:t>
            </w:r>
          </w:p>
        </w:tc>
        <w:tc>
          <w:tcPr>
            <w:tcW w:w="882" w:type="pct"/>
            <w:shd w:val="clear" w:color="auto" w:fill="auto"/>
            <w:vAlign w:val="center"/>
          </w:tcPr>
          <w:p w:rsidR="007645C6" w:rsidRPr="00594B8D" w:rsidRDefault="007645C6" w:rsidP="007A6876">
            <w:pPr>
              <w:jc w:val="center"/>
              <w:rPr>
                <w:rFonts w:ascii="Arial" w:hAnsi="Arial" w:cs="Arial"/>
                <w:sz w:val="20"/>
                <w:szCs w:val="20"/>
              </w:rPr>
            </w:pPr>
            <w:r>
              <w:rPr>
                <w:rFonts w:ascii="Arial" w:hAnsi="Arial" w:cs="Arial"/>
                <w:sz w:val="20"/>
                <w:szCs w:val="20"/>
              </w:rPr>
              <w:t>$19.24</w:t>
            </w:r>
          </w:p>
        </w:tc>
        <w:tc>
          <w:tcPr>
            <w:tcW w:w="1144" w:type="pct"/>
            <w:shd w:val="clear" w:color="auto" w:fill="auto"/>
            <w:vAlign w:val="center"/>
          </w:tcPr>
          <w:p w:rsidR="007645C6" w:rsidRPr="00594B8D" w:rsidRDefault="007645C6" w:rsidP="005A61F0">
            <w:pPr>
              <w:jc w:val="center"/>
              <w:rPr>
                <w:rFonts w:ascii="Arial" w:hAnsi="Arial" w:cs="Arial"/>
                <w:sz w:val="20"/>
                <w:szCs w:val="20"/>
              </w:rPr>
            </w:pPr>
            <w:r>
              <w:rPr>
                <w:rFonts w:ascii="Arial" w:hAnsi="Arial" w:cs="Arial"/>
                <w:sz w:val="20"/>
                <w:szCs w:val="20"/>
              </w:rPr>
              <w:t>$4.35</w:t>
            </w:r>
          </w:p>
        </w:tc>
      </w:tr>
      <w:bookmarkEnd w:id="60"/>
      <w:bookmarkEnd w:id="61"/>
    </w:tbl>
    <w:p w:rsidR="00C40CE2" w:rsidRDefault="00C40CE2" w:rsidP="00F04E6A">
      <w:pPr>
        <w:pStyle w:val="Heading1"/>
        <w:sectPr w:rsidR="00C40CE2" w:rsidSect="00DD43C2">
          <w:endnotePr>
            <w:numFmt w:val="decimal"/>
          </w:endnotePr>
          <w:pgSz w:w="12240" w:h="15840"/>
          <w:pgMar w:top="1440" w:right="1440" w:bottom="1440" w:left="1440" w:header="720" w:footer="720" w:gutter="0"/>
          <w:pgNumType w:chapStyle="1"/>
          <w:cols w:space="720"/>
          <w:docGrid w:linePitch="360"/>
        </w:sectPr>
      </w:pPr>
    </w:p>
    <w:p w:rsidR="00DA1D64" w:rsidRPr="009742DA" w:rsidRDefault="00DA1D64" w:rsidP="00864083">
      <w:pPr>
        <w:pStyle w:val="Heading1"/>
        <w:spacing w:before="0" w:after="0"/>
      </w:pPr>
      <w:bookmarkStart w:id="63" w:name="_Toc226364461"/>
      <w:bookmarkStart w:id="64" w:name="_Toc443922981"/>
      <w:r w:rsidRPr="009742DA">
        <w:lastRenderedPageBreak/>
        <w:t>References</w:t>
      </w:r>
      <w:bookmarkEnd w:id="63"/>
      <w:bookmarkEnd w:id="64"/>
    </w:p>
    <w:p w:rsidR="00051FC5" w:rsidRPr="00A961E9" w:rsidRDefault="00051FC5" w:rsidP="00864083">
      <w:pPr>
        <w:rPr>
          <w:rFonts w:ascii="Arial" w:hAnsi="Arial" w:cs="Arial"/>
          <w:color w:val="FF0000"/>
        </w:rPr>
      </w:pPr>
    </w:p>
    <w:sectPr w:rsidR="00051FC5" w:rsidRPr="00A961E9" w:rsidSect="00C40CE2">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704" w:rsidRDefault="00B41704">
      <w:r>
        <w:separator/>
      </w:r>
    </w:p>
  </w:endnote>
  <w:endnote w:type="continuationSeparator" w:id="0">
    <w:p w:rsidR="00B41704" w:rsidRDefault="00B41704">
      <w:r>
        <w:continuationSeparator/>
      </w:r>
    </w:p>
  </w:endnote>
  <w:endnote w:id="1">
    <w:p w:rsidR="00B41704" w:rsidRDefault="00B41704" w:rsidP="001E3A20">
      <w:pPr>
        <w:rPr>
          <w:rFonts w:ascii="Arial" w:hAnsi="Arial" w:cs="Arial"/>
          <w:sz w:val="22"/>
          <w:szCs w:val="22"/>
        </w:rPr>
      </w:pPr>
      <w:r w:rsidRPr="00413149">
        <w:rPr>
          <w:rStyle w:val="EndnoteReference"/>
          <w:rFonts w:ascii="Arial" w:hAnsi="Arial" w:cs="Arial"/>
          <w:sz w:val="22"/>
          <w:szCs w:val="22"/>
        </w:rPr>
        <w:endnoteRef/>
      </w:r>
      <w:r w:rsidRPr="00413149">
        <w:rPr>
          <w:rFonts w:ascii="Arial" w:hAnsi="Arial" w:cs="Arial"/>
          <w:sz w:val="22"/>
          <w:szCs w:val="22"/>
        </w:rPr>
        <w:t xml:space="preserve"> 2014 Database for Energy Efficiency Resources (DEER) Update Study, prepared by </w:t>
      </w:r>
      <w:proofErr w:type="spellStart"/>
      <w:r w:rsidRPr="00413149">
        <w:rPr>
          <w:rFonts w:ascii="Arial" w:hAnsi="Arial" w:cs="Arial"/>
          <w:sz w:val="22"/>
          <w:szCs w:val="22"/>
        </w:rPr>
        <w:t>Itron</w:t>
      </w:r>
      <w:proofErr w:type="spellEnd"/>
      <w:r w:rsidRPr="00413149">
        <w:rPr>
          <w:rFonts w:ascii="Arial" w:hAnsi="Arial" w:cs="Arial"/>
          <w:sz w:val="22"/>
          <w:szCs w:val="22"/>
        </w:rPr>
        <w:t xml:space="preserve"> Inc., November 2013 ;D13v1.00</w:t>
      </w:r>
    </w:p>
    <w:p w:rsidR="00B41704" w:rsidRPr="00413149" w:rsidRDefault="00B41704" w:rsidP="001E3A20">
      <w:pPr>
        <w:rPr>
          <w:rFonts w:ascii="Arial" w:hAnsi="Arial" w:cs="Arial"/>
          <w:sz w:val="22"/>
          <w:szCs w:val="22"/>
        </w:rPr>
      </w:pPr>
    </w:p>
  </w:endnote>
  <w:endnote w:id="2">
    <w:p w:rsidR="00B41704" w:rsidRDefault="00B41704" w:rsidP="002506E6">
      <w:pPr>
        <w:pStyle w:val="EndnoteText"/>
      </w:pPr>
      <w:r>
        <w:rPr>
          <w:rStyle w:val="EndnoteReference"/>
        </w:rPr>
        <w:endnoteRef/>
      </w:r>
      <w:r>
        <w:t xml:space="preserve"> </w:t>
      </w:r>
      <w:proofErr w:type="gramStart"/>
      <w:r w:rsidRPr="002506E6">
        <w:rPr>
          <w:rFonts w:ascii="Arial" w:hAnsi="Arial" w:cs="Arial"/>
          <w:sz w:val="22"/>
        </w:rPr>
        <w:t xml:space="preserve">Singh, </w:t>
      </w:r>
      <w:proofErr w:type="spellStart"/>
      <w:r w:rsidRPr="002506E6">
        <w:rPr>
          <w:rFonts w:ascii="Arial" w:hAnsi="Arial" w:cs="Arial"/>
          <w:sz w:val="22"/>
        </w:rPr>
        <w:t>Harinder</w:t>
      </w:r>
      <w:proofErr w:type="spellEnd"/>
      <w:r w:rsidRPr="002506E6">
        <w:rPr>
          <w:rFonts w:ascii="Arial" w:hAnsi="Arial" w:cs="Arial"/>
          <w:sz w:val="22"/>
        </w:rPr>
        <w:t xml:space="preserve">, Ken Rider, and Jared </w:t>
      </w:r>
      <w:proofErr w:type="spellStart"/>
      <w:r w:rsidRPr="002506E6">
        <w:rPr>
          <w:rFonts w:ascii="Arial" w:hAnsi="Arial" w:cs="Arial"/>
          <w:sz w:val="22"/>
        </w:rPr>
        <w:t>Babula</w:t>
      </w:r>
      <w:proofErr w:type="spellEnd"/>
      <w:r w:rsidRPr="002506E6">
        <w:rPr>
          <w:rFonts w:ascii="Arial" w:hAnsi="Arial" w:cs="Arial"/>
          <w:sz w:val="22"/>
        </w:rPr>
        <w:t>.</w:t>
      </w:r>
      <w:proofErr w:type="gramEnd"/>
      <w:r w:rsidRPr="002506E6">
        <w:rPr>
          <w:rFonts w:ascii="Arial" w:hAnsi="Arial" w:cs="Arial"/>
          <w:sz w:val="22"/>
        </w:rPr>
        <w:t xml:space="preserve"> 2015. 2015 Appliance Efficiency Regulations. </w:t>
      </w:r>
      <w:proofErr w:type="gramStart"/>
      <w:r w:rsidRPr="002506E6">
        <w:rPr>
          <w:rFonts w:ascii="Arial" w:hAnsi="Arial" w:cs="Arial"/>
          <w:sz w:val="22"/>
        </w:rPr>
        <w:t>California</w:t>
      </w:r>
      <w:r>
        <w:rPr>
          <w:rFonts w:ascii="Arial" w:hAnsi="Arial" w:cs="Arial"/>
          <w:sz w:val="22"/>
        </w:rPr>
        <w:t xml:space="preserve"> </w:t>
      </w:r>
      <w:r w:rsidRPr="002506E6">
        <w:rPr>
          <w:rFonts w:ascii="Arial" w:hAnsi="Arial" w:cs="Arial"/>
          <w:sz w:val="22"/>
        </w:rPr>
        <w:t>Energy Commission.</w:t>
      </w:r>
      <w:proofErr w:type="gramEnd"/>
      <w:r w:rsidRPr="002506E6">
        <w:rPr>
          <w:rFonts w:ascii="Arial" w:hAnsi="Arial" w:cs="Arial"/>
          <w:sz w:val="22"/>
        </w:rPr>
        <w:t xml:space="preserve"> Publication Number: CEC</w:t>
      </w:r>
      <w:r w:rsidRPr="002506E6">
        <w:rPr>
          <w:rFonts w:ascii="Cambria Math" w:hAnsi="Cambria Math" w:cs="Cambria Math"/>
          <w:sz w:val="22"/>
        </w:rPr>
        <w:t>‐</w:t>
      </w:r>
      <w:r w:rsidRPr="002506E6">
        <w:rPr>
          <w:rFonts w:ascii="Arial" w:hAnsi="Arial" w:cs="Arial"/>
          <w:sz w:val="22"/>
        </w:rPr>
        <w:t>400</w:t>
      </w:r>
      <w:r w:rsidRPr="002506E6">
        <w:rPr>
          <w:rFonts w:ascii="Cambria Math" w:hAnsi="Cambria Math" w:cs="Cambria Math"/>
          <w:sz w:val="22"/>
        </w:rPr>
        <w:t>‐</w:t>
      </w:r>
      <w:r w:rsidRPr="002506E6">
        <w:rPr>
          <w:rFonts w:ascii="Arial" w:hAnsi="Arial" w:cs="Arial"/>
          <w:sz w:val="22"/>
        </w:rPr>
        <w:t>2015</w:t>
      </w:r>
      <w:r w:rsidRPr="002506E6">
        <w:rPr>
          <w:rFonts w:ascii="Cambria Math" w:hAnsi="Cambria Math" w:cs="Cambria Math"/>
          <w:sz w:val="22"/>
        </w:rPr>
        <w:t>‐</w:t>
      </w:r>
      <w:r w:rsidRPr="002506E6">
        <w:rPr>
          <w:rFonts w:ascii="Arial" w:hAnsi="Arial" w:cs="Arial"/>
          <w:sz w:val="22"/>
        </w:rPr>
        <w:t>021.</w:t>
      </w:r>
      <w:r>
        <w:rPr>
          <w:rFonts w:ascii="Arial" w:hAnsi="Arial" w:cs="Arial"/>
          <w:sz w:val="22"/>
        </w:rPr>
        <w:t xml:space="preserve"> </w:t>
      </w:r>
      <w:proofErr w:type="gramStart"/>
      <w:r>
        <w:rPr>
          <w:rFonts w:ascii="Arial" w:hAnsi="Arial" w:cs="Arial"/>
          <w:sz w:val="22"/>
        </w:rPr>
        <w:t>page</w:t>
      </w:r>
      <w:proofErr w:type="gramEnd"/>
      <w:r>
        <w:rPr>
          <w:rFonts w:ascii="Arial" w:hAnsi="Arial" w:cs="Arial"/>
          <w:sz w:val="22"/>
        </w:rPr>
        <w:t xml:space="preserve"> 146.</w:t>
      </w:r>
    </w:p>
    <w:p w:rsidR="00B41704" w:rsidRDefault="00B41704" w:rsidP="002506E6">
      <w:pPr>
        <w:pStyle w:val="EndnoteText"/>
      </w:pPr>
    </w:p>
  </w:endnote>
  <w:endnote w:id="3">
    <w:p w:rsidR="00B41704" w:rsidRPr="00B14D61" w:rsidRDefault="00B41704" w:rsidP="00844529">
      <w:pPr>
        <w:pStyle w:val="EndnoteText"/>
        <w:spacing w:after="100" w:afterAutospacing="1"/>
        <w:rPr>
          <w:rFonts w:ascii="Arial" w:hAnsi="Arial" w:cs="Arial"/>
          <w:sz w:val="22"/>
          <w:szCs w:val="22"/>
        </w:rPr>
      </w:pPr>
      <w:r w:rsidRPr="00B14D61">
        <w:rPr>
          <w:rStyle w:val="EndnoteReference"/>
          <w:rFonts w:ascii="Arial" w:hAnsi="Arial" w:cs="Arial"/>
          <w:sz w:val="22"/>
          <w:szCs w:val="22"/>
        </w:rPr>
        <w:endnoteRef/>
      </w:r>
      <w:r w:rsidRPr="00B14D61">
        <w:rPr>
          <w:rFonts w:ascii="Arial" w:hAnsi="Arial" w:cs="Arial"/>
          <w:sz w:val="22"/>
          <w:szCs w:val="22"/>
        </w:rPr>
        <w:t xml:space="preserve"> </w:t>
      </w:r>
      <w:proofErr w:type="gramStart"/>
      <w:r w:rsidRPr="00B14D61">
        <w:rPr>
          <w:rFonts w:ascii="Arial" w:hAnsi="Arial" w:cs="Arial"/>
          <w:sz w:val="22"/>
          <w:szCs w:val="22"/>
        </w:rPr>
        <w:t>2013 Building Energy Efficiency Standards</w:t>
      </w:r>
      <w:r w:rsidR="001C6B19">
        <w:rPr>
          <w:rFonts w:ascii="Arial" w:hAnsi="Arial" w:cs="Arial"/>
          <w:sz w:val="22"/>
          <w:szCs w:val="22"/>
        </w:rPr>
        <w:t xml:space="preserve"> for Residential and Nonresidential Buildings.</w:t>
      </w:r>
      <w:proofErr w:type="gramEnd"/>
      <w:r w:rsidR="001C6B19">
        <w:rPr>
          <w:rFonts w:ascii="Arial" w:hAnsi="Arial" w:cs="Arial"/>
          <w:sz w:val="22"/>
          <w:szCs w:val="22"/>
        </w:rPr>
        <w:t xml:space="preserve">  Title 24, Part 6 and Associated Administrative Regulations in Part 1.  </w:t>
      </w:r>
      <w:proofErr w:type="gramStart"/>
      <w:r w:rsidR="001C6B19">
        <w:rPr>
          <w:rFonts w:ascii="Arial" w:hAnsi="Arial" w:cs="Arial"/>
          <w:sz w:val="22"/>
          <w:szCs w:val="22"/>
        </w:rPr>
        <w:t>California Energy Commission.</w:t>
      </w:r>
      <w:proofErr w:type="gramEnd"/>
      <w:r w:rsidR="001C6B19">
        <w:rPr>
          <w:rFonts w:ascii="Arial" w:hAnsi="Arial" w:cs="Arial"/>
          <w:sz w:val="22"/>
          <w:szCs w:val="22"/>
        </w:rPr>
        <w:t xml:space="preserve">  </w:t>
      </w:r>
      <w:r w:rsidR="001C6B19" w:rsidRPr="002506E6">
        <w:rPr>
          <w:rFonts w:ascii="Arial" w:hAnsi="Arial" w:cs="Arial"/>
          <w:sz w:val="22"/>
        </w:rPr>
        <w:t>Publication Number: CEC</w:t>
      </w:r>
      <w:r w:rsidR="001C6B19" w:rsidRPr="002506E6">
        <w:rPr>
          <w:rFonts w:ascii="Cambria Math" w:hAnsi="Cambria Math" w:cs="Cambria Math"/>
          <w:sz w:val="22"/>
        </w:rPr>
        <w:t>‐</w:t>
      </w:r>
      <w:r w:rsidR="001C6B19" w:rsidRPr="002506E6">
        <w:rPr>
          <w:rFonts w:ascii="Arial" w:hAnsi="Arial" w:cs="Arial"/>
          <w:sz w:val="22"/>
        </w:rPr>
        <w:t>400</w:t>
      </w:r>
      <w:r w:rsidR="001C6B19" w:rsidRPr="002506E6">
        <w:rPr>
          <w:rFonts w:ascii="Cambria Math" w:hAnsi="Cambria Math" w:cs="Cambria Math"/>
          <w:sz w:val="22"/>
        </w:rPr>
        <w:t>‐</w:t>
      </w:r>
      <w:r w:rsidR="001C6B19" w:rsidRPr="002506E6">
        <w:rPr>
          <w:rFonts w:ascii="Arial" w:hAnsi="Arial" w:cs="Arial"/>
          <w:sz w:val="22"/>
        </w:rPr>
        <w:t>201</w:t>
      </w:r>
      <w:r w:rsidR="001C6B19">
        <w:rPr>
          <w:rFonts w:ascii="Arial" w:hAnsi="Arial" w:cs="Arial"/>
          <w:sz w:val="22"/>
        </w:rPr>
        <w:t>2</w:t>
      </w:r>
      <w:r w:rsidR="001C6B19" w:rsidRPr="002506E6">
        <w:rPr>
          <w:rFonts w:ascii="Cambria Math" w:hAnsi="Cambria Math" w:cs="Cambria Math"/>
          <w:sz w:val="22"/>
        </w:rPr>
        <w:t>‐</w:t>
      </w:r>
      <w:r w:rsidR="001C6B19">
        <w:rPr>
          <w:rFonts w:ascii="Arial" w:hAnsi="Arial" w:cs="Arial"/>
          <w:sz w:val="22"/>
        </w:rPr>
        <w:t>004-CMF-REV2</w:t>
      </w:r>
      <w:r w:rsidR="001C6B19" w:rsidRPr="002506E6">
        <w:rPr>
          <w:rFonts w:ascii="Arial" w:hAnsi="Arial" w:cs="Arial"/>
          <w:sz w:val="22"/>
        </w:rPr>
        <w:t>.</w:t>
      </w:r>
    </w:p>
  </w:endnote>
  <w:endnote w:id="4">
    <w:p w:rsidR="00B41704" w:rsidRPr="00B14D61" w:rsidRDefault="00B41704">
      <w:pPr>
        <w:pStyle w:val="EndnoteText"/>
        <w:rPr>
          <w:rFonts w:ascii="Arial" w:hAnsi="Arial" w:cs="Arial"/>
          <w:sz w:val="22"/>
          <w:szCs w:val="22"/>
        </w:rPr>
      </w:pPr>
      <w:r w:rsidRPr="00B14D61">
        <w:rPr>
          <w:rStyle w:val="EndnoteReference"/>
          <w:rFonts w:ascii="Arial" w:hAnsi="Arial" w:cs="Arial"/>
          <w:sz w:val="22"/>
          <w:szCs w:val="22"/>
        </w:rPr>
        <w:endnoteRef/>
      </w:r>
      <w:r w:rsidRPr="00B14D61">
        <w:rPr>
          <w:rFonts w:ascii="Arial" w:hAnsi="Arial" w:cs="Arial"/>
          <w:sz w:val="22"/>
          <w:szCs w:val="22"/>
        </w:rPr>
        <w:t xml:space="preserve"> DOE Steam Tip Sheet 4</w:t>
      </w:r>
    </w:p>
    <w:p w:rsidR="00B41704" w:rsidRDefault="00B41704">
      <w:pPr>
        <w:pStyle w:val="EndnoteText"/>
      </w:pPr>
    </w:p>
  </w:endnote>
  <w:endnote w:id="5">
    <w:p w:rsidR="00545890" w:rsidRDefault="00545890">
      <w:pPr>
        <w:pStyle w:val="EndnoteText"/>
      </w:pPr>
      <w:r>
        <w:rPr>
          <w:rStyle w:val="EndnoteReference"/>
        </w:rPr>
        <w:endnoteRef/>
      </w:r>
      <w:r>
        <w:t xml:space="preserve"> </w:t>
      </w:r>
      <w:r w:rsidRPr="00545890">
        <w:rPr>
          <w:rFonts w:ascii="Arial" w:hAnsi="Arial" w:cs="Arial"/>
          <w:sz w:val="22"/>
        </w:rPr>
        <w:t>Energy Savings Calculations</w:t>
      </w:r>
      <w:r>
        <w:rPr>
          <w:rFonts w:ascii="Arial" w:hAnsi="Arial" w:cs="Arial"/>
          <w:sz w:val="22"/>
        </w:rPr>
        <w:t xml:space="preserve"> Excel</w:t>
      </w:r>
    </w:p>
  </w:endnote>
  <w:endnote w:id="6">
    <w:p w:rsidR="00545890" w:rsidRDefault="00545890" w:rsidP="003E1686">
      <w:pPr>
        <w:pStyle w:val="EndnoteText"/>
        <w:rPr>
          <w:rFonts w:ascii="Arial" w:hAnsi="Arial" w:cs="Arial"/>
          <w:sz w:val="22"/>
          <w:szCs w:val="22"/>
        </w:rPr>
      </w:pPr>
    </w:p>
    <w:p w:rsidR="00B41704" w:rsidRPr="00230B1A" w:rsidRDefault="00B41704" w:rsidP="003E1686">
      <w:pPr>
        <w:pStyle w:val="EndnoteText"/>
        <w:rPr>
          <w:rFonts w:ascii="Arial" w:hAnsi="Arial" w:cs="Arial"/>
          <w:sz w:val="22"/>
          <w:szCs w:val="22"/>
        </w:rPr>
      </w:pPr>
      <w:r w:rsidRPr="00230B1A">
        <w:rPr>
          <w:rStyle w:val="EndnoteReference"/>
          <w:rFonts w:ascii="Arial" w:hAnsi="Arial" w:cs="Arial"/>
          <w:sz w:val="22"/>
          <w:szCs w:val="22"/>
        </w:rPr>
        <w:endnoteRef/>
      </w:r>
      <w:r w:rsidRPr="00230B1A">
        <w:rPr>
          <w:rFonts w:ascii="Arial" w:hAnsi="Arial" w:cs="Arial"/>
          <w:sz w:val="22"/>
          <w:szCs w:val="22"/>
        </w:rPr>
        <w:t xml:space="preserve"> </w:t>
      </w:r>
      <w:proofErr w:type="gramStart"/>
      <w:r w:rsidRPr="00C35600">
        <w:rPr>
          <w:rFonts w:ascii="Arial" w:hAnsi="Arial" w:cs="Arial"/>
          <w:sz w:val="22"/>
          <w:szCs w:val="22"/>
        </w:rPr>
        <w:t>California Energy Commission (CEC</w:t>
      </w:r>
      <w:r w:rsidRPr="00C35600">
        <w:rPr>
          <w:rFonts w:ascii="Arial" w:hAnsi="Arial" w:cs="Arial"/>
          <w:sz w:val="22"/>
          <w:szCs w:val="22"/>
        </w:rPr>
        <w:fldChar w:fldCharType="begin"/>
      </w:r>
      <w:r w:rsidRPr="00C35600">
        <w:rPr>
          <w:rFonts w:ascii="Arial" w:hAnsi="Arial" w:cs="Arial"/>
          <w:sz w:val="22"/>
          <w:szCs w:val="22"/>
        </w:rPr>
        <w:instrText xml:space="preserve"> XE "CEC" </w:instrText>
      </w:r>
      <w:r w:rsidRPr="00C35600">
        <w:rPr>
          <w:rFonts w:ascii="Arial" w:hAnsi="Arial" w:cs="Arial"/>
          <w:sz w:val="22"/>
          <w:szCs w:val="22"/>
        </w:rPr>
        <w:fldChar w:fldCharType="end"/>
      </w:r>
      <w:r w:rsidRPr="00C35600">
        <w:rPr>
          <w:rFonts w:ascii="Arial" w:hAnsi="Arial" w:cs="Arial"/>
          <w:sz w:val="22"/>
          <w:szCs w:val="22"/>
        </w:rPr>
        <w:t>) Appliance Databases</w:t>
      </w:r>
      <w:r>
        <w:rPr>
          <w:rFonts w:ascii="Arial" w:hAnsi="Arial" w:cs="Arial"/>
          <w:sz w:val="22"/>
          <w:szCs w:val="22"/>
        </w:rPr>
        <w:t xml:space="preserve"> –Extracted 02/22/2016.</w:t>
      </w:r>
      <w:proofErr w:type="gramEnd"/>
      <w:r>
        <w:rPr>
          <w:rFonts w:ascii="Arial" w:hAnsi="Arial" w:cs="Arial"/>
          <w:sz w:val="22"/>
          <w:szCs w:val="22"/>
        </w:rPr>
        <w:t xml:space="preserve"> </w:t>
      </w:r>
      <w:hyperlink r:id="rId1" w:history="1">
        <w:r w:rsidRPr="00476FFF">
          <w:rPr>
            <w:rStyle w:val="Hyperlink"/>
            <w:rFonts w:ascii="Arial" w:hAnsi="Arial" w:cs="Arial"/>
            <w:sz w:val="22"/>
            <w:szCs w:val="22"/>
          </w:rPr>
          <w:t>http://www.appliances.energy.ca.gov/AdvancedSearch.aspx</w:t>
        </w:r>
      </w:hyperlink>
    </w:p>
    <w:p w:rsidR="00B41704" w:rsidRPr="00230B1A" w:rsidRDefault="00B41704">
      <w:pPr>
        <w:pStyle w:val="EndnoteText"/>
        <w:rPr>
          <w:rFonts w:ascii="Arial" w:hAnsi="Arial" w:cs="Arial"/>
          <w:sz w:val="22"/>
          <w:szCs w:val="22"/>
        </w:rPr>
      </w:pPr>
    </w:p>
  </w:endnote>
  <w:endnote w:id="7">
    <w:p w:rsidR="00B41704" w:rsidRDefault="00B41704">
      <w:pPr>
        <w:pStyle w:val="EndnoteText"/>
        <w:rPr>
          <w:rFonts w:ascii="Arial" w:hAnsi="Arial" w:cs="Arial"/>
          <w:sz w:val="22"/>
          <w:szCs w:val="22"/>
        </w:rPr>
      </w:pPr>
      <w:r w:rsidRPr="00230B1A">
        <w:rPr>
          <w:rStyle w:val="EndnoteReference"/>
          <w:rFonts w:ascii="Arial" w:hAnsi="Arial" w:cs="Arial"/>
          <w:sz w:val="22"/>
          <w:szCs w:val="22"/>
        </w:rPr>
        <w:endnoteRef/>
      </w:r>
      <w:r w:rsidRPr="00230B1A">
        <w:rPr>
          <w:rFonts w:ascii="Arial" w:hAnsi="Arial" w:cs="Arial"/>
          <w:sz w:val="22"/>
          <w:szCs w:val="22"/>
        </w:rPr>
        <w:t xml:space="preserve"> Characterization Industrial Commercial Boiler Population</w:t>
      </w:r>
    </w:p>
    <w:p w:rsidR="00B41704" w:rsidRDefault="00B41704">
      <w:pPr>
        <w:pStyle w:val="EndnoteText"/>
      </w:pPr>
    </w:p>
  </w:endnote>
  <w:endnote w:id="8">
    <w:p w:rsidR="00B41704" w:rsidRDefault="00B41704">
      <w:pPr>
        <w:pStyle w:val="EndnoteText"/>
      </w:pPr>
      <w:r>
        <w:rPr>
          <w:rStyle w:val="EndnoteReference"/>
        </w:rPr>
        <w:endnoteRef/>
      </w:r>
      <w:r>
        <w:t xml:space="preserve"> </w:t>
      </w:r>
      <w:r w:rsidRPr="003E1686">
        <w:rPr>
          <w:rFonts w:ascii="Arial" w:hAnsi="Arial" w:cs="Arial"/>
          <w:sz w:val="22"/>
          <w:szCs w:val="22"/>
        </w:rPr>
        <w:t>Bureau of Economic Analysis – Regional Economic Accounts – Gross Domestic Products by State  – http://www.bea.gov/regional/gsp/</w:t>
      </w:r>
    </w:p>
  </w:endnote>
  <w:endnote w:id="9">
    <w:p w:rsidR="00545890" w:rsidRDefault="00545890">
      <w:pPr>
        <w:pStyle w:val="EndnoteText"/>
      </w:pPr>
    </w:p>
    <w:p w:rsidR="00545890" w:rsidRDefault="00545890">
      <w:pPr>
        <w:pStyle w:val="EndnoteText"/>
      </w:pPr>
      <w:r>
        <w:rPr>
          <w:rStyle w:val="EndnoteReference"/>
        </w:rPr>
        <w:endnoteRef/>
      </w:r>
      <w:r>
        <w:t xml:space="preserve"> </w:t>
      </w:r>
      <w:proofErr w:type="gramStart"/>
      <w:r w:rsidRPr="00545890">
        <w:rPr>
          <w:rFonts w:ascii="Arial" w:hAnsi="Arial" w:cs="Arial"/>
          <w:sz w:val="22"/>
        </w:rPr>
        <w:t>South</w:t>
      </w:r>
      <w:r>
        <w:rPr>
          <w:rFonts w:ascii="Arial" w:hAnsi="Arial" w:cs="Arial"/>
          <w:sz w:val="22"/>
        </w:rPr>
        <w:t>ern California Gas Company.</w:t>
      </w:r>
      <w:proofErr w:type="gramEnd"/>
      <w:r>
        <w:rPr>
          <w:rFonts w:ascii="Arial" w:hAnsi="Arial" w:cs="Arial"/>
          <w:sz w:val="22"/>
        </w:rPr>
        <w:t xml:space="preserve">  </w:t>
      </w:r>
      <w:proofErr w:type="spellStart"/>
      <w:r>
        <w:rPr>
          <w:rFonts w:ascii="Arial" w:hAnsi="Arial" w:cs="Arial"/>
          <w:sz w:val="22"/>
        </w:rPr>
        <w:t>Workpaper</w:t>
      </w:r>
      <w:proofErr w:type="spellEnd"/>
      <w:r>
        <w:rPr>
          <w:rFonts w:ascii="Arial" w:hAnsi="Arial" w:cs="Arial"/>
          <w:sz w:val="22"/>
        </w:rPr>
        <w:t xml:space="preserve"> WPSCGNRPH120206A, Revision 5.  Process Boiler Cost Data and Calculations Excel</w:t>
      </w:r>
      <w:bookmarkStart w:id="56" w:name="_GoBack"/>
      <w:bookmarkEnd w:id="56"/>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LightCondense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M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704" w:rsidRDefault="00B41704"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41704" w:rsidRDefault="00B417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704" w:rsidRPr="00846195" w:rsidRDefault="00B41704"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w:t>
    </w:r>
    <w:r w:rsidRPr="00846195">
      <w:rPr>
        <w:rStyle w:val="PageNumber"/>
        <w:b/>
        <w:sz w:val="20"/>
        <w:szCs w:val="20"/>
      </w:rPr>
      <w:fldChar w:fldCharType="end"/>
    </w:r>
  </w:p>
  <w:p w:rsidR="00B41704" w:rsidRDefault="00B41704" w:rsidP="00D7047A">
    <w:pPr>
      <w:pStyle w:val="Footer"/>
      <w:pBdr>
        <w:top w:val="single" w:sz="4" w:space="1" w:color="auto"/>
      </w:pBdr>
      <w:tabs>
        <w:tab w:val="clear" w:pos="8640"/>
        <w:tab w:val="right" w:pos="9360"/>
      </w:tabs>
      <w:rPr>
        <w:b/>
        <w:sz w:val="20"/>
        <w:szCs w:val="20"/>
      </w:rPr>
    </w:pPr>
    <w:r>
      <w:rPr>
        <w:b/>
        <w:color w:val="FF0000"/>
        <w:sz w:val="20"/>
        <w:szCs w:val="20"/>
      </w:rPr>
      <w:tab/>
    </w:r>
    <w:r>
      <w:rPr>
        <w:b/>
        <w:sz w:val="20"/>
        <w:szCs w:val="20"/>
      </w:rPr>
      <w:tab/>
      <w:t>12/6/2013</w:t>
    </w:r>
  </w:p>
  <w:p w:rsidR="00B41704" w:rsidRDefault="00B41704" w:rsidP="00D7047A">
    <w:pPr>
      <w:pStyle w:val="Footer"/>
      <w:rPr>
        <w:b/>
        <w:sz w:val="20"/>
        <w:szCs w:val="20"/>
      </w:rPr>
    </w:pPr>
    <w:r>
      <w:rPr>
        <w:b/>
        <w:sz w:val="20"/>
        <w:szCs w:val="20"/>
      </w:rPr>
      <w:t>Pacific Gas &amp; Electric Company</w:t>
    </w:r>
  </w:p>
  <w:p w:rsidR="00B41704" w:rsidRPr="00081FB4" w:rsidRDefault="00B41704" w:rsidP="00D7047A">
    <w:pPr>
      <w:pStyle w:val="Footer"/>
      <w:rPr>
        <w:noProof/>
        <w:sz w:val="20"/>
        <w:szCs w:val="20"/>
      </w:rPr>
    </w:pPr>
    <w:r w:rsidRPr="00893A0F">
      <w:rPr>
        <w:noProof/>
        <w:sz w:val="20"/>
        <w:szCs w:val="20"/>
      </w:rPr>
      <w:t>PGECO</w:t>
    </w:r>
    <w:r>
      <w:rPr>
        <w:noProof/>
        <w:sz w:val="20"/>
        <w:szCs w:val="20"/>
      </w:rPr>
      <w:t>HVC101 R3</w:t>
    </w:r>
    <w:r w:rsidRPr="00893A0F">
      <w:rPr>
        <w:noProof/>
        <w:sz w:val="20"/>
        <w:szCs w:val="20"/>
      </w:rPr>
      <w:t xml:space="preserve"> </w:t>
    </w:r>
    <w:r>
      <w:rPr>
        <w:noProof/>
        <w:sz w:val="20"/>
        <w:szCs w:val="20"/>
      </w:rPr>
      <w:t>Large DHW Boiler</w:t>
    </w:r>
    <w:r w:rsidRPr="00893A0F">
      <w:rPr>
        <w:noProof/>
        <w:sz w:val="20"/>
        <w:szCs w:val="20"/>
      </w:rPr>
      <w:t>.doc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704" w:rsidRPr="00672230" w:rsidRDefault="00ED564E" w:rsidP="00D7047A">
    <w:pPr>
      <w:pStyle w:val="Footer"/>
      <w:jc w:val="right"/>
      <w:rPr>
        <w:rFonts w:ascii="Arial" w:hAnsi="Arial" w:cs="Arial"/>
        <w:b/>
        <w:sz w:val="36"/>
        <w:szCs w:val="36"/>
      </w:rPr>
    </w:pPr>
    <w:r>
      <w:rPr>
        <w:rFonts w:ascii="Arial" w:hAnsi="Arial" w:cs="Arial"/>
        <w:b/>
        <w:sz w:val="36"/>
        <w:szCs w:val="36"/>
      </w:rPr>
      <w:t>3/3/2016</w:t>
    </w:r>
  </w:p>
  <w:p w:rsidR="00B41704" w:rsidRDefault="00B4170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704" w:rsidRPr="00846195" w:rsidRDefault="00B41704"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545890">
      <w:rPr>
        <w:rStyle w:val="PageNumber"/>
        <w:b/>
        <w:noProof/>
        <w:sz w:val="20"/>
        <w:szCs w:val="20"/>
      </w:rPr>
      <w:t>iv</w:t>
    </w:r>
    <w:r w:rsidRPr="00846195">
      <w:rPr>
        <w:rStyle w:val="PageNumber"/>
        <w:b/>
        <w:sz w:val="20"/>
        <w:szCs w:val="20"/>
      </w:rPr>
      <w:fldChar w:fldCharType="end"/>
    </w:r>
  </w:p>
  <w:p w:rsidR="00B41704" w:rsidRPr="00DD43C2" w:rsidRDefault="00B41704" w:rsidP="00A961E9">
    <w:pPr>
      <w:pStyle w:val="Footer"/>
      <w:pBdr>
        <w:top w:val="single" w:sz="4" w:space="1" w:color="auto"/>
      </w:pBdr>
      <w:tabs>
        <w:tab w:val="clear" w:pos="8640"/>
      </w:tabs>
      <w:rPr>
        <w:b/>
        <w:sz w:val="20"/>
        <w:szCs w:val="20"/>
      </w:rPr>
    </w:pPr>
    <w:r w:rsidRPr="00DD43C2">
      <w:rPr>
        <w:b/>
        <w:sz w:val="20"/>
        <w:szCs w:val="20"/>
      </w:rPr>
      <w:t>PGECOPRO101 Process Boiler, R</w:t>
    </w:r>
    <w:r>
      <w:rPr>
        <w:b/>
        <w:sz w:val="20"/>
        <w:szCs w:val="20"/>
      </w:rPr>
      <w:t>4</w:t>
    </w:r>
    <w:r w:rsidRPr="00DD43C2">
      <w:rPr>
        <w:b/>
        <w:color w:val="FF0000"/>
        <w:sz w:val="20"/>
        <w:szCs w:val="20"/>
      </w:rPr>
      <w:tab/>
    </w:r>
    <w:r w:rsidRPr="00DD43C2">
      <w:rPr>
        <w:b/>
        <w:color w:val="FF0000"/>
        <w:sz w:val="20"/>
        <w:szCs w:val="20"/>
      </w:rPr>
      <w:tab/>
    </w:r>
    <w:r w:rsidRPr="00DD43C2">
      <w:rPr>
        <w:b/>
        <w:color w:val="FF0000"/>
        <w:sz w:val="20"/>
        <w:szCs w:val="20"/>
      </w:rPr>
      <w:tab/>
    </w:r>
    <w:r w:rsidRPr="00DD43C2">
      <w:rPr>
        <w:b/>
        <w:color w:val="FF0000"/>
        <w:sz w:val="20"/>
        <w:szCs w:val="20"/>
      </w:rPr>
      <w:tab/>
    </w:r>
    <w:r w:rsidRPr="00DD43C2">
      <w:rPr>
        <w:b/>
        <w:color w:val="FF0000"/>
        <w:sz w:val="20"/>
        <w:szCs w:val="20"/>
      </w:rPr>
      <w:tab/>
    </w:r>
    <w:r w:rsidRPr="00DD43C2">
      <w:rPr>
        <w:b/>
        <w:color w:val="FF0000"/>
        <w:sz w:val="20"/>
        <w:szCs w:val="20"/>
      </w:rPr>
      <w:tab/>
      <w:t xml:space="preserve">         </w:t>
    </w:r>
    <w:r w:rsidRPr="00DD43C2">
      <w:rPr>
        <w:b/>
        <w:sz w:val="20"/>
        <w:szCs w:val="20"/>
      </w:rPr>
      <w:t>0</w:t>
    </w:r>
    <w:r>
      <w:rPr>
        <w:b/>
        <w:sz w:val="20"/>
        <w:szCs w:val="20"/>
      </w:rPr>
      <w:t>3/0</w:t>
    </w:r>
    <w:r w:rsidR="00ED564E">
      <w:rPr>
        <w:b/>
        <w:sz w:val="20"/>
        <w:szCs w:val="20"/>
      </w:rPr>
      <w:t>3</w:t>
    </w:r>
    <w:r w:rsidRPr="00DD43C2">
      <w:rPr>
        <w:b/>
        <w:sz w:val="20"/>
        <w:szCs w:val="20"/>
      </w:rPr>
      <w:t>/201</w:t>
    </w:r>
    <w:r>
      <w:rPr>
        <w:b/>
        <w:sz w:val="20"/>
        <w:szCs w:val="20"/>
      </w:rPr>
      <w:t>6</w:t>
    </w:r>
  </w:p>
  <w:p w:rsidR="00B41704" w:rsidRPr="00DD43C2" w:rsidRDefault="00B41704" w:rsidP="00D7047A">
    <w:pPr>
      <w:pStyle w:val="Footer"/>
      <w:rPr>
        <w:b/>
        <w:sz w:val="20"/>
        <w:szCs w:val="20"/>
      </w:rPr>
    </w:pPr>
    <w:r w:rsidRPr="00DD43C2">
      <w:rPr>
        <w:b/>
        <w:sz w:val="20"/>
        <w:szCs w:val="20"/>
      </w:rPr>
      <w:t>Pacific Gas &amp; Electric Company</w:t>
    </w:r>
  </w:p>
  <w:p w:rsidR="00B41704" w:rsidRPr="000A7376" w:rsidRDefault="00B41704" w:rsidP="00D7047A">
    <w:pPr>
      <w:pStyle w:val="Footer"/>
      <w:rPr>
        <w:noProof/>
        <w:sz w:val="20"/>
        <w:szCs w:val="20"/>
      </w:rPr>
    </w:pPr>
    <w:r w:rsidRPr="00DD43C2">
      <w:rPr>
        <w:b/>
        <w:noProof/>
        <w:sz w:val="20"/>
        <w:szCs w:val="20"/>
      </w:rPr>
      <w:fldChar w:fldCharType="begin"/>
    </w:r>
    <w:r w:rsidRPr="00DD43C2">
      <w:rPr>
        <w:b/>
        <w:noProof/>
        <w:sz w:val="20"/>
        <w:szCs w:val="20"/>
      </w:rPr>
      <w:instrText xml:space="preserve"> FILENAME   \* MERGEFORMAT </w:instrText>
    </w:r>
    <w:r w:rsidRPr="00DD43C2">
      <w:rPr>
        <w:b/>
        <w:noProof/>
        <w:sz w:val="20"/>
        <w:szCs w:val="20"/>
      </w:rPr>
      <w:fldChar w:fldCharType="separate"/>
    </w:r>
    <w:r>
      <w:rPr>
        <w:b/>
        <w:noProof/>
        <w:sz w:val="20"/>
        <w:szCs w:val="20"/>
      </w:rPr>
      <w:t>PGECOPRO101 R4 Process Boilers.docx</w:t>
    </w:r>
    <w:r w:rsidRPr="00DD43C2">
      <w:rPr>
        <w:b/>
        <w:noProof/>
        <w:sz w:val="20"/>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704" w:rsidRPr="00846195" w:rsidRDefault="00B41704" w:rsidP="00DD43C2">
    <w:pPr>
      <w:pStyle w:val="Footer"/>
      <w:framePr w:wrap="around" w:vAnchor="text" w:hAnchor="page" w:x="6241" w:y="11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545890">
      <w:rPr>
        <w:rStyle w:val="PageNumber"/>
        <w:b/>
        <w:noProof/>
        <w:sz w:val="20"/>
        <w:szCs w:val="20"/>
      </w:rPr>
      <w:t>13</w:t>
    </w:r>
    <w:r w:rsidRPr="00846195">
      <w:rPr>
        <w:rStyle w:val="PageNumber"/>
        <w:b/>
        <w:sz w:val="20"/>
        <w:szCs w:val="20"/>
      </w:rPr>
      <w:fldChar w:fldCharType="end"/>
    </w:r>
  </w:p>
  <w:p w:rsidR="00B41704" w:rsidRPr="00075E07" w:rsidRDefault="00B41704" w:rsidP="00D7047A">
    <w:pPr>
      <w:pStyle w:val="Footer"/>
      <w:pBdr>
        <w:top w:val="single" w:sz="4" w:space="1" w:color="auto"/>
      </w:pBdr>
      <w:tabs>
        <w:tab w:val="clear" w:pos="8640"/>
        <w:tab w:val="right" w:pos="9360"/>
      </w:tabs>
      <w:rPr>
        <w:b/>
        <w:sz w:val="20"/>
        <w:szCs w:val="20"/>
      </w:rPr>
    </w:pPr>
    <w:r>
      <w:rPr>
        <w:b/>
        <w:sz w:val="20"/>
        <w:szCs w:val="20"/>
      </w:rPr>
      <w:t>PGECOPRO</w:t>
    </w:r>
    <w:r w:rsidRPr="000A7376">
      <w:rPr>
        <w:b/>
        <w:sz w:val="20"/>
        <w:szCs w:val="20"/>
      </w:rPr>
      <w:t>101</w:t>
    </w:r>
    <w:r>
      <w:rPr>
        <w:b/>
        <w:sz w:val="20"/>
        <w:szCs w:val="20"/>
      </w:rPr>
      <w:t xml:space="preserve"> Process Boiler, R4</w:t>
    </w:r>
    <w:r>
      <w:rPr>
        <w:b/>
        <w:color w:val="FF0000"/>
        <w:sz w:val="20"/>
        <w:szCs w:val="20"/>
      </w:rPr>
      <w:tab/>
    </w:r>
    <w:r>
      <w:rPr>
        <w:b/>
        <w:sz w:val="20"/>
        <w:szCs w:val="20"/>
      </w:rPr>
      <w:tab/>
      <w:t>03/0</w:t>
    </w:r>
    <w:r w:rsidR="00ED564E">
      <w:rPr>
        <w:b/>
        <w:sz w:val="20"/>
        <w:szCs w:val="20"/>
      </w:rPr>
      <w:t>3</w:t>
    </w:r>
    <w:r>
      <w:rPr>
        <w:b/>
        <w:sz w:val="20"/>
        <w:szCs w:val="20"/>
      </w:rPr>
      <w:t>/2016</w:t>
    </w:r>
  </w:p>
  <w:p w:rsidR="00B41704" w:rsidRDefault="00B41704" w:rsidP="00D7047A">
    <w:pPr>
      <w:pStyle w:val="Footer"/>
      <w:rPr>
        <w:b/>
        <w:sz w:val="20"/>
        <w:szCs w:val="20"/>
      </w:rPr>
    </w:pPr>
    <w:r>
      <w:rPr>
        <w:b/>
        <w:sz w:val="20"/>
        <w:szCs w:val="20"/>
      </w:rPr>
      <w:t>Pacific Gas &amp; Electric Company</w:t>
    </w:r>
  </w:p>
  <w:p w:rsidR="00B41704" w:rsidRDefault="00B41704" w:rsidP="00D7047A">
    <w:pPr>
      <w:pStyle w:val="Footer"/>
      <w:rPr>
        <w:b/>
        <w:sz w:val="20"/>
        <w:szCs w:val="20"/>
      </w:rPr>
    </w:pPr>
    <w:r>
      <w:rPr>
        <w:b/>
        <w:sz w:val="20"/>
        <w:szCs w:val="20"/>
      </w:rPr>
      <w:fldChar w:fldCharType="begin"/>
    </w:r>
    <w:r>
      <w:rPr>
        <w:b/>
        <w:sz w:val="20"/>
        <w:szCs w:val="20"/>
      </w:rPr>
      <w:instrText xml:space="preserve"> FILENAME   \* MERGEFORMAT </w:instrText>
    </w:r>
    <w:r>
      <w:rPr>
        <w:b/>
        <w:sz w:val="20"/>
        <w:szCs w:val="20"/>
      </w:rPr>
      <w:fldChar w:fldCharType="separate"/>
    </w:r>
    <w:r>
      <w:rPr>
        <w:b/>
        <w:noProof/>
        <w:sz w:val="20"/>
        <w:szCs w:val="20"/>
      </w:rPr>
      <w:t>PGECOPRO101 R4 Process Boilers.docx</w:t>
    </w:r>
    <w:r>
      <w:rPr>
        <w:b/>
        <w:sz w:val="20"/>
        <w:szCs w:val="20"/>
      </w:rPr>
      <w:fldChar w:fldCharType="end"/>
    </w:r>
  </w:p>
  <w:p w:rsidR="00B41704" w:rsidRPr="00D7047A" w:rsidRDefault="00B41704" w:rsidP="00660047">
    <w:pPr>
      <w:pStyle w:val="Footer"/>
      <w:rPr>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704" w:rsidRDefault="00B41704">
      <w:r>
        <w:separator/>
      </w:r>
    </w:p>
  </w:footnote>
  <w:footnote w:type="continuationSeparator" w:id="0">
    <w:p w:rsidR="00B41704" w:rsidRDefault="00B417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704" w:rsidRDefault="00B4170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704" w:rsidRDefault="00B41704" w:rsidP="001A573F">
    <w:pPr>
      <w:pStyle w:val="Header"/>
      <w:jc w:val="right"/>
    </w:pPr>
  </w:p>
  <w:p w:rsidR="00B41704" w:rsidRDefault="00B41704"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BA02D03"/>
    <w:multiLevelType w:val="hybridMultilevel"/>
    <w:tmpl w:val="554E13AC"/>
    <w:lvl w:ilvl="0" w:tplc="72C8C0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3C6FD8"/>
    <w:multiLevelType w:val="hybridMultilevel"/>
    <w:tmpl w:val="20BAC2BA"/>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4D42EB"/>
    <w:multiLevelType w:val="hybridMultilevel"/>
    <w:tmpl w:val="FFA613AE"/>
    <w:lvl w:ilvl="0" w:tplc="DCDED1E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A69744F"/>
    <w:multiLevelType w:val="hybridMultilevel"/>
    <w:tmpl w:val="9CD2CDB6"/>
    <w:lvl w:ilvl="0" w:tplc="C50E3C5E">
      <w:start w:val="1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B6F1EAC"/>
    <w:multiLevelType w:val="hybridMultilevel"/>
    <w:tmpl w:val="E7206EC0"/>
    <w:lvl w:ilvl="0" w:tplc="C50E3C5E">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22B0E7D"/>
    <w:multiLevelType w:val="hybridMultilevel"/>
    <w:tmpl w:val="ED0A3F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nsid w:val="270E6FA4"/>
    <w:multiLevelType w:val="hybridMultilevel"/>
    <w:tmpl w:val="5CC0861C"/>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FB0082"/>
    <w:multiLevelType w:val="hybridMultilevel"/>
    <w:tmpl w:val="2F901D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Garamond-LightCondense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Garamond-LightCondense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Garamond-LightCondense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8">
    <w:nsid w:val="359F4055"/>
    <w:multiLevelType w:val="hybridMultilevel"/>
    <w:tmpl w:val="6C9E59F2"/>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3612BE6"/>
    <w:multiLevelType w:val="hybridMultilevel"/>
    <w:tmpl w:val="9702C08C"/>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175963"/>
    <w:multiLevelType w:val="hybridMultilevel"/>
    <w:tmpl w:val="C8642BA2"/>
    <w:lvl w:ilvl="0" w:tplc="DCDED1E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EE269F"/>
    <w:multiLevelType w:val="hybridMultilevel"/>
    <w:tmpl w:val="940ACD82"/>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262E79"/>
    <w:multiLevelType w:val="hybridMultilevel"/>
    <w:tmpl w:val="48BA5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4701D0"/>
    <w:multiLevelType w:val="hybridMultilevel"/>
    <w:tmpl w:val="666E2204"/>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9">
    <w:nsid w:val="60450D27"/>
    <w:multiLevelType w:val="hybridMultilevel"/>
    <w:tmpl w:val="8236E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61BD4DFE"/>
    <w:multiLevelType w:val="hybridMultilevel"/>
    <w:tmpl w:val="7C7031C4"/>
    <w:lvl w:ilvl="0" w:tplc="C50E3C5E">
      <w:start w:val="1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076336"/>
    <w:multiLevelType w:val="hybridMultilevel"/>
    <w:tmpl w:val="8FEA8AFC"/>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820856"/>
    <w:multiLevelType w:val="singleLevel"/>
    <w:tmpl w:val="6C78A414"/>
    <w:lvl w:ilvl="0">
      <w:start w:val="1"/>
      <w:numFmt w:val="decimal"/>
      <w:lvlText w:val="%1."/>
      <w:legacy w:legacy="1" w:legacySpace="0" w:legacyIndent="0"/>
      <w:lvlJc w:val="left"/>
    </w:lvl>
  </w:abstractNum>
  <w:abstractNum w:abstractNumId="37">
    <w:nsid w:val="792018DB"/>
    <w:multiLevelType w:val="hybridMultilevel"/>
    <w:tmpl w:val="A2588882"/>
    <w:lvl w:ilvl="0" w:tplc="C50E3C5E">
      <w:start w:val="1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667D8D"/>
    <w:multiLevelType w:val="hybridMultilevel"/>
    <w:tmpl w:val="17D25968"/>
    <w:lvl w:ilvl="0" w:tplc="572E1A1E">
      <w:start w:val="1"/>
      <w:numFmt w:val="lowerLetter"/>
      <w:lvlText w:val="(%1)"/>
      <w:lvlJc w:val="left"/>
      <w:pPr>
        <w:ind w:left="1080" w:hanging="360"/>
      </w:pPr>
      <w:rPr>
        <w:rFonts w:hint="default"/>
      </w:rPr>
    </w:lvl>
    <w:lvl w:ilvl="1" w:tplc="83864B4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DD06857"/>
    <w:multiLevelType w:val="hybridMultilevel"/>
    <w:tmpl w:val="2C6EE4D6"/>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6"/>
  </w:num>
  <w:num w:numId="4">
    <w:abstractNumId w:val="11"/>
  </w:num>
  <w:num w:numId="5">
    <w:abstractNumId w:val="36"/>
  </w:num>
  <w:num w:numId="6">
    <w:abstractNumId w:val="17"/>
  </w:num>
  <w:num w:numId="7">
    <w:abstractNumId w:val="7"/>
  </w:num>
  <w:num w:numId="8">
    <w:abstractNumId w:val="20"/>
  </w:num>
  <w:num w:numId="9">
    <w:abstractNumId w:val="14"/>
  </w:num>
  <w:num w:numId="10">
    <w:abstractNumId w:val="2"/>
  </w:num>
  <w:num w:numId="11">
    <w:abstractNumId w:val="28"/>
  </w:num>
  <w:num w:numId="12">
    <w:abstractNumId w:val="30"/>
  </w:num>
  <w:num w:numId="13">
    <w:abstractNumId w:val="4"/>
  </w:num>
  <w:num w:numId="14">
    <w:abstractNumId w:val="39"/>
  </w:num>
  <w:num w:numId="15">
    <w:abstractNumId w:val="21"/>
  </w:num>
  <w:num w:numId="16">
    <w:abstractNumId w:val="24"/>
  </w:num>
  <w:num w:numId="17">
    <w:abstractNumId w:val="0"/>
  </w:num>
  <w:num w:numId="18">
    <w:abstractNumId w:val="13"/>
  </w:num>
  <w:num w:numId="19">
    <w:abstractNumId w:val="33"/>
  </w:num>
  <w:num w:numId="20">
    <w:abstractNumId w:val="34"/>
  </w:num>
  <w:num w:numId="21">
    <w:abstractNumId w:val="16"/>
  </w:num>
  <w:num w:numId="22">
    <w:abstractNumId w:val="12"/>
  </w:num>
  <w:num w:numId="23">
    <w:abstractNumId w:val="26"/>
  </w:num>
  <w:num w:numId="24">
    <w:abstractNumId w:val="29"/>
  </w:num>
  <w:num w:numId="25">
    <w:abstractNumId w:val="32"/>
  </w:num>
  <w:num w:numId="26">
    <w:abstractNumId w:val="38"/>
  </w:num>
  <w:num w:numId="27">
    <w:abstractNumId w:val="37"/>
  </w:num>
  <w:num w:numId="28">
    <w:abstractNumId w:val="1"/>
  </w:num>
  <w:num w:numId="29">
    <w:abstractNumId w:val="23"/>
  </w:num>
  <w:num w:numId="30">
    <w:abstractNumId w:val="10"/>
  </w:num>
  <w:num w:numId="31">
    <w:abstractNumId w:val="9"/>
  </w:num>
  <w:num w:numId="32">
    <w:abstractNumId w:val="35"/>
  </w:num>
  <w:num w:numId="33">
    <w:abstractNumId w:val="18"/>
  </w:num>
  <w:num w:numId="34">
    <w:abstractNumId w:val="40"/>
  </w:num>
  <w:num w:numId="35">
    <w:abstractNumId w:val="27"/>
  </w:num>
  <w:num w:numId="36">
    <w:abstractNumId w:val="31"/>
  </w:num>
  <w:num w:numId="37">
    <w:abstractNumId w:val="25"/>
  </w:num>
  <w:num w:numId="38">
    <w:abstractNumId w:val="22"/>
  </w:num>
  <w:num w:numId="39">
    <w:abstractNumId w:val="15"/>
  </w:num>
  <w:num w:numId="40">
    <w:abstractNumId w:val="5"/>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2642"/>
    <w:rsid w:val="000050CC"/>
    <w:rsid w:val="00005E70"/>
    <w:rsid w:val="00012F86"/>
    <w:rsid w:val="00014740"/>
    <w:rsid w:val="00014742"/>
    <w:rsid w:val="00014F9F"/>
    <w:rsid w:val="000170B5"/>
    <w:rsid w:val="00017488"/>
    <w:rsid w:val="0002118E"/>
    <w:rsid w:val="00022172"/>
    <w:rsid w:val="000222E6"/>
    <w:rsid w:val="00023102"/>
    <w:rsid w:val="00023F16"/>
    <w:rsid w:val="00024AA9"/>
    <w:rsid w:val="00026F78"/>
    <w:rsid w:val="000272C2"/>
    <w:rsid w:val="0003064A"/>
    <w:rsid w:val="00032B63"/>
    <w:rsid w:val="000351CB"/>
    <w:rsid w:val="000373B0"/>
    <w:rsid w:val="000374A5"/>
    <w:rsid w:val="00037C65"/>
    <w:rsid w:val="00037E1E"/>
    <w:rsid w:val="00044365"/>
    <w:rsid w:val="00044570"/>
    <w:rsid w:val="000448A5"/>
    <w:rsid w:val="0004503A"/>
    <w:rsid w:val="00046D10"/>
    <w:rsid w:val="00050D0C"/>
    <w:rsid w:val="00051FC5"/>
    <w:rsid w:val="00053CD8"/>
    <w:rsid w:val="0005535A"/>
    <w:rsid w:val="00055973"/>
    <w:rsid w:val="00055AD6"/>
    <w:rsid w:val="00056DB9"/>
    <w:rsid w:val="000571F6"/>
    <w:rsid w:val="0005796E"/>
    <w:rsid w:val="00057C09"/>
    <w:rsid w:val="00063A83"/>
    <w:rsid w:val="00063FA7"/>
    <w:rsid w:val="0006490F"/>
    <w:rsid w:val="00066D5B"/>
    <w:rsid w:val="000678A2"/>
    <w:rsid w:val="00067EB5"/>
    <w:rsid w:val="000701EB"/>
    <w:rsid w:val="000719AA"/>
    <w:rsid w:val="0007306B"/>
    <w:rsid w:val="00073184"/>
    <w:rsid w:val="00073E7D"/>
    <w:rsid w:val="000749EA"/>
    <w:rsid w:val="00075E07"/>
    <w:rsid w:val="00077161"/>
    <w:rsid w:val="00077DC4"/>
    <w:rsid w:val="000802BA"/>
    <w:rsid w:val="000814B9"/>
    <w:rsid w:val="00081FB4"/>
    <w:rsid w:val="000842B9"/>
    <w:rsid w:val="0008537D"/>
    <w:rsid w:val="00085DF5"/>
    <w:rsid w:val="00086594"/>
    <w:rsid w:val="00087378"/>
    <w:rsid w:val="00095610"/>
    <w:rsid w:val="00095C1D"/>
    <w:rsid w:val="000966CC"/>
    <w:rsid w:val="000A1ADB"/>
    <w:rsid w:val="000A2490"/>
    <w:rsid w:val="000A2FB3"/>
    <w:rsid w:val="000A48F2"/>
    <w:rsid w:val="000A7376"/>
    <w:rsid w:val="000B0B1E"/>
    <w:rsid w:val="000B2A6B"/>
    <w:rsid w:val="000B368B"/>
    <w:rsid w:val="000B71D2"/>
    <w:rsid w:val="000C0FD3"/>
    <w:rsid w:val="000C23B1"/>
    <w:rsid w:val="000C4909"/>
    <w:rsid w:val="000C56C0"/>
    <w:rsid w:val="000C5FFA"/>
    <w:rsid w:val="000C6A67"/>
    <w:rsid w:val="000D47BE"/>
    <w:rsid w:val="000D4BF3"/>
    <w:rsid w:val="000D5047"/>
    <w:rsid w:val="000D5790"/>
    <w:rsid w:val="000D64B7"/>
    <w:rsid w:val="000D6DA4"/>
    <w:rsid w:val="000E0350"/>
    <w:rsid w:val="000E132D"/>
    <w:rsid w:val="000E1C56"/>
    <w:rsid w:val="000E273A"/>
    <w:rsid w:val="000E31B5"/>
    <w:rsid w:val="000E6E80"/>
    <w:rsid w:val="000F0069"/>
    <w:rsid w:val="000F0C5D"/>
    <w:rsid w:val="000F11DD"/>
    <w:rsid w:val="000F16B4"/>
    <w:rsid w:val="000F2774"/>
    <w:rsid w:val="001009E0"/>
    <w:rsid w:val="0010148F"/>
    <w:rsid w:val="001018BD"/>
    <w:rsid w:val="00101E3F"/>
    <w:rsid w:val="00102BF4"/>
    <w:rsid w:val="00105438"/>
    <w:rsid w:val="0010696F"/>
    <w:rsid w:val="00111AE5"/>
    <w:rsid w:val="00112B96"/>
    <w:rsid w:val="00115EB1"/>
    <w:rsid w:val="0012128C"/>
    <w:rsid w:val="00121D23"/>
    <w:rsid w:val="001248A3"/>
    <w:rsid w:val="00124F32"/>
    <w:rsid w:val="001252C2"/>
    <w:rsid w:val="0012584A"/>
    <w:rsid w:val="00126483"/>
    <w:rsid w:val="00126A4E"/>
    <w:rsid w:val="00127CC8"/>
    <w:rsid w:val="0013046A"/>
    <w:rsid w:val="0013080C"/>
    <w:rsid w:val="0013087E"/>
    <w:rsid w:val="00130B15"/>
    <w:rsid w:val="00133198"/>
    <w:rsid w:val="00133C60"/>
    <w:rsid w:val="00136D56"/>
    <w:rsid w:val="001379BA"/>
    <w:rsid w:val="0014398A"/>
    <w:rsid w:val="001475F6"/>
    <w:rsid w:val="001476F5"/>
    <w:rsid w:val="00150EC7"/>
    <w:rsid w:val="00152436"/>
    <w:rsid w:val="00152F83"/>
    <w:rsid w:val="00153516"/>
    <w:rsid w:val="00154BE6"/>
    <w:rsid w:val="00155EF5"/>
    <w:rsid w:val="00156F17"/>
    <w:rsid w:val="00160367"/>
    <w:rsid w:val="00161B73"/>
    <w:rsid w:val="00161E02"/>
    <w:rsid w:val="00161EE3"/>
    <w:rsid w:val="00163256"/>
    <w:rsid w:val="00163CC0"/>
    <w:rsid w:val="0016455B"/>
    <w:rsid w:val="00165364"/>
    <w:rsid w:val="00167F2B"/>
    <w:rsid w:val="0017179F"/>
    <w:rsid w:val="00171812"/>
    <w:rsid w:val="00172149"/>
    <w:rsid w:val="00173499"/>
    <w:rsid w:val="00174F03"/>
    <w:rsid w:val="00175673"/>
    <w:rsid w:val="00176431"/>
    <w:rsid w:val="00181C0B"/>
    <w:rsid w:val="001822FC"/>
    <w:rsid w:val="0018290E"/>
    <w:rsid w:val="00182AE8"/>
    <w:rsid w:val="001835E1"/>
    <w:rsid w:val="00183C8E"/>
    <w:rsid w:val="00184950"/>
    <w:rsid w:val="00187474"/>
    <w:rsid w:val="001926AE"/>
    <w:rsid w:val="00192BEF"/>
    <w:rsid w:val="001937FB"/>
    <w:rsid w:val="001946B1"/>
    <w:rsid w:val="00194E14"/>
    <w:rsid w:val="001965AF"/>
    <w:rsid w:val="00196D7C"/>
    <w:rsid w:val="00197A23"/>
    <w:rsid w:val="001A13D5"/>
    <w:rsid w:val="001A3026"/>
    <w:rsid w:val="001A4516"/>
    <w:rsid w:val="001A4B5E"/>
    <w:rsid w:val="001A550C"/>
    <w:rsid w:val="001A573F"/>
    <w:rsid w:val="001A5C3F"/>
    <w:rsid w:val="001A6410"/>
    <w:rsid w:val="001A64C6"/>
    <w:rsid w:val="001A7081"/>
    <w:rsid w:val="001A70AD"/>
    <w:rsid w:val="001A73E3"/>
    <w:rsid w:val="001B03AC"/>
    <w:rsid w:val="001B238D"/>
    <w:rsid w:val="001B242B"/>
    <w:rsid w:val="001B2AFC"/>
    <w:rsid w:val="001B45F2"/>
    <w:rsid w:val="001B4ACB"/>
    <w:rsid w:val="001B5E15"/>
    <w:rsid w:val="001B75E6"/>
    <w:rsid w:val="001B792D"/>
    <w:rsid w:val="001B7D84"/>
    <w:rsid w:val="001C1257"/>
    <w:rsid w:val="001C2942"/>
    <w:rsid w:val="001C295C"/>
    <w:rsid w:val="001C2E2C"/>
    <w:rsid w:val="001C64DB"/>
    <w:rsid w:val="001C6B19"/>
    <w:rsid w:val="001C6C57"/>
    <w:rsid w:val="001D0A48"/>
    <w:rsid w:val="001D0AF0"/>
    <w:rsid w:val="001D0FE0"/>
    <w:rsid w:val="001D11CE"/>
    <w:rsid w:val="001D16C2"/>
    <w:rsid w:val="001D1B62"/>
    <w:rsid w:val="001D3F48"/>
    <w:rsid w:val="001D483C"/>
    <w:rsid w:val="001D54AF"/>
    <w:rsid w:val="001E37BA"/>
    <w:rsid w:val="001E3A20"/>
    <w:rsid w:val="001E3AE3"/>
    <w:rsid w:val="001E436C"/>
    <w:rsid w:val="001E7002"/>
    <w:rsid w:val="001E7CA0"/>
    <w:rsid w:val="001F0078"/>
    <w:rsid w:val="001F2B40"/>
    <w:rsid w:val="001F4083"/>
    <w:rsid w:val="001F60D5"/>
    <w:rsid w:val="001F627F"/>
    <w:rsid w:val="001F6E49"/>
    <w:rsid w:val="001F7023"/>
    <w:rsid w:val="00200174"/>
    <w:rsid w:val="0020165C"/>
    <w:rsid w:val="00204D8E"/>
    <w:rsid w:val="0020665C"/>
    <w:rsid w:val="002067A1"/>
    <w:rsid w:val="00210392"/>
    <w:rsid w:val="00211BAC"/>
    <w:rsid w:val="002154B2"/>
    <w:rsid w:val="00215C1E"/>
    <w:rsid w:val="00216837"/>
    <w:rsid w:val="00216BB5"/>
    <w:rsid w:val="002170D6"/>
    <w:rsid w:val="002203EA"/>
    <w:rsid w:val="0022055B"/>
    <w:rsid w:val="0022067C"/>
    <w:rsid w:val="002207C3"/>
    <w:rsid w:val="0022370C"/>
    <w:rsid w:val="0022428B"/>
    <w:rsid w:val="00224D3E"/>
    <w:rsid w:val="002257FA"/>
    <w:rsid w:val="00225AB8"/>
    <w:rsid w:val="0022619C"/>
    <w:rsid w:val="00227D72"/>
    <w:rsid w:val="00230B1A"/>
    <w:rsid w:val="002310B4"/>
    <w:rsid w:val="002311FF"/>
    <w:rsid w:val="00231D53"/>
    <w:rsid w:val="00234F86"/>
    <w:rsid w:val="00235694"/>
    <w:rsid w:val="002378D5"/>
    <w:rsid w:val="00237E59"/>
    <w:rsid w:val="00241BD5"/>
    <w:rsid w:val="0024233E"/>
    <w:rsid w:val="00243BAC"/>
    <w:rsid w:val="00244BD6"/>
    <w:rsid w:val="00245A56"/>
    <w:rsid w:val="002466F4"/>
    <w:rsid w:val="0025038B"/>
    <w:rsid w:val="002506E6"/>
    <w:rsid w:val="00250858"/>
    <w:rsid w:val="002522C9"/>
    <w:rsid w:val="00252352"/>
    <w:rsid w:val="00255067"/>
    <w:rsid w:val="0025738E"/>
    <w:rsid w:val="002574CF"/>
    <w:rsid w:val="002628B9"/>
    <w:rsid w:val="002635D8"/>
    <w:rsid w:val="002644BC"/>
    <w:rsid w:val="00264B03"/>
    <w:rsid w:val="00265769"/>
    <w:rsid w:val="00270E6F"/>
    <w:rsid w:val="00270FD7"/>
    <w:rsid w:val="00272BAB"/>
    <w:rsid w:val="0027323D"/>
    <w:rsid w:val="00273D84"/>
    <w:rsid w:val="0027474D"/>
    <w:rsid w:val="00274A7E"/>
    <w:rsid w:val="00275E2C"/>
    <w:rsid w:val="0027624D"/>
    <w:rsid w:val="00276918"/>
    <w:rsid w:val="00276ED1"/>
    <w:rsid w:val="0027792C"/>
    <w:rsid w:val="00284768"/>
    <w:rsid w:val="0028484F"/>
    <w:rsid w:val="002856F0"/>
    <w:rsid w:val="00285AF5"/>
    <w:rsid w:val="0028709C"/>
    <w:rsid w:val="002913D0"/>
    <w:rsid w:val="00291D75"/>
    <w:rsid w:val="0029371D"/>
    <w:rsid w:val="00293F34"/>
    <w:rsid w:val="00295B67"/>
    <w:rsid w:val="0029708E"/>
    <w:rsid w:val="002A2C2E"/>
    <w:rsid w:val="002A4B6C"/>
    <w:rsid w:val="002A7EE9"/>
    <w:rsid w:val="002B0ECF"/>
    <w:rsid w:val="002B166E"/>
    <w:rsid w:val="002B7CE7"/>
    <w:rsid w:val="002C12FA"/>
    <w:rsid w:val="002C1979"/>
    <w:rsid w:val="002C21F9"/>
    <w:rsid w:val="002C23B7"/>
    <w:rsid w:val="002C26EB"/>
    <w:rsid w:val="002C321E"/>
    <w:rsid w:val="002C3770"/>
    <w:rsid w:val="002C42E0"/>
    <w:rsid w:val="002C4745"/>
    <w:rsid w:val="002C4B0C"/>
    <w:rsid w:val="002C4F1C"/>
    <w:rsid w:val="002C518C"/>
    <w:rsid w:val="002C53DD"/>
    <w:rsid w:val="002C6F5A"/>
    <w:rsid w:val="002C7997"/>
    <w:rsid w:val="002C7B46"/>
    <w:rsid w:val="002D0DA1"/>
    <w:rsid w:val="002D0F51"/>
    <w:rsid w:val="002D12AC"/>
    <w:rsid w:val="002D27DC"/>
    <w:rsid w:val="002D4621"/>
    <w:rsid w:val="002E0043"/>
    <w:rsid w:val="002E029C"/>
    <w:rsid w:val="002E40A2"/>
    <w:rsid w:val="002E47B4"/>
    <w:rsid w:val="002E5671"/>
    <w:rsid w:val="002E7C0C"/>
    <w:rsid w:val="002F105C"/>
    <w:rsid w:val="002F11A3"/>
    <w:rsid w:val="002F26A9"/>
    <w:rsid w:val="002F3610"/>
    <w:rsid w:val="002F3FE5"/>
    <w:rsid w:val="002F4E8C"/>
    <w:rsid w:val="002F6081"/>
    <w:rsid w:val="002F66AC"/>
    <w:rsid w:val="0030104F"/>
    <w:rsid w:val="0030114D"/>
    <w:rsid w:val="00301498"/>
    <w:rsid w:val="00302B74"/>
    <w:rsid w:val="003032B7"/>
    <w:rsid w:val="0030390D"/>
    <w:rsid w:val="0030550A"/>
    <w:rsid w:val="00306DD7"/>
    <w:rsid w:val="0030734B"/>
    <w:rsid w:val="00311969"/>
    <w:rsid w:val="00311B2F"/>
    <w:rsid w:val="0031272B"/>
    <w:rsid w:val="003129E8"/>
    <w:rsid w:val="003135E2"/>
    <w:rsid w:val="00313644"/>
    <w:rsid w:val="00315AB7"/>
    <w:rsid w:val="003161A3"/>
    <w:rsid w:val="00316A0B"/>
    <w:rsid w:val="00324AFE"/>
    <w:rsid w:val="00324D0F"/>
    <w:rsid w:val="003259CD"/>
    <w:rsid w:val="0032657A"/>
    <w:rsid w:val="00333E01"/>
    <w:rsid w:val="00335017"/>
    <w:rsid w:val="0033626F"/>
    <w:rsid w:val="00340DAD"/>
    <w:rsid w:val="003419BE"/>
    <w:rsid w:val="00343E24"/>
    <w:rsid w:val="00344A93"/>
    <w:rsid w:val="00345971"/>
    <w:rsid w:val="003459E6"/>
    <w:rsid w:val="00345DE6"/>
    <w:rsid w:val="0034647B"/>
    <w:rsid w:val="003468D2"/>
    <w:rsid w:val="00350382"/>
    <w:rsid w:val="00350891"/>
    <w:rsid w:val="00353DC2"/>
    <w:rsid w:val="00355210"/>
    <w:rsid w:val="00356017"/>
    <w:rsid w:val="00357F8C"/>
    <w:rsid w:val="00362067"/>
    <w:rsid w:val="00362839"/>
    <w:rsid w:val="0036318A"/>
    <w:rsid w:val="0036440B"/>
    <w:rsid w:val="00366152"/>
    <w:rsid w:val="00374640"/>
    <w:rsid w:val="0037707D"/>
    <w:rsid w:val="00377407"/>
    <w:rsid w:val="00377531"/>
    <w:rsid w:val="00381BB7"/>
    <w:rsid w:val="0038391A"/>
    <w:rsid w:val="00383B74"/>
    <w:rsid w:val="00384319"/>
    <w:rsid w:val="00384EAE"/>
    <w:rsid w:val="00386730"/>
    <w:rsid w:val="00387CCC"/>
    <w:rsid w:val="00391C77"/>
    <w:rsid w:val="00392734"/>
    <w:rsid w:val="00392B5E"/>
    <w:rsid w:val="00392C05"/>
    <w:rsid w:val="00393618"/>
    <w:rsid w:val="00393D41"/>
    <w:rsid w:val="003942ED"/>
    <w:rsid w:val="00395845"/>
    <w:rsid w:val="003963D5"/>
    <w:rsid w:val="0039761A"/>
    <w:rsid w:val="003A0DE6"/>
    <w:rsid w:val="003A1B51"/>
    <w:rsid w:val="003A2470"/>
    <w:rsid w:val="003A304A"/>
    <w:rsid w:val="003A4329"/>
    <w:rsid w:val="003A47D4"/>
    <w:rsid w:val="003A4ABF"/>
    <w:rsid w:val="003A648E"/>
    <w:rsid w:val="003A66D0"/>
    <w:rsid w:val="003A7DD4"/>
    <w:rsid w:val="003B1D4D"/>
    <w:rsid w:val="003B1D79"/>
    <w:rsid w:val="003B3615"/>
    <w:rsid w:val="003B384E"/>
    <w:rsid w:val="003B3D5E"/>
    <w:rsid w:val="003B44BB"/>
    <w:rsid w:val="003B51DE"/>
    <w:rsid w:val="003C0071"/>
    <w:rsid w:val="003C1A85"/>
    <w:rsid w:val="003C27C4"/>
    <w:rsid w:val="003C3A3C"/>
    <w:rsid w:val="003C468B"/>
    <w:rsid w:val="003C48C5"/>
    <w:rsid w:val="003C5915"/>
    <w:rsid w:val="003C5980"/>
    <w:rsid w:val="003C6DFA"/>
    <w:rsid w:val="003D04BC"/>
    <w:rsid w:val="003D36AD"/>
    <w:rsid w:val="003D3F36"/>
    <w:rsid w:val="003D5191"/>
    <w:rsid w:val="003D5828"/>
    <w:rsid w:val="003D60B8"/>
    <w:rsid w:val="003D6579"/>
    <w:rsid w:val="003E04D8"/>
    <w:rsid w:val="003E1686"/>
    <w:rsid w:val="003E24CE"/>
    <w:rsid w:val="003E3441"/>
    <w:rsid w:val="003E3941"/>
    <w:rsid w:val="003E540D"/>
    <w:rsid w:val="003E5998"/>
    <w:rsid w:val="003E7422"/>
    <w:rsid w:val="003E7CF9"/>
    <w:rsid w:val="003E7D3D"/>
    <w:rsid w:val="003E7E0A"/>
    <w:rsid w:val="003F0439"/>
    <w:rsid w:val="003F0CBE"/>
    <w:rsid w:val="003F2817"/>
    <w:rsid w:val="003F3107"/>
    <w:rsid w:val="003F3160"/>
    <w:rsid w:val="003F3419"/>
    <w:rsid w:val="003F3DED"/>
    <w:rsid w:val="003F49E6"/>
    <w:rsid w:val="003F4FFF"/>
    <w:rsid w:val="003F57BD"/>
    <w:rsid w:val="003F5B70"/>
    <w:rsid w:val="004018B3"/>
    <w:rsid w:val="0040323C"/>
    <w:rsid w:val="004036F7"/>
    <w:rsid w:val="00403978"/>
    <w:rsid w:val="00403FBE"/>
    <w:rsid w:val="00405702"/>
    <w:rsid w:val="004078BB"/>
    <w:rsid w:val="00407E31"/>
    <w:rsid w:val="004117E0"/>
    <w:rsid w:val="00413149"/>
    <w:rsid w:val="0041339D"/>
    <w:rsid w:val="004148A5"/>
    <w:rsid w:val="00415754"/>
    <w:rsid w:val="004162E3"/>
    <w:rsid w:val="004203DD"/>
    <w:rsid w:val="00421ED8"/>
    <w:rsid w:val="0042297B"/>
    <w:rsid w:val="00422F19"/>
    <w:rsid w:val="00423B48"/>
    <w:rsid w:val="00424FB4"/>
    <w:rsid w:val="00425CE6"/>
    <w:rsid w:val="00425FE9"/>
    <w:rsid w:val="00427131"/>
    <w:rsid w:val="00427D15"/>
    <w:rsid w:val="004304AE"/>
    <w:rsid w:val="00431602"/>
    <w:rsid w:val="004323E9"/>
    <w:rsid w:val="00432C65"/>
    <w:rsid w:val="00432CD8"/>
    <w:rsid w:val="004339ED"/>
    <w:rsid w:val="00433B89"/>
    <w:rsid w:val="0043466C"/>
    <w:rsid w:val="00434DD9"/>
    <w:rsid w:val="00435469"/>
    <w:rsid w:val="00435C34"/>
    <w:rsid w:val="00436F7E"/>
    <w:rsid w:val="00437947"/>
    <w:rsid w:val="00440771"/>
    <w:rsid w:val="00440AAD"/>
    <w:rsid w:val="0044128D"/>
    <w:rsid w:val="004419D3"/>
    <w:rsid w:val="0044295D"/>
    <w:rsid w:val="00442BCF"/>
    <w:rsid w:val="0044337C"/>
    <w:rsid w:val="00445790"/>
    <w:rsid w:val="004464AA"/>
    <w:rsid w:val="00446895"/>
    <w:rsid w:val="00450273"/>
    <w:rsid w:val="004509A5"/>
    <w:rsid w:val="004517E4"/>
    <w:rsid w:val="00451B66"/>
    <w:rsid w:val="00451D6B"/>
    <w:rsid w:val="00453A77"/>
    <w:rsid w:val="00454170"/>
    <w:rsid w:val="004551F3"/>
    <w:rsid w:val="00455856"/>
    <w:rsid w:val="004563F1"/>
    <w:rsid w:val="00456EE0"/>
    <w:rsid w:val="004602EC"/>
    <w:rsid w:val="004610EA"/>
    <w:rsid w:val="004617A6"/>
    <w:rsid w:val="0046239D"/>
    <w:rsid w:val="004628C3"/>
    <w:rsid w:val="0046329A"/>
    <w:rsid w:val="0046498A"/>
    <w:rsid w:val="00465F2E"/>
    <w:rsid w:val="00467FE9"/>
    <w:rsid w:val="00474025"/>
    <w:rsid w:val="00474E68"/>
    <w:rsid w:val="00475E34"/>
    <w:rsid w:val="00476B67"/>
    <w:rsid w:val="0048008C"/>
    <w:rsid w:val="004809C9"/>
    <w:rsid w:val="00480BAD"/>
    <w:rsid w:val="00480C7E"/>
    <w:rsid w:val="0048184C"/>
    <w:rsid w:val="00486B45"/>
    <w:rsid w:val="00486CF9"/>
    <w:rsid w:val="00487828"/>
    <w:rsid w:val="00487D95"/>
    <w:rsid w:val="0049107A"/>
    <w:rsid w:val="00492048"/>
    <w:rsid w:val="00493555"/>
    <w:rsid w:val="004967A2"/>
    <w:rsid w:val="004967EC"/>
    <w:rsid w:val="00497CD3"/>
    <w:rsid w:val="004A0C0C"/>
    <w:rsid w:val="004A2D46"/>
    <w:rsid w:val="004A3A35"/>
    <w:rsid w:val="004A46C4"/>
    <w:rsid w:val="004A6FCA"/>
    <w:rsid w:val="004A74F0"/>
    <w:rsid w:val="004B0F48"/>
    <w:rsid w:val="004B2B9D"/>
    <w:rsid w:val="004B2CFB"/>
    <w:rsid w:val="004B4489"/>
    <w:rsid w:val="004B506E"/>
    <w:rsid w:val="004B65B8"/>
    <w:rsid w:val="004C0667"/>
    <w:rsid w:val="004C2227"/>
    <w:rsid w:val="004C3412"/>
    <w:rsid w:val="004C4DAB"/>
    <w:rsid w:val="004C4E2A"/>
    <w:rsid w:val="004C56D1"/>
    <w:rsid w:val="004C572C"/>
    <w:rsid w:val="004C576E"/>
    <w:rsid w:val="004C686B"/>
    <w:rsid w:val="004C6B9C"/>
    <w:rsid w:val="004D0E10"/>
    <w:rsid w:val="004D2C76"/>
    <w:rsid w:val="004D476D"/>
    <w:rsid w:val="004D58D5"/>
    <w:rsid w:val="004D71AF"/>
    <w:rsid w:val="004D7301"/>
    <w:rsid w:val="004E43A4"/>
    <w:rsid w:val="004F07B1"/>
    <w:rsid w:val="004F12E7"/>
    <w:rsid w:val="004F1DB8"/>
    <w:rsid w:val="004F2381"/>
    <w:rsid w:val="004F2BFC"/>
    <w:rsid w:val="004F3292"/>
    <w:rsid w:val="004F3EDB"/>
    <w:rsid w:val="004F55EC"/>
    <w:rsid w:val="004F588A"/>
    <w:rsid w:val="004F61DD"/>
    <w:rsid w:val="004F6640"/>
    <w:rsid w:val="00501673"/>
    <w:rsid w:val="00502569"/>
    <w:rsid w:val="005035F8"/>
    <w:rsid w:val="00506204"/>
    <w:rsid w:val="0050658E"/>
    <w:rsid w:val="00511171"/>
    <w:rsid w:val="005136CC"/>
    <w:rsid w:val="00513858"/>
    <w:rsid w:val="00514B37"/>
    <w:rsid w:val="00514EEC"/>
    <w:rsid w:val="00515715"/>
    <w:rsid w:val="00516A96"/>
    <w:rsid w:val="00521874"/>
    <w:rsid w:val="00521920"/>
    <w:rsid w:val="005232F7"/>
    <w:rsid w:val="005246B1"/>
    <w:rsid w:val="00527A8C"/>
    <w:rsid w:val="00530281"/>
    <w:rsid w:val="00530B04"/>
    <w:rsid w:val="00530D89"/>
    <w:rsid w:val="00531E03"/>
    <w:rsid w:val="005346A6"/>
    <w:rsid w:val="0053683E"/>
    <w:rsid w:val="005374AC"/>
    <w:rsid w:val="00537B0D"/>
    <w:rsid w:val="005403E8"/>
    <w:rsid w:val="00542990"/>
    <w:rsid w:val="00542A98"/>
    <w:rsid w:val="00542F66"/>
    <w:rsid w:val="005453C5"/>
    <w:rsid w:val="00545890"/>
    <w:rsid w:val="0054599C"/>
    <w:rsid w:val="00545A84"/>
    <w:rsid w:val="005471B9"/>
    <w:rsid w:val="00547480"/>
    <w:rsid w:val="00551046"/>
    <w:rsid w:val="0055169D"/>
    <w:rsid w:val="00551EF3"/>
    <w:rsid w:val="005521E2"/>
    <w:rsid w:val="00553781"/>
    <w:rsid w:val="00553DCA"/>
    <w:rsid w:val="00554084"/>
    <w:rsid w:val="00554611"/>
    <w:rsid w:val="005565EE"/>
    <w:rsid w:val="00557DCD"/>
    <w:rsid w:val="00557E24"/>
    <w:rsid w:val="00560593"/>
    <w:rsid w:val="00560E6F"/>
    <w:rsid w:val="0056163A"/>
    <w:rsid w:val="00562217"/>
    <w:rsid w:val="00563BE5"/>
    <w:rsid w:val="00563E95"/>
    <w:rsid w:val="005644EF"/>
    <w:rsid w:val="00567397"/>
    <w:rsid w:val="005702B7"/>
    <w:rsid w:val="00571DF6"/>
    <w:rsid w:val="00574FBD"/>
    <w:rsid w:val="005759FD"/>
    <w:rsid w:val="005773BB"/>
    <w:rsid w:val="00585C83"/>
    <w:rsid w:val="00586604"/>
    <w:rsid w:val="00586E35"/>
    <w:rsid w:val="00590C2E"/>
    <w:rsid w:val="005910C8"/>
    <w:rsid w:val="00591D1C"/>
    <w:rsid w:val="00592F58"/>
    <w:rsid w:val="00594B8D"/>
    <w:rsid w:val="00597C03"/>
    <w:rsid w:val="005A1F9D"/>
    <w:rsid w:val="005A21F6"/>
    <w:rsid w:val="005A2F5D"/>
    <w:rsid w:val="005A3157"/>
    <w:rsid w:val="005A3798"/>
    <w:rsid w:val="005A5726"/>
    <w:rsid w:val="005A61F0"/>
    <w:rsid w:val="005A67E5"/>
    <w:rsid w:val="005A7302"/>
    <w:rsid w:val="005A7C16"/>
    <w:rsid w:val="005B0F9F"/>
    <w:rsid w:val="005B5BB4"/>
    <w:rsid w:val="005B7208"/>
    <w:rsid w:val="005C2844"/>
    <w:rsid w:val="005C409E"/>
    <w:rsid w:val="005C53C5"/>
    <w:rsid w:val="005C6D98"/>
    <w:rsid w:val="005C73FB"/>
    <w:rsid w:val="005C7752"/>
    <w:rsid w:val="005C7F3F"/>
    <w:rsid w:val="005D4792"/>
    <w:rsid w:val="005D6266"/>
    <w:rsid w:val="005E08E0"/>
    <w:rsid w:val="005E2187"/>
    <w:rsid w:val="005E3490"/>
    <w:rsid w:val="005E3C06"/>
    <w:rsid w:val="005E4134"/>
    <w:rsid w:val="005E4ABC"/>
    <w:rsid w:val="005E4FE9"/>
    <w:rsid w:val="005E5696"/>
    <w:rsid w:val="005F19E0"/>
    <w:rsid w:val="005F3E20"/>
    <w:rsid w:val="005F57B5"/>
    <w:rsid w:val="005F5A76"/>
    <w:rsid w:val="005F71EC"/>
    <w:rsid w:val="005F7AA1"/>
    <w:rsid w:val="006009E6"/>
    <w:rsid w:val="0060384F"/>
    <w:rsid w:val="00604FAE"/>
    <w:rsid w:val="00607605"/>
    <w:rsid w:val="0061001E"/>
    <w:rsid w:val="00610B3C"/>
    <w:rsid w:val="00612869"/>
    <w:rsid w:val="006132A6"/>
    <w:rsid w:val="006146EE"/>
    <w:rsid w:val="00617AD5"/>
    <w:rsid w:val="00622319"/>
    <w:rsid w:val="00623394"/>
    <w:rsid w:val="0062416A"/>
    <w:rsid w:val="00624EFB"/>
    <w:rsid w:val="00625623"/>
    <w:rsid w:val="00625FB3"/>
    <w:rsid w:val="00626052"/>
    <w:rsid w:val="00626129"/>
    <w:rsid w:val="00632A52"/>
    <w:rsid w:val="00634414"/>
    <w:rsid w:val="00636012"/>
    <w:rsid w:val="00636987"/>
    <w:rsid w:val="006403DD"/>
    <w:rsid w:val="00640AE6"/>
    <w:rsid w:val="00640BB6"/>
    <w:rsid w:val="00642FCD"/>
    <w:rsid w:val="006433B2"/>
    <w:rsid w:val="00643E1F"/>
    <w:rsid w:val="00646C25"/>
    <w:rsid w:val="00650CAA"/>
    <w:rsid w:val="0065193C"/>
    <w:rsid w:val="00652691"/>
    <w:rsid w:val="00652DD9"/>
    <w:rsid w:val="00652E68"/>
    <w:rsid w:val="00654145"/>
    <w:rsid w:val="006559C8"/>
    <w:rsid w:val="00657405"/>
    <w:rsid w:val="00660047"/>
    <w:rsid w:val="006605C2"/>
    <w:rsid w:val="00661864"/>
    <w:rsid w:val="00663837"/>
    <w:rsid w:val="00663A00"/>
    <w:rsid w:val="00663B07"/>
    <w:rsid w:val="006646F9"/>
    <w:rsid w:val="00664FA6"/>
    <w:rsid w:val="00665845"/>
    <w:rsid w:val="0066632E"/>
    <w:rsid w:val="0066794C"/>
    <w:rsid w:val="00670235"/>
    <w:rsid w:val="006706DC"/>
    <w:rsid w:val="00671BB1"/>
    <w:rsid w:val="00672230"/>
    <w:rsid w:val="0067643C"/>
    <w:rsid w:val="0067673E"/>
    <w:rsid w:val="00681E5C"/>
    <w:rsid w:val="00681F38"/>
    <w:rsid w:val="00682637"/>
    <w:rsid w:val="006832A4"/>
    <w:rsid w:val="0068391C"/>
    <w:rsid w:val="0068419D"/>
    <w:rsid w:val="006846E9"/>
    <w:rsid w:val="006872DB"/>
    <w:rsid w:val="00691999"/>
    <w:rsid w:val="00695D47"/>
    <w:rsid w:val="00695ED2"/>
    <w:rsid w:val="006973F2"/>
    <w:rsid w:val="0069784E"/>
    <w:rsid w:val="006A0D9C"/>
    <w:rsid w:val="006A1022"/>
    <w:rsid w:val="006A1A83"/>
    <w:rsid w:val="006A1D1B"/>
    <w:rsid w:val="006A2042"/>
    <w:rsid w:val="006A2C4B"/>
    <w:rsid w:val="006A541C"/>
    <w:rsid w:val="006A55D2"/>
    <w:rsid w:val="006A60EC"/>
    <w:rsid w:val="006A63D0"/>
    <w:rsid w:val="006A644D"/>
    <w:rsid w:val="006B229A"/>
    <w:rsid w:val="006B3C75"/>
    <w:rsid w:val="006B42B8"/>
    <w:rsid w:val="006B50B9"/>
    <w:rsid w:val="006B6104"/>
    <w:rsid w:val="006B6240"/>
    <w:rsid w:val="006B6E87"/>
    <w:rsid w:val="006B7290"/>
    <w:rsid w:val="006B763D"/>
    <w:rsid w:val="006B7BC4"/>
    <w:rsid w:val="006B7EDD"/>
    <w:rsid w:val="006C1C28"/>
    <w:rsid w:val="006C20DF"/>
    <w:rsid w:val="006C2F62"/>
    <w:rsid w:val="006C31AA"/>
    <w:rsid w:val="006C5E5C"/>
    <w:rsid w:val="006C6D55"/>
    <w:rsid w:val="006D0365"/>
    <w:rsid w:val="006D037D"/>
    <w:rsid w:val="006D2068"/>
    <w:rsid w:val="006D249D"/>
    <w:rsid w:val="006D3725"/>
    <w:rsid w:val="006D4AE1"/>
    <w:rsid w:val="006D52A7"/>
    <w:rsid w:val="006D52D8"/>
    <w:rsid w:val="006D5AAB"/>
    <w:rsid w:val="006D675F"/>
    <w:rsid w:val="006D7A90"/>
    <w:rsid w:val="006E0111"/>
    <w:rsid w:val="006E08CC"/>
    <w:rsid w:val="006E1548"/>
    <w:rsid w:val="006E227A"/>
    <w:rsid w:val="006E3709"/>
    <w:rsid w:val="006E3C13"/>
    <w:rsid w:val="006F0139"/>
    <w:rsid w:val="006F214B"/>
    <w:rsid w:val="006F2498"/>
    <w:rsid w:val="006F28C7"/>
    <w:rsid w:val="006F4D73"/>
    <w:rsid w:val="006F52ED"/>
    <w:rsid w:val="006F5B88"/>
    <w:rsid w:val="007001DD"/>
    <w:rsid w:val="00700F12"/>
    <w:rsid w:val="0070443C"/>
    <w:rsid w:val="007057D3"/>
    <w:rsid w:val="00706992"/>
    <w:rsid w:val="00706C40"/>
    <w:rsid w:val="00706CFB"/>
    <w:rsid w:val="00711407"/>
    <w:rsid w:val="00712407"/>
    <w:rsid w:val="00712477"/>
    <w:rsid w:val="00721A54"/>
    <w:rsid w:val="00721C75"/>
    <w:rsid w:val="007228DB"/>
    <w:rsid w:val="0072318A"/>
    <w:rsid w:val="00723862"/>
    <w:rsid w:val="00726983"/>
    <w:rsid w:val="0072705B"/>
    <w:rsid w:val="00730011"/>
    <w:rsid w:val="00731859"/>
    <w:rsid w:val="00732CD0"/>
    <w:rsid w:val="00733275"/>
    <w:rsid w:val="00735A4C"/>
    <w:rsid w:val="00735CB1"/>
    <w:rsid w:val="00735CF0"/>
    <w:rsid w:val="00736D00"/>
    <w:rsid w:val="007407BB"/>
    <w:rsid w:val="00740904"/>
    <w:rsid w:val="00741B0E"/>
    <w:rsid w:val="00741F74"/>
    <w:rsid w:val="00742672"/>
    <w:rsid w:val="00742E8A"/>
    <w:rsid w:val="00742F07"/>
    <w:rsid w:val="007431B7"/>
    <w:rsid w:val="0074506B"/>
    <w:rsid w:val="00745482"/>
    <w:rsid w:val="007459F5"/>
    <w:rsid w:val="00746DDC"/>
    <w:rsid w:val="007475AA"/>
    <w:rsid w:val="00750504"/>
    <w:rsid w:val="0075061C"/>
    <w:rsid w:val="00752B28"/>
    <w:rsid w:val="00754727"/>
    <w:rsid w:val="00754D25"/>
    <w:rsid w:val="00755961"/>
    <w:rsid w:val="00756A18"/>
    <w:rsid w:val="00757590"/>
    <w:rsid w:val="00757EA6"/>
    <w:rsid w:val="00760AF9"/>
    <w:rsid w:val="007645C6"/>
    <w:rsid w:val="007652CE"/>
    <w:rsid w:val="0076572D"/>
    <w:rsid w:val="00765936"/>
    <w:rsid w:val="00766C83"/>
    <w:rsid w:val="00767D6C"/>
    <w:rsid w:val="0077091B"/>
    <w:rsid w:val="00770A1E"/>
    <w:rsid w:val="0077416A"/>
    <w:rsid w:val="0077569C"/>
    <w:rsid w:val="00775A32"/>
    <w:rsid w:val="00777BE6"/>
    <w:rsid w:val="0078146F"/>
    <w:rsid w:val="007816ED"/>
    <w:rsid w:val="007821CF"/>
    <w:rsid w:val="00783DAC"/>
    <w:rsid w:val="00784500"/>
    <w:rsid w:val="00785112"/>
    <w:rsid w:val="00786700"/>
    <w:rsid w:val="00786F05"/>
    <w:rsid w:val="007878B9"/>
    <w:rsid w:val="007931BC"/>
    <w:rsid w:val="00793646"/>
    <w:rsid w:val="00794E75"/>
    <w:rsid w:val="0079521E"/>
    <w:rsid w:val="00796071"/>
    <w:rsid w:val="00796D77"/>
    <w:rsid w:val="00797066"/>
    <w:rsid w:val="00797ECA"/>
    <w:rsid w:val="007A0CB6"/>
    <w:rsid w:val="007A1510"/>
    <w:rsid w:val="007A2A41"/>
    <w:rsid w:val="007A3125"/>
    <w:rsid w:val="007A4D97"/>
    <w:rsid w:val="007A5289"/>
    <w:rsid w:val="007A5D2F"/>
    <w:rsid w:val="007A67A0"/>
    <w:rsid w:val="007A768C"/>
    <w:rsid w:val="007A7848"/>
    <w:rsid w:val="007A7853"/>
    <w:rsid w:val="007B2BAC"/>
    <w:rsid w:val="007B2CAC"/>
    <w:rsid w:val="007B44FB"/>
    <w:rsid w:val="007B4970"/>
    <w:rsid w:val="007B4F0C"/>
    <w:rsid w:val="007B5C33"/>
    <w:rsid w:val="007C0E38"/>
    <w:rsid w:val="007C1421"/>
    <w:rsid w:val="007C18E3"/>
    <w:rsid w:val="007C1DEB"/>
    <w:rsid w:val="007C459A"/>
    <w:rsid w:val="007C4E08"/>
    <w:rsid w:val="007D1C63"/>
    <w:rsid w:val="007D229A"/>
    <w:rsid w:val="007D2F4C"/>
    <w:rsid w:val="007D3DFF"/>
    <w:rsid w:val="007D3F38"/>
    <w:rsid w:val="007D451F"/>
    <w:rsid w:val="007D4DB8"/>
    <w:rsid w:val="007E2197"/>
    <w:rsid w:val="007E3304"/>
    <w:rsid w:val="007E4D1F"/>
    <w:rsid w:val="007E7CC5"/>
    <w:rsid w:val="007F14BA"/>
    <w:rsid w:val="007F1E48"/>
    <w:rsid w:val="007F34B9"/>
    <w:rsid w:val="007F3D79"/>
    <w:rsid w:val="007F40E3"/>
    <w:rsid w:val="007F4313"/>
    <w:rsid w:val="007F4605"/>
    <w:rsid w:val="007F6580"/>
    <w:rsid w:val="007F6C7D"/>
    <w:rsid w:val="00800FE4"/>
    <w:rsid w:val="00801249"/>
    <w:rsid w:val="008026F6"/>
    <w:rsid w:val="00803F84"/>
    <w:rsid w:val="008043AC"/>
    <w:rsid w:val="00805B61"/>
    <w:rsid w:val="00806070"/>
    <w:rsid w:val="00806EE8"/>
    <w:rsid w:val="00811365"/>
    <w:rsid w:val="00811D89"/>
    <w:rsid w:val="00812EE9"/>
    <w:rsid w:val="00814500"/>
    <w:rsid w:val="008148DB"/>
    <w:rsid w:val="00815281"/>
    <w:rsid w:val="008211DF"/>
    <w:rsid w:val="00822EE1"/>
    <w:rsid w:val="00822F77"/>
    <w:rsid w:val="0082354A"/>
    <w:rsid w:val="008255D2"/>
    <w:rsid w:val="00832ADC"/>
    <w:rsid w:val="00833AF7"/>
    <w:rsid w:val="00834023"/>
    <w:rsid w:val="008346D1"/>
    <w:rsid w:val="00835579"/>
    <w:rsid w:val="00836F9B"/>
    <w:rsid w:val="00836FE5"/>
    <w:rsid w:val="00837487"/>
    <w:rsid w:val="00837835"/>
    <w:rsid w:val="00840D16"/>
    <w:rsid w:val="00842088"/>
    <w:rsid w:val="00842157"/>
    <w:rsid w:val="00843B20"/>
    <w:rsid w:val="00844106"/>
    <w:rsid w:val="00844529"/>
    <w:rsid w:val="00844B27"/>
    <w:rsid w:val="00844D29"/>
    <w:rsid w:val="00846195"/>
    <w:rsid w:val="00846FA0"/>
    <w:rsid w:val="008479B6"/>
    <w:rsid w:val="00851FAF"/>
    <w:rsid w:val="00852E07"/>
    <w:rsid w:val="00855AA5"/>
    <w:rsid w:val="00856B9B"/>
    <w:rsid w:val="00857671"/>
    <w:rsid w:val="0086002F"/>
    <w:rsid w:val="0086032D"/>
    <w:rsid w:val="00861906"/>
    <w:rsid w:val="00861B01"/>
    <w:rsid w:val="00863F9D"/>
    <w:rsid w:val="00864083"/>
    <w:rsid w:val="008645F9"/>
    <w:rsid w:val="0086628A"/>
    <w:rsid w:val="00871279"/>
    <w:rsid w:val="008716A7"/>
    <w:rsid w:val="00871EB2"/>
    <w:rsid w:val="008723F6"/>
    <w:rsid w:val="00872913"/>
    <w:rsid w:val="00873F82"/>
    <w:rsid w:val="00874B7B"/>
    <w:rsid w:val="00874F25"/>
    <w:rsid w:val="00875B3F"/>
    <w:rsid w:val="00880CA5"/>
    <w:rsid w:val="008814EE"/>
    <w:rsid w:val="00881640"/>
    <w:rsid w:val="008817B1"/>
    <w:rsid w:val="008832FA"/>
    <w:rsid w:val="008834BB"/>
    <w:rsid w:val="008840FA"/>
    <w:rsid w:val="008846D2"/>
    <w:rsid w:val="00884E2F"/>
    <w:rsid w:val="00885E14"/>
    <w:rsid w:val="008862EB"/>
    <w:rsid w:val="00890F95"/>
    <w:rsid w:val="0089311A"/>
    <w:rsid w:val="0089384D"/>
    <w:rsid w:val="00893A0F"/>
    <w:rsid w:val="00893B17"/>
    <w:rsid w:val="008946C3"/>
    <w:rsid w:val="008948E0"/>
    <w:rsid w:val="0089528C"/>
    <w:rsid w:val="008A0089"/>
    <w:rsid w:val="008A1CDC"/>
    <w:rsid w:val="008A43EB"/>
    <w:rsid w:val="008A6CE2"/>
    <w:rsid w:val="008A6E15"/>
    <w:rsid w:val="008B034D"/>
    <w:rsid w:val="008B0BBC"/>
    <w:rsid w:val="008B13FB"/>
    <w:rsid w:val="008B245C"/>
    <w:rsid w:val="008B4153"/>
    <w:rsid w:val="008B4B9E"/>
    <w:rsid w:val="008B4F64"/>
    <w:rsid w:val="008B5356"/>
    <w:rsid w:val="008B609A"/>
    <w:rsid w:val="008B7927"/>
    <w:rsid w:val="008C04C6"/>
    <w:rsid w:val="008C0F09"/>
    <w:rsid w:val="008C4770"/>
    <w:rsid w:val="008C6AD1"/>
    <w:rsid w:val="008C71B5"/>
    <w:rsid w:val="008E0A03"/>
    <w:rsid w:val="008E36B3"/>
    <w:rsid w:val="008E431F"/>
    <w:rsid w:val="008E47A3"/>
    <w:rsid w:val="008E5027"/>
    <w:rsid w:val="008E5E12"/>
    <w:rsid w:val="008E613B"/>
    <w:rsid w:val="008E6290"/>
    <w:rsid w:val="008F0D2A"/>
    <w:rsid w:val="008F12D4"/>
    <w:rsid w:val="008F161F"/>
    <w:rsid w:val="008F17A0"/>
    <w:rsid w:val="008F1814"/>
    <w:rsid w:val="008F23EF"/>
    <w:rsid w:val="008F386F"/>
    <w:rsid w:val="008F48E1"/>
    <w:rsid w:val="008F5BD0"/>
    <w:rsid w:val="008F6A71"/>
    <w:rsid w:val="008F7B36"/>
    <w:rsid w:val="009003FE"/>
    <w:rsid w:val="00901955"/>
    <w:rsid w:val="00901E21"/>
    <w:rsid w:val="00903AD6"/>
    <w:rsid w:val="00903C95"/>
    <w:rsid w:val="00904272"/>
    <w:rsid w:val="009046D4"/>
    <w:rsid w:val="00904793"/>
    <w:rsid w:val="009048C4"/>
    <w:rsid w:val="009058DB"/>
    <w:rsid w:val="00906317"/>
    <w:rsid w:val="0091026E"/>
    <w:rsid w:val="009104F7"/>
    <w:rsid w:val="0091058D"/>
    <w:rsid w:val="00911711"/>
    <w:rsid w:val="0091339B"/>
    <w:rsid w:val="00913858"/>
    <w:rsid w:val="00913A0F"/>
    <w:rsid w:val="009145B5"/>
    <w:rsid w:val="00914959"/>
    <w:rsid w:val="00914BBC"/>
    <w:rsid w:val="00915CE6"/>
    <w:rsid w:val="009162DA"/>
    <w:rsid w:val="009168A1"/>
    <w:rsid w:val="00917583"/>
    <w:rsid w:val="00917D08"/>
    <w:rsid w:val="0092106C"/>
    <w:rsid w:val="00923BC4"/>
    <w:rsid w:val="00924681"/>
    <w:rsid w:val="009251B2"/>
    <w:rsid w:val="0092622E"/>
    <w:rsid w:val="00926605"/>
    <w:rsid w:val="009304F6"/>
    <w:rsid w:val="00930877"/>
    <w:rsid w:val="00930D20"/>
    <w:rsid w:val="009313C8"/>
    <w:rsid w:val="009314F2"/>
    <w:rsid w:val="00936E2B"/>
    <w:rsid w:val="00937012"/>
    <w:rsid w:val="0094003D"/>
    <w:rsid w:val="00940DC4"/>
    <w:rsid w:val="0094273F"/>
    <w:rsid w:val="009439B0"/>
    <w:rsid w:val="0094403C"/>
    <w:rsid w:val="0094555E"/>
    <w:rsid w:val="0094574A"/>
    <w:rsid w:val="00945CB0"/>
    <w:rsid w:val="0094667E"/>
    <w:rsid w:val="00946A66"/>
    <w:rsid w:val="00951188"/>
    <w:rsid w:val="00951AF4"/>
    <w:rsid w:val="009521A6"/>
    <w:rsid w:val="0095252C"/>
    <w:rsid w:val="00954F35"/>
    <w:rsid w:val="00955164"/>
    <w:rsid w:val="00955CBA"/>
    <w:rsid w:val="00956A95"/>
    <w:rsid w:val="00960F2F"/>
    <w:rsid w:val="009634F6"/>
    <w:rsid w:val="00963B5E"/>
    <w:rsid w:val="00963FA0"/>
    <w:rsid w:val="0096491F"/>
    <w:rsid w:val="00964FCB"/>
    <w:rsid w:val="009721C4"/>
    <w:rsid w:val="009742DA"/>
    <w:rsid w:val="00974E95"/>
    <w:rsid w:val="00975F2D"/>
    <w:rsid w:val="00976408"/>
    <w:rsid w:val="0097687A"/>
    <w:rsid w:val="00976962"/>
    <w:rsid w:val="00977BF5"/>
    <w:rsid w:val="00981D6D"/>
    <w:rsid w:val="00981F74"/>
    <w:rsid w:val="0098302D"/>
    <w:rsid w:val="0098434F"/>
    <w:rsid w:val="00987112"/>
    <w:rsid w:val="00987608"/>
    <w:rsid w:val="00990CC6"/>
    <w:rsid w:val="009943A0"/>
    <w:rsid w:val="009953BC"/>
    <w:rsid w:val="0099543E"/>
    <w:rsid w:val="0099560C"/>
    <w:rsid w:val="009963D2"/>
    <w:rsid w:val="009A0568"/>
    <w:rsid w:val="009A0AF9"/>
    <w:rsid w:val="009A16BE"/>
    <w:rsid w:val="009A210C"/>
    <w:rsid w:val="009A2337"/>
    <w:rsid w:val="009A2482"/>
    <w:rsid w:val="009A2E00"/>
    <w:rsid w:val="009A355A"/>
    <w:rsid w:val="009A3B09"/>
    <w:rsid w:val="009A5369"/>
    <w:rsid w:val="009A557E"/>
    <w:rsid w:val="009A5CE8"/>
    <w:rsid w:val="009A5FBE"/>
    <w:rsid w:val="009A7074"/>
    <w:rsid w:val="009A7B5A"/>
    <w:rsid w:val="009A7F79"/>
    <w:rsid w:val="009B1119"/>
    <w:rsid w:val="009B2BDC"/>
    <w:rsid w:val="009B3B2B"/>
    <w:rsid w:val="009B46F3"/>
    <w:rsid w:val="009B5F5D"/>
    <w:rsid w:val="009B6201"/>
    <w:rsid w:val="009B73BA"/>
    <w:rsid w:val="009C0EEA"/>
    <w:rsid w:val="009C10D9"/>
    <w:rsid w:val="009C20A2"/>
    <w:rsid w:val="009C3649"/>
    <w:rsid w:val="009C425A"/>
    <w:rsid w:val="009C4F43"/>
    <w:rsid w:val="009C5CA7"/>
    <w:rsid w:val="009D03F8"/>
    <w:rsid w:val="009D1DF4"/>
    <w:rsid w:val="009D7A24"/>
    <w:rsid w:val="009E00E4"/>
    <w:rsid w:val="009E0D20"/>
    <w:rsid w:val="009E0F6B"/>
    <w:rsid w:val="009E175A"/>
    <w:rsid w:val="009E1DB3"/>
    <w:rsid w:val="009E2964"/>
    <w:rsid w:val="009E3EB3"/>
    <w:rsid w:val="009E3F86"/>
    <w:rsid w:val="009E423C"/>
    <w:rsid w:val="009E5D18"/>
    <w:rsid w:val="009E7AFF"/>
    <w:rsid w:val="009E7DCD"/>
    <w:rsid w:val="009F005A"/>
    <w:rsid w:val="009F54D8"/>
    <w:rsid w:val="009F55F9"/>
    <w:rsid w:val="009F5CC0"/>
    <w:rsid w:val="009F6842"/>
    <w:rsid w:val="009F6F8B"/>
    <w:rsid w:val="009F7164"/>
    <w:rsid w:val="00A02F0A"/>
    <w:rsid w:val="00A03C5A"/>
    <w:rsid w:val="00A06A53"/>
    <w:rsid w:val="00A06A54"/>
    <w:rsid w:val="00A07821"/>
    <w:rsid w:val="00A103E8"/>
    <w:rsid w:val="00A1074D"/>
    <w:rsid w:val="00A10863"/>
    <w:rsid w:val="00A11172"/>
    <w:rsid w:val="00A123D9"/>
    <w:rsid w:val="00A127DD"/>
    <w:rsid w:val="00A12D4A"/>
    <w:rsid w:val="00A14E6C"/>
    <w:rsid w:val="00A15AEC"/>
    <w:rsid w:val="00A16123"/>
    <w:rsid w:val="00A16482"/>
    <w:rsid w:val="00A167EC"/>
    <w:rsid w:val="00A16D01"/>
    <w:rsid w:val="00A172E6"/>
    <w:rsid w:val="00A17D1C"/>
    <w:rsid w:val="00A209A2"/>
    <w:rsid w:val="00A24C8D"/>
    <w:rsid w:val="00A2542A"/>
    <w:rsid w:val="00A25718"/>
    <w:rsid w:val="00A26F15"/>
    <w:rsid w:val="00A277D0"/>
    <w:rsid w:val="00A30E37"/>
    <w:rsid w:val="00A32930"/>
    <w:rsid w:val="00A34641"/>
    <w:rsid w:val="00A34674"/>
    <w:rsid w:val="00A3494F"/>
    <w:rsid w:val="00A35CD2"/>
    <w:rsid w:val="00A35CF8"/>
    <w:rsid w:val="00A360E7"/>
    <w:rsid w:val="00A400FB"/>
    <w:rsid w:val="00A43C4F"/>
    <w:rsid w:val="00A443D1"/>
    <w:rsid w:val="00A456B3"/>
    <w:rsid w:val="00A46668"/>
    <w:rsid w:val="00A47BFE"/>
    <w:rsid w:val="00A50DBA"/>
    <w:rsid w:val="00A51808"/>
    <w:rsid w:val="00A51D78"/>
    <w:rsid w:val="00A51EA8"/>
    <w:rsid w:val="00A547BE"/>
    <w:rsid w:val="00A549C3"/>
    <w:rsid w:val="00A561A8"/>
    <w:rsid w:val="00A562A6"/>
    <w:rsid w:val="00A60011"/>
    <w:rsid w:val="00A6016A"/>
    <w:rsid w:val="00A63635"/>
    <w:rsid w:val="00A63955"/>
    <w:rsid w:val="00A66581"/>
    <w:rsid w:val="00A6703C"/>
    <w:rsid w:val="00A7007B"/>
    <w:rsid w:val="00A71623"/>
    <w:rsid w:val="00A72A6A"/>
    <w:rsid w:val="00A72CF1"/>
    <w:rsid w:val="00A73BD7"/>
    <w:rsid w:val="00A8217C"/>
    <w:rsid w:val="00A84B87"/>
    <w:rsid w:val="00A84D4B"/>
    <w:rsid w:val="00A84FD0"/>
    <w:rsid w:val="00A8592D"/>
    <w:rsid w:val="00A8629D"/>
    <w:rsid w:val="00A87D0E"/>
    <w:rsid w:val="00A90D08"/>
    <w:rsid w:val="00A928D0"/>
    <w:rsid w:val="00A93FFF"/>
    <w:rsid w:val="00A95746"/>
    <w:rsid w:val="00A961E9"/>
    <w:rsid w:val="00A96D45"/>
    <w:rsid w:val="00A97045"/>
    <w:rsid w:val="00A973EE"/>
    <w:rsid w:val="00AA0B5A"/>
    <w:rsid w:val="00AA18DD"/>
    <w:rsid w:val="00AA1F91"/>
    <w:rsid w:val="00AA3687"/>
    <w:rsid w:val="00AA4A07"/>
    <w:rsid w:val="00AA5CE1"/>
    <w:rsid w:val="00AB184B"/>
    <w:rsid w:val="00AB2D9E"/>
    <w:rsid w:val="00AB4404"/>
    <w:rsid w:val="00AB603C"/>
    <w:rsid w:val="00AB684A"/>
    <w:rsid w:val="00AC0375"/>
    <w:rsid w:val="00AC154C"/>
    <w:rsid w:val="00AC21EE"/>
    <w:rsid w:val="00AC3B22"/>
    <w:rsid w:val="00AC4101"/>
    <w:rsid w:val="00AC4774"/>
    <w:rsid w:val="00AC5597"/>
    <w:rsid w:val="00AC71C4"/>
    <w:rsid w:val="00AD0116"/>
    <w:rsid w:val="00AD1B42"/>
    <w:rsid w:val="00AD2871"/>
    <w:rsid w:val="00AD322C"/>
    <w:rsid w:val="00AD3AAD"/>
    <w:rsid w:val="00AD4B84"/>
    <w:rsid w:val="00AD5D06"/>
    <w:rsid w:val="00AE0D53"/>
    <w:rsid w:val="00AE115E"/>
    <w:rsid w:val="00AE23BE"/>
    <w:rsid w:val="00AE2EAC"/>
    <w:rsid w:val="00AE5772"/>
    <w:rsid w:val="00AF0AC0"/>
    <w:rsid w:val="00AF16E0"/>
    <w:rsid w:val="00AF4CA9"/>
    <w:rsid w:val="00AF5012"/>
    <w:rsid w:val="00AF5B52"/>
    <w:rsid w:val="00AF7879"/>
    <w:rsid w:val="00B0033D"/>
    <w:rsid w:val="00B00818"/>
    <w:rsid w:val="00B008BF"/>
    <w:rsid w:val="00B04B0C"/>
    <w:rsid w:val="00B052BA"/>
    <w:rsid w:val="00B07460"/>
    <w:rsid w:val="00B1022B"/>
    <w:rsid w:val="00B10338"/>
    <w:rsid w:val="00B1151C"/>
    <w:rsid w:val="00B11E06"/>
    <w:rsid w:val="00B12EF9"/>
    <w:rsid w:val="00B13099"/>
    <w:rsid w:val="00B1397D"/>
    <w:rsid w:val="00B14D61"/>
    <w:rsid w:val="00B16978"/>
    <w:rsid w:val="00B16BE4"/>
    <w:rsid w:val="00B17EBB"/>
    <w:rsid w:val="00B2258B"/>
    <w:rsid w:val="00B237C6"/>
    <w:rsid w:val="00B24A6F"/>
    <w:rsid w:val="00B260D9"/>
    <w:rsid w:val="00B26683"/>
    <w:rsid w:val="00B278DB"/>
    <w:rsid w:val="00B30D4F"/>
    <w:rsid w:val="00B30D5C"/>
    <w:rsid w:val="00B334B4"/>
    <w:rsid w:val="00B3434E"/>
    <w:rsid w:val="00B34A3E"/>
    <w:rsid w:val="00B351FD"/>
    <w:rsid w:val="00B35BFD"/>
    <w:rsid w:val="00B3793E"/>
    <w:rsid w:val="00B40B13"/>
    <w:rsid w:val="00B41704"/>
    <w:rsid w:val="00B421F2"/>
    <w:rsid w:val="00B42822"/>
    <w:rsid w:val="00B42C54"/>
    <w:rsid w:val="00B4395A"/>
    <w:rsid w:val="00B4553E"/>
    <w:rsid w:val="00B45901"/>
    <w:rsid w:val="00B46773"/>
    <w:rsid w:val="00B47091"/>
    <w:rsid w:val="00B47E14"/>
    <w:rsid w:val="00B51359"/>
    <w:rsid w:val="00B520DF"/>
    <w:rsid w:val="00B52BB4"/>
    <w:rsid w:val="00B54256"/>
    <w:rsid w:val="00B545F4"/>
    <w:rsid w:val="00B56303"/>
    <w:rsid w:val="00B56411"/>
    <w:rsid w:val="00B56D7B"/>
    <w:rsid w:val="00B573DA"/>
    <w:rsid w:val="00B57599"/>
    <w:rsid w:val="00B57FB2"/>
    <w:rsid w:val="00B61F2F"/>
    <w:rsid w:val="00B64A63"/>
    <w:rsid w:val="00B64F62"/>
    <w:rsid w:val="00B65321"/>
    <w:rsid w:val="00B65C36"/>
    <w:rsid w:val="00B65D3A"/>
    <w:rsid w:val="00B66898"/>
    <w:rsid w:val="00B7164C"/>
    <w:rsid w:val="00B71E2C"/>
    <w:rsid w:val="00B75FA6"/>
    <w:rsid w:val="00B807AB"/>
    <w:rsid w:val="00B80F53"/>
    <w:rsid w:val="00B8152D"/>
    <w:rsid w:val="00B8165D"/>
    <w:rsid w:val="00B82E26"/>
    <w:rsid w:val="00B83AAA"/>
    <w:rsid w:val="00B86CDC"/>
    <w:rsid w:val="00B910F3"/>
    <w:rsid w:val="00B91A7C"/>
    <w:rsid w:val="00B93F2D"/>
    <w:rsid w:val="00B95022"/>
    <w:rsid w:val="00B95AC6"/>
    <w:rsid w:val="00B95FBC"/>
    <w:rsid w:val="00B97C44"/>
    <w:rsid w:val="00BA05AE"/>
    <w:rsid w:val="00BA1B98"/>
    <w:rsid w:val="00BA22F7"/>
    <w:rsid w:val="00BA2C79"/>
    <w:rsid w:val="00BA2FA3"/>
    <w:rsid w:val="00BA4375"/>
    <w:rsid w:val="00BA458B"/>
    <w:rsid w:val="00BA46E0"/>
    <w:rsid w:val="00BA6418"/>
    <w:rsid w:val="00BA7D18"/>
    <w:rsid w:val="00BB04BB"/>
    <w:rsid w:val="00BB3A8F"/>
    <w:rsid w:val="00BB4412"/>
    <w:rsid w:val="00BB5572"/>
    <w:rsid w:val="00BC2214"/>
    <w:rsid w:val="00BC2543"/>
    <w:rsid w:val="00BC2A83"/>
    <w:rsid w:val="00BC42B2"/>
    <w:rsid w:val="00BD0D15"/>
    <w:rsid w:val="00BD33EA"/>
    <w:rsid w:val="00BD5425"/>
    <w:rsid w:val="00BD62F0"/>
    <w:rsid w:val="00BD7B72"/>
    <w:rsid w:val="00BE06A4"/>
    <w:rsid w:val="00BE12A4"/>
    <w:rsid w:val="00BE1758"/>
    <w:rsid w:val="00BE282B"/>
    <w:rsid w:val="00BE35F4"/>
    <w:rsid w:val="00BE4687"/>
    <w:rsid w:val="00BE5E8F"/>
    <w:rsid w:val="00BF0332"/>
    <w:rsid w:val="00BF2BFE"/>
    <w:rsid w:val="00BF5FCC"/>
    <w:rsid w:val="00C0256C"/>
    <w:rsid w:val="00C069A2"/>
    <w:rsid w:val="00C069EC"/>
    <w:rsid w:val="00C10A63"/>
    <w:rsid w:val="00C17416"/>
    <w:rsid w:val="00C1748F"/>
    <w:rsid w:val="00C201F2"/>
    <w:rsid w:val="00C21125"/>
    <w:rsid w:val="00C218D5"/>
    <w:rsid w:val="00C219B8"/>
    <w:rsid w:val="00C22185"/>
    <w:rsid w:val="00C221D5"/>
    <w:rsid w:val="00C2280A"/>
    <w:rsid w:val="00C23D12"/>
    <w:rsid w:val="00C26004"/>
    <w:rsid w:val="00C2609C"/>
    <w:rsid w:val="00C2652B"/>
    <w:rsid w:val="00C30598"/>
    <w:rsid w:val="00C354EA"/>
    <w:rsid w:val="00C35600"/>
    <w:rsid w:val="00C37B98"/>
    <w:rsid w:val="00C40CE2"/>
    <w:rsid w:val="00C45360"/>
    <w:rsid w:val="00C45C85"/>
    <w:rsid w:val="00C45D69"/>
    <w:rsid w:val="00C502A1"/>
    <w:rsid w:val="00C51681"/>
    <w:rsid w:val="00C533E6"/>
    <w:rsid w:val="00C53DD3"/>
    <w:rsid w:val="00C54098"/>
    <w:rsid w:val="00C54DA2"/>
    <w:rsid w:val="00C56730"/>
    <w:rsid w:val="00C6024F"/>
    <w:rsid w:val="00C60319"/>
    <w:rsid w:val="00C60CE3"/>
    <w:rsid w:val="00C61FFE"/>
    <w:rsid w:val="00C63D95"/>
    <w:rsid w:val="00C64B94"/>
    <w:rsid w:val="00C650AE"/>
    <w:rsid w:val="00C6512C"/>
    <w:rsid w:val="00C7036F"/>
    <w:rsid w:val="00C7064F"/>
    <w:rsid w:val="00C7070C"/>
    <w:rsid w:val="00C72C78"/>
    <w:rsid w:val="00C7380E"/>
    <w:rsid w:val="00C739BF"/>
    <w:rsid w:val="00C7647E"/>
    <w:rsid w:val="00C76C24"/>
    <w:rsid w:val="00C80E3F"/>
    <w:rsid w:val="00C81BD1"/>
    <w:rsid w:val="00C84349"/>
    <w:rsid w:val="00C85C21"/>
    <w:rsid w:val="00C8731E"/>
    <w:rsid w:val="00C8756C"/>
    <w:rsid w:val="00C90663"/>
    <w:rsid w:val="00C90E2B"/>
    <w:rsid w:val="00C92E70"/>
    <w:rsid w:val="00C93DCA"/>
    <w:rsid w:val="00C93E64"/>
    <w:rsid w:val="00C97869"/>
    <w:rsid w:val="00CA071B"/>
    <w:rsid w:val="00CA0DD1"/>
    <w:rsid w:val="00CA3D16"/>
    <w:rsid w:val="00CA4507"/>
    <w:rsid w:val="00CA5466"/>
    <w:rsid w:val="00CA734B"/>
    <w:rsid w:val="00CB0475"/>
    <w:rsid w:val="00CB1B1E"/>
    <w:rsid w:val="00CB1DB5"/>
    <w:rsid w:val="00CB2C4F"/>
    <w:rsid w:val="00CB3556"/>
    <w:rsid w:val="00CB3583"/>
    <w:rsid w:val="00CB4540"/>
    <w:rsid w:val="00CB6741"/>
    <w:rsid w:val="00CB6A8C"/>
    <w:rsid w:val="00CC34FF"/>
    <w:rsid w:val="00CC44F0"/>
    <w:rsid w:val="00CC4D44"/>
    <w:rsid w:val="00CC6DB2"/>
    <w:rsid w:val="00CC7FCC"/>
    <w:rsid w:val="00CD0E5B"/>
    <w:rsid w:val="00CD0FE9"/>
    <w:rsid w:val="00CD29E4"/>
    <w:rsid w:val="00CD396E"/>
    <w:rsid w:val="00CD3C2D"/>
    <w:rsid w:val="00CD3C38"/>
    <w:rsid w:val="00CD5104"/>
    <w:rsid w:val="00CD6046"/>
    <w:rsid w:val="00CD60D3"/>
    <w:rsid w:val="00CE06A5"/>
    <w:rsid w:val="00CE202E"/>
    <w:rsid w:val="00CE2229"/>
    <w:rsid w:val="00CE28F2"/>
    <w:rsid w:val="00CE2E24"/>
    <w:rsid w:val="00CE373A"/>
    <w:rsid w:val="00CE374E"/>
    <w:rsid w:val="00CE3D22"/>
    <w:rsid w:val="00CE475A"/>
    <w:rsid w:val="00CE4AD9"/>
    <w:rsid w:val="00CE6ADE"/>
    <w:rsid w:val="00CF0534"/>
    <w:rsid w:val="00CF0C1F"/>
    <w:rsid w:val="00CF266F"/>
    <w:rsid w:val="00CF3999"/>
    <w:rsid w:val="00CF3FF0"/>
    <w:rsid w:val="00CF41AF"/>
    <w:rsid w:val="00CF4313"/>
    <w:rsid w:val="00CF4567"/>
    <w:rsid w:val="00CF53AB"/>
    <w:rsid w:val="00CF6815"/>
    <w:rsid w:val="00D04520"/>
    <w:rsid w:val="00D04D3D"/>
    <w:rsid w:val="00D04D41"/>
    <w:rsid w:val="00D06C45"/>
    <w:rsid w:val="00D1143A"/>
    <w:rsid w:val="00D11B02"/>
    <w:rsid w:val="00D1202C"/>
    <w:rsid w:val="00D12617"/>
    <w:rsid w:val="00D13811"/>
    <w:rsid w:val="00D153B3"/>
    <w:rsid w:val="00D16DDF"/>
    <w:rsid w:val="00D16E24"/>
    <w:rsid w:val="00D171B6"/>
    <w:rsid w:val="00D17F75"/>
    <w:rsid w:val="00D20486"/>
    <w:rsid w:val="00D210DB"/>
    <w:rsid w:val="00D228D8"/>
    <w:rsid w:val="00D31439"/>
    <w:rsid w:val="00D32596"/>
    <w:rsid w:val="00D327F3"/>
    <w:rsid w:val="00D33677"/>
    <w:rsid w:val="00D35742"/>
    <w:rsid w:val="00D36019"/>
    <w:rsid w:val="00D36BDD"/>
    <w:rsid w:val="00D3706F"/>
    <w:rsid w:val="00D373EC"/>
    <w:rsid w:val="00D4130E"/>
    <w:rsid w:val="00D4180D"/>
    <w:rsid w:val="00D41B01"/>
    <w:rsid w:val="00D42875"/>
    <w:rsid w:val="00D42B44"/>
    <w:rsid w:val="00D44417"/>
    <w:rsid w:val="00D44A14"/>
    <w:rsid w:val="00D47738"/>
    <w:rsid w:val="00D47A1A"/>
    <w:rsid w:val="00D47D36"/>
    <w:rsid w:val="00D502EB"/>
    <w:rsid w:val="00D51A9B"/>
    <w:rsid w:val="00D51D95"/>
    <w:rsid w:val="00D53EC6"/>
    <w:rsid w:val="00D55A00"/>
    <w:rsid w:val="00D56F49"/>
    <w:rsid w:val="00D56F77"/>
    <w:rsid w:val="00D60DB3"/>
    <w:rsid w:val="00D61E9F"/>
    <w:rsid w:val="00D62CC8"/>
    <w:rsid w:val="00D63232"/>
    <w:rsid w:val="00D6402F"/>
    <w:rsid w:val="00D64983"/>
    <w:rsid w:val="00D67F2C"/>
    <w:rsid w:val="00D7047A"/>
    <w:rsid w:val="00D712E8"/>
    <w:rsid w:val="00D713F9"/>
    <w:rsid w:val="00D719E9"/>
    <w:rsid w:val="00D72225"/>
    <w:rsid w:val="00D73550"/>
    <w:rsid w:val="00D75084"/>
    <w:rsid w:val="00D80185"/>
    <w:rsid w:val="00D838F7"/>
    <w:rsid w:val="00D845DA"/>
    <w:rsid w:val="00D8479E"/>
    <w:rsid w:val="00D868F1"/>
    <w:rsid w:val="00D87D64"/>
    <w:rsid w:val="00D87EFF"/>
    <w:rsid w:val="00D90F47"/>
    <w:rsid w:val="00D91AE6"/>
    <w:rsid w:val="00D941E0"/>
    <w:rsid w:val="00D95840"/>
    <w:rsid w:val="00D96694"/>
    <w:rsid w:val="00DA0FEE"/>
    <w:rsid w:val="00DA1603"/>
    <w:rsid w:val="00DA1D64"/>
    <w:rsid w:val="00DA2B67"/>
    <w:rsid w:val="00DA3C9A"/>
    <w:rsid w:val="00DA4704"/>
    <w:rsid w:val="00DA554C"/>
    <w:rsid w:val="00DA589B"/>
    <w:rsid w:val="00DA5980"/>
    <w:rsid w:val="00DA5BF6"/>
    <w:rsid w:val="00DA5F07"/>
    <w:rsid w:val="00DA6136"/>
    <w:rsid w:val="00DB0EF6"/>
    <w:rsid w:val="00DB2668"/>
    <w:rsid w:val="00DB2CE5"/>
    <w:rsid w:val="00DB42FB"/>
    <w:rsid w:val="00DB520B"/>
    <w:rsid w:val="00DB598E"/>
    <w:rsid w:val="00DB7AEE"/>
    <w:rsid w:val="00DC1187"/>
    <w:rsid w:val="00DC39C4"/>
    <w:rsid w:val="00DC4568"/>
    <w:rsid w:val="00DC6AFC"/>
    <w:rsid w:val="00DC6D29"/>
    <w:rsid w:val="00DD0910"/>
    <w:rsid w:val="00DD0941"/>
    <w:rsid w:val="00DD0CC5"/>
    <w:rsid w:val="00DD1241"/>
    <w:rsid w:val="00DD1C47"/>
    <w:rsid w:val="00DD21D5"/>
    <w:rsid w:val="00DD2826"/>
    <w:rsid w:val="00DD3BCF"/>
    <w:rsid w:val="00DD43C2"/>
    <w:rsid w:val="00DD49FE"/>
    <w:rsid w:val="00DD6B5E"/>
    <w:rsid w:val="00DE03FB"/>
    <w:rsid w:val="00DE059D"/>
    <w:rsid w:val="00DE0602"/>
    <w:rsid w:val="00DE0E3C"/>
    <w:rsid w:val="00DE13E8"/>
    <w:rsid w:val="00DE1826"/>
    <w:rsid w:val="00DE4BF6"/>
    <w:rsid w:val="00DE52A5"/>
    <w:rsid w:val="00DE5325"/>
    <w:rsid w:val="00DE5D46"/>
    <w:rsid w:val="00DE69D0"/>
    <w:rsid w:val="00DE7070"/>
    <w:rsid w:val="00DE77A3"/>
    <w:rsid w:val="00DF02F6"/>
    <w:rsid w:val="00DF0993"/>
    <w:rsid w:val="00DF163F"/>
    <w:rsid w:val="00DF21B8"/>
    <w:rsid w:val="00DF284F"/>
    <w:rsid w:val="00DF31EE"/>
    <w:rsid w:val="00DF3395"/>
    <w:rsid w:val="00DF7681"/>
    <w:rsid w:val="00E00443"/>
    <w:rsid w:val="00E017B9"/>
    <w:rsid w:val="00E02D36"/>
    <w:rsid w:val="00E03431"/>
    <w:rsid w:val="00E04E43"/>
    <w:rsid w:val="00E05E74"/>
    <w:rsid w:val="00E065D9"/>
    <w:rsid w:val="00E1241D"/>
    <w:rsid w:val="00E13D0D"/>
    <w:rsid w:val="00E149CE"/>
    <w:rsid w:val="00E16AC4"/>
    <w:rsid w:val="00E16FD8"/>
    <w:rsid w:val="00E17C58"/>
    <w:rsid w:val="00E2178D"/>
    <w:rsid w:val="00E2263B"/>
    <w:rsid w:val="00E22DDE"/>
    <w:rsid w:val="00E23958"/>
    <w:rsid w:val="00E23AD4"/>
    <w:rsid w:val="00E23BEC"/>
    <w:rsid w:val="00E23EC3"/>
    <w:rsid w:val="00E24E4D"/>
    <w:rsid w:val="00E25D14"/>
    <w:rsid w:val="00E25F8C"/>
    <w:rsid w:val="00E2618B"/>
    <w:rsid w:val="00E267F1"/>
    <w:rsid w:val="00E26938"/>
    <w:rsid w:val="00E27EDD"/>
    <w:rsid w:val="00E3217E"/>
    <w:rsid w:val="00E36907"/>
    <w:rsid w:val="00E3704F"/>
    <w:rsid w:val="00E4039E"/>
    <w:rsid w:val="00E406EA"/>
    <w:rsid w:val="00E42438"/>
    <w:rsid w:val="00E42772"/>
    <w:rsid w:val="00E43B55"/>
    <w:rsid w:val="00E44F08"/>
    <w:rsid w:val="00E5039D"/>
    <w:rsid w:val="00E528AF"/>
    <w:rsid w:val="00E52FAD"/>
    <w:rsid w:val="00E530C2"/>
    <w:rsid w:val="00E53131"/>
    <w:rsid w:val="00E5420A"/>
    <w:rsid w:val="00E5518E"/>
    <w:rsid w:val="00E56222"/>
    <w:rsid w:val="00E566D8"/>
    <w:rsid w:val="00E56BD1"/>
    <w:rsid w:val="00E57743"/>
    <w:rsid w:val="00E577C9"/>
    <w:rsid w:val="00E579E8"/>
    <w:rsid w:val="00E62DD3"/>
    <w:rsid w:val="00E641D8"/>
    <w:rsid w:val="00E64B11"/>
    <w:rsid w:val="00E6542F"/>
    <w:rsid w:val="00E66D8F"/>
    <w:rsid w:val="00E6742D"/>
    <w:rsid w:val="00E67F6F"/>
    <w:rsid w:val="00E71060"/>
    <w:rsid w:val="00E71707"/>
    <w:rsid w:val="00E71EF1"/>
    <w:rsid w:val="00E726FE"/>
    <w:rsid w:val="00E731C6"/>
    <w:rsid w:val="00E740C4"/>
    <w:rsid w:val="00E74686"/>
    <w:rsid w:val="00E74750"/>
    <w:rsid w:val="00E76686"/>
    <w:rsid w:val="00E80520"/>
    <w:rsid w:val="00E818D4"/>
    <w:rsid w:val="00E81BD0"/>
    <w:rsid w:val="00E81D4A"/>
    <w:rsid w:val="00E8297B"/>
    <w:rsid w:val="00E83C98"/>
    <w:rsid w:val="00E840FE"/>
    <w:rsid w:val="00E847DC"/>
    <w:rsid w:val="00E84DBD"/>
    <w:rsid w:val="00E85B21"/>
    <w:rsid w:val="00E8736C"/>
    <w:rsid w:val="00E873A0"/>
    <w:rsid w:val="00E90A99"/>
    <w:rsid w:val="00E9124C"/>
    <w:rsid w:val="00E9128A"/>
    <w:rsid w:val="00E91BFD"/>
    <w:rsid w:val="00E91C15"/>
    <w:rsid w:val="00E93BF9"/>
    <w:rsid w:val="00E943E8"/>
    <w:rsid w:val="00E945CE"/>
    <w:rsid w:val="00E94FAF"/>
    <w:rsid w:val="00E96293"/>
    <w:rsid w:val="00E96C8B"/>
    <w:rsid w:val="00E96E5C"/>
    <w:rsid w:val="00E97091"/>
    <w:rsid w:val="00E97D9B"/>
    <w:rsid w:val="00EA001E"/>
    <w:rsid w:val="00EA0340"/>
    <w:rsid w:val="00EA0528"/>
    <w:rsid w:val="00EA0C10"/>
    <w:rsid w:val="00EA3137"/>
    <w:rsid w:val="00EA347E"/>
    <w:rsid w:val="00EA4E02"/>
    <w:rsid w:val="00EA6276"/>
    <w:rsid w:val="00EB01B5"/>
    <w:rsid w:val="00EB048C"/>
    <w:rsid w:val="00EB2C67"/>
    <w:rsid w:val="00EB367C"/>
    <w:rsid w:val="00EB43BA"/>
    <w:rsid w:val="00EB46D0"/>
    <w:rsid w:val="00EB4700"/>
    <w:rsid w:val="00EB477A"/>
    <w:rsid w:val="00EB4927"/>
    <w:rsid w:val="00EB7F72"/>
    <w:rsid w:val="00EC002A"/>
    <w:rsid w:val="00EC4357"/>
    <w:rsid w:val="00EC49A4"/>
    <w:rsid w:val="00EC4EF3"/>
    <w:rsid w:val="00EC6D48"/>
    <w:rsid w:val="00EC7B2D"/>
    <w:rsid w:val="00ED16C8"/>
    <w:rsid w:val="00ED20C9"/>
    <w:rsid w:val="00ED21EE"/>
    <w:rsid w:val="00ED37E1"/>
    <w:rsid w:val="00ED3B31"/>
    <w:rsid w:val="00ED4EC4"/>
    <w:rsid w:val="00ED564E"/>
    <w:rsid w:val="00ED6C04"/>
    <w:rsid w:val="00EE04B4"/>
    <w:rsid w:val="00EE1C5E"/>
    <w:rsid w:val="00EE3912"/>
    <w:rsid w:val="00EE4040"/>
    <w:rsid w:val="00EE4094"/>
    <w:rsid w:val="00EE4D57"/>
    <w:rsid w:val="00EE53FF"/>
    <w:rsid w:val="00EE5E83"/>
    <w:rsid w:val="00EE6954"/>
    <w:rsid w:val="00EE7092"/>
    <w:rsid w:val="00EF2F5C"/>
    <w:rsid w:val="00EF4DB0"/>
    <w:rsid w:val="00EF52E2"/>
    <w:rsid w:val="00EF6717"/>
    <w:rsid w:val="00EF7590"/>
    <w:rsid w:val="00F02000"/>
    <w:rsid w:val="00F024CA"/>
    <w:rsid w:val="00F027AA"/>
    <w:rsid w:val="00F03117"/>
    <w:rsid w:val="00F03373"/>
    <w:rsid w:val="00F0354F"/>
    <w:rsid w:val="00F04E6A"/>
    <w:rsid w:val="00F054C5"/>
    <w:rsid w:val="00F06C92"/>
    <w:rsid w:val="00F07B96"/>
    <w:rsid w:val="00F1013F"/>
    <w:rsid w:val="00F103C1"/>
    <w:rsid w:val="00F10A99"/>
    <w:rsid w:val="00F1114F"/>
    <w:rsid w:val="00F127DE"/>
    <w:rsid w:val="00F138A2"/>
    <w:rsid w:val="00F14C80"/>
    <w:rsid w:val="00F154EB"/>
    <w:rsid w:val="00F158FC"/>
    <w:rsid w:val="00F16032"/>
    <w:rsid w:val="00F20510"/>
    <w:rsid w:val="00F20632"/>
    <w:rsid w:val="00F20E56"/>
    <w:rsid w:val="00F23738"/>
    <w:rsid w:val="00F303A6"/>
    <w:rsid w:val="00F30846"/>
    <w:rsid w:val="00F30CAB"/>
    <w:rsid w:val="00F32479"/>
    <w:rsid w:val="00F327DF"/>
    <w:rsid w:val="00F32E2C"/>
    <w:rsid w:val="00F33121"/>
    <w:rsid w:val="00F3361F"/>
    <w:rsid w:val="00F33769"/>
    <w:rsid w:val="00F34071"/>
    <w:rsid w:val="00F356D2"/>
    <w:rsid w:val="00F358DA"/>
    <w:rsid w:val="00F36DEB"/>
    <w:rsid w:val="00F36FF8"/>
    <w:rsid w:val="00F37F86"/>
    <w:rsid w:val="00F406FD"/>
    <w:rsid w:val="00F40D24"/>
    <w:rsid w:val="00F414D0"/>
    <w:rsid w:val="00F45077"/>
    <w:rsid w:val="00F4722B"/>
    <w:rsid w:val="00F47935"/>
    <w:rsid w:val="00F47D9D"/>
    <w:rsid w:val="00F50558"/>
    <w:rsid w:val="00F50A8E"/>
    <w:rsid w:val="00F52AC7"/>
    <w:rsid w:val="00F531A8"/>
    <w:rsid w:val="00F544D2"/>
    <w:rsid w:val="00F55847"/>
    <w:rsid w:val="00F57142"/>
    <w:rsid w:val="00F5756D"/>
    <w:rsid w:val="00F62D81"/>
    <w:rsid w:val="00F62F79"/>
    <w:rsid w:val="00F630A2"/>
    <w:rsid w:val="00F643B2"/>
    <w:rsid w:val="00F6450E"/>
    <w:rsid w:val="00F652AB"/>
    <w:rsid w:val="00F65942"/>
    <w:rsid w:val="00F65BE2"/>
    <w:rsid w:val="00F65E84"/>
    <w:rsid w:val="00F67651"/>
    <w:rsid w:val="00F67998"/>
    <w:rsid w:val="00F67B9D"/>
    <w:rsid w:val="00F7230A"/>
    <w:rsid w:val="00F72AA0"/>
    <w:rsid w:val="00F761F7"/>
    <w:rsid w:val="00F76A40"/>
    <w:rsid w:val="00F77282"/>
    <w:rsid w:val="00F808C4"/>
    <w:rsid w:val="00F80C07"/>
    <w:rsid w:val="00F814BB"/>
    <w:rsid w:val="00F85990"/>
    <w:rsid w:val="00F85BC0"/>
    <w:rsid w:val="00F87264"/>
    <w:rsid w:val="00F908E9"/>
    <w:rsid w:val="00F96295"/>
    <w:rsid w:val="00F96D19"/>
    <w:rsid w:val="00F97E2B"/>
    <w:rsid w:val="00FA2A2E"/>
    <w:rsid w:val="00FA3423"/>
    <w:rsid w:val="00FA4FFA"/>
    <w:rsid w:val="00FA56D6"/>
    <w:rsid w:val="00FA595F"/>
    <w:rsid w:val="00FA5CE7"/>
    <w:rsid w:val="00FA6C24"/>
    <w:rsid w:val="00FA7D41"/>
    <w:rsid w:val="00FB0D0F"/>
    <w:rsid w:val="00FB338F"/>
    <w:rsid w:val="00FB3BA5"/>
    <w:rsid w:val="00FB651A"/>
    <w:rsid w:val="00FC0CB3"/>
    <w:rsid w:val="00FC2999"/>
    <w:rsid w:val="00FC5465"/>
    <w:rsid w:val="00FC697F"/>
    <w:rsid w:val="00FC70B3"/>
    <w:rsid w:val="00FC765F"/>
    <w:rsid w:val="00FD1861"/>
    <w:rsid w:val="00FD3DCC"/>
    <w:rsid w:val="00FD3F5C"/>
    <w:rsid w:val="00FD5375"/>
    <w:rsid w:val="00FD5B82"/>
    <w:rsid w:val="00FD61A3"/>
    <w:rsid w:val="00FD66C9"/>
    <w:rsid w:val="00FD79F6"/>
    <w:rsid w:val="00FE0371"/>
    <w:rsid w:val="00FE1258"/>
    <w:rsid w:val="00FE2025"/>
    <w:rsid w:val="00FE31D0"/>
    <w:rsid w:val="00FE3581"/>
    <w:rsid w:val="00FE7A3F"/>
    <w:rsid w:val="00FF0B6A"/>
    <w:rsid w:val="00FF10F6"/>
    <w:rsid w:val="00FF4970"/>
    <w:rsid w:val="00FF4E87"/>
    <w:rsid w:val="00FF5C5C"/>
    <w:rsid w:val="00FF7E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character" w:customStyle="1" w:styleId="FooterChar">
    <w:name w:val="Footer Char"/>
    <w:link w:val="Footer"/>
    <w:uiPriority w:val="99"/>
    <w:rsid w:val="0046329A"/>
    <w:rPr>
      <w:sz w:val="24"/>
      <w:szCs w:val="24"/>
    </w:rPr>
  </w:style>
  <w:style w:type="table" w:styleId="Table3Deffects2">
    <w:name w:val="Table 3D effects 2"/>
    <w:basedOn w:val="TableNormal"/>
    <w:rsid w:val="00BA458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BA458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4">
    <w:name w:val="Table Classic 4"/>
    <w:basedOn w:val="TableNormal"/>
    <w:rsid w:val="00BA458B"/>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HeaderChar">
    <w:name w:val="Header Char"/>
    <w:link w:val="Header"/>
    <w:rsid w:val="00051FC5"/>
    <w:rPr>
      <w:sz w:val="24"/>
      <w:szCs w:val="24"/>
    </w:rPr>
  </w:style>
  <w:style w:type="paragraph" w:styleId="ListParagraph">
    <w:name w:val="List Paragraph"/>
    <w:basedOn w:val="Normal"/>
    <w:uiPriority w:val="34"/>
    <w:qFormat/>
    <w:rsid w:val="00051FC5"/>
    <w:pPr>
      <w:ind w:left="720"/>
    </w:pPr>
  </w:style>
  <w:style w:type="character" w:customStyle="1" w:styleId="breadcrumbs">
    <w:name w:val="breadcrumbs"/>
    <w:rsid w:val="000E1C56"/>
  </w:style>
  <w:style w:type="character" w:styleId="Strong">
    <w:name w:val="Strong"/>
    <w:qFormat/>
    <w:rsid w:val="003F4FFF"/>
    <w:rPr>
      <w:rFonts w:ascii="Arial" w:hAnsi="Arial"/>
      <w:b/>
      <w:bCs/>
      <w:sz w:val="22"/>
    </w:rPr>
  </w:style>
  <w:style w:type="paragraph" w:styleId="BodyText">
    <w:name w:val="Body Text"/>
    <w:aliases w:val=" Char"/>
    <w:basedOn w:val="Normal"/>
    <w:link w:val="BodyTextChar"/>
    <w:rsid w:val="00CF0C1F"/>
    <w:pPr>
      <w:widowControl w:val="0"/>
      <w:spacing w:after="120"/>
    </w:pPr>
    <w:rPr>
      <w:szCs w:val="20"/>
    </w:rPr>
  </w:style>
  <w:style w:type="character" w:customStyle="1" w:styleId="BodyTextChar">
    <w:name w:val="Body Text Char"/>
    <w:aliases w:val=" Char Char"/>
    <w:basedOn w:val="DefaultParagraphFont"/>
    <w:link w:val="BodyText"/>
    <w:rsid w:val="00CF0C1F"/>
    <w:rPr>
      <w:sz w:val="24"/>
    </w:rPr>
  </w:style>
  <w:style w:type="character" w:styleId="PlaceholderText">
    <w:name w:val="Placeholder Text"/>
    <w:basedOn w:val="DefaultParagraphFont"/>
    <w:uiPriority w:val="99"/>
    <w:semiHidden/>
    <w:rsid w:val="00FA3423"/>
    <w:rPr>
      <w:color w:val="808080"/>
    </w:rPr>
  </w:style>
  <w:style w:type="table" w:customStyle="1" w:styleId="TableGrid1">
    <w:name w:val="Table Grid1"/>
    <w:basedOn w:val="TableNormal"/>
    <w:next w:val="TableGrid"/>
    <w:rsid w:val="002C7997"/>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character" w:customStyle="1" w:styleId="FooterChar">
    <w:name w:val="Footer Char"/>
    <w:link w:val="Footer"/>
    <w:uiPriority w:val="99"/>
    <w:rsid w:val="0046329A"/>
    <w:rPr>
      <w:sz w:val="24"/>
      <w:szCs w:val="24"/>
    </w:rPr>
  </w:style>
  <w:style w:type="table" w:styleId="Table3Deffects2">
    <w:name w:val="Table 3D effects 2"/>
    <w:basedOn w:val="TableNormal"/>
    <w:rsid w:val="00BA458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BA458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4">
    <w:name w:val="Table Classic 4"/>
    <w:basedOn w:val="TableNormal"/>
    <w:rsid w:val="00BA458B"/>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HeaderChar">
    <w:name w:val="Header Char"/>
    <w:link w:val="Header"/>
    <w:rsid w:val="00051FC5"/>
    <w:rPr>
      <w:sz w:val="24"/>
      <w:szCs w:val="24"/>
    </w:rPr>
  </w:style>
  <w:style w:type="paragraph" w:styleId="ListParagraph">
    <w:name w:val="List Paragraph"/>
    <w:basedOn w:val="Normal"/>
    <w:uiPriority w:val="34"/>
    <w:qFormat/>
    <w:rsid w:val="00051FC5"/>
    <w:pPr>
      <w:ind w:left="720"/>
    </w:pPr>
  </w:style>
  <w:style w:type="character" w:customStyle="1" w:styleId="breadcrumbs">
    <w:name w:val="breadcrumbs"/>
    <w:rsid w:val="000E1C56"/>
  </w:style>
  <w:style w:type="character" w:styleId="Strong">
    <w:name w:val="Strong"/>
    <w:qFormat/>
    <w:rsid w:val="003F4FFF"/>
    <w:rPr>
      <w:rFonts w:ascii="Arial" w:hAnsi="Arial"/>
      <w:b/>
      <w:bCs/>
      <w:sz w:val="22"/>
    </w:rPr>
  </w:style>
  <w:style w:type="paragraph" w:styleId="BodyText">
    <w:name w:val="Body Text"/>
    <w:aliases w:val=" Char"/>
    <w:basedOn w:val="Normal"/>
    <w:link w:val="BodyTextChar"/>
    <w:rsid w:val="00CF0C1F"/>
    <w:pPr>
      <w:widowControl w:val="0"/>
      <w:spacing w:after="120"/>
    </w:pPr>
    <w:rPr>
      <w:szCs w:val="20"/>
    </w:rPr>
  </w:style>
  <w:style w:type="character" w:customStyle="1" w:styleId="BodyTextChar">
    <w:name w:val="Body Text Char"/>
    <w:aliases w:val=" Char Char"/>
    <w:basedOn w:val="DefaultParagraphFont"/>
    <w:link w:val="BodyText"/>
    <w:rsid w:val="00CF0C1F"/>
    <w:rPr>
      <w:sz w:val="24"/>
    </w:rPr>
  </w:style>
  <w:style w:type="character" w:styleId="PlaceholderText">
    <w:name w:val="Placeholder Text"/>
    <w:basedOn w:val="DefaultParagraphFont"/>
    <w:uiPriority w:val="99"/>
    <w:semiHidden/>
    <w:rsid w:val="00FA3423"/>
    <w:rPr>
      <w:color w:val="808080"/>
    </w:rPr>
  </w:style>
  <w:style w:type="table" w:customStyle="1" w:styleId="TableGrid1">
    <w:name w:val="Table Grid1"/>
    <w:basedOn w:val="TableNormal"/>
    <w:next w:val="TableGrid"/>
    <w:rsid w:val="002C7997"/>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2556">
      <w:bodyDiv w:val="1"/>
      <w:marLeft w:val="0"/>
      <w:marRight w:val="0"/>
      <w:marTop w:val="0"/>
      <w:marBottom w:val="0"/>
      <w:divBdr>
        <w:top w:val="none" w:sz="0" w:space="0" w:color="auto"/>
        <w:left w:val="none" w:sz="0" w:space="0" w:color="auto"/>
        <w:bottom w:val="none" w:sz="0" w:space="0" w:color="auto"/>
        <w:right w:val="none" w:sz="0" w:space="0" w:color="auto"/>
      </w:divBdr>
    </w:div>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82199852">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13415093">
      <w:bodyDiv w:val="1"/>
      <w:marLeft w:val="0"/>
      <w:marRight w:val="0"/>
      <w:marTop w:val="0"/>
      <w:marBottom w:val="0"/>
      <w:divBdr>
        <w:top w:val="none" w:sz="0" w:space="0" w:color="auto"/>
        <w:left w:val="none" w:sz="0" w:space="0" w:color="auto"/>
        <w:bottom w:val="none" w:sz="0" w:space="0" w:color="auto"/>
        <w:right w:val="none" w:sz="0" w:space="0" w:color="auto"/>
      </w:divBdr>
    </w:div>
    <w:div w:id="37620187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68599060">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06179779">
      <w:bodyDiv w:val="1"/>
      <w:marLeft w:val="0"/>
      <w:marRight w:val="0"/>
      <w:marTop w:val="0"/>
      <w:marBottom w:val="0"/>
      <w:divBdr>
        <w:top w:val="none" w:sz="0" w:space="0" w:color="auto"/>
        <w:left w:val="none" w:sz="0" w:space="0" w:color="auto"/>
        <w:bottom w:val="none" w:sz="0" w:space="0" w:color="auto"/>
        <w:right w:val="none" w:sz="0" w:space="0" w:color="auto"/>
      </w:divBdr>
    </w:div>
    <w:div w:id="708411245">
      <w:bodyDiv w:val="1"/>
      <w:marLeft w:val="0"/>
      <w:marRight w:val="0"/>
      <w:marTop w:val="0"/>
      <w:marBottom w:val="0"/>
      <w:divBdr>
        <w:top w:val="none" w:sz="0" w:space="0" w:color="auto"/>
        <w:left w:val="none" w:sz="0" w:space="0" w:color="auto"/>
        <w:bottom w:val="none" w:sz="0" w:space="0" w:color="auto"/>
        <w:right w:val="none" w:sz="0" w:space="0" w:color="auto"/>
      </w:divBdr>
    </w:div>
    <w:div w:id="741102353">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6535071">
      <w:bodyDiv w:val="1"/>
      <w:marLeft w:val="0"/>
      <w:marRight w:val="0"/>
      <w:marTop w:val="0"/>
      <w:marBottom w:val="0"/>
      <w:divBdr>
        <w:top w:val="none" w:sz="0" w:space="0" w:color="auto"/>
        <w:left w:val="none" w:sz="0" w:space="0" w:color="auto"/>
        <w:bottom w:val="none" w:sz="0" w:space="0" w:color="auto"/>
        <w:right w:val="none" w:sz="0" w:space="0" w:color="auto"/>
      </w:divBdr>
    </w:div>
    <w:div w:id="944389228">
      <w:bodyDiv w:val="1"/>
      <w:marLeft w:val="0"/>
      <w:marRight w:val="0"/>
      <w:marTop w:val="0"/>
      <w:marBottom w:val="0"/>
      <w:divBdr>
        <w:top w:val="none" w:sz="0" w:space="0" w:color="auto"/>
        <w:left w:val="none" w:sz="0" w:space="0" w:color="auto"/>
        <w:bottom w:val="none" w:sz="0" w:space="0" w:color="auto"/>
        <w:right w:val="none" w:sz="0" w:space="0" w:color="auto"/>
      </w:divBdr>
    </w:div>
    <w:div w:id="949359968">
      <w:bodyDiv w:val="1"/>
      <w:marLeft w:val="0"/>
      <w:marRight w:val="0"/>
      <w:marTop w:val="0"/>
      <w:marBottom w:val="0"/>
      <w:divBdr>
        <w:top w:val="none" w:sz="0" w:space="0" w:color="auto"/>
        <w:left w:val="none" w:sz="0" w:space="0" w:color="auto"/>
        <w:bottom w:val="none" w:sz="0" w:space="0" w:color="auto"/>
        <w:right w:val="none" w:sz="0" w:space="0" w:color="auto"/>
      </w:divBdr>
    </w:div>
    <w:div w:id="1064328871">
      <w:bodyDiv w:val="1"/>
      <w:marLeft w:val="0"/>
      <w:marRight w:val="0"/>
      <w:marTop w:val="0"/>
      <w:marBottom w:val="0"/>
      <w:divBdr>
        <w:top w:val="none" w:sz="0" w:space="0" w:color="auto"/>
        <w:left w:val="none" w:sz="0" w:space="0" w:color="auto"/>
        <w:bottom w:val="none" w:sz="0" w:space="0" w:color="auto"/>
        <w:right w:val="none" w:sz="0" w:space="0" w:color="auto"/>
      </w:divBdr>
    </w:div>
    <w:div w:id="1140459046">
      <w:bodyDiv w:val="1"/>
      <w:marLeft w:val="0"/>
      <w:marRight w:val="0"/>
      <w:marTop w:val="0"/>
      <w:marBottom w:val="0"/>
      <w:divBdr>
        <w:top w:val="none" w:sz="0" w:space="0" w:color="auto"/>
        <w:left w:val="none" w:sz="0" w:space="0" w:color="auto"/>
        <w:bottom w:val="none" w:sz="0" w:space="0" w:color="auto"/>
        <w:right w:val="none" w:sz="0" w:space="0" w:color="auto"/>
      </w:divBdr>
    </w:div>
    <w:div w:id="1200170216">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32038424">
      <w:bodyDiv w:val="1"/>
      <w:marLeft w:val="0"/>
      <w:marRight w:val="0"/>
      <w:marTop w:val="0"/>
      <w:marBottom w:val="0"/>
      <w:divBdr>
        <w:top w:val="none" w:sz="0" w:space="0" w:color="auto"/>
        <w:left w:val="none" w:sz="0" w:space="0" w:color="auto"/>
        <w:bottom w:val="none" w:sz="0" w:space="0" w:color="auto"/>
        <w:right w:val="none" w:sz="0" w:space="0" w:color="auto"/>
      </w:divBdr>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32486907">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40048429">
      <w:bodyDiv w:val="1"/>
      <w:marLeft w:val="0"/>
      <w:marRight w:val="0"/>
      <w:marTop w:val="0"/>
      <w:marBottom w:val="0"/>
      <w:divBdr>
        <w:top w:val="none" w:sz="0" w:space="0" w:color="auto"/>
        <w:left w:val="none" w:sz="0" w:space="0" w:color="auto"/>
        <w:bottom w:val="none" w:sz="0" w:space="0" w:color="auto"/>
        <w:right w:val="none" w:sz="0" w:space="0" w:color="auto"/>
      </w:divBdr>
    </w:div>
    <w:div w:id="1565874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34170354">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1981154497">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64135498">
      <w:bodyDiv w:val="1"/>
      <w:marLeft w:val="0"/>
      <w:marRight w:val="0"/>
      <w:marTop w:val="0"/>
      <w:marBottom w:val="0"/>
      <w:divBdr>
        <w:top w:val="none" w:sz="0" w:space="0" w:color="auto"/>
        <w:left w:val="none" w:sz="0" w:space="0" w:color="auto"/>
        <w:bottom w:val="none" w:sz="0" w:space="0" w:color="auto"/>
        <w:right w:val="none" w:sz="0" w:space="0" w:color="auto"/>
      </w:divBdr>
    </w:div>
    <w:div w:id="2082172478">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099249553">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3.png"/><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4.emf"/></Relationships>
</file>

<file path=word/_rels/endnotes.xml.rels><?xml version="1.0" encoding="UTF-8" standalone="yes"?>
<Relationships xmlns="http://schemas.openxmlformats.org/package/2006/relationships"><Relationship Id="rId1" Type="http://schemas.openxmlformats.org/officeDocument/2006/relationships/hyperlink" Target="http://www.appliances.energy.ca.gov/AdvancedSearch.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Props1.xml><?xml version="1.0" encoding="utf-8"?>
<ds:datastoreItem xmlns:ds="http://schemas.openxmlformats.org/officeDocument/2006/customXml" ds:itemID="{C25D413E-94B1-4A76-ABCC-8894F1A89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657D02F-C936-4E4A-B2C0-B611F2B87F28}">
  <ds:schemaRefs>
    <ds:schemaRef ds:uri="http://schemas.microsoft.com/sharepoint/v3/contenttype/forms"/>
  </ds:schemaRefs>
</ds:datastoreItem>
</file>

<file path=customXml/itemProps3.xml><?xml version="1.0" encoding="utf-8"?>
<ds:datastoreItem xmlns:ds="http://schemas.openxmlformats.org/officeDocument/2006/customXml" ds:itemID="{4F4DC6D3-0BFF-407E-83C0-EE7DED412CA0}">
  <ds:schemaRef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elements/1.1/"/>
    <ds:schemaRef ds:uri="http://purl.org/dc/terms/"/>
  </ds:schemaRefs>
</ds:datastoreItem>
</file>

<file path=customXml/itemProps4.xml><?xml version="1.0" encoding="utf-8"?>
<ds:datastoreItem xmlns:ds="http://schemas.openxmlformats.org/officeDocument/2006/customXml" ds:itemID="{5A8B0540-DF5E-476F-8A57-7B5B2DD40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637</TotalTime>
  <Pages>18</Pages>
  <Words>4166</Words>
  <Characters>23751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27862</CharactersWithSpaces>
  <SharedDoc>false</SharedDoc>
  <HLinks>
    <vt:vector size="198" baseType="variant">
      <vt:variant>
        <vt:i4>1507390</vt:i4>
      </vt:variant>
      <vt:variant>
        <vt:i4>197</vt:i4>
      </vt:variant>
      <vt:variant>
        <vt:i4>0</vt:i4>
      </vt:variant>
      <vt:variant>
        <vt:i4>5</vt:i4>
      </vt:variant>
      <vt:variant>
        <vt:lpwstr/>
      </vt:variant>
      <vt:variant>
        <vt:lpwstr>_Toc378256035</vt:lpwstr>
      </vt:variant>
      <vt:variant>
        <vt:i4>1507390</vt:i4>
      </vt:variant>
      <vt:variant>
        <vt:i4>191</vt:i4>
      </vt:variant>
      <vt:variant>
        <vt:i4>0</vt:i4>
      </vt:variant>
      <vt:variant>
        <vt:i4>5</vt:i4>
      </vt:variant>
      <vt:variant>
        <vt:lpwstr/>
      </vt:variant>
      <vt:variant>
        <vt:lpwstr>_Toc378256034</vt:lpwstr>
      </vt:variant>
      <vt:variant>
        <vt:i4>1507390</vt:i4>
      </vt:variant>
      <vt:variant>
        <vt:i4>185</vt:i4>
      </vt:variant>
      <vt:variant>
        <vt:i4>0</vt:i4>
      </vt:variant>
      <vt:variant>
        <vt:i4>5</vt:i4>
      </vt:variant>
      <vt:variant>
        <vt:lpwstr/>
      </vt:variant>
      <vt:variant>
        <vt:lpwstr>_Toc378256033</vt:lpwstr>
      </vt:variant>
      <vt:variant>
        <vt:i4>1245246</vt:i4>
      </vt:variant>
      <vt:variant>
        <vt:i4>176</vt:i4>
      </vt:variant>
      <vt:variant>
        <vt:i4>0</vt:i4>
      </vt:variant>
      <vt:variant>
        <vt:i4>5</vt:i4>
      </vt:variant>
      <vt:variant>
        <vt:lpwstr/>
      </vt:variant>
      <vt:variant>
        <vt:lpwstr>_Toc378256072</vt:lpwstr>
      </vt:variant>
      <vt:variant>
        <vt:i4>1245246</vt:i4>
      </vt:variant>
      <vt:variant>
        <vt:i4>170</vt:i4>
      </vt:variant>
      <vt:variant>
        <vt:i4>0</vt:i4>
      </vt:variant>
      <vt:variant>
        <vt:i4>5</vt:i4>
      </vt:variant>
      <vt:variant>
        <vt:lpwstr/>
      </vt:variant>
      <vt:variant>
        <vt:lpwstr>_Toc378256071</vt:lpwstr>
      </vt:variant>
      <vt:variant>
        <vt:i4>1245246</vt:i4>
      </vt:variant>
      <vt:variant>
        <vt:i4>164</vt:i4>
      </vt:variant>
      <vt:variant>
        <vt:i4>0</vt:i4>
      </vt:variant>
      <vt:variant>
        <vt:i4>5</vt:i4>
      </vt:variant>
      <vt:variant>
        <vt:lpwstr/>
      </vt:variant>
      <vt:variant>
        <vt:lpwstr>_Toc378256070</vt:lpwstr>
      </vt:variant>
      <vt:variant>
        <vt:i4>1179710</vt:i4>
      </vt:variant>
      <vt:variant>
        <vt:i4>158</vt:i4>
      </vt:variant>
      <vt:variant>
        <vt:i4>0</vt:i4>
      </vt:variant>
      <vt:variant>
        <vt:i4>5</vt:i4>
      </vt:variant>
      <vt:variant>
        <vt:lpwstr/>
      </vt:variant>
      <vt:variant>
        <vt:lpwstr>_Toc378256069</vt:lpwstr>
      </vt:variant>
      <vt:variant>
        <vt:i4>1179710</vt:i4>
      </vt:variant>
      <vt:variant>
        <vt:i4>152</vt:i4>
      </vt:variant>
      <vt:variant>
        <vt:i4>0</vt:i4>
      </vt:variant>
      <vt:variant>
        <vt:i4>5</vt:i4>
      </vt:variant>
      <vt:variant>
        <vt:lpwstr/>
      </vt:variant>
      <vt:variant>
        <vt:lpwstr>_Toc378256068</vt:lpwstr>
      </vt:variant>
      <vt:variant>
        <vt:i4>1179710</vt:i4>
      </vt:variant>
      <vt:variant>
        <vt:i4>146</vt:i4>
      </vt:variant>
      <vt:variant>
        <vt:i4>0</vt:i4>
      </vt:variant>
      <vt:variant>
        <vt:i4>5</vt:i4>
      </vt:variant>
      <vt:variant>
        <vt:lpwstr/>
      </vt:variant>
      <vt:variant>
        <vt:lpwstr>_Toc378256067</vt:lpwstr>
      </vt:variant>
      <vt:variant>
        <vt:i4>1179710</vt:i4>
      </vt:variant>
      <vt:variant>
        <vt:i4>140</vt:i4>
      </vt:variant>
      <vt:variant>
        <vt:i4>0</vt:i4>
      </vt:variant>
      <vt:variant>
        <vt:i4>5</vt:i4>
      </vt:variant>
      <vt:variant>
        <vt:lpwstr/>
      </vt:variant>
      <vt:variant>
        <vt:lpwstr>_Toc378256066</vt:lpwstr>
      </vt:variant>
      <vt:variant>
        <vt:i4>1179710</vt:i4>
      </vt:variant>
      <vt:variant>
        <vt:i4>134</vt:i4>
      </vt:variant>
      <vt:variant>
        <vt:i4>0</vt:i4>
      </vt:variant>
      <vt:variant>
        <vt:i4>5</vt:i4>
      </vt:variant>
      <vt:variant>
        <vt:lpwstr/>
      </vt:variant>
      <vt:variant>
        <vt:lpwstr>_Toc378256065</vt:lpwstr>
      </vt:variant>
      <vt:variant>
        <vt:i4>1179710</vt:i4>
      </vt:variant>
      <vt:variant>
        <vt:i4>128</vt:i4>
      </vt:variant>
      <vt:variant>
        <vt:i4>0</vt:i4>
      </vt:variant>
      <vt:variant>
        <vt:i4>5</vt:i4>
      </vt:variant>
      <vt:variant>
        <vt:lpwstr/>
      </vt:variant>
      <vt:variant>
        <vt:lpwstr>_Toc378256064</vt:lpwstr>
      </vt:variant>
      <vt:variant>
        <vt:i4>1179710</vt:i4>
      </vt:variant>
      <vt:variant>
        <vt:i4>122</vt:i4>
      </vt:variant>
      <vt:variant>
        <vt:i4>0</vt:i4>
      </vt:variant>
      <vt:variant>
        <vt:i4>5</vt:i4>
      </vt:variant>
      <vt:variant>
        <vt:lpwstr/>
      </vt:variant>
      <vt:variant>
        <vt:lpwstr>_Toc378256063</vt:lpwstr>
      </vt:variant>
      <vt:variant>
        <vt:i4>1179710</vt:i4>
      </vt:variant>
      <vt:variant>
        <vt:i4>116</vt:i4>
      </vt:variant>
      <vt:variant>
        <vt:i4>0</vt:i4>
      </vt:variant>
      <vt:variant>
        <vt:i4>5</vt:i4>
      </vt:variant>
      <vt:variant>
        <vt:lpwstr/>
      </vt:variant>
      <vt:variant>
        <vt:lpwstr>_Toc378256062</vt:lpwstr>
      </vt:variant>
      <vt:variant>
        <vt:i4>1179710</vt:i4>
      </vt:variant>
      <vt:variant>
        <vt:i4>110</vt:i4>
      </vt:variant>
      <vt:variant>
        <vt:i4>0</vt:i4>
      </vt:variant>
      <vt:variant>
        <vt:i4>5</vt:i4>
      </vt:variant>
      <vt:variant>
        <vt:lpwstr/>
      </vt:variant>
      <vt:variant>
        <vt:lpwstr>_Toc378256061</vt:lpwstr>
      </vt:variant>
      <vt:variant>
        <vt:i4>1179710</vt:i4>
      </vt:variant>
      <vt:variant>
        <vt:i4>104</vt:i4>
      </vt:variant>
      <vt:variant>
        <vt:i4>0</vt:i4>
      </vt:variant>
      <vt:variant>
        <vt:i4>5</vt:i4>
      </vt:variant>
      <vt:variant>
        <vt:lpwstr/>
      </vt:variant>
      <vt:variant>
        <vt:lpwstr>_Toc378256060</vt:lpwstr>
      </vt:variant>
      <vt:variant>
        <vt:i4>1114174</vt:i4>
      </vt:variant>
      <vt:variant>
        <vt:i4>98</vt:i4>
      </vt:variant>
      <vt:variant>
        <vt:i4>0</vt:i4>
      </vt:variant>
      <vt:variant>
        <vt:i4>5</vt:i4>
      </vt:variant>
      <vt:variant>
        <vt:lpwstr/>
      </vt:variant>
      <vt:variant>
        <vt:lpwstr>_Toc378256059</vt:lpwstr>
      </vt:variant>
      <vt:variant>
        <vt:i4>1114174</vt:i4>
      </vt:variant>
      <vt:variant>
        <vt:i4>92</vt:i4>
      </vt:variant>
      <vt:variant>
        <vt:i4>0</vt:i4>
      </vt:variant>
      <vt:variant>
        <vt:i4>5</vt:i4>
      </vt:variant>
      <vt:variant>
        <vt:lpwstr/>
      </vt:variant>
      <vt:variant>
        <vt:lpwstr>_Toc378256058</vt:lpwstr>
      </vt:variant>
      <vt:variant>
        <vt:i4>1114174</vt:i4>
      </vt:variant>
      <vt:variant>
        <vt:i4>86</vt:i4>
      </vt:variant>
      <vt:variant>
        <vt:i4>0</vt:i4>
      </vt:variant>
      <vt:variant>
        <vt:i4>5</vt:i4>
      </vt:variant>
      <vt:variant>
        <vt:lpwstr/>
      </vt:variant>
      <vt:variant>
        <vt:lpwstr>_Toc378256057</vt:lpwstr>
      </vt:variant>
      <vt:variant>
        <vt:i4>1114174</vt:i4>
      </vt:variant>
      <vt:variant>
        <vt:i4>80</vt:i4>
      </vt:variant>
      <vt:variant>
        <vt:i4>0</vt:i4>
      </vt:variant>
      <vt:variant>
        <vt:i4>5</vt:i4>
      </vt:variant>
      <vt:variant>
        <vt:lpwstr/>
      </vt:variant>
      <vt:variant>
        <vt:lpwstr>_Toc378256056</vt:lpwstr>
      </vt:variant>
      <vt:variant>
        <vt:i4>1114174</vt:i4>
      </vt:variant>
      <vt:variant>
        <vt:i4>74</vt:i4>
      </vt:variant>
      <vt:variant>
        <vt:i4>0</vt:i4>
      </vt:variant>
      <vt:variant>
        <vt:i4>5</vt:i4>
      </vt:variant>
      <vt:variant>
        <vt:lpwstr/>
      </vt:variant>
      <vt:variant>
        <vt:lpwstr>_Toc378256055</vt:lpwstr>
      </vt:variant>
      <vt:variant>
        <vt:i4>1114174</vt:i4>
      </vt:variant>
      <vt:variant>
        <vt:i4>68</vt:i4>
      </vt:variant>
      <vt:variant>
        <vt:i4>0</vt:i4>
      </vt:variant>
      <vt:variant>
        <vt:i4>5</vt:i4>
      </vt:variant>
      <vt:variant>
        <vt:lpwstr/>
      </vt:variant>
      <vt:variant>
        <vt:lpwstr>_Toc378256054</vt:lpwstr>
      </vt:variant>
      <vt:variant>
        <vt:i4>1114174</vt:i4>
      </vt:variant>
      <vt:variant>
        <vt:i4>62</vt:i4>
      </vt:variant>
      <vt:variant>
        <vt:i4>0</vt:i4>
      </vt:variant>
      <vt:variant>
        <vt:i4>5</vt:i4>
      </vt:variant>
      <vt:variant>
        <vt:lpwstr/>
      </vt:variant>
      <vt:variant>
        <vt:lpwstr>_Toc378256053</vt:lpwstr>
      </vt:variant>
      <vt:variant>
        <vt:i4>1114174</vt:i4>
      </vt:variant>
      <vt:variant>
        <vt:i4>56</vt:i4>
      </vt:variant>
      <vt:variant>
        <vt:i4>0</vt:i4>
      </vt:variant>
      <vt:variant>
        <vt:i4>5</vt:i4>
      </vt:variant>
      <vt:variant>
        <vt:lpwstr/>
      </vt:variant>
      <vt:variant>
        <vt:lpwstr>_Toc378256052</vt:lpwstr>
      </vt:variant>
      <vt:variant>
        <vt:i4>1114174</vt:i4>
      </vt:variant>
      <vt:variant>
        <vt:i4>50</vt:i4>
      </vt:variant>
      <vt:variant>
        <vt:i4>0</vt:i4>
      </vt:variant>
      <vt:variant>
        <vt:i4>5</vt:i4>
      </vt:variant>
      <vt:variant>
        <vt:lpwstr/>
      </vt:variant>
      <vt:variant>
        <vt:lpwstr>_Toc378256051</vt:lpwstr>
      </vt:variant>
      <vt:variant>
        <vt:i4>1114174</vt:i4>
      </vt:variant>
      <vt:variant>
        <vt:i4>44</vt:i4>
      </vt:variant>
      <vt:variant>
        <vt:i4>0</vt:i4>
      </vt:variant>
      <vt:variant>
        <vt:i4>5</vt:i4>
      </vt:variant>
      <vt:variant>
        <vt:lpwstr/>
      </vt:variant>
      <vt:variant>
        <vt:lpwstr>_Toc378256050</vt:lpwstr>
      </vt:variant>
      <vt:variant>
        <vt:i4>1048638</vt:i4>
      </vt:variant>
      <vt:variant>
        <vt:i4>38</vt:i4>
      </vt:variant>
      <vt:variant>
        <vt:i4>0</vt:i4>
      </vt:variant>
      <vt:variant>
        <vt:i4>5</vt:i4>
      </vt:variant>
      <vt:variant>
        <vt:lpwstr/>
      </vt:variant>
      <vt:variant>
        <vt:lpwstr>_Toc378256049</vt:lpwstr>
      </vt:variant>
      <vt:variant>
        <vt:i4>1048638</vt:i4>
      </vt:variant>
      <vt:variant>
        <vt:i4>32</vt:i4>
      </vt:variant>
      <vt:variant>
        <vt:i4>0</vt:i4>
      </vt:variant>
      <vt:variant>
        <vt:i4>5</vt:i4>
      </vt:variant>
      <vt:variant>
        <vt:lpwstr/>
      </vt:variant>
      <vt:variant>
        <vt:lpwstr>_Toc378256048</vt:lpwstr>
      </vt:variant>
      <vt:variant>
        <vt:i4>1048638</vt:i4>
      </vt:variant>
      <vt:variant>
        <vt:i4>26</vt:i4>
      </vt:variant>
      <vt:variant>
        <vt:i4>0</vt:i4>
      </vt:variant>
      <vt:variant>
        <vt:i4>5</vt:i4>
      </vt:variant>
      <vt:variant>
        <vt:lpwstr/>
      </vt:variant>
      <vt:variant>
        <vt:lpwstr>_Toc378256047</vt:lpwstr>
      </vt:variant>
      <vt:variant>
        <vt:i4>1048638</vt:i4>
      </vt:variant>
      <vt:variant>
        <vt:i4>20</vt:i4>
      </vt:variant>
      <vt:variant>
        <vt:i4>0</vt:i4>
      </vt:variant>
      <vt:variant>
        <vt:i4>5</vt:i4>
      </vt:variant>
      <vt:variant>
        <vt:lpwstr/>
      </vt:variant>
      <vt:variant>
        <vt:lpwstr>_Toc378256046</vt:lpwstr>
      </vt:variant>
      <vt:variant>
        <vt:i4>1048638</vt:i4>
      </vt:variant>
      <vt:variant>
        <vt:i4>14</vt:i4>
      </vt:variant>
      <vt:variant>
        <vt:i4>0</vt:i4>
      </vt:variant>
      <vt:variant>
        <vt:i4>5</vt:i4>
      </vt:variant>
      <vt:variant>
        <vt:lpwstr/>
      </vt:variant>
      <vt:variant>
        <vt:lpwstr>_Toc378256045</vt:lpwstr>
      </vt:variant>
      <vt:variant>
        <vt:i4>1048638</vt:i4>
      </vt:variant>
      <vt:variant>
        <vt:i4>8</vt:i4>
      </vt:variant>
      <vt:variant>
        <vt:i4>0</vt:i4>
      </vt:variant>
      <vt:variant>
        <vt:i4>5</vt:i4>
      </vt:variant>
      <vt:variant>
        <vt:lpwstr/>
      </vt:variant>
      <vt:variant>
        <vt:lpwstr>_Toc378256044</vt:lpwstr>
      </vt:variant>
      <vt:variant>
        <vt:i4>1048638</vt:i4>
      </vt:variant>
      <vt:variant>
        <vt:i4>2</vt:i4>
      </vt:variant>
      <vt:variant>
        <vt:i4>0</vt:i4>
      </vt:variant>
      <vt:variant>
        <vt:i4>5</vt:i4>
      </vt:variant>
      <vt:variant>
        <vt:lpwstr/>
      </vt:variant>
      <vt:variant>
        <vt:lpwstr>_Toc378256043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Wan, Linda</cp:lastModifiedBy>
  <cp:revision>10</cp:revision>
  <cp:lastPrinted>2014-04-28T20:59:00Z</cp:lastPrinted>
  <dcterms:created xsi:type="dcterms:W3CDTF">2016-02-22T19:20:00Z</dcterms:created>
  <dcterms:modified xsi:type="dcterms:W3CDTF">2016-03-04T00:51:00Z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y fmtid="{D5CDD505-2E9C-101B-9397-08002B2CF9AE}" pid="4" name="Order">
    <vt:r8>1661000</vt:r8>
  </property>
  <property fmtid="{D5CDD505-2E9C-101B-9397-08002B2CF9AE}" pid="5" name="TemplateUrl">
    <vt:lpwstr/>
  </property>
  <property fmtid="{D5CDD505-2E9C-101B-9397-08002B2CF9AE}" pid="6" name="_SourceUrl">
    <vt:lpwstr/>
  </property>
  <property fmtid="{D5CDD505-2E9C-101B-9397-08002B2CF9AE}" pid="7" name="_SharedFileIndex">
    <vt:lpwstr/>
  </property>
  <property fmtid="{D5CDD505-2E9C-101B-9397-08002B2CF9AE}" pid="8" name="xd_Signature">
    <vt:bool>false</vt:bool>
  </property>
  <property fmtid="{D5CDD505-2E9C-101B-9397-08002B2CF9AE}" pid="9" name="xd_ProgID">
    <vt:lpwstr/>
  </property>
</Properties>
</file>