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C7096" w14:textId="77777777"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693624">
        <w:rPr>
          <w:rFonts w:ascii="Arial" w:hAnsi="Arial" w:cs="Arial"/>
          <w:b/>
          <w:sz w:val="48"/>
          <w:szCs w:val="48"/>
        </w:rPr>
        <w:t>179</w:t>
      </w:r>
    </w:p>
    <w:p w14:paraId="1678145E" w14:textId="77777777"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94654D">
        <w:rPr>
          <w:rFonts w:ascii="Arial" w:hAnsi="Arial" w:cs="Arial"/>
          <w:b/>
          <w:sz w:val="48"/>
          <w:szCs w:val="48"/>
        </w:rPr>
        <w:t xml:space="preserve">Ambient </w:t>
      </w:r>
      <w:r w:rsidR="00B71BAD">
        <w:rPr>
          <w:rFonts w:ascii="Arial" w:hAnsi="Arial" w:cs="Arial"/>
          <w:b/>
          <w:sz w:val="48"/>
          <w:szCs w:val="48"/>
        </w:rPr>
        <w:t>Commercial</w:t>
      </w:r>
      <w:r w:rsidR="006953C6">
        <w:rPr>
          <w:rFonts w:ascii="Arial" w:hAnsi="Arial" w:cs="Arial"/>
          <w:b/>
          <w:sz w:val="48"/>
          <w:szCs w:val="48"/>
        </w:rPr>
        <w:t xml:space="preserve"> Fixtures</w:t>
      </w:r>
      <w:r w:rsidR="00402353">
        <w:rPr>
          <w:rFonts w:ascii="Arial" w:hAnsi="Arial" w:cs="Arial"/>
          <w:b/>
          <w:sz w:val="48"/>
          <w:szCs w:val="48"/>
        </w:rPr>
        <w:t xml:space="preserve"> and Retrofit Kits</w:t>
      </w:r>
    </w:p>
    <w:p w14:paraId="17B226E1" w14:textId="77777777"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Revision #</w:t>
      </w:r>
      <w:bookmarkEnd w:id="1"/>
      <w:r w:rsidR="002F44AD">
        <w:rPr>
          <w:rFonts w:ascii="Arial" w:hAnsi="Arial" w:cs="Arial"/>
          <w:b/>
          <w:sz w:val="48"/>
          <w:szCs w:val="48"/>
        </w:rPr>
        <w:t xml:space="preserve"> </w:t>
      </w:r>
      <w:r w:rsidR="00EF1F92">
        <w:rPr>
          <w:rFonts w:ascii="Arial" w:hAnsi="Arial" w:cs="Arial"/>
          <w:b/>
          <w:sz w:val="48"/>
          <w:szCs w:val="48"/>
        </w:rPr>
        <w:t>6</w:t>
      </w:r>
    </w:p>
    <w:p w14:paraId="288A3937" w14:textId="77777777" w:rsidR="003129E8" w:rsidRDefault="00B67AB6" w:rsidP="00B67AB6">
      <w:pPr>
        <w:tabs>
          <w:tab w:val="left" w:pos="5835"/>
        </w:tabs>
      </w:pPr>
      <w:r>
        <w:tab/>
      </w:r>
    </w:p>
    <w:p w14:paraId="59C1C4A7" w14:textId="77777777"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79A2140E" w14:textId="77777777"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14:paraId="59E851AC" w14:textId="77777777" w:rsidR="004D0E10" w:rsidRDefault="004D0E10" w:rsidP="00A167EC">
      <w:pPr>
        <w:ind w:right="-720"/>
        <w:rPr>
          <w:rFonts w:ascii="Arial" w:hAnsi="Arial" w:cs="Arial"/>
          <w:b/>
          <w:sz w:val="72"/>
          <w:szCs w:val="72"/>
        </w:rPr>
      </w:pPr>
    </w:p>
    <w:p w14:paraId="4092259A" w14:textId="77777777" w:rsidR="004D0E10" w:rsidRDefault="004D0E10" w:rsidP="00A167EC">
      <w:pPr>
        <w:ind w:right="-720"/>
        <w:rPr>
          <w:rFonts w:ascii="Arial" w:hAnsi="Arial" w:cs="Arial"/>
          <w:b/>
          <w:sz w:val="72"/>
          <w:szCs w:val="72"/>
        </w:rPr>
      </w:pPr>
    </w:p>
    <w:p w14:paraId="41B950EC" w14:textId="77777777" w:rsidR="004D0E10" w:rsidRDefault="004D0E10" w:rsidP="00A167EC">
      <w:pPr>
        <w:ind w:right="-720"/>
        <w:rPr>
          <w:rFonts w:ascii="Arial" w:hAnsi="Arial" w:cs="Arial"/>
          <w:b/>
          <w:sz w:val="72"/>
          <w:szCs w:val="72"/>
        </w:rPr>
      </w:pPr>
    </w:p>
    <w:p w14:paraId="7D624E9D" w14:textId="77777777" w:rsidR="00324D0F" w:rsidRDefault="004464AA" w:rsidP="00A167EC">
      <w:pPr>
        <w:ind w:right="-720"/>
        <w:rPr>
          <w:rFonts w:ascii="Arial" w:hAnsi="Arial" w:cs="Arial"/>
          <w:b/>
        </w:rPr>
      </w:pPr>
      <w:r w:rsidRPr="004464AA">
        <w:rPr>
          <w:rFonts w:ascii="Arial" w:hAnsi="Arial" w:cs="Arial"/>
          <w:b/>
          <w:sz w:val="72"/>
          <w:szCs w:val="72"/>
        </w:rPr>
        <w:t xml:space="preserve">LED </w:t>
      </w:r>
      <w:r w:rsidR="00C27933">
        <w:rPr>
          <w:rFonts w:ascii="Arial" w:hAnsi="Arial" w:cs="Arial"/>
          <w:b/>
          <w:sz w:val="72"/>
          <w:szCs w:val="72"/>
        </w:rPr>
        <w:t xml:space="preserve">Ambient </w:t>
      </w:r>
      <w:r w:rsidR="00B71BAD">
        <w:rPr>
          <w:rFonts w:ascii="Arial" w:hAnsi="Arial" w:cs="Arial"/>
          <w:b/>
          <w:sz w:val="72"/>
          <w:szCs w:val="72"/>
        </w:rPr>
        <w:t xml:space="preserve">Commercial </w:t>
      </w:r>
      <w:r w:rsidR="00B71BAD" w:rsidRPr="00402353">
        <w:rPr>
          <w:rFonts w:ascii="Arial" w:hAnsi="Arial" w:cs="Arial"/>
          <w:b/>
          <w:sz w:val="72"/>
          <w:szCs w:val="72"/>
        </w:rPr>
        <w:t>Fixtures</w:t>
      </w:r>
      <w:r w:rsidR="00402353" w:rsidRPr="00402353">
        <w:rPr>
          <w:rFonts w:ascii="Arial" w:hAnsi="Arial" w:cs="Arial"/>
          <w:b/>
          <w:sz w:val="72"/>
          <w:szCs w:val="72"/>
        </w:rPr>
        <w:t xml:space="preserve"> and Retrofit Kits</w:t>
      </w:r>
    </w:p>
    <w:p w14:paraId="3F6ED7EB" w14:textId="3F30D161" w:rsidR="00CB3583" w:rsidRPr="008237CB" w:rsidRDefault="00A167EC" w:rsidP="008D3D2D">
      <w:pPr>
        <w:ind w:right="-720"/>
        <w:rPr>
          <w:rFonts w:ascii="Arial" w:hAnsi="Arial" w:cs="Arial"/>
          <w:b/>
        </w:rPr>
      </w:pPr>
      <w:r w:rsidRPr="008237CB">
        <w:rPr>
          <w:rFonts w:ascii="Arial" w:hAnsi="Arial" w:cs="Arial"/>
          <w:b/>
        </w:rPr>
        <w:t>Measure Codes</w:t>
      </w:r>
      <w:r w:rsidRPr="008237CB">
        <w:rPr>
          <w:rFonts w:ascii="Arial" w:hAnsi="Arial" w:cs="Arial"/>
          <w:b/>
          <w:color w:val="FF0000"/>
        </w:rPr>
        <w:t xml:space="preserve"> </w:t>
      </w:r>
      <w:r w:rsidR="00C93E64" w:rsidRPr="008237CB">
        <w:rPr>
          <w:rFonts w:ascii="Arial" w:hAnsi="Arial" w:cs="Arial"/>
          <w:b/>
        </w:rPr>
        <w:t>L</w:t>
      </w:r>
      <w:r w:rsidR="00990A52" w:rsidRPr="008237CB">
        <w:rPr>
          <w:rFonts w:ascii="Arial" w:hAnsi="Arial" w:cs="Arial"/>
          <w:b/>
        </w:rPr>
        <w:t>T</w:t>
      </w:r>
      <w:r w:rsidR="00982CCC" w:rsidRPr="008237CB">
        <w:rPr>
          <w:rFonts w:ascii="Arial" w:hAnsi="Arial" w:cs="Arial"/>
          <w:b/>
        </w:rPr>
        <w:t>4</w:t>
      </w:r>
      <w:r w:rsidR="00886761" w:rsidRPr="008237CB">
        <w:rPr>
          <w:rFonts w:ascii="Arial" w:hAnsi="Arial" w:cs="Arial"/>
          <w:b/>
        </w:rPr>
        <w:t>8</w:t>
      </w:r>
      <w:r w:rsidR="00982CCC" w:rsidRPr="008237CB">
        <w:rPr>
          <w:rFonts w:ascii="Arial" w:hAnsi="Arial" w:cs="Arial"/>
          <w:b/>
        </w:rPr>
        <w:t>8</w:t>
      </w:r>
      <w:r w:rsidR="005559E5" w:rsidRPr="008237CB">
        <w:rPr>
          <w:rFonts w:ascii="Arial" w:hAnsi="Arial" w:cs="Arial"/>
          <w:b/>
        </w:rPr>
        <w:t xml:space="preserve"> </w:t>
      </w:r>
      <w:r w:rsidR="008237CB">
        <w:rPr>
          <w:rFonts w:ascii="Arial" w:hAnsi="Arial" w:cs="Arial"/>
          <w:b/>
        </w:rPr>
        <w:t>–</w:t>
      </w:r>
      <w:r w:rsidR="005559E5" w:rsidRPr="008237CB">
        <w:rPr>
          <w:rFonts w:ascii="Arial" w:hAnsi="Arial" w:cs="Arial"/>
          <w:b/>
        </w:rPr>
        <w:t xml:space="preserve"> </w:t>
      </w:r>
      <w:r w:rsidR="008237CB">
        <w:rPr>
          <w:rFonts w:ascii="Arial" w:hAnsi="Arial" w:cs="Arial"/>
          <w:b/>
        </w:rPr>
        <w:t xml:space="preserve">LT499; </w:t>
      </w:r>
      <w:r w:rsidR="00982CCC" w:rsidRPr="008237CB">
        <w:rPr>
          <w:rFonts w:ascii="Arial" w:hAnsi="Arial" w:cs="Arial"/>
          <w:b/>
        </w:rPr>
        <w:t>LT5</w:t>
      </w:r>
      <w:r w:rsidR="008237CB">
        <w:rPr>
          <w:rFonts w:ascii="Arial" w:hAnsi="Arial" w:cs="Arial"/>
          <w:b/>
        </w:rPr>
        <w:t>02-LT513</w:t>
      </w:r>
    </w:p>
    <w:p w14:paraId="1A5E2804" w14:textId="77777777" w:rsidR="00E71EF1" w:rsidRDefault="00C93E64" w:rsidP="00E3447D">
      <w:pPr>
        <w:pStyle w:val="Heading1"/>
        <w:spacing w:before="0"/>
      </w:pPr>
      <w:r>
        <w:br w:type="page"/>
      </w:r>
      <w:bookmarkStart w:id="2" w:name="_Toc533933910"/>
      <w:bookmarkStart w:id="3" w:name="_Toc2808631"/>
      <w:r w:rsidR="00E731C6">
        <w:lastRenderedPageBreak/>
        <w:t>At-</w:t>
      </w:r>
      <w:r w:rsidR="00E71EF1">
        <w:t>a</w:t>
      </w:r>
      <w:r w:rsidR="00E731C6">
        <w:t>-</w:t>
      </w:r>
      <w:r w:rsidR="00E71EF1">
        <w:t>Glance Summary</w:t>
      </w:r>
      <w:bookmarkEnd w:id="2"/>
      <w:bookmarkEnd w:id="3"/>
    </w:p>
    <w:tbl>
      <w:tblPr>
        <w:tblW w:w="9558" w:type="dxa"/>
        <w:tblInd w:w="-72" w:type="dxa"/>
        <w:tblBorders>
          <w:insideH w:val="single" w:sz="18" w:space="0" w:color="FFFFFF" w:themeColor="background1"/>
          <w:insideV w:val="single" w:sz="18" w:space="0" w:color="FFFFFF" w:themeColor="background1"/>
        </w:tblBorders>
        <w:tblLook w:val="01E0" w:firstRow="1" w:lastRow="1" w:firstColumn="1" w:lastColumn="1" w:noHBand="0" w:noVBand="0"/>
      </w:tblPr>
      <w:tblGrid>
        <w:gridCol w:w="3510"/>
        <w:gridCol w:w="6048"/>
      </w:tblGrid>
      <w:tr w:rsidR="008D3D2D" w:rsidRPr="00783DAC" w14:paraId="2C5EBD4D" w14:textId="77777777" w:rsidTr="00E3447D">
        <w:trPr>
          <w:trHeight w:val="465"/>
        </w:trPr>
        <w:tc>
          <w:tcPr>
            <w:tcW w:w="3510" w:type="dxa"/>
            <w:shd w:val="clear" w:color="auto" w:fill="FFFFFF" w:themeFill="background1"/>
          </w:tcPr>
          <w:p w14:paraId="2931EC88" w14:textId="77777777" w:rsidR="008D3D2D" w:rsidRPr="00F027AA" w:rsidRDefault="008D3D2D" w:rsidP="0028709C">
            <w:pPr>
              <w:rPr>
                <w:b/>
                <w:bCs/>
              </w:rPr>
            </w:pPr>
            <w:r w:rsidRPr="00F027AA">
              <w:rPr>
                <w:b/>
                <w:bCs/>
              </w:rPr>
              <w:t>Applicable Measure Codes:</w:t>
            </w:r>
          </w:p>
        </w:tc>
        <w:tc>
          <w:tcPr>
            <w:tcW w:w="6048" w:type="dxa"/>
            <w:shd w:val="clear" w:color="auto" w:fill="FFFFFF" w:themeFill="background1"/>
          </w:tcPr>
          <w:p w14:paraId="7B4BF764" w14:textId="73A80EF2" w:rsidR="008D3D2D" w:rsidRPr="00E3447D" w:rsidRDefault="006F0984" w:rsidP="008237CB">
            <w:pPr>
              <w:rPr>
                <w:bCs/>
                <w:sz w:val="22"/>
                <w:szCs w:val="22"/>
              </w:rPr>
            </w:pPr>
            <w:r w:rsidRPr="00E3447D">
              <w:rPr>
                <w:bCs/>
                <w:sz w:val="22"/>
                <w:szCs w:val="22"/>
              </w:rPr>
              <w:t>LT</w:t>
            </w:r>
            <w:r w:rsidR="00A25D8F" w:rsidRPr="00E3447D">
              <w:rPr>
                <w:bCs/>
                <w:sz w:val="22"/>
                <w:szCs w:val="22"/>
              </w:rPr>
              <w:t>4</w:t>
            </w:r>
            <w:r w:rsidR="00886761" w:rsidRPr="00E3447D">
              <w:rPr>
                <w:bCs/>
                <w:sz w:val="22"/>
                <w:szCs w:val="22"/>
              </w:rPr>
              <w:t>8</w:t>
            </w:r>
            <w:r w:rsidR="00A25D8F" w:rsidRPr="00E3447D">
              <w:rPr>
                <w:bCs/>
                <w:sz w:val="22"/>
                <w:szCs w:val="22"/>
              </w:rPr>
              <w:t>8</w:t>
            </w:r>
            <w:r w:rsidRPr="00E3447D">
              <w:rPr>
                <w:bCs/>
                <w:sz w:val="22"/>
                <w:szCs w:val="22"/>
              </w:rPr>
              <w:t xml:space="preserve">– </w:t>
            </w:r>
            <w:r w:rsidR="008237CB" w:rsidRPr="00E3447D">
              <w:rPr>
                <w:bCs/>
                <w:sz w:val="22"/>
                <w:szCs w:val="22"/>
              </w:rPr>
              <w:t>LT499; LT502-LT513</w:t>
            </w:r>
          </w:p>
        </w:tc>
      </w:tr>
      <w:tr w:rsidR="008D3D2D" w:rsidRPr="00783DAC" w14:paraId="567530DE" w14:textId="77777777" w:rsidTr="00E3447D">
        <w:trPr>
          <w:trHeight w:val="465"/>
        </w:trPr>
        <w:tc>
          <w:tcPr>
            <w:tcW w:w="3510" w:type="dxa"/>
            <w:shd w:val="clear" w:color="auto" w:fill="FFFFFF" w:themeFill="background1"/>
          </w:tcPr>
          <w:p w14:paraId="4991041F" w14:textId="77777777" w:rsidR="008D3D2D" w:rsidRPr="00F027AA" w:rsidRDefault="008D3D2D" w:rsidP="0028709C">
            <w:pPr>
              <w:rPr>
                <w:b/>
              </w:rPr>
            </w:pPr>
            <w:r w:rsidRPr="00F027AA">
              <w:rPr>
                <w:b/>
              </w:rPr>
              <w:t xml:space="preserve">Measure Description: </w:t>
            </w:r>
          </w:p>
        </w:tc>
        <w:tc>
          <w:tcPr>
            <w:tcW w:w="6048" w:type="dxa"/>
            <w:shd w:val="clear" w:color="auto" w:fill="FFFFFF" w:themeFill="background1"/>
          </w:tcPr>
          <w:p w14:paraId="5B57E83C" w14:textId="11523FBF" w:rsidR="008D3D2D" w:rsidRPr="00E3447D" w:rsidRDefault="00661F2B" w:rsidP="004C3B88">
            <w:pPr>
              <w:rPr>
                <w:bCs/>
                <w:sz w:val="22"/>
                <w:szCs w:val="22"/>
              </w:rPr>
            </w:pPr>
            <w:r w:rsidRPr="00E3447D">
              <w:rPr>
                <w:bCs/>
                <w:sz w:val="22"/>
                <w:szCs w:val="22"/>
              </w:rPr>
              <w:t>LED Luminaires/Retrofit Kits rated ≥</w:t>
            </w:r>
            <w:r w:rsidR="004C3B88" w:rsidRPr="00E3447D">
              <w:rPr>
                <w:bCs/>
                <w:sz w:val="22"/>
                <w:szCs w:val="22"/>
              </w:rPr>
              <w:t>1</w:t>
            </w:r>
            <w:r w:rsidR="0008524A" w:rsidRPr="00E3447D">
              <w:rPr>
                <w:bCs/>
                <w:sz w:val="22"/>
                <w:szCs w:val="22"/>
              </w:rPr>
              <w:t>25</w:t>
            </w:r>
            <w:r w:rsidR="004C3B88" w:rsidRPr="00E3447D">
              <w:rPr>
                <w:bCs/>
                <w:sz w:val="22"/>
                <w:szCs w:val="22"/>
              </w:rPr>
              <w:t xml:space="preserve"> LPW</w:t>
            </w:r>
            <w:r w:rsidRPr="00E3447D">
              <w:rPr>
                <w:bCs/>
                <w:sz w:val="22"/>
                <w:szCs w:val="22"/>
              </w:rPr>
              <w:t xml:space="preserve">, </w:t>
            </w:r>
            <w:r w:rsidR="004862F4" w:rsidRPr="00E3447D">
              <w:rPr>
                <w:bCs/>
                <w:sz w:val="22"/>
                <w:szCs w:val="22"/>
              </w:rPr>
              <w:t xml:space="preserve">Linear </w:t>
            </w:r>
            <w:r w:rsidRPr="00E3447D">
              <w:rPr>
                <w:bCs/>
                <w:sz w:val="22"/>
                <w:szCs w:val="22"/>
              </w:rPr>
              <w:t xml:space="preserve">Ambient </w:t>
            </w:r>
            <w:r w:rsidR="004862F4" w:rsidRPr="00E3447D">
              <w:rPr>
                <w:bCs/>
                <w:sz w:val="22"/>
                <w:szCs w:val="22"/>
              </w:rPr>
              <w:t>and Troffer General Applications</w:t>
            </w:r>
          </w:p>
        </w:tc>
      </w:tr>
      <w:tr w:rsidR="00735CF0" w:rsidRPr="00783DAC" w14:paraId="3517406C" w14:textId="77777777" w:rsidTr="00E3447D">
        <w:trPr>
          <w:trHeight w:val="465"/>
        </w:trPr>
        <w:tc>
          <w:tcPr>
            <w:tcW w:w="3510" w:type="dxa"/>
            <w:shd w:val="clear" w:color="auto" w:fill="FFFFFF" w:themeFill="background1"/>
          </w:tcPr>
          <w:p w14:paraId="68E0A424" w14:textId="77777777" w:rsidR="00735CF0" w:rsidRPr="00F027AA" w:rsidRDefault="00735CF0" w:rsidP="00E3447D">
            <w:pPr>
              <w:spacing w:before="80"/>
              <w:rPr>
                <w:b/>
              </w:rPr>
            </w:pPr>
            <w:r w:rsidRPr="00F027AA">
              <w:rPr>
                <w:b/>
              </w:rPr>
              <w:t xml:space="preserve">Energy Impact Common Units: </w:t>
            </w:r>
          </w:p>
        </w:tc>
        <w:tc>
          <w:tcPr>
            <w:tcW w:w="6048" w:type="dxa"/>
            <w:shd w:val="clear" w:color="auto" w:fill="FFFFFF" w:themeFill="background1"/>
          </w:tcPr>
          <w:p w14:paraId="0D05DDB6" w14:textId="77777777" w:rsidR="00735CF0" w:rsidRPr="00E3447D" w:rsidRDefault="005C31D5" w:rsidP="00E3447D">
            <w:pPr>
              <w:spacing w:before="80"/>
              <w:rPr>
                <w:bCs/>
                <w:sz w:val="22"/>
                <w:szCs w:val="22"/>
              </w:rPr>
            </w:pPr>
            <w:proofErr w:type="spellStart"/>
            <w:r w:rsidRPr="00E3447D">
              <w:rPr>
                <w:bCs/>
                <w:sz w:val="22"/>
                <w:szCs w:val="22"/>
              </w:rPr>
              <w:t>Kilolumen</w:t>
            </w:r>
            <w:proofErr w:type="spellEnd"/>
            <w:r w:rsidRPr="00E3447D">
              <w:rPr>
                <w:bCs/>
                <w:sz w:val="22"/>
                <w:szCs w:val="22"/>
              </w:rPr>
              <w:t xml:space="preserve"> of </w:t>
            </w:r>
            <w:r w:rsidR="0016070B" w:rsidRPr="00E3447D">
              <w:rPr>
                <w:bCs/>
                <w:sz w:val="22"/>
                <w:szCs w:val="22"/>
              </w:rPr>
              <w:t xml:space="preserve">LED </w:t>
            </w:r>
            <w:r w:rsidRPr="00E3447D">
              <w:rPr>
                <w:bCs/>
                <w:sz w:val="22"/>
                <w:szCs w:val="22"/>
              </w:rPr>
              <w:t>initial light output</w:t>
            </w:r>
          </w:p>
        </w:tc>
      </w:tr>
      <w:tr w:rsidR="00735CF0" w:rsidRPr="00783DAC" w14:paraId="72E46F17" w14:textId="77777777" w:rsidTr="00E3447D">
        <w:trPr>
          <w:trHeight w:val="465"/>
        </w:trPr>
        <w:tc>
          <w:tcPr>
            <w:tcW w:w="3510" w:type="dxa"/>
            <w:shd w:val="clear" w:color="auto" w:fill="FFFFFF" w:themeFill="background1"/>
          </w:tcPr>
          <w:p w14:paraId="580F36A4" w14:textId="77777777" w:rsidR="00735CF0" w:rsidRPr="00F027AA" w:rsidRDefault="00735CF0" w:rsidP="0028709C">
            <w:pPr>
              <w:rPr>
                <w:b/>
              </w:rPr>
            </w:pPr>
            <w:r w:rsidRPr="00F027AA">
              <w:rPr>
                <w:b/>
              </w:rPr>
              <w:t>Base Case Description:</w:t>
            </w:r>
          </w:p>
        </w:tc>
        <w:tc>
          <w:tcPr>
            <w:tcW w:w="6048" w:type="dxa"/>
            <w:shd w:val="clear" w:color="auto" w:fill="FFFFFF" w:themeFill="background1"/>
          </w:tcPr>
          <w:p w14:paraId="5AB00F63" w14:textId="74F67B1B" w:rsidR="00735CF0" w:rsidRPr="00E3447D" w:rsidRDefault="009869EB" w:rsidP="0037707D">
            <w:pPr>
              <w:rPr>
                <w:bCs/>
                <w:sz w:val="22"/>
                <w:szCs w:val="22"/>
              </w:rPr>
            </w:pPr>
            <w:r w:rsidRPr="00E3447D">
              <w:rPr>
                <w:bCs/>
                <w:sz w:val="22"/>
                <w:szCs w:val="22"/>
              </w:rPr>
              <w:t>67% new 100 lm/W LED</w:t>
            </w:r>
            <w:r w:rsidR="005C31D5" w:rsidRPr="00E3447D">
              <w:rPr>
                <w:bCs/>
                <w:sz w:val="22"/>
                <w:szCs w:val="22"/>
              </w:rPr>
              <w:t xml:space="preserve"> fixture or </w:t>
            </w:r>
            <w:r w:rsidR="00E72D01" w:rsidRPr="00E3447D">
              <w:rPr>
                <w:bCs/>
                <w:sz w:val="22"/>
                <w:szCs w:val="22"/>
              </w:rPr>
              <w:t xml:space="preserve">retrofit </w:t>
            </w:r>
            <w:r w:rsidR="005C31D5" w:rsidRPr="00E3447D">
              <w:rPr>
                <w:bCs/>
                <w:sz w:val="22"/>
                <w:szCs w:val="22"/>
              </w:rPr>
              <w:t>kit</w:t>
            </w:r>
            <w:r w:rsidRPr="00E3447D">
              <w:rPr>
                <w:bCs/>
                <w:sz w:val="22"/>
                <w:szCs w:val="22"/>
              </w:rPr>
              <w:t>; 33% linear LED replacement lamp</w:t>
            </w:r>
            <w:r w:rsidR="00AD1352" w:rsidRPr="00E3447D">
              <w:rPr>
                <w:bCs/>
                <w:sz w:val="22"/>
                <w:szCs w:val="22"/>
              </w:rPr>
              <w:t xml:space="preserve"> (TLED)</w:t>
            </w:r>
            <w:r w:rsidRPr="00E3447D">
              <w:rPr>
                <w:bCs/>
                <w:sz w:val="22"/>
                <w:szCs w:val="22"/>
              </w:rPr>
              <w:t xml:space="preserve"> in existing fluorescent fixture</w:t>
            </w:r>
            <w:r w:rsidR="005C31D5" w:rsidRPr="00E3447D">
              <w:rPr>
                <w:bCs/>
                <w:sz w:val="22"/>
                <w:szCs w:val="22"/>
              </w:rPr>
              <w:t>.</w:t>
            </w:r>
          </w:p>
          <w:p w14:paraId="2F4B32B1" w14:textId="77777777" w:rsidR="00735CF0" w:rsidRPr="00E3447D" w:rsidRDefault="00735CF0" w:rsidP="008D3D2D">
            <w:pPr>
              <w:rPr>
                <w:bCs/>
                <w:sz w:val="22"/>
                <w:szCs w:val="22"/>
              </w:rPr>
            </w:pPr>
            <w:r w:rsidRPr="00E3447D">
              <w:rPr>
                <w:bCs/>
                <w:sz w:val="22"/>
                <w:szCs w:val="22"/>
              </w:rPr>
              <w:t>Source: PG&amp;E Calculations.</w:t>
            </w:r>
          </w:p>
        </w:tc>
      </w:tr>
      <w:tr w:rsidR="00735CF0" w:rsidRPr="00783DAC" w14:paraId="2C7447C6" w14:textId="77777777" w:rsidTr="00E3447D">
        <w:trPr>
          <w:trHeight w:val="465"/>
        </w:trPr>
        <w:tc>
          <w:tcPr>
            <w:tcW w:w="3510" w:type="dxa"/>
            <w:shd w:val="clear" w:color="auto" w:fill="FFFFFF" w:themeFill="background1"/>
          </w:tcPr>
          <w:p w14:paraId="4086A770" w14:textId="77777777" w:rsidR="00735CF0" w:rsidRPr="00F027AA" w:rsidRDefault="00735CF0" w:rsidP="0028709C">
            <w:pPr>
              <w:rPr>
                <w:b/>
              </w:rPr>
            </w:pPr>
            <w:r w:rsidRPr="00F027AA">
              <w:rPr>
                <w:b/>
              </w:rPr>
              <w:t xml:space="preserve">Base Case Energy Consumption: </w:t>
            </w:r>
          </w:p>
        </w:tc>
        <w:tc>
          <w:tcPr>
            <w:tcW w:w="6048" w:type="dxa"/>
            <w:shd w:val="clear" w:color="auto" w:fill="FFFFFF" w:themeFill="background1"/>
          </w:tcPr>
          <w:p w14:paraId="4E22A90D" w14:textId="77777777" w:rsidR="00E3447D" w:rsidRDefault="009B277A" w:rsidP="00E3447D">
            <w:pPr>
              <w:spacing w:before="80"/>
              <w:rPr>
                <w:sz w:val="22"/>
                <w:szCs w:val="22"/>
              </w:rPr>
            </w:pPr>
            <w:r w:rsidRPr="00E3447D">
              <w:rPr>
                <w:sz w:val="22"/>
                <w:szCs w:val="22"/>
              </w:rPr>
              <w:t xml:space="preserve">Various. </w:t>
            </w:r>
          </w:p>
          <w:p w14:paraId="08D244B0" w14:textId="51DA1905" w:rsidR="00735CF0" w:rsidRPr="00E3447D" w:rsidRDefault="009B277A" w:rsidP="00E3447D">
            <w:pPr>
              <w:rPr>
                <w:bCs/>
                <w:sz w:val="22"/>
                <w:szCs w:val="22"/>
              </w:rPr>
            </w:pPr>
            <w:r w:rsidRPr="00E3447D">
              <w:rPr>
                <w:sz w:val="22"/>
                <w:szCs w:val="22"/>
              </w:rPr>
              <w:t xml:space="preserve">Refer to </w:t>
            </w:r>
            <w:r w:rsidR="00E3447D">
              <w:rPr>
                <w:sz w:val="22"/>
                <w:szCs w:val="22"/>
              </w:rPr>
              <w:t>“</w:t>
            </w:r>
            <w:r w:rsidR="00E3447D" w:rsidRPr="00E3447D">
              <w:rPr>
                <w:sz w:val="22"/>
                <w:szCs w:val="22"/>
              </w:rPr>
              <w:t xml:space="preserve">PGECOLTG179 R6 Ambient </w:t>
            </w:r>
            <w:proofErr w:type="spellStart"/>
            <w:r w:rsidR="00E3447D" w:rsidRPr="00E3447D">
              <w:rPr>
                <w:sz w:val="22"/>
                <w:szCs w:val="22"/>
              </w:rPr>
              <w:t>Ltg</w:t>
            </w:r>
            <w:proofErr w:type="spellEnd"/>
            <w:r w:rsidR="00E3447D" w:rsidRPr="00E3447D">
              <w:rPr>
                <w:sz w:val="22"/>
                <w:szCs w:val="22"/>
              </w:rPr>
              <w:t xml:space="preserve"> Calc_Mar2019</w:t>
            </w:r>
            <w:r w:rsidR="00E3447D">
              <w:rPr>
                <w:sz w:val="22"/>
                <w:szCs w:val="22"/>
              </w:rPr>
              <w:t>.xlsx”</w:t>
            </w:r>
          </w:p>
          <w:p w14:paraId="05A1D4FB" w14:textId="77777777" w:rsidR="00735CF0" w:rsidRPr="00E3447D" w:rsidRDefault="00735CF0" w:rsidP="008D3D2D">
            <w:pPr>
              <w:rPr>
                <w:bCs/>
                <w:sz w:val="22"/>
                <w:szCs w:val="22"/>
              </w:rPr>
            </w:pPr>
            <w:r w:rsidRPr="00E3447D">
              <w:rPr>
                <w:bCs/>
                <w:sz w:val="22"/>
                <w:szCs w:val="22"/>
              </w:rPr>
              <w:t>Source: PG&amp;E Calculations.</w:t>
            </w:r>
          </w:p>
        </w:tc>
      </w:tr>
      <w:tr w:rsidR="00735CF0" w:rsidRPr="00783DAC" w14:paraId="42637D8E" w14:textId="77777777" w:rsidTr="00E3447D">
        <w:trPr>
          <w:trHeight w:val="465"/>
        </w:trPr>
        <w:tc>
          <w:tcPr>
            <w:tcW w:w="3510" w:type="dxa"/>
            <w:shd w:val="clear" w:color="auto" w:fill="FFFFFF" w:themeFill="background1"/>
          </w:tcPr>
          <w:p w14:paraId="03F23F50" w14:textId="77777777" w:rsidR="00735CF0" w:rsidRPr="00F027AA" w:rsidRDefault="00735CF0" w:rsidP="0028709C">
            <w:pPr>
              <w:rPr>
                <w:b/>
              </w:rPr>
            </w:pPr>
            <w:r w:rsidRPr="00F027AA">
              <w:rPr>
                <w:b/>
              </w:rPr>
              <w:t>Measure Energy Consumption:</w:t>
            </w:r>
          </w:p>
          <w:p w14:paraId="7F73A55E" w14:textId="77777777" w:rsidR="00735CF0" w:rsidRPr="00F027AA" w:rsidRDefault="00735CF0" w:rsidP="0028709C">
            <w:pPr>
              <w:rPr>
                <w:rFonts w:ascii="Arial" w:hAnsi="Arial" w:cs="Arial"/>
                <w:b/>
                <w:sz w:val="20"/>
                <w:szCs w:val="20"/>
              </w:rPr>
            </w:pPr>
          </w:p>
        </w:tc>
        <w:tc>
          <w:tcPr>
            <w:tcW w:w="6048" w:type="dxa"/>
            <w:shd w:val="clear" w:color="auto" w:fill="FFFFFF" w:themeFill="background1"/>
          </w:tcPr>
          <w:p w14:paraId="636675E0" w14:textId="77777777" w:rsidR="00E3447D" w:rsidRDefault="00E3447D" w:rsidP="00E3447D">
            <w:pPr>
              <w:spacing w:before="80"/>
              <w:rPr>
                <w:sz w:val="22"/>
                <w:szCs w:val="22"/>
              </w:rPr>
            </w:pPr>
            <w:r w:rsidRPr="00E3447D">
              <w:rPr>
                <w:sz w:val="22"/>
                <w:szCs w:val="22"/>
              </w:rPr>
              <w:t xml:space="preserve">Various. </w:t>
            </w:r>
          </w:p>
          <w:p w14:paraId="129C0807" w14:textId="6CC5007B" w:rsidR="00735CF0" w:rsidRPr="00E3447D" w:rsidRDefault="00E3447D" w:rsidP="00E3447D">
            <w:pPr>
              <w:spacing w:before="80"/>
              <w:rPr>
                <w:bCs/>
                <w:sz w:val="22"/>
                <w:szCs w:val="22"/>
              </w:rPr>
            </w:pPr>
            <w:r w:rsidRPr="00E3447D">
              <w:rPr>
                <w:sz w:val="22"/>
                <w:szCs w:val="22"/>
              </w:rPr>
              <w:t xml:space="preserve">Refer to </w:t>
            </w:r>
            <w:r>
              <w:rPr>
                <w:sz w:val="22"/>
                <w:szCs w:val="22"/>
              </w:rPr>
              <w:t>“</w:t>
            </w:r>
            <w:r w:rsidRPr="00E3447D">
              <w:rPr>
                <w:sz w:val="22"/>
                <w:szCs w:val="22"/>
              </w:rPr>
              <w:t xml:space="preserve">PGECOLTG179 R6 Ambient </w:t>
            </w:r>
            <w:proofErr w:type="spellStart"/>
            <w:r w:rsidRPr="00E3447D">
              <w:rPr>
                <w:sz w:val="22"/>
                <w:szCs w:val="22"/>
              </w:rPr>
              <w:t>Ltg</w:t>
            </w:r>
            <w:proofErr w:type="spellEnd"/>
            <w:r w:rsidRPr="00E3447D">
              <w:rPr>
                <w:sz w:val="22"/>
                <w:szCs w:val="22"/>
              </w:rPr>
              <w:t xml:space="preserve"> Calc_Mar2019</w:t>
            </w:r>
            <w:r>
              <w:rPr>
                <w:sz w:val="22"/>
                <w:szCs w:val="22"/>
              </w:rPr>
              <w:t>.xlsx”</w:t>
            </w:r>
          </w:p>
          <w:p w14:paraId="06ECB835" w14:textId="77777777" w:rsidR="00735CF0" w:rsidRPr="00E3447D" w:rsidRDefault="00735CF0" w:rsidP="008D3D2D">
            <w:pPr>
              <w:rPr>
                <w:bCs/>
                <w:sz w:val="22"/>
                <w:szCs w:val="22"/>
              </w:rPr>
            </w:pPr>
            <w:r w:rsidRPr="00E3447D">
              <w:rPr>
                <w:bCs/>
                <w:sz w:val="22"/>
                <w:szCs w:val="22"/>
              </w:rPr>
              <w:t>Source: PG&amp;E Calculations.</w:t>
            </w:r>
          </w:p>
        </w:tc>
      </w:tr>
      <w:tr w:rsidR="00735CF0" w:rsidRPr="00783DAC" w14:paraId="2085A16D" w14:textId="77777777" w:rsidTr="00E3447D">
        <w:trPr>
          <w:trHeight w:val="465"/>
        </w:trPr>
        <w:tc>
          <w:tcPr>
            <w:tcW w:w="3510" w:type="dxa"/>
            <w:shd w:val="clear" w:color="auto" w:fill="FFFFFF" w:themeFill="background1"/>
          </w:tcPr>
          <w:p w14:paraId="03462885" w14:textId="77777777" w:rsidR="00E3447D" w:rsidRDefault="00735CF0" w:rsidP="0028709C">
            <w:pPr>
              <w:rPr>
                <w:b/>
              </w:rPr>
            </w:pPr>
            <w:r w:rsidRPr="00F027AA">
              <w:rPr>
                <w:b/>
              </w:rPr>
              <w:t xml:space="preserve">Energy Savings </w:t>
            </w:r>
          </w:p>
          <w:p w14:paraId="7DD4822E" w14:textId="358D2752" w:rsidR="00735CF0" w:rsidRPr="00F027AA" w:rsidRDefault="00735CF0" w:rsidP="0028709C">
            <w:pPr>
              <w:rPr>
                <w:b/>
              </w:rPr>
            </w:pPr>
            <w:r w:rsidRPr="00F027AA">
              <w:rPr>
                <w:b/>
              </w:rPr>
              <w:t>(Base Case – Measure)</w:t>
            </w:r>
            <w:r w:rsidR="00946BD7">
              <w:rPr>
                <w:b/>
              </w:rPr>
              <w:t>:</w:t>
            </w:r>
          </w:p>
        </w:tc>
        <w:tc>
          <w:tcPr>
            <w:tcW w:w="6048" w:type="dxa"/>
            <w:shd w:val="clear" w:color="auto" w:fill="FFFFFF" w:themeFill="background1"/>
          </w:tcPr>
          <w:p w14:paraId="7447F27D" w14:textId="77777777" w:rsidR="00E3447D" w:rsidRDefault="00E3447D" w:rsidP="00E3447D">
            <w:pPr>
              <w:spacing w:before="80"/>
              <w:rPr>
                <w:sz w:val="22"/>
                <w:szCs w:val="22"/>
              </w:rPr>
            </w:pPr>
            <w:r w:rsidRPr="00E3447D">
              <w:rPr>
                <w:sz w:val="22"/>
                <w:szCs w:val="22"/>
              </w:rPr>
              <w:t xml:space="preserve">Various. </w:t>
            </w:r>
          </w:p>
          <w:p w14:paraId="5C93177E" w14:textId="072EA458" w:rsidR="00735CF0" w:rsidRPr="00E3447D" w:rsidRDefault="00E3447D" w:rsidP="000C693B">
            <w:pPr>
              <w:rPr>
                <w:bCs/>
                <w:sz w:val="22"/>
                <w:szCs w:val="22"/>
              </w:rPr>
            </w:pPr>
            <w:r w:rsidRPr="00E3447D">
              <w:rPr>
                <w:sz w:val="22"/>
                <w:szCs w:val="22"/>
              </w:rPr>
              <w:t xml:space="preserve">Refer to </w:t>
            </w:r>
            <w:r>
              <w:rPr>
                <w:sz w:val="22"/>
                <w:szCs w:val="22"/>
              </w:rPr>
              <w:t>“</w:t>
            </w:r>
            <w:r w:rsidRPr="00E3447D">
              <w:rPr>
                <w:sz w:val="22"/>
                <w:szCs w:val="22"/>
              </w:rPr>
              <w:t xml:space="preserve">PGECOLTG179 R6 Ambient </w:t>
            </w:r>
            <w:proofErr w:type="spellStart"/>
            <w:r w:rsidRPr="00E3447D">
              <w:rPr>
                <w:sz w:val="22"/>
                <w:szCs w:val="22"/>
              </w:rPr>
              <w:t>Ltg</w:t>
            </w:r>
            <w:proofErr w:type="spellEnd"/>
            <w:r w:rsidRPr="00E3447D">
              <w:rPr>
                <w:sz w:val="22"/>
                <w:szCs w:val="22"/>
              </w:rPr>
              <w:t xml:space="preserve"> Calc_Mar2019</w:t>
            </w:r>
            <w:r>
              <w:rPr>
                <w:sz w:val="22"/>
                <w:szCs w:val="22"/>
              </w:rPr>
              <w:t>.xlsx”</w:t>
            </w:r>
          </w:p>
          <w:p w14:paraId="11F9357C" w14:textId="77777777" w:rsidR="00735CF0" w:rsidRPr="00E3447D" w:rsidRDefault="00735CF0" w:rsidP="0037707D">
            <w:pPr>
              <w:rPr>
                <w:bCs/>
                <w:sz w:val="22"/>
                <w:szCs w:val="22"/>
              </w:rPr>
            </w:pPr>
            <w:r w:rsidRPr="00E3447D">
              <w:rPr>
                <w:bCs/>
                <w:sz w:val="22"/>
                <w:szCs w:val="22"/>
              </w:rPr>
              <w:t>Source: PG&amp;E Calculations.</w:t>
            </w:r>
          </w:p>
        </w:tc>
      </w:tr>
      <w:tr w:rsidR="00735CF0" w:rsidRPr="00783DAC" w14:paraId="09C38BE7" w14:textId="77777777" w:rsidTr="00E3447D">
        <w:trPr>
          <w:trHeight w:val="465"/>
        </w:trPr>
        <w:tc>
          <w:tcPr>
            <w:tcW w:w="3510" w:type="dxa"/>
            <w:shd w:val="clear" w:color="auto" w:fill="FFFFFF" w:themeFill="background1"/>
          </w:tcPr>
          <w:p w14:paraId="418EA219" w14:textId="77777777" w:rsidR="00735CF0" w:rsidRPr="00F027AA" w:rsidRDefault="00735CF0" w:rsidP="00E3447D">
            <w:pPr>
              <w:spacing w:before="80"/>
              <w:rPr>
                <w:b/>
              </w:rPr>
            </w:pPr>
            <w:r w:rsidRPr="00F027AA">
              <w:rPr>
                <w:b/>
              </w:rPr>
              <w:t xml:space="preserve">Costs Common Units: </w:t>
            </w:r>
          </w:p>
        </w:tc>
        <w:tc>
          <w:tcPr>
            <w:tcW w:w="6048" w:type="dxa"/>
            <w:shd w:val="clear" w:color="auto" w:fill="FFFFFF" w:themeFill="background1"/>
          </w:tcPr>
          <w:p w14:paraId="17ED6836" w14:textId="77777777" w:rsidR="00735CF0" w:rsidRPr="00E3447D" w:rsidRDefault="00735CF0" w:rsidP="00E3447D">
            <w:pPr>
              <w:pStyle w:val="EndnoteText"/>
              <w:spacing w:before="80"/>
              <w:rPr>
                <w:bCs/>
                <w:sz w:val="22"/>
                <w:szCs w:val="22"/>
              </w:rPr>
            </w:pPr>
            <w:r w:rsidRPr="00E3447D">
              <w:rPr>
                <w:bCs/>
                <w:sz w:val="22"/>
                <w:szCs w:val="22"/>
              </w:rPr>
              <w:t xml:space="preserve">$ </w:t>
            </w:r>
            <w:proofErr w:type="gramStart"/>
            <w:r w:rsidRPr="00E3447D">
              <w:rPr>
                <w:bCs/>
                <w:sz w:val="22"/>
                <w:szCs w:val="22"/>
              </w:rPr>
              <w:t>per</w:t>
            </w:r>
            <w:proofErr w:type="gramEnd"/>
            <w:r w:rsidRPr="00E3447D">
              <w:rPr>
                <w:bCs/>
                <w:sz w:val="22"/>
                <w:szCs w:val="22"/>
              </w:rPr>
              <w:t xml:space="preserve"> </w:t>
            </w:r>
            <w:proofErr w:type="spellStart"/>
            <w:r w:rsidR="005C31D5" w:rsidRPr="00E3447D">
              <w:rPr>
                <w:bCs/>
                <w:sz w:val="22"/>
                <w:szCs w:val="22"/>
              </w:rPr>
              <w:t>kilolumen</w:t>
            </w:r>
            <w:proofErr w:type="spellEnd"/>
            <w:r w:rsidRPr="00E3447D">
              <w:rPr>
                <w:bCs/>
                <w:sz w:val="22"/>
                <w:szCs w:val="22"/>
              </w:rPr>
              <w:t>.</w:t>
            </w:r>
          </w:p>
        </w:tc>
      </w:tr>
      <w:tr w:rsidR="00735CF0" w:rsidRPr="00783DAC" w14:paraId="7BDD49DD" w14:textId="77777777" w:rsidTr="00E3447D">
        <w:trPr>
          <w:trHeight w:val="465"/>
        </w:trPr>
        <w:tc>
          <w:tcPr>
            <w:tcW w:w="3510" w:type="dxa"/>
            <w:shd w:val="clear" w:color="auto" w:fill="FFFFFF" w:themeFill="background1"/>
          </w:tcPr>
          <w:p w14:paraId="2DDADDCF" w14:textId="77777777" w:rsidR="00735CF0" w:rsidRPr="00946BD7" w:rsidRDefault="00735CF0" w:rsidP="001D5155">
            <w:pPr>
              <w:rPr>
                <w:b/>
              </w:rPr>
            </w:pPr>
            <w:r w:rsidRPr="00F027AA">
              <w:rPr>
                <w:b/>
              </w:rPr>
              <w:t>Base Case Equipment Cost ($/</w:t>
            </w:r>
            <w:proofErr w:type="spellStart"/>
            <w:r w:rsidR="001D5155">
              <w:rPr>
                <w:b/>
              </w:rPr>
              <w:t>kilolumen</w:t>
            </w:r>
            <w:proofErr w:type="spellEnd"/>
            <w:r w:rsidRPr="00F027AA">
              <w:rPr>
                <w:b/>
              </w:rPr>
              <w:t>):</w:t>
            </w:r>
          </w:p>
        </w:tc>
        <w:tc>
          <w:tcPr>
            <w:tcW w:w="6048" w:type="dxa"/>
            <w:shd w:val="clear" w:color="auto" w:fill="FFFFFF" w:themeFill="background1"/>
          </w:tcPr>
          <w:p w14:paraId="23636BE8" w14:textId="77777777" w:rsidR="00E3447D" w:rsidRDefault="00E3447D" w:rsidP="00E3447D">
            <w:pPr>
              <w:spacing w:before="80"/>
              <w:rPr>
                <w:sz w:val="22"/>
                <w:szCs w:val="22"/>
              </w:rPr>
            </w:pPr>
            <w:r w:rsidRPr="00E3447D">
              <w:rPr>
                <w:sz w:val="22"/>
                <w:szCs w:val="22"/>
              </w:rPr>
              <w:t xml:space="preserve">Various. </w:t>
            </w:r>
          </w:p>
          <w:p w14:paraId="76A639ED" w14:textId="09F42085" w:rsidR="00396FA6" w:rsidRDefault="00E3447D" w:rsidP="000C693B">
            <w:pPr>
              <w:rPr>
                <w:sz w:val="22"/>
                <w:szCs w:val="22"/>
              </w:rPr>
            </w:pPr>
            <w:r w:rsidRPr="00E3447D">
              <w:rPr>
                <w:sz w:val="22"/>
                <w:szCs w:val="22"/>
              </w:rPr>
              <w:t xml:space="preserve">Refer to </w:t>
            </w:r>
            <w:r>
              <w:rPr>
                <w:sz w:val="22"/>
                <w:szCs w:val="22"/>
              </w:rPr>
              <w:t>“</w:t>
            </w:r>
            <w:r w:rsidRPr="00E3447D">
              <w:rPr>
                <w:sz w:val="22"/>
                <w:szCs w:val="22"/>
              </w:rPr>
              <w:t xml:space="preserve">PGECOLTG179 R6 Ambient </w:t>
            </w:r>
            <w:proofErr w:type="spellStart"/>
            <w:r w:rsidRPr="00E3447D">
              <w:rPr>
                <w:sz w:val="22"/>
                <w:szCs w:val="22"/>
              </w:rPr>
              <w:t>Ltg</w:t>
            </w:r>
            <w:proofErr w:type="spellEnd"/>
            <w:r w:rsidRPr="00E3447D">
              <w:rPr>
                <w:sz w:val="22"/>
                <w:szCs w:val="22"/>
              </w:rPr>
              <w:t xml:space="preserve"> Calc_Mar2019</w:t>
            </w:r>
            <w:r>
              <w:rPr>
                <w:sz w:val="22"/>
                <w:szCs w:val="22"/>
              </w:rPr>
              <w:t>.xlsx”</w:t>
            </w:r>
            <w:r w:rsidR="00396FA6">
              <w:rPr>
                <w:sz w:val="22"/>
                <w:szCs w:val="22"/>
              </w:rPr>
              <w:t xml:space="preserve"> and “</w:t>
            </w:r>
            <w:r w:rsidR="00396FA6" w:rsidRPr="00396FA6">
              <w:rPr>
                <w:sz w:val="22"/>
                <w:szCs w:val="22"/>
              </w:rPr>
              <w:t>Copy of TLED Cost Data_FEB2019</w:t>
            </w:r>
            <w:r w:rsidR="00396FA6">
              <w:rPr>
                <w:sz w:val="22"/>
                <w:szCs w:val="22"/>
              </w:rPr>
              <w:t>.xlsx”.</w:t>
            </w:r>
          </w:p>
          <w:p w14:paraId="7213C79A" w14:textId="334524B3" w:rsidR="00735CF0" w:rsidRPr="00E3447D" w:rsidRDefault="00735CF0" w:rsidP="006153A5">
            <w:pPr>
              <w:rPr>
                <w:bCs/>
                <w:sz w:val="22"/>
                <w:szCs w:val="22"/>
              </w:rPr>
            </w:pPr>
            <w:r w:rsidRPr="00E3447D">
              <w:rPr>
                <w:bCs/>
                <w:sz w:val="22"/>
                <w:szCs w:val="22"/>
              </w:rPr>
              <w:t xml:space="preserve">Source: </w:t>
            </w:r>
            <w:r w:rsidR="00946BD7" w:rsidRPr="00E3447D">
              <w:rPr>
                <w:bCs/>
                <w:sz w:val="22"/>
                <w:szCs w:val="22"/>
              </w:rPr>
              <w:t xml:space="preserve">Distributor Quotations and </w:t>
            </w:r>
            <w:r w:rsidR="000C693B">
              <w:rPr>
                <w:bCs/>
                <w:sz w:val="22"/>
                <w:szCs w:val="22"/>
              </w:rPr>
              <w:t xml:space="preserve">online </w:t>
            </w:r>
            <w:r w:rsidR="006153A5">
              <w:rPr>
                <w:bCs/>
                <w:sz w:val="22"/>
                <w:szCs w:val="22"/>
              </w:rPr>
              <w:t>web-scraping</w:t>
            </w:r>
          </w:p>
        </w:tc>
      </w:tr>
      <w:tr w:rsidR="00735CF0" w:rsidRPr="00783DAC" w14:paraId="703DF3F7" w14:textId="77777777" w:rsidTr="00E3447D">
        <w:trPr>
          <w:trHeight w:val="465"/>
        </w:trPr>
        <w:tc>
          <w:tcPr>
            <w:tcW w:w="3510" w:type="dxa"/>
            <w:shd w:val="clear" w:color="auto" w:fill="FFFFFF" w:themeFill="background1"/>
          </w:tcPr>
          <w:p w14:paraId="7367AB47" w14:textId="77777777" w:rsidR="00735CF0" w:rsidRPr="00F027AA" w:rsidRDefault="00735CF0" w:rsidP="00E3447D">
            <w:pPr>
              <w:spacing w:before="80"/>
              <w:rPr>
                <w:b/>
              </w:rPr>
            </w:pPr>
            <w:r w:rsidRPr="00F027AA">
              <w:rPr>
                <w:b/>
              </w:rPr>
              <w:t>Measure Equipment Cost ($/</w:t>
            </w:r>
            <w:proofErr w:type="spellStart"/>
            <w:r w:rsidR="001D5155">
              <w:rPr>
                <w:b/>
              </w:rPr>
              <w:t>kilolumen</w:t>
            </w:r>
            <w:proofErr w:type="spellEnd"/>
            <w:r w:rsidRPr="00F027AA">
              <w:rPr>
                <w:b/>
              </w:rPr>
              <w:t xml:space="preserve">): </w:t>
            </w:r>
          </w:p>
        </w:tc>
        <w:tc>
          <w:tcPr>
            <w:tcW w:w="6048" w:type="dxa"/>
            <w:shd w:val="clear" w:color="auto" w:fill="FFFFFF" w:themeFill="background1"/>
          </w:tcPr>
          <w:p w14:paraId="0B7D619B" w14:textId="77777777" w:rsidR="00E3447D" w:rsidRDefault="00E3447D" w:rsidP="00E3447D">
            <w:pPr>
              <w:spacing w:before="80"/>
              <w:rPr>
                <w:sz w:val="22"/>
                <w:szCs w:val="22"/>
              </w:rPr>
            </w:pPr>
            <w:r w:rsidRPr="00E3447D">
              <w:rPr>
                <w:sz w:val="22"/>
                <w:szCs w:val="22"/>
              </w:rPr>
              <w:t xml:space="preserve">Various. </w:t>
            </w:r>
          </w:p>
          <w:p w14:paraId="6B22B6B4" w14:textId="641621F1" w:rsidR="00735CF0" w:rsidRPr="00E3447D" w:rsidRDefault="00E3447D" w:rsidP="00E3447D">
            <w:pPr>
              <w:rPr>
                <w:bCs/>
                <w:sz w:val="22"/>
                <w:szCs w:val="22"/>
              </w:rPr>
            </w:pPr>
            <w:r w:rsidRPr="00E3447D">
              <w:rPr>
                <w:sz w:val="22"/>
                <w:szCs w:val="22"/>
              </w:rPr>
              <w:t xml:space="preserve">Refer to </w:t>
            </w:r>
            <w:r>
              <w:rPr>
                <w:sz w:val="22"/>
                <w:szCs w:val="22"/>
              </w:rPr>
              <w:t>“</w:t>
            </w:r>
            <w:r w:rsidRPr="00E3447D">
              <w:rPr>
                <w:sz w:val="22"/>
                <w:szCs w:val="22"/>
              </w:rPr>
              <w:t xml:space="preserve">PGECOLTG179 R6 Ambient </w:t>
            </w:r>
            <w:proofErr w:type="spellStart"/>
            <w:r w:rsidRPr="00E3447D">
              <w:rPr>
                <w:sz w:val="22"/>
                <w:szCs w:val="22"/>
              </w:rPr>
              <w:t>Ltg</w:t>
            </w:r>
            <w:proofErr w:type="spellEnd"/>
            <w:r w:rsidRPr="00E3447D">
              <w:rPr>
                <w:sz w:val="22"/>
                <w:szCs w:val="22"/>
              </w:rPr>
              <w:t xml:space="preserve"> Calc_Mar2019</w:t>
            </w:r>
            <w:r>
              <w:rPr>
                <w:sz w:val="22"/>
                <w:szCs w:val="22"/>
              </w:rPr>
              <w:t>.xlsx”</w:t>
            </w:r>
          </w:p>
          <w:p w14:paraId="2DC81798" w14:textId="6ABF64F3" w:rsidR="00735CF0" w:rsidRPr="00E3447D" w:rsidRDefault="00735CF0" w:rsidP="006153A5">
            <w:pPr>
              <w:rPr>
                <w:bCs/>
                <w:sz w:val="22"/>
                <w:szCs w:val="22"/>
              </w:rPr>
            </w:pPr>
            <w:r w:rsidRPr="00E3447D">
              <w:rPr>
                <w:bCs/>
                <w:sz w:val="22"/>
                <w:szCs w:val="22"/>
              </w:rPr>
              <w:t>Source:</w:t>
            </w:r>
            <w:r w:rsidR="0082354A" w:rsidRPr="00E3447D">
              <w:rPr>
                <w:bCs/>
                <w:sz w:val="22"/>
                <w:szCs w:val="22"/>
              </w:rPr>
              <w:t xml:space="preserve"> </w:t>
            </w:r>
            <w:r w:rsidR="005C31D5" w:rsidRPr="00E3447D">
              <w:rPr>
                <w:bCs/>
                <w:sz w:val="22"/>
                <w:szCs w:val="22"/>
              </w:rPr>
              <w:t xml:space="preserve">Manufacturer Rep </w:t>
            </w:r>
            <w:r w:rsidR="006153A5">
              <w:rPr>
                <w:bCs/>
                <w:sz w:val="22"/>
                <w:szCs w:val="22"/>
              </w:rPr>
              <w:t>and</w:t>
            </w:r>
            <w:r w:rsidR="005C31D5" w:rsidRPr="00E3447D">
              <w:rPr>
                <w:bCs/>
                <w:sz w:val="22"/>
                <w:szCs w:val="22"/>
              </w:rPr>
              <w:t xml:space="preserve"> </w:t>
            </w:r>
            <w:r w:rsidR="00946BD7" w:rsidRPr="00E3447D">
              <w:rPr>
                <w:bCs/>
                <w:sz w:val="22"/>
                <w:szCs w:val="22"/>
              </w:rPr>
              <w:t xml:space="preserve">Distributor Quotations and </w:t>
            </w:r>
            <w:r w:rsidR="006153A5">
              <w:rPr>
                <w:bCs/>
                <w:sz w:val="22"/>
                <w:szCs w:val="22"/>
              </w:rPr>
              <w:t>web-scraping</w:t>
            </w:r>
          </w:p>
        </w:tc>
      </w:tr>
      <w:tr w:rsidR="00735CF0" w:rsidRPr="00783DAC" w14:paraId="356B17E0" w14:textId="77777777" w:rsidTr="00E3447D">
        <w:trPr>
          <w:trHeight w:val="465"/>
        </w:trPr>
        <w:tc>
          <w:tcPr>
            <w:tcW w:w="3510" w:type="dxa"/>
            <w:shd w:val="clear" w:color="auto" w:fill="FFFFFF" w:themeFill="background1"/>
          </w:tcPr>
          <w:p w14:paraId="13C52B17" w14:textId="77777777" w:rsidR="00735CF0" w:rsidRPr="00F027AA" w:rsidRDefault="00735CF0" w:rsidP="00E3447D">
            <w:pPr>
              <w:spacing w:before="80"/>
              <w:rPr>
                <w:b/>
              </w:rPr>
            </w:pPr>
            <w:r w:rsidRPr="00F027AA">
              <w:rPr>
                <w:b/>
              </w:rPr>
              <w:t>Gross Measure Cost ($/</w:t>
            </w:r>
            <w:proofErr w:type="spellStart"/>
            <w:r w:rsidR="001D5155">
              <w:rPr>
                <w:b/>
              </w:rPr>
              <w:t>kilolumen</w:t>
            </w:r>
            <w:proofErr w:type="spellEnd"/>
            <w:r w:rsidRPr="00F027AA">
              <w:rPr>
                <w:b/>
              </w:rPr>
              <w:t>)</w:t>
            </w:r>
          </w:p>
        </w:tc>
        <w:tc>
          <w:tcPr>
            <w:tcW w:w="6048" w:type="dxa"/>
            <w:shd w:val="clear" w:color="auto" w:fill="FFFFFF" w:themeFill="background1"/>
          </w:tcPr>
          <w:p w14:paraId="102458B2" w14:textId="77777777" w:rsidR="00E3447D" w:rsidRDefault="00E3447D" w:rsidP="00E3447D">
            <w:pPr>
              <w:spacing w:before="80"/>
              <w:rPr>
                <w:sz w:val="22"/>
                <w:szCs w:val="22"/>
              </w:rPr>
            </w:pPr>
            <w:r w:rsidRPr="00E3447D">
              <w:rPr>
                <w:sz w:val="22"/>
                <w:szCs w:val="22"/>
              </w:rPr>
              <w:t xml:space="preserve">Various. </w:t>
            </w:r>
          </w:p>
          <w:p w14:paraId="79049B8D" w14:textId="77777777" w:rsidR="00E3447D" w:rsidRDefault="00E3447D" w:rsidP="00E3447D">
            <w:pPr>
              <w:rPr>
                <w:sz w:val="22"/>
                <w:szCs w:val="22"/>
              </w:rPr>
            </w:pPr>
            <w:r w:rsidRPr="00E3447D">
              <w:rPr>
                <w:sz w:val="22"/>
                <w:szCs w:val="22"/>
              </w:rPr>
              <w:t xml:space="preserve">Refer to </w:t>
            </w:r>
            <w:r>
              <w:rPr>
                <w:sz w:val="22"/>
                <w:szCs w:val="22"/>
              </w:rPr>
              <w:t>“</w:t>
            </w:r>
            <w:r w:rsidRPr="00E3447D">
              <w:rPr>
                <w:sz w:val="22"/>
                <w:szCs w:val="22"/>
              </w:rPr>
              <w:t xml:space="preserve">PGECOLTG179 R6 Ambient </w:t>
            </w:r>
            <w:proofErr w:type="spellStart"/>
            <w:r w:rsidRPr="00E3447D">
              <w:rPr>
                <w:sz w:val="22"/>
                <w:szCs w:val="22"/>
              </w:rPr>
              <w:t>Ltg</w:t>
            </w:r>
            <w:proofErr w:type="spellEnd"/>
            <w:r w:rsidRPr="00E3447D">
              <w:rPr>
                <w:sz w:val="22"/>
                <w:szCs w:val="22"/>
              </w:rPr>
              <w:t xml:space="preserve"> Calc_Mar2019</w:t>
            </w:r>
            <w:r>
              <w:rPr>
                <w:sz w:val="22"/>
                <w:szCs w:val="22"/>
              </w:rPr>
              <w:t>.xlsx”</w:t>
            </w:r>
          </w:p>
          <w:p w14:paraId="047FC9BD" w14:textId="0B050511" w:rsidR="00735CF0" w:rsidRPr="00E3447D" w:rsidRDefault="00735CF0" w:rsidP="006153A5">
            <w:pPr>
              <w:rPr>
                <w:bCs/>
                <w:sz w:val="22"/>
                <w:szCs w:val="22"/>
              </w:rPr>
            </w:pPr>
            <w:r w:rsidRPr="00E3447D">
              <w:rPr>
                <w:bCs/>
                <w:sz w:val="22"/>
                <w:szCs w:val="22"/>
              </w:rPr>
              <w:t xml:space="preserve">Source: </w:t>
            </w:r>
            <w:r w:rsidR="005C31D5" w:rsidRPr="00E3447D">
              <w:rPr>
                <w:bCs/>
                <w:sz w:val="22"/>
                <w:szCs w:val="22"/>
              </w:rPr>
              <w:t xml:space="preserve">Manufacturer Rep </w:t>
            </w:r>
            <w:r w:rsidR="006153A5">
              <w:rPr>
                <w:bCs/>
                <w:sz w:val="22"/>
                <w:szCs w:val="22"/>
              </w:rPr>
              <w:t>and</w:t>
            </w:r>
            <w:r w:rsidR="005C31D5" w:rsidRPr="00E3447D">
              <w:rPr>
                <w:bCs/>
                <w:sz w:val="22"/>
                <w:szCs w:val="22"/>
              </w:rPr>
              <w:t xml:space="preserve"> </w:t>
            </w:r>
            <w:r w:rsidR="00946BD7" w:rsidRPr="00E3447D">
              <w:rPr>
                <w:bCs/>
                <w:sz w:val="22"/>
                <w:szCs w:val="22"/>
              </w:rPr>
              <w:t xml:space="preserve">Distributor Quotations and </w:t>
            </w:r>
            <w:r w:rsidR="006153A5">
              <w:rPr>
                <w:bCs/>
                <w:sz w:val="22"/>
                <w:szCs w:val="22"/>
              </w:rPr>
              <w:t>web-scraping</w:t>
            </w:r>
          </w:p>
        </w:tc>
      </w:tr>
      <w:tr w:rsidR="00735CF0" w:rsidRPr="00783DAC" w14:paraId="72E28000" w14:textId="77777777" w:rsidTr="00E3447D">
        <w:trPr>
          <w:trHeight w:val="465"/>
        </w:trPr>
        <w:tc>
          <w:tcPr>
            <w:tcW w:w="3510" w:type="dxa"/>
            <w:shd w:val="clear" w:color="auto" w:fill="FFFFFF" w:themeFill="background1"/>
          </w:tcPr>
          <w:p w14:paraId="687FB966" w14:textId="77777777" w:rsidR="00735CF0" w:rsidRPr="00F027AA" w:rsidRDefault="00735CF0" w:rsidP="00E3447D">
            <w:pPr>
              <w:spacing w:before="80"/>
              <w:rPr>
                <w:b/>
              </w:rPr>
            </w:pPr>
            <w:bookmarkStart w:id="4" w:name="OLE_LINK1"/>
            <w:r w:rsidRPr="00F027AA">
              <w:rPr>
                <w:b/>
              </w:rPr>
              <w:t>Measure Incremental Cost ($/</w:t>
            </w:r>
            <w:proofErr w:type="spellStart"/>
            <w:r w:rsidR="001D5155">
              <w:rPr>
                <w:b/>
              </w:rPr>
              <w:t>kilolumen</w:t>
            </w:r>
            <w:proofErr w:type="spellEnd"/>
            <w:r w:rsidRPr="00F027AA">
              <w:rPr>
                <w:b/>
              </w:rPr>
              <w:t xml:space="preserve">): </w:t>
            </w:r>
            <w:bookmarkEnd w:id="4"/>
          </w:p>
        </w:tc>
        <w:tc>
          <w:tcPr>
            <w:tcW w:w="6048" w:type="dxa"/>
            <w:shd w:val="clear" w:color="auto" w:fill="FFFFFF" w:themeFill="background1"/>
          </w:tcPr>
          <w:p w14:paraId="154B103B" w14:textId="77777777" w:rsidR="00E3447D" w:rsidRDefault="00E3447D" w:rsidP="00E3447D">
            <w:pPr>
              <w:spacing w:before="80"/>
              <w:rPr>
                <w:sz w:val="22"/>
                <w:szCs w:val="22"/>
              </w:rPr>
            </w:pPr>
            <w:r w:rsidRPr="00E3447D">
              <w:rPr>
                <w:sz w:val="22"/>
                <w:szCs w:val="22"/>
              </w:rPr>
              <w:t xml:space="preserve">Various. </w:t>
            </w:r>
          </w:p>
          <w:p w14:paraId="3B631E99" w14:textId="77777777" w:rsidR="00E3447D" w:rsidRDefault="00E3447D" w:rsidP="00E3447D">
            <w:pPr>
              <w:rPr>
                <w:sz w:val="22"/>
                <w:szCs w:val="22"/>
              </w:rPr>
            </w:pPr>
            <w:r w:rsidRPr="00E3447D">
              <w:rPr>
                <w:sz w:val="22"/>
                <w:szCs w:val="22"/>
              </w:rPr>
              <w:t xml:space="preserve">Refer to </w:t>
            </w:r>
            <w:r>
              <w:rPr>
                <w:sz w:val="22"/>
                <w:szCs w:val="22"/>
              </w:rPr>
              <w:t>“</w:t>
            </w:r>
            <w:r w:rsidRPr="00E3447D">
              <w:rPr>
                <w:sz w:val="22"/>
                <w:szCs w:val="22"/>
              </w:rPr>
              <w:t xml:space="preserve">PGECOLTG179 R6 Ambient </w:t>
            </w:r>
            <w:proofErr w:type="spellStart"/>
            <w:r w:rsidRPr="00E3447D">
              <w:rPr>
                <w:sz w:val="22"/>
                <w:szCs w:val="22"/>
              </w:rPr>
              <w:t>Ltg</w:t>
            </w:r>
            <w:proofErr w:type="spellEnd"/>
            <w:r w:rsidRPr="00E3447D">
              <w:rPr>
                <w:sz w:val="22"/>
                <w:szCs w:val="22"/>
              </w:rPr>
              <w:t xml:space="preserve"> Calc_Mar2019</w:t>
            </w:r>
            <w:r>
              <w:rPr>
                <w:sz w:val="22"/>
                <w:szCs w:val="22"/>
              </w:rPr>
              <w:t>.xlsx”</w:t>
            </w:r>
          </w:p>
          <w:p w14:paraId="047E0DC2" w14:textId="6499948B" w:rsidR="00735CF0" w:rsidRPr="00E3447D" w:rsidRDefault="00735CF0" w:rsidP="00E3447D">
            <w:pPr>
              <w:rPr>
                <w:bCs/>
                <w:sz w:val="22"/>
                <w:szCs w:val="22"/>
              </w:rPr>
            </w:pPr>
            <w:r w:rsidRPr="00E3447D">
              <w:rPr>
                <w:bCs/>
                <w:sz w:val="22"/>
                <w:szCs w:val="22"/>
              </w:rPr>
              <w:t xml:space="preserve">Source: </w:t>
            </w:r>
            <w:r w:rsidR="005C31D5" w:rsidRPr="00E3447D">
              <w:rPr>
                <w:bCs/>
                <w:sz w:val="22"/>
                <w:szCs w:val="22"/>
              </w:rPr>
              <w:t>PG&amp;E Calculations</w:t>
            </w:r>
          </w:p>
        </w:tc>
      </w:tr>
      <w:tr w:rsidR="00735CF0" w:rsidRPr="00783DAC" w14:paraId="2FFCBF7A" w14:textId="77777777" w:rsidTr="00E3447D">
        <w:trPr>
          <w:trHeight w:val="465"/>
        </w:trPr>
        <w:tc>
          <w:tcPr>
            <w:tcW w:w="3510" w:type="dxa"/>
            <w:shd w:val="clear" w:color="auto" w:fill="FFFFFF" w:themeFill="background1"/>
          </w:tcPr>
          <w:p w14:paraId="76556680" w14:textId="77777777" w:rsidR="00735CF0" w:rsidRPr="00F027AA" w:rsidRDefault="00735CF0" w:rsidP="00E3447D">
            <w:pPr>
              <w:spacing w:before="80"/>
              <w:rPr>
                <w:b/>
              </w:rPr>
            </w:pPr>
            <w:r w:rsidRPr="00F027AA">
              <w:rPr>
                <w:b/>
              </w:rPr>
              <w:t xml:space="preserve">Effective Useful Life (years): </w:t>
            </w:r>
          </w:p>
        </w:tc>
        <w:tc>
          <w:tcPr>
            <w:tcW w:w="6048" w:type="dxa"/>
            <w:shd w:val="clear" w:color="auto" w:fill="FFFFFF" w:themeFill="background1"/>
          </w:tcPr>
          <w:p w14:paraId="454A28EC" w14:textId="77777777" w:rsidR="00D93D13" w:rsidRPr="00E3447D" w:rsidRDefault="00D93D13" w:rsidP="00E3447D">
            <w:pPr>
              <w:spacing w:before="80"/>
              <w:rPr>
                <w:sz w:val="22"/>
                <w:szCs w:val="22"/>
              </w:rPr>
            </w:pPr>
            <w:r w:rsidRPr="00E3447D">
              <w:rPr>
                <w:sz w:val="22"/>
                <w:szCs w:val="22"/>
              </w:rPr>
              <w:t xml:space="preserve">16 years, ILtg-Com-LED-50000hr+16yr </w:t>
            </w:r>
          </w:p>
          <w:p w14:paraId="4910B947" w14:textId="77777777" w:rsidR="00735CF0" w:rsidRPr="00E3447D" w:rsidRDefault="00D93D13" w:rsidP="00E3447D">
            <w:pPr>
              <w:rPr>
                <w:bCs/>
                <w:sz w:val="22"/>
                <w:szCs w:val="22"/>
              </w:rPr>
            </w:pPr>
            <w:r w:rsidRPr="00E3447D">
              <w:rPr>
                <w:sz w:val="22"/>
                <w:szCs w:val="22"/>
              </w:rPr>
              <w:t>16 years, ILtg-Res-LED-50000hr+16yr</w:t>
            </w:r>
          </w:p>
          <w:p w14:paraId="21A0C6F1" w14:textId="77777777" w:rsidR="00735CF0" w:rsidRPr="00E3447D" w:rsidRDefault="00735CF0" w:rsidP="00E3447D">
            <w:pPr>
              <w:rPr>
                <w:bCs/>
                <w:sz w:val="22"/>
                <w:szCs w:val="22"/>
                <w:highlight w:val="yellow"/>
              </w:rPr>
            </w:pPr>
            <w:r w:rsidRPr="00E3447D">
              <w:rPr>
                <w:bCs/>
                <w:sz w:val="22"/>
                <w:szCs w:val="22"/>
              </w:rPr>
              <w:t xml:space="preserve">Source: </w:t>
            </w:r>
            <w:r w:rsidR="00D93D13" w:rsidRPr="00E3447D">
              <w:rPr>
                <w:bCs/>
                <w:sz w:val="22"/>
                <w:szCs w:val="22"/>
              </w:rPr>
              <w:t>DEER2016</w:t>
            </w:r>
          </w:p>
        </w:tc>
      </w:tr>
      <w:tr w:rsidR="00735CF0" w:rsidRPr="00783DAC" w14:paraId="15E94FF5" w14:textId="77777777" w:rsidTr="00E3447D">
        <w:trPr>
          <w:trHeight w:val="465"/>
        </w:trPr>
        <w:tc>
          <w:tcPr>
            <w:tcW w:w="3510" w:type="dxa"/>
            <w:shd w:val="clear" w:color="auto" w:fill="FFFFFF" w:themeFill="background1"/>
          </w:tcPr>
          <w:p w14:paraId="0E4A8071" w14:textId="77777777" w:rsidR="00735CF0" w:rsidRPr="00F027AA" w:rsidRDefault="00735CF0" w:rsidP="00E3447D">
            <w:pPr>
              <w:spacing w:before="120"/>
              <w:rPr>
                <w:b/>
              </w:rPr>
            </w:pPr>
            <w:r w:rsidRPr="00F027AA">
              <w:rPr>
                <w:b/>
              </w:rPr>
              <w:t>Program Type:</w:t>
            </w:r>
          </w:p>
        </w:tc>
        <w:tc>
          <w:tcPr>
            <w:tcW w:w="6048" w:type="dxa"/>
            <w:shd w:val="clear" w:color="auto" w:fill="FFFFFF" w:themeFill="background1"/>
          </w:tcPr>
          <w:p w14:paraId="5B2E2FB6" w14:textId="2EDBD494" w:rsidR="00735CF0" w:rsidRPr="00E3447D" w:rsidRDefault="009869EB" w:rsidP="000C693B">
            <w:pPr>
              <w:spacing w:before="160"/>
              <w:rPr>
                <w:bCs/>
                <w:sz w:val="22"/>
                <w:szCs w:val="22"/>
              </w:rPr>
            </w:pPr>
            <w:r w:rsidRPr="00E3447D">
              <w:rPr>
                <w:bCs/>
                <w:sz w:val="22"/>
                <w:szCs w:val="22"/>
              </w:rPr>
              <w:t>NR</w:t>
            </w:r>
            <w:r w:rsidR="000D39C9" w:rsidRPr="00E3447D">
              <w:rPr>
                <w:bCs/>
                <w:sz w:val="22"/>
                <w:szCs w:val="22"/>
              </w:rPr>
              <w:t xml:space="preserve"> (Normal Replacement)</w:t>
            </w:r>
          </w:p>
        </w:tc>
      </w:tr>
      <w:tr w:rsidR="00735CF0" w:rsidRPr="00783DAC" w14:paraId="0754EBDB" w14:textId="77777777" w:rsidTr="00E3447D">
        <w:trPr>
          <w:trHeight w:val="711"/>
        </w:trPr>
        <w:tc>
          <w:tcPr>
            <w:tcW w:w="3510" w:type="dxa"/>
            <w:shd w:val="clear" w:color="auto" w:fill="FFFFFF" w:themeFill="background1"/>
          </w:tcPr>
          <w:p w14:paraId="32AD20A1" w14:textId="77777777" w:rsidR="00735CF0" w:rsidRPr="00F027AA" w:rsidRDefault="00735CF0" w:rsidP="00E3447D">
            <w:pPr>
              <w:spacing w:before="80"/>
              <w:rPr>
                <w:b/>
              </w:rPr>
            </w:pPr>
            <w:r w:rsidRPr="00F027AA">
              <w:rPr>
                <w:b/>
              </w:rPr>
              <w:t xml:space="preserve">Net-to-Gross Ratios: </w:t>
            </w:r>
          </w:p>
        </w:tc>
        <w:tc>
          <w:tcPr>
            <w:tcW w:w="6048" w:type="dxa"/>
            <w:shd w:val="clear" w:color="auto" w:fill="FFFFFF" w:themeFill="background1"/>
          </w:tcPr>
          <w:p w14:paraId="36C983ED" w14:textId="1816BD9F" w:rsidR="00AA3DDB" w:rsidRPr="00E3447D" w:rsidRDefault="000D39C9" w:rsidP="00E3447D">
            <w:pPr>
              <w:spacing w:before="80"/>
              <w:rPr>
                <w:sz w:val="22"/>
                <w:szCs w:val="22"/>
              </w:rPr>
            </w:pPr>
            <w:r w:rsidRPr="00E3447D">
              <w:rPr>
                <w:sz w:val="22"/>
                <w:szCs w:val="22"/>
              </w:rPr>
              <w:t>NTG = 0.91 per Resolution E-4952</w:t>
            </w:r>
          </w:p>
          <w:p w14:paraId="47C90F18" w14:textId="174290B5" w:rsidR="00735CF0" w:rsidRPr="00E3447D" w:rsidRDefault="00735CF0" w:rsidP="00E3447D">
            <w:pPr>
              <w:spacing w:before="80"/>
              <w:rPr>
                <w:bCs/>
                <w:sz w:val="22"/>
                <w:szCs w:val="22"/>
              </w:rPr>
            </w:pPr>
          </w:p>
        </w:tc>
      </w:tr>
      <w:tr w:rsidR="00735CF0" w:rsidRPr="00783DAC" w14:paraId="4C14C06D" w14:textId="77777777" w:rsidTr="00E3447D">
        <w:trPr>
          <w:trHeight w:val="465"/>
        </w:trPr>
        <w:tc>
          <w:tcPr>
            <w:tcW w:w="3510" w:type="dxa"/>
            <w:shd w:val="clear" w:color="auto" w:fill="FFFFFF" w:themeFill="background1"/>
          </w:tcPr>
          <w:p w14:paraId="5FE8E5C2" w14:textId="77777777" w:rsidR="00735CF0" w:rsidRPr="00783DAC" w:rsidRDefault="00735CF0" w:rsidP="0028709C">
            <w:pPr>
              <w:rPr>
                <w:b/>
              </w:rPr>
            </w:pPr>
            <w:r w:rsidRPr="00783DAC">
              <w:rPr>
                <w:b/>
              </w:rPr>
              <w:lastRenderedPageBreak/>
              <w:t>Important Comments:</w:t>
            </w:r>
          </w:p>
        </w:tc>
        <w:tc>
          <w:tcPr>
            <w:tcW w:w="6048" w:type="dxa"/>
            <w:shd w:val="clear" w:color="auto" w:fill="FFFFFF" w:themeFill="background1"/>
          </w:tcPr>
          <w:p w14:paraId="04C31BF9" w14:textId="317360DE" w:rsidR="00735CF0" w:rsidRPr="00E3447D" w:rsidRDefault="3BB577AD">
            <w:pPr>
              <w:rPr>
                <w:bCs/>
                <w:sz w:val="22"/>
                <w:szCs w:val="22"/>
              </w:rPr>
            </w:pPr>
            <w:r w:rsidRPr="00E3447D">
              <w:rPr>
                <w:color w:val="0070C0"/>
                <w:sz w:val="22"/>
                <w:szCs w:val="22"/>
              </w:rPr>
              <w:t>In the ED Report (Excel spreadsheet) the MAT is showing ROB because PG&amp;E’s system is still in the process of adopting the new MATs. PG&amp;E will revise ROB to NR at a later time when the system is ready.</w:t>
            </w:r>
          </w:p>
        </w:tc>
      </w:tr>
    </w:tbl>
    <w:p w14:paraId="5326EC70" w14:textId="77777777" w:rsidR="005F19E0" w:rsidRPr="005F19E0" w:rsidRDefault="006F0139" w:rsidP="0006490F">
      <w:pPr>
        <w:rPr>
          <w:rFonts w:ascii="Arial" w:hAnsi="Arial" w:cs="Arial"/>
          <w:b/>
          <w:color w:val="FF0000"/>
          <w:sz w:val="20"/>
          <w:szCs w:val="20"/>
        </w:rPr>
        <w:sectPr w:rsidR="005F19E0" w:rsidRPr="005F19E0" w:rsidSect="002870E2">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14:paraId="17497289" w14:textId="77777777" w:rsidR="00E71EF1" w:rsidRDefault="00E71EF1" w:rsidP="00E3447D">
      <w:pPr>
        <w:pStyle w:val="Heading1"/>
        <w:spacing w:before="0"/>
      </w:pPr>
      <w:bookmarkStart w:id="5" w:name="_Toc533933911"/>
      <w:bookmarkStart w:id="6" w:name="_Toc2808632"/>
      <w:r>
        <w:lastRenderedPageBreak/>
        <w:t>Document Revision History</w:t>
      </w:r>
      <w:bookmarkEnd w:id="5"/>
      <w:bookmarkEnd w:id="6"/>
    </w:p>
    <w:p w14:paraId="77BBB02F" w14:textId="77777777" w:rsidR="00E91C15" w:rsidRDefault="004203DD" w:rsidP="001A573F">
      <w:r>
        <w:t xml:space="preserve"> </w:t>
      </w:r>
      <w:r w:rsidR="00E91C15">
        <w:tab/>
      </w:r>
      <w:r w:rsidR="00E91C15">
        <w:tab/>
      </w:r>
      <w:r w:rsidR="00E91C15">
        <w:tab/>
      </w:r>
      <w:r w:rsidR="00E91C15">
        <w:tab/>
      </w:r>
      <w:r>
        <w:t xml:space="preserve"> </w:t>
      </w:r>
      <w:r w:rsidR="00E91C15">
        <w:t xml:space="preserve"> </w:t>
      </w:r>
    </w:p>
    <w:tbl>
      <w:tblPr>
        <w:tblW w:w="4944" w:type="pct"/>
        <w:tblInd w:w="108" w:type="dxa"/>
        <w:tblBorders>
          <w:insideH w:val="single" w:sz="18" w:space="0" w:color="FFFFFF" w:themeColor="background1"/>
          <w:insideV w:val="single" w:sz="18" w:space="0" w:color="FFFFFF" w:themeColor="background1"/>
        </w:tblBorders>
        <w:tblLook w:val="01E0" w:firstRow="1" w:lastRow="1" w:firstColumn="1" w:lastColumn="1" w:noHBand="0" w:noVBand="0"/>
      </w:tblPr>
      <w:tblGrid>
        <w:gridCol w:w="1440"/>
        <w:gridCol w:w="1350"/>
        <w:gridCol w:w="3691"/>
        <w:gridCol w:w="2988"/>
      </w:tblGrid>
      <w:tr w:rsidR="000374A5" w:rsidRPr="004C094A" w14:paraId="0BD8C690" w14:textId="77777777" w:rsidTr="009D4361">
        <w:trPr>
          <w:trHeight w:val="464"/>
        </w:trPr>
        <w:tc>
          <w:tcPr>
            <w:tcW w:w="760" w:type="pct"/>
            <w:tcBorders>
              <w:top w:val="nil"/>
              <w:bottom w:val="single" w:sz="18" w:space="0" w:color="FFFFFF" w:themeColor="background1"/>
            </w:tcBorders>
            <w:shd w:val="clear" w:color="auto" w:fill="BFBFBF" w:themeFill="background1" w:themeFillShade="BF"/>
          </w:tcPr>
          <w:p w14:paraId="7662E0AD" w14:textId="77777777" w:rsidR="000374A5" w:rsidRPr="004C094A" w:rsidRDefault="000374A5" w:rsidP="00E80567">
            <w:pPr>
              <w:rPr>
                <w:b/>
                <w:bCs/>
                <w:sz w:val="20"/>
                <w:szCs w:val="20"/>
              </w:rPr>
            </w:pPr>
            <w:r w:rsidRPr="004C094A">
              <w:rPr>
                <w:b/>
                <w:sz w:val="20"/>
                <w:szCs w:val="20"/>
              </w:rPr>
              <w:t>Revision #</w:t>
            </w:r>
            <w:r w:rsidRPr="004C094A">
              <w:rPr>
                <w:b/>
                <w:sz w:val="20"/>
                <w:szCs w:val="20"/>
              </w:rPr>
              <w:tab/>
            </w:r>
          </w:p>
        </w:tc>
        <w:tc>
          <w:tcPr>
            <w:tcW w:w="713" w:type="pct"/>
            <w:tcBorders>
              <w:top w:val="nil"/>
              <w:bottom w:val="single" w:sz="18" w:space="0" w:color="FFFFFF" w:themeColor="background1"/>
            </w:tcBorders>
            <w:shd w:val="clear" w:color="auto" w:fill="BFBFBF" w:themeFill="background1" w:themeFillShade="BF"/>
          </w:tcPr>
          <w:p w14:paraId="4A523260" w14:textId="77777777" w:rsidR="000374A5" w:rsidRPr="004C094A" w:rsidRDefault="000374A5" w:rsidP="00E80567">
            <w:pPr>
              <w:rPr>
                <w:b/>
                <w:bCs/>
                <w:sz w:val="20"/>
                <w:szCs w:val="20"/>
              </w:rPr>
            </w:pPr>
            <w:r w:rsidRPr="004C094A">
              <w:rPr>
                <w:b/>
                <w:sz w:val="20"/>
                <w:szCs w:val="20"/>
              </w:rPr>
              <w:t xml:space="preserve">Date </w:t>
            </w:r>
            <w:r w:rsidRPr="004C094A">
              <w:rPr>
                <w:b/>
                <w:sz w:val="20"/>
                <w:szCs w:val="20"/>
              </w:rPr>
              <w:tab/>
            </w:r>
          </w:p>
        </w:tc>
        <w:tc>
          <w:tcPr>
            <w:tcW w:w="1949" w:type="pct"/>
            <w:tcBorders>
              <w:top w:val="nil"/>
              <w:bottom w:val="single" w:sz="18" w:space="0" w:color="FFFFFF" w:themeColor="background1"/>
            </w:tcBorders>
            <w:shd w:val="clear" w:color="auto" w:fill="BFBFBF" w:themeFill="background1" w:themeFillShade="BF"/>
          </w:tcPr>
          <w:p w14:paraId="4E636B82" w14:textId="77777777" w:rsidR="000374A5" w:rsidRPr="004C094A" w:rsidRDefault="000374A5" w:rsidP="00E80567">
            <w:pPr>
              <w:rPr>
                <w:b/>
                <w:bCs/>
                <w:sz w:val="20"/>
                <w:szCs w:val="20"/>
              </w:rPr>
            </w:pPr>
            <w:r w:rsidRPr="004C094A">
              <w:rPr>
                <w:b/>
                <w:sz w:val="20"/>
                <w:szCs w:val="20"/>
              </w:rPr>
              <w:t>Section by Section Description of Revisions</w:t>
            </w:r>
          </w:p>
        </w:tc>
        <w:tc>
          <w:tcPr>
            <w:tcW w:w="1578" w:type="pct"/>
            <w:tcBorders>
              <w:top w:val="nil"/>
              <w:bottom w:val="single" w:sz="18" w:space="0" w:color="FFFFFF" w:themeColor="background1"/>
            </w:tcBorders>
            <w:shd w:val="clear" w:color="auto" w:fill="BFBFBF" w:themeFill="background1" w:themeFillShade="BF"/>
          </w:tcPr>
          <w:p w14:paraId="572043E0" w14:textId="77777777" w:rsidR="000374A5" w:rsidRPr="004C094A" w:rsidRDefault="000374A5" w:rsidP="00E80567">
            <w:pPr>
              <w:rPr>
                <w:b/>
                <w:bCs/>
                <w:sz w:val="20"/>
                <w:szCs w:val="20"/>
              </w:rPr>
            </w:pPr>
            <w:r w:rsidRPr="004C094A">
              <w:rPr>
                <w:b/>
                <w:sz w:val="20"/>
                <w:szCs w:val="20"/>
              </w:rPr>
              <w:t>Author (Company)</w:t>
            </w:r>
          </w:p>
        </w:tc>
      </w:tr>
      <w:tr w:rsidR="0068419D" w:rsidRPr="004C094A" w14:paraId="22B44276" w14:textId="77777777" w:rsidTr="009D4361">
        <w:trPr>
          <w:trHeight w:val="464"/>
        </w:trPr>
        <w:tc>
          <w:tcPr>
            <w:tcW w:w="760" w:type="pct"/>
            <w:tcBorders>
              <w:top w:val="single" w:sz="18" w:space="0" w:color="FFFFFF" w:themeColor="background1"/>
              <w:bottom w:val="single" w:sz="18" w:space="0" w:color="FFFFFF" w:themeColor="background1"/>
            </w:tcBorders>
            <w:shd w:val="clear" w:color="auto" w:fill="D9D9D9" w:themeFill="background1" w:themeFillShade="D9"/>
          </w:tcPr>
          <w:p w14:paraId="16464227" w14:textId="77777777" w:rsidR="0068419D" w:rsidRPr="004C094A" w:rsidRDefault="0068419D" w:rsidP="008948E0">
            <w:pPr>
              <w:rPr>
                <w:bCs/>
                <w:sz w:val="20"/>
                <w:szCs w:val="20"/>
              </w:rPr>
            </w:pPr>
            <w:r w:rsidRPr="004C094A">
              <w:rPr>
                <w:bCs/>
                <w:sz w:val="20"/>
                <w:szCs w:val="20"/>
              </w:rPr>
              <w:t>Revision 0</w:t>
            </w:r>
          </w:p>
        </w:tc>
        <w:tc>
          <w:tcPr>
            <w:tcW w:w="713" w:type="pct"/>
            <w:tcBorders>
              <w:top w:val="single" w:sz="18" w:space="0" w:color="FFFFFF" w:themeColor="background1"/>
              <w:bottom w:val="single" w:sz="18" w:space="0" w:color="FFFFFF" w:themeColor="background1"/>
            </w:tcBorders>
            <w:shd w:val="clear" w:color="auto" w:fill="D9D9D9" w:themeFill="background1" w:themeFillShade="D9"/>
          </w:tcPr>
          <w:p w14:paraId="2064A2B8" w14:textId="77777777" w:rsidR="0068419D" w:rsidRPr="004C094A" w:rsidRDefault="005C31D5" w:rsidP="005C31D5">
            <w:pPr>
              <w:rPr>
                <w:bCs/>
                <w:sz w:val="20"/>
                <w:szCs w:val="20"/>
              </w:rPr>
            </w:pPr>
            <w:r w:rsidRPr="004C094A">
              <w:rPr>
                <w:bCs/>
                <w:sz w:val="20"/>
                <w:szCs w:val="20"/>
              </w:rPr>
              <w:t>2</w:t>
            </w:r>
            <w:r w:rsidR="00531AF8" w:rsidRPr="004C094A">
              <w:rPr>
                <w:bCs/>
                <w:sz w:val="20"/>
                <w:szCs w:val="20"/>
              </w:rPr>
              <w:t>/</w:t>
            </w:r>
            <w:r w:rsidRPr="004C094A">
              <w:rPr>
                <w:bCs/>
                <w:sz w:val="20"/>
                <w:szCs w:val="20"/>
              </w:rPr>
              <w:t>25</w:t>
            </w:r>
            <w:r w:rsidR="00531AF8" w:rsidRPr="004C094A">
              <w:rPr>
                <w:bCs/>
                <w:sz w:val="20"/>
                <w:szCs w:val="20"/>
              </w:rPr>
              <w:t>/201</w:t>
            </w:r>
            <w:r w:rsidRPr="004C094A">
              <w:rPr>
                <w:bCs/>
                <w:sz w:val="20"/>
                <w:szCs w:val="20"/>
              </w:rPr>
              <w:t>5</w:t>
            </w:r>
          </w:p>
        </w:tc>
        <w:tc>
          <w:tcPr>
            <w:tcW w:w="1949" w:type="pct"/>
            <w:tcBorders>
              <w:top w:val="single" w:sz="18" w:space="0" w:color="FFFFFF" w:themeColor="background1"/>
              <w:bottom w:val="single" w:sz="18" w:space="0" w:color="FFFFFF" w:themeColor="background1"/>
            </w:tcBorders>
            <w:shd w:val="clear" w:color="auto" w:fill="D9D9D9" w:themeFill="background1" w:themeFillShade="D9"/>
          </w:tcPr>
          <w:p w14:paraId="4FC32A6F" w14:textId="36F444F5" w:rsidR="0068419D" w:rsidRPr="004C094A" w:rsidRDefault="00DB2CE5" w:rsidP="00DF163F">
            <w:pPr>
              <w:rPr>
                <w:sz w:val="20"/>
                <w:szCs w:val="20"/>
              </w:rPr>
            </w:pPr>
            <w:r w:rsidRPr="004C094A">
              <w:rPr>
                <w:sz w:val="20"/>
                <w:szCs w:val="20"/>
              </w:rPr>
              <w:t>PGECOLTG</w:t>
            </w:r>
            <w:r w:rsidR="00990A52" w:rsidRPr="004C094A">
              <w:rPr>
                <w:sz w:val="20"/>
                <w:szCs w:val="20"/>
              </w:rPr>
              <w:t>179</w:t>
            </w:r>
            <w:r w:rsidR="0068419D" w:rsidRPr="004C094A">
              <w:rPr>
                <w:sz w:val="20"/>
                <w:szCs w:val="20"/>
              </w:rPr>
              <w:t xml:space="preserve"> R0 </w:t>
            </w:r>
            <w:r w:rsidR="00990A52" w:rsidRPr="004C094A">
              <w:rPr>
                <w:sz w:val="20"/>
                <w:szCs w:val="20"/>
              </w:rPr>
              <w:t xml:space="preserve">LED </w:t>
            </w:r>
            <w:r w:rsidR="00C27933" w:rsidRPr="004C094A">
              <w:rPr>
                <w:sz w:val="20"/>
                <w:szCs w:val="20"/>
              </w:rPr>
              <w:t xml:space="preserve">Ambient Commercial </w:t>
            </w:r>
            <w:r w:rsidR="005C31D5" w:rsidRPr="004C094A">
              <w:rPr>
                <w:sz w:val="20"/>
                <w:szCs w:val="20"/>
              </w:rPr>
              <w:t>Fixtures and Retrofit Kits</w:t>
            </w:r>
            <w:r w:rsidR="0068419D" w:rsidRPr="004C094A">
              <w:rPr>
                <w:sz w:val="20"/>
                <w:szCs w:val="20"/>
              </w:rPr>
              <w:t>.doc</w:t>
            </w:r>
          </w:p>
          <w:p w14:paraId="0D3FCA01" w14:textId="77777777" w:rsidR="0068419D" w:rsidRPr="004C094A" w:rsidRDefault="00D3706F" w:rsidP="00DF163F">
            <w:pPr>
              <w:rPr>
                <w:sz w:val="20"/>
                <w:szCs w:val="20"/>
              </w:rPr>
            </w:pPr>
            <w:r w:rsidRPr="004C094A">
              <w:rPr>
                <w:sz w:val="20"/>
                <w:szCs w:val="20"/>
              </w:rPr>
              <w:t>Original Workpaper</w:t>
            </w:r>
          </w:p>
        </w:tc>
        <w:tc>
          <w:tcPr>
            <w:tcW w:w="1578" w:type="pct"/>
            <w:tcBorders>
              <w:top w:val="single" w:sz="18" w:space="0" w:color="FFFFFF" w:themeColor="background1"/>
              <w:bottom w:val="single" w:sz="18" w:space="0" w:color="FFFFFF" w:themeColor="background1"/>
            </w:tcBorders>
            <w:shd w:val="clear" w:color="auto" w:fill="D9D9D9" w:themeFill="background1" w:themeFillShade="D9"/>
          </w:tcPr>
          <w:p w14:paraId="63354E7F" w14:textId="77777777" w:rsidR="00032F1B" w:rsidRPr="004C094A" w:rsidRDefault="00032F1B" w:rsidP="008948E0">
            <w:pPr>
              <w:rPr>
                <w:bCs/>
                <w:sz w:val="20"/>
                <w:szCs w:val="20"/>
              </w:rPr>
            </w:pPr>
            <w:r w:rsidRPr="004C094A">
              <w:rPr>
                <w:bCs/>
                <w:sz w:val="20"/>
                <w:szCs w:val="20"/>
              </w:rPr>
              <w:t>Author: Greg Barker (Energy Solutions)</w:t>
            </w:r>
          </w:p>
          <w:p w14:paraId="0F113894" w14:textId="77777777" w:rsidR="0068419D" w:rsidRPr="004C094A" w:rsidRDefault="00032F1B" w:rsidP="008948E0">
            <w:pPr>
              <w:rPr>
                <w:bCs/>
                <w:sz w:val="20"/>
                <w:szCs w:val="20"/>
              </w:rPr>
            </w:pPr>
            <w:r w:rsidRPr="004C094A">
              <w:rPr>
                <w:bCs/>
                <w:sz w:val="20"/>
                <w:szCs w:val="20"/>
              </w:rPr>
              <w:t xml:space="preserve">Reviewer: </w:t>
            </w:r>
            <w:r w:rsidR="0068419D" w:rsidRPr="004C094A">
              <w:rPr>
                <w:bCs/>
                <w:sz w:val="20"/>
                <w:szCs w:val="20"/>
              </w:rPr>
              <w:t xml:space="preserve">Alina Zohrabian (PG&amp;E) </w:t>
            </w:r>
          </w:p>
        </w:tc>
      </w:tr>
      <w:tr w:rsidR="002870E2" w:rsidRPr="004C094A" w14:paraId="4784A10C" w14:textId="77777777" w:rsidTr="009D4361">
        <w:trPr>
          <w:trHeight w:val="464"/>
        </w:trPr>
        <w:tc>
          <w:tcPr>
            <w:tcW w:w="760" w:type="pct"/>
            <w:tcBorders>
              <w:top w:val="single" w:sz="18" w:space="0" w:color="FFFFFF" w:themeColor="background1"/>
              <w:bottom w:val="single" w:sz="18" w:space="0" w:color="FFFFFF" w:themeColor="background1"/>
            </w:tcBorders>
            <w:shd w:val="clear" w:color="auto" w:fill="D9D9D9" w:themeFill="background1" w:themeFillShade="D9"/>
          </w:tcPr>
          <w:p w14:paraId="78666149" w14:textId="77777777" w:rsidR="002870E2" w:rsidRPr="004C094A" w:rsidRDefault="002870E2" w:rsidP="004C3B88">
            <w:pPr>
              <w:rPr>
                <w:bCs/>
                <w:sz w:val="20"/>
                <w:szCs w:val="20"/>
              </w:rPr>
            </w:pPr>
            <w:r w:rsidRPr="004C094A">
              <w:rPr>
                <w:bCs/>
                <w:sz w:val="20"/>
                <w:szCs w:val="20"/>
              </w:rPr>
              <w:t>Revision 1</w:t>
            </w:r>
          </w:p>
        </w:tc>
        <w:tc>
          <w:tcPr>
            <w:tcW w:w="713" w:type="pct"/>
            <w:tcBorders>
              <w:top w:val="single" w:sz="18" w:space="0" w:color="FFFFFF" w:themeColor="background1"/>
              <w:bottom w:val="single" w:sz="18" w:space="0" w:color="FFFFFF" w:themeColor="background1"/>
            </w:tcBorders>
            <w:shd w:val="clear" w:color="auto" w:fill="D9D9D9" w:themeFill="background1" w:themeFillShade="D9"/>
          </w:tcPr>
          <w:p w14:paraId="0AAF251C" w14:textId="77777777" w:rsidR="002870E2" w:rsidRPr="004C094A" w:rsidRDefault="002870E2" w:rsidP="004C3B88">
            <w:pPr>
              <w:rPr>
                <w:bCs/>
                <w:sz w:val="20"/>
                <w:szCs w:val="20"/>
              </w:rPr>
            </w:pPr>
            <w:r w:rsidRPr="004C094A">
              <w:rPr>
                <w:bCs/>
                <w:sz w:val="20"/>
                <w:szCs w:val="20"/>
              </w:rPr>
              <w:t>1/1/2016</w:t>
            </w:r>
          </w:p>
        </w:tc>
        <w:tc>
          <w:tcPr>
            <w:tcW w:w="1949" w:type="pct"/>
            <w:tcBorders>
              <w:top w:val="single" w:sz="18" w:space="0" w:color="FFFFFF" w:themeColor="background1"/>
              <w:bottom w:val="single" w:sz="18" w:space="0" w:color="FFFFFF" w:themeColor="background1"/>
            </w:tcBorders>
            <w:shd w:val="clear" w:color="auto" w:fill="D9D9D9" w:themeFill="background1" w:themeFillShade="D9"/>
          </w:tcPr>
          <w:p w14:paraId="7C2F52BF" w14:textId="77777777" w:rsidR="002870E2" w:rsidRPr="004C094A" w:rsidRDefault="002870E2" w:rsidP="00CA1504">
            <w:pPr>
              <w:rPr>
                <w:sz w:val="20"/>
                <w:szCs w:val="20"/>
              </w:rPr>
            </w:pPr>
            <w:r w:rsidRPr="004C094A">
              <w:rPr>
                <w:sz w:val="20"/>
                <w:szCs w:val="20"/>
              </w:rPr>
              <w:t>Added upstream delivery channel.  Updated NTG</w:t>
            </w:r>
            <w:r w:rsidR="00CA1504" w:rsidRPr="004C094A">
              <w:rPr>
                <w:sz w:val="20"/>
                <w:szCs w:val="20"/>
              </w:rPr>
              <w:t xml:space="preserve"> &amp;</w:t>
            </w:r>
            <w:r w:rsidRPr="004C094A">
              <w:rPr>
                <w:sz w:val="20"/>
                <w:szCs w:val="20"/>
              </w:rPr>
              <w:t xml:space="preserve"> EUL IDs per DEER2016.</w:t>
            </w:r>
          </w:p>
        </w:tc>
        <w:tc>
          <w:tcPr>
            <w:tcW w:w="1578" w:type="pct"/>
            <w:tcBorders>
              <w:top w:val="single" w:sz="18" w:space="0" w:color="FFFFFF" w:themeColor="background1"/>
              <w:bottom w:val="single" w:sz="18" w:space="0" w:color="FFFFFF" w:themeColor="background1"/>
            </w:tcBorders>
            <w:shd w:val="clear" w:color="auto" w:fill="D9D9D9" w:themeFill="background1" w:themeFillShade="D9"/>
          </w:tcPr>
          <w:p w14:paraId="3E8676B4" w14:textId="77777777" w:rsidR="002870E2" w:rsidRPr="004C094A" w:rsidRDefault="002870E2" w:rsidP="004C3B88">
            <w:pPr>
              <w:rPr>
                <w:bCs/>
                <w:sz w:val="20"/>
                <w:szCs w:val="20"/>
              </w:rPr>
            </w:pPr>
            <w:r w:rsidRPr="004C094A">
              <w:rPr>
                <w:bCs/>
                <w:sz w:val="20"/>
                <w:szCs w:val="20"/>
              </w:rPr>
              <w:t xml:space="preserve">Alina Zohrabian (PG&amp;E) </w:t>
            </w:r>
          </w:p>
        </w:tc>
      </w:tr>
      <w:tr w:rsidR="00CD3FDA" w:rsidRPr="004C094A" w14:paraId="54106EBF" w14:textId="77777777" w:rsidTr="009D4361">
        <w:trPr>
          <w:trHeight w:val="464"/>
        </w:trPr>
        <w:tc>
          <w:tcPr>
            <w:tcW w:w="760" w:type="pct"/>
            <w:tcBorders>
              <w:top w:val="single" w:sz="18" w:space="0" w:color="FFFFFF" w:themeColor="background1"/>
              <w:bottom w:val="single" w:sz="18" w:space="0" w:color="FFFFFF" w:themeColor="background1"/>
            </w:tcBorders>
            <w:shd w:val="clear" w:color="auto" w:fill="D9D9D9" w:themeFill="background1" w:themeFillShade="D9"/>
          </w:tcPr>
          <w:p w14:paraId="4623120A" w14:textId="77777777" w:rsidR="00CD3FDA" w:rsidRPr="004C094A" w:rsidRDefault="00CD3FDA" w:rsidP="004C3B88">
            <w:pPr>
              <w:rPr>
                <w:sz w:val="20"/>
                <w:szCs w:val="20"/>
              </w:rPr>
            </w:pPr>
            <w:r w:rsidRPr="004C094A">
              <w:rPr>
                <w:sz w:val="20"/>
                <w:szCs w:val="20"/>
              </w:rPr>
              <w:t>Revision 2</w:t>
            </w:r>
          </w:p>
        </w:tc>
        <w:tc>
          <w:tcPr>
            <w:tcW w:w="713" w:type="pct"/>
            <w:tcBorders>
              <w:top w:val="single" w:sz="18" w:space="0" w:color="FFFFFF" w:themeColor="background1"/>
              <w:bottom w:val="single" w:sz="18" w:space="0" w:color="FFFFFF" w:themeColor="background1"/>
            </w:tcBorders>
            <w:shd w:val="clear" w:color="auto" w:fill="D9D9D9" w:themeFill="background1" w:themeFillShade="D9"/>
          </w:tcPr>
          <w:p w14:paraId="4A77EAD1" w14:textId="77777777" w:rsidR="00CD3FDA" w:rsidRPr="004C094A" w:rsidRDefault="00CD3FDA" w:rsidP="004C3B88">
            <w:pPr>
              <w:rPr>
                <w:sz w:val="20"/>
                <w:szCs w:val="20"/>
              </w:rPr>
            </w:pPr>
            <w:r w:rsidRPr="004C094A">
              <w:rPr>
                <w:sz w:val="20"/>
                <w:szCs w:val="20"/>
              </w:rPr>
              <w:t>6/1/2016</w:t>
            </w:r>
          </w:p>
        </w:tc>
        <w:tc>
          <w:tcPr>
            <w:tcW w:w="1949" w:type="pct"/>
            <w:tcBorders>
              <w:top w:val="single" w:sz="18" w:space="0" w:color="FFFFFF" w:themeColor="background1"/>
              <w:bottom w:val="single" w:sz="18" w:space="0" w:color="FFFFFF" w:themeColor="background1"/>
            </w:tcBorders>
            <w:shd w:val="clear" w:color="auto" w:fill="D9D9D9" w:themeFill="background1" w:themeFillShade="D9"/>
          </w:tcPr>
          <w:p w14:paraId="75781DF4" w14:textId="77777777" w:rsidR="00CD3FDA" w:rsidRPr="004C094A" w:rsidRDefault="00CD3FDA" w:rsidP="00CA1504">
            <w:pPr>
              <w:rPr>
                <w:sz w:val="20"/>
                <w:szCs w:val="20"/>
              </w:rPr>
            </w:pPr>
            <w:r w:rsidRPr="004C094A">
              <w:rPr>
                <w:sz w:val="20"/>
                <w:szCs w:val="20"/>
              </w:rPr>
              <w:t>Added DLC Premium Tier requirement for transition on July 15</w:t>
            </w:r>
            <w:proofErr w:type="gramStart"/>
            <w:r w:rsidRPr="004C094A">
              <w:rPr>
                <w:sz w:val="20"/>
                <w:szCs w:val="20"/>
              </w:rPr>
              <w:t>,2016</w:t>
            </w:r>
            <w:proofErr w:type="gramEnd"/>
            <w:r w:rsidRPr="004C094A">
              <w:rPr>
                <w:sz w:val="20"/>
                <w:szCs w:val="20"/>
              </w:rPr>
              <w:t>; removed 12 measure codes that fall below DLC Premium efficacy.  Updated costs based on recent cost data. No changes in savings, EUL, NTG.</w:t>
            </w:r>
          </w:p>
        </w:tc>
        <w:tc>
          <w:tcPr>
            <w:tcW w:w="1578" w:type="pct"/>
            <w:tcBorders>
              <w:top w:val="single" w:sz="18" w:space="0" w:color="FFFFFF" w:themeColor="background1"/>
              <w:bottom w:val="single" w:sz="18" w:space="0" w:color="FFFFFF" w:themeColor="background1"/>
            </w:tcBorders>
            <w:shd w:val="clear" w:color="auto" w:fill="D9D9D9" w:themeFill="background1" w:themeFillShade="D9"/>
          </w:tcPr>
          <w:p w14:paraId="1C22052A" w14:textId="77777777" w:rsidR="00CD3FDA" w:rsidRPr="004C094A" w:rsidRDefault="00CD3FDA" w:rsidP="00CD3FDA">
            <w:pPr>
              <w:rPr>
                <w:bCs/>
                <w:sz w:val="20"/>
                <w:szCs w:val="20"/>
              </w:rPr>
            </w:pPr>
            <w:r w:rsidRPr="004C094A">
              <w:rPr>
                <w:bCs/>
                <w:sz w:val="20"/>
                <w:szCs w:val="20"/>
              </w:rPr>
              <w:t>Author: Greg Barker (Energy Solutions)</w:t>
            </w:r>
          </w:p>
          <w:p w14:paraId="602CE8E8" w14:textId="77777777" w:rsidR="00CD3FDA" w:rsidRPr="004C094A" w:rsidRDefault="00CD3FDA" w:rsidP="00CD3FDA">
            <w:pPr>
              <w:rPr>
                <w:bCs/>
                <w:sz w:val="20"/>
                <w:szCs w:val="20"/>
              </w:rPr>
            </w:pPr>
            <w:r w:rsidRPr="004C094A">
              <w:rPr>
                <w:bCs/>
                <w:sz w:val="20"/>
                <w:szCs w:val="20"/>
              </w:rPr>
              <w:t xml:space="preserve">Reviewer: Alina Zohrabian (PG&amp;E) </w:t>
            </w:r>
          </w:p>
          <w:p w14:paraId="35F00584" w14:textId="77777777" w:rsidR="00CD3FDA" w:rsidRPr="004C094A" w:rsidRDefault="00CD3FDA" w:rsidP="004C3B88">
            <w:pPr>
              <w:rPr>
                <w:bCs/>
                <w:sz w:val="20"/>
                <w:szCs w:val="20"/>
              </w:rPr>
            </w:pPr>
          </w:p>
        </w:tc>
      </w:tr>
      <w:tr w:rsidR="00CD3FDA" w:rsidRPr="004C094A" w14:paraId="104B31FE" w14:textId="77777777" w:rsidTr="009D4361">
        <w:trPr>
          <w:trHeight w:val="464"/>
        </w:trPr>
        <w:tc>
          <w:tcPr>
            <w:tcW w:w="760" w:type="pct"/>
            <w:tcBorders>
              <w:top w:val="single" w:sz="18" w:space="0" w:color="FFFFFF" w:themeColor="background1"/>
              <w:bottom w:val="single" w:sz="18" w:space="0" w:color="FFFFFF" w:themeColor="background1"/>
            </w:tcBorders>
            <w:shd w:val="clear" w:color="auto" w:fill="D9D9D9" w:themeFill="background1" w:themeFillShade="D9"/>
          </w:tcPr>
          <w:p w14:paraId="15756E68" w14:textId="77777777" w:rsidR="00CD3FDA" w:rsidRPr="004C094A" w:rsidRDefault="00CD3FDA" w:rsidP="004C3B88">
            <w:pPr>
              <w:rPr>
                <w:sz w:val="20"/>
                <w:szCs w:val="20"/>
              </w:rPr>
            </w:pPr>
            <w:r w:rsidRPr="004C094A">
              <w:rPr>
                <w:sz w:val="20"/>
                <w:szCs w:val="20"/>
              </w:rPr>
              <w:t>Revision 3</w:t>
            </w:r>
          </w:p>
        </w:tc>
        <w:tc>
          <w:tcPr>
            <w:tcW w:w="713" w:type="pct"/>
            <w:tcBorders>
              <w:top w:val="single" w:sz="18" w:space="0" w:color="FFFFFF" w:themeColor="background1"/>
              <w:bottom w:val="single" w:sz="18" w:space="0" w:color="FFFFFF" w:themeColor="background1"/>
            </w:tcBorders>
            <w:shd w:val="clear" w:color="auto" w:fill="D9D9D9" w:themeFill="background1" w:themeFillShade="D9"/>
          </w:tcPr>
          <w:p w14:paraId="5519372A" w14:textId="77777777" w:rsidR="00CD3FDA" w:rsidRPr="004C094A" w:rsidRDefault="00CD3FDA" w:rsidP="004C3B88">
            <w:pPr>
              <w:rPr>
                <w:sz w:val="20"/>
                <w:szCs w:val="20"/>
              </w:rPr>
            </w:pPr>
            <w:r w:rsidRPr="004C094A">
              <w:rPr>
                <w:sz w:val="20"/>
                <w:szCs w:val="20"/>
              </w:rPr>
              <w:t>11/28/2016</w:t>
            </w:r>
          </w:p>
        </w:tc>
        <w:tc>
          <w:tcPr>
            <w:tcW w:w="1949" w:type="pct"/>
            <w:tcBorders>
              <w:top w:val="single" w:sz="18" w:space="0" w:color="FFFFFF" w:themeColor="background1"/>
              <w:bottom w:val="single" w:sz="18" w:space="0" w:color="FFFFFF" w:themeColor="background1"/>
            </w:tcBorders>
            <w:shd w:val="clear" w:color="auto" w:fill="D9D9D9" w:themeFill="background1" w:themeFillShade="D9"/>
          </w:tcPr>
          <w:p w14:paraId="4366269E" w14:textId="77777777" w:rsidR="00CD3FDA" w:rsidRPr="004C094A" w:rsidRDefault="00CD3FDA" w:rsidP="00E80567">
            <w:pPr>
              <w:rPr>
                <w:sz w:val="20"/>
                <w:szCs w:val="20"/>
              </w:rPr>
            </w:pPr>
            <w:r w:rsidRPr="004C094A">
              <w:rPr>
                <w:sz w:val="20"/>
                <w:szCs w:val="20"/>
              </w:rPr>
              <w:t>Updated</w:t>
            </w:r>
            <w:r w:rsidR="00CF48A4" w:rsidRPr="004C094A">
              <w:rPr>
                <w:sz w:val="20"/>
                <w:szCs w:val="20"/>
              </w:rPr>
              <w:t xml:space="preserve"> Residential Interactive </w:t>
            </w:r>
            <w:r w:rsidRPr="004C094A">
              <w:rPr>
                <w:sz w:val="20"/>
                <w:szCs w:val="20"/>
              </w:rPr>
              <w:t>Effect(IE)</w:t>
            </w:r>
            <w:r w:rsidR="00CF48A4" w:rsidRPr="004C094A">
              <w:rPr>
                <w:sz w:val="20"/>
                <w:szCs w:val="20"/>
              </w:rPr>
              <w:t xml:space="preserve"> factors</w:t>
            </w:r>
            <w:r w:rsidRPr="004C094A">
              <w:rPr>
                <w:sz w:val="20"/>
                <w:szCs w:val="20"/>
              </w:rPr>
              <w:t xml:space="preserve"> per DEER 2017; </w:t>
            </w:r>
            <w:r w:rsidR="00CF48A4" w:rsidRPr="004C094A">
              <w:rPr>
                <w:sz w:val="20"/>
                <w:szCs w:val="20"/>
              </w:rPr>
              <w:t>The ET_NTG expired so the Direct Install NTG changes from 0.85 to 0.7</w:t>
            </w:r>
          </w:p>
        </w:tc>
        <w:tc>
          <w:tcPr>
            <w:tcW w:w="1578" w:type="pct"/>
            <w:tcBorders>
              <w:top w:val="single" w:sz="18" w:space="0" w:color="FFFFFF" w:themeColor="background1"/>
              <w:bottom w:val="single" w:sz="18" w:space="0" w:color="FFFFFF" w:themeColor="background1"/>
            </w:tcBorders>
            <w:shd w:val="clear" w:color="auto" w:fill="D9D9D9" w:themeFill="background1" w:themeFillShade="D9"/>
          </w:tcPr>
          <w:p w14:paraId="40E44581" w14:textId="77777777" w:rsidR="00CD3FDA" w:rsidRPr="004C094A" w:rsidRDefault="00CD3FDA" w:rsidP="004C3B88">
            <w:pPr>
              <w:rPr>
                <w:bCs/>
                <w:sz w:val="20"/>
                <w:szCs w:val="20"/>
              </w:rPr>
            </w:pPr>
            <w:r w:rsidRPr="004C094A">
              <w:rPr>
                <w:sz w:val="20"/>
                <w:szCs w:val="20"/>
              </w:rPr>
              <w:t>Mini Damodaran (PG&amp;E)/ Alina Zohrabian (PG&amp;E)</w:t>
            </w:r>
          </w:p>
        </w:tc>
      </w:tr>
      <w:tr w:rsidR="008D1399" w:rsidRPr="004C094A" w14:paraId="750C4AC4" w14:textId="77777777" w:rsidTr="009D4361">
        <w:trPr>
          <w:trHeight w:val="464"/>
        </w:trPr>
        <w:tc>
          <w:tcPr>
            <w:tcW w:w="760" w:type="pct"/>
            <w:tcBorders>
              <w:top w:val="single" w:sz="18" w:space="0" w:color="FFFFFF" w:themeColor="background1"/>
              <w:bottom w:val="single" w:sz="18" w:space="0" w:color="FFFFFF" w:themeColor="background1"/>
            </w:tcBorders>
            <w:shd w:val="clear" w:color="auto" w:fill="D9D9D9" w:themeFill="background1" w:themeFillShade="D9"/>
          </w:tcPr>
          <w:p w14:paraId="2FC9A5BB" w14:textId="77777777" w:rsidR="008D1399" w:rsidRPr="004C094A" w:rsidRDefault="008D1399" w:rsidP="00EB7CBB">
            <w:pPr>
              <w:rPr>
                <w:sz w:val="20"/>
                <w:szCs w:val="20"/>
              </w:rPr>
            </w:pPr>
            <w:r w:rsidRPr="004C094A">
              <w:rPr>
                <w:sz w:val="20"/>
                <w:szCs w:val="20"/>
              </w:rPr>
              <w:t>Revision 4</w:t>
            </w:r>
          </w:p>
        </w:tc>
        <w:tc>
          <w:tcPr>
            <w:tcW w:w="713" w:type="pct"/>
            <w:tcBorders>
              <w:top w:val="single" w:sz="18" w:space="0" w:color="FFFFFF" w:themeColor="background1"/>
              <w:bottom w:val="single" w:sz="18" w:space="0" w:color="FFFFFF" w:themeColor="background1"/>
            </w:tcBorders>
            <w:shd w:val="clear" w:color="auto" w:fill="D9D9D9" w:themeFill="background1" w:themeFillShade="D9"/>
          </w:tcPr>
          <w:p w14:paraId="65E7C335" w14:textId="77777777" w:rsidR="008D1399" w:rsidRPr="004C094A" w:rsidRDefault="008D1399" w:rsidP="00EB7CBB">
            <w:pPr>
              <w:rPr>
                <w:sz w:val="20"/>
                <w:szCs w:val="20"/>
              </w:rPr>
            </w:pPr>
            <w:r>
              <w:rPr>
                <w:sz w:val="20"/>
                <w:szCs w:val="20"/>
              </w:rPr>
              <w:t>6/28/2017</w:t>
            </w:r>
          </w:p>
        </w:tc>
        <w:tc>
          <w:tcPr>
            <w:tcW w:w="1949" w:type="pct"/>
            <w:tcBorders>
              <w:top w:val="single" w:sz="18" w:space="0" w:color="FFFFFF" w:themeColor="background1"/>
              <w:bottom w:val="single" w:sz="18" w:space="0" w:color="FFFFFF" w:themeColor="background1"/>
            </w:tcBorders>
            <w:shd w:val="clear" w:color="auto" w:fill="D9D9D9" w:themeFill="background1" w:themeFillShade="D9"/>
          </w:tcPr>
          <w:p w14:paraId="0738C503" w14:textId="77777777" w:rsidR="008D1399" w:rsidRDefault="009851AE" w:rsidP="009D42DF">
            <w:pPr>
              <w:rPr>
                <w:sz w:val="20"/>
                <w:szCs w:val="20"/>
              </w:rPr>
            </w:pPr>
            <w:r>
              <w:rPr>
                <w:sz w:val="20"/>
                <w:szCs w:val="20"/>
              </w:rPr>
              <w:t>-</w:t>
            </w:r>
            <w:r w:rsidRPr="004C094A">
              <w:rPr>
                <w:sz w:val="20"/>
                <w:szCs w:val="20"/>
              </w:rPr>
              <w:t xml:space="preserve">NTG values changed from All-Default&lt;=2yrs </w:t>
            </w:r>
            <w:r>
              <w:rPr>
                <w:sz w:val="20"/>
                <w:szCs w:val="20"/>
              </w:rPr>
              <w:t xml:space="preserve">=0.7 </w:t>
            </w:r>
            <w:r w:rsidRPr="004C094A">
              <w:rPr>
                <w:sz w:val="20"/>
                <w:szCs w:val="20"/>
              </w:rPr>
              <w:t>to Com-Default&gt;2yrs</w:t>
            </w:r>
            <w:r>
              <w:rPr>
                <w:sz w:val="20"/>
                <w:szCs w:val="20"/>
              </w:rPr>
              <w:t xml:space="preserve"> = 0.6 </w:t>
            </w:r>
            <w:r w:rsidRPr="004C094A">
              <w:rPr>
                <w:sz w:val="20"/>
                <w:szCs w:val="20"/>
              </w:rPr>
              <w:t>for Commercial and Res-Default&gt;2</w:t>
            </w:r>
            <w:r>
              <w:rPr>
                <w:sz w:val="20"/>
                <w:szCs w:val="20"/>
              </w:rPr>
              <w:t xml:space="preserve"> =0.55 for </w:t>
            </w:r>
            <w:r w:rsidRPr="004C094A">
              <w:rPr>
                <w:sz w:val="20"/>
                <w:szCs w:val="20"/>
              </w:rPr>
              <w:t>Residential sector</w:t>
            </w:r>
            <w:r>
              <w:rPr>
                <w:sz w:val="20"/>
                <w:szCs w:val="20"/>
              </w:rPr>
              <w:t xml:space="preserve"> effective 10/1/2017</w:t>
            </w:r>
          </w:p>
        </w:tc>
        <w:tc>
          <w:tcPr>
            <w:tcW w:w="1578" w:type="pct"/>
            <w:tcBorders>
              <w:top w:val="single" w:sz="18" w:space="0" w:color="FFFFFF" w:themeColor="background1"/>
              <w:bottom w:val="single" w:sz="18" w:space="0" w:color="FFFFFF" w:themeColor="background1"/>
            </w:tcBorders>
            <w:shd w:val="clear" w:color="auto" w:fill="D9D9D9" w:themeFill="background1" w:themeFillShade="D9"/>
          </w:tcPr>
          <w:p w14:paraId="27EAC820" w14:textId="77777777" w:rsidR="008D1399" w:rsidRPr="004C094A" w:rsidRDefault="00FC58B2" w:rsidP="00EB7CBB">
            <w:pPr>
              <w:rPr>
                <w:sz w:val="20"/>
                <w:szCs w:val="20"/>
              </w:rPr>
            </w:pPr>
            <w:r w:rsidRPr="004C094A">
              <w:rPr>
                <w:sz w:val="20"/>
                <w:szCs w:val="20"/>
              </w:rPr>
              <w:t>Mini Damodaran (PG&amp;E)</w:t>
            </w:r>
          </w:p>
        </w:tc>
      </w:tr>
      <w:tr w:rsidR="00EB7CBB" w:rsidRPr="004C094A" w14:paraId="16DF9D53" w14:textId="77777777" w:rsidTr="009D4361">
        <w:trPr>
          <w:trHeight w:val="464"/>
        </w:trPr>
        <w:tc>
          <w:tcPr>
            <w:tcW w:w="760" w:type="pct"/>
            <w:tcBorders>
              <w:top w:val="single" w:sz="18" w:space="0" w:color="FFFFFF" w:themeColor="background1"/>
              <w:bottom w:val="single" w:sz="18" w:space="0" w:color="FFFFFF" w:themeColor="background1"/>
            </w:tcBorders>
            <w:shd w:val="clear" w:color="auto" w:fill="D9D9D9" w:themeFill="background1" w:themeFillShade="D9"/>
          </w:tcPr>
          <w:p w14:paraId="739D248E" w14:textId="77777777" w:rsidR="00EB7CBB" w:rsidRPr="004C094A" w:rsidRDefault="00EB7CBB" w:rsidP="00EB7CBB">
            <w:pPr>
              <w:rPr>
                <w:sz w:val="20"/>
                <w:szCs w:val="20"/>
              </w:rPr>
            </w:pPr>
            <w:r w:rsidRPr="004C094A">
              <w:rPr>
                <w:sz w:val="20"/>
                <w:szCs w:val="20"/>
              </w:rPr>
              <w:t xml:space="preserve">Revision </w:t>
            </w:r>
            <w:r w:rsidR="008D1399">
              <w:rPr>
                <w:sz w:val="20"/>
                <w:szCs w:val="20"/>
              </w:rPr>
              <w:t>5</w:t>
            </w:r>
          </w:p>
        </w:tc>
        <w:tc>
          <w:tcPr>
            <w:tcW w:w="713" w:type="pct"/>
            <w:tcBorders>
              <w:top w:val="single" w:sz="18" w:space="0" w:color="FFFFFF" w:themeColor="background1"/>
              <w:bottom w:val="single" w:sz="18" w:space="0" w:color="FFFFFF" w:themeColor="background1"/>
            </w:tcBorders>
            <w:shd w:val="clear" w:color="auto" w:fill="D9D9D9" w:themeFill="background1" w:themeFillShade="D9"/>
          </w:tcPr>
          <w:p w14:paraId="6E905664" w14:textId="77777777" w:rsidR="00EB7CBB" w:rsidRPr="004C094A" w:rsidRDefault="0087141F" w:rsidP="00EB7CBB">
            <w:pPr>
              <w:rPr>
                <w:sz w:val="20"/>
                <w:szCs w:val="20"/>
              </w:rPr>
            </w:pPr>
            <w:r>
              <w:rPr>
                <w:sz w:val="20"/>
                <w:szCs w:val="20"/>
              </w:rPr>
              <w:t>7/12</w:t>
            </w:r>
            <w:r w:rsidR="00EB7CBB" w:rsidRPr="004C094A">
              <w:rPr>
                <w:sz w:val="20"/>
                <w:szCs w:val="20"/>
              </w:rPr>
              <w:t>/2017</w:t>
            </w:r>
          </w:p>
        </w:tc>
        <w:tc>
          <w:tcPr>
            <w:tcW w:w="1949" w:type="pct"/>
            <w:tcBorders>
              <w:top w:val="single" w:sz="18" w:space="0" w:color="FFFFFF" w:themeColor="background1"/>
              <w:bottom w:val="single" w:sz="18" w:space="0" w:color="FFFFFF" w:themeColor="background1"/>
            </w:tcBorders>
            <w:shd w:val="clear" w:color="auto" w:fill="D9D9D9" w:themeFill="background1" w:themeFillShade="D9"/>
          </w:tcPr>
          <w:p w14:paraId="324F2F71" w14:textId="77777777" w:rsidR="009D42DF" w:rsidRDefault="009D42DF" w:rsidP="009D42DF">
            <w:pPr>
              <w:rPr>
                <w:sz w:val="20"/>
                <w:szCs w:val="20"/>
              </w:rPr>
            </w:pPr>
            <w:r>
              <w:rPr>
                <w:sz w:val="20"/>
                <w:szCs w:val="20"/>
              </w:rPr>
              <w:t>-</w:t>
            </w:r>
            <w:r w:rsidR="00EB7CBB" w:rsidRPr="004C094A">
              <w:rPr>
                <w:sz w:val="20"/>
                <w:szCs w:val="20"/>
              </w:rPr>
              <w:t>Update</w:t>
            </w:r>
            <w:r w:rsidR="004C094A" w:rsidRPr="004C094A">
              <w:rPr>
                <w:sz w:val="20"/>
                <w:szCs w:val="20"/>
              </w:rPr>
              <w:t>d</w:t>
            </w:r>
            <w:r w:rsidR="00EB7CBB" w:rsidRPr="004C094A">
              <w:rPr>
                <w:sz w:val="20"/>
                <w:szCs w:val="20"/>
              </w:rPr>
              <w:t xml:space="preserve"> to D</w:t>
            </w:r>
            <w:r w:rsidR="004C094A" w:rsidRPr="004C094A">
              <w:rPr>
                <w:sz w:val="20"/>
                <w:szCs w:val="20"/>
              </w:rPr>
              <w:t>LC Technical Requirements v4.2</w:t>
            </w:r>
          </w:p>
          <w:p w14:paraId="22DBD84C" w14:textId="77777777" w:rsidR="009D42DF" w:rsidRDefault="009D42DF" w:rsidP="009D42DF">
            <w:pPr>
              <w:rPr>
                <w:sz w:val="20"/>
                <w:szCs w:val="20"/>
              </w:rPr>
            </w:pPr>
            <w:r>
              <w:rPr>
                <w:sz w:val="20"/>
                <w:szCs w:val="20"/>
              </w:rPr>
              <w:t>-U</w:t>
            </w:r>
            <w:r w:rsidR="002203BD" w:rsidRPr="004C094A">
              <w:rPr>
                <w:sz w:val="20"/>
                <w:szCs w:val="20"/>
              </w:rPr>
              <w:t>pdate</w:t>
            </w:r>
            <w:r w:rsidR="004C094A" w:rsidRPr="004C094A">
              <w:rPr>
                <w:sz w:val="20"/>
                <w:szCs w:val="20"/>
              </w:rPr>
              <w:t>d</w:t>
            </w:r>
            <w:r w:rsidR="002203BD" w:rsidRPr="004C094A">
              <w:rPr>
                <w:sz w:val="20"/>
                <w:szCs w:val="20"/>
              </w:rPr>
              <w:t xml:space="preserve"> costs</w:t>
            </w:r>
            <w:r w:rsidR="004C094A" w:rsidRPr="004C094A">
              <w:rPr>
                <w:sz w:val="20"/>
                <w:szCs w:val="20"/>
              </w:rPr>
              <w:t xml:space="preserve">; </w:t>
            </w:r>
            <w:r>
              <w:rPr>
                <w:sz w:val="20"/>
                <w:szCs w:val="20"/>
              </w:rPr>
              <w:t>Measure</w:t>
            </w:r>
            <w:r w:rsidR="002203BD" w:rsidRPr="004C094A">
              <w:rPr>
                <w:sz w:val="20"/>
                <w:szCs w:val="20"/>
              </w:rPr>
              <w:t xml:space="preserve"> codes</w:t>
            </w:r>
            <w:r>
              <w:rPr>
                <w:sz w:val="20"/>
                <w:szCs w:val="20"/>
              </w:rPr>
              <w:t xml:space="preserve"> to be -Retired as </w:t>
            </w:r>
            <w:r w:rsidRPr="004C094A">
              <w:rPr>
                <w:sz w:val="20"/>
                <w:szCs w:val="20"/>
              </w:rPr>
              <w:t>of 12/31/2017</w:t>
            </w:r>
            <w:r>
              <w:rPr>
                <w:sz w:val="20"/>
                <w:szCs w:val="20"/>
              </w:rPr>
              <w:t xml:space="preserve"> are </w:t>
            </w:r>
            <w:r w:rsidR="009E1AE3" w:rsidRPr="004C094A">
              <w:rPr>
                <w:sz w:val="20"/>
                <w:szCs w:val="20"/>
              </w:rPr>
              <w:t>LT042</w:t>
            </w:r>
            <w:r w:rsidR="002203BD" w:rsidRPr="004C094A">
              <w:rPr>
                <w:sz w:val="20"/>
                <w:szCs w:val="20"/>
              </w:rPr>
              <w:t>, LT043</w:t>
            </w:r>
            <w:r w:rsidR="009E1AE3" w:rsidRPr="004C094A">
              <w:rPr>
                <w:sz w:val="20"/>
                <w:szCs w:val="20"/>
              </w:rPr>
              <w:t xml:space="preserve"> LT046, </w:t>
            </w:r>
            <w:r w:rsidR="002203BD" w:rsidRPr="004C094A">
              <w:rPr>
                <w:sz w:val="20"/>
                <w:szCs w:val="20"/>
              </w:rPr>
              <w:t xml:space="preserve">LT047, </w:t>
            </w:r>
            <w:r w:rsidR="009E1AE3" w:rsidRPr="004C094A">
              <w:rPr>
                <w:sz w:val="20"/>
                <w:szCs w:val="20"/>
              </w:rPr>
              <w:t xml:space="preserve">LT050, </w:t>
            </w:r>
            <w:r w:rsidR="002203BD" w:rsidRPr="004C094A">
              <w:rPr>
                <w:sz w:val="20"/>
                <w:szCs w:val="20"/>
              </w:rPr>
              <w:t xml:space="preserve">LT051, </w:t>
            </w:r>
            <w:r w:rsidR="009E1AE3" w:rsidRPr="004C094A">
              <w:rPr>
                <w:sz w:val="20"/>
                <w:szCs w:val="20"/>
              </w:rPr>
              <w:t xml:space="preserve">LT054, </w:t>
            </w:r>
            <w:r w:rsidR="002203BD" w:rsidRPr="004C094A">
              <w:rPr>
                <w:sz w:val="20"/>
                <w:szCs w:val="20"/>
              </w:rPr>
              <w:t xml:space="preserve">LT055, </w:t>
            </w:r>
            <w:r w:rsidR="009E1AE3" w:rsidRPr="004C094A">
              <w:rPr>
                <w:sz w:val="20"/>
                <w:szCs w:val="20"/>
              </w:rPr>
              <w:t>LT058,</w:t>
            </w:r>
            <w:r w:rsidR="002203BD" w:rsidRPr="004C094A">
              <w:rPr>
                <w:sz w:val="20"/>
                <w:szCs w:val="20"/>
              </w:rPr>
              <w:t xml:space="preserve"> LT059,</w:t>
            </w:r>
            <w:r w:rsidR="009E1AE3" w:rsidRPr="004C094A">
              <w:rPr>
                <w:sz w:val="20"/>
                <w:szCs w:val="20"/>
              </w:rPr>
              <w:t xml:space="preserve"> LT062</w:t>
            </w:r>
            <w:r w:rsidR="002203BD" w:rsidRPr="004C094A">
              <w:rPr>
                <w:sz w:val="20"/>
                <w:szCs w:val="20"/>
              </w:rPr>
              <w:t>, LT063</w:t>
            </w:r>
          </w:p>
          <w:p w14:paraId="670591B5" w14:textId="77777777" w:rsidR="00EB7CBB" w:rsidRPr="004C094A" w:rsidRDefault="009D42DF" w:rsidP="00FC58B2">
            <w:pPr>
              <w:rPr>
                <w:sz w:val="20"/>
                <w:szCs w:val="20"/>
              </w:rPr>
            </w:pPr>
            <w:r>
              <w:rPr>
                <w:sz w:val="20"/>
                <w:szCs w:val="20"/>
              </w:rPr>
              <w:t>-</w:t>
            </w:r>
            <w:r w:rsidR="002203BD" w:rsidRPr="004C094A">
              <w:rPr>
                <w:sz w:val="20"/>
                <w:szCs w:val="20"/>
              </w:rPr>
              <w:t xml:space="preserve">New measure codes </w:t>
            </w:r>
            <w:r w:rsidR="00A25D8F" w:rsidRPr="004C094A">
              <w:rPr>
                <w:sz w:val="20"/>
                <w:szCs w:val="20"/>
              </w:rPr>
              <w:t xml:space="preserve">LT148-LT159 </w:t>
            </w:r>
            <w:r w:rsidR="004C094A" w:rsidRPr="004C094A">
              <w:rPr>
                <w:sz w:val="20"/>
                <w:szCs w:val="20"/>
              </w:rPr>
              <w:t>added</w:t>
            </w:r>
            <w:r>
              <w:rPr>
                <w:sz w:val="20"/>
                <w:szCs w:val="20"/>
              </w:rPr>
              <w:t xml:space="preserve"> and will be effective 1/1/2018</w:t>
            </w:r>
          </w:p>
        </w:tc>
        <w:tc>
          <w:tcPr>
            <w:tcW w:w="1578" w:type="pct"/>
            <w:tcBorders>
              <w:top w:val="single" w:sz="18" w:space="0" w:color="FFFFFF" w:themeColor="background1"/>
              <w:bottom w:val="single" w:sz="18" w:space="0" w:color="FFFFFF" w:themeColor="background1"/>
            </w:tcBorders>
            <w:shd w:val="clear" w:color="auto" w:fill="D9D9D9" w:themeFill="background1" w:themeFillShade="D9"/>
          </w:tcPr>
          <w:p w14:paraId="5BB3AC23" w14:textId="77777777" w:rsidR="00EB7CBB" w:rsidRPr="004C094A" w:rsidRDefault="00EB7CBB" w:rsidP="00EB7CBB">
            <w:pPr>
              <w:rPr>
                <w:sz w:val="20"/>
                <w:szCs w:val="20"/>
              </w:rPr>
            </w:pPr>
            <w:r w:rsidRPr="004C094A">
              <w:rPr>
                <w:sz w:val="20"/>
                <w:szCs w:val="20"/>
              </w:rPr>
              <w:t>Greg Barker (Energy Solutions)</w:t>
            </w:r>
            <w:r w:rsidR="00A25D8F" w:rsidRPr="004C094A">
              <w:rPr>
                <w:sz w:val="20"/>
                <w:szCs w:val="20"/>
              </w:rPr>
              <w:t>/ Mini Damodaran (PG&amp;E)</w:t>
            </w:r>
          </w:p>
        </w:tc>
      </w:tr>
      <w:tr w:rsidR="00224074" w:rsidRPr="004C094A" w14:paraId="269DBC43" w14:textId="77777777" w:rsidTr="009D4361">
        <w:trPr>
          <w:trHeight w:val="464"/>
        </w:trPr>
        <w:tc>
          <w:tcPr>
            <w:tcW w:w="760" w:type="pct"/>
            <w:tcBorders>
              <w:top w:val="single" w:sz="18" w:space="0" w:color="FFFFFF" w:themeColor="background1"/>
              <w:bottom w:val="single" w:sz="18" w:space="0" w:color="FFFFFF" w:themeColor="background1"/>
            </w:tcBorders>
            <w:shd w:val="clear" w:color="auto" w:fill="D9D9D9" w:themeFill="background1" w:themeFillShade="D9"/>
          </w:tcPr>
          <w:p w14:paraId="1BA32E21" w14:textId="77777777" w:rsidR="00224074" w:rsidRPr="004C094A" w:rsidRDefault="00224074" w:rsidP="00EB7CBB">
            <w:pPr>
              <w:rPr>
                <w:sz w:val="20"/>
                <w:szCs w:val="20"/>
              </w:rPr>
            </w:pPr>
            <w:r>
              <w:rPr>
                <w:sz w:val="20"/>
                <w:szCs w:val="20"/>
              </w:rPr>
              <w:t>Revision 6</w:t>
            </w:r>
          </w:p>
        </w:tc>
        <w:tc>
          <w:tcPr>
            <w:tcW w:w="713" w:type="pct"/>
            <w:tcBorders>
              <w:top w:val="single" w:sz="18" w:space="0" w:color="FFFFFF" w:themeColor="background1"/>
              <w:bottom w:val="single" w:sz="18" w:space="0" w:color="FFFFFF" w:themeColor="background1"/>
            </w:tcBorders>
            <w:shd w:val="clear" w:color="auto" w:fill="D9D9D9" w:themeFill="background1" w:themeFillShade="D9"/>
          </w:tcPr>
          <w:p w14:paraId="2C97A0A8" w14:textId="77777777" w:rsidR="00224074" w:rsidRDefault="00224074" w:rsidP="00224074">
            <w:pPr>
              <w:rPr>
                <w:sz w:val="20"/>
                <w:szCs w:val="20"/>
              </w:rPr>
            </w:pPr>
            <w:r>
              <w:rPr>
                <w:sz w:val="20"/>
                <w:szCs w:val="20"/>
              </w:rPr>
              <w:t>12/10/2018</w:t>
            </w:r>
          </w:p>
          <w:p w14:paraId="4FFB2AC4" w14:textId="77777777" w:rsidR="009D4361" w:rsidRDefault="009D4361" w:rsidP="00224074">
            <w:pPr>
              <w:rPr>
                <w:sz w:val="20"/>
                <w:szCs w:val="20"/>
              </w:rPr>
            </w:pPr>
          </w:p>
          <w:p w14:paraId="71A483F5" w14:textId="77777777" w:rsidR="009D4361" w:rsidRDefault="009D4361" w:rsidP="00224074">
            <w:pPr>
              <w:rPr>
                <w:sz w:val="20"/>
                <w:szCs w:val="20"/>
              </w:rPr>
            </w:pPr>
          </w:p>
          <w:p w14:paraId="4F673747" w14:textId="77777777" w:rsidR="009D4361" w:rsidRDefault="009D4361" w:rsidP="00224074">
            <w:pPr>
              <w:rPr>
                <w:sz w:val="20"/>
                <w:szCs w:val="20"/>
              </w:rPr>
            </w:pPr>
          </w:p>
          <w:p w14:paraId="45C08093" w14:textId="77777777" w:rsidR="009D4361" w:rsidRDefault="009D4361" w:rsidP="00224074">
            <w:pPr>
              <w:rPr>
                <w:sz w:val="20"/>
                <w:szCs w:val="20"/>
              </w:rPr>
            </w:pPr>
          </w:p>
          <w:p w14:paraId="051162D2" w14:textId="77777777" w:rsidR="009D4361" w:rsidRDefault="009D4361" w:rsidP="00224074">
            <w:pPr>
              <w:rPr>
                <w:sz w:val="20"/>
                <w:szCs w:val="20"/>
              </w:rPr>
            </w:pPr>
          </w:p>
          <w:p w14:paraId="0708B67C" w14:textId="77777777" w:rsidR="009D4361" w:rsidRDefault="009D4361" w:rsidP="00224074">
            <w:pPr>
              <w:rPr>
                <w:sz w:val="20"/>
                <w:szCs w:val="20"/>
              </w:rPr>
            </w:pPr>
          </w:p>
          <w:p w14:paraId="744D5C41" w14:textId="77777777" w:rsidR="009D4361" w:rsidRDefault="009D4361" w:rsidP="00224074">
            <w:pPr>
              <w:rPr>
                <w:sz w:val="20"/>
                <w:szCs w:val="20"/>
              </w:rPr>
            </w:pPr>
          </w:p>
          <w:p w14:paraId="56D92611" w14:textId="77777777" w:rsidR="009D4361" w:rsidRDefault="009D4361" w:rsidP="00224074">
            <w:pPr>
              <w:rPr>
                <w:sz w:val="20"/>
                <w:szCs w:val="20"/>
              </w:rPr>
            </w:pPr>
          </w:p>
          <w:p w14:paraId="689DC718" w14:textId="77777777" w:rsidR="009D4361" w:rsidRDefault="009D4361" w:rsidP="00224074">
            <w:pPr>
              <w:rPr>
                <w:sz w:val="20"/>
                <w:szCs w:val="20"/>
              </w:rPr>
            </w:pPr>
          </w:p>
          <w:p w14:paraId="5E2D6B92" w14:textId="1866E050" w:rsidR="009D4361" w:rsidRDefault="009D4361" w:rsidP="00224074">
            <w:pPr>
              <w:rPr>
                <w:sz w:val="20"/>
                <w:szCs w:val="20"/>
              </w:rPr>
            </w:pPr>
            <w:r>
              <w:rPr>
                <w:sz w:val="20"/>
                <w:szCs w:val="20"/>
              </w:rPr>
              <w:t>3/1/2019</w:t>
            </w:r>
          </w:p>
        </w:tc>
        <w:tc>
          <w:tcPr>
            <w:tcW w:w="1949" w:type="pct"/>
            <w:tcBorders>
              <w:top w:val="single" w:sz="18" w:space="0" w:color="FFFFFF" w:themeColor="background1"/>
              <w:bottom w:val="single" w:sz="18" w:space="0" w:color="FFFFFF" w:themeColor="background1"/>
            </w:tcBorders>
            <w:shd w:val="clear" w:color="auto" w:fill="D9D9D9" w:themeFill="background1" w:themeFillShade="D9"/>
          </w:tcPr>
          <w:p w14:paraId="35843951" w14:textId="77777777" w:rsidR="00224074" w:rsidRDefault="00E72D01" w:rsidP="004113E1">
            <w:pPr>
              <w:rPr>
                <w:sz w:val="20"/>
                <w:szCs w:val="20"/>
              </w:rPr>
            </w:pPr>
            <w:r>
              <w:rPr>
                <w:sz w:val="20"/>
                <w:szCs w:val="20"/>
              </w:rPr>
              <w:t xml:space="preserve">Per Resolution E-4952, base case </w:t>
            </w:r>
            <w:r w:rsidR="000D22E0">
              <w:rPr>
                <w:sz w:val="20"/>
                <w:szCs w:val="20"/>
              </w:rPr>
              <w:t>set to</w:t>
            </w:r>
            <w:r>
              <w:rPr>
                <w:sz w:val="20"/>
                <w:szCs w:val="20"/>
              </w:rPr>
              <w:t xml:space="preserve"> 100% LED technology</w:t>
            </w:r>
            <w:r w:rsidR="000D22E0">
              <w:rPr>
                <w:sz w:val="20"/>
                <w:szCs w:val="20"/>
              </w:rPr>
              <w:t xml:space="preserve"> based on </w:t>
            </w:r>
            <w:r>
              <w:rPr>
                <w:sz w:val="20"/>
                <w:szCs w:val="20"/>
              </w:rPr>
              <w:t>25</w:t>
            </w:r>
            <w:r w:rsidRPr="009D4361">
              <w:rPr>
                <w:sz w:val="20"/>
                <w:szCs w:val="20"/>
              </w:rPr>
              <w:t>th</w:t>
            </w:r>
            <w:r>
              <w:rPr>
                <w:sz w:val="20"/>
                <w:szCs w:val="20"/>
              </w:rPr>
              <w:t xml:space="preserve"> percentile of Lighting Facts</w:t>
            </w:r>
            <w:r w:rsidR="000D22E0">
              <w:rPr>
                <w:sz w:val="20"/>
                <w:szCs w:val="20"/>
              </w:rPr>
              <w:t xml:space="preserve"> and minimum efficacy of 100 LPW</w:t>
            </w:r>
            <w:r w:rsidR="00ED77BD">
              <w:rPr>
                <w:sz w:val="20"/>
                <w:szCs w:val="20"/>
              </w:rPr>
              <w:t>, and updated the NTG value to 0.91.</w:t>
            </w:r>
            <w:r>
              <w:rPr>
                <w:sz w:val="20"/>
                <w:szCs w:val="20"/>
              </w:rPr>
              <w:t xml:space="preserve"> Incorporated TLED into the base case cost and savings calculations. </w:t>
            </w:r>
            <w:r w:rsidR="00182CB4">
              <w:rPr>
                <w:sz w:val="20"/>
                <w:szCs w:val="20"/>
              </w:rPr>
              <w:t xml:space="preserve">Added </w:t>
            </w:r>
            <w:r w:rsidR="00DA5B14">
              <w:rPr>
                <w:sz w:val="20"/>
                <w:szCs w:val="20"/>
              </w:rPr>
              <w:t xml:space="preserve">linear </w:t>
            </w:r>
            <w:r w:rsidR="00035380">
              <w:rPr>
                <w:sz w:val="20"/>
                <w:szCs w:val="20"/>
              </w:rPr>
              <w:t xml:space="preserve">LED </w:t>
            </w:r>
            <w:r w:rsidR="00182CB4">
              <w:rPr>
                <w:sz w:val="20"/>
                <w:szCs w:val="20"/>
              </w:rPr>
              <w:t xml:space="preserve">ambient </w:t>
            </w:r>
            <w:r w:rsidR="00DA5B14">
              <w:rPr>
                <w:sz w:val="20"/>
                <w:szCs w:val="20"/>
              </w:rPr>
              <w:t>lights</w:t>
            </w:r>
            <w:r w:rsidR="00182CB4">
              <w:rPr>
                <w:sz w:val="20"/>
                <w:szCs w:val="20"/>
              </w:rPr>
              <w:t xml:space="preserve">. </w:t>
            </w:r>
            <w:r w:rsidR="00F82224">
              <w:rPr>
                <w:sz w:val="20"/>
                <w:szCs w:val="20"/>
              </w:rPr>
              <w:t xml:space="preserve">Removed NC MAT. </w:t>
            </w:r>
            <w:r w:rsidR="00182CB4">
              <w:rPr>
                <w:sz w:val="20"/>
                <w:szCs w:val="20"/>
              </w:rPr>
              <w:t>This revision to</w:t>
            </w:r>
            <w:r w:rsidR="00B34583">
              <w:rPr>
                <w:sz w:val="20"/>
                <w:szCs w:val="20"/>
              </w:rPr>
              <w:t xml:space="preserve"> be effective </w:t>
            </w:r>
            <w:r w:rsidR="004113E1">
              <w:rPr>
                <w:sz w:val="20"/>
                <w:szCs w:val="20"/>
              </w:rPr>
              <w:t>4</w:t>
            </w:r>
            <w:r w:rsidR="00B34583">
              <w:rPr>
                <w:sz w:val="20"/>
                <w:szCs w:val="20"/>
              </w:rPr>
              <w:t>/1/2019.</w:t>
            </w:r>
          </w:p>
          <w:p w14:paraId="268CBF6D" w14:textId="77777777" w:rsidR="009D4361" w:rsidRPr="009D4361" w:rsidRDefault="009D4361" w:rsidP="009D4361">
            <w:pPr>
              <w:spacing w:before="80"/>
              <w:rPr>
                <w:sz w:val="20"/>
                <w:szCs w:val="20"/>
              </w:rPr>
            </w:pPr>
            <w:r w:rsidRPr="009D4361">
              <w:rPr>
                <w:sz w:val="20"/>
                <w:szCs w:val="20"/>
              </w:rPr>
              <w:t xml:space="preserve">Revised TLED efficacy </w:t>
            </w:r>
            <w:proofErr w:type="gramStart"/>
            <w:r w:rsidRPr="009D4361">
              <w:rPr>
                <w:sz w:val="20"/>
                <w:szCs w:val="20"/>
              </w:rPr>
              <w:t>to 111 lm/W,</w:t>
            </w:r>
            <w:proofErr w:type="gramEnd"/>
            <w:r w:rsidRPr="009D4361">
              <w:rPr>
                <w:sz w:val="20"/>
                <w:szCs w:val="20"/>
              </w:rPr>
              <w:t xml:space="preserve"> results in TLED fixture efficacy of 85.2 lm/W.</w:t>
            </w:r>
          </w:p>
          <w:p w14:paraId="0F84BA1A" w14:textId="00987345" w:rsidR="009D4361" w:rsidRDefault="009D4361" w:rsidP="009D4361">
            <w:pPr>
              <w:rPr>
                <w:sz w:val="20"/>
                <w:szCs w:val="20"/>
              </w:rPr>
            </w:pPr>
            <w:r w:rsidRPr="009D4361">
              <w:rPr>
                <w:sz w:val="20"/>
                <w:szCs w:val="20"/>
              </w:rPr>
              <w:t>Revised TLED cost from $0.0042/lm to $0.0036/lm.</w:t>
            </w:r>
          </w:p>
        </w:tc>
        <w:tc>
          <w:tcPr>
            <w:tcW w:w="1578" w:type="pct"/>
            <w:tcBorders>
              <w:top w:val="single" w:sz="18" w:space="0" w:color="FFFFFF" w:themeColor="background1"/>
              <w:bottom w:val="single" w:sz="18" w:space="0" w:color="FFFFFF" w:themeColor="background1"/>
            </w:tcBorders>
            <w:shd w:val="clear" w:color="auto" w:fill="D9D9D9" w:themeFill="background1" w:themeFillShade="D9"/>
          </w:tcPr>
          <w:p w14:paraId="71E426CC" w14:textId="77777777" w:rsidR="00224074" w:rsidRDefault="00224074" w:rsidP="00EB7CBB">
            <w:pPr>
              <w:rPr>
                <w:sz w:val="20"/>
                <w:szCs w:val="20"/>
              </w:rPr>
            </w:pPr>
            <w:r w:rsidRPr="004C094A">
              <w:rPr>
                <w:sz w:val="20"/>
                <w:szCs w:val="20"/>
              </w:rPr>
              <w:t>Greg Barker (Energy Solutions)/</w:t>
            </w:r>
          </w:p>
          <w:p w14:paraId="1CEFA8D7" w14:textId="77777777" w:rsidR="00224074" w:rsidRDefault="00224074" w:rsidP="00EB7CBB">
            <w:pPr>
              <w:rPr>
                <w:sz w:val="20"/>
                <w:szCs w:val="20"/>
              </w:rPr>
            </w:pPr>
            <w:r>
              <w:rPr>
                <w:sz w:val="20"/>
                <w:szCs w:val="20"/>
              </w:rPr>
              <w:t>Randy Kwok (PG&amp;E)</w:t>
            </w:r>
          </w:p>
          <w:p w14:paraId="312D148D" w14:textId="77777777" w:rsidR="009D4361" w:rsidRDefault="009D4361" w:rsidP="00EB7CBB">
            <w:pPr>
              <w:rPr>
                <w:sz w:val="20"/>
                <w:szCs w:val="20"/>
              </w:rPr>
            </w:pPr>
          </w:p>
          <w:p w14:paraId="297A33E6" w14:textId="77777777" w:rsidR="009D4361" w:rsidRDefault="009D4361" w:rsidP="00EB7CBB">
            <w:pPr>
              <w:rPr>
                <w:sz w:val="20"/>
                <w:szCs w:val="20"/>
              </w:rPr>
            </w:pPr>
          </w:p>
          <w:p w14:paraId="5025CDC1" w14:textId="77777777" w:rsidR="009D4361" w:rsidRDefault="009D4361" w:rsidP="00EB7CBB">
            <w:pPr>
              <w:rPr>
                <w:sz w:val="20"/>
                <w:szCs w:val="20"/>
              </w:rPr>
            </w:pPr>
          </w:p>
          <w:p w14:paraId="55533EBA" w14:textId="77777777" w:rsidR="009D4361" w:rsidRDefault="009D4361" w:rsidP="00EB7CBB">
            <w:pPr>
              <w:rPr>
                <w:sz w:val="20"/>
                <w:szCs w:val="20"/>
              </w:rPr>
            </w:pPr>
          </w:p>
          <w:p w14:paraId="759A48B3" w14:textId="77777777" w:rsidR="009D4361" w:rsidRDefault="009D4361" w:rsidP="00EB7CBB">
            <w:pPr>
              <w:rPr>
                <w:sz w:val="20"/>
                <w:szCs w:val="20"/>
              </w:rPr>
            </w:pPr>
          </w:p>
          <w:p w14:paraId="3AE3E0C8" w14:textId="77777777" w:rsidR="009D4361" w:rsidRDefault="009D4361" w:rsidP="00EB7CBB">
            <w:pPr>
              <w:rPr>
                <w:sz w:val="20"/>
                <w:szCs w:val="20"/>
              </w:rPr>
            </w:pPr>
          </w:p>
          <w:p w14:paraId="533325C2" w14:textId="77777777" w:rsidR="009D4361" w:rsidRDefault="009D4361" w:rsidP="00EB7CBB">
            <w:pPr>
              <w:rPr>
                <w:sz w:val="20"/>
                <w:szCs w:val="20"/>
              </w:rPr>
            </w:pPr>
          </w:p>
          <w:p w14:paraId="6C3C59CB" w14:textId="77777777" w:rsidR="009D4361" w:rsidRDefault="009D4361" w:rsidP="00EB7CBB">
            <w:pPr>
              <w:rPr>
                <w:sz w:val="20"/>
                <w:szCs w:val="20"/>
              </w:rPr>
            </w:pPr>
          </w:p>
          <w:p w14:paraId="58B15885" w14:textId="624DA42D" w:rsidR="009D4361" w:rsidRPr="004C094A" w:rsidRDefault="009D4361" w:rsidP="00EB7CBB">
            <w:pPr>
              <w:rPr>
                <w:sz w:val="20"/>
                <w:szCs w:val="20"/>
              </w:rPr>
            </w:pPr>
            <w:r>
              <w:rPr>
                <w:sz w:val="20"/>
                <w:szCs w:val="20"/>
              </w:rPr>
              <w:t>Randy Kwok (PG&amp;E)</w:t>
            </w:r>
          </w:p>
        </w:tc>
      </w:tr>
    </w:tbl>
    <w:p w14:paraId="0C4C16EE" w14:textId="77777777" w:rsidR="00182CB4" w:rsidRDefault="00182CB4" w:rsidP="00A61B68">
      <w:pPr>
        <w:rPr>
          <w:i/>
          <w:sz w:val="20"/>
          <w:szCs w:val="20"/>
        </w:rPr>
      </w:pPr>
      <w:bookmarkStart w:id="7" w:name="_Toc186621650"/>
      <w:bookmarkStart w:id="8" w:name="_Toc304800197"/>
    </w:p>
    <w:bookmarkEnd w:id="7"/>
    <w:bookmarkEnd w:id="8"/>
    <w:p w14:paraId="32651B47" w14:textId="58606818" w:rsidR="000750C5" w:rsidRDefault="000750C5">
      <w:pPr>
        <w:pStyle w:val="TableofFigures"/>
        <w:tabs>
          <w:tab w:val="right" w:leader="dot" w:pos="9350"/>
        </w:tabs>
      </w:pPr>
    </w:p>
    <w:sdt>
      <w:sdtPr>
        <w:rPr>
          <w:rFonts w:ascii="Times New Roman" w:eastAsia="Times New Roman" w:hAnsi="Times New Roman" w:cs="Times New Roman"/>
          <w:color w:val="auto"/>
          <w:sz w:val="24"/>
          <w:szCs w:val="24"/>
        </w:rPr>
        <w:id w:val="120964767"/>
        <w:docPartObj>
          <w:docPartGallery w:val="Table of Contents"/>
          <w:docPartUnique/>
        </w:docPartObj>
      </w:sdtPr>
      <w:sdtEndPr>
        <w:rPr>
          <w:b/>
          <w:bCs/>
          <w:noProof/>
        </w:rPr>
      </w:sdtEndPr>
      <w:sdtContent>
        <w:p w14:paraId="6BD43CF8" w14:textId="2392F91D" w:rsidR="000750C5" w:rsidRDefault="000750C5">
          <w:pPr>
            <w:pStyle w:val="TOCHeading"/>
          </w:pPr>
          <w:r>
            <w:t>Table of Contents</w:t>
          </w:r>
        </w:p>
        <w:p w14:paraId="23840412" w14:textId="77777777" w:rsidR="006153A5" w:rsidRDefault="000750C5">
          <w:pPr>
            <w:pStyle w:val="TOC1"/>
            <w:tabs>
              <w:tab w:val="right" w:leader="dot" w:pos="9350"/>
            </w:tabs>
            <w:rPr>
              <w:rFonts w:asciiTheme="minorHAnsi" w:eastAsiaTheme="minorEastAsia" w:hAnsiTheme="minorHAnsi" w:cstheme="minorBidi"/>
              <w:noProof/>
              <w:sz w:val="22"/>
              <w:szCs w:val="22"/>
            </w:rPr>
          </w:pPr>
          <w:r w:rsidRPr="0093290D">
            <w:rPr>
              <w:rFonts w:ascii="Arial" w:hAnsi="Arial" w:cs="Arial"/>
            </w:rPr>
            <w:fldChar w:fldCharType="begin"/>
          </w:r>
          <w:r w:rsidRPr="0093290D">
            <w:rPr>
              <w:rFonts w:ascii="Arial" w:hAnsi="Arial" w:cs="Arial"/>
            </w:rPr>
            <w:instrText xml:space="preserve"> TOC \o "1-3" \h \z \u </w:instrText>
          </w:r>
          <w:r w:rsidRPr="0093290D">
            <w:rPr>
              <w:rFonts w:ascii="Arial" w:hAnsi="Arial" w:cs="Arial"/>
            </w:rPr>
            <w:fldChar w:fldCharType="separate"/>
          </w:r>
          <w:hyperlink w:anchor="_Toc2808631" w:history="1">
            <w:r w:rsidR="006153A5" w:rsidRPr="004A24D6">
              <w:rPr>
                <w:rStyle w:val="Hyperlink"/>
                <w:noProof/>
              </w:rPr>
              <w:t>At-a-Glance Summary</w:t>
            </w:r>
            <w:r w:rsidR="006153A5">
              <w:rPr>
                <w:noProof/>
                <w:webHidden/>
              </w:rPr>
              <w:tab/>
            </w:r>
            <w:r w:rsidR="006153A5">
              <w:rPr>
                <w:noProof/>
                <w:webHidden/>
              </w:rPr>
              <w:fldChar w:fldCharType="begin"/>
            </w:r>
            <w:r w:rsidR="006153A5">
              <w:rPr>
                <w:noProof/>
                <w:webHidden/>
              </w:rPr>
              <w:instrText xml:space="preserve"> PAGEREF _Toc2808631 \h </w:instrText>
            </w:r>
            <w:r w:rsidR="006153A5">
              <w:rPr>
                <w:noProof/>
                <w:webHidden/>
              </w:rPr>
            </w:r>
            <w:r w:rsidR="006153A5">
              <w:rPr>
                <w:noProof/>
                <w:webHidden/>
              </w:rPr>
              <w:fldChar w:fldCharType="separate"/>
            </w:r>
            <w:r w:rsidR="006153A5">
              <w:rPr>
                <w:noProof/>
                <w:webHidden/>
              </w:rPr>
              <w:t>ii</w:t>
            </w:r>
            <w:r w:rsidR="006153A5">
              <w:rPr>
                <w:noProof/>
                <w:webHidden/>
              </w:rPr>
              <w:fldChar w:fldCharType="end"/>
            </w:r>
          </w:hyperlink>
        </w:p>
        <w:p w14:paraId="1A9CEDCC" w14:textId="77777777" w:rsidR="006153A5" w:rsidRDefault="006153A5">
          <w:pPr>
            <w:pStyle w:val="TOC1"/>
            <w:tabs>
              <w:tab w:val="right" w:leader="dot" w:pos="9350"/>
            </w:tabs>
            <w:rPr>
              <w:rFonts w:asciiTheme="minorHAnsi" w:eastAsiaTheme="minorEastAsia" w:hAnsiTheme="minorHAnsi" w:cstheme="minorBidi"/>
              <w:noProof/>
              <w:sz w:val="22"/>
              <w:szCs w:val="22"/>
            </w:rPr>
          </w:pPr>
          <w:hyperlink w:anchor="_Toc2808632" w:history="1">
            <w:r w:rsidRPr="004A24D6">
              <w:rPr>
                <w:rStyle w:val="Hyperlink"/>
                <w:noProof/>
              </w:rPr>
              <w:t>Document Revision History</w:t>
            </w:r>
            <w:r>
              <w:rPr>
                <w:noProof/>
                <w:webHidden/>
              </w:rPr>
              <w:tab/>
            </w:r>
            <w:r>
              <w:rPr>
                <w:noProof/>
                <w:webHidden/>
              </w:rPr>
              <w:fldChar w:fldCharType="begin"/>
            </w:r>
            <w:r>
              <w:rPr>
                <w:noProof/>
                <w:webHidden/>
              </w:rPr>
              <w:instrText xml:space="preserve"> PAGEREF _Toc2808632 \h </w:instrText>
            </w:r>
            <w:r>
              <w:rPr>
                <w:noProof/>
                <w:webHidden/>
              </w:rPr>
            </w:r>
            <w:r>
              <w:rPr>
                <w:noProof/>
                <w:webHidden/>
              </w:rPr>
              <w:fldChar w:fldCharType="separate"/>
            </w:r>
            <w:r>
              <w:rPr>
                <w:noProof/>
                <w:webHidden/>
              </w:rPr>
              <w:t>iv</w:t>
            </w:r>
            <w:r>
              <w:rPr>
                <w:noProof/>
                <w:webHidden/>
              </w:rPr>
              <w:fldChar w:fldCharType="end"/>
            </w:r>
          </w:hyperlink>
        </w:p>
        <w:p w14:paraId="115B7AFC" w14:textId="77777777" w:rsidR="006153A5" w:rsidRDefault="006153A5">
          <w:pPr>
            <w:pStyle w:val="TOC1"/>
            <w:tabs>
              <w:tab w:val="right" w:leader="dot" w:pos="9350"/>
            </w:tabs>
            <w:rPr>
              <w:rFonts w:asciiTheme="minorHAnsi" w:eastAsiaTheme="minorEastAsia" w:hAnsiTheme="minorHAnsi" w:cstheme="minorBidi"/>
              <w:noProof/>
              <w:sz w:val="22"/>
              <w:szCs w:val="22"/>
            </w:rPr>
          </w:pPr>
          <w:hyperlink w:anchor="_Toc2808633" w:history="1">
            <w:r w:rsidRPr="004A24D6">
              <w:rPr>
                <w:rStyle w:val="Hyperlink"/>
                <w:noProof/>
              </w:rPr>
              <w:t>List of Tables</w:t>
            </w:r>
            <w:r>
              <w:rPr>
                <w:noProof/>
                <w:webHidden/>
              </w:rPr>
              <w:tab/>
            </w:r>
            <w:r>
              <w:rPr>
                <w:noProof/>
                <w:webHidden/>
              </w:rPr>
              <w:fldChar w:fldCharType="begin"/>
            </w:r>
            <w:r>
              <w:rPr>
                <w:noProof/>
                <w:webHidden/>
              </w:rPr>
              <w:instrText xml:space="preserve"> PAGEREF _Toc2808633 \h </w:instrText>
            </w:r>
            <w:r>
              <w:rPr>
                <w:noProof/>
                <w:webHidden/>
              </w:rPr>
            </w:r>
            <w:r>
              <w:rPr>
                <w:noProof/>
                <w:webHidden/>
              </w:rPr>
              <w:fldChar w:fldCharType="separate"/>
            </w:r>
            <w:r>
              <w:rPr>
                <w:noProof/>
                <w:webHidden/>
              </w:rPr>
              <w:t>vi</w:t>
            </w:r>
            <w:r>
              <w:rPr>
                <w:noProof/>
                <w:webHidden/>
              </w:rPr>
              <w:fldChar w:fldCharType="end"/>
            </w:r>
          </w:hyperlink>
        </w:p>
        <w:p w14:paraId="7D89E125" w14:textId="77777777" w:rsidR="006153A5" w:rsidRDefault="006153A5">
          <w:pPr>
            <w:pStyle w:val="TOC1"/>
            <w:tabs>
              <w:tab w:val="right" w:leader="dot" w:pos="9350"/>
            </w:tabs>
            <w:rPr>
              <w:rFonts w:asciiTheme="minorHAnsi" w:eastAsiaTheme="minorEastAsia" w:hAnsiTheme="minorHAnsi" w:cstheme="minorBidi"/>
              <w:noProof/>
              <w:sz w:val="22"/>
              <w:szCs w:val="22"/>
            </w:rPr>
          </w:pPr>
          <w:hyperlink w:anchor="_Toc2808634" w:history="1">
            <w:r w:rsidRPr="004A24D6">
              <w:rPr>
                <w:rStyle w:val="Hyperlink"/>
                <w:iCs/>
                <w:noProof/>
              </w:rPr>
              <w:t>List of Figures</w:t>
            </w:r>
            <w:r>
              <w:rPr>
                <w:noProof/>
                <w:webHidden/>
              </w:rPr>
              <w:tab/>
            </w:r>
            <w:r>
              <w:rPr>
                <w:noProof/>
                <w:webHidden/>
              </w:rPr>
              <w:fldChar w:fldCharType="begin"/>
            </w:r>
            <w:r>
              <w:rPr>
                <w:noProof/>
                <w:webHidden/>
              </w:rPr>
              <w:instrText xml:space="preserve"> PAGEREF _Toc2808634 \h </w:instrText>
            </w:r>
            <w:r>
              <w:rPr>
                <w:noProof/>
                <w:webHidden/>
              </w:rPr>
            </w:r>
            <w:r>
              <w:rPr>
                <w:noProof/>
                <w:webHidden/>
              </w:rPr>
              <w:fldChar w:fldCharType="separate"/>
            </w:r>
            <w:r>
              <w:rPr>
                <w:noProof/>
                <w:webHidden/>
              </w:rPr>
              <w:t>vi</w:t>
            </w:r>
            <w:r>
              <w:rPr>
                <w:noProof/>
                <w:webHidden/>
              </w:rPr>
              <w:fldChar w:fldCharType="end"/>
            </w:r>
          </w:hyperlink>
        </w:p>
        <w:p w14:paraId="2D8F5336" w14:textId="77777777" w:rsidR="006153A5" w:rsidRDefault="006153A5">
          <w:pPr>
            <w:pStyle w:val="TOC1"/>
            <w:tabs>
              <w:tab w:val="right" w:leader="dot" w:pos="9350"/>
            </w:tabs>
            <w:rPr>
              <w:rFonts w:asciiTheme="minorHAnsi" w:eastAsiaTheme="minorEastAsia" w:hAnsiTheme="minorHAnsi" w:cstheme="minorBidi"/>
              <w:noProof/>
              <w:sz w:val="22"/>
              <w:szCs w:val="22"/>
            </w:rPr>
          </w:pPr>
          <w:hyperlink w:anchor="_Toc2808635" w:history="1">
            <w:r w:rsidRPr="004A24D6">
              <w:rPr>
                <w:rStyle w:val="Hyperlink"/>
                <w:noProof/>
              </w:rPr>
              <w:t>Section 1. General Measure &amp; Baseline Data</w:t>
            </w:r>
            <w:r>
              <w:rPr>
                <w:noProof/>
                <w:webHidden/>
              </w:rPr>
              <w:tab/>
            </w:r>
            <w:r>
              <w:rPr>
                <w:noProof/>
                <w:webHidden/>
              </w:rPr>
              <w:fldChar w:fldCharType="begin"/>
            </w:r>
            <w:r>
              <w:rPr>
                <w:noProof/>
                <w:webHidden/>
              </w:rPr>
              <w:instrText xml:space="preserve"> PAGEREF _Toc2808635 \h </w:instrText>
            </w:r>
            <w:r>
              <w:rPr>
                <w:noProof/>
                <w:webHidden/>
              </w:rPr>
            </w:r>
            <w:r>
              <w:rPr>
                <w:noProof/>
                <w:webHidden/>
              </w:rPr>
              <w:fldChar w:fldCharType="separate"/>
            </w:r>
            <w:r>
              <w:rPr>
                <w:noProof/>
                <w:webHidden/>
              </w:rPr>
              <w:t>1</w:t>
            </w:r>
            <w:r>
              <w:rPr>
                <w:noProof/>
                <w:webHidden/>
              </w:rPr>
              <w:fldChar w:fldCharType="end"/>
            </w:r>
          </w:hyperlink>
        </w:p>
        <w:p w14:paraId="6E780160"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36" w:history="1">
            <w:r w:rsidRPr="004A24D6">
              <w:rPr>
                <w:rStyle w:val="Hyperlink"/>
                <w:noProof/>
              </w:rPr>
              <w:t>1.1 Background</w:t>
            </w:r>
            <w:r>
              <w:rPr>
                <w:noProof/>
                <w:webHidden/>
              </w:rPr>
              <w:tab/>
            </w:r>
            <w:r>
              <w:rPr>
                <w:noProof/>
                <w:webHidden/>
              </w:rPr>
              <w:fldChar w:fldCharType="begin"/>
            </w:r>
            <w:r>
              <w:rPr>
                <w:noProof/>
                <w:webHidden/>
              </w:rPr>
              <w:instrText xml:space="preserve"> PAGEREF _Toc2808636 \h </w:instrText>
            </w:r>
            <w:r>
              <w:rPr>
                <w:noProof/>
                <w:webHidden/>
              </w:rPr>
            </w:r>
            <w:r>
              <w:rPr>
                <w:noProof/>
                <w:webHidden/>
              </w:rPr>
              <w:fldChar w:fldCharType="separate"/>
            </w:r>
            <w:r>
              <w:rPr>
                <w:noProof/>
                <w:webHidden/>
              </w:rPr>
              <w:t>1</w:t>
            </w:r>
            <w:r>
              <w:rPr>
                <w:noProof/>
                <w:webHidden/>
              </w:rPr>
              <w:fldChar w:fldCharType="end"/>
            </w:r>
          </w:hyperlink>
        </w:p>
        <w:p w14:paraId="0CD9BA03"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37" w:history="1">
            <w:r w:rsidRPr="004A24D6">
              <w:rPr>
                <w:rStyle w:val="Hyperlink"/>
                <w:noProof/>
              </w:rPr>
              <w:t>1.2 Product Measure Description</w:t>
            </w:r>
            <w:r>
              <w:rPr>
                <w:noProof/>
                <w:webHidden/>
              </w:rPr>
              <w:tab/>
            </w:r>
            <w:r>
              <w:rPr>
                <w:noProof/>
                <w:webHidden/>
              </w:rPr>
              <w:fldChar w:fldCharType="begin"/>
            </w:r>
            <w:r>
              <w:rPr>
                <w:noProof/>
                <w:webHidden/>
              </w:rPr>
              <w:instrText xml:space="preserve"> PAGEREF _Toc2808637 \h </w:instrText>
            </w:r>
            <w:r>
              <w:rPr>
                <w:noProof/>
                <w:webHidden/>
              </w:rPr>
            </w:r>
            <w:r>
              <w:rPr>
                <w:noProof/>
                <w:webHidden/>
              </w:rPr>
              <w:fldChar w:fldCharType="separate"/>
            </w:r>
            <w:r>
              <w:rPr>
                <w:noProof/>
                <w:webHidden/>
              </w:rPr>
              <w:t>1</w:t>
            </w:r>
            <w:r>
              <w:rPr>
                <w:noProof/>
                <w:webHidden/>
              </w:rPr>
              <w:fldChar w:fldCharType="end"/>
            </w:r>
          </w:hyperlink>
        </w:p>
        <w:p w14:paraId="17C1BB6A"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38" w:history="1">
            <w:r w:rsidRPr="004A24D6">
              <w:rPr>
                <w:rStyle w:val="Hyperlink"/>
                <w:noProof/>
              </w:rPr>
              <w:t>1.3 Product Technical Description</w:t>
            </w:r>
            <w:r>
              <w:rPr>
                <w:noProof/>
                <w:webHidden/>
              </w:rPr>
              <w:tab/>
            </w:r>
            <w:r>
              <w:rPr>
                <w:noProof/>
                <w:webHidden/>
              </w:rPr>
              <w:fldChar w:fldCharType="begin"/>
            </w:r>
            <w:r>
              <w:rPr>
                <w:noProof/>
                <w:webHidden/>
              </w:rPr>
              <w:instrText xml:space="preserve"> PAGEREF _Toc2808638 \h </w:instrText>
            </w:r>
            <w:r>
              <w:rPr>
                <w:noProof/>
                <w:webHidden/>
              </w:rPr>
            </w:r>
            <w:r>
              <w:rPr>
                <w:noProof/>
                <w:webHidden/>
              </w:rPr>
              <w:fldChar w:fldCharType="separate"/>
            </w:r>
            <w:r>
              <w:rPr>
                <w:noProof/>
                <w:webHidden/>
              </w:rPr>
              <w:t>5</w:t>
            </w:r>
            <w:r>
              <w:rPr>
                <w:noProof/>
                <w:webHidden/>
              </w:rPr>
              <w:fldChar w:fldCharType="end"/>
            </w:r>
          </w:hyperlink>
        </w:p>
        <w:p w14:paraId="7E3F9F6E"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39" w:history="1">
            <w:r w:rsidRPr="004A24D6">
              <w:rPr>
                <w:rStyle w:val="Hyperlink"/>
                <w:noProof/>
              </w:rPr>
              <w:t>1.4 Installation Types &amp; Delivery Mechanisms</w:t>
            </w:r>
            <w:r>
              <w:rPr>
                <w:noProof/>
                <w:webHidden/>
              </w:rPr>
              <w:tab/>
            </w:r>
            <w:r>
              <w:rPr>
                <w:noProof/>
                <w:webHidden/>
              </w:rPr>
              <w:fldChar w:fldCharType="begin"/>
            </w:r>
            <w:r>
              <w:rPr>
                <w:noProof/>
                <w:webHidden/>
              </w:rPr>
              <w:instrText xml:space="preserve"> PAGEREF _Toc2808639 \h </w:instrText>
            </w:r>
            <w:r>
              <w:rPr>
                <w:noProof/>
                <w:webHidden/>
              </w:rPr>
            </w:r>
            <w:r>
              <w:rPr>
                <w:noProof/>
                <w:webHidden/>
              </w:rPr>
              <w:fldChar w:fldCharType="separate"/>
            </w:r>
            <w:r>
              <w:rPr>
                <w:noProof/>
                <w:webHidden/>
              </w:rPr>
              <w:t>5</w:t>
            </w:r>
            <w:r>
              <w:rPr>
                <w:noProof/>
                <w:webHidden/>
              </w:rPr>
              <w:fldChar w:fldCharType="end"/>
            </w:r>
          </w:hyperlink>
        </w:p>
        <w:p w14:paraId="69D43B91"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40" w:history="1">
            <w:r w:rsidRPr="004A24D6">
              <w:rPr>
                <w:rStyle w:val="Hyperlink"/>
                <w:noProof/>
              </w:rPr>
              <w:t>1.5 Product Base Case and Measure Case Data</w:t>
            </w:r>
            <w:r>
              <w:rPr>
                <w:noProof/>
                <w:webHidden/>
              </w:rPr>
              <w:tab/>
            </w:r>
            <w:r>
              <w:rPr>
                <w:noProof/>
                <w:webHidden/>
              </w:rPr>
              <w:fldChar w:fldCharType="begin"/>
            </w:r>
            <w:r>
              <w:rPr>
                <w:noProof/>
                <w:webHidden/>
              </w:rPr>
              <w:instrText xml:space="preserve"> PAGEREF _Toc2808640 \h </w:instrText>
            </w:r>
            <w:r>
              <w:rPr>
                <w:noProof/>
                <w:webHidden/>
              </w:rPr>
            </w:r>
            <w:r>
              <w:rPr>
                <w:noProof/>
                <w:webHidden/>
              </w:rPr>
              <w:fldChar w:fldCharType="separate"/>
            </w:r>
            <w:r>
              <w:rPr>
                <w:noProof/>
                <w:webHidden/>
              </w:rPr>
              <w:t>6</w:t>
            </w:r>
            <w:r>
              <w:rPr>
                <w:noProof/>
                <w:webHidden/>
              </w:rPr>
              <w:fldChar w:fldCharType="end"/>
            </w:r>
          </w:hyperlink>
        </w:p>
        <w:p w14:paraId="0DFE0637" w14:textId="77777777" w:rsidR="006153A5" w:rsidRDefault="006153A5">
          <w:pPr>
            <w:pStyle w:val="TOC3"/>
            <w:tabs>
              <w:tab w:val="right" w:leader="dot" w:pos="9350"/>
            </w:tabs>
            <w:rPr>
              <w:rFonts w:asciiTheme="minorHAnsi" w:eastAsiaTheme="minorEastAsia" w:hAnsiTheme="minorHAnsi" w:cstheme="minorBidi"/>
              <w:noProof/>
              <w:sz w:val="22"/>
              <w:szCs w:val="22"/>
            </w:rPr>
          </w:pPr>
          <w:hyperlink w:anchor="_Toc2808641" w:history="1">
            <w:r w:rsidRPr="004A24D6">
              <w:rPr>
                <w:rStyle w:val="Hyperlink"/>
                <w:noProof/>
              </w:rPr>
              <w:t>1.5.1 DEER Data</w:t>
            </w:r>
            <w:r>
              <w:rPr>
                <w:noProof/>
                <w:webHidden/>
              </w:rPr>
              <w:tab/>
            </w:r>
            <w:r>
              <w:rPr>
                <w:noProof/>
                <w:webHidden/>
              </w:rPr>
              <w:fldChar w:fldCharType="begin"/>
            </w:r>
            <w:r>
              <w:rPr>
                <w:noProof/>
                <w:webHidden/>
              </w:rPr>
              <w:instrText xml:space="preserve"> PAGEREF _Toc2808641 \h </w:instrText>
            </w:r>
            <w:r>
              <w:rPr>
                <w:noProof/>
                <w:webHidden/>
              </w:rPr>
            </w:r>
            <w:r>
              <w:rPr>
                <w:noProof/>
                <w:webHidden/>
              </w:rPr>
              <w:fldChar w:fldCharType="separate"/>
            </w:r>
            <w:r>
              <w:rPr>
                <w:noProof/>
                <w:webHidden/>
              </w:rPr>
              <w:t>6</w:t>
            </w:r>
            <w:r>
              <w:rPr>
                <w:noProof/>
                <w:webHidden/>
              </w:rPr>
              <w:fldChar w:fldCharType="end"/>
            </w:r>
          </w:hyperlink>
        </w:p>
        <w:p w14:paraId="65412BF8" w14:textId="77777777" w:rsidR="006153A5" w:rsidRDefault="006153A5">
          <w:pPr>
            <w:pStyle w:val="TOC3"/>
            <w:tabs>
              <w:tab w:val="right" w:leader="dot" w:pos="9350"/>
            </w:tabs>
            <w:rPr>
              <w:rFonts w:asciiTheme="minorHAnsi" w:eastAsiaTheme="minorEastAsia" w:hAnsiTheme="minorHAnsi" w:cstheme="minorBidi"/>
              <w:noProof/>
              <w:sz w:val="22"/>
              <w:szCs w:val="22"/>
            </w:rPr>
          </w:pPr>
          <w:hyperlink w:anchor="_Toc2808642" w:history="1">
            <w:r w:rsidRPr="004A24D6">
              <w:rPr>
                <w:rStyle w:val="Hyperlink"/>
                <w:noProof/>
              </w:rPr>
              <w:t>1.5.2 Codes &amp; Standards and Standard Practice (SP) Baseline and Measure Information</w:t>
            </w:r>
            <w:r>
              <w:rPr>
                <w:noProof/>
                <w:webHidden/>
              </w:rPr>
              <w:tab/>
            </w:r>
            <w:r>
              <w:rPr>
                <w:noProof/>
                <w:webHidden/>
              </w:rPr>
              <w:fldChar w:fldCharType="begin"/>
            </w:r>
            <w:r>
              <w:rPr>
                <w:noProof/>
                <w:webHidden/>
              </w:rPr>
              <w:instrText xml:space="preserve"> PAGEREF _Toc2808642 \h </w:instrText>
            </w:r>
            <w:r>
              <w:rPr>
                <w:noProof/>
                <w:webHidden/>
              </w:rPr>
            </w:r>
            <w:r>
              <w:rPr>
                <w:noProof/>
                <w:webHidden/>
              </w:rPr>
              <w:fldChar w:fldCharType="separate"/>
            </w:r>
            <w:r>
              <w:rPr>
                <w:noProof/>
                <w:webHidden/>
              </w:rPr>
              <w:t>8</w:t>
            </w:r>
            <w:r>
              <w:rPr>
                <w:noProof/>
                <w:webHidden/>
              </w:rPr>
              <w:fldChar w:fldCharType="end"/>
            </w:r>
          </w:hyperlink>
        </w:p>
        <w:p w14:paraId="1040A795" w14:textId="77777777" w:rsidR="006153A5" w:rsidRDefault="006153A5">
          <w:pPr>
            <w:pStyle w:val="TOC3"/>
            <w:tabs>
              <w:tab w:val="right" w:leader="dot" w:pos="9350"/>
            </w:tabs>
            <w:rPr>
              <w:rFonts w:asciiTheme="minorHAnsi" w:eastAsiaTheme="minorEastAsia" w:hAnsiTheme="minorHAnsi" w:cstheme="minorBidi"/>
              <w:noProof/>
              <w:sz w:val="22"/>
              <w:szCs w:val="22"/>
            </w:rPr>
          </w:pPr>
          <w:hyperlink w:anchor="_Toc2808643" w:history="1">
            <w:r w:rsidRPr="004A24D6">
              <w:rPr>
                <w:rStyle w:val="Hyperlink"/>
                <w:noProof/>
              </w:rPr>
              <w:t>1.5.3 EM&amp;V, Market Potential, and Other Studies – Base Case and Measure Case Information</w:t>
            </w:r>
            <w:r>
              <w:rPr>
                <w:noProof/>
                <w:webHidden/>
              </w:rPr>
              <w:tab/>
            </w:r>
            <w:r>
              <w:rPr>
                <w:noProof/>
                <w:webHidden/>
              </w:rPr>
              <w:fldChar w:fldCharType="begin"/>
            </w:r>
            <w:r>
              <w:rPr>
                <w:noProof/>
                <w:webHidden/>
              </w:rPr>
              <w:instrText xml:space="preserve"> PAGEREF _Toc2808643 \h </w:instrText>
            </w:r>
            <w:r>
              <w:rPr>
                <w:noProof/>
                <w:webHidden/>
              </w:rPr>
            </w:r>
            <w:r>
              <w:rPr>
                <w:noProof/>
                <w:webHidden/>
              </w:rPr>
              <w:fldChar w:fldCharType="separate"/>
            </w:r>
            <w:r>
              <w:rPr>
                <w:noProof/>
                <w:webHidden/>
              </w:rPr>
              <w:t>8</w:t>
            </w:r>
            <w:r>
              <w:rPr>
                <w:noProof/>
                <w:webHidden/>
              </w:rPr>
              <w:fldChar w:fldCharType="end"/>
            </w:r>
          </w:hyperlink>
        </w:p>
        <w:p w14:paraId="1B69B47B" w14:textId="77777777" w:rsidR="006153A5" w:rsidRDefault="006153A5">
          <w:pPr>
            <w:pStyle w:val="TOC3"/>
            <w:tabs>
              <w:tab w:val="right" w:leader="dot" w:pos="9350"/>
            </w:tabs>
            <w:rPr>
              <w:rFonts w:asciiTheme="minorHAnsi" w:eastAsiaTheme="minorEastAsia" w:hAnsiTheme="minorHAnsi" w:cstheme="minorBidi"/>
              <w:noProof/>
              <w:sz w:val="22"/>
              <w:szCs w:val="22"/>
            </w:rPr>
          </w:pPr>
          <w:hyperlink w:anchor="_Toc2808644" w:history="1">
            <w:r w:rsidRPr="004A24D6">
              <w:rPr>
                <w:rStyle w:val="Hyperlink"/>
                <w:noProof/>
              </w:rPr>
              <w:t>1.5.4 Assumptions and Calculations from other sources – Base and Measure Cases</w:t>
            </w:r>
            <w:r>
              <w:rPr>
                <w:noProof/>
                <w:webHidden/>
              </w:rPr>
              <w:tab/>
            </w:r>
            <w:r>
              <w:rPr>
                <w:noProof/>
                <w:webHidden/>
              </w:rPr>
              <w:fldChar w:fldCharType="begin"/>
            </w:r>
            <w:r>
              <w:rPr>
                <w:noProof/>
                <w:webHidden/>
              </w:rPr>
              <w:instrText xml:space="preserve"> PAGEREF _Toc2808644 \h </w:instrText>
            </w:r>
            <w:r>
              <w:rPr>
                <w:noProof/>
                <w:webHidden/>
              </w:rPr>
            </w:r>
            <w:r>
              <w:rPr>
                <w:noProof/>
                <w:webHidden/>
              </w:rPr>
              <w:fldChar w:fldCharType="separate"/>
            </w:r>
            <w:r>
              <w:rPr>
                <w:noProof/>
                <w:webHidden/>
              </w:rPr>
              <w:t>15</w:t>
            </w:r>
            <w:r>
              <w:rPr>
                <w:noProof/>
                <w:webHidden/>
              </w:rPr>
              <w:fldChar w:fldCharType="end"/>
            </w:r>
          </w:hyperlink>
        </w:p>
        <w:p w14:paraId="413D92BF" w14:textId="77777777" w:rsidR="006153A5" w:rsidRDefault="006153A5">
          <w:pPr>
            <w:pStyle w:val="TOC1"/>
            <w:tabs>
              <w:tab w:val="right" w:leader="dot" w:pos="9350"/>
            </w:tabs>
            <w:rPr>
              <w:rFonts w:asciiTheme="minorHAnsi" w:eastAsiaTheme="minorEastAsia" w:hAnsiTheme="minorHAnsi" w:cstheme="minorBidi"/>
              <w:noProof/>
              <w:sz w:val="22"/>
              <w:szCs w:val="22"/>
            </w:rPr>
          </w:pPr>
          <w:hyperlink w:anchor="_Toc2808645" w:history="1">
            <w:r w:rsidRPr="004A24D6">
              <w:rPr>
                <w:rStyle w:val="Hyperlink"/>
                <w:noProof/>
              </w:rPr>
              <w:t>Section 2. Calculation Methods</w:t>
            </w:r>
            <w:r>
              <w:rPr>
                <w:noProof/>
                <w:webHidden/>
              </w:rPr>
              <w:tab/>
            </w:r>
            <w:r>
              <w:rPr>
                <w:noProof/>
                <w:webHidden/>
              </w:rPr>
              <w:fldChar w:fldCharType="begin"/>
            </w:r>
            <w:r>
              <w:rPr>
                <w:noProof/>
                <w:webHidden/>
              </w:rPr>
              <w:instrText xml:space="preserve"> PAGEREF _Toc2808645 \h </w:instrText>
            </w:r>
            <w:r>
              <w:rPr>
                <w:noProof/>
                <w:webHidden/>
              </w:rPr>
            </w:r>
            <w:r>
              <w:rPr>
                <w:noProof/>
                <w:webHidden/>
              </w:rPr>
              <w:fldChar w:fldCharType="separate"/>
            </w:r>
            <w:r>
              <w:rPr>
                <w:noProof/>
                <w:webHidden/>
              </w:rPr>
              <w:t>16</w:t>
            </w:r>
            <w:r>
              <w:rPr>
                <w:noProof/>
                <w:webHidden/>
              </w:rPr>
              <w:fldChar w:fldCharType="end"/>
            </w:r>
          </w:hyperlink>
        </w:p>
        <w:p w14:paraId="72338ED6"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46" w:history="1">
            <w:r w:rsidRPr="004A24D6">
              <w:rPr>
                <w:rStyle w:val="Hyperlink"/>
                <w:noProof/>
              </w:rPr>
              <w:t>2.1 Electric Energy Savings Estimation Methodologies</w:t>
            </w:r>
            <w:r>
              <w:rPr>
                <w:noProof/>
                <w:webHidden/>
              </w:rPr>
              <w:tab/>
            </w:r>
            <w:r>
              <w:rPr>
                <w:noProof/>
                <w:webHidden/>
              </w:rPr>
              <w:fldChar w:fldCharType="begin"/>
            </w:r>
            <w:r>
              <w:rPr>
                <w:noProof/>
                <w:webHidden/>
              </w:rPr>
              <w:instrText xml:space="preserve"> PAGEREF _Toc2808646 \h </w:instrText>
            </w:r>
            <w:r>
              <w:rPr>
                <w:noProof/>
                <w:webHidden/>
              </w:rPr>
            </w:r>
            <w:r>
              <w:rPr>
                <w:noProof/>
                <w:webHidden/>
              </w:rPr>
              <w:fldChar w:fldCharType="separate"/>
            </w:r>
            <w:r>
              <w:rPr>
                <w:noProof/>
                <w:webHidden/>
              </w:rPr>
              <w:t>16</w:t>
            </w:r>
            <w:r>
              <w:rPr>
                <w:noProof/>
                <w:webHidden/>
              </w:rPr>
              <w:fldChar w:fldCharType="end"/>
            </w:r>
          </w:hyperlink>
        </w:p>
        <w:p w14:paraId="3EFBA5B2"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47" w:history="1">
            <w:r w:rsidRPr="004A24D6">
              <w:rPr>
                <w:rStyle w:val="Hyperlink"/>
                <w:noProof/>
              </w:rPr>
              <w:t>2.2. Demand Reduction Estimation Methodologies</w:t>
            </w:r>
            <w:r>
              <w:rPr>
                <w:noProof/>
                <w:webHidden/>
              </w:rPr>
              <w:tab/>
            </w:r>
            <w:r>
              <w:rPr>
                <w:noProof/>
                <w:webHidden/>
              </w:rPr>
              <w:fldChar w:fldCharType="begin"/>
            </w:r>
            <w:r>
              <w:rPr>
                <w:noProof/>
                <w:webHidden/>
              </w:rPr>
              <w:instrText xml:space="preserve"> PAGEREF _Toc2808647 \h </w:instrText>
            </w:r>
            <w:r>
              <w:rPr>
                <w:noProof/>
                <w:webHidden/>
              </w:rPr>
            </w:r>
            <w:r>
              <w:rPr>
                <w:noProof/>
                <w:webHidden/>
              </w:rPr>
              <w:fldChar w:fldCharType="separate"/>
            </w:r>
            <w:r>
              <w:rPr>
                <w:noProof/>
                <w:webHidden/>
              </w:rPr>
              <w:t>17</w:t>
            </w:r>
            <w:r>
              <w:rPr>
                <w:noProof/>
                <w:webHidden/>
              </w:rPr>
              <w:fldChar w:fldCharType="end"/>
            </w:r>
          </w:hyperlink>
        </w:p>
        <w:p w14:paraId="5710848A"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48" w:history="1">
            <w:r w:rsidRPr="004A24D6">
              <w:rPr>
                <w:rStyle w:val="Hyperlink"/>
                <w:noProof/>
              </w:rPr>
              <w:t>2.3. Gas Energy Savings Estimation Methodologies</w:t>
            </w:r>
            <w:r>
              <w:rPr>
                <w:noProof/>
                <w:webHidden/>
              </w:rPr>
              <w:tab/>
            </w:r>
            <w:r>
              <w:rPr>
                <w:noProof/>
                <w:webHidden/>
              </w:rPr>
              <w:fldChar w:fldCharType="begin"/>
            </w:r>
            <w:r>
              <w:rPr>
                <w:noProof/>
                <w:webHidden/>
              </w:rPr>
              <w:instrText xml:space="preserve"> PAGEREF _Toc2808648 \h </w:instrText>
            </w:r>
            <w:r>
              <w:rPr>
                <w:noProof/>
                <w:webHidden/>
              </w:rPr>
            </w:r>
            <w:r>
              <w:rPr>
                <w:noProof/>
                <w:webHidden/>
              </w:rPr>
              <w:fldChar w:fldCharType="separate"/>
            </w:r>
            <w:r>
              <w:rPr>
                <w:noProof/>
                <w:webHidden/>
              </w:rPr>
              <w:t>17</w:t>
            </w:r>
            <w:r>
              <w:rPr>
                <w:noProof/>
                <w:webHidden/>
              </w:rPr>
              <w:fldChar w:fldCharType="end"/>
            </w:r>
          </w:hyperlink>
        </w:p>
        <w:p w14:paraId="2FB98B09" w14:textId="77777777" w:rsidR="006153A5" w:rsidRDefault="006153A5">
          <w:pPr>
            <w:pStyle w:val="TOC1"/>
            <w:tabs>
              <w:tab w:val="right" w:leader="dot" w:pos="9350"/>
            </w:tabs>
            <w:rPr>
              <w:rFonts w:asciiTheme="minorHAnsi" w:eastAsiaTheme="minorEastAsia" w:hAnsiTheme="minorHAnsi" w:cstheme="minorBidi"/>
              <w:noProof/>
              <w:sz w:val="22"/>
              <w:szCs w:val="22"/>
            </w:rPr>
          </w:pPr>
          <w:hyperlink w:anchor="_Toc2808649" w:history="1">
            <w:r w:rsidRPr="004A24D6">
              <w:rPr>
                <w:rStyle w:val="Hyperlink"/>
                <w:noProof/>
              </w:rPr>
              <w:t>Section 3. Load Shapes</w:t>
            </w:r>
            <w:r>
              <w:rPr>
                <w:noProof/>
                <w:webHidden/>
              </w:rPr>
              <w:tab/>
            </w:r>
            <w:r>
              <w:rPr>
                <w:noProof/>
                <w:webHidden/>
              </w:rPr>
              <w:fldChar w:fldCharType="begin"/>
            </w:r>
            <w:r>
              <w:rPr>
                <w:noProof/>
                <w:webHidden/>
              </w:rPr>
              <w:instrText xml:space="preserve"> PAGEREF _Toc2808649 \h </w:instrText>
            </w:r>
            <w:r>
              <w:rPr>
                <w:noProof/>
                <w:webHidden/>
              </w:rPr>
            </w:r>
            <w:r>
              <w:rPr>
                <w:noProof/>
                <w:webHidden/>
              </w:rPr>
              <w:fldChar w:fldCharType="separate"/>
            </w:r>
            <w:r>
              <w:rPr>
                <w:noProof/>
                <w:webHidden/>
              </w:rPr>
              <w:t>18</w:t>
            </w:r>
            <w:r>
              <w:rPr>
                <w:noProof/>
                <w:webHidden/>
              </w:rPr>
              <w:fldChar w:fldCharType="end"/>
            </w:r>
          </w:hyperlink>
        </w:p>
        <w:p w14:paraId="7C179722"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50" w:history="1">
            <w:r w:rsidRPr="004A24D6">
              <w:rPr>
                <w:rStyle w:val="Hyperlink"/>
                <w:noProof/>
              </w:rPr>
              <w:t>3.1 Base Case Load Shapes</w:t>
            </w:r>
            <w:r>
              <w:rPr>
                <w:noProof/>
                <w:webHidden/>
              </w:rPr>
              <w:tab/>
            </w:r>
            <w:r>
              <w:rPr>
                <w:noProof/>
                <w:webHidden/>
              </w:rPr>
              <w:fldChar w:fldCharType="begin"/>
            </w:r>
            <w:r>
              <w:rPr>
                <w:noProof/>
                <w:webHidden/>
              </w:rPr>
              <w:instrText xml:space="preserve"> PAGEREF _Toc2808650 \h </w:instrText>
            </w:r>
            <w:r>
              <w:rPr>
                <w:noProof/>
                <w:webHidden/>
              </w:rPr>
            </w:r>
            <w:r>
              <w:rPr>
                <w:noProof/>
                <w:webHidden/>
              </w:rPr>
              <w:fldChar w:fldCharType="separate"/>
            </w:r>
            <w:r>
              <w:rPr>
                <w:noProof/>
                <w:webHidden/>
              </w:rPr>
              <w:t>18</w:t>
            </w:r>
            <w:r>
              <w:rPr>
                <w:noProof/>
                <w:webHidden/>
              </w:rPr>
              <w:fldChar w:fldCharType="end"/>
            </w:r>
          </w:hyperlink>
        </w:p>
        <w:p w14:paraId="300DDC67"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51" w:history="1">
            <w:r w:rsidRPr="004A24D6">
              <w:rPr>
                <w:rStyle w:val="Hyperlink"/>
                <w:noProof/>
              </w:rPr>
              <w:t>3.2 Measure Load Shapes</w:t>
            </w:r>
            <w:r>
              <w:rPr>
                <w:noProof/>
                <w:webHidden/>
              </w:rPr>
              <w:tab/>
            </w:r>
            <w:r>
              <w:rPr>
                <w:noProof/>
                <w:webHidden/>
              </w:rPr>
              <w:fldChar w:fldCharType="begin"/>
            </w:r>
            <w:r>
              <w:rPr>
                <w:noProof/>
                <w:webHidden/>
              </w:rPr>
              <w:instrText xml:space="preserve"> PAGEREF _Toc2808651 \h </w:instrText>
            </w:r>
            <w:r>
              <w:rPr>
                <w:noProof/>
                <w:webHidden/>
              </w:rPr>
            </w:r>
            <w:r>
              <w:rPr>
                <w:noProof/>
                <w:webHidden/>
              </w:rPr>
              <w:fldChar w:fldCharType="separate"/>
            </w:r>
            <w:r>
              <w:rPr>
                <w:noProof/>
                <w:webHidden/>
              </w:rPr>
              <w:t>18</w:t>
            </w:r>
            <w:r>
              <w:rPr>
                <w:noProof/>
                <w:webHidden/>
              </w:rPr>
              <w:fldChar w:fldCharType="end"/>
            </w:r>
          </w:hyperlink>
        </w:p>
        <w:p w14:paraId="1ECD2839" w14:textId="77777777" w:rsidR="006153A5" w:rsidRDefault="006153A5">
          <w:pPr>
            <w:pStyle w:val="TOC1"/>
            <w:tabs>
              <w:tab w:val="right" w:leader="dot" w:pos="9350"/>
            </w:tabs>
            <w:rPr>
              <w:rFonts w:asciiTheme="minorHAnsi" w:eastAsiaTheme="minorEastAsia" w:hAnsiTheme="minorHAnsi" w:cstheme="minorBidi"/>
              <w:noProof/>
              <w:sz w:val="22"/>
              <w:szCs w:val="22"/>
            </w:rPr>
          </w:pPr>
          <w:hyperlink w:anchor="_Toc2808652" w:history="1">
            <w:r w:rsidRPr="004A24D6">
              <w:rPr>
                <w:rStyle w:val="Hyperlink"/>
                <w:noProof/>
              </w:rPr>
              <w:t>Section 4. Base Case &amp; Measure Costs</w:t>
            </w:r>
            <w:r>
              <w:rPr>
                <w:noProof/>
                <w:webHidden/>
              </w:rPr>
              <w:tab/>
            </w:r>
            <w:r>
              <w:rPr>
                <w:noProof/>
                <w:webHidden/>
              </w:rPr>
              <w:fldChar w:fldCharType="begin"/>
            </w:r>
            <w:r>
              <w:rPr>
                <w:noProof/>
                <w:webHidden/>
              </w:rPr>
              <w:instrText xml:space="preserve"> PAGEREF _Toc2808652 \h </w:instrText>
            </w:r>
            <w:r>
              <w:rPr>
                <w:noProof/>
                <w:webHidden/>
              </w:rPr>
            </w:r>
            <w:r>
              <w:rPr>
                <w:noProof/>
                <w:webHidden/>
              </w:rPr>
              <w:fldChar w:fldCharType="separate"/>
            </w:r>
            <w:r>
              <w:rPr>
                <w:noProof/>
                <w:webHidden/>
              </w:rPr>
              <w:t>19</w:t>
            </w:r>
            <w:r>
              <w:rPr>
                <w:noProof/>
                <w:webHidden/>
              </w:rPr>
              <w:fldChar w:fldCharType="end"/>
            </w:r>
          </w:hyperlink>
        </w:p>
        <w:p w14:paraId="3F8CCD27"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53" w:history="1">
            <w:r w:rsidRPr="004A24D6">
              <w:rPr>
                <w:rStyle w:val="Hyperlink"/>
                <w:noProof/>
              </w:rPr>
              <w:t>4.1 Base Case Costs</w:t>
            </w:r>
            <w:r>
              <w:rPr>
                <w:noProof/>
                <w:webHidden/>
              </w:rPr>
              <w:tab/>
            </w:r>
            <w:r>
              <w:rPr>
                <w:noProof/>
                <w:webHidden/>
              </w:rPr>
              <w:fldChar w:fldCharType="begin"/>
            </w:r>
            <w:r>
              <w:rPr>
                <w:noProof/>
                <w:webHidden/>
              </w:rPr>
              <w:instrText xml:space="preserve"> PAGEREF _Toc2808653 \h </w:instrText>
            </w:r>
            <w:r>
              <w:rPr>
                <w:noProof/>
                <w:webHidden/>
              </w:rPr>
            </w:r>
            <w:r>
              <w:rPr>
                <w:noProof/>
                <w:webHidden/>
              </w:rPr>
              <w:fldChar w:fldCharType="separate"/>
            </w:r>
            <w:r>
              <w:rPr>
                <w:noProof/>
                <w:webHidden/>
              </w:rPr>
              <w:t>19</w:t>
            </w:r>
            <w:r>
              <w:rPr>
                <w:noProof/>
                <w:webHidden/>
              </w:rPr>
              <w:fldChar w:fldCharType="end"/>
            </w:r>
          </w:hyperlink>
        </w:p>
        <w:p w14:paraId="17A71EB9"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54" w:history="1">
            <w:r w:rsidRPr="004A24D6">
              <w:rPr>
                <w:rStyle w:val="Hyperlink"/>
                <w:noProof/>
              </w:rPr>
              <w:t>4.2 Measure Costs</w:t>
            </w:r>
            <w:r>
              <w:rPr>
                <w:noProof/>
                <w:webHidden/>
              </w:rPr>
              <w:tab/>
            </w:r>
            <w:r>
              <w:rPr>
                <w:noProof/>
                <w:webHidden/>
              </w:rPr>
              <w:fldChar w:fldCharType="begin"/>
            </w:r>
            <w:r>
              <w:rPr>
                <w:noProof/>
                <w:webHidden/>
              </w:rPr>
              <w:instrText xml:space="preserve"> PAGEREF _Toc2808654 \h </w:instrText>
            </w:r>
            <w:r>
              <w:rPr>
                <w:noProof/>
                <w:webHidden/>
              </w:rPr>
            </w:r>
            <w:r>
              <w:rPr>
                <w:noProof/>
                <w:webHidden/>
              </w:rPr>
              <w:fldChar w:fldCharType="separate"/>
            </w:r>
            <w:r>
              <w:rPr>
                <w:noProof/>
                <w:webHidden/>
              </w:rPr>
              <w:t>19</w:t>
            </w:r>
            <w:r>
              <w:rPr>
                <w:noProof/>
                <w:webHidden/>
              </w:rPr>
              <w:fldChar w:fldCharType="end"/>
            </w:r>
          </w:hyperlink>
        </w:p>
        <w:p w14:paraId="0152529D" w14:textId="77777777" w:rsidR="006153A5" w:rsidRDefault="006153A5">
          <w:pPr>
            <w:pStyle w:val="TOC2"/>
            <w:tabs>
              <w:tab w:val="right" w:leader="dot" w:pos="9350"/>
            </w:tabs>
            <w:rPr>
              <w:rFonts w:asciiTheme="minorHAnsi" w:eastAsiaTheme="minorEastAsia" w:hAnsiTheme="minorHAnsi" w:cstheme="minorBidi"/>
              <w:noProof/>
              <w:sz w:val="22"/>
              <w:szCs w:val="22"/>
            </w:rPr>
          </w:pPr>
          <w:hyperlink w:anchor="_Toc2808655" w:history="1">
            <w:r w:rsidRPr="004A24D6">
              <w:rPr>
                <w:rStyle w:val="Hyperlink"/>
                <w:noProof/>
              </w:rPr>
              <w:t>4.3 Incremental &amp; Full Measure Costs</w:t>
            </w:r>
            <w:r>
              <w:rPr>
                <w:noProof/>
                <w:webHidden/>
              </w:rPr>
              <w:tab/>
            </w:r>
            <w:r>
              <w:rPr>
                <w:noProof/>
                <w:webHidden/>
              </w:rPr>
              <w:fldChar w:fldCharType="begin"/>
            </w:r>
            <w:r>
              <w:rPr>
                <w:noProof/>
                <w:webHidden/>
              </w:rPr>
              <w:instrText xml:space="preserve"> PAGEREF _Toc2808655 \h </w:instrText>
            </w:r>
            <w:r>
              <w:rPr>
                <w:noProof/>
                <w:webHidden/>
              </w:rPr>
            </w:r>
            <w:r>
              <w:rPr>
                <w:noProof/>
                <w:webHidden/>
              </w:rPr>
              <w:fldChar w:fldCharType="separate"/>
            </w:r>
            <w:r>
              <w:rPr>
                <w:noProof/>
                <w:webHidden/>
              </w:rPr>
              <w:t>20</w:t>
            </w:r>
            <w:r>
              <w:rPr>
                <w:noProof/>
                <w:webHidden/>
              </w:rPr>
              <w:fldChar w:fldCharType="end"/>
            </w:r>
          </w:hyperlink>
        </w:p>
        <w:p w14:paraId="4E37F560" w14:textId="77777777" w:rsidR="006153A5" w:rsidRDefault="006153A5">
          <w:pPr>
            <w:pStyle w:val="TOC3"/>
            <w:tabs>
              <w:tab w:val="right" w:leader="dot" w:pos="9350"/>
            </w:tabs>
            <w:rPr>
              <w:rFonts w:asciiTheme="minorHAnsi" w:eastAsiaTheme="minorEastAsia" w:hAnsiTheme="minorHAnsi" w:cstheme="minorBidi"/>
              <w:noProof/>
              <w:sz w:val="22"/>
              <w:szCs w:val="22"/>
            </w:rPr>
          </w:pPr>
          <w:hyperlink w:anchor="_Toc2808656" w:history="1">
            <w:r w:rsidRPr="004A24D6">
              <w:rPr>
                <w:rStyle w:val="Hyperlink"/>
                <w:noProof/>
              </w:rPr>
              <w:t>4.3.1 Full Measure Cost</w:t>
            </w:r>
            <w:r>
              <w:rPr>
                <w:noProof/>
                <w:webHidden/>
              </w:rPr>
              <w:tab/>
            </w:r>
            <w:r>
              <w:rPr>
                <w:noProof/>
                <w:webHidden/>
              </w:rPr>
              <w:fldChar w:fldCharType="begin"/>
            </w:r>
            <w:r>
              <w:rPr>
                <w:noProof/>
                <w:webHidden/>
              </w:rPr>
              <w:instrText xml:space="preserve"> PAGEREF _Toc2808656 \h </w:instrText>
            </w:r>
            <w:r>
              <w:rPr>
                <w:noProof/>
                <w:webHidden/>
              </w:rPr>
            </w:r>
            <w:r>
              <w:rPr>
                <w:noProof/>
                <w:webHidden/>
              </w:rPr>
              <w:fldChar w:fldCharType="separate"/>
            </w:r>
            <w:r>
              <w:rPr>
                <w:noProof/>
                <w:webHidden/>
              </w:rPr>
              <w:t>20</w:t>
            </w:r>
            <w:r>
              <w:rPr>
                <w:noProof/>
                <w:webHidden/>
              </w:rPr>
              <w:fldChar w:fldCharType="end"/>
            </w:r>
          </w:hyperlink>
        </w:p>
        <w:p w14:paraId="53CD4163" w14:textId="77777777" w:rsidR="006153A5" w:rsidRDefault="006153A5">
          <w:pPr>
            <w:pStyle w:val="TOC3"/>
            <w:tabs>
              <w:tab w:val="right" w:leader="dot" w:pos="9350"/>
            </w:tabs>
            <w:rPr>
              <w:rFonts w:asciiTheme="minorHAnsi" w:eastAsiaTheme="minorEastAsia" w:hAnsiTheme="minorHAnsi" w:cstheme="minorBidi"/>
              <w:noProof/>
              <w:sz w:val="22"/>
              <w:szCs w:val="22"/>
            </w:rPr>
          </w:pPr>
          <w:hyperlink w:anchor="_Toc2808657" w:history="1">
            <w:r w:rsidRPr="004A24D6">
              <w:rPr>
                <w:rStyle w:val="Hyperlink"/>
                <w:noProof/>
              </w:rPr>
              <w:t>4.3.2 Incremental Measure Costs</w:t>
            </w:r>
            <w:r>
              <w:rPr>
                <w:noProof/>
                <w:webHidden/>
              </w:rPr>
              <w:tab/>
            </w:r>
            <w:r>
              <w:rPr>
                <w:noProof/>
                <w:webHidden/>
              </w:rPr>
              <w:fldChar w:fldCharType="begin"/>
            </w:r>
            <w:r>
              <w:rPr>
                <w:noProof/>
                <w:webHidden/>
              </w:rPr>
              <w:instrText xml:space="preserve"> PAGEREF _Toc2808657 \h </w:instrText>
            </w:r>
            <w:r>
              <w:rPr>
                <w:noProof/>
                <w:webHidden/>
              </w:rPr>
            </w:r>
            <w:r>
              <w:rPr>
                <w:noProof/>
                <w:webHidden/>
              </w:rPr>
              <w:fldChar w:fldCharType="separate"/>
            </w:r>
            <w:r>
              <w:rPr>
                <w:noProof/>
                <w:webHidden/>
              </w:rPr>
              <w:t>21</w:t>
            </w:r>
            <w:r>
              <w:rPr>
                <w:noProof/>
                <w:webHidden/>
              </w:rPr>
              <w:fldChar w:fldCharType="end"/>
            </w:r>
          </w:hyperlink>
        </w:p>
        <w:p w14:paraId="04524C49" w14:textId="77777777" w:rsidR="006153A5" w:rsidRDefault="006153A5">
          <w:pPr>
            <w:pStyle w:val="TOC1"/>
            <w:tabs>
              <w:tab w:val="right" w:leader="dot" w:pos="9350"/>
            </w:tabs>
            <w:rPr>
              <w:rFonts w:asciiTheme="minorHAnsi" w:eastAsiaTheme="minorEastAsia" w:hAnsiTheme="minorHAnsi" w:cstheme="minorBidi"/>
              <w:noProof/>
              <w:sz w:val="22"/>
              <w:szCs w:val="22"/>
            </w:rPr>
          </w:pPr>
          <w:hyperlink w:anchor="_Toc2808658" w:history="1">
            <w:r w:rsidRPr="004A24D6">
              <w:rPr>
                <w:rStyle w:val="Hyperlink"/>
                <w:noProof/>
              </w:rPr>
              <w:t>References:</w:t>
            </w:r>
            <w:r>
              <w:rPr>
                <w:noProof/>
                <w:webHidden/>
              </w:rPr>
              <w:tab/>
            </w:r>
            <w:r>
              <w:rPr>
                <w:noProof/>
                <w:webHidden/>
              </w:rPr>
              <w:fldChar w:fldCharType="begin"/>
            </w:r>
            <w:r>
              <w:rPr>
                <w:noProof/>
                <w:webHidden/>
              </w:rPr>
              <w:instrText xml:space="preserve"> PAGEREF _Toc2808658 \h </w:instrText>
            </w:r>
            <w:r>
              <w:rPr>
                <w:noProof/>
                <w:webHidden/>
              </w:rPr>
            </w:r>
            <w:r>
              <w:rPr>
                <w:noProof/>
                <w:webHidden/>
              </w:rPr>
              <w:fldChar w:fldCharType="separate"/>
            </w:r>
            <w:r>
              <w:rPr>
                <w:noProof/>
                <w:webHidden/>
              </w:rPr>
              <w:t>22</w:t>
            </w:r>
            <w:r>
              <w:rPr>
                <w:noProof/>
                <w:webHidden/>
              </w:rPr>
              <w:fldChar w:fldCharType="end"/>
            </w:r>
          </w:hyperlink>
        </w:p>
        <w:p w14:paraId="4833EF8D" w14:textId="78BDC747" w:rsidR="000750C5" w:rsidRDefault="000750C5">
          <w:r w:rsidRPr="0093290D">
            <w:rPr>
              <w:rFonts w:ascii="Arial" w:hAnsi="Arial" w:cs="Arial"/>
              <w:b/>
              <w:bCs/>
              <w:noProof/>
            </w:rPr>
            <w:fldChar w:fldCharType="end"/>
          </w:r>
        </w:p>
      </w:sdtContent>
    </w:sdt>
    <w:p w14:paraId="62E1382E" w14:textId="1F0232D7" w:rsidR="00103867" w:rsidRDefault="006559C8">
      <w:pPr>
        <w:pStyle w:val="TableofFigures"/>
        <w:tabs>
          <w:tab w:val="right" w:leader="dot" w:pos="9350"/>
        </w:tabs>
      </w:pPr>
      <w:r>
        <w:br w:type="page"/>
      </w:r>
      <w:bookmarkStart w:id="9" w:name="_GoBack"/>
      <w:bookmarkEnd w:id="9"/>
    </w:p>
    <w:p w14:paraId="10BA7061" w14:textId="3D54DF65" w:rsidR="00103867" w:rsidRDefault="00103867" w:rsidP="00AB09DC">
      <w:pPr>
        <w:pStyle w:val="Heading1"/>
      </w:pPr>
      <w:bookmarkStart w:id="10" w:name="_Toc533933913"/>
      <w:bookmarkStart w:id="11" w:name="_Toc2808633"/>
      <w:r>
        <w:lastRenderedPageBreak/>
        <w:t>List of Tables</w:t>
      </w:r>
      <w:bookmarkEnd w:id="10"/>
      <w:bookmarkEnd w:id="11"/>
    </w:p>
    <w:p w14:paraId="02AA8E41" w14:textId="77777777" w:rsidR="00CB0C13" w:rsidRDefault="00103867">
      <w:pPr>
        <w:pStyle w:val="TableofFigures"/>
        <w:tabs>
          <w:tab w:val="right" w:leader="dot" w:pos="9350"/>
        </w:tabs>
        <w:rPr>
          <w:rFonts w:asciiTheme="minorHAnsi" w:eastAsiaTheme="minorEastAsia" w:hAnsiTheme="minorHAnsi" w:cstheme="minorBidi"/>
          <w:noProof/>
          <w:sz w:val="22"/>
          <w:szCs w:val="22"/>
        </w:rPr>
      </w:pPr>
      <w:r w:rsidRPr="00EC4726">
        <w:rPr>
          <w:sz w:val="20"/>
        </w:rPr>
        <w:fldChar w:fldCharType="begin"/>
      </w:r>
      <w:r w:rsidRPr="00EC4726">
        <w:rPr>
          <w:sz w:val="20"/>
        </w:rPr>
        <w:instrText xml:space="preserve"> TOC \h \z \c "Table" </w:instrText>
      </w:r>
      <w:r w:rsidRPr="00EC4726">
        <w:rPr>
          <w:sz w:val="20"/>
        </w:rPr>
        <w:fldChar w:fldCharType="separate"/>
      </w:r>
      <w:hyperlink w:anchor="_Toc2791455" w:history="1">
        <w:r w:rsidR="00CB0C13" w:rsidRPr="004A665A">
          <w:rPr>
            <w:rStyle w:val="Hyperlink"/>
            <w:rFonts w:ascii="Arial" w:hAnsi="Arial" w:cs="Arial"/>
            <w:noProof/>
          </w:rPr>
          <w:t>Table 1: LED Ambient Fixtures &amp; Retrofit Kits Minimum Measure Efficacies</w:t>
        </w:r>
        <w:r w:rsidR="00CB0C13">
          <w:rPr>
            <w:noProof/>
            <w:webHidden/>
          </w:rPr>
          <w:tab/>
        </w:r>
        <w:r w:rsidR="00CB0C13">
          <w:rPr>
            <w:noProof/>
            <w:webHidden/>
          </w:rPr>
          <w:fldChar w:fldCharType="begin"/>
        </w:r>
        <w:r w:rsidR="00CB0C13">
          <w:rPr>
            <w:noProof/>
            <w:webHidden/>
          </w:rPr>
          <w:instrText xml:space="preserve"> PAGEREF _Toc2791455 \h </w:instrText>
        </w:r>
        <w:r w:rsidR="00CB0C13">
          <w:rPr>
            <w:noProof/>
            <w:webHidden/>
          </w:rPr>
        </w:r>
        <w:r w:rsidR="00CB0C13">
          <w:rPr>
            <w:noProof/>
            <w:webHidden/>
          </w:rPr>
          <w:fldChar w:fldCharType="separate"/>
        </w:r>
        <w:r w:rsidR="00CB0C13">
          <w:rPr>
            <w:noProof/>
            <w:webHidden/>
          </w:rPr>
          <w:t>2</w:t>
        </w:r>
        <w:r w:rsidR="00CB0C13">
          <w:rPr>
            <w:noProof/>
            <w:webHidden/>
          </w:rPr>
          <w:fldChar w:fldCharType="end"/>
        </w:r>
      </w:hyperlink>
    </w:p>
    <w:p w14:paraId="641FFDB9"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56" w:history="1">
        <w:r w:rsidR="00CB0C13" w:rsidRPr="004A665A">
          <w:rPr>
            <w:rStyle w:val="Hyperlink"/>
            <w:rFonts w:ascii="Arial" w:hAnsi="Arial" w:cs="Arial"/>
            <w:noProof/>
          </w:rPr>
          <w:t>Table 2: Measure Application Type</w:t>
        </w:r>
        <w:r w:rsidR="00CB0C13">
          <w:rPr>
            <w:noProof/>
            <w:webHidden/>
          </w:rPr>
          <w:tab/>
        </w:r>
        <w:r w:rsidR="00CB0C13">
          <w:rPr>
            <w:noProof/>
            <w:webHidden/>
          </w:rPr>
          <w:fldChar w:fldCharType="begin"/>
        </w:r>
        <w:r w:rsidR="00CB0C13">
          <w:rPr>
            <w:noProof/>
            <w:webHidden/>
          </w:rPr>
          <w:instrText xml:space="preserve"> PAGEREF _Toc2791456 \h </w:instrText>
        </w:r>
        <w:r w:rsidR="00CB0C13">
          <w:rPr>
            <w:noProof/>
            <w:webHidden/>
          </w:rPr>
        </w:r>
        <w:r w:rsidR="00CB0C13">
          <w:rPr>
            <w:noProof/>
            <w:webHidden/>
          </w:rPr>
          <w:fldChar w:fldCharType="separate"/>
        </w:r>
        <w:r w:rsidR="00CB0C13">
          <w:rPr>
            <w:noProof/>
            <w:webHidden/>
          </w:rPr>
          <w:t>5</w:t>
        </w:r>
        <w:r w:rsidR="00CB0C13">
          <w:rPr>
            <w:noProof/>
            <w:webHidden/>
          </w:rPr>
          <w:fldChar w:fldCharType="end"/>
        </w:r>
      </w:hyperlink>
    </w:p>
    <w:p w14:paraId="3A557F32"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57" w:history="1">
        <w:r w:rsidR="00CB0C13" w:rsidRPr="004A665A">
          <w:rPr>
            <w:rStyle w:val="Hyperlink"/>
            <w:rFonts w:ascii="Arial" w:hAnsi="Arial" w:cs="Arial"/>
            <w:noProof/>
          </w:rPr>
          <w:t>Table 3: Delivery Method and Applicable Building Types</w:t>
        </w:r>
        <w:r w:rsidR="00CB0C13">
          <w:rPr>
            <w:noProof/>
            <w:webHidden/>
          </w:rPr>
          <w:tab/>
        </w:r>
        <w:r w:rsidR="00CB0C13">
          <w:rPr>
            <w:noProof/>
            <w:webHidden/>
          </w:rPr>
          <w:fldChar w:fldCharType="begin"/>
        </w:r>
        <w:r w:rsidR="00CB0C13">
          <w:rPr>
            <w:noProof/>
            <w:webHidden/>
          </w:rPr>
          <w:instrText xml:space="preserve"> PAGEREF _Toc2791457 \h </w:instrText>
        </w:r>
        <w:r w:rsidR="00CB0C13">
          <w:rPr>
            <w:noProof/>
            <w:webHidden/>
          </w:rPr>
        </w:r>
        <w:r w:rsidR="00CB0C13">
          <w:rPr>
            <w:noProof/>
            <w:webHidden/>
          </w:rPr>
          <w:fldChar w:fldCharType="separate"/>
        </w:r>
        <w:r w:rsidR="00CB0C13">
          <w:rPr>
            <w:noProof/>
            <w:webHidden/>
          </w:rPr>
          <w:t>6</w:t>
        </w:r>
        <w:r w:rsidR="00CB0C13">
          <w:rPr>
            <w:noProof/>
            <w:webHidden/>
          </w:rPr>
          <w:fldChar w:fldCharType="end"/>
        </w:r>
      </w:hyperlink>
    </w:p>
    <w:p w14:paraId="7CFD7B99"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58" w:history="1">
        <w:r w:rsidR="00CB0C13" w:rsidRPr="004A665A">
          <w:rPr>
            <w:rStyle w:val="Hyperlink"/>
            <w:rFonts w:ascii="Arial" w:hAnsi="Arial" w:cs="Arial"/>
            <w:noProof/>
          </w:rPr>
          <w:t>Table 4: DEER Differences Summary</w:t>
        </w:r>
        <w:r w:rsidR="00CB0C13">
          <w:rPr>
            <w:noProof/>
            <w:webHidden/>
          </w:rPr>
          <w:tab/>
        </w:r>
        <w:r w:rsidR="00CB0C13">
          <w:rPr>
            <w:noProof/>
            <w:webHidden/>
          </w:rPr>
          <w:fldChar w:fldCharType="begin"/>
        </w:r>
        <w:r w:rsidR="00CB0C13">
          <w:rPr>
            <w:noProof/>
            <w:webHidden/>
          </w:rPr>
          <w:instrText xml:space="preserve"> PAGEREF _Toc2791458 \h </w:instrText>
        </w:r>
        <w:r w:rsidR="00CB0C13">
          <w:rPr>
            <w:noProof/>
            <w:webHidden/>
          </w:rPr>
        </w:r>
        <w:r w:rsidR="00CB0C13">
          <w:rPr>
            <w:noProof/>
            <w:webHidden/>
          </w:rPr>
          <w:fldChar w:fldCharType="separate"/>
        </w:r>
        <w:r w:rsidR="00CB0C13">
          <w:rPr>
            <w:noProof/>
            <w:webHidden/>
          </w:rPr>
          <w:t>7</w:t>
        </w:r>
        <w:r w:rsidR="00CB0C13">
          <w:rPr>
            <w:noProof/>
            <w:webHidden/>
          </w:rPr>
          <w:fldChar w:fldCharType="end"/>
        </w:r>
      </w:hyperlink>
    </w:p>
    <w:p w14:paraId="237BA601"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59" w:history="1">
        <w:r w:rsidR="00CB0C13" w:rsidRPr="004A665A">
          <w:rPr>
            <w:rStyle w:val="Hyperlink"/>
            <w:rFonts w:ascii="Arial" w:hAnsi="Arial" w:cs="Arial"/>
            <w:noProof/>
          </w:rPr>
          <w:t>Table 5: Installation Rate</w:t>
        </w:r>
        <w:r w:rsidR="00CB0C13">
          <w:rPr>
            <w:noProof/>
            <w:webHidden/>
          </w:rPr>
          <w:tab/>
        </w:r>
        <w:r w:rsidR="00CB0C13">
          <w:rPr>
            <w:noProof/>
            <w:webHidden/>
          </w:rPr>
          <w:fldChar w:fldCharType="begin"/>
        </w:r>
        <w:r w:rsidR="00CB0C13">
          <w:rPr>
            <w:noProof/>
            <w:webHidden/>
          </w:rPr>
          <w:instrText xml:space="preserve"> PAGEREF _Toc2791459 \h </w:instrText>
        </w:r>
        <w:r w:rsidR="00CB0C13">
          <w:rPr>
            <w:noProof/>
            <w:webHidden/>
          </w:rPr>
        </w:r>
        <w:r w:rsidR="00CB0C13">
          <w:rPr>
            <w:noProof/>
            <w:webHidden/>
          </w:rPr>
          <w:fldChar w:fldCharType="separate"/>
        </w:r>
        <w:r w:rsidR="00CB0C13">
          <w:rPr>
            <w:noProof/>
            <w:webHidden/>
          </w:rPr>
          <w:t>7</w:t>
        </w:r>
        <w:r w:rsidR="00CB0C13">
          <w:rPr>
            <w:noProof/>
            <w:webHidden/>
          </w:rPr>
          <w:fldChar w:fldCharType="end"/>
        </w:r>
      </w:hyperlink>
    </w:p>
    <w:p w14:paraId="599C2CC8"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60" w:history="1">
        <w:r w:rsidR="00CB0C13" w:rsidRPr="004A665A">
          <w:rPr>
            <w:rStyle w:val="Hyperlink"/>
            <w:rFonts w:ascii="Arial" w:hAnsi="Arial" w:cs="Arial"/>
            <w:noProof/>
          </w:rPr>
          <w:t>Table 6: LED Ambient Fixtures &amp; Retrofit Kits Base and Measure Wattages</w:t>
        </w:r>
        <w:r w:rsidR="00CB0C13">
          <w:rPr>
            <w:noProof/>
            <w:webHidden/>
          </w:rPr>
          <w:tab/>
        </w:r>
        <w:r w:rsidR="00CB0C13">
          <w:rPr>
            <w:noProof/>
            <w:webHidden/>
          </w:rPr>
          <w:fldChar w:fldCharType="begin"/>
        </w:r>
        <w:r w:rsidR="00CB0C13">
          <w:rPr>
            <w:noProof/>
            <w:webHidden/>
          </w:rPr>
          <w:instrText xml:space="preserve"> PAGEREF _Toc2791460 \h </w:instrText>
        </w:r>
        <w:r w:rsidR="00CB0C13">
          <w:rPr>
            <w:noProof/>
            <w:webHidden/>
          </w:rPr>
        </w:r>
        <w:r w:rsidR="00CB0C13">
          <w:rPr>
            <w:noProof/>
            <w:webHidden/>
          </w:rPr>
          <w:fldChar w:fldCharType="separate"/>
        </w:r>
        <w:r w:rsidR="00CB0C13">
          <w:rPr>
            <w:noProof/>
            <w:webHidden/>
          </w:rPr>
          <w:t>16</w:t>
        </w:r>
        <w:r w:rsidR="00CB0C13">
          <w:rPr>
            <w:noProof/>
            <w:webHidden/>
          </w:rPr>
          <w:fldChar w:fldCharType="end"/>
        </w:r>
      </w:hyperlink>
    </w:p>
    <w:p w14:paraId="576EEC3E"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61" w:history="1">
        <w:r w:rsidR="00CB0C13" w:rsidRPr="004A665A">
          <w:rPr>
            <w:rStyle w:val="Hyperlink"/>
            <w:rFonts w:ascii="Arial" w:hAnsi="Arial" w:cs="Arial"/>
            <w:noProof/>
          </w:rPr>
          <w:t>Table 7: LED Ambient Fixtures &amp; Retrofit Kits Base Case Cost Table</w:t>
        </w:r>
        <w:r w:rsidR="00CB0C13">
          <w:rPr>
            <w:noProof/>
            <w:webHidden/>
          </w:rPr>
          <w:tab/>
        </w:r>
        <w:r w:rsidR="00CB0C13">
          <w:rPr>
            <w:noProof/>
            <w:webHidden/>
          </w:rPr>
          <w:fldChar w:fldCharType="begin"/>
        </w:r>
        <w:r w:rsidR="00CB0C13">
          <w:rPr>
            <w:noProof/>
            <w:webHidden/>
          </w:rPr>
          <w:instrText xml:space="preserve"> PAGEREF _Toc2791461 \h </w:instrText>
        </w:r>
        <w:r w:rsidR="00CB0C13">
          <w:rPr>
            <w:noProof/>
            <w:webHidden/>
          </w:rPr>
        </w:r>
        <w:r w:rsidR="00CB0C13">
          <w:rPr>
            <w:noProof/>
            <w:webHidden/>
          </w:rPr>
          <w:fldChar w:fldCharType="separate"/>
        </w:r>
        <w:r w:rsidR="00CB0C13">
          <w:rPr>
            <w:noProof/>
            <w:webHidden/>
          </w:rPr>
          <w:t>19</w:t>
        </w:r>
        <w:r w:rsidR="00CB0C13">
          <w:rPr>
            <w:noProof/>
            <w:webHidden/>
          </w:rPr>
          <w:fldChar w:fldCharType="end"/>
        </w:r>
      </w:hyperlink>
    </w:p>
    <w:p w14:paraId="5569DC77"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62" w:history="1">
        <w:r w:rsidR="00CB0C13" w:rsidRPr="004A665A">
          <w:rPr>
            <w:rStyle w:val="Hyperlink"/>
            <w:rFonts w:ascii="Arial" w:hAnsi="Arial" w:cs="Arial"/>
            <w:noProof/>
          </w:rPr>
          <w:t>Table 8: LED Ambient Fixtures &amp; Retrofit Kits Measure Cost Table</w:t>
        </w:r>
        <w:r w:rsidR="00CB0C13">
          <w:rPr>
            <w:noProof/>
            <w:webHidden/>
          </w:rPr>
          <w:tab/>
        </w:r>
        <w:r w:rsidR="00CB0C13">
          <w:rPr>
            <w:noProof/>
            <w:webHidden/>
          </w:rPr>
          <w:fldChar w:fldCharType="begin"/>
        </w:r>
        <w:r w:rsidR="00CB0C13">
          <w:rPr>
            <w:noProof/>
            <w:webHidden/>
          </w:rPr>
          <w:instrText xml:space="preserve"> PAGEREF _Toc2791462 \h </w:instrText>
        </w:r>
        <w:r w:rsidR="00CB0C13">
          <w:rPr>
            <w:noProof/>
            <w:webHidden/>
          </w:rPr>
        </w:r>
        <w:r w:rsidR="00CB0C13">
          <w:rPr>
            <w:noProof/>
            <w:webHidden/>
          </w:rPr>
          <w:fldChar w:fldCharType="separate"/>
        </w:r>
        <w:r w:rsidR="00CB0C13">
          <w:rPr>
            <w:noProof/>
            <w:webHidden/>
          </w:rPr>
          <w:t>19</w:t>
        </w:r>
        <w:r w:rsidR="00CB0C13">
          <w:rPr>
            <w:noProof/>
            <w:webHidden/>
          </w:rPr>
          <w:fldChar w:fldCharType="end"/>
        </w:r>
      </w:hyperlink>
    </w:p>
    <w:p w14:paraId="593BA82E"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63" w:history="1">
        <w:r w:rsidR="00CB0C13" w:rsidRPr="004A665A">
          <w:rPr>
            <w:rStyle w:val="Hyperlink"/>
            <w:rFonts w:ascii="Arial" w:hAnsi="Arial" w:cs="Arial"/>
            <w:noProof/>
          </w:rPr>
          <w:t>Table 9: LED Ambient Commercial Fixtures &amp; Retrofit Kits Full Measure Cost</w:t>
        </w:r>
        <w:r w:rsidR="00CB0C13">
          <w:rPr>
            <w:noProof/>
            <w:webHidden/>
          </w:rPr>
          <w:tab/>
        </w:r>
        <w:r w:rsidR="00CB0C13">
          <w:rPr>
            <w:noProof/>
            <w:webHidden/>
          </w:rPr>
          <w:fldChar w:fldCharType="begin"/>
        </w:r>
        <w:r w:rsidR="00CB0C13">
          <w:rPr>
            <w:noProof/>
            <w:webHidden/>
          </w:rPr>
          <w:instrText xml:space="preserve"> PAGEREF _Toc2791463 \h </w:instrText>
        </w:r>
        <w:r w:rsidR="00CB0C13">
          <w:rPr>
            <w:noProof/>
            <w:webHidden/>
          </w:rPr>
        </w:r>
        <w:r w:rsidR="00CB0C13">
          <w:rPr>
            <w:noProof/>
            <w:webHidden/>
          </w:rPr>
          <w:fldChar w:fldCharType="separate"/>
        </w:r>
        <w:r w:rsidR="00CB0C13">
          <w:rPr>
            <w:noProof/>
            <w:webHidden/>
          </w:rPr>
          <w:t>20</w:t>
        </w:r>
        <w:r w:rsidR="00CB0C13">
          <w:rPr>
            <w:noProof/>
            <w:webHidden/>
          </w:rPr>
          <w:fldChar w:fldCharType="end"/>
        </w:r>
      </w:hyperlink>
    </w:p>
    <w:p w14:paraId="60AFDC94"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64" w:history="1">
        <w:r w:rsidR="00CB0C13" w:rsidRPr="004A665A">
          <w:rPr>
            <w:rStyle w:val="Hyperlink"/>
            <w:rFonts w:ascii="Arial" w:hAnsi="Arial" w:cs="Arial"/>
            <w:noProof/>
          </w:rPr>
          <w:t>Table 10: LED Ambient Commercial Fixtures &amp; Retrofit Kits Incremental Cost</w:t>
        </w:r>
        <w:r w:rsidR="00CB0C13">
          <w:rPr>
            <w:noProof/>
            <w:webHidden/>
          </w:rPr>
          <w:tab/>
        </w:r>
        <w:r w:rsidR="00CB0C13">
          <w:rPr>
            <w:noProof/>
            <w:webHidden/>
          </w:rPr>
          <w:fldChar w:fldCharType="begin"/>
        </w:r>
        <w:r w:rsidR="00CB0C13">
          <w:rPr>
            <w:noProof/>
            <w:webHidden/>
          </w:rPr>
          <w:instrText xml:space="preserve"> PAGEREF _Toc2791464 \h </w:instrText>
        </w:r>
        <w:r w:rsidR="00CB0C13">
          <w:rPr>
            <w:noProof/>
            <w:webHidden/>
          </w:rPr>
        </w:r>
        <w:r w:rsidR="00CB0C13">
          <w:rPr>
            <w:noProof/>
            <w:webHidden/>
          </w:rPr>
          <w:fldChar w:fldCharType="separate"/>
        </w:r>
        <w:r w:rsidR="00CB0C13">
          <w:rPr>
            <w:noProof/>
            <w:webHidden/>
          </w:rPr>
          <w:t>21</w:t>
        </w:r>
        <w:r w:rsidR="00CB0C13">
          <w:rPr>
            <w:noProof/>
            <w:webHidden/>
          </w:rPr>
          <w:fldChar w:fldCharType="end"/>
        </w:r>
      </w:hyperlink>
    </w:p>
    <w:p w14:paraId="29218660" w14:textId="77777777" w:rsidR="00103867" w:rsidRPr="00EC4726" w:rsidRDefault="00103867">
      <w:pPr>
        <w:pStyle w:val="TableofFigures"/>
        <w:tabs>
          <w:tab w:val="right" w:leader="dot" w:pos="9350"/>
        </w:tabs>
        <w:rPr>
          <w:sz w:val="20"/>
        </w:rPr>
      </w:pPr>
      <w:r w:rsidRPr="00EC4726">
        <w:rPr>
          <w:sz w:val="20"/>
        </w:rPr>
        <w:fldChar w:fldCharType="end"/>
      </w:r>
    </w:p>
    <w:p w14:paraId="0277B434" w14:textId="77777777" w:rsidR="00103867" w:rsidRDefault="00103867">
      <w:pPr>
        <w:pStyle w:val="TableofFigures"/>
        <w:tabs>
          <w:tab w:val="right" w:leader="dot" w:pos="9350"/>
        </w:tabs>
      </w:pPr>
    </w:p>
    <w:p w14:paraId="160D39C0" w14:textId="42E9614A" w:rsidR="00103867" w:rsidRPr="00AB09DC" w:rsidRDefault="00103867" w:rsidP="00AB09DC">
      <w:pPr>
        <w:pStyle w:val="Heading1"/>
        <w:rPr>
          <w:rStyle w:val="Emphasis"/>
          <w:i w:val="0"/>
        </w:rPr>
      </w:pPr>
      <w:bookmarkStart w:id="12" w:name="_Toc533933914"/>
      <w:bookmarkStart w:id="13" w:name="_Toc2808634"/>
      <w:r w:rsidRPr="00364A5F">
        <w:rPr>
          <w:rStyle w:val="Emphasis"/>
          <w:i w:val="0"/>
        </w:rPr>
        <w:t>List of Figures</w:t>
      </w:r>
      <w:bookmarkEnd w:id="12"/>
      <w:bookmarkEnd w:id="13"/>
    </w:p>
    <w:p w14:paraId="4711D34B" w14:textId="77777777" w:rsidR="00CB0C13" w:rsidRDefault="00103867">
      <w:pPr>
        <w:pStyle w:val="TableofFigures"/>
        <w:tabs>
          <w:tab w:val="right" w:leader="dot" w:pos="9350"/>
        </w:tabs>
        <w:rPr>
          <w:rFonts w:asciiTheme="minorHAnsi" w:eastAsiaTheme="minorEastAsia" w:hAnsiTheme="minorHAnsi" w:cstheme="minorBidi"/>
          <w:noProof/>
          <w:sz w:val="22"/>
          <w:szCs w:val="22"/>
        </w:rPr>
      </w:pPr>
      <w:r w:rsidRPr="00AB09DC">
        <w:rPr>
          <w:rFonts w:ascii="Arial" w:hAnsi="Arial" w:cs="Arial"/>
          <w:sz w:val="20"/>
          <w:szCs w:val="20"/>
        </w:rPr>
        <w:fldChar w:fldCharType="begin"/>
      </w:r>
      <w:r w:rsidRPr="00AB09DC">
        <w:rPr>
          <w:rFonts w:ascii="Arial" w:hAnsi="Arial" w:cs="Arial"/>
          <w:sz w:val="20"/>
          <w:szCs w:val="20"/>
        </w:rPr>
        <w:instrText xml:space="preserve"> TOC \h \z \c "Figure" </w:instrText>
      </w:r>
      <w:r w:rsidRPr="00AB09DC">
        <w:rPr>
          <w:rFonts w:ascii="Arial" w:hAnsi="Arial" w:cs="Arial"/>
          <w:sz w:val="20"/>
          <w:szCs w:val="20"/>
        </w:rPr>
        <w:fldChar w:fldCharType="separate"/>
      </w:r>
      <w:hyperlink w:anchor="_Toc2791465" w:history="1">
        <w:r w:rsidR="00CB0C13" w:rsidRPr="0095358F">
          <w:rPr>
            <w:rStyle w:val="Hyperlink"/>
            <w:rFonts w:ascii="Arial" w:hAnsi="Arial" w:cs="Arial"/>
            <w:noProof/>
          </w:rPr>
          <w:t>Figure 1: Web-based LED Price and Efficacy Data for Recessed Troffer/Panel 2’ x 4’</w:t>
        </w:r>
        <w:r w:rsidR="00CB0C13">
          <w:rPr>
            <w:noProof/>
            <w:webHidden/>
          </w:rPr>
          <w:tab/>
        </w:r>
        <w:r w:rsidR="00CB0C13">
          <w:rPr>
            <w:noProof/>
            <w:webHidden/>
          </w:rPr>
          <w:fldChar w:fldCharType="begin"/>
        </w:r>
        <w:r w:rsidR="00CB0C13">
          <w:rPr>
            <w:noProof/>
            <w:webHidden/>
          </w:rPr>
          <w:instrText xml:space="preserve"> PAGEREF _Toc2791465 \h </w:instrText>
        </w:r>
        <w:r w:rsidR="00CB0C13">
          <w:rPr>
            <w:noProof/>
            <w:webHidden/>
          </w:rPr>
        </w:r>
        <w:r w:rsidR="00CB0C13">
          <w:rPr>
            <w:noProof/>
            <w:webHidden/>
          </w:rPr>
          <w:fldChar w:fldCharType="separate"/>
        </w:r>
        <w:r w:rsidR="00CB0C13">
          <w:rPr>
            <w:noProof/>
            <w:webHidden/>
          </w:rPr>
          <w:t>9</w:t>
        </w:r>
        <w:r w:rsidR="00CB0C13">
          <w:rPr>
            <w:noProof/>
            <w:webHidden/>
          </w:rPr>
          <w:fldChar w:fldCharType="end"/>
        </w:r>
      </w:hyperlink>
    </w:p>
    <w:p w14:paraId="11E3C97A"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66" w:history="1">
        <w:r w:rsidR="00CB0C13" w:rsidRPr="0095358F">
          <w:rPr>
            <w:rStyle w:val="Hyperlink"/>
            <w:rFonts w:ascii="Arial" w:hAnsi="Arial" w:cs="Arial"/>
            <w:noProof/>
          </w:rPr>
          <w:t>Figure 2: NEMA Linear Lamp Penetration, Q2 2017</w:t>
        </w:r>
        <w:r w:rsidR="00CB0C13">
          <w:rPr>
            <w:noProof/>
            <w:webHidden/>
          </w:rPr>
          <w:tab/>
        </w:r>
        <w:r w:rsidR="00CB0C13">
          <w:rPr>
            <w:noProof/>
            <w:webHidden/>
          </w:rPr>
          <w:fldChar w:fldCharType="begin"/>
        </w:r>
        <w:r w:rsidR="00CB0C13">
          <w:rPr>
            <w:noProof/>
            <w:webHidden/>
          </w:rPr>
          <w:instrText xml:space="preserve"> PAGEREF _Toc2791466 \h </w:instrText>
        </w:r>
        <w:r w:rsidR="00CB0C13">
          <w:rPr>
            <w:noProof/>
            <w:webHidden/>
          </w:rPr>
        </w:r>
        <w:r w:rsidR="00CB0C13">
          <w:rPr>
            <w:noProof/>
            <w:webHidden/>
          </w:rPr>
          <w:fldChar w:fldCharType="separate"/>
        </w:r>
        <w:r w:rsidR="00CB0C13">
          <w:rPr>
            <w:noProof/>
            <w:webHidden/>
          </w:rPr>
          <w:t>11</w:t>
        </w:r>
        <w:r w:rsidR="00CB0C13">
          <w:rPr>
            <w:noProof/>
            <w:webHidden/>
          </w:rPr>
          <w:fldChar w:fldCharType="end"/>
        </w:r>
      </w:hyperlink>
    </w:p>
    <w:p w14:paraId="6AB51001"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67" w:history="1">
        <w:r w:rsidR="00CB0C13" w:rsidRPr="0095358F">
          <w:rPr>
            <w:rStyle w:val="Hyperlink"/>
            <w:rFonts w:ascii="Arial" w:hAnsi="Arial" w:cs="Arial"/>
            <w:noProof/>
          </w:rPr>
          <w:t>Figure 3: Impact of TLEDs on IMC for LED Troffer measures</w:t>
        </w:r>
        <w:r w:rsidR="00CB0C13">
          <w:rPr>
            <w:noProof/>
            <w:webHidden/>
          </w:rPr>
          <w:tab/>
        </w:r>
        <w:r w:rsidR="00CB0C13">
          <w:rPr>
            <w:noProof/>
            <w:webHidden/>
          </w:rPr>
          <w:fldChar w:fldCharType="begin"/>
        </w:r>
        <w:r w:rsidR="00CB0C13">
          <w:rPr>
            <w:noProof/>
            <w:webHidden/>
          </w:rPr>
          <w:instrText xml:space="preserve"> PAGEREF _Toc2791467 \h </w:instrText>
        </w:r>
        <w:r w:rsidR="00CB0C13">
          <w:rPr>
            <w:noProof/>
            <w:webHidden/>
          </w:rPr>
        </w:r>
        <w:r w:rsidR="00CB0C13">
          <w:rPr>
            <w:noProof/>
            <w:webHidden/>
          </w:rPr>
          <w:fldChar w:fldCharType="separate"/>
        </w:r>
        <w:r w:rsidR="00CB0C13">
          <w:rPr>
            <w:noProof/>
            <w:webHidden/>
          </w:rPr>
          <w:t>12</w:t>
        </w:r>
        <w:r w:rsidR="00CB0C13">
          <w:rPr>
            <w:noProof/>
            <w:webHidden/>
          </w:rPr>
          <w:fldChar w:fldCharType="end"/>
        </w:r>
      </w:hyperlink>
    </w:p>
    <w:p w14:paraId="3F33E987" w14:textId="77777777" w:rsidR="00CB0C13" w:rsidRDefault="00D56548">
      <w:pPr>
        <w:pStyle w:val="TableofFigures"/>
        <w:tabs>
          <w:tab w:val="right" w:leader="dot" w:pos="9350"/>
        </w:tabs>
        <w:rPr>
          <w:rFonts w:asciiTheme="minorHAnsi" w:eastAsiaTheme="minorEastAsia" w:hAnsiTheme="minorHAnsi" w:cstheme="minorBidi"/>
          <w:noProof/>
          <w:sz w:val="22"/>
          <w:szCs w:val="22"/>
        </w:rPr>
      </w:pPr>
      <w:hyperlink w:anchor="_Toc2791468" w:history="1">
        <w:r w:rsidR="00CB0C13" w:rsidRPr="0095358F">
          <w:rPr>
            <w:rStyle w:val="Hyperlink"/>
            <w:rFonts w:ascii="Arial" w:hAnsi="Arial" w:cs="Arial"/>
            <w:noProof/>
          </w:rPr>
          <w:t>Figure 4: Proposed workpaper methodology adding TLEDs to baseline</w:t>
        </w:r>
        <w:r w:rsidR="00CB0C13">
          <w:rPr>
            <w:noProof/>
            <w:webHidden/>
          </w:rPr>
          <w:tab/>
        </w:r>
        <w:r w:rsidR="00CB0C13">
          <w:rPr>
            <w:noProof/>
            <w:webHidden/>
          </w:rPr>
          <w:fldChar w:fldCharType="begin"/>
        </w:r>
        <w:r w:rsidR="00CB0C13">
          <w:rPr>
            <w:noProof/>
            <w:webHidden/>
          </w:rPr>
          <w:instrText xml:space="preserve"> PAGEREF _Toc2791468 \h </w:instrText>
        </w:r>
        <w:r w:rsidR="00CB0C13">
          <w:rPr>
            <w:noProof/>
            <w:webHidden/>
          </w:rPr>
        </w:r>
        <w:r w:rsidR="00CB0C13">
          <w:rPr>
            <w:noProof/>
            <w:webHidden/>
          </w:rPr>
          <w:fldChar w:fldCharType="separate"/>
        </w:r>
        <w:r w:rsidR="00CB0C13">
          <w:rPr>
            <w:noProof/>
            <w:webHidden/>
          </w:rPr>
          <w:t>13</w:t>
        </w:r>
        <w:r w:rsidR="00CB0C13">
          <w:rPr>
            <w:noProof/>
            <w:webHidden/>
          </w:rPr>
          <w:fldChar w:fldCharType="end"/>
        </w:r>
      </w:hyperlink>
    </w:p>
    <w:p w14:paraId="336C8CDB" w14:textId="4C607F31" w:rsidR="005A1F9D" w:rsidRDefault="00103867" w:rsidP="00B86AB2">
      <w:r w:rsidRPr="00AB09DC">
        <w:fldChar w:fldCharType="end"/>
      </w:r>
    </w:p>
    <w:p w14:paraId="66648D51" w14:textId="77777777" w:rsidR="00851FAF" w:rsidRDefault="00851FAF" w:rsidP="00B0215F">
      <w:bookmarkStart w:id="14" w:name="_Toc172205732"/>
    </w:p>
    <w:p w14:paraId="3A8E3B83" w14:textId="77777777" w:rsidR="002671E3" w:rsidRPr="002671E3" w:rsidRDefault="002671E3" w:rsidP="002671E3">
      <w:pPr>
        <w:sectPr w:rsidR="002671E3" w:rsidRPr="002671E3" w:rsidSect="00262365">
          <w:endnotePr>
            <w:numFmt w:val="decimal"/>
          </w:endnotePr>
          <w:pgSz w:w="12240" w:h="15840"/>
          <w:pgMar w:top="1440" w:right="1440" w:bottom="1440" w:left="1440" w:header="720" w:footer="720" w:gutter="0"/>
          <w:pgNumType w:fmt="lowerRoman" w:chapStyle="1"/>
          <w:cols w:space="720"/>
          <w:docGrid w:linePitch="360"/>
        </w:sectPr>
      </w:pPr>
    </w:p>
    <w:p w14:paraId="7D8DD752" w14:textId="77777777" w:rsidR="00ED21EE" w:rsidRDefault="00ED21EE" w:rsidP="0081148F">
      <w:pPr>
        <w:pStyle w:val="Heading1"/>
        <w:spacing w:before="0"/>
      </w:pPr>
      <w:bookmarkStart w:id="15" w:name="_Toc533933915"/>
      <w:bookmarkStart w:id="16" w:name="_Toc2808635"/>
      <w:proofErr w:type="gramStart"/>
      <w:r>
        <w:lastRenderedPageBreak/>
        <w:t>Section 1.</w:t>
      </w:r>
      <w:proofErr w:type="gramEnd"/>
      <w:r>
        <w:t xml:space="preserve"> General Measure &amp; Baseline Data</w:t>
      </w:r>
      <w:bookmarkEnd w:id="15"/>
      <w:bookmarkEnd w:id="16"/>
    </w:p>
    <w:p w14:paraId="458A509C" w14:textId="243F40BB" w:rsidR="00E71EF1" w:rsidRDefault="001248A3" w:rsidP="001248A3">
      <w:pPr>
        <w:pStyle w:val="Heading2"/>
      </w:pPr>
      <w:bookmarkStart w:id="17" w:name="_Toc533933916"/>
      <w:bookmarkStart w:id="18" w:name="_Toc2808636"/>
      <w:bookmarkEnd w:id="14"/>
      <w:r>
        <w:t xml:space="preserve">1.1 </w:t>
      </w:r>
      <w:r w:rsidR="00E71EF1" w:rsidRPr="001248A3">
        <w:t>Background</w:t>
      </w:r>
      <w:bookmarkEnd w:id="17"/>
      <w:bookmarkEnd w:id="18"/>
    </w:p>
    <w:p w14:paraId="66435932" w14:textId="614E2B09" w:rsidR="00497308" w:rsidRPr="00952772" w:rsidRDefault="00497308" w:rsidP="001F4B8F">
      <w:pPr>
        <w:pStyle w:val="BodyText"/>
        <w:spacing w:before="120" w:line="276" w:lineRule="auto"/>
        <w:rPr>
          <w:rFonts w:ascii="Arial" w:hAnsi="Arial" w:cs="Arial"/>
          <w:sz w:val="20"/>
          <w:szCs w:val="20"/>
        </w:rPr>
      </w:pPr>
      <w:r w:rsidRPr="00952772">
        <w:rPr>
          <w:rFonts w:ascii="Arial" w:hAnsi="Arial" w:cs="Arial"/>
          <w:sz w:val="20"/>
          <w:szCs w:val="20"/>
        </w:rPr>
        <w:t xml:space="preserve">In early 2018 Commission staff </w:t>
      </w:r>
      <w:r w:rsidR="00981DBA">
        <w:rPr>
          <w:rFonts w:ascii="Arial" w:hAnsi="Arial" w:cs="Arial"/>
          <w:sz w:val="20"/>
          <w:szCs w:val="20"/>
        </w:rPr>
        <w:t xml:space="preserve">issued </w:t>
      </w:r>
      <w:r w:rsidRPr="00952772">
        <w:rPr>
          <w:rFonts w:ascii="Arial" w:hAnsi="Arial" w:cs="Arial"/>
          <w:sz w:val="20"/>
          <w:szCs w:val="20"/>
        </w:rPr>
        <w:t xml:space="preserve">workpaper dispositions for many types of LED lighting technologies and collaborative efforts between CPUC staff and PG&amp;E have resulted in the establishment of all LEDs (or a significant fraction of LEDs) as the standard practice baseline for Normal Replacement (NR), New Construction (NC), Capacity Expansion (CE), and Replace-on-Burnout (ROB) measures in exterior, interior high-bay and interior low-bay lighting applications. </w:t>
      </w:r>
      <w:r w:rsidRPr="00952772">
        <w:rPr>
          <w:rFonts w:ascii="Arial" w:hAnsi="Arial" w:cs="Arial"/>
          <w:position w:val="6"/>
          <w:sz w:val="20"/>
          <w:szCs w:val="20"/>
        </w:rPr>
        <w:t xml:space="preserve"> </w:t>
      </w:r>
      <w:r w:rsidRPr="00952772">
        <w:rPr>
          <w:rFonts w:ascii="Arial" w:hAnsi="Arial" w:cs="Arial"/>
          <w:sz w:val="20"/>
          <w:szCs w:val="20"/>
        </w:rPr>
        <w:t>This direction was effective January 1, 2018 for exterior and parking garage lighting measures, and April 1, 2018 for interior high and low bay lighting measures.</w:t>
      </w:r>
    </w:p>
    <w:p w14:paraId="40C1BBEA" w14:textId="4AA5AA45" w:rsidR="00E703AA" w:rsidRPr="00952772" w:rsidRDefault="00A82C4B" w:rsidP="001F4B8F">
      <w:pPr>
        <w:spacing w:before="80" w:line="276" w:lineRule="auto"/>
        <w:rPr>
          <w:rFonts w:ascii="Arial" w:hAnsi="Arial" w:cs="Arial"/>
          <w:sz w:val="20"/>
          <w:szCs w:val="20"/>
        </w:rPr>
      </w:pPr>
      <w:r>
        <w:rPr>
          <w:rFonts w:ascii="Arial" w:hAnsi="Arial" w:cs="Arial"/>
          <w:sz w:val="20"/>
          <w:szCs w:val="20"/>
        </w:rPr>
        <w:t>In late 2018 the</w:t>
      </w:r>
      <w:r w:rsidR="00497308" w:rsidRPr="00952772">
        <w:rPr>
          <w:rFonts w:ascii="Arial" w:hAnsi="Arial" w:cs="Arial"/>
          <w:sz w:val="20"/>
          <w:szCs w:val="20"/>
        </w:rPr>
        <w:t xml:space="preserve"> Resolution E-4952</w:t>
      </w:r>
      <w:r>
        <w:rPr>
          <w:rFonts w:ascii="Arial" w:hAnsi="Arial" w:cs="Arial"/>
          <w:sz w:val="20"/>
          <w:szCs w:val="20"/>
        </w:rPr>
        <w:t xml:space="preserve"> directed</w:t>
      </w:r>
      <w:r w:rsidR="00497308" w:rsidRPr="00952772">
        <w:rPr>
          <w:rFonts w:ascii="Arial" w:hAnsi="Arial" w:cs="Arial"/>
          <w:sz w:val="20"/>
          <w:szCs w:val="20"/>
        </w:rPr>
        <w:t xml:space="preserve"> DEER2019 update</w:t>
      </w:r>
      <w:r>
        <w:rPr>
          <w:rFonts w:ascii="Arial" w:hAnsi="Arial" w:cs="Arial"/>
          <w:sz w:val="20"/>
          <w:szCs w:val="20"/>
        </w:rPr>
        <w:t xml:space="preserve"> to</w:t>
      </w:r>
      <w:r w:rsidR="00497308" w:rsidRPr="00952772">
        <w:rPr>
          <w:rFonts w:ascii="Arial" w:hAnsi="Arial" w:cs="Arial"/>
          <w:sz w:val="20"/>
          <w:szCs w:val="20"/>
        </w:rPr>
        <w:t xml:space="preserve"> incorporate the standard practice baselines from the recent dispositions covering exterior, interior low-bay, interior high-bay, screw-in and can-retrofit lighting.  In addition to incorporating measures covered by recent workpaper dispositions, DEER2019 also updates the standard practice baseline for all other</w:t>
      </w:r>
      <w:r w:rsidR="00907E3E">
        <w:rPr>
          <w:rFonts w:ascii="Arial" w:hAnsi="Arial" w:cs="Arial"/>
          <w:sz w:val="20"/>
          <w:szCs w:val="20"/>
        </w:rPr>
        <w:t xml:space="preserve"> interior lighting</w:t>
      </w:r>
      <w:r w:rsidR="00497308" w:rsidRPr="00952772">
        <w:rPr>
          <w:rFonts w:ascii="Arial" w:hAnsi="Arial" w:cs="Arial"/>
          <w:sz w:val="20"/>
          <w:szCs w:val="20"/>
        </w:rPr>
        <w:t xml:space="preserve"> NR, NC, and AR measures to be based on LED technologies. This includes LED ceiling, troffer and retrofit kits measures that have previously been defined with T8 linear fluorescent baselines. </w:t>
      </w:r>
      <w:r w:rsidR="00067F73">
        <w:rPr>
          <w:rFonts w:ascii="Arial" w:hAnsi="Arial" w:cs="Arial"/>
          <w:sz w:val="20"/>
          <w:szCs w:val="20"/>
        </w:rPr>
        <w:t xml:space="preserve"> Thus PG&amp;E’s </w:t>
      </w:r>
      <w:r w:rsidR="00E703AA" w:rsidRPr="00952772">
        <w:rPr>
          <w:rFonts w:ascii="Arial" w:hAnsi="Arial" w:cs="Arial"/>
          <w:sz w:val="20"/>
          <w:szCs w:val="20"/>
        </w:rPr>
        <w:t>workpaper “</w:t>
      </w:r>
      <w:r w:rsidR="00497308" w:rsidRPr="00952772">
        <w:rPr>
          <w:rFonts w:ascii="Arial" w:hAnsi="Arial" w:cs="Arial"/>
          <w:sz w:val="20"/>
          <w:szCs w:val="20"/>
        </w:rPr>
        <w:t xml:space="preserve">PGECOLTG179 </w:t>
      </w:r>
      <w:r w:rsidR="00E703AA" w:rsidRPr="00952772">
        <w:rPr>
          <w:rFonts w:ascii="Arial" w:hAnsi="Arial" w:cs="Arial"/>
          <w:sz w:val="20"/>
          <w:szCs w:val="20"/>
        </w:rPr>
        <w:t>LED Ambient Commercial Fixtures and Retrofit Kits”</w:t>
      </w:r>
      <w:r w:rsidR="00067F73">
        <w:rPr>
          <w:rFonts w:ascii="Arial" w:hAnsi="Arial" w:cs="Arial"/>
          <w:sz w:val="20"/>
          <w:szCs w:val="20"/>
        </w:rPr>
        <w:t xml:space="preserve"> is affected by this </w:t>
      </w:r>
      <w:r w:rsidR="00067F73" w:rsidRPr="00952772">
        <w:rPr>
          <w:rFonts w:ascii="Arial" w:hAnsi="Arial" w:cs="Arial"/>
          <w:sz w:val="20"/>
          <w:szCs w:val="20"/>
        </w:rPr>
        <w:t>standard practice baseline</w:t>
      </w:r>
      <w:r w:rsidR="00067F73">
        <w:rPr>
          <w:rFonts w:ascii="Arial" w:hAnsi="Arial" w:cs="Arial"/>
          <w:sz w:val="20"/>
          <w:szCs w:val="20"/>
        </w:rPr>
        <w:t>.</w:t>
      </w:r>
    </w:p>
    <w:p w14:paraId="6352D74C" w14:textId="3576D3B2" w:rsidR="007A290F" w:rsidRPr="008935DA" w:rsidRDefault="00D25DEF" w:rsidP="001F4B8F">
      <w:pPr>
        <w:spacing w:before="80" w:line="276" w:lineRule="auto"/>
        <w:rPr>
          <w:rFonts w:ascii="Arial" w:hAnsi="Arial" w:cs="Arial"/>
          <w:sz w:val="20"/>
          <w:szCs w:val="20"/>
        </w:rPr>
      </w:pPr>
      <w:r w:rsidRPr="00E21F24">
        <w:rPr>
          <w:rFonts w:ascii="Arial" w:hAnsi="Arial" w:cs="Arial"/>
          <w:sz w:val="20"/>
          <w:szCs w:val="20"/>
        </w:rPr>
        <w:t xml:space="preserve">PG&amp;E’s early 2018 research and communications with the CPUC Ex-Ante Review (EAR) Team noted challenges with negative IMC values as baseline technologies shift to LED - the same technology as the measure case. In conversations with the EAR Team in April of 2018 during development of the interim solution for LED High-Bay and Low-Bay </w:t>
      </w:r>
      <w:r w:rsidR="00B55940" w:rsidRPr="00E21F24">
        <w:rPr>
          <w:rFonts w:ascii="Arial" w:hAnsi="Arial" w:cs="Arial"/>
          <w:sz w:val="20"/>
          <w:szCs w:val="20"/>
        </w:rPr>
        <w:t>workpaper</w:t>
      </w:r>
      <w:r w:rsidRPr="00E21F24">
        <w:rPr>
          <w:rFonts w:ascii="Arial" w:hAnsi="Arial" w:cs="Arial"/>
          <w:sz w:val="20"/>
          <w:szCs w:val="20"/>
        </w:rPr>
        <w:t xml:space="preserve">, the EAR </w:t>
      </w:r>
      <w:r w:rsidR="00B55940" w:rsidRPr="00E21F24">
        <w:rPr>
          <w:rFonts w:ascii="Arial" w:hAnsi="Arial" w:cs="Arial"/>
          <w:sz w:val="20"/>
          <w:szCs w:val="20"/>
        </w:rPr>
        <w:t>T</w:t>
      </w:r>
      <w:r w:rsidRPr="00E21F24">
        <w:rPr>
          <w:rFonts w:ascii="Arial" w:hAnsi="Arial" w:cs="Arial"/>
          <w:sz w:val="20"/>
          <w:szCs w:val="20"/>
        </w:rPr>
        <w:t xml:space="preserve">eam acknowledged </w:t>
      </w:r>
      <w:r w:rsidR="004E590E">
        <w:rPr>
          <w:rFonts w:ascii="Arial" w:hAnsi="Arial" w:cs="Arial"/>
          <w:sz w:val="20"/>
          <w:szCs w:val="20"/>
        </w:rPr>
        <w:t>linear</w:t>
      </w:r>
      <w:r w:rsidR="00803652">
        <w:rPr>
          <w:rFonts w:ascii="Arial" w:hAnsi="Arial" w:cs="Arial"/>
          <w:sz w:val="20"/>
          <w:szCs w:val="20"/>
        </w:rPr>
        <w:t xml:space="preserve"> LED lamps’</w:t>
      </w:r>
      <w:r w:rsidR="00803652" w:rsidRPr="00E21F24">
        <w:rPr>
          <w:rFonts w:ascii="Arial" w:hAnsi="Arial" w:cs="Arial"/>
          <w:sz w:val="20"/>
          <w:szCs w:val="20"/>
        </w:rPr>
        <w:t xml:space="preserve"> </w:t>
      </w:r>
      <w:r w:rsidR="00803652">
        <w:rPr>
          <w:rFonts w:ascii="Arial" w:hAnsi="Arial" w:cs="Arial"/>
          <w:sz w:val="20"/>
          <w:szCs w:val="20"/>
        </w:rPr>
        <w:t>(</w:t>
      </w:r>
      <w:r w:rsidRPr="00E21F24">
        <w:rPr>
          <w:rFonts w:ascii="Arial" w:hAnsi="Arial" w:cs="Arial"/>
          <w:sz w:val="20"/>
          <w:szCs w:val="20"/>
        </w:rPr>
        <w:t>TLED</w:t>
      </w:r>
      <w:r w:rsidR="00803652">
        <w:rPr>
          <w:rFonts w:ascii="Arial" w:hAnsi="Arial" w:cs="Arial"/>
          <w:sz w:val="20"/>
          <w:szCs w:val="20"/>
        </w:rPr>
        <w:t>s)</w:t>
      </w:r>
      <w:r w:rsidRPr="00E21F24">
        <w:rPr>
          <w:rFonts w:ascii="Arial" w:hAnsi="Arial" w:cs="Arial"/>
          <w:sz w:val="20"/>
          <w:szCs w:val="20"/>
        </w:rPr>
        <w:t xml:space="preserve"> popularity in the market and alluded that PG&amp;E </w:t>
      </w:r>
      <w:r w:rsidR="00907E3E">
        <w:rPr>
          <w:rFonts w:ascii="Arial" w:hAnsi="Arial" w:cs="Arial"/>
          <w:sz w:val="20"/>
          <w:szCs w:val="20"/>
        </w:rPr>
        <w:t>c</w:t>
      </w:r>
      <w:r w:rsidR="00B55940" w:rsidRPr="00E21F24">
        <w:rPr>
          <w:rFonts w:ascii="Arial" w:hAnsi="Arial" w:cs="Arial"/>
          <w:sz w:val="20"/>
          <w:szCs w:val="20"/>
        </w:rPr>
        <w:t xml:space="preserve">ould </w:t>
      </w:r>
      <w:r w:rsidRPr="00E21F24">
        <w:rPr>
          <w:rFonts w:ascii="Arial" w:hAnsi="Arial" w:cs="Arial"/>
          <w:sz w:val="20"/>
          <w:szCs w:val="20"/>
        </w:rPr>
        <w:t xml:space="preserve">consider adding TLEDs to </w:t>
      </w:r>
      <w:r w:rsidR="008935DA">
        <w:rPr>
          <w:rFonts w:ascii="Arial" w:hAnsi="Arial" w:cs="Arial"/>
          <w:sz w:val="20"/>
          <w:szCs w:val="20"/>
        </w:rPr>
        <w:t>the</w:t>
      </w:r>
      <w:r w:rsidRPr="00E21F24">
        <w:rPr>
          <w:rFonts w:ascii="Arial" w:hAnsi="Arial" w:cs="Arial"/>
          <w:sz w:val="20"/>
          <w:szCs w:val="20"/>
        </w:rPr>
        <w:t xml:space="preserve"> baseline mix for fixtures that have had fluorescent T8s in their baseline history.</w:t>
      </w:r>
      <w:r w:rsidR="007A290F">
        <w:rPr>
          <w:rFonts w:ascii="Arial" w:hAnsi="Arial" w:cs="Arial"/>
          <w:sz w:val="20"/>
          <w:szCs w:val="20"/>
        </w:rPr>
        <w:t xml:space="preserve">  </w:t>
      </w:r>
      <w:r w:rsidR="00907E3E">
        <w:rPr>
          <w:rFonts w:ascii="Arial" w:hAnsi="Arial" w:cs="Arial"/>
          <w:sz w:val="20"/>
          <w:szCs w:val="20"/>
        </w:rPr>
        <w:t xml:space="preserve">Based on these discussions and additional research, </w:t>
      </w:r>
      <w:r w:rsidR="007A290F" w:rsidRPr="008935DA">
        <w:rPr>
          <w:rFonts w:ascii="Arial" w:hAnsi="Arial" w:cs="Arial"/>
          <w:sz w:val="20"/>
          <w:szCs w:val="20"/>
        </w:rPr>
        <w:t>PG&amp;E incorporat</w:t>
      </w:r>
      <w:r w:rsidR="00DC7891">
        <w:rPr>
          <w:rFonts w:ascii="Arial" w:hAnsi="Arial" w:cs="Arial"/>
          <w:sz w:val="20"/>
          <w:szCs w:val="20"/>
        </w:rPr>
        <w:t>ed</w:t>
      </w:r>
      <w:r w:rsidR="007A290F" w:rsidRPr="008935DA">
        <w:rPr>
          <w:rFonts w:ascii="Arial" w:hAnsi="Arial" w:cs="Arial"/>
          <w:sz w:val="20"/>
          <w:szCs w:val="20"/>
        </w:rPr>
        <w:t xml:space="preserve"> </w:t>
      </w:r>
      <w:r w:rsidR="008935DA" w:rsidRPr="008935DA">
        <w:rPr>
          <w:rFonts w:ascii="Arial" w:hAnsi="Arial" w:cs="Arial"/>
          <w:sz w:val="20"/>
          <w:szCs w:val="20"/>
        </w:rPr>
        <w:t>TLEDs</w:t>
      </w:r>
      <w:r w:rsidR="007A290F" w:rsidRPr="008935DA">
        <w:rPr>
          <w:rFonts w:ascii="Arial" w:hAnsi="Arial" w:cs="Arial"/>
          <w:sz w:val="20"/>
          <w:szCs w:val="20"/>
        </w:rPr>
        <w:t xml:space="preserve"> to the baseline LED technology for this workpaper revision.</w:t>
      </w:r>
    </w:p>
    <w:p w14:paraId="7193283F" w14:textId="255FAC37" w:rsidR="001F4B8F" w:rsidRPr="00E40631" w:rsidRDefault="001F4B8F" w:rsidP="001F4B8F">
      <w:pPr>
        <w:pStyle w:val="ListParagraph"/>
        <w:spacing w:before="80" w:line="276" w:lineRule="auto"/>
        <w:ind w:left="0"/>
        <w:rPr>
          <w:rFonts w:ascii="Arial" w:hAnsi="Arial" w:cs="Arial"/>
          <w:sz w:val="20"/>
        </w:rPr>
      </w:pPr>
      <w:r>
        <w:rPr>
          <w:rFonts w:ascii="Arial" w:hAnsi="Arial" w:cs="Arial"/>
          <w:sz w:val="20"/>
        </w:rPr>
        <w:t xml:space="preserve">CPUC </w:t>
      </w:r>
      <w:r w:rsidR="00D56548">
        <w:rPr>
          <w:rFonts w:ascii="Arial" w:hAnsi="Arial" w:cs="Arial"/>
          <w:sz w:val="20"/>
        </w:rPr>
        <w:t>E</w:t>
      </w:r>
      <w:r>
        <w:rPr>
          <w:rFonts w:ascii="Arial" w:hAnsi="Arial" w:cs="Arial"/>
          <w:sz w:val="20"/>
        </w:rPr>
        <w:t>x-</w:t>
      </w:r>
      <w:r w:rsidR="00D56548">
        <w:rPr>
          <w:rFonts w:ascii="Arial" w:hAnsi="Arial" w:cs="Arial"/>
          <w:sz w:val="20"/>
        </w:rPr>
        <w:t>A</w:t>
      </w:r>
      <w:r>
        <w:rPr>
          <w:rFonts w:ascii="Arial" w:hAnsi="Arial" w:cs="Arial"/>
          <w:sz w:val="20"/>
        </w:rPr>
        <w:t xml:space="preserve">nte team recommendation: </w:t>
      </w:r>
      <w:r w:rsidRPr="00E97EDE">
        <w:rPr>
          <w:rFonts w:ascii="Arial" w:hAnsi="Arial" w:cs="Arial"/>
          <w:sz w:val="20"/>
        </w:rPr>
        <w:t>PG&amp;E has provided TLED cost</w:t>
      </w:r>
      <w:r w:rsidR="00D56548">
        <w:rPr>
          <w:rFonts w:ascii="Arial" w:hAnsi="Arial" w:cs="Arial"/>
          <w:sz w:val="20"/>
        </w:rPr>
        <w:t>s</w:t>
      </w:r>
      <w:r w:rsidRPr="00E97EDE">
        <w:rPr>
          <w:rFonts w:ascii="Arial" w:hAnsi="Arial" w:cs="Arial"/>
          <w:sz w:val="20"/>
        </w:rPr>
        <w:t xml:space="preserve"> and efficacy data collected in 2018 for th</w:t>
      </w:r>
      <w:r>
        <w:rPr>
          <w:rFonts w:ascii="Arial" w:hAnsi="Arial" w:cs="Arial"/>
          <w:sz w:val="20"/>
        </w:rPr>
        <w:t>e</w:t>
      </w:r>
      <w:r w:rsidRPr="00E97EDE">
        <w:rPr>
          <w:rFonts w:ascii="Arial" w:hAnsi="Arial" w:cs="Arial"/>
          <w:sz w:val="20"/>
        </w:rPr>
        <w:t xml:space="preserve"> initial R</w:t>
      </w:r>
      <w:r>
        <w:rPr>
          <w:rFonts w:ascii="Arial" w:hAnsi="Arial" w:cs="Arial"/>
          <w:sz w:val="20"/>
        </w:rPr>
        <w:t>4</w:t>
      </w:r>
      <w:r w:rsidRPr="00E97EDE">
        <w:rPr>
          <w:rFonts w:ascii="Arial" w:hAnsi="Arial" w:cs="Arial"/>
          <w:sz w:val="20"/>
        </w:rPr>
        <w:t xml:space="preserve"> workpaper </w:t>
      </w:r>
      <w:r w:rsidR="00DC7891">
        <w:rPr>
          <w:rFonts w:ascii="Arial" w:hAnsi="Arial" w:cs="Arial"/>
          <w:sz w:val="20"/>
        </w:rPr>
        <w:t>revision</w:t>
      </w:r>
      <w:r w:rsidRPr="00E97EDE">
        <w:rPr>
          <w:rFonts w:ascii="Arial" w:hAnsi="Arial" w:cs="Arial"/>
          <w:sz w:val="20"/>
        </w:rPr>
        <w:t>. Subsequently PG&amp;E conducted additional online web</w:t>
      </w:r>
      <w:r>
        <w:rPr>
          <w:rFonts w:ascii="Arial" w:hAnsi="Arial" w:cs="Arial"/>
          <w:sz w:val="20"/>
        </w:rPr>
        <w:t>-</w:t>
      </w:r>
      <w:r w:rsidRPr="00E97EDE">
        <w:rPr>
          <w:rFonts w:ascii="Arial" w:hAnsi="Arial" w:cs="Arial"/>
          <w:sz w:val="20"/>
        </w:rPr>
        <w:t>scraping on TLED cost</w:t>
      </w:r>
      <w:r w:rsidR="00D56548">
        <w:rPr>
          <w:rFonts w:ascii="Arial" w:hAnsi="Arial" w:cs="Arial"/>
          <w:sz w:val="20"/>
        </w:rPr>
        <w:t>s</w:t>
      </w:r>
      <w:r w:rsidRPr="00E97EDE">
        <w:rPr>
          <w:rFonts w:ascii="Arial" w:hAnsi="Arial" w:cs="Arial"/>
          <w:sz w:val="20"/>
        </w:rPr>
        <w:t xml:space="preserve"> and efficacy in February 2019 per CPUC </w:t>
      </w:r>
      <w:r w:rsidR="00D56548">
        <w:rPr>
          <w:rFonts w:ascii="Arial" w:hAnsi="Arial" w:cs="Arial"/>
          <w:sz w:val="20"/>
        </w:rPr>
        <w:t>E</w:t>
      </w:r>
      <w:r w:rsidRPr="00E97EDE">
        <w:rPr>
          <w:rFonts w:ascii="Arial" w:hAnsi="Arial" w:cs="Arial"/>
          <w:sz w:val="20"/>
        </w:rPr>
        <w:t>x-</w:t>
      </w:r>
      <w:r w:rsidR="00D56548">
        <w:rPr>
          <w:rFonts w:ascii="Arial" w:hAnsi="Arial" w:cs="Arial"/>
          <w:sz w:val="20"/>
        </w:rPr>
        <w:t>A</w:t>
      </w:r>
      <w:r w:rsidRPr="00E97EDE">
        <w:rPr>
          <w:rFonts w:ascii="Arial" w:hAnsi="Arial" w:cs="Arial"/>
          <w:sz w:val="20"/>
        </w:rPr>
        <w:t xml:space="preserve">nte </w:t>
      </w:r>
      <w:r w:rsidR="00D56548">
        <w:rPr>
          <w:rFonts w:ascii="Arial" w:hAnsi="Arial" w:cs="Arial"/>
          <w:sz w:val="20"/>
        </w:rPr>
        <w:t>T</w:t>
      </w:r>
      <w:r w:rsidRPr="00E97EDE">
        <w:rPr>
          <w:rFonts w:ascii="Arial" w:hAnsi="Arial" w:cs="Arial"/>
          <w:sz w:val="20"/>
        </w:rPr>
        <w:t xml:space="preserve">eam’s recommendation. Based on the new data the average TLED cost and efficacy level were revised accordingly. </w:t>
      </w:r>
      <w:r>
        <w:rPr>
          <w:rFonts w:ascii="Arial" w:hAnsi="Arial" w:cs="Arial"/>
          <w:sz w:val="20"/>
        </w:rPr>
        <w:t xml:space="preserve"> Please see attached file “</w:t>
      </w:r>
      <w:r w:rsidRPr="00DA6E11">
        <w:rPr>
          <w:rFonts w:ascii="Arial" w:hAnsi="Arial" w:cs="Arial"/>
          <w:sz w:val="20"/>
        </w:rPr>
        <w:t>Copy of TLED Cost Data_FEB2019</w:t>
      </w:r>
      <w:r>
        <w:rPr>
          <w:rFonts w:ascii="Arial" w:hAnsi="Arial" w:cs="Arial"/>
          <w:sz w:val="20"/>
        </w:rPr>
        <w:t>.xlsx” for the collected data and revised calculation of the cost</w:t>
      </w:r>
      <w:r w:rsidR="00D56548">
        <w:rPr>
          <w:rFonts w:ascii="Arial" w:hAnsi="Arial" w:cs="Arial"/>
          <w:sz w:val="20"/>
        </w:rPr>
        <w:t>s</w:t>
      </w:r>
      <w:r>
        <w:rPr>
          <w:rFonts w:ascii="Arial" w:hAnsi="Arial" w:cs="Arial"/>
          <w:sz w:val="20"/>
        </w:rPr>
        <w:t xml:space="preserve"> and efficacy</w:t>
      </w:r>
      <w:r w:rsidRPr="00E97EDE">
        <w:rPr>
          <w:rFonts w:ascii="Arial" w:hAnsi="Arial" w:cs="Arial"/>
          <w:sz w:val="20"/>
        </w:rPr>
        <w:t>.</w:t>
      </w:r>
    </w:p>
    <w:p w14:paraId="7C1A6FE6" w14:textId="77777777" w:rsidR="00497308" w:rsidRPr="00E21F24" w:rsidRDefault="00497308" w:rsidP="00D25DEF">
      <w:pPr>
        <w:pStyle w:val="BodyText"/>
        <w:spacing w:before="121"/>
        <w:rPr>
          <w:rFonts w:ascii="Arial" w:eastAsia="Times New Roman" w:hAnsi="Arial" w:cs="Arial"/>
          <w:sz w:val="20"/>
          <w:szCs w:val="20"/>
          <w:lang w:bidi="ar-SA"/>
        </w:rPr>
      </w:pPr>
    </w:p>
    <w:p w14:paraId="1D43BCF9" w14:textId="77777777" w:rsidR="00497308" w:rsidRDefault="00497308" w:rsidP="005D5F67">
      <w:pPr>
        <w:pStyle w:val="Heading2"/>
        <w:spacing w:before="0" w:after="0"/>
      </w:pPr>
      <w:bookmarkStart w:id="19" w:name="_Toc533933917"/>
      <w:bookmarkStart w:id="20" w:name="_Toc2808637"/>
      <w:r>
        <w:t xml:space="preserve">1.2 Product </w:t>
      </w:r>
      <w:r w:rsidRPr="001248A3">
        <w:t>Measure Description</w:t>
      </w:r>
      <w:bookmarkEnd w:id="19"/>
      <w:bookmarkEnd w:id="20"/>
    </w:p>
    <w:p w14:paraId="2AE4BD2F" w14:textId="77777777" w:rsidR="0037707D" w:rsidRDefault="00521920" w:rsidP="001A75C6">
      <w:pPr>
        <w:spacing w:before="160"/>
        <w:rPr>
          <w:rFonts w:ascii="Arial" w:hAnsi="Arial" w:cs="Arial"/>
          <w:b/>
          <w:i/>
        </w:rPr>
      </w:pPr>
      <w:r w:rsidRPr="00521920">
        <w:rPr>
          <w:rFonts w:ascii="Arial" w:hAnsi="Arial" w:cs="Arial"/>
          <w:b/>
          <w:i/>
        </w:rPr>
        <w:t>Catalog Description</w:t>
      </w:r>
      <w:r w:rsidR="00476B67">
        <w:rPr>
          <w:rFonts w:ascii="Arial" w:hAnsi="Arial" w:cs="Arial"/>
          <w:b/>
          <w:i/>
        </w:rPr>
        <w:t xml:space="preserve"> </w:t>
      </w:r>
    </w:p>
    <w:p w14:paraId="243A85F9" w14:textId="24C23DC2" w:rsidR="0037707D" w:rsidRDefault="005460ED" w:rsidP="00DC46BA">
      <w:pPr>
        <w:spacing w:before="120"/>
        <w:rPr>
          <w:rFonts w:ascii="Arial" w:hAnsi="Arial" w:cs="Arial"/>
          <w:sz w:val="20"/>
        </w:rPr>
      </w:pPr>
      <w:r w:rsidRPr="0008537D">
        <w:rPr>
          <w:rFonts w:ascii="Arial" w:hAnsi="Arial" w:cs="Arial"/>
          <w:sz w:val="20"/>
        </w:rPr>
        <w:t xml:space="preserve">Light Emitting Diode (LED) </w:t>
      </w:r>
      <w:r>
        <w:rPr>
          <w:rFonts w:ascii="Arial" w:hAnsi="Arial" w:cs="Arial"/>
          <w:sz w:val="20"/>
        </w:rPr>
        <w:t xml:space="preserve">Ambient </w:t>
      </w:r>
      <w:r w:rsidR="00DC46BA">
        <w:rPr>
          <w:rFonts w:ascii="Arial" w:hAnsi="Arial" w:cs="Arial"/>
          <w:sz w:val="20"/>
        </w:rPr>
        <w:t xml:space="preserve">and Troffer </w:t>
      </w:r>
      <w:r w:rsidRPr="005C31D5">
        <w:rPr>
          <w:rFonts w:ascii="Arial" w:hAnsi="Arial" w:cs="Arial"/>
          <w:sz w:val="20"/>
        </w:rPr>
        <w:t>Fixtures and Retrofit Kits</w:t>
      </w:r>
    </w:p>
    <w:p w14:paraId="74326963" w14:textId="77777777" w:rsidR="005460ED" w:rsidRDefault="005460ED" w:rsidP="00872913">
      <w:pPr>
        <w:rPr>
          <w:rFonts w:ascii="Arial" w:hAnsi="Arial" w:cs="Arial"/>
          <w:sz w:val="20"/>
        </w:rPr>
      </w:pPr>
    </w:p>
    <w:p w14:paraId="4D01E331" w14:textId="17B52719" w:rsidR="005B5BB4" w:rsidRPr="005B5BB4" w:rsidRDefault="005B5BB4" w:rsidP="005B5BB4">
      <w:pPr>
        <w:widowControl w:val="0"/>
        <w:autoSpaceDE w:val="0"/>
        <w:autoSpaceDN w:val="0"/>
        <w:adjustRightInd w:val="0"/>
        <w:spacing w:line="360" w:lineRule="auto"/>
        <w:rPr>
          <w:rFonts w:ascii="Arial" w:hAnsi="Arial" w:cs="Arial"/>
          <w:b/>
          <w:color w:val="000000"/>
        </w:rPr>
      </w:pPr>
      <w:r w:rsidRPr="005B5BB4">
        <w:rPr>
          <w:rFonts w:ascii="Arial" w:hAnsi="Arial" w:cs="Arial"/>
          <w:b/>
          <w:color w:val="000000"/>
        </w:rPr>
        <w:t>Requirements:</w:t>
      </w:r>
    </w:p>
    <w:p w14:paraId="26E5037F" w14:textId="3B6568D8" w:rsidR="00ED77BD" w:rsidRDefault="00ED77BD" w:rsidP="005D5F67">
      <w:pPr>
        <w:widowControl w:val="0"/>
        <w:numPr>
          <w:ilvl w:val="0"/>
          <w:numId w:val="18"/>
        </w:numPr>
        <w:autoSpaceDE w:val="0"/>
        <w:autoSpaceDN w:val="0"/>
        <w:adjustRightInd w:val="0"/>
        <w:spacing w:line="276" w:lineRule="auto"/>
        <w:rPr>
          <w:rFonts w:ascii="Arial" w:hAnsi="Arial" w:cs="Arial"/>
          <w:color w:val="000000"/>
          <w:sz w:val="20"/>
        </w:rPr>
      </w:pPr>
      <w:r>
        <w:rPr>
          <w:rFonts w:ascii="Arial" w:hAnsi="Arial" w:cs="Arial"/>
          <w:color w:val="000000"/>
          <w:sz w:val="20"/>
        </w:rPr>
        <w:t xml:space="preserve">New LED luminaire must </w:t>
      </w:r>
      <w:r w:rsidR="00784DE3">
        <w:rPr>
          <w:rFonts w:ascii="Arial" w:hAnsi="Arial" w:cs="Arial"/>
          <w:color w:val="000000"/>
          <w:sz w:val="20"/>
        </w:rPr>
        <w:t>have</w:t>
      </w:r>
      <w:r>
        <w:rPr>
          <w:rFonts w:ascii="Arial" w:hAnsi="Arial" w:cs="Arial"/>
          <w:color w:val="000000"/>
          <w:sz w:val="20"/>
        </w:rPr>
        <w:t xml:space="preserve"> rated lumen output</w:t>
      </w:r>
      <w:r w:rsidR="00784DE3">
        <w:rPr>
          <w:rFonts w:ascii="Arial" w:hAnsi="Arial" w:cs="Arial"/>
          <w:color w:val="000000"/>
          <w:sz w:val="20"/>
        </w:rPr>
        <w:t xml:space="preserve"> similar to </w:t>
      </w:r>
      <w:r>
        <w:rPr>
          <w:rFonts w:ascii="Arial" w:hAnsi="Arial" w:cs="Arial"/>
          <w:color w:val="000000"/>
          <w:sz w:val="20"/>
        </w:rPr>
        <w:t xml:space="preserve">the rated lumen output of the fixture </w:t>
      </w:r>
      <w:r w:rsidR="001A75C6">
        <w:rPr>
          <w:rFonts w:ascii="Arial" w:hAnsi="Arial" w:cs="Arial"/>
          <w:color w:val="000000"/>
          <w:sz w:val="20"/>
        </w:rPr>
        <w:tab/>
      </w:r>
      <w:r>
        <w:rPr>
          <w:rFonts w:ascii="Arial" w:hAnsi="Arial" w:cs="Arial"/>
          <w:color w:val="000000"/>
          <w:sz w:val="20"/>
        </w:rPr>
        <w:t>being replaced</w:t>
      </w:r>
      <w:r w:rsidR="0049156C">
        <w:rPr>
          <w:rFonts w:ascii="Arial" w:hAnsi="Arial" w:cs="Arial"/>
          <w:color w:val="000000"/>
          <w:sz w:val="20"/>
        </w:rPr>
        <w:t xml:space="preserve"> or retrofitted</w:t>
      </w:r>
    </w:p>
    <w:p w14:paraId="3AC3E472" w14:textId="786D7666" w:rsidR="004F1CD7" w:rsidRDefault="001D5155" w:rsidP="005D5F67">
      <w:pPr>
        <w:numPr>
          <w:ilvl w:val="0"/>
          <w:numId w:val="18"/>
        </w:numPr>
        <w:autoSpaceDE w:val="0"/>
        <w:autoSpaceDN w:val="0"/>
        <w:spacing w:before="120" w:line="276" w:lineRule="auto"/>
        <w:rPr>
          <w:rFonts w:ascii="Arial" w:hAnsi="Arial" w:cs="Arial"/>
          <w:color w:val="000000"/>
          <w:sz w:val="20"/>
          <w:szCs w:val="20"/>
        </w:rPr>
      </w:pPr>
      <w:r>
        <w:rPr>
          <w:rFonts w:ascii="Arial" w:hAnsi="Arial" w:cs="Arial"/>
          <w:color w:val="000000"/>
          <w:sz w:val="20"/>
          <w:szCs w:val="20"/>
        </w:rPr>
        <w:t xml:space="preserve">Must be </w:t>
      </w:r>
      <w:r w:rsidR="00077C32">
        <w:rPr>
          <w:rFonts w:ascii="Arial" w:hAnsi="Arial" w:cs="Arial"/>
          <w:color w:val="000000"/>
          <w:sz w:val="20"/>
          <w:szCs w:val="20"/>
        </w:rPr>
        <w:t>a</w:t>
      </w:r>
      <w:r>
        <w:rPr>
          <w:rFonts w:ascii="Arial" w:hAnsi="Arial" w:cs="Arial"/>
          <w:color w:val="000000"/>
          <w:sz w:val="20"/>
          <w:szCs w:val="20"/>
        </w:rPr>
        <w:t xml:space="preserve"> </w:t>
      </w:r>
      <w:proofErr w:type="spellStart"/>
      <w:r>
        <w:rPr>
          <w:rFonts w:ascii="Arial" w:hAnsi="Arial" w:cs="Arial"/>
          <w:color w:val="000000"/>
          <w:sz w:val="20"/>
          <w:szCs w:val="20"/>
        </w:rPr>
        <w:t>DesignLights</w:t>
      </w:r>
      <w:proofErr w:type="spellEnd"/>
      <w:r>
        <w:rPr>
          <w:rFonts w:ascii="Arial" w:hAnsi="Arial" w:cs="Arial"/>
          <w:color w:val="000000"/>
          <w:sz w:val="20"/>
          <w:szCs w:val="20"/>
        </w:rPr>
        <w:t xml:space="preserve"> Consortium</w:t>
      </w:r>
      <w:r w:rsidR="00B23452" w:rsidRPr="00784DE3">
        <w:rPr>
          <w:rFonts w:ascii="Arial" w:hAnsi="Arial" w:cs="Arial"/>
          <w:color w:val="000000"/>
          <w:sz w:val="20"/>
          <w:szCs w:val="20"/>
          <w:vertAlign w:val="superscript"/>
        </w:rPr>
        <w:t>®</w:t>
      </w:r>
      <w:r>
        <w:rPr>
          <w:rFonts w:ascii="Arial" w:hAnsi="Arial" w:cs="Arial"/>
          <w:color w:val="000000"/>
          <w:sz w:val="20"/>
          <w:szCs w:val="20"/>
        </w:rPr>
        <w:t xml:space="preserve"> (DLC) </w:t>
      </w:r>
      <w:r w:rsidR="00077C32">
        <w:rPr>
          <w:rFonts w:ascii="Arial" w:hAnsi="Arial" w:cs="Arial"/>
          <w:color w:val="000000"/>
          <w:sz w:val="20"/>
          <w:szCs w:val="20"/>
        </w:rPr>
        <w:t>approved N</w:t>
      </w:r>
      <w:r>
        <w:rPr>
          <w:rFonts w:ascii="Arial" w:hAnsi="Arial" w:cs="Arial"/>
          <w:color w:val="000000"/>
          <w:sz w:val="20"/>
          <w:szCs w:val="20"/>
        </w:rPr>
        <w:t>ew Luminaire</w:t>
      </w:r>
      <w:r w:rsidR="003F5B60">
        <w:rPr>
          <w:rFonts w:ascii="Arial" w:hAnsi="Arial" w:cs="Arial"/>
          <w:color w:val="000000"/>
          <w:sz w:val="20"/>
          <w:szCs w:val="20"/>
        </w:rPr>
        <w:t xml:space="preserve">, </w:t>
      </w:r>
      <w:r w:rsidR="006F0984">
        <w:rPr>
          <w:rFonts w:ascii="Arial" w:hAnsi="Arial" w:cs="Arial"/>
          <w:color w:val="000000"/>
          <w:sz w:val="20"/>
          <w:szCs w:val="20"/>
        </w:rPr>
        <w:t>Integrated</w:t>
      </w:r>
      <w:r w:rsidR="000B03C9">
        <w:rPr>
          <w:rFonts w:ascii="Arial" w:hAnsi="Arial" w:cs="Arial"/>
          <w:color w:val="000000"/>
          <w:sz w:val="20"/>
          <w:szCs w:val="20"/>
        </w:rPr>
        <w:t xml:space="preserve"> </w:t>
      </w:r>
      <w:r>
        <w:rPr>
          <w:rFonts w:ascii="Arial" w:hAnsi="Arial" w:cs="Arial"/>
          <w:color w:val="000000"/>
          <w:sz w:val="20"/>
          <w:szCs w:val="20"/>
        </w:rPr>
        <w:t>Retrofit Kit</w:t>
      </w:r>
      <w:r w:rsidR="00077C32">
        <w:rPr>
          <w:rFonts w:ascii="Arial" w:hAnsi="Arial" w:cs="Arial"/>
          <w:color w:val="000000"/>
          <w:sz w:val="20"/>
          <w:szCs w:val="20"/>
        </w:rPr>
        <w:t>,</w:t>
      </w:r>
      <w:r w:rsidR="003F5B60">
        <w:rPr>
          <w:rFonts w:ascii="Arial" w:hAnsi="Arial" w:cs="Arial"/>
          <w:color w:val="000000"/>
          <w:sz w:val="20"/>
          <w:szCs w:val="20"/>
        </w:rPr>
        <w:t xml:space="preserve"> or </w:t>
      </w:r>
      <w:r w:rsidR="006C09C1">
        <w:rPr>
          <w:rFonts w:ascii="Arial" w:hAnsi="Arial" w:cs="Arial"/>
          <w:color w:val="000000"/>
          <w:sz w:val="20"/>
          <w:szCs w:val="20"/>
        </w:rPr>
        <w:tab/>
      </w:r>
      <w:r w:rsidR="003F5B60">
        <w:rPr>
          <w:rFonts w:ascii="Arial" w:hAnsi="Arial" w:cs="Arial"/>
          <w:color w:val="000000"/>
          <w:sz w:val="20"/>
          <w:szCs w:val="20"/>
        </w:rPr>
        <w:t>Direct Linear Ambient Fixture or Retrofit Kit</w:t>
      </w:r>
      <w:r w:rsidR="00077C32">
        <w:rPr>
          <w:rFonts w:ascii="Arial" w:hAnsi="Arial" w:cs="Arial"/>
          <w:color w:val="000000"/>
          <w:sz w:val="20"/>
          <w:szCs w:val="20"/>
        </w:rPr>
        <w:t xml:space="preserve"> listed as</w:t>
      </w:r>
      <w:r w:rsidR="006C09C1">
        <w:rPr>
          <w:rFonts w:ascii="Arial" w:hAnsi="Arial" w:cs="Arial"/>
          <w:color w:val="000000"/>
          <w:sz w:val="20"/>
          <w:szCs w:val="20"/>
        </w:rPr>
        <w:t>:</w:t>
      </w:r>
      <w:r>
        <w:rPr>
          <w:rFonts w:ascii="Arial" w:hAnsi="Arial" w:cs="Arial"/>
          <w:color w:val="000000"/>
          <w:sz w:val="20"/>
          <w:szCs w:val="20"/>
        </w:rPr>
        <w:t xml:space="preserve"> </w:t>
      </w:r>
    </w:p>
    <w:p w14:paraId="081FC3EE" w14:textId="77777777" w:rsidR="001D5155" w:rsidRDefault="00077C32" w:rsidP="005D5F67">
      <w:pPr>
        <w:numPr>
          <w:ilvl w:val="1"/>
          <w:numId w:val="18"/>
        </w:numPr>
        <w:autoSpaceDE w:val="0"/>
        <w:autoSpaceDN w:val="0"/>
        <w:spacing w:line="276" w:lineRule="auto"/>
        <w:rPr>
          <w:rFonts w:ascii="Arial" w:hAnsi="Arial" w:cs="Arial"/>
          <w:color w:val="000000"/>
          <w:sz w:val="20"/>
          <w:szCs w:val="20"/>
        </w:rPr>
      </w:pPr>
      <w:r>
        <w:rPr>
          <w:rFonts w:ascii="Arial" w:hAnsi="Arial" w:cs="Arial"/>
          <w:color w:val="000000"/>
          <w:sz w:val="20"/>
          <w:szCs w:val="20"/>
        </w:rPr>
        <w:t>Luminaires/</w:t>
      </w:r>
      <w:r w:rsidR="006F0984">
        <w:rPr>
          <w:rFonts w:ascii="Arial" w:hAnsi="Arial" w:cs="Arial"/>
          <w:color w:val="000000"/>
          <w:sz w:val="20"/>
          <w:szCs w:val="20"/>
        </w:rPr>
        <w:t xml:space="preserve">Integrated </w:t>
      </w:r>
      <w:r>
        <w:rPr>
          <w:rFonts w:ascii="Arial" w:hAnsi="Arial" w:cs="Arial"/>
          <w:color w:val="000000"/>
          <w:sz w:val="20"/>
          <w:szCs w:val="20"/>
        </w:rPr>
        <w:t xml:space="preserve">Retrofit Kits for </w:t>
      </w:r>
      <w:r w:rsidR="001D5155">
        <w:rPr>
          <w:rFonts w:ascii="Arial" w:hAnsi="Arial" w:cs="Arial"/>
          <w:color w:val="000000"/>
          <w:sz w:val="20"/>
          <w:szCs w:val="20"/>
        </w:rPr>
        <w:t>Ambient Lighting of Interior Commercial Spaces in one of the following sizes: 2x4, 2x2, 1x4</w:t>
      </w:r>
    </w:p>
    <w:p w14:paraId="45AC451F" w14:textId="3F00E560" w:rsidR="00B23452" w:rsidRPr="00B23452" w:rsidRDefault="004F1CD7" w:rsidP="005D5F67">
      <w:pPr>
        <w:numPr>
          <w:ilvl w:val="1"/>
          <w:numId w:val="18"/>
        </w:numPr>
        <w:autoSpaceDE w:val="0"/>
        <w:autoSpaceDN w:val="0"/>
        <w:spacing w:line="276" w:lineRule="auto"/>
        <w:rPr>
          <w:rFonts w:ascii="Arial" w:hAnsi="Arial" w:cs="Arial"/>
          <w:color w:val="000000"/>
          <w:sz w:val="20"/>
          <w:szCs w:val="20"/>
        </w:rPr>
      </w:pPr>
      <w:r>
        <w:rPr>
          <w:rFonts w:ascii="Arial" w:hAnsi="Arial" w:cs="Arial"/>
          <w:color w:val="000000"/>
          <w:sz w:val="20"/>
          <w:szCs w:val="20"/>
        </w:rPr>
        <w:lastRenderedPageBreak/>
        <w:t>Linear Ambient Luminaires/Retrofit Kits</w:t>
      </w:r>
      <w:r w:rsidR="003F5B60">
        <w:rPr>
          <w:rFonts w:ascii="Arial" w:hAnsi="Arial" w:cs="Arial"/>
          <w:color w:val="000000"/>
          <w:sz w:val="20"/>
          <w:szCs w:val="20"/>
        </w:rPr>
        <w:t xml:space="preserve"> for Direct Linear Ambient Luminaires</w:t>
      </w:r>
      <w:r>
        <w:rPr>
          <w:rFonts w:ascii="Arial" w:hAnsi="Arial" w:cs="Arial"/>
          <w:color w:val="000000"/>
          <w:sz w:val="20"/>
          <w:szCs w:val="20"/>
        </w:rPr>
        <w:t xml:space="preserve"> in one of the following sizes: 2’ Linear, 4’ Linear, 8’ Linear</w:t>
      </w:r>
    </w:p>
    <w:p w14:paraId="7CE490EC" w14:textId="77777777" w:rsidR="00B23452" w:rsidRDefault="00B23452" w:rsidP="005D5F67">
      <w:pPr>
        <w:widowControl w:val="0"/>
        <w:numPr>
          <w:ilvl w:val="0"/>
          <w:numId w:val="18"/>
        </w:numPr>
        <w:autoSpaceDE w:val="0"/>
        <w:autoSpaceDN w:val="0"/>
        <w:adjustRightInd w:val="0"/>
        <w:spacing w:before="120" w:line="360" w:lineRule="auto"/>
        <w:rPr>
          <w:rFonts w:ascii="Arial" w:hAnsi="Arial" w:cs="Arial"/>
          <w:color w:val="000000"/>
          <w:sz w:val="20"/>
        </w:rPr>
      </w:pPr>
      <w:r>
        <w:rPr>
          <w:rFonts w:ascii="Arial" w:hAnsi="Arial" w:cs="Arial"/>
          <w:color w:val="000000"/>
          <w:sz w:val="20"/>
        </w:rPr>
        <w:t>Must be listed as DLC Premium</w:t>
      </w:r>
    </w:p>
    <w:p w14:paraId="66197028" w14:textId="1F478CD6" w:rsidR="004F1CD7" w:rsidRPr="00A9572F" w:rsidRDefault="004F1CD7" w:rsidP="00A9572F">
      <w:pPr>
        <w:widowControl w:val="0"/>
        <w:numPr>
          <w:ilvl w:val="0"/>
          <w:numId w:val="18"/>
        </w:numPr>
        <w:autoSpaceDE w:val="0"/>
        <w:autoSpaceDN w:val="0"/>
        <w:adjustRightInd w:val="0"/>
        <w:spacing w:line="360" w:lineRule="auto"/>
        <w:rPr>
          <w:rFonts w:ascii="Arial" w:hAnsi="Arial" w:cs="Arial"/>
          <w:sz w:val="20"/>
        </w:rPr>
      </w:pPr>
      <w:r>
        <w:rPr>
          <w:rFonts w:ascii="Arial" w:hAnsi="Arial" w:cs="Arial"/>
          <w:color w:val="000000"/>
          <w:sz w:val="20"/>
        </w:rPr>
        <w:t xml:space="preserve">Linear LED replacement lamps </w:t>
      </w:r>
      <w:r w:rsidR="006C09C1">
        <w:rPr>
          <w:rFonts w:ascii="Arial" w:hAnsi="Arial" w:cs="Arial"/>
          <w:color w:val="000000"/>
          <w:sz w:val="20"/>
        </w:rPr>
        <w:t>(TLED)</w:t>
      </w:r>
      <w:r>
        <w:rPr>
          <w:rFonts w:ascii="Arial" w:hAnsi="Arial" w:cs="Arial"/>
          <w:color w:val="000000"/>
          <w:sz w:val="20"/>
        </w:rPr>
        <w:t xml:space="preserve"> do not qualify</w:t>
      </w:r>
    </w:p>
    <w:p w14:paraId="78F0AE35" w14:textId="77777777" w:rsidR="004F1CD7" w:rsidRDefault="004F1CD7" w:rsidP="004F1CD7">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sz w:val="20"/>
          <w:szCs w:val="20"/>
        </w:rPr>
        <w:t>Self-ballasted or screw-based lamps do not qualify.</w:t>
      </w:r>
      <w:r>
        <w:rPr>
          <w:rFonts w:ascii="Arial" w:hAnsi="Arial" w:cs="Arial"/>
          <w:color w:val="000000"/>
          <w:sz w:val="20"/>
        </w:rPr>
        <w:t xml:space="preserve"> </w:t>
      </w:r>
    </w:p>
    <w:p w14:paraId="445814E0" w14:textId="77777777" w:rsidR="004F1CD7" w:rsidRPr="00EB572D" w:rsidRDefault="004F1CD7" w:rsidP="004F1CD7">
      <w:pPr>
        <w:widowControl w:val="0"/>
        <w:numPr>
          <w:ilvl w:val="0"/>
          <w:numId w:val="18"/>
        </w:numPr>
        <w:autoSpaceDE w:val="0"/>
        <w:autoSpaceDN w:val="0"/>
        <w:adjustRightInd w:val="0"/>
        <w:spacing w:line="360" w:lineRule="auto"/>
        <w:rPr>
          <w:rFonts w:ascii="Arial" w:hAnsi="Arial" w:cs="Arial"/>
          <w:color w:val="000000"/>
          <w:sz w:val="20"/>
        </w:rPr>
      </w:pPr>
      <w:r w:rsidRPr="00EB572D">
        <w:rPr>
          <w:rFonts w:ascii="Arial" w:hAnsi="Arial" w:cs="Arial"/>
          <w:color w:val="000000"/>
          <w:sz w:val="20"/>
        </w:rPr>
        <w:t>5-year warranty minimum</w:t>
      </w:r>
    </w:p>
    <w:p w14:paraId="0225A554" w14:textId="653DF649" w:rsidR="004F1CD7" w:rsidRPr="009C060B" w:rsidRDefault="004F1CD7" w:rsidP="004F1CD7">
      <w:pPr>
        <w:widowControl w:val="0"/>
        <w:numPr>
          <w:ilvl w:val="0"/>
          <w:numId w:val="18"/>
        </w:numPr>
        <w:autoSpaceDE w:val="0"/>
        <w:autoSpaceDN w:val="0"/>
        <w:adjustRightInd w:val="0"/>
        <w:spacing w:line="360" w:lineRule="auto"/>
        <w:rPr>
          <w:rFonts w:ascii="Arial" w:hAnsi="Arial" w:cs="Arial"/>
          <w:color w:val="000000"/>
          <w:sz w:val="20"/>
        </w:rPr>
      </w:pPr>
      <w:r w:rsidRPr="00F36736">
        <w:rPr>
          <w:rFonts w:ascii="Arial" w:hAnsi="Arial" w:cs="Arial"/>
          <w:color w:val="000000"/>
          <w:sz w:val="20"/>
        </w:rPr>
        <w:t>Must meet the minimum efficacy requirements listed in Table 1</w:t>
      </w:r>
      <w:r>
        <w:rPr>
          <w:rFonts w:ascii="Arial" w:hAnsi="Arial" w:cs="Arial"/>
          <w:color w:val="000000"/>
          <w:sz w:val="20"/>
        </w:rPr>
        <w:t xml:space="preserve"> effective </w:t>
      </w:r>
      <w:r w:rsidR="00A26272">
        <w:rPr>
          <w:rFonts w:ascii="Arial" w:hAnsi="Arial" w:cs="Arial"/>
          <w:color w:val="000000"/>
          <w:sz w:val="20"/>
        </w:rPr>
        <w:t xml:space="preserve">April 1, </w:t>
      </w:r>
      <w:r>
        <w:rPr>
          <w:rFonts w:ascii="Arial" w:hAnsi="Arial" w:cs="Arial"/>
          <w:color w:val="000000"/>
          <w:sz w:val="20"/>
        </w:rPr>
        <w:t>2019</w:t>
      </w:r>
      <w:r w:rsidRPr="00F36736">
        <w:rPr>
          <w:rFonts w:ascii="Arial" w:hAnsi="Arial" w:cs="Arial"/>
          <w:color w:val="000000"/>
          <w:sz w:val="20"/>
        </w:rPr>
        <w:t>.</w:t>
      </w:r>
    </w:p>
    <w:p w14:paraId="794433B8" w14:textId="4811FC97" w:rsidR="004F1CD7" w:rsidRPr="00A9572F" w:rsidRDefault="004F1CD7" w:rsidP="00A9572F">
      <w:pPr>
        <w:widowControl w:val="0"/>
        <w:autoSpaceDE w:val="0"/>
        <w:autoSpaceDN w:val="0"/>
        <w:adjustRightInd w:val="0"/>
        <w:spacing w:line="360" w:lineRule="auto"/>
        <w:rPr>
          <w:rFonts w:ascii="Arial" w:hAnsi="Arial" w:cs="Arial"/>
          <w:b/>
          <w:color w:val="000000"/>
          <w:sz w:val="20"/>
        </w:rPr>
      </w:pPr>
      <w:r w:rsidRPr="00A9572F">
        <w:rPr>
          <w:rFonts w:ascii="Arial" w:hAnsi="Arial" w:cs="Arial"/>
          <w:b/>
          <w:color w:val="000000"/>
          <w:sz w:val="20"/>
        </w:rPr>
        <w:t>For Troffer products:</w:t>
      </w:r>
    </w:p>
    <w:p w14:paraId="1CC85BEA" w14:textId="068B90CA" w:rsidR="00EB572D" w:rsidRDefault="00EB572D" w:rsidP="00EB572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DLC-listed ini</w:t>
      </w:r>
      <w:r w:rsidR="008F5A5D">
        <w:rPr>
          <w:rFonts w:ascii="Arial" w:hAnsi="Arial" w:cs="Arial"/>
          <w:color w:val="000000"/>
          <w:sz w:val="20"/>
        </w:rPr>
        <w:t xml:space="preserve">tial light output must be ≥ </w:t>
      </w:r>
      <w:r>
        <w:rPr>
          <w:rFonts w:ascii="Arial" w:hAnsi="Arial" w:cs="Arial"/>
          <w:color w:val="000000"/>
          <w:sz w:val="20"/>
        </w:rPr>
        <w:t>2</w:t>
      </w:r>
      <w:r w:rsidR="008F5A5D">
        <w:rPr>
          <w:rFonts w:ascii="Arial" w:hAnsi="Arial" w:cs="Arial"/>
          <w:color w:val="000000"/>
          <w:sz w:val="20"/>
        </w:rPr>
        <w:t>200</w:t>
      </w:r>
      <w:r>
        <w:rPr>
          <w:rFonts w:ascii="Arial" w:hAnsi="Arial" w:cs="Arial"/>
          <w:color w:val="000000"/>
          <w:sz w:val="20"/>
        </w:rPr>
        <w:t xml:space="preserve"> </w:t>
      </w:r>
      <w:r w:rsidR="008F5A5D">
        <w:rPr>
          <w:rFonts w:ascii="Arial" w:hAnsi="Arial" w:cs="Arial"/>
          <w:color w:val="000000"/>
          <w:sz w:val="20"/>
        </w:rPr>
        <w:t>lm and ≤</w:t>
      </w:r>
      <w:r>
        <w:rPr>
          <w:rFonts w:ascii="Arial" w:hAnsi="Arial" w:cs="Arial"/>
          <w:color w:val="000000"/>
          <w:sz w:val="20"/>
        </w:rPr>
        <w:t xml:space="preserve"> 650</w:t>
      </w:r>
      <w:r w:rsidR="008F5A5D">
        <w:rPr>
          <w:rFonts w:ascii="Arial" w:hAnsi="Arial" w:cs="Arial"/>
          <w:color w:val="000000"/>
          <w:sz w:val="20"/>
        </w:rPr>
        <w:t>0</w:t>
      </w:r>
      <w:r>
        <w:rPr>
          <w:rFonts w:ascii="Arial" w:hAnsi="Arial" w:cs="Arial"/>
          <w:color w:val="000000"/>
          <w:sz w:val="20"/>
        </w:rPr>
        <w:t xml:space="preserve"> lm</w:t>
      </w:r>
    </w:p>
    <w:p w14:paraId="5941EE7A" w14:textId="1A642A8E" w:rsidR="00EB572D" w:rsidRDefault="00077C32" w:rsidP="005D5F67">
      <w:pPr>
        <w:widowControl w:val="0"/>
        <w:numPr>
          <w:ilvl w:val="0"/>
          <w:numId w:val="18"/>
        </w:numPr>
        <w:autoSpaceDE w:val="0"/>
        <w:autoSpaceDN w:val="0"/>
        <w:adjustRightInd w:val="0"/>
        <w:spacing w:line="276" w:lineRule="auto"/>
        <w:rPr>
          <w:rFonts w:ascii="Arial" w:hAnsi="Arial" w:cs="Arial"/>
          <w:color w:val="000000"/>
          <w:sz w:val="20"/>
        </w:rPr>
      </w:pPr>
      <w:r w:rsidRPr="009A72B0">
        <w:rPr>
          <w:rFonts w:ascii="Arial" w:hAnsi="Arial" w:cs="Arial"/>
          <w:sz w:val="20"/>
        </w:rPr>
        <w:t xml:space="preserve">Only </w:t>
      </w:r>
      <w:r w:rsidR="00EB572D" w:rsidRPr="009A72B0">
        <w:rPr>
          <w:rFonts w:ascii="Arial" w:hAnsi="Arial" w:cs="Arial"/>
          <w:sz w:val="20"/>
        </w:rPr>
        <w:t xml:space="preserve">Fixtures and </w:t>
      </w:r>
      <w:r w:rsidRPr="009A72B0">
        <w:rPr>
          <w:rFonts w:ascii="Arial" w:hAnsi="Arial" w:cs="Arial"/>
          <w:sz w:val="20"/>
        </w:rPr>
        <w:t xml:space="preserve">Retrofit </w:t>
      </w:r>
      <w:r w:rsidR="00EB572D" w:rsidRPr="009A72B0">
        <w:rPr>
          <w:rFonts w:ascii="Arial" w:hAnsi="Arial" w:cs="Arial"/>
          <w:sz w:val="20"/>
        </w:rPr>
        <w:t>kits that</w:t>
      </w:r>
      <w:r w:rsidR="009A72B0">
        <w:rPr>
          <w:rFonts w:ascii="Arial" w:hAnsi="Arial" w:cs="Arial"/>
          <w:sz w:val="20"/>
        </w:rPr>
        <w:t xml:space="preserve"> </w:t>
      </w:r>
      <w:r w:rsidR="007A7EF5" w:rsidRPr="009A72B0">
        <w:rPr>
          <w:rFonts w:ascii="Arial" w:hAnsi="Arial" w:cs="Arial"/>
          <w:sz w:val="20"/>
        </w:rPr>
        <w:t>include new</w:t>
      </w:r>
      <w:r w:rsidR="007A7EF5" w:rsidRPr="007A7EF5">
        <w:rPr>
          <w:rFonts w:ascii="Arial" w:hAnsi="Arial" w:cs="Arial"/>
          <w:color w:val="FF0000"/>
          <w:sz w:val="20"/>
        </w:rPr>
        <w:t xml:space="preserve"> </w:t>
      </w:r>
      <w:r w:rsidR="00EB572D" w:rsidRPr="00EB572D">
        <w:rPr>
          <w:rFonts w:ascii="Arial" w:hAnsi="Arial" w:cs="Arial"/>
          <w:color w:val="000000"/>
          <w:sz w:val="20"/>
        </w:rPr>
        <w:t xml:space="preserve">lenses between the LED package and the viewer </w:t>
      </w:r>
      <w:r w:rsidR="006C09C1">
        <w:rPr>
          <w:rFonts w:ascii="Arial" w:hAnsi="Arial" w:cs="Arial"/>
          <w:color w:val="000000"/>
          <w:sz w:val="20"/>
        </w:rPr>
        <w:tab/>
      </w:r>
      <w:r w:rsidR="00EB572D" w:rsidRPr="00EB572D">
        <w:rPr>
          <w:rFonts w:ascii="Arial" w:hAnsi="Arial" w:cs="Arial"/>
          <w:color w:val="000000"/>
          <w:sz w:val="20"/>
        </w:rPr>
        <w:t>qualify.</w:t>
      </w:r>
    </w:p>
    <w:p w14:paraId="5166A259" w14:textId="110ECBAF" w:rsidR="0043118A" w:rsidRPr="00B12990" w:rsidRDefault="0043118A" w:rsidP="005D5F67">
      <w:pPr>
        <w:widowControl w:val="0"/>
        <w:autoSpaceDE w:val="0"/>
        <w:autoSpaceDN w:val="0"/>
        <w:adjustRightInd w:val="0"/>
        <w:spacing w:before="120" w:line="360" w:lineRule="auto"/>
        <w:rPr>
          <w:rFonts w:ascii="Arial" w:hAnsi="Arial" w:cs="Arial"/>
          <w:b/>
          <w:color w:val="000000"/>
          <w:sz w:val="20"/>
        </w:rPr>
      </w:pPr>
      <w:r w:rsidRPr="00B12990">
        <w:rPr>
          <w:rFonts w:ascii="Arial" w:hAnsi="Arial" w:cs="Arial"/>
          <w:b/>
          <w:color w:val="000000"/>
          <w:sz w:val="20"/>
        </w:rPr>
        <w:t xml:space="preserve">For </w:t>
      </w:r>
      <w:r>
        <w:rPr>
          <w:rFonts w:ascii="Arial" w:hAnsi="Arial" w:cs="Arial"/>
          <w:b/>
          <w:color w:val="000000"/>
          <w:sz w:val="20"/>
        </w:rPr>
        <w:t>Linear Ambient</w:t>
      </w:r>
      <w:r w:rsidRPr="00B12990">
        <w:rPr>
          <w:rFonts w:ascii="Arial" w:hAnsi="Arial" w:cs="Arial"/>
          <w:b/>
          <w:color w:val="000000"/>
          <w:sz w:val="20"/>
        </w:rPr>
        <w:t xml:space="preserve"> products only:</w:t>
      </w:r>
    </w:p>
    <w:p w14:paraId="696F1CFA" w14:textId="1B20FA0C" w:rsidR="0043118A" w:rsidRPr="0043118A" w:rsidRDefault="0043118A" w:rsidP="0043118A">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 xml:space="preserve">DLC-listed initial light output must be ≤ </w:t>
      </w:r>
      <w:r w:rsidR="004862F4">
        <w:rPr>
          <w:rFonts w:ascii="Arial" w:hAnsi="Arial" w:cs="Arial"/>
          <w:color w:val="000000"/>
          <w:sz w:val="20"/>
        </w:rPr>
        <w:t>6</w:t>
      </w:r>
      <w:r w:rsidR="002E4284">
        <w:rPr>
          <w:rFonts w:ascii="Arial" w:hAnsi="Arial" w:cs="Arial"/>
          <w:color w:val="000000"/>
          <w:sz w:val="20"/>
        </w:rPr>
        <w:t>,</w:t>
      </w:r>
      <w:r w:rsidR="004862F4">
        <w:rPr>
          <w:rFonts w:ascii="Arial" w:hAnsi="Arial" w:cs="Arial"/>
          <w:color w:val="000000"/>
          <w:sz w:val="20"/>
        </w:rPr>
        <w:t>5</w:t>
      </w:r>
      <w:r>
        <w:rPr>
          <w:rFonts w:ascii="Arial" w:hAnsi="Arial" w:cs="Arial"/>
          <w:color w:val="000000"/>
          <w:sz w:val="20"/>
        </w:rPr>
        <w:t>00 lm</w:t>
      </w:r>
    </w:p>
    <w:p w14:paraId="5C467A3C" w14:textId="4DDBCE22" w:rsidR="00BF5F96" w:rsidRPr="00AB09DC" w:rsidRDefault="00BF5F96" w:rsidP="00381702">
      <w:pPr>
        <w:pStyle w:val="Caption"/>
        <w:ind w:left="216"/>
        <w:jc w:val="center"/>
        <w:rPr>
          <w:rFonts w:ascii="Arial" w:hAnsi="Arial" w:cs="Arial"/>
        </w:rPr>
      </w:pPr>
      <w:bookmarkStart w:id="21" w:name="_Toc533927154"/>
      <w:bookmarkStart w:id="22" w:name="_Toc2791455"/>
      <w:r w:rsidRPr="00AB09DC">
        <w:rPr>
          <w:rFonts w:ascii="Arial" w:hAnsi="Arial" w:cs="Arial"/>
        </w:rPr>
        <w:t xml:space="preserve">Table </w:t>
      </w:r>
      <w:r w:rsidR="00797297" w:rsidRPr="00AB09DC">
        <w:rPr>
          <w:rFonts w:ascii="Arial" w:hAnsi="Arial" w:cs="Arial"/>
        </w:rPr>
        <w:fldChar w:fldCharType="begin"/>
      </w:r>
      <w:r w:rsidR="00797297" w:rsidRPr="00AB09DC">
        <w:rPr>
          <w:rFonts w:ascii="Arial" w:hAnsi="Arial" w:cs="Arial"/>
        </w:rPr>
        <w:instrText xml:space="preserve"> SEQ Table \* ARABIC </w:instrText>
      </w:r>
      <w:r w:rsidR="00797297" w:rsidRPr="00AB09DC">
        <w:rPr>
          <w:rFonts w:ascii="Arial" w:hAnsi="Arial" w:cs="Arial"/>
        </w:rPr>
        <w:fldChar w:fldCharType="separate"/>
      </w:r>
      <w:r w:rsidR="00A51621">
        <w:rPr>
          <w:rFonts w:ascii="Arial" w:hAnsi="Arial" w:cs="Arial"/>
          <w:noProof/>
        </w:rPr>
        <w:t>1</w:t>
      </w:r>
      <w:r w:rsidR="00797297" w:rsidRPr="00AB09DC">
        <w:rPr>
          <w:rFonts w:ascii="Arial" w:hAnsi="Arial" w:cs="Arial"/>
          <w:noProof/>
        </w:rPr>
        <w:fldChar w:fldCharType="end"/>
      </w:r>
      <w:r w:rsidR="00AB09DC">
        <w:rPr>
          <w:rFonts w:ascii="Arial" w:hAnsi="Arial" w:cs="Arial"/>
        </w:rPr>
        <w:t xml:space="preserve">: </w:t>
      </w:r>
      <w:r w:rsidRPr="00AB09DC">
        <w:rPr>
          <w:rFonts w:ascii="Arial" w:hAnsi="Arial" w:cs="Arial"/>
        </w:rPr>
        <w:t>LED Ambient Fixtures &amp; Retrofit Kits Minimum Measure Efficacies</w:t>
      </w:r>
      <w:bookmarkEnd w:id="21"/>
      <w:bookmarkEnd w:id="22"/>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905"/>
        <w:gridCol w:w="8460"/>
      </w:tblGrid>
      <w:tr w:rsidR="00F870F9" w14:paraId="7E8E22B6" w14:textId="77777777" w:rsidTr="005D5F67">
        <w:trPr>
          <w:trHeight w:val="264"/>
        </w:trPr>
        <w:tc>
          <w:tcPr>
            <w:tcW w:w="905" w:type="dxa"/>
            <w:shd w:val="clear" w:color="000000" w:fill="auto"/>
            <w:noWrap/>
            <w:vAlign w:val="bottom"/>
          </w:tcPr>
          <w:p w14:paraId="16CC4942" w14:textId="77777777" w:rsidR="00F870F9" w:rsidRPr="00ED77BD" w:rsidRDefault="00F870F9" w:rsidP="00253B4D">
            <w:pPr>
              <w:jc w:val="center"/>
              <w:rPr>
                <w:rFonts w:ascii="Arial" w:hAnsi="Arial" w:cs="Arial"/>
                <w:b/>
                <w:sz w:val="18"/>
                <w:szCs w:val="18"/>
              </w:rPr>
            </w:pPr>
            <w:r w:rsidRPr="00ED77BD">
              <w:rPr>
                <w:rFonts w:ascii="Arial" w:hAnsi="Arial" w:cs="Arial"/>
                <w:b/>
                <w:sz w:val="18"/>
                <w:szCs w:val="18"/>
              </w:rPr>
              <w:t>Measure Code</w:t>
            </w:r>
          </w:p>
        </w:tc>
        <w:tc>
          <w:tcPr>
            <w:tcW w:w="8460" w:type="dxa"/>
            <w:shd w:val="clear" w:color="000000" w:fill="auto"/>
            <w:noWrap/>
            <w:vAlign w:val="bottom"/>
          </w:tcPr>
          <w:p w14:paraId="36232D50" w14:textId="77777777" w:rsidR="00F870F9" w:rsidRPr="00ED77BD" w:rsidRDefault="00F870F9" w:rsidP="00253B4D">
            <w:pPr>
              <w:jc w:val="center"/>
              <w:rPr>
                <w:rFonts w:ascii="Arial" w:hAnsi="Arial" w:cs="Arial"/>
                <w:b/>
                <w:sz w:val="18"/>
                <w:szCs w:val="18"/>
              </w:rPr>
            </w:pPr>
            <w:r w:rsidRPr="00ED77BD">
              <w:rPr>
                <w:rFonts w:ascii="Arial" w:hAnsi="Arial" w:cs="Arial"/>
                <w:b/>
                <w:sz w:val="18"/>
                <w:szCs w:val="18"/>
              </w:rPr>
              <w:t>Measure description</w:t>
            </w:r>
          </w:p>
        </w:tc>
      </w:tr>
      <w:tr w:rsidR="007B6DC5" w14:paraId="6F543F2A" w14:textId="77777777" w:rsidTr="005D5F67">
        <w:trPr>
          <w:trHeight w:val="264"/>
        </w:trPr>
        <w:tc>
          <w:tcPr>
            <w:tcW w:w="905" w:type="dxa"/>
            <w:shd w:val="clear" w:color="000000" w:fill="auto"/>
            <w:noWrap/>
            <w:vAlign w:val="bottom"/>
            <w:hideMark/>
          </w:tcPr>
          <w:p w14:paraId="2DD6995A" w14:textId="26720D30" w:rsidR="007B6DC5" w:rsidRPr="00ED77BD" w:rsidRDefault="00C1087A">
            <w:pPr>
              <w:jc w:val="center"/>
              <w:rPr>
                <w:rFonts w:ascii="Arial" w:hAnsi="Arial" w:cs="Arial"/>
                <w:sz w:val="18"/>
                <w:szCs w:val="18"/>
              </w:rPr>
            </w:pPr>
            <w:r>
              <w:rPr>
                <w:rFonts w:ascii="Arial" w:hAnsi="Arial" w:cs="Arial"/>
                <w:sz w:val="18"/>
                <w:szCs w:val="18"/>
              </w:rPr>
              <w:t>LT488</w:t>
            </w:r>
          </w:p>
        </w:tc>
        <w:tc>
          <w:tcPr>
            <w:tcW w:w="8460" w:type="dxa"/>
            <w:shd w:val="clear" w:color="000000" w:fill="auto"/>
            <w:noWrap/>
            <w:vAlign w:val="bottom"/>
            <w:hideMark/>
          </w:tcPr>
          <w:p w14:paraId="1CC5E7A4" w14:textId="1E72FF73" w:rsidR="007B6DC5" w:rsidRPr="00ED77BD" w:rsidRDefault="007B6DC5">
            <w:pPr>
              <w:rPr>
                <w:rFonts w:ascii="Arial" w:hAnsi="Arial" w:cs="Arial"/>
                <w:sz w:val="18"/>
                <w:szCs w:val="18"/>
              </w:rPr>
            </w:pPr>
            <w:r w:rsidRPr="00ED77BD">
              <w:rPr>
                <w:rFonts w:ascii="Arial" w:hAnsi="Arial" w:cs="Arial"/>
                <w:sz w:val="18"/>
                <w:szCs w:val="18"/>
              </w:rPr>
              <w:t>2x4 LED new Luminaire rated greater than or equal to 125 LPW and less than 140 LPW</w:t>
            </w:r>
          </w:p>
        </w:tc>
      </w:tr>
      <w:tr w:rsidR="007B6DC5" w14:paraId="74A4D93A" w14:textId="77777777" w:rsidTr="005D5F67">
        <w:trPr>
          <w:trHeight w:val="264"/>
        </w:trPr>
        <w:tc>
          <w:tcPr>
            <w:tcW w:w="905" w:type="dxa"/>
            <w:shd w:val="clear" w:color="000000" w:fill="auto"/>
            <w:noWrap/>
            <w:vAlign w:val="bottom"/>
            <w:hideMark/>
          </w:tcPr>
          <w:p w14:paraId="0E081E21" w14:textId="0DE72370" w:rsidR="007B6DC5" w:rsidRPr="00ED77BD" w:rsidRDefault="00C1087A">
            <w:pPr>
              <w:jc w:val="center"/>
              <w:rPr>
                <w:rFonts w:ascii="Arial" w:hAnsi="Arial" w:cs="Arial"/>
                <w:sz w:val="18"/>
                <w:szCs w:val="18"/>
              </w:rPr>
            </w:pPr>
            <w:r>
              <w:rPr>
                <w:rFonts w:ascii="Arial" w:hAnsi="Arial" w:cs="Arial"/>
                <w:sz w:val="18"/>
                <w:szCs w:val="18"/>
              </w:rPr>
              <w:t>LT489</w:t>
            </w:r>
          </w:p>
        </w:tc>
        <w:tc>
          <w:tcPr>
            <w:tcW w:w="8460" w:type="dxa"/>
            <w:shd w:val="clear" w:color="000000" w:fill="auto"/>
            <w:noWrap/>
            <w:vAlign w:val="bottom"/>
            <w:hideMark/>
          </w:tcPr>
          <w:p w14:paraId="687892CE" w14:textId="3CBEA4B0" w:rsidR="007B6DC5" w:rsidRPr="00ED77BD" w:rsidRDefault="007B6DC5">
            <w:pPr>
              <w:rPr>
                <w:rFonts w:ascii="Arial" w:hAnsi="Arial" w:cs="Arial"/>
                <w:sz w:val="18"/>
                <w:szCs w:val="18"/>
              </w:rPr>
            </w:pPr>
            <w:r w:rsidRPr="00ED77BD">
              <w:rPr>
                <w:rFonts w:ascii="Arial" w:hAnsi="Arial" w:cs="Arial"/>
                <w:sz w:val="18"/>
                <w:szCs w:val="18"/>
              </w:rPr>
              <w:t>2x4 LED new Luminaire rated greater than or equal to 140 LPW</w:t>
            </w:r>
          </w:p>
        </w:tc>
      </w:tr>
      <w:tr w:rsidR="007B6DC5" w14:paraId="46D05DF5" w14:textId="77777777" w:rsidTr="005D5F67">
        <w:trPr>
          <w:trHeight w:val="264"/>
        </w:trPr>
        <w:tc>
          <w:tcPr>
            <w:tcW w:w="905" w:type="dxa"/>
            <w:shd w:val="clear" w:color="000000" w:fill="auto"/>
            <w:noWrap/>
            <w:vAlign w:val="bottom"/>
            <w:hideMark/>
          </w:tcPr>
          <w:p w14:paraId="732E7197" w14:textId="4E5CF491" w:rsidR="007B6DC5" w:rsidRPr="00ED77BD" w:rsidRDefault="00C1087A">
            <w:pPr>
              <w:jc w:val="center"/>
              <w:rPr>
                <w:rFonts w:ascii="Arial" w:hAnsi="Arial" w:cs="Arial"/>
                <w:sz w:val="18"/>
                <w:szCs w:val="18"/>
              </w:rPr>
            </w:pPr>
            <w:r>
              <w:rPr>
                <w:rFonts w:ascii="Arial" w:hAnsi="Arial" w:cs="Arial"/>
                <w:sz w:val="18"/>
                <w:szCs w:val="18"/>
              </w:rPr>
              <w:t>LT490</w:t>
            </w:r>
          </w:p>
        </w:tc>
        <w:tc>
          <w:tcPr>
            <w:tcW w:w="8460" w:type="dxa"/>
            <w:shd w:val="clear" w:color="000000" w:fill="auto"/>
            <w:noWrap/>
            <w:vAlign w:val="bottom"/>
            <w:hideMark/>
          </w:tcPr>
          <w:p w14:paraId="57C8A0DF" w14:textId="78C0C4F8" w:rsidR="007B6DC5" w:rsidRPr="00ED77BD" w:rsidRDefault="007B6DC5">
            <w:pPr>
              <w:rPr>
                <w:rFonts w:ascii="Arial" w:hAnsi="Arial" w:cs="Arial"/>
                <w:sz w:val="18"/>
                <w:szCs w:val="18"/>
              </w:rPr>
            </w:pPr>
            <w:r w:rsidRPr="00ED77BD">
              <w:rPr>
                <w:rFonts w:ascii="Arial" w:hAnsi="Arial" w:cs="Arial"/>
                <w:sz w:val="18"/>
                <w:szCs w:val="18"/>
              </w:rPr>
              <w:t>2x2 LED new Luminaire rated greater than or equal to 125 LPW and less than 140 LPW</w:t>
            </w:r>
          </w:p>
        </w:tc>
      </w:tr>
      <w:tr w:rsidR="007B6DC5" w14:paraId="2F4AB134" w14:textId="77777777" w:rsidTr="005D5F67">
        <w:trPr>
          <w:trHeight w:val="264"/>
        </w:trPr>
        <w:tc>
          <w:tcPr>
            <w:tcW w:w="905" w:type="dxa"/>
            <w:shd w:val="clear" w:color="000000" w:fill="auto"/>
            <w:noWrap/>
            <w:vAlign w:val="bottom"/>
            <w:hideMark/>
          </w:tcPr>
          <w:p w14:paraId="42B15CC4" w14:textId="7DB5EE9A" w:rsidR="007B6DC5" w:rsidRPr="00ED77BD" w:rsidRDefault="00C1087A">
            <w:pPr>
              <w:jc w:val="center"/>
              <w:rPr>
                <w:rFonts w:ascii="Arial" w:hAnsi="Arial" w:cs="Arial"/>
                <w:sz w:val="18"/>
                <w:szCs w:val="18"/>
              </w:rPr>
            </w:pPr>
            <w:r>
              <w:rPr>
                <w:rFonts w:ascii="Arial" w:hAnsi="Arial" w:cs="Arial"/>
                <w:sz w:val="18"/>
                <w:szCs w:val="18"/>
              </w:rPr>
              <w:t>LT491</w:t>
            </w:r>
          </w:p>
        </w:tc>
        <w:tc>
          <w:tcPr>
            <w:tcW w:w="8460" w:type="dxa"/>
            <w:shd w:val="clear" w:color="000000" w:fill="auto"/>
            <w:noWrap/>
            <w:vAlign w:val="bottom"/>
            <w:hideMark/>
          </w:tcPr>
          <w:p w14:paraId="2940A019" w14:textId="16515C33" w:rsidR="007B6DC5" w:rsidRPr="00ED77BD" w:rsidRDefault="007B6DC5">
            <w:pPr>
              <w:rPr>
                <w:rFonts w:ascii="Arial" w:hAnsi="Arial" w:cs="Arial"/>
                <w:sz w:val="18"/>
                <w:szCs w:val="18"/>
              </w:rPr>
            </w:pPr>
            <w:r w:rsidRPr="00ED77BD">
              <w:rPr>
                <w:rFonts w:ascii="Arial" w:hAnsi="Arial" w:cs="Arial"/>
                <w:sz w:val="18"/>
                <w:szCs w:val="18"/>
              </w:rPr>
              <w:t>2x2 LED new Luminaire rated greater than or equal to 140 LPW</w:t>
            </w:r>
          </w:p>
        </w:tc>
      </w:tr>
      <w:tr w:rsidR="007B6DC5" w14:paraId="49EAF353" w14:textId="77777777" w:rsidTr="005D5F67">
        <w:trPr>
          <w:trHeight w:val="264"/>
        </w:trPr>
        <w:tc>
          <w:tcPr>
            <w:tcW w:w="905" w:type="dxa"/>
            <w:shd w:val="clear" w:color="000000" w:fill="auto"/>
            <w:noWrap/>
            <w:vAlign w:val="bottom"/>
            <w:hideMark/>
          </w:tcPr>
          <w:p w14:paraId="5F7CF4BA" w14:textId="01038B42" w:rsidR="007B6DC5" w:rsidRPr="00ED77BD" w:rsidRDefault="00C1087A">
            <w:pPr>
              <w:jc w:val="center"/>
              <w:rPr>
                <w:rFonts w:ascii="Arial" w:hAnsi="Arial" w:cs="Arial"/>
                <w:sz w:val="18"/>
                <w:szCs w:val="18"/>
              </w:rPr>
            </w:pPr>
            <w:r>
              <w:rPr>
                <w:rFonts w:ascii="Arial" w:hAnsi="Arial" w:cs="Arial"/>
                <w:sz w:val="18"/>
                <w:szCs w:val="18"/>
              </w:rPr>
              <w:t>LT492</w:t>
            </w:r>
          </w:p>
        </w:tc>
        <w:tc>
          <w:tcPr>
            <w:tcW w:w="8460" w:type="dxa"/>
            <w:shd w:val="clear" w:color="000000" w:fill="auto"/>
            <w:noWrap/>
            <w:vAlign w:val="bottom"/>
            <w:hideMark/>
          </w:tcPr>
          <w:p w14:paraId="57C55F6E" w14:textId="4A4ADEFA" w:rsidR="007B6DC5" w:rsidRPr="00ED77BD" w:rsidRDefault="007B6DC5">
            <w:pPr>
              <w:rPr>
                <w:rFonts w:ascii="Arial" w:hAnsi="Arial" w:cs="Arial"/>
                <w:sz w:val="18"/>
                <w:szCs w:val="18"/>
              </w:rPr>
            </w:pPr>
            <w:r w:rsidRPr="00ED77BD">
              <w:rPr>
                <w:rFonts w:ascii="Arial" w:hAnsi="Arial" w:cs="Arial"/>
                <w:sz w:val="18"/>
                <w:szCs w:val="18"/>
              </w:rPr>
              <w:t>1x4 LED new Luminaire rated greater than or equal to 125 LPW and less than 140 LPW</w:t>
            </w:r>
          </w:p>
        </w:tc>
      </w:tr>
      <w:tr w:rsidR="007B6DC5" w14:paraId="1DA18763" w14:textId="77777777" w:rsidTr="005D5F67">
        <w:trPr>
          <w:trHeight w:val="264"/>
        </w:trPr>
        <w:tc>
          <w:tcPr>
            <w:tcW w:w="905" w:type="dxa"/>
            <w:shd w:val="clear" w:color="000000" w:fill="auto"/>
            <w:noWrap/>
            <w:vAlign w:val="bottom"/>
            <w:hideMark/>
          </w:tcPr>
          <w:p w14:paraId="5585945D" w14:textId="0B7CF710" w:rsidR="007B6DC5" w:rsidRPr="00ED77BD" w:rsidRDefault="00C1087A">
            <w:pPr>
              <w:jc w:val="center"/>
              <w:rPr>
                <w:rFonts w:ascii="Arial" w:hAnsi="Arial" w:cs="Arial"/>
                <w:sz w:val="18"/>
                <w:szCs w:val="18"/>
              </w:rPr>
            </w:pPr>
            <w:r>
              <w:rPr>
                <w:rFonts w:ascii="Arial" w:hAnsi="Arial" w:cs="Arial"/>
                <w:sz w:val="18"/>
                <w:szCs w:val="18"/>
              </w:rPr>
              <w:t>LT493</w:t>
            </w:r>
          </w:p>
        </w:tc>
        <w:tc>
          <w:tcPr>
            <w:tcW w:w="8460" w:type="dxa"/>
            <w:shd w:val="clear" w:color="000000" w:fill="auto"/>
            <w:noWrap/>
            <w:vAlign w:val="bottom"/>
            <w:hideMark/>
          </w:tcPr>
          <w:p w14:paraId="00998C21" w14:textId="3201174D" w:rsidR="007B6DC5" w:rsidRPr="00ED77BD" w:rsidRDefault="007B6DC5">
            <w:pPr>
              <w:rPr>
                <w:rFonts w:ascii="Arial" w:hAnsi="Arial" w:cs="Arial"/>
                <w:sz w:val="18"/>
                <w:szCs w:val="18"/>
              </w:rPr>
            </w:pPr>
            <w:r w:rsidRPr="00ED77BD">
              <w:rPr>
                <w:rFonts w:ascii="Arial" w:hAnsi="Arial" w:cs="Arial"/>
                <w:sz w:val="18"/>
                <w:szCs w:val="18"/>
              </w:rPr>
              <w:t>1x4 LED new Luminaire rated greater than or equal to 140 LPW</w:t>
            </w:r>
          </w:p>
        </w:tc>
      </w:tr>
      <w:tr w:rsidR="007B6DC5" w14:paraId="66D4B70D" w14:textId="77777777" w:rsidTr="005D5F67">
        <w:trPr>
          <w:trHeight w:val="264"/>
        </w:trPr>
        <w:tc>
          <w:tcPr>
            <w:tcW w:w="905" w:type="dxa"/>
            <w:shd w:val="clear" w:color="000000" w:fill="auto"/>
            <w:noWrap/>
            <w:vAlign w:val="bottom"/>
            <w:hideMark/>
          </w:tcPr>
          <w:p w14:paraId="58D399AF" w14:textId="435E4B5C" w:rsidR="007B6DC5" w:rsidRPr="00ED77BD" w:rsidRDefault="00C1087A">
            <w:pPr>
              <w:jc w:val="center"/>
              <w:rPr>
                <w:rFonts w:ascii="Arial" w:hAnsi="Arial" w:cs="Arial"/>
                <w:sz w:val="18"/>
                <w:szCs w:val="18"/>
              </w:rPr>
            </w:pPr>
            <w:r>
              <w:rPr>
                <w:rFonts w:ascii="Arial" w:hAnsi="Arial" w:cs="Arial"/>
                <w:sz w:val="18"/>
                <w:szCs w:val="18"/>
              </w:rPr>
              <w:t>LT494</w:t>
            </w:r>
          </w:p>
        </w:tc>
        <w:tc>
          <w:tcPr>
            <w:tcW w:w="8460" w:type="dxa"/>
            <w:shd w:val="clear" w:color="000000" w:fill="auto"/>
            <w:noWrap/>
            <w:vAlign w:val="bottom"/>
            <w:hideMark/>
          </w:tcPr>
          <w:p w14:paraId="48BBC72C" w14:textId="6EE7A09D" w:rsidR="007B6DC5" w:rsidRPr="00ED77BD" w:rsidRDefault="007B6DC5">
            <w:pPr>
              <w:rPr>
                <w:rFonts w:ascii="Arial" w:hAnsi="Arial" w:cs="Arial"/>
                <w:sz w:val="18"/>
                <w:szCs w:val="18"/>
              </w:rPr>
            </w:pPr>
            <w:r w:rsidRPr="00ED77BD">
              <w:rPr>
                <w:rFonts w:ascii="Arial" w:hAnsi="Arial" w:cs="Arial"/>
                <w:sz w:val="18"/>
                <w:szCs w:val="18"/>
              </w:rPr>
              <w:t>2x4 LED Integrated retrofit kit rated greater than or equal to 125 LPW and less than 140 LPW</w:t>
            </w:r>
          </w:p>
        </w:tc>
      </w:tr>
      <w:tr w:rsidR="007B6DC5" w14:paraId="13CEA41C" w14:textId="77777777" w:rsidTr="005D5F67">
        <w:trPr>
          <w:trHeight w:val="264"/>
        </w:trPr>
        <w:tc>
          <w:tcPr>
            <w:tcW w:w="905" w:type="dxa"/>
            <w:shd w:val="clear" w:color="000000" w:fill="auto"/>
            <w:noWrap/>
            <w:vAlign w:val="bottom"/>
            <w:hideMark/>
          </w:tcPr>
          <w:p w14:paraId="097F6649" w14:textId="75995D2A" w:rsidR="007B6DC5" w:rsidRPr="00ED77BD" w:rsidRDefault="004938FF">
            <w:pPr>
              <w:jc w:val="center"/>
              <w:rPr>
                <w:rFonts w:ascii="Arial" w:hAnsi="Arial" w:cs="Arial"/>
                <w:sz w:val="18"/>
                <w:szCs w:val="18"/>
              </w:rPr>
            </w:pPr>
            <w:r>
              <w:rPr>
                <w:rFonts w:ascii="Arial" w:hAnsi="Arial" w:cs="Arial"/>
                <w:sz w:val="18"/>
                <w:szCs w:val="18"/>
              </w:rPr>
              <w:t>LT495</w:t>
            </w:r>
          </w:p>
        </w:tc>
        <w:tc>
          <w:tcPr>
            <w:tcW w:w="8460" w:type="dxa"/>
            <w:shd w:val="clear" w:color="000000" w:fill="auto"/>
            <w:noWrap/>
            <w:vAlign w:val="bottom"/>
            <w:hideMark/>
          </w:tcPr>
          <w:p w14:paraId="7783BBF5" w14:textId="56003C53" w:rsidR="007B6DC5" w:rsidRPr="00ED77BD" w:rsidRDefault="007B6DC5">
            <w:pPr>
              <w:rPr>
                <w:rFonts w:ascii="Arial" w:hAnsi="Arial" w:cs="Arial"/>
                <w:sz w:val="18"/>
                <w:szCs w:val="18"/>
              </w:rPr>
            </w:pPr>
            <w:r w:rsidRPr="00ED77BD">
              <w:rPr>
                <w:rFonts w:ascii="Arial" w:hAnsi="Arial" w:cs="Arial"/>
                <w:sz w:val="18"/>
                <w:szCs w:val="18"/>
              </w:rPr>
              <w:t>2x4 LED Integrated retrofit kit rated greater than or equal to 140 LPW</w:t>
            </w:r>
          </w:p>
        </w:tc>
      </w:tr>
      <w:tr w:rsidR="007B6DC5" w14:paraId="36AC8700" w14:textId="77777777" w:rsidTr="005D5F67">
        <w:trPr>
          <w:trHeight w:val="264"/>
        </w:trPr>
        <w:tc>
          <w:tcPr>
            <w:tcW w:w="905" w:type="dxa"/>
            <w:shd w:val="clear" w:color="000000" w:fill="auto"/>
            <w:noWrap/>
            <w:vAlign w:val="bottom"/>
            <w:hideMark/>
          </w:tcPr>
          <w:p w14:paraId="797A949E" w14:textId="147104E8" w:rsidR="007B6DC5" w:rsidRPr="00ED77BD" w:rsidRDefault="004938FF">
            <w:pPr>
              <w:jc w:val="center"/>
              <w:rPr>
                <w:rFonts w:ascii="Arial" w:hAnsi="Arial" w:cs="Arial"/>
                <w:sz w:val="18"/>
                <w:szCs w:val="18"/>
              </w:rPr>
            </w:pPr>
            <w:r>
              <w:rPr>
                <w:rFonts w:ascii="Arial" w:hAnsi="Arial" w:cs="Arial"/>
                <w:sz w:val="18"/>
                <w:szCs w:val="18"/>
              </w:rPr>
              <w:t>LT496</w:t>
            </w:r>
          </w:p>
        </w:tc>
        <w:tc>
          <w:tcPr>
            <w:tcW w:w="8460" w:type="dxa"/>
            <w:shd w:val="clear" w:color="000000" w:fill="auto"/>
            <w:noWrap/>
            <w:vAlign w:val="bottom"/>
            <w:hideMark/>
          </w:tcPr>
          <w:p w14:paraId="6EA4786B" w14:textId="621713D1" w:rsidR="007B6DC5" w:rsidRPr="00ED77BD" w:rsidRDefault="007B6DC5">
            <w:pPr>
              <w:rPr>
                <w:rFonts w:ascii="Arial" w:hAnsi="Arial" w:cs="Arial"/>
                <w:sz w:val="18"/>
                <w:szCs w:val="18"/>
              </w:rPr>
            </w:pPr>
            <w:r w:rsidRPr="00ED77BD">
              <w:rPr>
                <w:rFonts w:ascii="Arial" w:hAnsi="Arial" w:cs="Arial"/>
                <w:sz w:val="18"/>
                <w:szCs w:val="18"/>
              </w:rPr>
              <w:t>2x2 LED Integrated retrofit kit rated greater than or equal to 125 LPW and less than 140 LPW</w:t>
            </w:r>
          </w:p>
        </w:tc>
      </w:tr>
      <w:tr w:rsidR="007B6DC5" w14:paraId="5E959C4C" w14:textId="77777777" w:rsidTr="005D5F67">
        <w:trPr>
          <w:trHeight w:val="264"/>
        </w:trPr>
        <w:tc>
          <w:tcPr>
            <w:tcW w:w="905" w:type="dxa"/>
            <w:shd w:val="clear" w:color="000000" w:fill="auto"/>
            <w:noWrap/>
            <w:vAlign w:val="bottom"/>
            <w:hideMark/>
          </w:tcPr>
          <w:p w14:paraId="13C3D4A8" w14:textId="17BC8C1A" w:rsidR="007B6DC5" w:rsidRPr="00ED77BD" w:rsidRDefault="004938FF">
            <w:pPr>
              <w:jc w:val="center"/>
              <w:rPr>
                <w:rFonts w:ascii="Arial" w:hAnsi="Arial" w:cs="Arial"/>
                <w:sz w:val="18"/>
                <w:szCs w:val="18"/>
              </w:rPr>
            </w:pPr>
            <w:r>
              <w:rPr>
                <w:rFonts w:ascii="Arial" w:hAnsi="Arial" w:cs="Arial"/>
                <w:sz w:val="18"/>
                <w:szCs w:val="18"/>
              </w:rPr>
              <w:t>LT497</w:t>
            </w:r>
          </w:p>
        </w:tc>
        <w:tc>
          <w:tcPr>
            <w:tcW w:w="8460" w:type="dxa"/>
            <w:shd w:val="clear" w:color="000000" w:fill="auto"/>
            <w:noWrap/>
            <w:vAlign w:val="bottom"/>
            <w:hideMark/>
          </w:tcPr>
          <w:p w14:paraId="5AC1F9B6" w14:textId="45B95879" w:rsidR="007B6DC5" w:rsidRPr="00ED77BD" w:rsidRDefault="007B6DC5">
            <w:pPr>
              <w:rPr>
                <w:rFonts w:ascii="Arial" w:hAnsi="Arial" w:cs="Arial"/>
                <w:sz w:val="18"/>
                <w:szCs w:val="18"/>
              </w:rPr>
            </w:pPr>
            <w:r w:rsidRPr="00ED77BD">
              <w:rPr>
                <w:rFonts w:ascii="Arial" w:hAnsi="Arial" w:cs="Arial"/>
                <w:sz w:val="18"/>
                <w:szCs w:val="18"/>
              </w:rPr>
              <w:t>2x2 LED Integrated retrofit kit rated greater than or equal to 140 LPW</w:t>
            </w:r>
          </w:p>
        </w:tc>
      </w:tr>
      <w:tr w:rsidR="007B6DC5" w14:paraId="109E4042" w14:textId="77777777" w:rsidTr="005D5F67">
        <w:trPr>
          <w:trHeight w:val="264"/>
        </w:trPr>
        <w:tc>
          <w:tcPr>
            <w:tcW w:w="905" w:type="dxa"/>
            <w:shd w:val="clear" w:color="000000" w:fill="auto"/>
            <w:noWrap/>
            <w:vAlign w:val="bottom"/>
            <w:hideMark/>
          </w:tcPr>
          <w:p w14:paraId="2C9A0001" w14:textId="1B19FC8D" w:rsidR="007B6DC5" w:rsidRPr="00ED77BD" w:rsidRDefault="004938FF">
            <w:pPr>
              <w:jc w:val="center"/>
              <w:rPr>
                <w:rFonts w:ascii="Arial" w:hAnsi="Arial" w:cs="Arial"/>
                <w:sz w:val="18"/>
                <w:szCs w:val="18"/>
              </w:rPr>
            </w:pPr>
            <w:r>
              <w:rPr>
                <w:rFonts w:ascii="Arial" w:hAnsi="Arial" w:cs="Arial"/>
                <w:sz w:val="18"/>
                <w:szCs w:val="18"/>
              </w:rPr>
              <w:t>LT498</w:t>
            </w:r>
          </w:p>
        </w:tc>
        <w:tc>
          <w:tcPr>
            <w:tcW w:w="8460" w:type="dxa"/>
            <w:shd w:val="clear" w:color="000000" w:fill="auto"/>
            <w:noWrap/>
            <w:vAlign w:val="bottom"/>
            <w:hideMark/>
          </w:tcPr>
          <w:p w14:paraId="2AFEEB86" w14:textId="728403AE" w:rsidR="007B6DC5" w:rsidRPr="00ED77BD" w:rsidRDefault="007B6DC5">
            <w:pPr>
              <w:rPr>
                <w:rFonts w:ascii="Arial" w:hAnsi="Arial" w:cs="Arial"/>
                <w:sz w:val="18"/>
                <w:szCs w:val="18"/>
              </w:rPr>
            </w:pPr>
            <w:r w:rsidRPr="00ED77BD">
              <w:rPr>
                <w:rFonts w:ascii="Arial" w:hAnsi="Arial" w:cs="Arial"/>
                <w:sz w:val="18"/>
                <w:szCs w:val="18"/>
              </w:rPr>
              <w:t>1x4 LED Integrated retrofit kit rated greater than or equal to 125 LPW and less than 140 LPW</w:t>
            </w:r>
          </w:p>
        </w:tc>
      </w:tr>
      <w:tr w:rsidR="00F870F9" w14:paraId="2EB0334F" w14:textId="77777777" w:rsidTr="005D5F67">
        <w:trPr>
          <w:trHeight w:val="264"/>
        </w:trPr>
        <w:tc>
          <w:tcPr>
            <w:tcW w:w="905" w:type="dxa"/>
            <w:shd w:val="clear" w:color="000000" w:fill="auto"/>
            <w:noWrap/>
            <w:vAlign w:val="bottom"/>
            <w:hideMark/>
          </w:tcPr>
          <w:p w14:paraId="2213EFE2" w14:textId="1ABF8342" w:rsidR="00F870F9" w:rsidRPr="00ED77BD" w:rsidRDefault="004938FF">
            <w:pPr>
              <w:jc w:val="center"/>
              <w:rPr>
                <w:rFonts w:ascii="Arial" w:hAnsi="Arial" w:cs="Arial"/>
                <w:sz w:val="18"/>
                <w:szCs w:val="18"/>
              </w:rPr>
            </w:pPr>
            <w:r>
              <w:rPr>
                <w:rFonts w:ascii="Arial" w:hAnsi="Arial" w:cs="Arial"/>
                <w:sz w:val="18"/>
                <w:szCs w:val="18"/>
              </w:rPr>
              <w:t>LT499</w:t>
            </w:r>
          </w:p>
        </w:tc>
        <w:tc>
          <w:tcPr>
            <w:tcW w:w="8460" w:type="dxa"/>
            <w:shd w:val="clear" w:color="000000" w:fill="auto"/>
            <w:noWrap/>
            <w:vAlign w:val="bottom"/>
            <w:hideMark/>
          </w:tcPr>
          <w:p w14:paraId="71E664A6" w14:textId="658EC992" w:rsidR="00F870F9" w:rsidRPr="00ED77BD" w:rsidRDefault="00F870F9" w:rsidP="00EF02BF">
            <w:pPr>
              <w:rPr>
                <w:rFonts w:ascii="Arial" w:hAnsi="Arial" w:cs="Arial"/>
                <w:sz w:val="18"/>
                <w:szCs w:val="18"/>
              </w:rPr>
            </w:pPr>
            <w:r w:rsidRPr="00ED77BD">
              <w:rPr>
                <w:rFonts w:ascii="Arial" w:hAnsi="Arial" w:cs="Arial"/>
                <w:sz w:val="18"/>
                <w:szCs w:val="18"/>
              </w:rPr>
              <w:t>1x4 LED Integrated retrofit kit rated greater than or equal to 140 LPW</w:t>
            </w:r>
          </w:p>
        </w:tc>
      </w:tr>
      <w:tr w:rsidR="00B23452" w14:paraId="014B38CA" w14:textId="77777777" w:rsidTr="005D5F67">
        <w:trPr>
          <w:trHeight w:val="264"/>
        </w:trPr>
        <w:tc>
          <w:tcPr>
            <w:tcW w:w="905" w:type="dxa"/>
            <w:shd w:val="clear" w:color="000000" w:fill="auto"/>
            <w:noWrap/>
            <w:vAlign w:val="bottom"/>
          </w:tcPr>
          <w:p w14:paraId="38AD330B" w14:textId="39767D42" w:rsidR="00B23452" w:rsidRPr="00ED77BD" w:rsidRDefault="00B0215F" w:rsidP="00B0215F">
            <w:pPr>
              <w:jc w:val="center"/>
              <w:rPr>
                <w:rFonts w:ascii="Arial" w:hAnsi="Arial" w:cs="Arial"/>
                <w:sz w:val="18"/>
                <w:szCs w:val="18"/>
              </w:rPr>
            </w:pPr>
            <w:r>
              <w:rPr>
                <w:rFonts w:ascii="Arial" w:hAnsi="Arial" w:cs="Arial"/>
                <w:sz w:val="18"/>
                <w:szCs w:val="18"/>
              </w:rPr>
              <w:t>LT512</w:t>
            </w:r>
          </w:p>
        </w:tc>
        <w:tc>
          <w:tcPr>
            <w:tcW w:w="8460" w:type="dxa"/>
            <w:shd w:val="clear" w:color="000000" w:fill="auto"/>
            <w:noWrap/>
            <w:vAlign w:val="center"/>
          </w:tcPr>
          <w:p w14:paraId="678C0290" w14:textId="77C9C722" w:rsidR="00B23452" w:rsidRPr="004862F4" w:rsidRDefault="00B23452" w:rsidP="00B23452">
            <w:pPr>
              <w:rPr>
                <w:rFonts w:ascii="Arial" w:hAnsi="Arial" w:cs="Arial"/>
                <w:sz w:val="18"/>
                <w:szCs w:val="18"/>
              </w:rPr>
            </w:pPr>
            <w:r w:rsidRPr="00B0215F">
              <w:rPr>
                <w:rFonts w:ascii="Arial" w:hAnsi="Arial" w:cs="Arial"/>
                <w:color w:val="000000"/>
                <w:sz w:val="18"/>
                <w:szCs w:val="16"/>
              </w:rPr>
              <w:t>LED Direct or Indirect Linear Ambient 2' New Luminaire rated greater than or equal to 125 LPW and less than 140 LPW</w:t>
            </w:r>
          </w:p>
        </w:tc>
      </w:tr>
      <w:tr w:rsidR="00B23452" w14:paraId="5C5614D7" w14:textId="77777777" w:rsidTr="005D5F67">
        <w:trPr>
          <w:trHeight w:val="264"/>
        </w:trPr>
        <w:tc>
          <w:tcPr>
            <w:tcW w:w="905" w:type="dxa"/>
            <w:shd w:val="clear" w:color="000000" w:fill="auto"/>
            <w:noWrap/>
            <w:vAlign w:val="bottom"/>
          </w:tcPr>
          <w:p w14:paraId="3DCE5521" w14:textId="11B02578" w:rsidR="00B23452" w:rsidRPr="00ED77BD" w:rsidRDefault="00B0215F" w:rsidP="00B0215F">
            <w:pPr>
              <w:jc w:val="center"/>
              <w:rPr>
                <w:rFonts w:ascii="Arial" w:hAnsi="Arial" w:cs="Arial"/>
                <w:sz w:val="18"/>
                <w:szCs w:val="18"/>
              </w:rPr>
            </w:pPr>
            <w:r>
              <w:rPr>
                <w:rFonts w:ascii="Arial" w:hAnsi="Arial" w:cs="Arial"/>
                <w:sz w:val="18"/>
                <w:szCs w:val="18"/>
              </w:rPr>
              <w:t>LT513</w:t>
            </w:r>
          </w:p>
        </w:tc>
        <w:tc>
          <w:tcPr>
            <w:tcW w:w="8460" w:type="dxa"/>
            <w:shd w:val="clear" w:color="000000" w:fill="auto"/>
            <w:noWrap/>
            <w:vAlign w:val="center"/>
          </w:tcPr>
          <w:p w14:paraId="2FA4B23A" w14:textId="5CD0BCA0" w:rsidR="00B23452" w:rsidRPr="004862F4" w:rsidRDefault="00B23452" w:rsidP="00B23452">
            <w:pPr>
              <w:rPr>
                <w:rFonts w:ascii="Arial" w:hAnsi="Arial" w:cs="Arial"/>
                <w:sz w:val="18"/>
                <w:szCs w:val="18"/>
              </w:rPr>
            </w:pPr>
            <w:r w:rsidRPr="00B0215F">
              <w:rPr>
                <w:rFonts w:ascii="Arial" w:hAnsi="Arial" w:cs="Arial"/>
                <w:color w:val="000000"/>
                <w:sz w:val="18"/>
                <w:szCs w:val="16"/>
              </w:rPr>
              <w:t>LED Direct or Indirect Linear Ambient 2' New Luminaire rated greater than or equal to 140 LPW</w:t>
            </w:r>
          </w:p>
        </w:tc>
      </w:tr>
      <w:tr w:rsidR="00B23452" w14:paraId="01A73572" w14:textId="77777777" w:rsidTr="005D5F67">
        <w:trPr>
          <w:trHeight w:val="264"/>
        </w:trPr>
        <w:tc>
          <w:tcPr>
            <w:tcW w:w="905" w:type="dxa"/>
            <w:shd w:val="clear" w:color="000000" w:fill="auto"/>
            <w:noWrap/>
            <w:vAlign w:val="bottom"/>
          </w:tcPr>
          <w:p w14:paraId="6D6A57AA" w14:textId="663E074F" w:rsidR="00B23452" w:rsidRPr="00ED77BD" w:rsidRDefault="004938FF" w:rsidP="004F1CD7">
            <w:pPr>
              <w:jc w:val="center"/>
              <w:rPr>
                <w:rFonts w:ascii="Arial" w:hAnsi="Arial" w:cs="Arial"/>
                <w:sz w:val="18"/>
                <w:szCs w:val="18"/>
              </w:rPr>
            </w:pPr>
            <w:r>
              <w:rPr>
                <w:rFonts w:ascii="Arial" w:hAnsi="Arial" w:cs="Arial"/>
                <w:sz w:val="18"/>
                <w:szCs w:val="18"/>
              </w:rPr>
              <w:t>LT502</w:t>
            </w:r>
          </w:p>
        </w:tc>
        <w:tc>
          <w:tcPr>
            <w:tcW w:w="8460" w:type="dxa"/>
            <w:shd w:val="clear" w:color="000000" w:fill="auto"/>
            <w:noWrap/>
            <w:vAlign w:val="center"/>
          </w:tcPr>
          <w:p w14:paraId="23B2139D" w14:textId="4EE1329F"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or Indirect Linear Ambient 4' New Luminaire rated greater than or equal to 125 LPW and less than 140 LPW</w:t>
            </w:r>
          </w:p>
        </w:tc>
      </w:tr>
      <w:tr w:rsidR="00B23452" w14:paraId="20E39C99" w14:textId="77777777" w:rsidTr="005D5F67">
        <w:trPr>
          <w:trHeight w:val="264"/>
        </w:trPr>
        <w:tc>
          <w:tcPr>
            <w:tcW w:w="905" w:type="dxa"/>
            <w:shd w:val="clear" w:color="000000" w:fill="auto"/>
            <w:noWrap/>
            <w:vAlign w:val="bottom"/>
          </w:tcPr>
          <w:p w14:paraId="06BA0DDD" w14:textId="51E481B5" w:rsidR="00B23452" w:rsidRPr="00ED77BD" w:rsidRDefault="004938FF" w:rsidP="004F1CD7">
            <w:pPr>
              <w:jc w:val="center"/>
              <w:rPr>
                <w:rFonts w:ascii="Arial" w:hAnsi="Arial" w:cs="Arial"/>
                <w:sz w:val="18"/>
                <w:szCs w:val="18"/>
              </w:rPr>
            </w:pPr>
            <w:r>
              <w:rPr>
                <w:rFonts w:ascii="Arial" w:hAnsi="Arial" w:cs="Arial"/>
                <w:sz w:val="18"/>
                <w:szCs w:val="18"/>
              </w:rPr>
              <w:t>LT503</w:t>
            </w:r>
          </w:p>
        </w:tc>
        <w:tc>
          <w:tcPr>
            <w:tcW w:w="8460" w:type="dxa"/>
            <w:shd w:val="clear" w:color="000000" w:fill="auto"/>
            <w:noWrap/>
            <w:vAlign w:val="center"/>
          </w:tcPr>
          <w:p w14:paraId="2AB29AA6" w14:textId="67F5FF95"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or Indirect Linear Ambient 4' New Luminaire rated greater than or equal to 140 LPW</w:t>
            </w:r>
          </w:p>
        </w:tc>
      </w:tr>
      <w:tr w:rsidR="00B23452" w14:paraId="0B407E37" w14:textId="77777777" w:rsidTr="005D5F67">
        <w:trPr>
          <w:trHeight w:val="264"/>
        </w:trPr>
        <w:tc>
          <w:tcPr>
            <w:tcW w:w="905" w:type="dxa"/>
            <w:shd w:val="clear" w:color="000000" w:fill="auto"/>
            <w:noWrap/>
            <w:vAlign w:val="bottom"/>
          </w:tcPr>
          <w:p w14:paraId="56FB63F3" w14:textId="38332270" w:rsidR="00B23452" w:rsidRPr="00ED77BD" w:rsidRDefault="004938FF" w:rsidP="004F1CD7">
            <w:pPr>
              <w:jc w:val="center"/>
              <w:rPr>
                <w:rFonts w:ascii="Arial" w:hAnsi="Arial" w:cs="Arial"/>
                <w:sz w:val="18"/>
                <w:szCs w:val="18"/>
              </w:rPr>
            </w:pPr>
            <w:r>
              <w:rPr>
                <w:rFonts w:ascii="Arial" w:hAnsi="Arial" w:cs="Arial"/>
                <w:sz w:val="18"/>
                <w:szCs w:val="18"/>
              </w:rPr>
              <w:t>LT504</w:t>
            </w:r>
          </w:p>
        </w:tc>
        <w:tc>
          <w:tcPr>
            <w:tcW w:w="8460" w:type="dxa"/>
            <w:shd w:val="clear" w:color="000000" w:fill="auto"/>
            <w:noWrap/>
            <w:vAlign w:val="center"/>
          </w:tcPr>
          <w:p w14:paraId="0536329E" w14:textId="2ECD433B"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or Indirect Linear Ambient 8' New Luminaire rated greater than or equal to 125 LPW and less than 140 LPW</w:t>
            </w:r>
          </w:p>
        </w:tc>
      </w:tr>
      <w:tr w:rsidR="00B23452" w14:paraId="442DFFB5" w14:textId="77777777" w:rsidTr="005D5F67">
        <w:trPr>
          <w:trHeight w:val="264"/>
        </w:trPr>
        <w:tc>
          <w:tcPr>
            <w:tcW w:w="905" w:type="dxa"/>
            <w:shd w:val="clear" w:color="000000" w:fill="auto"/>
            <w:noWrap/>
            <w:vAlign w:val="bottom"/>
          </w:tcPr>
          <w:p w14:paraId="4436BAE7" w14:textId="3B62D3C4" w:rsidR="00B23452" w:rsidRPr="00ED77BD" w:rsidRDefault="004938FF" w:rsidP="004F1CD7">
            <w:pPr>
              <w:jc w:val="center"/>
              <w:rPr>
                <w:rFonts w:ascii="Arial" w:hAnsi="Arial" w:cs="Arial"/>
                <w:sz w:val="18"/>
                <w:szCs w:val="18"/>
              </w:rPr>
            </w:pPr>
            <w:r>
              <w:rPr>
                <w:rFonts w:ascii="Arial" w:hAnsi="Arial" w:cs="Arial"/>
                <w:sz w:val="18"/>
                <w:szCs w:val="18"/>
              </w:rPr>
              <w:t>LT505</w:t>
            </w:r>
          </w:p>
        </w:tc>
        <w:tc>
          <w:tcPr>
            <w:tcW w:w="8460" w:type="dxa"/>
            <w:shd w:val="clear" w:color="000000" w:fill="auto"/>
            <w:noWrap/>
            <w:vAlign w:val="center"/>
          </w:tcPr>
          <w:p w14:paraId="02AD0F3B" w14:textId="13990461"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or Indirect Linear Ambient 8' New Luminaire rated greater than or equal to 140 LPW</w:t>
            </w:r>
          </w:p>
        </w:tc>
      </w:tr>
      <w:tr w:rsidR="00B23452" w14:paraId="1F163651" w14:textId="77777777" w:rsidTr="005D5F67">
        <w:trPr>
          <w:trHeight w:val="264"/>
        </w:trPr>
        <w:tc>
          <w:tcPr>
            <w:tcW w:w="905" w:type="dxa"/>
            <w:shd w:val="clear" w:color="000000" w:fill="auto"/>
            <w:noWrap/>
            <w:vAlign w:val="bottom"/>
          </w:tcPr>
          <w:p w14:paraId="33B7A237" w14:textId="3F6D4FEC" w:rsidR="00B23452" w:rsidRPr="00ED77BD" w:rsidRDefault="004938FF" w:rsidP="004F1CD7">
            <w:pPr>
              <w:jc w:val="center"/>
              <w:rPr>
                <w:rFonts w:ascii="Arial" w:hAnsi="Arial" w:cs="Arial"/>
                <w:sz w:val="18"/>
                <w:szCs w:val="18"/>
              </w:rPr>
            </w:pPr>
            <w:r>
              <w:rPr>
                <w:rFonts w:ascii="Arial" w:hAnsi="Arial" w:cs="Arial"/>
                <w:sz w:val="18"/>
                <w:szCs w:val="18"/>
              </w:rPr>
              <w:t>LT506</w:t>
            </w:r>
          </w:p>
        </w:tc>
        <w:tc>
          <w:tcPr>
            <w:tcW w:w="8460" w:type="dxa"/>
            <w:shd w:val="clear" w:color="000000" w:fill="auto"/>
            <w:noWrap/>
            <w:vAlign w:val="center"/>
          </w:tcPr>
          <w:p w14:paraId="26D6F232" w14:textId="7049BDD3"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Linear Ambient 2' retrofit kit rated greater than or equal to 125 LPW and less than 140 LPW</w:t>
            </w:r>
          </w:p>
        </w:tc>
      </w:tr>
      <w:tr w:rsidR="00B23452" w14:paraId="457F6DFD" w14:textId="77777777" w:rsidTr="005D5F67">
        <w:trPr>
          <w:trHeight w:val="264"/>
        </w:trPr>
        <w:tc>
          <w:tcPr>
            <w:tcW w:w="905" w:type="dxa"/>
            <w:shd w:val="clear" w:color="000000" w:fill="auto"/>
            <w:noWrap/>
            <w:vAlign w:val="bottom"/>
          </w:tcPr>
          <w:p w14:paraId="322E8636" w14:textId="3B5BABEF" w:rsidR="00B23452" w:rsidRPr="00ED77BD" w:rsidRDefault="004938FF" w:rsidP="004F1CD7">
            <w:pPr>
              <w:jc w:val="center"/>
              <w:rPr>
                <w:rFonts w:ascii="Arial" w:hAnsi="Arial" w:cs="Arial"/>
                <w:sz w:val="18"/>
                <w:szCs w:val="18"/>
              </w:rPr>
            </w:pPr>
            <w:r>
              <w:rPr>
                <w:rFonts w:ascii="Arial" w:hAnsi="Arial" w:cs="Arial"/>
                <w:sz w:val="18"/>
                <w:szCs w:val="18"/>
              </w:rPr>
              <w:t>LT507</w:t>
            </w:r>
          </w:p>
        </w:tc>
        <w:tc>
          <w:tcPr>
            <w:tcW w:w="8460" w:type="dxa"/>
            <w:shd w:val="clear" w:color="000000" w:fill="auto"/>
            <w:noWrap/>
            <w:vAlign w:val="center"/>
          </w:tcPr>
          <w:p w14:paraId="3DDF95B7" w14:textId="34D2CA80"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Linear Ambient 2' retrofit kit rated greater than or equal to 140 LPW</w:t>
            </w:r>
          </w:p>
        </w:tc>
      </w:tr>
      <w:tr w:rsidR="00B23452" w14:paraId="6080323F" w14:textId="77777777" w:rsidTr="005D5F67">
        <w:trPr>
          <w:trHeight w:val="264"/>
        </w:trPr>
        <w:tc>
          <w:tcPr>
            <w:tcW w:w="905" w:type="dxa"/>
            <w:shd w:val="clear" w:color="000000" w:fill="auto"/>
            <w:noWrap/>
            <w:vAlign w:val="bottom"/>
          </w:tcPr>
          <w:p w14:paraId="44AB5AF3" w14:textId="5EF4C16F" w:rsidR="00B23452" w:rsidRPr="00ED77BD" w:rsidRDefault="004938FF" w:rsidP="004F1CD7">
            <w:pPr>
              <w:jc w:val="center"/>
              <w:rPr>
                <w:rFonts w:ascii="Arial" w:hAnsi="Arial" w:cs="Arial"/>
                <w:sz w:val="18"/>
                <w:szCs w:val="18"/>
              </w:rPr>
            </w:pPr>
            <w:r>
              <w:rPr>
                <w:rFonts w:ascii="Arial" w:hAnsi="Arial" w:cs="Arial"/>
                <w:sz w:val="18"/>
                <w:szCs w:val="18"/>
              </w:rPr>
              <w:t>LT508</w:t>
            </w:r>
          </w:p>
        </w:tc>
        <w:tc>
          <w:tcPr>
            <w:tcW w:w="8460" w:type="dxa"/>
            <w:shd w:val="clear" w:color="000000" w:fill="auto"/>
            <w:noWrap/>
            <w:vAlign w:val="center"/>
          </w:tcPr>
          <w:p w14:paraId="7CCD0686" w14:textId="15AF5A88"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Linear Ambient 4' retrofit kit rated greater than or equal to 125 LPW and less than 140 LPW</w:t>
            </w:r>
          </w:p>
        </w:tc>
      </w:tr>
      <w:tr w:rsidR="00B23452" w14:paraId="374DF6E4" w14:textId="77777777" w:rsidTr="005D5F67">
        <w:trPr>
          <w:trHeight w:val="264"/>
        </w:trPr>
        <w:tc>
          <w:tcPr>
            <w:tcW w:w="905" w:type="dxa"/>
            <w:shd w:val="clear" w:color="000000" w:fill="auto"/>
            <w:noWrap/>
            <w:vAlign w:val="bottom"/>
          </w:tcPr>
          <w:p w14:paraId="3114868F" w14:textId="36CB975E" w:rsidR="00B23452" w:rsidRPr="00ED77BD" w:rsidRDefault="004938FF" w:rsidP="004F1CD7">
            <w:pPr>
              <w:jc w:val="center"/>
              <w:rPr>
                <w:rFonts w:ascii="Arial" w:hAnsi="Arial" w:cs="Arial"/>
                <w:sz w:val="18"/>
                <w:szCs w:val="18"/>
              </w:rPr>
            </w:pPr>
            <w:r>
              <w:rPr>
                <w:rFonts w:ascii="Arial" w:hAnsi="Arial" w:cs="Arial"/>
                <w:sz w:val="18"/>
                <w:szCs w:val="18"/>
              </w:rPr>
              <w:t>LT509</w:t>
            </w:r>
          </w:p>
        </w:tc>
        <w:tc>
          <w:tcPr>
            <w:tcW w:w="8460" w:type="dxa"/>
            <w:shd w:val="clear" w:color="000000" w:fill="auto"/>
            <w:noWrap/>
            <w:vAlign w:val="center"/>
          </w:tcPr>
          <w:p w14:paraId="7B7AF676" w14:textId="0330D892"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Linear Ambient 4' retrofit kit rated greater than or equal to 140 LPW</w:t>
            </w:r>
          </w:p>
        </w:tc>
      </w:tr>
      <w:tr w:rsidR="00B23452" w14:paraId="20C93AD3" w14:textId="77777777" w:rsidTr="005D5F67">
        <w:trPr>
          <w:trHeight w:val="264"/>
        </w:trPr>
        <w:tc>
          <w:tcPr>
            <w:tcW w:w="905" w:type="dxa"/>
            <w:shd w:val="clear" w:color="000000" w:fill="auto"/>
            <w:noWrap/>
            <w:vAlign w:val="bottom"/>
          </w:tcPr>
          <w:p w14:paraId="45056391" w14:textId="3E539D6F" w:rsidR="00B23452" w:rsidRPr="00ED77BD" w:rsidRDefault="004938FF" w:rsidP="004F1CD7">
            <w:pPr>
              <w:jc w:val="center"/>
              <w:rPr>
                <w:rFonts w:ascii="Arial" w:hAnsi="Arial" w:cs="Arial"/>
                <w:sz w:val="18"/>
                <w:szCs w:val="18"/>
              </w:rPr>
            </w:pPr>
            <w:r>
              <w:rPr>
                <w:rFonts w:ascii="Arial" w:hAnsi="Arial" w:cs="Arial"/>
                <w:sz w:val="18"/>
                <w:szCs w:val="18"/>
              </w:rPr>
              <w:t>LT510</w:t>
            </w:r>
          </w:p>
        </w:tc>
        <w:tc>
          <w:tcPr>
            <w:tcW w:w="8460" w:type="dxa"/>
            <w:shd w:val="clear" w:color="000000" w:fill="auto"/>
            <w:noWrap/>
            <w:vAlign w:val="center"/>
          </w:tcPr>
          <w:p w14:paraId="7AC98A3D" w14:textId="4F7D2C84"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Linear Ambient 8' retrofit kit rated greater than or equal to 125 LPW and less than 140 LPW</w:t>
            </w:r>
          </w:p>
        </w:tc>
      </w:tr>
      <w:tr w:rsidR="00B23452" w14:paraId="06196E16" w14:textId="77777777" w:rsidTr="005D5F67">
        <w:trPr>
          <w:trHeight w:val="264"/>
        </w:trPr>
        <w:tc>
          <w:tcPr>
            <w:tcW w:w="905" w:type="dxa"/>
            <w:shd w:val="clear" w:color="000000" w:fill="auto"/>
            <w:noWrap/>
            <w:vAlign w:val="bottom"/>
          </w:tcPr>
          <w:p w14:paraId="62E28372" w14:textId="79898AC2" w:rsidR="00B23452" w:rsidRPr="00ED77BD" w:rsidRDefault="004938FF" w:rsidP="004F1CD7">
            <w:pPr>
              <w:jc w:val="center"/>
              <w:rPr>
                <w:rFonts w:ascii="Arial" w:hAnsi="Arial" w:cs="Arial"/>
                <w:sz w:val="18"/>
                <w:szCs w:val="18"/>
              </w:rPr>
            </w:pPr>
            <w:r>
              <w:rPr>
                <w:rFonts w:ascii="Arial" w:hAnsi="Arial" w:cs="Arial"/>
                <w:sz w:val="18"/>
                <w:szCs w:val="18"/>
              </w:rPr>
              <w:t>LT511</w:t>
            </w:r>
          </w:p>
        </w:tc>
        <w:tc>
          <w:tcPr>
            <w:tcW w:w="8460" w:type="dxa"/>
            <w:shd w:val="clear" w:color="000000" w:fill="auto"/>
            <w:noWrap/>
            <w:vAlign w:val="center"/>
          </w:tcPr>
          <w:p w14:paraId="26D9A19B" w14:textId="1021B4DE" w:rsidR="00B23452" w:rsidRPr="004862F4" w:rsidRDefault="00B23452" w:rsidP="004F1CD7">
            <w:pPr>
              <w:rPr>
                <w:rFonts w:ascii="Arial" w:hAnsi="Arial" w:cs="Arial"/>
                <w:sz w:val="18"/>
                <w:szCs w:val="18"/>
              </w:rPr>
            </w:pPr>
            <w:r w:rsidRPr="00B0215F">
              <w:rPr>
                <w:rFonts w:ascii="Arial" w:hAnsi="Arial" w:cs="Arial"/>
                <w:color w:val="000000"/>
                <w:sz w:val="18"/>
                <w:szCs w:val="16"/>
              </w:rPr>
              <w:t>LED Direct Linear Ambient 8' retrofit kit rated greater than or equal to 140 LPW</w:t>
            </w:r>
          </w:p>
        </w:tc>
      </w:tr>
    </w:tbl>
    <w:p w14:paraId="18A0ED01" w14:textId="77777777" w:rsidR="0081148F" w:rsidRDefault="00F870F9" w:rsidP="00872913">
      <w:pPr>
        <w:rPr>
          <w:rFonts w:ascii="Arial" w:hAnsi="Arial" w:cs="Arial"/>
          <w:b/>
          <w:i/>
        </w:rPr>
      </w:pPr>
      <w:r>
        <w:rPr>
          <w:rFonts w:ascii="Arial" w:hAnsi="Arial" w:cs="Arial"/>
          <w:b/>
          <w:i/>
        </w:rPr>
        <w:t xml:space="preserve"> </w:t>
      </w:r>
    </w:p>
    <w:p w14:paraId="427DDFD3" w14:textId="77777777" w:rsidR="001F4B8F" w:rsidRDefault="001F4B8F" w:rsidP="001730CE">
      <w:pPr>
        <w:widowControl w:val="0"/>
        <w:autoSpaceDE w:val="0"/>
        <w:autoSpaceDN w:val="0"/>
        <w:adjustRightInd w:val="0"/>
        <w:spacing w:line="360" w:lineRule="auto"/>
        <w:rPr>
          <w:rFonts w:ascii="Arial" w:hAnsi="Arial" w:cs="Arial"/>
          <w:b/>
          <w:szCs w:val="20"/>
        </w:rPr>
      </w:pPr>
    </w:p>
    <w:p w14:paraId="727EEDD8" w14:textId="495752D0" w:rsidR="001730CE" w:rsidRPr="00493401" w:rsidRDefault="001730CE" w:rsidP="001730CE">
      <w:pPr>
        <w:widowControl w:val="0"/>
        <w:autoSpaceDE w:val="0"/>
        <w:autoSpaceDN w:val="0"/>
        <w:adjustRightInd w:val="0"/>
        <w:spacing w:line="360" w:lineRule="auto"/>
        <w:rPr>
          <w:rFonts w:ascii="Arial" w:hAnsi="Arial" w:cs="Arial"/>
          <w:b/>
          <w:szCs w:val="20"/>
        </w:rPr>
      </w:pPr>
      <w:r>
        <w:rPr>
          <w:rFonts w:ascii="Arial" w:hAnsi="Arial" w:cs="Arial"/>
          <w:b/>
          <w:szCs w:val="20"/>
        </w:rPr>
        <w:lastRenderedPageBreak/>
        <w:t xml:space="preserve">Exclusions: </w:t>
      </w:r>
    </w:p>
    <w:p w14:paraId="0A7760E5" w14:textId="66CB7828" w:rsidR="001730CE" w:rsidRPr="00364A5F" w:rsidRDefault="001730CE" w:rsidP="001730CE">
      <w:pPr>
        <w:widowControl w:val="0"/>
        <w:numPr>
          <w:ilvl w:val="0"/>
          <w:numId w:val="18"/>
        </w:numPr>
        <w:autoSpaceDE w:val="0"/>
        <w:autoSpaceDN w:val="0"/>
        <w:adjustRightInd w:val="0"/>
        <w:spacing w:line="360" w:lineRule="auto"/>
        <w:rPr>
          <w:rFonts w:ascii="Arial" w:hAnsi="Arial" w:cs="Arial"/>
          <w:color w:val="000000"/>
          <w:sz w:val="20"/>
        </w:rPr>
      </w:pPr>
      <w:r w:rsidRPr="00E35C1C">
        <w:rPr>
          <w:rFonts w:ascii="Arial" w:hAnsi="Arial"/>
          <w:color w:val="000000"/>
          <w:sz w:val="20"/>
        </w:rPr>
        <w:t xml:space="preserve">Fixtures listed under specialty primary uses on the DLC </w:t>
      </w:r>
      <w:r w:rsidR="00A26272">
        <w:rPr>
          <w:rFonts w:ascii="Arial" w:hAnsi="Arial"/>
          <w:color w:val="000000"/>
          <w:sz w:val="20"/>
        </w:rPr>
        <w:t xml:space="preserve">QPL </w:t>
      </w:r>
      <w:r w:rsidRPr="00E35C1C">
        <w:rPr>
          <w:rFonts w:ascii="Arial" w:hAnsi="Arial"/>
          <w:color w:val="000000"/>
          <w:sz w:val="20"/>
        </w:rPr>
        <w:t>do not qualify for the</w:t>
      </w:r>
      <w:r w:rsidR="00A26272">
        <w:rPr>
          <w:rFonts w:ascii="Arial" w:hAnsi="Arial"/>
          <w:color w:val="000000"/>
          <w:sz w:val="20"/>
        </w:rPr>
        <w:t>se</w:t>
      </w:r>
      <w:r w:rsidRPr="00E35C1C">
        <w:rPr>
          <w:rFonts w:ascii="Arial" w:hAnsi="Arial"/>
          <w:color w:val="000000"/>
          <w:sz w:val="20"/>
        </w:rPr>
        <w:t xml:space="preserve"> deemed </w:t>
      </w:r>
      <w:r w:rsidR="00D56548">
        <w:rPr>
          <w:rFonts w:ascii="Arial" w:hAnsi="Arial"/>
          <w:color w:val="000000"/>
          <w:sz w:val="20"/>
        </w:rPr>
        <w:tab/>
      </w:r>
      <w:r w:rsidR="00A26272">
        <w:rPr>
          <w:rFonts w:ascii="Arial" w:hAnsi="Arial"/>
          <w:color w:val="000000"/>
          <w:sz w:val="20"/>
        </w:rPr>
        <w:t>measures</w:t>
      </w:r>
      <w:r w:rsidRPr="00E35C1C">
        <w:rPr>
          <w:rFonts w:ascii="Arial" w:hAnsi="Arial"/>
          <w:color w:val="000000"/>
          <w:sz w:val="20"/>
        </w:rPr>
        <w:t>.</w:t>
      </w:r>
    </w:p>
    <w:p w14:paraId="20CCFA8C" w14:textId="5660B673" w:rsidR="001730CE" w:rsidRPr="00364A5F" w:rsidRDefault="00364A5F" w:rsidP="00364A5F">
      <w:pPr>
        <w:widowControl w:val="0"/>
        <w:numPr>
          <w:ilvl w:val="0"/>
          <w:numId w:val="18"/>
        </w:numPr>
        <w:autoSpaceDE w:val="0"/>
        <w:autoSpaceDN w:val="0"/>
        <w:adjustRightInd w:val="0"/>
        <w:spacing w:line="360" w:lineRule="auto"/>
        <w:rPr>
          <w:rFonts w:ascii="Arial" w:hAnsi="Arial" w:cs="Arial"/>
          <w:color w:val="000000"/>
          <w:sz w:val="20"/>
        </w:rPr>
      </w:pPr>
      <w:r w:rsidRPr="00B86AB2">
        <w:rPr>
          <w:rFonts w:ascii="Arial" w:hAnsi="Arial" w:cs="Arial"/>
          <w:sz w:val="20"/>
        </w:rPr>
        <w:t xml:space="preserve">Other fixture configurations, including LED troffer linear retrofit kits or external driver lamp-style </w:t>
      </w:r>
      <w:r w:rsidR="006C09C1">
        <w:rPr>
          <w:rFonts w:ascii="Arial" w:hAnsi="Arial" w:cs="Arial"/>
          <w:sz w:val="20"/>
        </w:rPr>
        <w:t xml:space="preserve"> </w:t>
      </w:r>
      <w:r w:rsidR="006C09C1">
        <w:rPr>
          <w:rFonts w:ascii="Arial" w:hAnsi="Arial" w:cs="Arial"/>
          <w:sz w:val="20"/>
        </w:rPr>
        <w:tab/>
      </w:r>
      <w:r w:rsidRPr="00B86AB2">
        <w:rPr>
          <w:rFonts w:ascii="Arial" w:hAnsi="Arial" w:cs="Arial"/>
          <w:sz w:val="20"/>
        </w:rPr>
        <w:t xml:space="preserve">retrofit kits (Underwriters Laboratories, Type C) do not qualify for this rebate. These configurations </w:t>
      </w:r>
      <w:r w:rsidR="006C09C1">
        <w:rPr>
          <w:rFonts w:ascii="Arial" w:hAnsi="Arial" w:cs="Arial"/>
          <w:sz w:val="20"/>
        </w:rPr>
        <w:tab/>
      </w:r>
      <w:r w:rsidRPr="00B86AB2">
        <w:rPr>
          <w:rFonts w:ascii="Arial" w:hAnsi="Arial" w:cs="Arial"/>
          <w:sz w:val="20"/>
        </w:rPr>
        <w:t>will be considered under the Customized Retrofit Program.</w:t>
      </w:r>
    </w:p>
    <w:p w14:paraId="72B4A007" w14:textId="25C40B27" w:rsidR="001730CE" w:rsidRPr="00B86AB2" w:rsidRDefault="00364A5F" w:rsidP="001730CE">
      <w:pPr>
        <w:widowControl w:val="0"/>
        <w:numPr>
          <w:ilvl w:val="0"/>
          <w:numId w:val="18"/>
        </w:numPr>
        <w:autoSpaceDE w:val="0"/>
        <w:autoSpaceDN w:val="0"/>
        <w:adjustRightInd w:val="0"/>
        <w:spacing w:line="360" w:lineRule="auto"/>
        <w:rPr>
          <w:rFonts w:ascii="Arial" w:hAnsi="Arial" w:cs="Arial"/>
          <w:color w:val="000000"/>
          <w:sz w:val="20"/>
        </w:rPr>
      </w:pPr>
      <w:r w:rsidRPr="00B86AB2">
        <w:rPr>
          <w:rFonts w:ascii="Arial" w:hAnsi="Arial" w:cs="Arial"/>
          <w:sz w:val="20"/>
        </w:rPr>
        <w:t xml:space="preserve">Exterior or high/low-bay installations of these products do not qualify for this rebate. </w:t>
      </w:r>
    </w:p>
    <w:p w14:paraId="4256F13E" w14:textId="1CABDC56" w:rsidR="00364A5F" w:rsidRPr="00364A5F" w:rsidRDefault="00364A5F" w:rsidP="001730CE">
      <w:pPr>
        <w:widowControl w:val="0"/>
        <w:numPr>
          <w:ilvl w:val="0"/>
          <w:numId w:val="18"/>
        </w:numPr>
        <w:autoSpaceDE w:val="0"/>
        <w:autoSpaceDN w:val="0"/>
        <w:adjustRightInd w:val="0"/>
        <w:spacing w:line="360" w:lineRule="auto"/>
        <w:rPr>
          <w:rFonts w:ascii="Arial" w:hAnsi="Arial" w:cs="Arial"/>
          <w:color w:val="000000"/>
          <w:sz w:val="20"/>
        </w:rPr>
      </w:pPr>
      <w:r w:rsidRPr="00B86AB2">
        <w:rPr>
          <w:rFonts w:ascii="Arial" w:hAnsi="Arial" w:cs="Arial"/>
          <w:sz w:val="20"/>
        </w:rPr>
        <w:t>Products in the above listed categories</w:t>
      </w:r>
      <w:r w:rsidR="006C09C1">
        <w:rPr>
          <w:rFonts w:ascii="Arial" w:hAnsi="Arial" w:cs="Arial"/>
          <w:sz w:val="20"/>
        </w:rPr>
        <w:t>,</w:t>
      </w:r>
      <w:r w:rsidRPr="00B86AB2">
        <w:rPr>
          <w:rFonts w:ascii="Arial" w:hAnsi="Arial" w:cs="Arial"/>
          <w:sz w:val="20"/>
        </w:rPr>
        <w:t xml:space="preserve"> less than 2,200 lm or greater than 6,500 lm</w:t>
      </w:r>
      <w:r w:rsidR="006C09C1">
        <w:rPr>
          <w:rFonts w:ascii="Arial" w:hAnsi="Arial" w:cs="Arial"/>
          <w:sz w:val="20"/>
        </w:rPr>
        <w:t xml:space="preserve">, do </w:t>
      </w:r>
      <w:r w:rsidRPr="00B86AB2">
        <w:rPr>
          <w:rFonts w:ascii="Arial" w:hAnsi="Arial" w:cs="Arial"/>
          <w:sz w:val="20"/>
        </w:rPr>
        <w:t xml:space="preserve">not qualify </w:t>
      </w:r>
      <w:r w:rsidR="006C09C1">
        <w:rPr>
          <w:rFonts w:ascii="Arial" w:hAnsi="Arial" w:cs="Arial"/>
          <w:sz w:val="20"/>
        </w:rPr>
        <w:tab/>
      </w:r>
      <w:r w:rsidRPr="00B86AB2">
        <w:rPr>
          <w:rFonts w:ascii="Arial" w:hAnsi="Arial" w:cs="Arial"/>
          <w:sz w:val="20"/>
        </w:rPr>
        <w:t>for this rebate and will be considered under the Customized Retrofit Program.</w:t>
      </w:r>
    </w:p>
    <w:p w14:paraId="166C1E36" w14:textId="74B740F2" w:rsidR="001730CE" w:rsidRPr="00E351DE" w:rsidRDefault="001730CE" w:rsidP="001730CE">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sz w:val="20"/>
          <w:szCs w:val="20"/>
        </w:rPr>
        <w:t>S</w:t>
      </w:r>
      <w:r w:rsidRPr="00E351DE">
        <w:rPr>
          <w:rFonts w:ascii="Arial" w:hAnsi="Arial" w:cs="Arial"/>
          <w:sz w:val="20"/>
          <w:szCs w:val="20"/>
        </w:rPr>
        <w:t>crew-based lamps</w:t>
      </w:r>
      <w:r w:rsidR="0049156C">
        <w:rPr>
          <w:rFonts w:ascii="Arial" w:hAnsi="Arial" w:cs="Arial"/>
          <w:sz w:val="20"/>
          <w:szCs w:val="20"/>
        </w:rPr>
        <w:t xml:space="preserve"> and linear replacement lamps</w:t>
      </w:r>
      <w:r w:rsidRPr="00E351DE">
        <w:rPr>
          <w:rFonts w:ascii="Arial" w:hAnsi="Arial" w:cs="Arial"/>
          <w:sz w:val="20"/>
          <w:szCs w:val="20"/>
        </w:rPr>
        <w:t xml:space="preserve"> do not qualify.</w:t>
      </w:r>
      <w:r w:rsidRPr="00E35C1C">
        <w:rPr>
          <w:rFonts w:ascii="Arial" w:hAnsi="Arial"/>
          <w:color w:val="000000"/>
          <w:sz w:val="20"/>
        </w:rPr>
        <w:t xml:space="preserve"> </w:t>
      </w:r>
    </w:p>
    <w:p w14:paraId="4CCFC639" w14:textId="0702417B" w:rsidR="001730CE" w:rsidRPr="00364A5F" w:rsidRDefault="001730CE" w:rsidP="001730CE">
      <w:pPr>
        <w:widowControl w:val="0"/>
        <w:numPr>
          <w:ilvl w:val="0"/>
          <w:numId w:val="18"/>
        </w:numPr>
        <w:autoSpaceDE w:val="0"/>
        <w:autoSpaceDN w:val="0"/>
        <w:adjustRightInd w:val="0"/>
        <w:spacing w:line="360" w:lineRule="auto"/>
        <w:rPr>
          <w:rFonts w:ascii="Arial" w:hAnsi="Arial" w:cs="Arial"/>
          <w:color w:val="000000"/>
          <w:sz w:val="20"/>
        </w:rPr>
      </w:pPr>
      <w:r w:rsidRPr="00E35C1C">
        <w:rPr>
          <w:rFonts w:ascii="Arial" w:hAnsi="Arial"/>
          <w:color w:val="000000"/>
          <w:sz w:val="20"/>
        </w:rPr>
        <w:t>Must meet the minimum efficacy range listed for the appropriate measure codes in Table 1.</w:t>
      </w:r>
    </w:p>
    <w:p w14:paraId="3748A340" w14:textId="0CB49246" w:rsidR="00364A5F" w:rsidRDefault="00364A5F" w:rsidP="006C09C1">
      <w:pPr>
        <w:widowControl w:val="0"/>
        <w:autoSpaceDE w:val="0"/>
        <w:autoSpaceDN w:val="0"/>
        <w:adjustRightInd w:val="0"/>
        <w:spacing w:before="120" w:line="360" w:lineRule="auto"/>
      </w:pPr>
      <w:r>
        <w:rPr>
          <w:rFonts w:ascii="Arial" w:hAnsi="Arial" w:cs="Arial"/>
          <w:b/>
          <w:szCs w:val="20"/>
        </w:rPr>
        <w:t>Additional Details:</w:t>
      </w:r>
    </w:p>
    <w:p w14:paraId="2B9FB186" w14:textId="77777777" w:rsidR="00364A5F" w:rsidRPr="00B86AB2" w:rsidRDefault="00364A5F" w:rsidP="00B86AB2">
      <w:pPr>
        <w:pStyle w:val="ListParagraph"/>
        <w:widowControl w:val="0"/>
        <w:numPr>
          <w:ilvl w:val="0"/>
          <w:numId w:val="34"/>
        </w:numPr>
        <w:autoSpaceDE w:val="0"/>
        <w:autoSpaceDN w:val="0"/>
        <w:adjustRightInd w:val="0"/>
        <w:spacing w:line="360" w:lineRule="auto"/>
        <w:ind w:left="576"/>
        <w:rPr>
          <w:rFonts w:ascii="Arial" w:hAnsi="Arial" w:cs="Arial"/>
          <w:color w:val="000000"/>
          <w:sz w:val="20"/>
        </w:rPr>
      </w:pPr>
      <w:r w:rsidRPr="00B86AB2">
        <w:rPr>
          <w:rFonts w:ascii="Arial" w:hAnsi="Arial" w:cs="Arial"/>
          <w:sz w:val="20"/>
        </w:rPr>
        <w:t xml:space="preserve">Customer selects the measure code based on the efficacy in lumens per watt (LPW) of the replacement fixture. </w:t>
      </w:r>
    </w:p>
    <w:p w14:paraId="73BF52DD" w14:textId="26CD8008" w:rsidR="00364A5F" w:rsidRPr="00B86AB2" w:rsidRDefault="00364A5F" w:rsidP="00B86AB2">
      <w:pPr>
        <w:pStyle w:val="ListParagraph"/>
        <w:widowControl w:val="0"/>
        <w:numPr>
          <w:ilvl w:val="0"/>
          <w:numId w:val="34"/>
        </w:numPr>
        <w:autoSpaceDE w:val="0"/>
        <w:autoSpaceDN w:val="0"/>
        <w:adjustRightInd w:val="0"/>
        <w:spacing w:line="360" w:lineRule="auto"/>
        <w:ind w:left="576"/>
        <w:rPr>
          <w:rFonts w:ascii="Arial" w:hAnsi="Arial" w:cs="Arial"/>
          <w:color w:val="000000"/>
          <w:sz w:val="20"/>
        </w:rPr>
      </w:pPr>
      <w:r w:rsidRPr="00B86AB2">
        <w:rPr>
          <w:rFonts w:ascii="Arial" w:hAnsi="Arial" w:cs="Arial"/>
          <w:sz w:val="20"/>
        </w:rPr>
        <w:t xml:space="preserve">LED Troffer and Integrated Troffer Retrofit rebates are offered on </w:t>
      </w:r>
      <w:proofErr w:type="gramStart"/>
      <w:r w:rsidRPr="00B86AB2">
        <w:rPr>
          <w:rFonts w:ascii="Arial" w:hAnsi="Arial" w:cs="Arial"/>
          <w:sz w:val="20"/>
        </w:rPr>
        <w:t>a per</w:t>
      </w:r>
      <w:proofErr w:type="gramEnd"/>
      <w:r w:rsidRPr="00B86AB2">
        <w:rPr>
          <w:rFonts w:ascii="Arial" w:hAnsi="Arial" w:cs="Arial"/>
          <w:sz w:val="20"/>
        </w:rPr>
        <w:t xml:space="preserve"> </w:t>
      </w:r>
      <w:proofErr w:type="spellStart"/>
      <w:r w:rsidRPr="00B86AB2">
        <w:rPr>
          <w:rFonts w:ascii="Arial" w:hAnsi="Arial" w:cs="Arial"/>
          <w:sz w:val="20"/>
        </w:rPr>
        <w:t>kilolumen</w:t>
      </w:r>
      <w:proofErr w:type="spellEnd"/>
      <w:r w:rsidRPr="00B86AB2">
        <w:rPr>
          <w:rFonts w:ascii="Arial" w:hAnsi="Arial" w:cs="Arial"/>
          <w:sz w:val="20"/>
        </w:rPr>
        <w:t xml:space="preserve"> (KLM)—1,000 lumens—basis, rather than a per fixture basis. The rebate increases as the efficacy (LPW) of the fixture or </w:t>
      </w:r>
      <w:r w:rsidR="00D56548">
        <w:rPr>
          <w:rFonts w:ascii="Arial" w:hAnsi="Arial" w:cs="Arial"/>
          <w:sz w:val="20"/>
        </w:rPr>
        <w:t xml:space="preserve">retrofit </w:t>
      </w:r>
      <w:r w:rsidRPr="00B86AB2">
        <w:rPr>
          <w:rFonts w:ascii="Arial" w:hAnsi="Arial" w:cs="Arial"/>
          <w:sz w:val="20"/>
        </w:rPr>
        <w:t xml:space="preserve">kit increases. </w:t>
      </w:r>
    </w:p>
    <w:p w14:paraId="1506F565" w14:textId="77777777" w:rsidR="00364A5F" w:rsidRPr="00B86AB2" w:rsidRDefault="00364A5F" w:rsidP="00B86AB2">
      <w:pPr>
        <w:pStyle w:val="ListParagraph"/>
        <w:widowControl w:val="0"/>
        <w:numPr>
          <w:ilvl w:val="0"/>
          <w:numId w:val="34"/>
        </w:numPr>
        <w:autoSpaceDE w:val="0"/>
        <w:autoSpaceDN w:val="0"/>
        <w:adjustRightInd w:val="0"/>
        <w:spacing w:line="360" w:lineRule="auto"/>
        <w:ind w:left="576"/>
        <w:rPr>
          <w:rFonts w:ascii="Arial" w:hAnsi="Arial" w:cs="Arial"/>
          <w:color w:val="000000"/>
          <w:sz w:val="20"/>
        </w:rPr>
      </w:pPr>
      <w:r w:rsidRPr="00B86AB2">
        <w:rPr>
          <w:rFonts w:ascii="Arial" w:hAnsi="Arial" w:cs="Arial"/>
          <w:sz w:val="20"/>
        </w:rPr>
        <w:t xml:space="preserve">Efficacy is defined by LPW, or how much light is produced by one watt of energy consumed. </w:t>
      </w:r>
    </w:p>
    <w:p w14:paraId="47FA2FA9" w14:textId="09537B61" w:rsidR="00364A5F" w:rsidRPr="00B86AB2" w:rsidRDefault="00364A5F" w:rsidP="00B86AB2">
      <w:pPr>
        <w:pStyle w:val="ListParagraph"/>
        <w:widowControl w:val="0"/>
        <w:numPr>
          <w:ilvl w:val="0"/>
          <w:numId w:val="34"/>
        </w:numPr>
        <w:autoSpaceDE w:val="0"/>
        <w:autoSpaceDN w:val="0"/>
        <w:adjustRightInd w:val="0"/>
        <w:spacing w:line="360" w:lineRule="auto"/>
        <w:ind w:left="576"/>
        <w:rPr>
          <w:rFonts w:ascii="Arial" w:hAnsi="Arial" w:cs="Arial"/>
          <w:color w:val="000000"/>
          <w:sz w:val="20"/>
        </w:rPr>
      </w:pPr>
      <w:r w:rsidRPr="00B86AB2">
        <w:rPr>
          <w:rFonts w:ascii="Arial" w:hAnsi="Arial" w:cs="Arial"/>
          <w:sz w:val="20"/>
        </w:rPr>
        <w:t xml:space="preserve">A lumen is the unit of light output: </w:t>
      </w:r>
      <w:proofErr w:type="spellStart"/>
      <w:r w:rsidRPr="00B86AB2">
        <w:rPr>
          <w:rFonts w:ascii="Arial" w:hAnsi="Arial" w:cs="Arial"/>
          <w:sz w:val="20"/>
        </w:rPr>
        <w:t>kilolumen</w:t>
      </w:r>
      <w:proofErr w:type="spellEnd"/>
      <w:r w:rsidRPr="00B86AB2">
        <w:rPr>
          <w:rFonts w:ascii="Arial" w:hAnsi="Arial" w:cs="Arial"/>
          <w:sz w:val="20"/>
        </w:rPr>
        <w:t xml:space="preserve"> = 1,000 lumens.</w:t>
      </w:r>
    </w:p>
    <w:p w14:paraId="4D5CE1E0" w14:textId="77777777" w:rsidR="00364A5F" w:rsidRPr="00364A5F" w:rsidRDefault="00364A5F" w:rsidP="00F661FF">
      <w:pPr>
        <w:pStyle w:val="ListParagraph"/>
        <w:widowControl w:val="0"/>
        <w:autoSpaceDE w:val="0"/>
        <w:autoSpaceDN w:val="0"/>
        <w:adjustRightInd w:val="0"/>
        <w:ind w:left="576"/>
        <w:rPr>
          <w:rFonts w:ascii="Arial" w:hAnsi="Arial" w:cs="Arial"/>
          <w:color w:val="000000"/>
          <w:sz w:val="20"/>
        </w:rPr>
      </w:pPr>
    </w:p>
    <w:p w14:paraId="70B0FCE0" w14:textId="28FFC5FE" w:rsidR="00521920" w:rsidRDefault="00521920" w:rsidP="00F661FF">
      <w:pPr>
        <w:spacing w:after="80"/>
        <w:rPr>
          <w:rFonts w:ascii="Arial" w:hAnsi="Arial" w:cs="Arial"/>
          <w:b/>
          <w:i/>
        </w:rPr>
      </w:pPr>
      <w:r>
        <w:rPr>
          <w:rFonts w:ascii="Arial" w:hAnsi="Arial" w:cs="Arial"/>
          <w:b/>
          <w:i/>
        </w:rPr>
        <w:t>Program Restrictions and Guidelines</w:t>
      </w:r>
    </w:p>
    <w:p w14:paraId="50E22272" w14:textId="7FEF3001" w:rsidR="00C50281" w:rsidRDefault="005B5BB4" w:rsidP="006C09C1">
      <w:pPr>
        <w:spacing w:line="276" w:lineRule="auto"/>
        <w:rPr>
          <w:rFonts w:ascii="Arial" w:hAnsi="Arial" w:cs="Arial"/>
          <w:sz w:val="20"/>
        </w:rPr>
      </w:pPr>
      <w:r w:rsidRPr="0008537D">
        <w:rPr>
          <w:rFonts w:ascii="Arial" w:hAnsi="Arial" w:cs="Arial"/>
          <w:sz w:val="20"/>
        </w:rPr>
        <w:t xml:space="preserve">This workpaper details the replacement of </w:t>
      </w:r>
      <w:r w:rsidR="00C24543">
        <w:rPr>
          <w:rFonts w:ascii="Arial" w:hAnsi="Arial" w:cs="Arial"/>
          <w:sz w:val="20"/>
        </w:rPr>
        <w:t xml:space="preserve">linear ambient fixtures, retrofit kits, and linear LED replacement lamps in fixtures </w:t>
      </w:r>
      <w:r w:rsidRPr="0008537D">
        <w:rPr>
          <w:rFonts w:ascii="Arial" w:hAnsi="Arial" w:cs="Arial"/>
          <w:sz w:val="20"/>
        </w:rPr>
        <w:t xml:space="preserve">with </w:t>
      </w:r>
      <w:r w:rsidR="00C24543">
        <w:rPr>
          <w:rFonts w:ascii="Arial" w:hAnsi="Arial" w:cs="Arial"/>
          <w:sz w:val="20"/>
        </w:rPr>
        <w:t xml:space="preserve">higher efficacy </w:t>
      </w:r>
      <w:r w:rsidRPr="0008537D">
        <w:rPr>
          <w:rFonts w:ascii="Arial" w:hAnsi="Arial" w:cs="Arial"/>
          <w:sz w:val="20"/>
        </w:rPr>
        <w:t xml:space="preserve">LED </w:t>
      </w:r>
      <w:r w:rsidR="00C24543">
        <w:rPr>
          <w:rFonts w:ascii="Arial" w:hAnsi="Arial" w:cs="Arial"/>
          <w:sz w:val="20"/>
        </w:rPr>
        <w:t>a</w:t>
      </w:r>
      <w:r w:rsidR="00C27933">
        <w:rPr>
          <w:rFonts w:ascii="Arial" w:hAnsi="Arial" w:cs="Arial"/>
          <w:sz w:val="20"/>
        </w:rPr>
        <w:t xml:space="preserve">mbient </w:t>
      </w:r>
      <w:r w:rsidR="00C24543">
        <w:rPr>
          <w:rFonts w:ascii="Arial" w:hAnsi="Arial" w:cs="Arial"/>
          <w:sz w:val="20"/>
        </w:rPr>
        <w:t>f</w:t>
      </w:r>
      <w:r w:rsidR="002E6C39" w:rsidRPr="002E6C39">
        <w:rPr>
          <w:rFonts w:ascii="Arial" w:hAnsi="Arial" w:cs="Arial"/>
          <w:sz w:val="20"/>
        </w:rPr>
        <w:t>ixtures</w:t>
      </w:r>
      <w:r w:rsidR="00C24543">
        <w:rPr>
          <w:rFonts w:ascii="Arial" w:hAnsi="Arial" w:cs="Arial"/>
          <w:sz w:val="20"/>
        </w:rPr>
        <w:t>,</w:t>
      </w:r>
      <w:r w:rsidR="002E6C39" w:rsidRPr="002E6C39">
        <w:rPr>
          <w:rFonts w:ascii="Arial" w:hAnsi="Arial" w:cs="Arial"/>
          <w:sz w:val="20"/>
        </w:rPr>
        <w:t xml:space="preserve"> </w:t>
      </w:r>
      <w:r w:rsidR="00C24543">
        <w:rPr>
          <w:rFonts w:ascii="Arial" w:hAnsi="Arial" w:cs="Arial"/>
          <w:sz w:val="20"/>
        </w:rPr>
        <w:t>i</w:t>
      </w:r>
      <w:r w:rsidR="006F0984">
        <w:rPr>
          <w:rFonts w:ascii="Arial" w:hAnsi="Arial" w:cs="Arial"/>
          <w:sz w:val="20"/>
        </w:rPr>
        <w:t>ntegrated</w:t>
      </w:r>
      <w:r w:rsidR="002E6C39" w:rsidRPr="002E6C39">
        <w:rPr>
          <w:rFonts w:ascii="Arial" w:hAnsi="Arial" w:cs="Arial"/>
          <w:sz w:val="20"/>
        </w:rPr>
        <w:t xml:space="preserve"> </w:t>
      </w:r>
      <w:r w:rsidR="00C24543">
        <w:rPr>
          <w:rFonts w:ascii="Arial" w:hAnsi="Arial" w:cs="Arial"/>
          <w:sz w:val="20"/>
        </w:rPr>
        <w:t>r</w:t>
      </w:r>
      <w:r w:rsidR="002E6C39" w:rsidRPr="002E6C39">
        <w:rPr>
          <w:rFonts w:ascii="Arial" w:hAnsi="Arial" w:cs="Arial"/>
          <w:sz w:val="20"/>
        </w:rPr>
        <w:t xml:space="preserve">etrofit </w:t>
      </w:r>
      <w:r w:rsidR="00C24543">
        <w:rPr>
          <w:rFonts w:ascii="Arial" w:hAnsi="Arial" w:cs="Arial"/>
          <w:sz w:val="20"/>
        </w:rPr>
        <w:t>k</w:t>
      </w:r>
      <w:r w:rsidR="002E6C39" w:rsidRPr="002E6C39">
        <w:rPr>
          <w:rFonts w:ascii="Arial" w:hAnsi="Arial" w:cs="Arial"/>
          <w:sz w:val="20"/>
        </w:rPr>
        <w:t>its</w:t>
      </w:r>
      <w:r w:rsidR="00C24543">
        <w:rPr>
          <w:rFonts w:ascii="Arial" w:hAnsi="Arial" w:cs="Arial"/>
          <w:sz w:val="20"/>
        </w:rPr>
        <w:t>, and direct linear ambient retrofit kits</w:t>
      </w:r>
      <w:r w:rsidRPr="0008537D">
        <w:rPr>
          <w:rFonts w:ascii="Arial" w:hAnsi="Arial" w:cs="Arial"/>
          <w:sz w:val="20"/>
        </w:rPr>
        <w:t>.</w:t>
      </w:r>
      <w:r w:rsidR="009A3B09" w:rsidRPr="009A3B09">
        <w:t xml:space="preserve"> </w:t>
      </w:r>
      <w:r w:rsidR="00CB4218" w:rsidRPr="00670AC3">
        <w:rPr>
          <w:rFonts w:ascii="Arial" w:hAnsi="Arial" w:cs="Arial"/>
          <w:sz w:val="20"/>
        </w:rPr>
        <w:t xml:space="preserve">The </w:t>
      </w:r>
      <w:r w:rsidR="009B2260">
        <w:rPr>
          <w:rFonts w:ascii="Arial" w:hAnsi="Arial" w:cs="Arial"/>
          <w:sz w:val="20"/>
        </w:rPr>
        <w:t xml:space="preserve">workpaper </w:t>
      </w:r>
      <w:r w:rsidR="00E55167">
        <w:rPr>
          <w:rFonts w:ascii="Arial" w:hAnsi="Arial" w:cs="Arial"/>
          <w:sz w:val="20"/>
        </w:rPr>
        <w:t>offers</w:t>
      </w:r>
      <w:r w:rsidR="004337F8">
        <w:rPr>
          <w:rFonts w:ascii="Arial" w:hAnsi="Arial" w:cs="Arial"/>
          <w:sz w:val="20"/>
        </w:rPr>
        <w:t xml:space="preserve"> deliv</w:t>
      </w:r>
      <w:r w:rsidR="00E55167">
        <w:rPr>
          <w:rFonts w:ascii="Arial" w:hAnsi="Arial" w:cs="Arial"/>
          <w:sz w:val="20"/>
        </w:rPr>
        <w:t xml:space="preserve">ery methods for non-residential </w:t>
      </w:r>
      <w:r w:rsidR="009B2260">
        <w:rPr>
          <w:rFonts w:ascii="Arial" w:hAnsi="Arial" w:cs="Arial"/>
          <w:sz w:val="20"/>
        </w:rPr>
        <w:t>customers</w:t>
      </w:r>
      <w:r w:rsidR="00D12433">
        <w:rPr>
          <w:rFonts w:ascii="Arial" w:hAnsi="Arial" w:cs="Arial"/>
          <w:sz w:val="20"/>
        </w:rPr>
        <w:t xml:space="preserve"> through </w:t>
      </w:r>
      <w:r w:rsidR="00E55167">
        <w:rPr>
          <w:rFonts w:ascii="Arial" w:hAnsi="Arial" w:cs="Arial"/>
          <w:sz w:val="20"/>
        </w:rPr>
        <w:t>Upstream</w:t>
      </w:r>
      <w:r w:rsidR="00D93D13">
        <w:rPr>
          <w:rFonts w:ascii="Arial" w:hAnsi="Arial" w:cs="Arial"/>
          <w:sz w:val="20"/>
        </w:rPr>
        <w:t>/Midstream</w:t>
      </w:r>
      <w:r w:rsidR="00E55167">
        <w:rPr>
          <w:rFonts w:ascii="Arial" w:hAnsi="Arial" w:cs="Arial"/>
          <w:sz w:val="20"/>
        </w:rPr>
        <w:t xml:space="preserve">, </w:t>
      </w:r>
      <w:r w:rsidR="00D46E0B">
        <w:rPr>
          <w:rFonts w:ascii="Arial" w:hAnsi="Arial" w:cs="Arial"/>
          <w:sz w:val="20"/>
        </w:rPr>
        <w:t>Downstream</w:t>
      </w:r>
      <w:r w:rsidR="00D93D13">
        <w:rPr>
          <w:rFonts w:ascii="Arial" w:hAnsi="Arial" w:cs="Arial"/>
          <w:sz w:val="20"/>
        </w:rPr>
        <w:t>,</w:t>
      </w:r>
      <w:r w:rsidR="00CB4218" w:rsidRPr="00670AC3">
        <w:rPr>
          <w:rFonts w:ascii="Arial" w:hAnsi="Arial" w:cs="Arial"/>
          <w:sz w:val="20"/>
        </w:rPr>
        <w:t xml:space="preserve"> </w:t>
      </w:r>
      <w:r w:rsidR="009B2260">
        <w:rPr>
          <w:rFonts w:ascii="Arial" w:hAnsi="Arial" w:cs="Arial"/>
          <w:sz w:val="20"/>
        </w:rPr>
        <w:t>or Direct Install</w:t>
      </w:r>
      <w:r w:rsidR="00D12433">
        <w:rPr>
          <w:rFonts w:ascii="Arial" w:hAnsi="Arial" w:cs="Arial"/>
          <w:sz w:val="20"/>
        </w:rPr>
        <w:t xml:space="preserve"> Deemed programs.</w:t>
      </w:r>
    </w:p>
    <w:p w14:paraId="0E506009" w14:textId="77777777" w:rsidR="00C50281" w:rsidRDefault="00C50281" w:rsidP="00814CC1">
      <w:pPr>
        <w:spacing w:line="192" w:lineRule="auto"/>
        <w:rPr>
          <w:rFonts w:ascii="Arial" w:hAnsi="Arial" w:cs="Arial"/>
          <w:sz w:val="20"/>
        </w:rPr>
      </w:pPr>
    </w:p>
    <w:p w14:paraId="2E2BAF83" w14:textId="09A4690B" w:rsidR="00C8399F" w:rsidRPr="00C10056" w:rsidRDefault="00C8399F" w:rsidP="006C09C1">
      <w:pPr>
        <w:spacing w:line="276" w:lineRule="auto"/>
        <w:rPr>
          <w:rFonts w:ascii="Arial" w:hAnsi="Arial" w:cs="Arial"/>
          <w:sz w:val="20"/>
        </w:rPr>
      </w:pPr>
      <w:r w:rsidRPr="00C10056">
        <w:rPr>
          <w:rFonts w:ascii="Arial" w:hAnsi="Arial" w:cs="Arial"/>
          <w:sz w:val="20"/>
        </w:rPr>
        <w:t xml:space="preserve">DLC requirements for </w:t>
      </w:r>
      <w:r w:rsidR="004F1CD7">
        <w:rPr>
          <w:rFonts w:ascii="Arial" w:hAnsi="Arial" w:cs="Arial"/>
          <w:sz w:val="20"/>
        </w:rPr>
        <w:t xml:space="preserve">Indoor </w:t>
      </w:r>
      <w:r w:rsidR="00C24543">
        <w:rPr>
          <w:rFonts w:ascii="Arial" w:hAnsi="Arial" w:cs="Arial"/>
          <w:sz w:val="20"/>
        </w:rPr>
        <w:t xml:space="preserve">Ambient Lighting </w:t>
      </w:r>
      <w:r w:rsidR="004F1CD7">
        <w:rPr>
          <w:rFonts w:ascii="Arial" w:hAnsi="Arial" w:cs="Arial"/>
          <w:sz w:val="20"/>
        </w:rPr>
        <w:t>Products include</w:t>
      </w:r>
    </w:p>
    <w:p w14:paraId="5CF903F0" w14:textId="77777777" w:rsidR="00C8399F" w:rsidRPr="00C10056" w:rsidRDefault="00C8399F" w:rsidP="006C09C1">
      <w:pPr>
        <w:pStyle w:val="ListParagraph"/>
        <w:numPr>
          <w:ilvl w:val="0"/>
          <w:numId w:val="24"/>
        </w:numPr>
        <w:spacing w:line="276" w:lineRule="auto"/>
        <w:rPr>
          <w:rFonts w:ascii="Arial" w:hAnsi="Arial" w:cs="Arial"/>
          <w:sz w:val="20"/>
        </w:rPr>
      </w:pPr>
      <w:r w:rsidRPr="00C10056">
        <w:rPr>
          <w:rFonts w:ascii="Arial" w:hAnsi="Arial" w:cs="Arial"/>
          <w:sz w:val="20"/>
        </w:rPr>
        <w:t>5-year warranty</w:t>
      </w:r>
    </w:p>
    <w:p w14:paraId="5818F5BD" w14:textId="77777777" w:rsidR="00C8399F" w:rsidRDefault="00C8399F" w:rsidP="006C09C1">
      <w:pPr>
        <w:pStyle w:val="ListParagraph"/>
        <w:numPr>
          <w:ilvl w:val="0"/>
          <w:numId w:val="24"/>
        </w:numPr>
        <w:spacing w:line="276" w:lineRule="auto"/>
        <w:rPr>
          <w:rFonts w:ascii="Arial" w:hAnsi="Arial" w:cs="Arial"/>
          <w:sz w:val="20"/>
        </w:rPr>
      </w:pPr>
      <w:r w:rsidRPr="00C10056">
        <w:rPr>
          <w:rFonts w:ascii="Arial" w:hAnsi="Arial" w:cs="Arial"/>
          <w:sz w:val="20"/>
        </w:rPr>
        <w:t>5</w:t>
      </w:r>
      <w:r w:rsidR="00705A0C">
        <w:rPr>
          <w:rFonts w:ascii="Arial" w:hAnsi="Arial" w:cs="Arial"/>
          <w:sz w:val="20"/>
        </w:rPr>
        <w:t>0</w:t>
      </w:r>
      <w:r w:rsidRPr="00C10056">
        <w:rPr>
          <w:rFonts w:ascii="Arial" w:hAnsi="Arial" w:cs="Arial"/>
          <w:sz w:val="20"/>
        </w:rPr>
        <w:t>,000 hour L70 Lumen Maintenance</w:t>
      </w:r>
    </w:p>
    <w:p w14:paraId="50982E8C" w14:textId="77777777" w:rsidR="008508EB" w:rsidRPr="00C10056" w:rsidRDefault="008508EB" w:rsidP="006C09C1">
      <w:pPr>
        <w:pStyle w:val="ListParagraph"/>
        <w:numPr>
          <w:ilvl w:val="0"/>
          <w:numId w:val="24"/>
        </w:numPr>
        <w:spacing w:line="276" w:lineRule="auto"/>
        <w:rPr>
          <w:rFonts w:ascii="Arial" w:hAnsi="Arial" w:cs="Arial"/>
          <w:sz w:val="20"/>
        </w:rPr>
      </w:pPr>
      <w:r>
        <w:rPr>
          <w:rFonts w:ascii="Arial" w:hAnsi="Arial" w:cs="Arial"/>
          <w:sz w:val="20"/>
        </w:rPr>
        <w:t>36,000 hour L90 Lumen Maintenance</w:t>
      </w:r>
    </w:p>
    <w:p w14:paraId="793E975C" w14:textId="77777777" w:rsidR="00C8399F" w:rsidRPr="00C10056" w:rsidRDefault="00705A0C" w:rsidP="006C09C1">
      <w:pPr>
        <w:pStyle w:val="ListParagraph"/>
        <w:numPr>
          <w:ilvl w:val="0"/>
          <w:numId w:val="24"/>
        </w:numPr>
        <w:spacing w:line="276" w:lineRule="auto"/>
        <w:rPr>
          <w:rFonts w:ascii="Arial" w:hAnsi="Arial" w:cs="Arial"/>
          <w:sz w:val="20"/>
        </w:rPr>
      </w:pPr>
      <w:r>
        <w:rPr>
          <w:rFonts w:ascii="Arial" w:hAnsi="Arial" w:cs="Arial"/>
          <w:sz w:val="20"/>
        </w:rPr>
        <w:t>≥ 8</w:t>
      </w:r>
      <w:r w:rsidR="00C8399F" w:rsidRPr="00C10056">
        <w:rPr>
          <w:rFonts w:ascii="Arial" w:hAnsi="Arial" w:cs="Arial"/>
          <w:sz w:val="20"/>
        </w:rPr>
        <w:t>0 Color Rendering Index (CRI)</w:t>
      </w:r>
    </w:p>
    <w:p w14:paraId="714190D7" w14:textId="7E836D0A" w:rsidR="00C8399F" w:rsidRPr="00122084" w:rsidRDefault="00C8399F" w:rsidP="006C09C1">
      <w:pPr>
        <w:pStyle w:val="ListParagraph"/>
        <w:numPr>
          <w:ilvl w:val="0"/>
          <w:numId w:val="24"/>
        </w:numPr>
        <w:spacing w:line="276" w:lineRule="auto"/>
        <w:rPr>
          <w:rFonts w:ascii="Arial" w:hAnsi="Arial" w:cs="Arial"/>
          <w:b/>
          <w:sz w:val="20"/>
        </w:rPr>
      </w:pPr>
      <w:r w:rsidRPr="00122084">
        <w:rPr>
          <w:rFonts w:ascii="Arial" w:hAnsi="Arial" w:cs="Arial"/>
          <w:b/>
          <w:sz w:val="20"/>
        </w:rPr>
        <w:t xml:space="preserve">≥ </w:t>
      </w:r>
      <w:r w:rsidR="00AB546E" w:rsidRPr="00122084">
        <w:rPr>
          <w:rFonts w:ascii="Arial" w:hAnsi="Arial" w:cs="Arial"/>
          <w:b/>
          <w:sz w:val="20"/>
        </w:rPr>
        <w:t>125</w:t>
      </w:r>
      <w:r w:rsidRPr="00122084">
        <w:rPr>
          <w:rFonts w:ascii="Arial" w:hAnsi="Arial" w:cs="Arial"/>
          <w:b/>
          <w:sz w:val="20"/>
        </w:rPr>
        <w:t xml:space="preserve"> lumens </w:t>
      </w:r>
      <w:r w:rsidR="001F4B8F">
        <w:rPr>
          <w:rFonts w:ascii="Arial" w:hAnsi="Arial" w:cs="Arial"/>
          <w:b/>
          <w:sz w:val="20"/>
        </w:rPr>
        <w:t>per</w:t>
      </w:r>
      <w:r w:rsidRPr="00122084">
        <w:rPr>
          <w:rFonts w:ascii="Arial" w:hAnsi="Arial" w:cs="Arial"/>
          <w:b/>
          <w:sz w:val="20"/>
        </w:rPr>
        <w:t xml:space="preserve"> </w:t>
      </w:r>
      <w:r w:rsidR="001F4B8F">
        <w:rPr>
          <w:rFonts w:ascii="Arial" w:hAnsi="Arial" w:cs="Arial"/>
          <w:b/>
          <w:sz w:val="20"/>
        </w:rPr>
        <w:t>w</w:t>
      </w:r>
      <w:r w:rsidRPr="00122084">
        <w:rPr>
          <w:rFonts w:ascii="Arial" w:hAnsi="Arial" w:cs="Arial"/>
          <w:b/>
          <w:sz w:val="20"/>
        </w:rPr>
        <w:t>att</w:t>
      </w:r>
      <w:r w:rsidR="004F1CD7">
        <w:rPr>
          <w:rFonts w:ascii="Arial" w:hAnsi="Arial" w:cs="Arial"/>
          <w:b/>
          <w:sz w:val="20"/>
        </w:rPr>
        <w:t xml:space="preserve"> (PG&amp;E Requirement)</w:t>
      </w:r>
    </w:p>
    <w:p w14:paraId="7B5E8203" w14:textId="77777777" w:rsidR="00C8399F" w:rsidRPr="00C10056" w:rsidRDefault="00705A0C" w:rsidP="006C09C1">
      <w:pPr>
        <w:pStyle w:val="ListParagraph"/>
        <w:numPr>
          <w:ilvl w:val="0"/>
          <w:numId w:val="24"/>
        </w:numPr>
        <w:spacing w:line="276" w:lineRule="auto"/>
        <w:rPr>
          <w:rFonts w:ascii="Arial" w:hAnsi="Arial" w:cs="Arial"/>
          <w:sz w:val="20"/>
        </w:rPr>
      </w:pPr>
      <w:r>
        <w:rPr>
          <w:rFonts w:ascii="Arial" w:hAnsi="Arial" w:cs="Arial"/>
          <w:sz w:val="20"/>
        </w:rPr>
        <w:t>≤ 50</w:t>
      </w:r>
      <w:r w:rsidR="00C8399F" w:rsidRPr="00C10056">
        <w:rPr>
          <w:rFonts w:ascii="Arial" w:hAnsi="Arial" w:cs="Arial"/>
          <w:sz w:val="20"/>
        </w:rPr>
        <w:t>00 Kelvin Correlated Color Temperature (CCT)</w:t>
      </w:r>
    </w:p>
    <w:p w14:paraId="73AE9B4E" w14:textId="2D9A33ED" w:rsidR="004F1CD7" w:rsidRPr="00ED77BD" w:rsidRDefault="004F1CD7" w:rsidP="006C09C1">
      <w:pPr>
        <w:spacing w:line="276" w:lineRule="auto"/>
        <w:rPr>
          <w:rFonts w:ascii="Arial" w:hAnsi="Arial" w:cs="Arial"/>
          <w:sz w:val="20"/>
        </w:rPr>
      </w:pPr>
      <w:r w:rsidRPr="00ED77BD">
        <w:rPr>
          <w:rFonts w:ascii="Arial" w:hAnsi="Arial" w:cs="Arial"/>
          <w:sz w:val="20"/>
        </w:rPr>
        <w:t>DLC requirements for Integrated Retrofit Kits and Luminaires for Ambient Lighting of Interior Commercial Spaces</w:t>
      </w:r>
      <w:r w:rsidR="00C24543">
        <w:rPr>
          <w:rFonts w:ascii="Arial" w:hAnsi="Arial" w:cs="Arial"/>
          <w:sz w:val="20"/>
        </w:rPr>
        <w:t xml:space="preserve"> (2x4, 2x2, </w:t>
      </w:r>
      <w:proofErr w:type="gramStart"/>
      <w:r w:rsidR="00C24543">
        <w:rPr>
          <w:rFonts w:ascii="Arial" w:hAnsi="Arial" w:cs="Arial"/>
          <w:sz w:val="20"/>
        </w:rPr>
        <w:t>1x4</w:t>
      </w:r>
      <w:proofErr w:type="gramEnd"/>
      <w:r w:rsidR="00C24543">
        <w:rPr>
          <w:rFonts w:ascii="Arial" w:hAnsi="Arial" w:cs="Arial"/>
          <w:sz w:val="20"/>
        </w:rPr>
        <w:t xml:space="preserve">) </w:t>
      </w:r>
      <w:r w:rsidRPr="00ED77BD">
        <w:rPr>
          <w:rFonts w:ascii="Arial" w:hAnsi="Arial" w:cs="Arial"/>
          <w:sz w:val="20"/>
        </w:rPr>
        <w:t>include:</w:t>
      </w:r>
    </w:p>
    <w:p w14:paraId="0C890709" w14:textId="77777777" w:rsidR="00705A0C" w:rsidRPr="00705A0C" w:rsidRDefault="00705A0C" w:rsidP="006C09C1">
      <w:pPr>
        <w:pStyle w:val="ListParagraph"/>
        <w:numPr>
          <w:ilvl w:val="0"/>
          <w:numId w:val="24"/>
        </w:numPr>
        <w:spacing w:line="276" w:lineRule="auto"/>
        <w:rPr>
          <w:rFonts w:ascii="Arial" w:hAnsi="Arial" w:cs="Arial"/>
          <w:sz w:val="20"/>
        </w:rPr>
      </w:pPr>
      <w:r w:rsidRPr="00705A0C">
        <w:rPr>
          <w:rFonts w:ascii="Arial" w:hAnsi="Arial" w:cs="Arial"/>
          <w:sz w:val="20"/>
        </w:rPr>
        <w:t xml:space="preserve">Spacing Criteria from 1.0 to 2.0 in both the 0-180° and </w:t>
      </w:r>
      <w:r>
        <w:rPr>
          <w:rFonts w:ascii="Arial" w:hAnsi="Arial" w:cs="Arial"/>
          <w:sz w:val="20"/>
        </w:rPr>
        <w:t>90-270° directions</w:t>
      </w:r>
    </w:p>
    <w:p w14:paraId="7FDF95F2" w14:textId="77777777" w:rsidR="00C8399F" w:rsidRPr="00C10056" w:rsidRDefault="00705A0C" w:rsidP="006C09C1">
      <w:pPr>
        <w:pStyle w:val="ListParagraph"/>
        <w:numPr>
          <w:ilvl w:val="0"/>
          <w:numId w:val="24"/>
        </w:numPr>
        <w:spacing w:line="276" w:lineRule="auto"/>
        <w:rPr>
          <w:rFonts w:ascii="Arial" w:hAnsi="Arial" w:cs="Arial"/>
          <w:sz w:val="20"/>
        </w:rPr>
      </w:pPr>
      <w:r w:rsidRPr="00705A0C">
        <w:rPr>
          <w:rFonts w:ascii="Arial" w:hAnsi="Arial" w:cs="Arial"/>
          <w:sz w:val="20"/>
        </w:rPr>
        <w:t>≥75%</w:t>
      </w:r>
      <w:r>
        <w:rPr>
          <w:rFonts w:ascii="Arial" w:hAnsi="Arial" w:cs="Arial"/>
          <w:sz w:val="20"/>
        </w:rPr>
        <w:t xml:space="preserve"> of Lumen Output in the</w:t>
      </w:r>
      <w:r w:rsidRPr="00705A0C">
        <w:rPr>
          <w:rFonts w:ascii="Arial" w:hAnsi="Arial" w:cs="Arial"/>
          <w:sz w:val="20"/>
        </w:rPr>
        <w:t xml:space="preserve"> 0-60°</w:t>
      </w:r>
      <w:r>
        <w:rPr>
          <w:rFonts w:ascii="Arial" w:hAnsi="Arial" w:cs="Arial"/>
          <w:sz w:val="20"/>
        </w:rPr>
        <w:t xml:space="preserve"> zone</w:t>
      </w:r>
    </w:p>
    <w:p w14:paraId="3F884F2A" w14:textId="77777777" w:rsidR="004F1CD7" w:rsidRPr="00212A22" w:rsidRDefault="004F1CD7" w:rsidP="006C09C1">
      <w:pPr>
        <w:spacing w:line="276" w:lineRule="auto"/>
        <w:rPr>
          <w:rFonts w:ascii="Arial" w:hAnsi="Arial" w:cs="Arial"/>
          <w:sz w:val="20"/>
        </w:rPr>
      </w:pPr>
      <w:r>
        <w:rPr>
          <w:rFonts w:ascii="Arial" w:hAnsi="Arial" w:cs="Arial"/>
          <w:sz w:val="20"/>
        </w:rPr>
        <w:t>DLC requirement</w:t>
      </w:r>
      <w:r w:rsidRPr="00212A22">
        <w:rPr>
          <w:rFonts w:ascii="Arial" w:hAnsi="Arial" w:cs="Arial"/>
          <w:sz w:val="20"/>
        </w:rPr>
        <w:t xml:space="preserve"> for </w:t>
      </w:r>
      <w:r>
        <w:rPr>
          <w:rFonts w:ascii="Arial" w:hAnsi="Arial" w:cs="Arial"/>
          <w:sz w:val="20"/>
        </w:rPr>
        <w:t>Direct Linear Ambient luminaires and retrofit kits:</w:t>
      </w:r>
    </w:p>
    <w:p w14:paraId="6B51C79C" w14:textId="58D69445" w:rsidR="004F1CD7" w:rsidRPr="00A9572F" w:rsidRDefault="004F1CD7" w:rsidP="006C09C1">
      <w:pPr>
        <w:pStyle w:val="ListParagraph"/>
        <w:numPr>
          <w:ilvl w:val="0"/>
          <w:numId w:val="24"/>
        </w:numPr>
        <w:spacing w:line="276" w:lineRule="auto"/>
        <w:rPr>
          <w:rFonts w:ascii="Arial" w:hAnsi="Arial" w:cs="Arial"/>
          <w:sz w:val="20"/>
        </w:rPr>
      </w:pPr>
      <w:r w:rsidRPr="00705A0C">
        <w:rPr>
          <w:rFonts w:ascii="Arial" w:hAnsi="Arial" w:cs="Arial"/>
          <w:sz w:val="20"/>
        </w:rPr>
        <w:t>≥</w:t>
      </w:r>
      <w:r>
        <w:rPr>
          <w:rFonts w:ascii="Arial" w:hAnsi="Arial" w:cs="Arial"/>
          <w:sz w:val="20"/>
        </w:rPr>
        <w:t>40</w:t>
      </w:r>
      <w:r w:rsidRPr="00705A0C">
        <w:rPr>
          <w:rFonts w:ascii="Arial" w:hAnsi="Arial" w:cs="Arial"/>
          <w:sz w:val="20"/>
        </w:rPr>
        <w:t>%</w:t>
      </w:r>
      <w:r>
        <w:rPr>
          <w:rFonts w:ascii="Arial" w:hAnsi="Arial" w:cs="Arial"/>
          <w:sz w:val="20"/>
        </w:rPr>
        <w:t xml:space="preserve"> of Lumen Output in the</w:t>
      </w:r>
      <w:r w:rsidRPr="00705A0C">
        <w:rPr>
          <w:rFonts w:ascii="Arial" w:hAnsi="Arial" w:cs="Arial"/>
          <w:sz w:val="20"/>
        </w:rPr>
        <w:t xml:space="preserve"> 0-60°</w:t>
      </w:r>
      <w:r>
        <w:rPr>
          <w:rFonts w:ascii="Arial" w:hAnsi="Arial" w:cs="Arial"/>
          <w:sz w:val="20"/>
        </w:rPr>
        <w:t xml:space="preserve"> zone </w:t>
      </w:r>
    </w:p>
    <w:p w14:paraId="3B63A535" w14:textId="32DBF4DA" w:rsidR="00B86AB2" w:rsidRDefault="004F1CD7" w:rsidP="006C09C1">
      <w:pPr>
        <w:pStyle w:val="ListParagraph"/>
        <w:numPr>
          <w:ilvl w:val="0"/>
          <w:numId w:val="24"/>
        </w:numPr>
        <w:spacing w:line="276" w:lineRule="auto"/>
        <w:rPr>
          <w:rFonts w:ascii="Arial" w:hAnsi="Arial" w:cs="Arial"/>
          <w:sz w:val="20"/>
        </w:rPr>
      </w:pPr>
      <w:r w:rsidRPr="00705A0C">
        <w:rPr>
          <w:rFonts w:ascii="Arial" w:hAnsi="Arial" w:cs="Arial"/>
          <w:sz w:val="20"/>
        </w:rPr>
        <w:t>≥</w:t>
      </w:r>
      <w:r>
        <w:rPr>
          <w:rFonts w:ascii="Arial" w:hAnsi="Arial" w:cs="Arial"/>
          <w:sz w:val="20"/>
        </w:rPr>
        <w:t>35</w:t>
      </w:r>
      <w:r w:rsidRPr="00705A0C">
        <w:rPr>
          <w:rFonts w:ascii="Arial" w:hAnsi="Arial" w:cs="Arial"/>
          <w:sz w:val="20"/>
        </w:rPr>
        <w:t>%</w:t>
      </w:r>
      <w:r>
        <w:rPr>
          <w:rFonts w:ascii="Arial" w:hAnsi="Arial" w:cs="Arial"/>
          <w:sz w:val="20"/>
        </w:rPr>
        <w:t xml:space="preserve"> of Lumen Output in the</w:t>
      </w:r>
      <w:r w:rsidRPr="00705A0C">
        <w:rPr>
          <w:rFonts w:ascii="Arial" w:hAnsi="Arial" w:cs="Arial"/>
          <w:sz w:val="20"/>
        </w:rPr>
        <w:t xml:space="preserve"> </w:t>
      </w:r>
      <w:r>
        <w:rPr>
          <w:rFonts w:ascii="Arial" w:hAnsi="Arial" w:cs="Arial"/>
          <w:sz w:val="20"/>
        </w:rPr>
        <w:t>90-15</w:t>
      </w:r>
      <w:r w:rsidRPr="00705A0C">
        <w:rPr>
          <w:rFonts w:ascii="Arial" w:hAnsi="Arial" w:cs="Arial"/>
          <w:sz w:val="20"/>
        </w:rPr>
        <w:t>0°</w:t>
      </w:r>
      <w:r>
        <w:rPr>
          <w:rFonts w:ascii="Arial" w:hAnsi="Arial" w:cs="Arial"/>
          <w:sz w:val="20"/>
        </w:rPr>
        <w:t xml:space="preserve"> zone </w:t>
      </w:r>
    </w:p>
    <w:p w14:paraId="0C83AEF7" w14:textId="25EB0F68" w:rsidR="004F1CD7" w:rsidRPr="00ED77BD" w:rsidRDefault="00B86AB2" w:rsidP="00E3447D">
      <w:pPr>
        <w:rPr>
          <w:rFonts w:ascii="Arial" w:hAnsi="Arial" w:cs="Arial"/>
          <w:sz w:val="20"/>
        </w:rPr>
      </w:pPr>
      <w:r>
        <w:rPr>
          <w:rFonts w:ascii="Arial" w:hAnsi="Arial" w:cs="Arial"/>
          <w:sz w:val="20"/>
        </w:rPr>
        <w:br w:type="page"/>
      </w:r>
    </w:p>
    <w:p w14:paraId="78C5ADB4" w14:textId="77777777" w:rsidR="00CB4218" w:rsidRPr="00C10056" w:rsidRDefault="00CB4218" w:rsidP="00CB4218">
      <w:pPr>
        <w:rPr>
          <w:rFonts w:ascii="Arial" w:hAnsi="Arial" w:cs="Arial"/>
          <w:sz w:val="20"/>
        </w:rPr>
      </w:pPr>
    </w:p>
    <w:tbl>
      <w:tblPr>
        <w:tblW w:w="6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3"/>
      </w:tblGrid>
      <w:tr w:rsidR="00822225" w:rsidRPr="00C10056" w14:paraId="3E0B88DC" w14:textId="77777777" w:rsidTr="001F4B8F">
        <w:trPr>
          <w:trHeight w:val="305"/>
          <w:jc w:val="center"/>
        </w:trPr>
        <w:tc>
          <w:tcPr>
            <w:tcW w:w="6733" w:type="dxa"/>
            <w:shd w:val="clear" w:color="auto" w:fill="auto"/>
            <w:vAlign w:val="bottom"/>
          </w:tcPr>
          <w:p w14:paraId="52A5CF38" w14:textId="77777777" w:rsidR="00822225" w:rsidRPr="00C10056" w:rsidRDefault="009B2260" w:rsidP="00A95196">
            <w:pPr>
              <w:jc w:val="center"/>
              <w:rPr>
                <w:rFonts w:ascii="Arial" w:hAnsi="Arial" w:cs="Arial"/>
                <w:b/>
                <w:sz w:val="20"/>
              </w:rPr>
            </w:pPr>
            <w:r>
              <w:rPr>
                <w:rFonts w:ascii="Arial" w:hAnsi="Arial" w:cs="Arial"/>
                <w:b/>
                <w:sz w:val="20"/>
              </w:rPr>
              <w:t>DLC Categories Eligible under this Workpaper:</w:t>
            </w:r>
          </w:p>
        </w:tc>
      </w:tr>
      <w:tr w:rsidR="00822225" w:rsidRPr="00C10056" w14:paraId="2E43F3C5" w14:textId="77777777" w:rsidTr="001F4B8F">
        <w:trPr>
          <w:jc w:val="center"/>
        </w:trPr>
        <w:tc>
          <w:tcPr>
            <w:tcW w:w="6733" w:type="dxa"/>
            <w:shd w:val="clear" w:color="auto" w:fill="auto"/>
            <w:vAlign w:val="center"/>
          </w:tcPr>
          <w:p w14:paraId="5B8E40E1" w14:textId="6FA68851" w:rsidR="00822225" w:rsidRPr="00C10056" w:rsidRDefault="00822225" w:rsidP="00D12AFE">
            <w:pPr>
              <w:numPr>
                <w:ilvl w:val="0"/>
                <w:numId w:val="22"/>
              </w:numPr>
              <w:rPr>
                <w:rFonts w:ascii="Arial" w:hAnsi="Arial" w:cs="Arial"/>
                <w:sz w:val="20"/>
              </w:rPr>
            </w:pPr>
            <w:r w:rsidRPr="00C10056">
              <w:rPr>
                <w:rFonts w:ascii="Arial" w:hAnsi="Arial" w:cs="Arial"/>
                <w:sz w:val="20"/>
              </w:rPr>
              <w:t xml:space="preserve">Must be </w:t>
            </w:r>
            <w:r w:rsidR="0049390F">
              <w:rPr>
                <w:rFonts w:ascii="Arial" w:hAnsi="Arial" w:cs="Arial"/>
                <w:sz w:val="20"/>
              </w:rPr>
              <w:t>in one</w:t>
            </w:r>
            <w:r w:rsidR="0049390F" w:rsidRPr="00E20F5E">
              <w:rPr>
                <w:rFonts w:ascii="Arial" w:hAnsi="Arial" w:cs="Arial"/>
                <w:sz w:val="20"/>
              </w:rPr>
              <w:t xml:space="preserve"> of </w:t>
            </w:r>
            <w:r w:rsidR="00A26272">
              <w:rPr>
                <w:rFonts w:ascii="Arial" w:hAnsi="Arial" w:cs="Arial"/>
                <w:sz w:val="20"/>
              </w:rPr>
              <w:t>nine</w:t>
            </w:r>
            <w:r w:rsidR="004F1CD7" w:rsidRPr="00E20F5E">
              <w:rPr>
                <w:rFonts w:ascii="Arial" w:hAnsi="Arial" w:cs="Arial"/>
                <w:sz w:val="20"/>
              </w:rPr>
              <w:t xml:space="preserve"> </w:t>
            </w:r>
            <w:r w:rsidR="007A7EF5" w:rsidRPr="00E20F5E">
              <w:rPr>
                <w:rFonts w:ascii="Arial" w:hAnsi="Arial" w:cs="Arial"/>
                <w:sz w:val="20"/>
              </w:rPr>
              <w:t xml:space="preserve">DLC </w:t>
            </w:r>
            <w:r w:rsidR="00A26272">
              <w:rPr>
                <w:rFonts w:ascii="Arial" w:hAnsi="Arial" w:cs="Arial"/>
                <w:sz w:val="20"/>
              </w:rPr>
              <w:t xml:space="preserve">product </w:t>
            </w:r>
            <w:r w:rsidRPr="00C10056">
              <w:rPr>
                <w:rFonts w:ascii="Arial" w:hAnsi="Arial" w:cs="Arial"/>
                <w:sz w:val="20"/>
              </w:rPr>
              <w:t>categories:</w:t>
            </w:r>
          </w:p>
          <w:p w14:paraId="7B5BD339" w14:textId="77777777" w:rsidR="0045051D" w:rsidRDefault="0045051D" w:rsidP="0045051D">
            <w:pPr>
              <w:numPr>
                <w:ilvl w:val="1"/>
                <w:numId w:val="22"/>
              </w:numPr>
              <w:rPr>
                <w:rFonts w:ascii="Arial" w:hAnsi="Arial" w:cs="Arial"/>
                <w:sz w:val="20"/>
              </w:rPr>
            </w:pPr>
            <w:r w:rsidRPr="0049390F">
              <w:rPr>
                <w:rFonts w:ascii="Arial" w:hAnsi="Arial" w:cs="Arial"/>
                <w:sz w:val="20"/>
              </w:rPr>
              <w:t>2x4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14:paraId="0CC32999" w14:textId="77777777" w:rsidR="0045051D" w:rsidRDefault="0045051D" w:rsidP="0045051D">
            <w:pPr>
              <w:numPr>
                <w:ilvl w:val="1"/>
                <w:numId w:val="22"/>
              </w:numPr>
              <w:rPr>
                <w:rFonts w:ascii="Arial" w:hAnsi="Arial" w:cs="Arial"/>
                <w:sz w:val="20"/>
              </w:rPr>
            </w:pPr>
            <w:r>
              <w:rPr>
                <w:rFonts w:ascii="Arial" w:hAnsi="Arial" w:cs="Arial"/>
                <w:sz w:val="20"/>
              </w:rPr>
              <w:t xml:space="preserve">Integrated </w:t>
            </w:r>
            <w:r w:rsidRPr="0049390F">
              <w:rPr>
                <w:rFonts w:ascii="Arial" w:hAnsi="Arial" w:cs="Arial"/>
                <w:sz w:val="20"/>
              </w:rPr>
              <w:t>Retrofit Kits for 2x4 Luminaires for Ambient Lighting of Interior Commercial Spaces</w:t>
            </w:r>
            <w:r w:rsidRPr="0049390F">
              <w:rPr>
                <w:rFonts w:ascii="Arial" w:hAnsi="Arial" w:cs="Arial"/>
                <w:sz w:val="20"/>
              </w:rPr>
              <w:tab/>
            </w:r>
          </w:p>
          <w:p w14:paraId="361F77AC" w14:textId="77777777" w:rsidR="0049390F" w:rsidRDefault="0049390F" w:rsidP="0049390F">
            <w:pPr>
              <w:numPr>
                <w:ilvl w:val="1"/>
                <w:numId w:val="22"/>
              </w:numPr>
              <w:rPr>
                <w:rFonts w:ascii="Arial" w:hAnsi="Arial" w:cs="Arial"/>
                <w:sz w:val="20"/>
              </w:rPr>
            </w:pPr>
            <w:r w:rsidRPr="0049390F">
              <w:rPr>
                <w:rFonts w:ascii="Arial" w:hAnsi="Arial" w:cs="Arial"/>
                <w:sz w:val="20"/>
              </w:rPr>
              <w:t>2x2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14:paraId="703ED7F3" w14:textId="77777777" w:rsid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2x2 Luminaires for Ambient Lighting of Interior Commercial Spaces</w:t>
            </w:r>
            <w:r>
              <w:rPr>
                <w:rFonts w:ascii="Arial" w:hAnsi="Arial" w:cs="Arial"/>
                <w:sz w:val="20"/>
              </w:rPr>
              <w:tab/>
            </w:r>
            <w:r>
              <w:rPr>
                <w:rFonts w:ascii="Arial" w:hAnsi="Arial" w:cs="Arial"/>
                <w:sz w:val="20"/>
              </w:rPr>
              <w:tab/>
            </w:r>
          </w:p>
          <w:p w14:paraId="35EF76A5" w14:textId="77777777" w:rsidR="0049390F" w:rsidRDefault="0049390F" w:rsidP="0049390F">
            <w:pPr>
              <w:numPr>
                <w:ilvl w:val="1"/>
                <w:numId w:val="22"/>
              </w:numPr>
              <w:rPr>
                <w:rFonts w:ascii="Arial" w:hAnsi="Arial" w:cs="Arial"/>
                <w:sz w:val="20"/>
              </w:rPr>
            </w:pPr>
            <w:r w:rsidRPr="0049390F">
              <w:rPr>
                <w:rFonts w:ascii="Arial" w:hAnsi="Arial" w:cs="Arial"/>
                <w:sz w:val="20"/>
              </w:rPr>
              <w:t>1x4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14:paraId="3EA76B0A" w14:textId="77777777" w:rsidR="004F1CD7" w:rsidRDefault="006F0984" w:rsidP="0045051D">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1x4 Luminaires for Ambient Lighting of Interior Commercial Spaces</w:t>
            </w:r>
          </w:p>
          <w:p w14:paraId="37C222F8" w14:textId="77777777" w:rsidR="004F1CD7" w:rsidRDefault="004F1CD7" w:rsidP="0045051D">
            <w:pPr>
              <w:numPr>
                <w:ilvl w:val="1"/>
                <w:numId w:val="22"/>
              </w:numPr>
              <w:rPr>
                <w:rFonts w:ascii="Arial" w:hAnsi="Arial" w:cs="Arial"/>
                <w:sz w:val="20"/>
              </w:rPr>
            </w:pPr>
            <w:r>
              <w:rPr>
                <w:rFonts w:ascii="Arial" w:hAnsi="Arial" w:cs="Arial"/>
                <w:sz w:val="20"/>
              </w:rPr>
              <w:t>Direct Linear Ambient Luminaires</w:t>
            </w:r>
          </w:p>
          <w:p w14:paraId="2DC450BF" w14:textId="77777777" w:rsidR="004F1CD7" w:rsidRDefault="004F1CD7" w:rsidP="0045051D">
            <w:pPr>
              <w:numPr>
                <w:ilvl w:val="1"/>
                <w:numId w:val="22"/>
              </w:numPr>
              <w:rPr>
                <w:rFonts w:ascii="Arial" w:hAnsi="Arial" w:cs="Arial"/>
                <w:sz w:val="20"/>
              </w:rPr>
            </w:pPr>
            <w:r>
              <w:rPr>
                <w:rFonts w:ascii="Arial" w:hAnsi="Arial" w:cs="Arial"/>
                <w:sz w:val="20"/>
              </w:rPr>
              <w:t>Linear Ambient Luminaires with Indirect Component</w:t>
            </w:r>
          </w:p>
          <w:p w14:paraId="5F5A8241" w14:textId="738EF078" w:rsidR="00822225" w:rsidRPr="0045051D" w:rsidRDefault="004F1CD7" w:rsidP="004F1CD7">
            <w:pPr>
              <w:numPr>
                <w:ilvl w:val="1"/>
                <w:numId w:val="22"/>
              </w:numPr>
              <w:rPr>
                <w:rFonts w:ascii="Arial" w:hAnsi="Arial" w:cs="Arial"/>
                <w:sz w:val="20"/>
              </w:rPr>
            </w:pPr>
            <w:r w:rsidRPr="004F1CD7">
              <w:rPr>
                <w:rFonts w:ascii="Arial" w:hAnsi="Arial" w:cs="Arial"/>
                <w:sz w:val="20"/>
              </w:rPr>
              <w:t>Retrofit Kits for Direct Linear Ambient Luminaires</w:t>
            </w:r>
          </w:p>
        </w:tc>
      </w:tr>
    </w:tbl>
    <w:p w14:paraId="7FEBA594" w14:textId="77777777" w:rsidR="00CB4218" w:rsidRPr="00C10056" w:rsidRDefault="00CB4218" w:rsidP="00CB4218">
      <w:pPr>
        <w:rPr>
          <w:rFonts w:ascii="Arial" w:hAnsi="Arial" w:cs="Arial"/>
          <w:sz w:val="20"/>
        </w:rPr>
      </w:pPr>
    </w:p>
    <w:p w14:paraId="0E3C16E1" w14:textId="77777777" w:rsidR="00787D07" w:rsidRDefault="00787D07" w:rsidP="006F0984">
      <w:pPr>
        <w:rPr>
          <w:rFonts w:ascii="Arial" w:hAnsi="Arial" w:cs="Arial"/>
          <w:sz w:val="20"/>
          <w:szCs w:val="20"/>
        </w:rPr>
      </w:pPr>
      <w:r w:rsidRPr="006F0984">
        <w:rPr>
          <w:rFonts w:ascii="Arial" w:hAnsi="Arial" w:cs="Arial"/>
          <w:sz w:val="20"/>
          <w:szCs w:val="20"/>
        </w:rPr>
        <w:t>Products must meet exact technical require</w:t>
      </w:r>
      <w:r w:rsidRPr="00E20F5E">
        <w:rPr>
          <w:rFonts w:ascii="Arial" w:hAnsi="Arial" w:cs="Arial"/>
          <w:sz w:val="20"/>
          <w:szCs w:val="20"/>
        </w:rPr>
        <w:t>ments listed on DLC fo</w:t>
      </w:r>
      <w:r w:rsidRPr="006F0984">
        <w:rPr>
          <w:rFonts w:ascii="Arial" w:hAnsi="Arial" w:cs="Arial"/>
          <w:sz w:val="20"/>
          <w:szCs w:val="20"/>
        </w:rPr>
        <w:t>r these product categories stated above.</w:t>
      </w:r>
    </w:p>
    <w:p w14:paraId="32466FCF" w14:textId="77777777" w:rsidR="00787D07" w:rsidRDefault="00787D07" w:rsidP="006F0984">
      <w:pPr>
        <w:rPr>
          <w:rFonts w:ascii="Arial" w:hAnsi="Arial" w:cs="Arial"/>
          <w:sz w:val="20"/>
          <w:szCs w:val="20"/>
        </w:rPr>
      </w:pPr>
    </w:p>
    <w:p w14:paraId="533C2945" w14:textId="77777777" w:rsidR="00CB4218" w:rsidRPr="00C10056" w:rsidRDefault="00CB4218" w:rsidP="00CB4218">
      <w:pPr>
        <w:ind w:left="360"/>
        <w:rPr>
          <w:rFonts w:ascii="Arial" w:hAnsi="Arial" w:cs="Arial"/>
          <w:b/>
          <w:sz w:val="20"/>
        </w:rPr>
      </w:pPr>
      <w:r w:rsidRPr="00C10056">
        <w:rPr>
          <w:rFonts w:ascii="Arial" w:hAnsi="Arial" w:cs="Arial"/>
          <w:b/>
          <w:sz w:val="20"/>
        </w:rPr>
        <w:t xml:space="preserve">Terms and Conditions: </w:t>
      </w:r>
    </w:p>
    <w:p w14:paraId="46082A70" w14:textId="77777777"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PG&amp;E electric customer. </w:t>
      </w:r>
    </w:p>
    <w:p w14:paraId="4250D385" w14:textId="77777777" w:rsidR="00D46E0B" w:rsidRPr="00C10056" w:rsidRDefault="00D46E0B" w:rsidP="00CB4218">
      <w:pPr>
        <w:ind w:left="360"/>
        <w:rPr>
          <w:rFonts w:ascii="Arial" w:hAnsi="Arial" w:cs="Arial"/>
          <w:sz w:val="20"/>
        </w:rPr>
      </w:pPr>
    </w:p>
    <w:p w14:paraId="31CF5E13" w14:textId="77777777" w:rsidR="00CB4218" w:rsidRPr="00C10056" w:rsidRDefault="00CB4218" w:rsidP="00CB4218">
      <w:pPr>
        <w:ind w:left="360"/>
        <w:rPr>
          <w:rFonts w:ascii="Arial" w:hAnsi="Arial" w:cs="Arial"/>
          <w:b/>
          <w:sz w:val="20"/>
        </w:rPr>
      </w:pPr>
      <w:r w:rsidRPr="00C10056">
        <w:rPr>
          <w:rFonts w:ascii="Arial" w:hAnsi="Arial" w:cs="Arial"/>
          <w:b/>
          <w:sz w:val="20"/>
        </w:rPr>
        <w:t xml:space="preserve">Market Applicability: </w:t>
      </w:r>
    </w:p>
    <w:p w14:paraId="7B58C0B0" w14:textId="77777777"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w:t>
      </w:r>
      <w:r w:rsidR="00D46E0B" w:rsidRPr="00C10056">
        <w:rPr>
          <w:rFonts w:ascii="Arial" w:hAnsi="Arial" w:cs="Arial"/>
          <w:sz w:val="20"/>
        </w:rPr>
        <w:t>PG&amp;E electric customer.</w:t>
      </w:r>
    </w:p>
    <w:p w14:paraId="16E50C36" w14:textId="77777777" w:rsidR="00CB4218" w:rsidRPr="00C10056" w:rsidRDefault="00CB4218" w:rsidP="00CB4218">
      <w:pPr>
        <w:ind w:left="360"/>
        <w:rPr>
          <w:rFonts w:ascii="Arial" w:hAnsi="Arial" w:cs="Arial"/>
          <w:sz w:val="20"/>
        </w:rPr>
      </w:pPr>
    </w:p>
    <w:p w14:paraId="786A1041" w14:textId="77777777" w:rsidR="0057057B" w:rsidRDefault="002D5866" w:rsidP="002D5866">
      <w:pPr>
        <w:rPr>
          <w:rFonts w:ascii="Arial" w:hAnsi="Arial" w:cs="Arial"/>
          <w:sz w:val="20"/>
          <w:szCs w:val="20"/>
        </w:rPr>
      </w:pPr>
      <w:r>
        <w:rPr>
          <w:rFonts w:ascii="Arial" w:hAnsi="Arial" w:cs="Arial"/>
          <w:sz w:val="20"/>
          <w:szCs w:val="20"/>
        </w:rPr>
        <w:br w:type="page"/>
      </w:r>
    </w:p>
    <w:p w14:paraId="17FE9024" w14:textId="5D1BB91D" w:rsidR="00521920" w:rsidRDefault="002D5866" w:rsidP="0081148F">
      <w:pPr>
        <w:pStyle w:val="Heading2"/>
        <w:spacing w:before="120" w:after="0"/>
      </w:pPr>
      <w:bookmarkStart w:id="23" w:name="_Toc533933918"/>
      <w:bookmarkStart w:id="24" w:name="_Toc2808638"/>
      <w:r>
        <w:lastRenderedPageBreak/>
        <w:t>1.</w:t>
      </w:r>
      <w:r w:rsidR="00952772">
        <w:t>3</w:t>
      </w:r>
      <w:r w:rsidR="00806070" w:rsidRPr="00C10056">
        <w:t xml:space="preserve"> Product </w:t>
      </w:r>
      <w:r w:rsidR="00521920" w:rsidRPr="00C10056">
        <w:t>Technical Description</w:t>
      </w:r>
      <w:bookmarkEnd w:id="23"/>
      <w:bookmarkEnd w:id="24"/>
    </w:p>
    <w:p w14:paraId="1BEC78BE" w14:textId="77777777" w:rsidR="0014799F" w:rsidRDefault="0014799F" w:rsidP="0014799F"/>
    <w:p w14:paraId="59E0C552" w14:textId="77777777" w:rsidR="001F2CDE" w:rsidRDefault="001F2CDE" w:rsidP="0014799F">
      <w:pPr>
        <w:rPr>
          <w:rFonts w:ascii="Arial" w:hAnsi="Arial" w:cs="Arial"/>
          <w:sz w:val="20"/>
        </w:rPr>
      </w:pPr>
      <w:r w:rsidRPr="00C10056">
        <w:rPr>
          <w:rFonts w:ascii="Arial" w:hAnsi="Arial" w:cs="Arial"/>
          <w:sz w:val="20"/>
        </w:rPr>
        <w:t xml:space="preserve">Light emitting diode (LED) sources have improved over the past decade making them an efficient and reliable lighting technology. Many LED products </w:t>
      </w:r>
      <w:r w:rsidRPr="00A36F2B">
        <w:rPr>
          <w:rFonts w:ascii="Arial" w:hAnsi="Arial" w:cs="Arial"/>
          <w:sz w:val="20"/>
        </w:rPr>
        <w:t>have successfully replaced</w:t>
      </w:r>
      <w:r w:rsidRPr="00C10056">
        <w:rPr>
          <w:rFonts w:ascii="Arial" w:hAnsi="Arial" w:cs="Arial"/>
          <w:sz w:val="20"/>
        </w:rPr>
        <w:t xml:space="preserve"> other lighting sources</w:t>
      </w:r>
      <w:r w:rsidR="00051043">
        <w:rPr>
          <w:rFonts w:ascii="Arial" w:hAnsi="Arial" w:cs="Arial"/>
          <w:sz w:val="20"/>
        </w:rPr>
        <w:t xml:space="preserve"> in some applications</w:t>
      </w:r>
      <w:r w:rsidRPr="00C10056">
        <w:rPr>
          <w:rFonts w:ascii="Arial" w:hAnsi="Arial" w:cs="Arial"/>
          <w:sz w:val="20"/>
        </w:rPr>
        <w:t xml:space="preserve"> and made their way into the market through continuous improvement and compete with more established sources across many applications.</w:t>
      </w:r>
    </w:p>
    <w:p w14:paraId="1EFED2C0" w14:textId="77777777" w:rsidR="001F2CDE" w:rsidRDefault="001F2CDE" w:rsidP="0014799F">
      <w:pPr>
        <w:rPr>
          <w:rFonts w:ascii="Arial" w:hAnsi="Arial" w:cs="Arial"/>
          <w:sz w:val="20"/>
        </w:rPr>
      </w:pPr>
    </w:p>
    <w:p w14:paraId="30E7E22C" w14:textId="77777777" w:rsidR="001F2CDE" w:rsidRDefault="001F2CDE" w:rsidP="0014799F">
      <w:pPr>
        <w:rPr>
          <w:rFonts w:ascii="Arial" w:hAnsi="Arial" w:cs="Arial"/>
          <w:color w:val="000000" w:themeColor="text1"/>
          <w:sz w:val="20"/>
        </w:rPr>
      </w:pPr>
      <w:r w:rsidRPr="00B93792">
        <w:rPr>
          <w:rFonts w:ascii="Arial" w:hAnsi="Arial" w:cs="Arial"/>
          <w:color w:val="000000" w:themeColor="text1"/>
          <w:sz w:val="20"/>
        </w:rPr>
        <w:t>Recessed</w:t>
      </w:r>
      <w:r w:rsidR="004B14B6" w:rsidRPr="00B93792">
        <w:rPr>
          <w:rFonts w:ascii="Arial" w:hAnsi="Arial" w:cs="Arial"/>
          <w:color w:val="000000" w:themeColor="text1"/>
          <w:sz w:val="20"/>
        </w:rPr>
        <w:t xml:space="preserve"> rectangular light</w:t>
      </w:r>
      <w:r w:rsidRPr="00B93792">
        <w:rPr>
          <w:rFonts w:ascii="Arial" w:hAnsi="Arial" w:cs="Arial"/>
          <w:color w:val="000000" w:themeColor="text1"/>
          <w:sz w:val="20"/>
        </w:rPr>
        <w:t xml:space="preserve"> fixtures, sometimes known as troffers, have traditionally used linear fluorescent light sources: </w:t>
      </w:r>
      <w:r w:rsidR="00CA5B98">
        <w:rPr>
          <w:rFonts w:ascii="Arial" w:hAnsi="Arial" w:cs="Arial"/>
          <w:color w:val="000000" w:themeColor="text1"/>
          <w:sz w:val="20"/>
        </w:rPr>
        <w:t>P</w:t>
      </w:r>
      <w:r w:rsidR="00CA5B98" w:rsidRPr="00B93792">
        <w:rPr>
          <w:rFonts w:ascii="Arial" w:hAnsi="Arial" w:cs="Arial"/>
          <w:color w:val="000000" w:themeColor="text1"/>
          <w:sz w:val="20"/>
        </w:rPr>
        <w:t>redominate</w:t>
      </w:r>
      <w:r w:rsidR="00CA5B98">
        <w:rPr>
          <w:rFonts w:ascii="Arial" w:hAnsi="Arial" w:cs="Arial"/>
          <w:color w:val="000000" w:themeColor="text1"/>
          <w:sz w:val="20"/>
        </w:rPr>
        <w:t>ly</w:t>
      </w:r>
      <w:r w:rsidR="00CA5B98" w:rsidRPr="00B93792">
        <w:rPr>
          <w:rFonts w:ascii="Arial" w:hAnsi="Arial" w:cs="Arial"/>
          <w:color w:val="000000" w:themeColor="text1"/>
          <w:sz w:val="20"/>
        </w:rPr>
        <w:t xml:space="preserve"> </w:t>
      </w:r>
      <w:r w:rsidRPr="00B93792">
        <w:rPr>
          <w:rFonts w:ascii="Arial" w:hAnsi="Arial" w:cs="Arial"/>
          <w:color w:val="000000" w:themeColor="text1"/>
          <w:sz w:val="20"/>
        </w:rPr>
        <w:t>T8 lamps with small T5 market share</w:t>
      </w:r>
      <w:r w:rsidR="00CA5B98">
        <w:rPr>
          <w:rFonts w:ascii="Arial" w:hAnsi="Arial" w:cs="Arial"/>
          <w:color w:val="000000" w:themeColor="text1"/>
          <w:sz w:val="20"/>
        </w:rPr>
        <w:t>,</w:t>
      </w:r>
      <w:r w:rsidRPr="00B93792">
        <w:rPr>
          <w:rFonts w:ascii="Arial" w:hAnsi="Arial" w:cs="Arial"/>
          <w:color w:val="000000" w:themeColor="text1"/>
          <w:sz w:val="20"/>
        </w:rPr>
        <w:t xml:space="preserve"> and a diminishing T12 presence in non-residential building stock. Similar fixture shapes are in use for much less common surface mountings in non-residential buildings, for spaces where recessed ceiling space is unavailable but ease of maintenance dictates a common lamp type. 4 foot lamps predominate, with 2 foot or U-bent lamps common</w:t>
      </w:r>
      <w:r w:rsidR="00CA5B98">
        <w:rPr>
          <w:rFonts w:ascii="Arial" w:hAnsi="Arial" w:cs="Arial"/>
          <w:color w:val="000000" w:themeColor="text1"/>
          <w:sz w:val="20"/>
        </w:rPr>
        <w:t xml:space="preserve"> in 2x2 fixtures</w:t>
      </w:r>
      <w:r w:rsidRPr="00B93792">
        <w:rPr>
          <w:rFonts w:ascii="Arial" w:hAnsi="Arial" w:cs="Arial"/>
          <w:color w:val="000000" w:themeColor="text1"/>
          <w:sz w:val="20"/>
        </w:rPr>
        <w:t>.</w:t>
      </w:r>
    </w:p>
    <w:p w14:paraId="4ADC8455" w14:textId="77777777" w:rsidR="00DF153C" w:rsidRDefault="00DF153C" w:rsidP="0014799F">
      <w:pPr>
        <w:rPr>
          <w:rFonts w:ascii="Arial" w:hAnsi="Arial" w:cs="Arial"/>
          <w:color w:val="000000" w:themeColor="text1"/>
          <w:sz w:val="20"/>
        </w:rPr>
      </w:pPr>
    </w:p>
    <w:p w14:paraId="08CD7C43" w14:textId="4DAC105F" w:rsidR="00DF153C" w:rsidRPr="00AF22E0" w:rsidRDefault="00DF153C" w:rsidP="0014799F">
      <w:pPr>
        <w:rPr>
          <w:rFonts w:ascii="Arial" w:hAnsi="Arial" w:cs="Arial"/>
          <w:color w:val="FF0000"/>
          <w:sz w:val="20"/>
        </w:rPr>
      </w:pPr>
      <w:r>
        <w:rPr>
          <w:rFonts w:ascii="Arial" w:hAnsi="Arial" w:cs="Arial"/>
          <w:color w:val="000000" w:themeColor="text1"/>
          <w:sz w:val="20"/>
        </w:rPr>
        <w:t>Linear Ambient fixtures have a wide array of uses in non-residential applications</w:t>
      </w:r>
      <w:r w:rsidR="005F742E">
        <w:rPr>
          <w:rFonts w:ascii="Arial" w:hAnsi="Arial" w:cs="Arial"/>
          <w:color w:val="000000"/>
          <w:sz w:val="20"/>
          <w:szCs w:val="20"/>
        </w:rPr>
        <w:t xml:space="preserve">. These fixtures are used for Direct and Indirect lighting in office and retail environments, industrial and warehouse linear lighting, ingress-protected linear lighting, and other uses. Lighting for these applications has been traditionally provided by various forms of linear fluorescent fixtures that span a wide range of aesthetic quality from Class A office space to industrial work space to retail stockroom: fluorescent strips, fluorescent wraps, fluorescent suspended fixtures, </w:t>
      </w:r>
      <w:r w:rsidR="00A9572F">
        <w:rPr>
          <w:rFonts w:ascii="Arial" w:hAnsi="Arial" w:cs="Arial"/>
          <w:color w:val="000000"/>
          <w:sz w:val="20"/>
          <w:szCs w:val="20"/>
        </w:rPr>
        <w:t xml:space="preserve">and </w:t>
      </w:r>
      <w:r w:rsidR="005F742E">
        <w:rPr>
          <w:rFonts w:ascii="Arial" w:hAnsi="Arial" w:cs="Arial"/>
          <w:color w:val="000000"/>
          <w:sz w:val="20"/>
          <w:szCs w:val="20"/>
        </w:rPr>
        <w:t>fluorescent vapor-tight fixtures.</w:t>
      </w:r>
    </w:p>
    <w:p w14:paraId="4E24BF7A" w14:textId="77777777" w:rsidR="001F2CDE" w:rsidRDefault="001F2CDE" w:rsidP="0014799F">
      <w:pPr>
        <w:rPr>
          <w:rFonts w:ascii="Arial" w:hAnsi="Arial" w:cs="Arial"/>
          <w:sz w:val="20"/>
          <w:highlight w:val="yellow"/>
        </w:rPr>
      </w:pPr>
    </w:p>
    <w:p w14:paraId="72D27A71" w14:textId="49124632" w:rsidR="0014799F" w:rsidRPr="0014799F" w:rsidRDefault="001F2CDE" w:rsidP="0014799F">
      <w:pPr>
        <w:rPr>
          <w:rFonts w:ascii="Arial" w:hAnsi="Arial" w:cs="Arial"/>
          <w:sz w:val="20"/>
          <w:highlight w:val="yellow"/>
        </w:rPr>
      </w:pPr>
      <w:r w:rsidRPr="001F2CDE">
        <w:rPr>
          <w:rFonts w:ascii="Arial" w:hAnsi="Arial" w:cs="Arial"/>
          <w:sz w:val="20"/>
        </w:rPr>
        <w:t>LED</w:t>
      </w:r>
      <w:r w:rsidR="0014799F" w:rsidRPr="001F2CDE">
        <w:rPr>
          <w:rFonts w:ascii="Arial" w:hAnsi="Arial" w:cs="Arial"/>
          <w:sz w:val="20"/>
        </w:rPr>
        <w:t xml:space="preserve"> products offer advantages over linear fluorescent products for the general commercial fixture market. LED chip efficacies now routinely surpass the best fluorescent lamp-and-ballast system efficacies, and the superior directional light control of LEDs allows even greater fixture efficacy improvements. LED products reduce maintenance costs relative to linear fluorescent products that require re</w:t>
      </w:r>
      <w:r w:rsidRPr="001F2CDE">
        <w:rPr>
          <w:rFonts w:ascii="Arial" w:hAnsi="Arial" w:cs="Arial"/>
          <w:sz w:val="20"/>
        </w:rPr>
        <w:t>-</w:t>
      </w:r>
      <w:r w:rsidR="0014799F" w:rsidRPr="001F2CDE">
        <w:rPr>
          <w:rFonts w:ascii="Arial" w:hAnsi="Arial" w:cs="Arial"/>
          <w:sz w:val="20"/>
        </w:rPr>
        <w:t>lamping.</w:t>
      </w:r>
      <w:r w:rsidR="0014799F" w:rsidRPr="001F2CDE">
        <w:rPr>
          <w:rFonts w:ascii="Arial" w:hAnsi="Arial" w:cs="Arial"/>
          <w:sz w:val="20"/>
          <w:szCs w:val="20"/>
        </w:rPr>
        <w:t xml:space="preserve"> Linear fluorescent lighting represents </w:t>
      </w:r>
      <w:r w:rsidR="006F7A9C">
        <w:rPr>
          <w:rFonts w:ascii="Arial" w:hAnsi="Arial" w:cs="Arial"/>
          <w:sz w:val="20"/>
          <w:szCs w:val="20"/>
        </w:rPr>
        <w:t>66</w:t>
      </w:r>
      <w:r w:rsidR="0014799F" w:rsidRPr="001F2CDE">
        <w:rPr>
          <w:rFonts w:ascii="Arial" w:hAnsi="Arial" w:cs="Arial"/>
          <w:sz w:val="20"/>
          <w:szCs w:val="20"/>
        </w:rPr>
        <w:t xml:space="preserve">% of </w:t>
      </w:r>
      <w:r w:rsidR="006F7A9C">
        <w:rPr>
          <w:rFonts w:ascii="Arial" w:hAnsi="Arial" w:cs="Arial"/>
          <w:sz w:val="20"/>
          <w:szCs w:val="20"/>
        </w:rPr>
        <w:t xml:space="preserve">lighting </w:t>
      </w:r>
      <w:r w:rsidR="0014799F" w:rsidRPr="001F2CDE">
        <w:rPr>
          <w:rFonts w:ascii="Arial" w:hAnsi="Arial" w:cs="Arial"/>
          <w:sz w:val="20"/>
          <w:szCs w:val="20"/>
        </w:rPr>
        <w:t xml:space="preserve">energy use in the commercial </w:t>
      </w:r>
      <w:r w:rsidR="006F7A9C">
        <w:rPr>
          <w:rFonts w:ascii="Arial" w:hAnsi="Arial" w:cs="Arial"/>
          <w:sz w:val="20"/>
          <w:szCs w:val="20"/>
        </w:rPr>
        <w:t xml:space="preserve">and industrial </w:t>
      </w:r>
      <w:r w:rsidR="0014799F" w:rsidRPr="001F2CDE">
        <w:rPr>
          <w:rFonts w:ascii="Arial" w:hAnsi="Arial" w:cs="Arial"/>
          <w:sz w:val="20"/>
          <w:szCs w:val="20"/>
        </w:rPr>
        <w:t>sector</w:t>
      </w:r>
      <w:r w:rsidR="006F7A9C">
        <w:rPr>
          <w:rFonts w:ascii="Arial" w:hAnsi="Arial" w:cs="Arial"/>
          <w:sz w:val="20"/>
          <w:szCs w:val="20"/>
        </w:rPr>
        <w:t>s</w:t>
      </w:r>
      <w:r w:rsidR="0014799F" w:rsidRPr="001F2CDE">
        <w:rPr>
          <w:rFonts w:ascii="Arial" w:hAnsi="Arial" w:cs="Arial"/>
          <w:sz w:val="20"/>
          <w:szCs w:val="20"/>
        </w:rPr>
        <w:t xml:space="preserve"> and </w:t>
      </w:r>
      <w:r w:rsidR="006F7A9C">
        <w:rPr>
          <w:rFonts w:ascii="Arial" w:hAnsi="Arial" w:cs="Arial"/>
          <w:sz w:val="20"/>
          <w:szCs w:val="20"/>
        </w:rPr>
        <w:t>7</w:t>
      </w:r>
      <w:r w:rsidR="0014799F" w:rsidRPr="001F2CDE">
        <w:rPr>
          <w:rFonts w:ascii="Arial" w:hAnsi="Arial" w:cs="Arial"/>
          <w:sz w:val="20"/>
          <w:szCs w:val="20"/>
        </w:rPr>
        <w:t xml:space="preserve">8% of all commercial </w:t>
      </w:r>
      <w:r w:rsidR="00E02C6E">
        <w:rPr>
          <w:rFonts w:ascii="Arial" w:hAnsi="Arial" w:cs="Arial"/>
          <w:sz w:val="20"/>
          <w:szCs w:val="20"/>
        </w:rPr>
        <w:t xml:space="preserve">and 90% of all industrial </w:t>
      </w:r>
      <w:r w:rsidR="0014799F" w:rsidRPr="001F2CDE">
        <w:rPr>
          <w:rFonts w:ascii="Arial" w:hAnsi="Arial" w:cs="Arial"/>
          <w:sz w:val="20"/>
          <w:szCs w:val="20"/>
        </w:rPr>
        <w:t>light fixtures, and therefore represents an enormous opportunity for potential LED savings.</w:t>
      </w:r>
      <w:r w:rsidR="00E41399">
        <w:rPr>
          <w:rStyle w:val="EndnoteReference"/>
          <w:rFonts w:ascii="Arial" w:hAnsi="Arial" w:cs="Arial"/>
          <w:sz w:val="20"/>
          <w:szCs w:val="20"/>
        </w:rPr>
        <w:endnoteReference w:id="1"/>
      </w:r>
    </w:p>
    <w:p w14:paraId="0FB03A10" w14:textId="77777777" w:rsidR="0014799F" w:rsidRPr="0014799F" w:rsidRDefault="0014799F" w:rsidP="0014799F">
      <w:pPr>
        <w:rPr>
          <w:rFonts w:ascii="Arial" w:hAnsi="Arial" w:cs="Arial"/>
          <w:sz w:val="20"/>
          <w:highlight w:val="yellow"/>
        </w:rPr>
      </w:pPr>
    </w:p>
    <w:p w14:paraId="76B038C6" w14:textId="2332BECB" w:rsidR="0014799F" w:rsidRDefault="0014799F" w:rsidP="0014799F">
      <w:pPr>
        <w:rPr>
          <w:rFonts w:ascii="Arial" w:hAnsi="Arial" w:cs="Arial"/>
          <w:sz w:val="20"/>
        </w:rPr>
      </w:pPr>
      <w:r w:rsidRPr="001F2CDE">
        <w:rPr>
          <w:rFonts w:ascii="Arial" w:hAnsi="Arial" w:cs="Arial"/>
          <w:sz w:val="20"/>
        </w:rPr>
        <w:t xml:space="preserve">LED Ambient </w:t>
      </w:r>
      <w:r w:rsidR="001F2CDE" w:rsidRPr="001F2CDE">
        <w:rPr>
          <w:rFonts w:ascii="Arial" w:hAnsi="Arial" w:cs="Arial"/>
          <w:sz w:val="20"/>
        </w:rPr>
        <w:t>Commercial products</w:t>
      </w:r>
      <w:r w:rsidRPr="001F2CDE">
        <w:rPr>
          <w:rFonts w:ascii="Arial" w:hAnsi="Arial" w:cs="Arial"/>
          <w:sz w:val="20"/>
        </w:rPr>
        <w:t xml:space="preserve">, which are most commonly </w:t>
      </w:r>
      <w:r w:rsidR="00E02C6E">
        <w:rPr>
          <w:rFonts w:ascii="Arial" w:hAnsi="Arial" w:cs="Arial"/>
          <w:sz w:val="20"/>
        </w:rPr>
        <w:t xml:space="preserve">offered as </w:t>
      </w:r>
      <w:r w:rsidRPr="001F2CDE">
        <w:rPr>
          <w:rFonts w:ascii="Arial" w:hAnsi="Arial" w:cs="Arial"/>
          <w:sz w:val="20"/>
        </w:rPr>
        <w:t>recessed</w:t>
      </w:r>
      <w:r w:rsidR="00E02C6E">
        <w:rPr>
          <w:rFonts w:ascii="Arial" w:hAnsi="Arial" w:cs="Arial"/>
          <w:sz w:val="20"/>
        </w:rPr>
        <w:t>,</w:t>
      </w:r>
      <w:r w:rsidRPr="001F2CDE">
        <w:rPr>
          <w:rFonts w:ascii="Arial" w:hAnsi="Arial" w:cs="Arial"/>
          <w:sz w:val="20"/>
        </w:rPr>
        <w:t xml:space="preserve"> surface-mounted</w:t>
      </w:r>
      <w:r w:rsidR="00E02C6E">
        <w:rPr>
          <w:rFonts w:ascii="Arial" w:hAnsi="Arial" w:cs="Arial"/>
          <w:sz w:val="20"/>
        </w:rPr>
        <w:t>,</w:t>
      </w:r>
      <w:r w:rsidRPr="001F2CDE">
        <w:rPr>
          <w:rFonts w:ascii="Arial" w:hAnsi="Arial" w:cs="Arial"/>
          <w:sz w:val="20"/>
        </w:rPr>
        <w:t xml:space="preserve"> or suspended</w:t>
      </w:r>
      <w:r w:rsidR="005B7E32">
        <w:rPr>
          <w:rFonts w:ascii="Arial" w:hAnsi="Arial" w:cs="Arial"/>
          <w:sz w:val="20"/>
        </w:rPr>
        <w:t xml:space="preserve"> fixtures</w:t>
      </w:r>
      <w:r w:rsidRPr="001F2CDE">
        <w:rPr>
          <w:rFonts w:ascii="Arial" w:hAnsi="Arial" w:cs="Arial"/>
          <w:sz w:val="20"/>
        </w:rPr>
        <w:t xml:space="preserve">, are available both as complete new fixtures (a.k.a. luminaires) and as </w:t>
      </w:r>
      <w:r w:rsidR="00F013FE" w:rsidRPr="009E22EA">
        <w:rPr>
          <w:rFonts w:ascii="Arial" w:hAnsi="Arial" w:cs="Arial"/>
          <w:sz w:val="20"/>
        </w:rPr>
        <w:t xml:space="preserve">integrated </w:t>
      </w:r>
      <w:r w:rsidRPr="009E22EA">
        <w:rPr>
          <w:rFonts w:ascii="Arial" w:hAnsi="Arial" w:cs="Arial"/>
          <w:sz w:val="20"/>
        </w:rPr>
        <w:t xml:space="preserve">retrofit </w:t>
      </w:r>
      <w:r w:rsidRPr="001F2CDE">
        <w:rPr>
          <w:rFonts w:ascii="Arial" w:hAnsi="Arial" w:cs="Arial"/>
          <w:sz w:val="20"/>
        </w:rPr>
        <w:t>kits. Both options include new LED chips, an LED driver or power supply, and optical control or lenses.  Retrofit kits allow these components to be fit into existing linear fluorescent metal housing, whereas new LED luminaires are sold complete with a new metal housing.</w:t>
      </w:r>
    </w:p>
    <w:p w14:paraId="617EF046" w14:textId="77777777" w:rsidR="0014799F" w:rsidRPr="0014799F" w:rsidRDefault="0014799F" w:rsidP="0014799F"/>
    <w:p w14:paraId="5DD4A071" w14:textId="11FBEB6E" w:rsidR="00F7335F" w:rsidRPr="00F7335F" w:rsidRDefault="00F7335F" w:rsidP="00917583">
      <w:pPr>
        <w:autoSpaceDE w:val="0"/>
        <w:autoSpaceDN w:val="0"/>
        <w:adjustRightInd w:val="0"/>
        <w:rPr>
          <w:rFonts w:ascii="Arial" w:hAnsi="Arial" w:cs="Arial"/>
          <w:sz w:val="20"/>
          <w:vertAlign w:val="superscript"/>
        </w:rPr>
      </w:pPr>
      <w:r>
        <w:rPr>
          <w:rFonts w:ascii="Arial" w:hAnsi="Arial" w:cs="Arial"/>
          <w:sz w:val="20"/>
        </w:rPr>
        <w:t xml:space="preserve">Two </w:t>
      </w:r>
      <w:r w:rsidR="003D45D5">
        <w:rPr>
          <w:rFonts w:ascii="Arial" w:hAnsi="Arial" w:cs="Arial"/>
          <w:sz w:val="20"/>
        </w:rPr>
        <w:t>Emerging Technologies</w:t>
      </w:r>
      <w:r>
        <w:rPr>
          <w:rFonts w:ascii="Arial" w:hAnsi="Arial" w:cs="Arial"/>
          <w:sz w:val="20"/>
        </w:rPr>
        <w:t xml:space="preserve"> reports commissioned by PG&amp;E’s ET Program have demonstrated savings potential from these measures and allowed PG&amp;E to refine the requirements and specifications for these measures: </w:t>
      </w:r>
      <w:r w:rsidRPr="00976985">
        <w:rPr>
          <w:rFonts w:ascii="Arial" w:hAnsi="Arial" w:cs="Arial"/>
          <w:sz w:val="20"/>
          <w:szCs w:val="20"/>
        </w:rPr>
        <w:t>ET12PGE1481</w:t>
      </w:r>
      <w:r>
        <w:rPr>
          <w:rFonts w:ascii="Arial" w:hAnsi="Arial" w:cs="Arial"/>
          <w:sz w:val="20"/>
          <w:szCs w:val="20"/>
        </w:rPr>
        <w:t xml:space="preserve"> and </w:t>
      </w:r>
      <w:r w:rsidRPr="00976985">
        <w:rPr>
          <w:rFonts w:ascii="Arial" w:hAnsi="Arial" w:cs="Arial"/>
          <w:sz w:val="20"/>
          <w:szCs w:val="20"/>
        </w:rPr>
        <w:t>ET11PGE3251</w:t>
      </w:r>
      <w:r>
        <w:rPr>
          <w:rFonts w:ascii="Arial" w:hAnsi="Arial" w:cs="Arial"/>
          <w:sz w:val="20"/>
          <w:szCs w:val="20"/>
        </w:rPr>
        <w:t>.</w:t>
      </w:r>
      <w:r w:rsidR="00806003">
        <w:rPr>
          <w:rStyle w:val="EndnoteReference"/>
          <w:rFonts w:ascii="Arial" w:hAnsi="Arial" w:cs="Arial"/>
          <w:sz w:val="20"/>
          <w:szCs w:val="20"/>
        </w:rPr>
        <w:endnoteReference w:id="2"/>
      </w:r>
    </w:p>
    <w:p w14:paraId="411C0849" w14:textId="77777777" w:rsidR="002A22A4" w:rsidRDefault="002A22A4" w:rsidP="00917583">
      <w:pPr>
        <w:autoSpaceDE w:val="0"/>
        <w:autoSpaceDN w:val="0"/>
        <w:adjustRightInd w:val="0"/>
        <w:rPr>
          <w:rFonts w:ascii="Arial" w:hAnsi="Arial" w:cs="Arial"/>
          <w:sz w:val="20"/>
        </w:rPr>
      </w:pPr>
    </w:p>
    <w:p w14:paraId="6B76AE4F" w14:textId="19FFDBC7" w:rsidR="002A22A4" w:rsidRDefault="002A22A4" w:rsidP="00917583">
      <w:pPr>
        <w:autoSpaceDE w:val="0"/>
        <w:autoSpaceDN w:val="0"/>
        <w:adjustRightInd w:val="0"/>
        <w:rPr>
          <w:rFonts w:ascii="Arial" w:hAnsi="Arial" w:cs="Arial"/>
          <w:sz w:val="20"/>
        </w:rPr>
      </w:pPr>
      <w:r>
        <w:rPr>
          <w:rFonts w:ascii="Arial" w:hAnsi="Arial" w:cs="Arial"/>
          <w:sz w:val="20"/>
        </w:rPr>
        <w:t xml:space="preserve">Improvements in LED technology, particularly </w:t>
      </w:r>
      <w:r w:rsidR="008F5A5D">
        <w:rPr>
          <w:rFonts w:ascii="Arial" w:hAnsi="Arial" w:cs="Arial"/>
          <w:sz w:val="20"/>
        </w:rPr>
        <w:t>improving efficacies able to compete with and exceed the best T8 lamp-and-ballast systems producing over 95 lumens per Watt</w:t>
      </w:r>
      <w:r>
        <w:rPr>
          <w:rFonts w:ascii="Arial" w:hAnsi="Arial" w:cs="Arial"/>
          <w:sz w:val="20"/>
        </w:rPr>
        <w:t xml:space="preserve">, have made </w:t>
      </w:r>
      <w:r w:rsidR="004862F4">
        <w:rPr>
          <w:rFonts w:ascii="Arial" w:hAnsi="Arial" w:cs="Arial"/>
          <w:sz w:val="20"/>
        </w:rPr>
        <w:t xml:space="preserve">high-performance </w:t>
      </w:r>
      <w:r w:rsidR="00332E5C">
        <w:rPr>
          <w:rFonts w:ascii="Arial" w:hAnsi="Arial" w:cs="Arial"/>
          <w:sz w:val="20"/>
        </w:rPr>
        <w:t>LED fixtures</w:t>
      </w:r>
      <w:r w:rsidR="004862F4">
        <w:rPr>
          <w:rFonts w:ascii="Arial" w:hAnsi="Arial" w:cs="Arial"/>
          <w:sz w:val="20"/>
        </w:rPr>
        <w:t xml:space="preserve"> available for T</w:t>
      </w:r>
      <w:r w:rsidR="00FC2A66">
        <w:rPr>
          <w:rFonts w:ascii="Arial" w:hAnsi="Arial" w:cs="Arial"/>
          <w:sz w:val="20"/>
        </w:rPr>
        <w:t>roffer</w:t>
      </w:r>
      <w:r w:rsidR="004862F4">
        <w:rPr>
          <w:rFonts w:ascii="Arial" w:hAnsi="Arial" w:cs="Arial"/>
          <w:sz w:val="20"/>
        </w:rPr>
        <w:t xml:space="preserve"> and Linear Ambient applications</w:t>
      </w:r>
      <w:r w:rsidR="008F5A5D">
        <w:rPr>
          <w:rFonts w:ascii="Arial" w:hAnsi="Arial" w:cs="Arial"/>
          <w:sz w:val="20"/>
        </w:rPr>
        <w:t xml:space="preserve">.  </w:t>
      </w:r>
    </w:p>
    <w:p w14:paraId="737E2D02" w14:textId="60A22531" w:rsidR="00332E5C" w:rsidRPr="00E620A2" w:rsidRDefault="00332E5C" w:rsidP="00917583">
      <w:pPr>
        <w:autoSpaceDE w:val="0"/>
        <w:autoSpaceDN w:val="0"/>
        <w:adjustRightInd w:val="0"/>
        <w:rPr>
          <w:rFonts w:ascii="Arial" w:hAnsi="Arial" w:cs="Arial"/>
          <w:sz w:val="20"/>
        </w:rPr>
      </w:pPr>
    </w:p>
    <w:p w14:paraId="7B4D7EAB" w14:textId="6CECAE62" w:rsidR="00FA5F99" w:rsidRPr="00746B00" w:rsidRDefault="009C5CA7" w:rsidP="00FA5F99">
      <w:pPr>
        <w:pStyle w:val="Heading2"/>
      </w:pPr>
      <w:bookmarkStart w:id="25" w:name="_Toc533933919"/>
      <w:bookmarkStart w:id="26" w:name="_Toc2808639"/>
      <w:r>
        <w:t>1.</w:t>
      </w:r>
      <w:r w:rsidR="00952772">
        <w:t>4</w:t>
      </w:r>
      <w:r>
        <w:t xml:space="preserve"> </w:t>
      </w:r>
      <w:r w:rsidR="00AF50D9">
        <w:t>Installation Type</w:t>
      </w:r>
      <w:r w:rsidR="00E620A2">
        <w:t>s &amp; Delivery Mechanisms</w:t>
      </w:r>
      <w:bookmarkEnd w:id="25"/>
      <w:bookmarkEnd w:id="26"/>
    </w:p>
    <w:p w14:paraId="0CCDD7D2" w14:textId="77777777" w:rsidR="00E620A2" w:rsidRPr="00B86AB2" w:rsidRDefault="00E620A2" w:rsidP="00E620A2">
      <w:pPr>
        <w:rPr>
          <w:rFonts w:ascii="Arial" w:hAnsi="Arial" w:cs="Arial"/>
        </w:rPr>
      </w:pPr>
      <w:r w:rsidRPr="00B86AB2">
        <w:rPr>
          <w:rFonts w:ascii="Arial" w:hAnsi="Arial" w:cs="Arial"/>
          <w:sz w:val="20"/>
        </w:rPr>
        <w:t>The Database for Energy Efficiency Resources (DEER) developed by the California Public Utilities Commission defines the measure application type as shown in the table below.</w:t>
      </w:r>
    </w:p>
    <w:p w14:paraId="15FFB809" w14:textId="77777777" w:rsidR="00E620A2" w:rsidRPr="00784500" w:rsidRDefault="00E620A2" w:rsidP="00E620A2">
      <w:pPr>
        <w:rPr>
          <w:rFonts w:cs="Arial"/>
          <w:sz w:val="20"/>
          <w:szCs w:val="20"/>
        </w:rPr>
      </w:pPr>
    </w:p>
    <w:p w14:paraId="4FDD3814" w14:textId="6BAED9F5" w:rsidR="00E620A2" w:rsidRPr="00B86AB2" w:rsidRDefault="00E620A2" w:rsidP="00E620A2">
      <w:pPr>
        <w:pStyle w:val="Caption"/>
        <w:keepNext/>
        <w:jc w:val="center"/>
        <w:rPr>
          <w:rFonts w:ascii="Arial" w:hAnsi="Arial" w:cs="Arial"/>
        </w:rPr>
      </w:pPr>
      <w:bookmarkStart w:id="27" w:name="_Toc2791456"/>
      <w:r w:rsidRPr="00B86AB2">
        <w:rPr>
          <w:rFonts w:ascii="Arial" w:hAnsi="Arial" w:cs="Arial"/>
        </w:rPr>
        <w:t xml:space="preserve">Table </w:t>
      </w:r>
      <w:r w:rsidRPr="00B86AB2">
        <w:rPr>
          <w:rFonts w:ascii="Arial" w:hAnsi="Arial" w:cs="Arial"/>
        </w:rPr>
        <w:fldChar w:fldCharType="begin"/>
      </w:r>
      <w:r w:rsidRPr="00B86AB2">
        <w:rPr>
          <w:rFonts w:ascii="Arial" w:hAnsi="Arial" w:cs="Arial"/>
        </w:rPr>
        <w:instrText xml:space="preserve"> SEQ Table \* ARABIC </w:instrText>
      </w:r>
      <w:r w:rsidRPr="00B86AB2">
        <w:rPr>
          <w:rFonts w:ascii="Arial" w:hAnsi="Arial" w:cs="Arial"/>
        </w:rPr>
        <w:fldChar w:fldCharType="separate"/>
      </w:r>
      <w:r w:rsidR="00A51621">
        <w:rPr>
          <w:rFonts w:ascii="Arial" w:hAnsi="Arial" w:cs="Arial"/>
          <w:noProof/>
        </w:rPr>
        <w:t>2</w:t>
      </w:r>
      <w:r w:rsidRPr="00B86AB2">
        <w:rPr>
          <w:rFonts w:ascii="Arial" w:hAnsi="Arial" w:cs="Arial"/>
        </w:rPr>
        <w:fldChar w:fldCharType="end"/>
      </w:r>
      <w:r w:rsidRPr="00B86AB2">
        <w:rPr>
          <w:rFonts w:ascii="Arial" w:hAnsi="Arial" w:cs="Arial"/>
        </w:rPr>
        <w:t>: Measure Application Type</w:t>
      </w:r>
      <w:bookmarkEnd w:id="27"/>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2610"/>
        <w:gridCol w:w="5664"/>
      </w:tblGrid>
      <w:tr w:rsidR="00E620A2" w:rsidRPr="007F3A40" w14:paraId="62D1EC42" w14:textId="77777777" w:rsidTr="00973F7C">
        <w:trPr>
          <w:trHeight w:val="315"/>
        </w:trPr>
        <w:tc>
          <w:tcPr>
            <w:tcW w:w="906" w:type="dxa"/>
            <w:shd w:val="clear" w:color="auto" w:fill="D9D9D9" w:themeFill="background1" w:themeFillShade="D9"/>
            <w:noWrap/>
            <w:vAlign w:val="bottom"/>
            <w:hideMark/>
          </w:tcPr>
          <w:p w14:paraId="74BD3838" w14:textId="77777777" w:rsidR="00E620A2" w:rsidRPr="00B86AB2" w:rsidRDefault="00E620A2" w:rsidP="00973F7C">
            <w:pPr>
              <w:keepNext/>
              <w:rPr>
                <w:rFonts w:ascii="Arial" w:hAnsi="Arial" w:cs="Arial"/>
                <w:b/>
                <w:bCs/>
                <w:color w:val="000000"/>
                <w:sz w:val="18"/>
                <w:szCs w:val="20"/>
              </w:rPr>
            </w:pPr>
            <w:r w:rsidRPr="00B86AB2">
              <w:rPr>
                <w:rFonts w:ascii="Arial" w:hAnsi="Arial" w:cs="Arial"/>
                <w:b/>
                <w:bCs/>
                <w:color w:val="000000" w:themeColor="text1"/>
                <w:sz w:val="18"/>
                <w:szCs w:val="20"/>
              </w:rPr>
              <w:t>Code</w:t>
            </w:r>
          </w:p>
        </w:tc>
        <w:tc>
          <w:tcPr>
            <w:tcW w:w="2610" w:type="dxa"/>
            <w:shd w:val="clear" w:color="auto" w:fill="D9D9D9" w:themeFill="background1" w:themeFillShade="D9"/>
            <w:noWrap/>
            <w:vAlign w:val="bottom"/>
            <w:hideMark/>
          </w:tcPr>
          <w:p w14:paraId="1A22BE32" w14:textId="77777777" w:rsidR="00E620A2" w:rsidRPr="00B86AB2" w:rsidRDefault="00E620A2" w:rsidP="00973F7C">
            <w:pPr>
              <w:keepNext/>
              <w:rPr>
                <w:rFonts w:ascii="Arial" w:hAnsi="Arial" w:cs="Arial"/>
                <w:b/>
                <w:bCs/>
                <w:color w:val="000000"/>
                <w:sz w:val="18"/>
                <w:szCs w:val="20"/>
              </w:rPr>
            </w:pPr>
            <w:r w:rsidRPr="00B86AB2">
              <w:rPr>
                <w:rFonts w:ascii="Arial" w:hAnsi="Arial" w:cs="Arial"/>
                <w:b/>
                <w:bCs/>
                <w:color w:val="000000" w:themeColor="text1"/>
                <w:sz w:val="18"/>
                <w:szCs w:val="20"/>
              </w:rPr>
              <w:t>Description</w:t>
            </w:r>
          </w:p>
        </w:tc>
        <w:tc>
          <w:tcPr>
            <w:tcW w:w="5664" w:type="dxa"/>
            <w:shd w:val="clear" w:color="auto" w:fill="D9D9D9" w:themeFill="background1" w:themeFillShade="D9"/>
            <w:noWrap/>
            <w:vAlign w:val="bottom"/>
            <w:hideMark/>
          </w:tcPr>
          <w:p w14:paraId="41E755C3" w14:textId="77777777" w:rsidR="00E620A2" w:rsidRPr="00B86AB2" w:rsidRDefault="00E620A2" w:rsidP="00973F7C">
            <w:pPr>
              <w:keepNext/>
              <w:rPr>
                <w:rFonts w:ascii="Arial" w:hAnsi="Arial" w:cs="Arial"/>
                <w:b/>
                <w:bCs/>
                <w:color w:val="000000"/>
                <w:sz w:val="18"/>
                <w:szCs w:val="20"/>
              </w:rPr>
            </w:pPr>
            <w:r w:rsidRPr="00B86AB2">
              <w:rPr>
                <w:rFonts w:ascii="Arial" w:hAnsi="Arial" w:cs="Arial"/>
                <w:b/>
                <w:bCs/>
                <w:color w:val="000000" w:themeColor="text1"/>
                <w:sz w:val="18"/>
                <w:szCs w:val="20"/>
              </w:rPr>
              <w:t>Comment</w:t>
            </w:r>
          </w:p>
        </w:tc>
      </w:tr>
      <w:tr w:rsidR="00E620A2" w:rsidRPr="007F3A40" w14:paraId="5353F84C" w14:textId="77777777" w:rsidTr="00973F7C">
        <w:trPr>
          <w:trHeight w:val="600"/>
        </w:trPr>
        <w:tc>
          <w:tcPr>
            <w:tcW w:w="906" w:type="dxa"/>
            <w:shd w:val="clear" w:color="auto" w:fill="auto"/>
            <w:noWrap/>
            <w:vAlign w:val="center"/>
            <w:hideMark/>
          </w:tcPr>
          <w:p w14:paraId="2A6198B0" w14:textId="77777777" w:rsidR="00E620A2" w:rsidRPr="00B86AB2" w:rsidRDefault="00E620A2" w:rsidP="00973F7C">
            <w:pPr>
              <w:keepNext/>
              <w:rPr>
                <w:rFonts w:ascii="Arial" w:hAnsi="Arial" w:cs="Arial"/>
                <w:sz w:val="18"/>
                <w:szCs w:val="20"/>
              </w:rPr>
            </w:pPr>
            <w:r w:rsidRPr="00B86AB2">
              <w:rPr>
                <w:rFonts w:ascii="Arial" w:hAnsi="Arial" w:cs="Arial"/>
                <w:sz w:val="18"/>
                <w:szCs w:val="20"/>
              </w:rPr>
              <w:t>NR</w:t>
            </w:r>
          </w:p>
        </w:tc>
        <w:tc>
          <w:tcPr>
            <w:tcW w:w="2610" w:type="dxa"/>
            <w:shd w:val="clear" w:color="auto" w:fill="auto"/>
            <w:noWrap/>
            <w:vAlign w:val="center"/>
            <w:hideMark/>
          </w:tcPr>
          <w:p w14:paraId="7D2B6350" w14:textId="77777777" w:rsidR="00E620A2" w:rsidRPr="00B86AB2" w:rsidRDefault="00E620A2" w:rsidP="00973F7C">
            <w:pPr>
              <w:keepNext/>
              <w:rPr>
                <w:rFonts w:ascii="Arial" w:hAnsi="Arial" w:cs="Arial"/>
                <w:sz w:val="18"/>
                <w:szCs w:val="20"/>
              </w:rPr>
            </w:pPr>
            <w:r w:rsidRPr="00B86AB2">
              <w:rPr>
                <w:rFonts w:ascii="Arial" w:hAnsi="Arial" w:cs="Arial"/>
                <w:sz w:val="18"/>
                <w:szCs w:val="20"/>
              </w:rPr>
              <w:t>Normal Replacement</w:t>
            </w:r>
          </w:p>
        </w:tc>
        <w:tc>
          <w:tcPr>
            <w:tcW w:w="5664" w:type="dxa"/>
            <w:shd w:val="clear" w:color="auto" w:fill="auto"/>
            <w:vAlign w:val="center"/>
            <w:hideMark/>
          </w:tcPr>
          <w:p w14:paraId="048DE9EE" w14:textId="77777777" w:rsidR="00E620A2" w:rsidRPr="00B86AB2" w:rsidRDefault="00E620A2" w:rsidP="00973F7C">
            <w:pPr>
              <w:keepNext/>
              <w:rPr>
                <w:rFonts w:ascii="Arial" w:hAnsi="Arial" w:cs="Arial"/>
                <w:i/>
                <w:iCs/>
                <w:sz w:val="18"/>
                <w:szCs w:val="20"/>
              </w:rPr>
            </w:pPr>
            <w:r w:rsidRPr="00B86AB2">
              <w:rPr>
                <w:rFonts w:ascii="Arial" w:hAnsi="Arial" w:cs="Arial"/>
                <w:i/>
                <w:iCs/>
                <w:sz w:val="18"/>
                <w:szCs w:val="20"/>
              </w:rPr>
              <w:t>Measure technology applied instead of Code/Standard technology at the time of replacement, Single baseline (above code), incremental or full costs</w:t>
            </w:r>
          </w:p>
        </w:tc>
      </w:tr>
    </w:tbl>
    <w:p w14:paraId="57695539" w14:textId="77777777" w:rsidR="00E620A2" w:rsidRPr="0060486E" w:rsidRDefault="00E620A2" w:rsidP="00814CC1">
      <w:pPr>
        <w:spacing w:line="120" w:lineRule="auto"/>
      </w:pPr>
    </w:p>
    <w:p w14:paraId="7EF74ED5" w14:textId="77777777" w:rsidR="00E620A2" w:rsidRPr="00B86AB2" w:rsidRDefault="00E620A2" w:rsidP="00E620A2">
      <w:pPr>
        <w:rPr>
          <w:rFonts w:ascii="Arial" w:hAnsi="Arial" w:cs="Arial"/>
          <w:sz w:val="20"/>
        </w:rPr>
      </w:pPr>
      <w:r w:rsidRPr="00B86AB2">
        <w:rPr>
          <w:rFonts w:ascii="Arial" w:hAnsi="Arial" w:cs="Arial"/>
          <w:sz w:val="20"/>
        </w:rPr>
        <w:lastRenderedPageBreak/>
        <w:t>The measure application type in this workpaper R6 is identified as NR or “Normal Replacement.”</w:t>
      </w:r>
    </w:p>
    <w:p w14:paraId="70984D7E" w14:textId="77777777" w:rsidR="00E620A2" w:rsidRPr="00B86AB2" w:rsidRDefault="00E620A2" w:rsidP="00E620A2">
      <w:pPr>
        <w:rPr>
          <w:rFonts w:ascii="Arial" w:hAnsi="Arial" w:cs="Arial"/>
          <w:sz w:val="20"/>
        </w:rPr>
      </w:pPr>
    </w:p>
    <w:p w14:paraId="1DE1CE3E" w14:textId="77777777" w:rsidR="00E620A2" w:rsidRDefault="00E620A2" w:rsidP="00E620A2">
      <w:r w:rsidRPr="00B86AB2">
        <w:rPr>
          <w:rFonts w:ascii="Arial" w:hAnsi="Arial" w:cs="Arial"/>
          <w:sz w:val="20"/>
        </w:rPr>
        <w:t>The workpaper supports Programs with midstream, downstream, or direct install delivery channels with normal replacement application types.</w:t>
      </w:r>
    </w:p>
    <w:p w14:paraId="7AB1D08D" w14:textId="40B05869" w:rsidR="00E620A2" w:rsidRPr="00B86AB2" w:rsidRDefault="0074519B" w:rsidP="00E620A2">
      <w:pPr>
        <w:rPr>
          <w:rFonts w:ascii="Arial" w:hAnsi="Arial" w:cs="Arial"/>
        </w:rPr>
      </w:pPr>
      <w:r>
        <w:rPr>
          <w:rFonts w:ascii="Arial" w:hAnsi="Arial" w:cs="Arial"/>
        </w:rPr>
        <w:t xml:space="preserve"> </w:t>
      </w:r>
    </w:p>
    <w:p w14:paraId="3D154D9B" w14:textId="2004480D" w:rsidR="00A51621" w:rsidRPr="00B86AB2" w:rsidRDefault="00A51621" w:rsidP="00B86AB2">
      <w:pPr>
        <w:pStyle w:val="Caption"/>
        <w:keepNext/>
        <w:jc w:val="center"/>
        <w:rPr>
          <w:rFonts w:ascii="Arial" w:hAnsi="Arial" w:cs="Arial"/>
        </w:rPr>
      </w:pPr>
      <w:bookmarkStart w:id="28" w:name="_Toc2791457"/>
      <w:r w:rsidRPr="00B86AB2">
        <w:rPr>
          <w:rFonts w:ascii="Arial" w:hAnsi="Arial" w:cs="Arial"/>
        </w:rPr>
        <w:t xml:space="preserve">Table </w:t>
      </w:r>
      <w:r w:rsidRPr="00B86AB2">
        <w:rPr>
          <w:rFonts w:ascii="Arial" w:hAnsi="Arial" w:cs="Arial"/>
        </w:rPr>
        <w:fldChar w:fldCharType="begin"/>
      </w:r>
      <w:r w:rsidRPr="00B86AB2">
        <w:rPr>
          <w:rFonts w:ascii="Arial" w:hAnsi="Arial" w:cs="Arial"/>
        </w:rPr>
        <w:instrText xml:space="preserve"> SEQ Table \* ARABIC </w:instrText>
      </w:r>
      <w:r w:rsidRPr="00B86AB2">
        <w:rPr>
          <w:rFonts w:ascii="Arial" w:hAnsi="Arial" w:cs="Arial"/>
        </w:rPr>
        <w:fldChar w:fldCharType="separate"/>
      </w:r>
      <w:r w:rsidRPr="00B86AB2">
        <w:rPr>
          <w:rFonts w:ascii="Arial" w:hAnsi="Arial" w:cs="Arial"/>
          <w:noProof/>
        </w:rPr>
        <w:t>3</w:t>
      </w:r>
      <w:r w:rsidRPr="00B86AB2">
        <w:rPr>
          <w:rFonts w:ascii="Arial" w:hAnsi="Arial" w:cs="Arial"/>
        </w:rPr>
        <w:fldChar w:fldCharType="end"/>
      </w:r>
      <w:r w:rsidRPr="00B86AB2">
        <w:rPr>
          <w:rFonts w:ascii="Arial" w:hAnsi="Arial" w:cs="Arial"/>
        </w:rPr>
        <w:t>: Delivery Method and Applicable Building Types</w:t>
      </w:r>
      <w:bookmarkEnd w:id="28"/>
    </w:p>
    <w:tbl>
      <w:tblPr>
        <w:tblStyle w:val="TableGrid"/>
        <w:tblW w:w="0" w:type="auto"/>
        <w:jc w:val="center"/>
        <w:tblLook w:val="04A0" w:firstRow="1" w:lastRow="0" w:firstColumn="1" w:lastColumn="0" w:noHBand="0" w:noVBand="1"/>
      </w:tblPr>
      <w:tblGrid>
        <w:gridCol w:w="2718"/>
        <w:gridCol w:w="3294"/>
        <w:gridCol w:w="2880"/>
      </w:tblGrid>
      <w:tr w:rsidR="00E620A2" w:rsidRPr="00982B9C" w14:paraId="214D3350" w14:textId="77777777" w:rsidTr="00973F7C">
        <w:trPr>
          <w:jc w:val="center"/>
        </w:trPr>
        <w:tc>
          <w:tcPr>
            <w:tcW w:w="2718" w:type="dxa"/>
            <w:shd w:val="clear" w:color="auto" w:fill="D9D9D9" w:themeFill="background1" w:themeFillShade="D9"/>
            <w:vAlign w:val="center"/>
          </w:tcPr>
          <w:p w14:paraId="5050F9E7" w14:textId="77777777" w:rsidR="00E620A2" w:rsidRPr="00B86AB2" w:rsidRDefault="00E620A2" w:rsidP="00973F7C">
            <w:pPr>
              <w:rPr>
                <w:rFonts w:ascii="Arial" w:hAnsi="Arial" w:cs="Arial"/>
                <w:b/>
                <w:bCs/>
                <w:sz w:val="18"/>
                <w:szCs w:val="20"/>
              </w:rPr>
            </w:pPr>
            <w:r w:rsidRPr="00B86AB2">
              <w:rPr>
                <w:rFonts w:ascii="Arial" w:hAnsi="Arial" w:cs="Arial"/>
                <w:b/>
                <w:bCs/>
                <w:sz w:val="18"/>
                <w:szCs w:val="20"/>
              </w:rPr>
              <w:t>Delivery Type</w:t>
            </w:r>
          </w:p>
        </w:tc>
        <w:tc>
          <w:tcPr>
            <w:tcW w:w="3294" w:type="dxa"/>
            <w:shd w:val="clear" w:color="auto" w:fill="D9D9D9" w:themeFill="background1" w:themeFillShade="D9"/>
            <w:vAlign w:val="center"/>
          </w:tcPr>
          <w:p w14:paraId="4D8FF646" w14:textId="77777777" w:rsidR="00E620A2" w:rsidRPr="00B86AB2" w:rsidRDefault="00E620A2" w:rsidP="00973F7C">
            <w:pPr>
              <w:rPr>
                <w:rFonts w:ascii="Arial" w:hAnsi="Arial" w:cs="Arial"/>
                <w:b/>
                <w:bCs/>
                <w:sz w:val="18"/>
                <w:szCs w:val="20"/>
              </w:rPr>
            </w:pPr>
            <w:r w:rsidRPr="00B86AB2">
              <w:rPr>
                <w:rFonts w:ascii="Arial" w:hAnsi="Arial" w:cs="Arial"/>
                <w:b/>
                <w:bCs/>
                <w:sz w:val="18"/>
                <w:szCs w:val="20"/>
              </w:rPr>
              <w:t>Applicable Building Types</w:t>
            </w:r>
          </w:p>
        </w:tc>
        <w:tc>
          <w:tcPr>
            <w:tcW w:w="2880" w:type="dxa"/>
            <w:shd w:val="clear" w:color="auto" w:fill="D9D9D9" w:themeFill="background1" w:themeFillShade="D9"/>
            <w:vAlign w:val="center"/>
          </w:tcPr>
          <w:p w14:paraId="26E7AFBA" w14:textId="77777777" w:rsidR="00E620A2" w:rsidRPr="00B86AB2" w:rsidRDefault="00E620A2" w:rsidP="00973F7C">
            <w:pPr>
              <w:rPr>
                <w:rFonts w:ascii="Arial" w:hAnsi="Arial" w:cs="Arial"/>
                <w:b/>
                <w:bCs/>
                <w:sz w:val="18"/>
                <w:szCs w:val="20"/>
              </w:rPr>
            </w:pPr>
            <w:r w:rsidRPr="00B86AB2">
              <w:rPr>
                <w:rFonts w:ascii="Arial" w:hAnsi="Arial" w:cs="Arial"/>
                <w:b/>
                <w:bCs/>
                <w:sz w:val="18"/>
                <w:szCs w:val="20"/>
              </w:rPr>
              <w:t>Application Type</w:t>
            </w:r>
          </w:p>
        </w:tc>
      </w:tr>
      <w:tr w:rsidR="00E620A2" w:rsidRPr="00982B9C" w14:paraId="57541ACE" w14:textId="77777777" w:rsidTr="00973F7C">
        <w:trPr>
          <w:jc w:val="center"/>
        </w:trPr>
        <w:tc>
          <w:tcPr>
            <w:tcW w:w="2718" w:type="dxa"/>
            <w:vAlign w:val="center"/>
          </w:tcPr>
          <w:p w14:paraId="29B63524" w14:textId="77777777" w:rsidR="00E620A2" w:rsidRPr="00B86AB2" w:rsidRDefault="00E620A2" w:rsidP="00973F7C">
            <w:pPr>
              <w:spacing w:before="60" w:after="60"/>
              <w:rPr>
                <w:rFonts w:ascii="Arial" w:hAnsi="Arial" w:cs="Arial"/>
                <w:sz w:val="18"/>
                <w:szCs w:val="20"/>
              </w:rPr>
            </w:pPr>
            <w:r w:rsidRPr="00B86AB2">
              <w:rPr>
                <w:rFonts w:ascii="Arial" w:hAnsi="Arial" w:cs="Arial"/>
                <w:sz w:val="18"/>
                <w:szCs w:val="20"/>
              </w:rPr>
              <w:t>Midstream, Downstream &amp; Direct Install</w:t>
            </w:r>
          </w:p>
        </w:tc>
        <w:tc>
          <w:tcPr>
            <w:tcW w:w="3294" w:type="dxa"/>
            <w:vAlign w:val="center"/>
          </w:tcPr>
          <w:p w14:paraId="4E217EF1" w14:textId="77777777" w:rsidR="00E620A2" w:rsidRPr="00B86AB2" w:rsidRDefault="00E620A2" w:rsidP="00973F7C">
            <w:pPr>
              <w:spacing w:before="60" w:after="60"/>
              <w:rPr>
                <w:rFonts w:ascii="Arial" w:hAnsi="Arial" w:cs="Arial"/>
                <w:sz w:val="18"/>
                <w:szCs w:val="20"/>
              </w:rPr>
            </w:pPr>
            <w:r w:rsidRPr="00B86AB2">
              <w:rPr>
                <w:rFonts w:ascii="Arial" w:hAnsi="Arial" w:cs="Arial"/>
                <w:sz w:val="18"/>
                <w:szCs w:val="20"/>
              </w:rPr>
              <w:t>DEER Building Types</w:t>
            </w:r>
          </w:p>
        </w:tc>
        <w:tc>
          <w:tcPr>
            <w:tcW w:w="2880" w:type="dxa"/>
            <w:vAlign w:val="center"/>
          </w:tcPr>
          <w:p w14:paraId="760FCDB9" w14:textId="77777777" w:rsidR="00E620A2" w:rsidRPr="00B86AB2" w:rsidRDefault="00E620A2" w:rsidP="00973F7C">
            <w:pPr>
              <w:spacing w:before="60" w:after="60"/>
              <w:rPr>
                <w:rFonts w:ascii="Arial" w:hAnsi="Arial" w:cs="Arial"/>
                <w:sz w:val="18"/>
                <w:szCs w:val="20"/>
              </w:rPr>
            </w:pPr>
            <w:r w:rsidRPr="00B86AB2">
              <w:rPr>
                <w:rFonts w:ascii="Arial" w:hAnsi="Arial" w:cs="Arial"/>
                <w:sz w:val="18"/>
                <w:szCs w:val="20"/>
              </w:rPr>
              <w:t>NR (Normal Replacement)</w:t>
            </w:r>
          </w:p>
        </w:tc>
      </w:tr>
    </w:tbl>
    <w:p w14:paraId="5095408E" w14:textId="77777777" w:rsidR="00E620A2" w:rsidRDefault="00E620A2" w:rsidP="00E620A2">
      <w:pPr>
        <w:autoSpaceDE w:val="0"/>
        <w:autoSpaceDN w:val="0"/>
        <w:adjustRightInd w:val="0"/>
        <w:rPr>
          <w:rFonts w:ascii="Arial" w:hAnsi="Arial" w:cs="Arial"/>
          <w:sz w:val="20"/>
        </w:rPr>
      </w:pPr>
    </w:p>
    <w:p w14:paraId="587E8EA8" w14:textId="5410732E" w:rsidR="00806070" w:rsidRDefault="00806070" w:rsidP="00FA5F99">
      <w:pPr>
        <w:pStyle w:val="Heading2"/>
        <w:keepNext w:val="0"/>
      </w:pPr>
      <w:bookmarkStart w:id="29" w:name="_Toc533933920"/>
      <w:bookmarkStart w:id="30" w:name="_Toc2808640"/>
      <w:r>
        <w:t>1.</w:t>
      </w:r>
      <w:r w:rsidR="00952772">
        <w:t>5</w:t>
      </w:r>
      <w:r>
        <w:t xml:space="preserve"> Product Base Case and Measure Case Data</w:t>
      </w:r>
      <w:bookmarkEnd w:id="29"/>
      <w:bookmarkEnd w:id="30"/>
    </w:p>
    <w:p w14:paraId="3FF33380" w14:textId="0B78E643" w:rsidR="00AD1352" w:rsidRDefault="00BF50D8" w:rsidP="00ED77BD">
      <w:pPr>
        <w:spacing w:after="120" w:line="264" w:lineRule="auto"/>
        <w:rPr>
          <w:rFonts w:ascii="Arial" w:hAnsi="Arial" w:cs="Arial"/>
          <w:sz w:val="20"/>
          <w:szCs w:val="20"/>
        </w:rPr>
      </w:pPr>
      <w:r w:rsidRPr="003B2621">
        <w:rPr>
          <w:rFonts w:ascii="Arial" w:hAnsi="Arial" w:cs="Arial"/>
          <w:sz w:val="20"/>
          <w:szCs w:val="20"/>
        </w:rPr>
        <w:t>Eligible</w:t>
      </w:r>
      <w:r w:rsidR="007B2D41" w:rsidRPr="003B2621">
        <w:rPr>
          <w:rFonts w:ascii="Arial" w:hAnsi="Arial" w:cs="Arial"/>
          <w:sz w:val="20"/>
          <w:szCs w:val="20"/>
        </w:rPr>
        <w:t xml:space="preserve"> </w:t>
      </w:r>
      <w:r w:rsidRPr="003B2621">
        <w:rPr>
          <w:rFonts w:ascii="Arial" w:hAnsi="Arial" w:cs="Arial"/>
          <w:sz w:val="20"/>
          <w:szCs w:val="20"/>
        </w:rPr>
        <w:t>m</w:t>
      </w:r>
      <w:r w:rsidR="007B2D41" w:rsidRPr="003B2621">
        <w:rPr>
          <w:rFonts w:ascii="Arial" w:hAnsi="Arial" w:cs="Arial"/>
          <w:sz w:val="20"/>
          <w:szCs w:val="20"/>
        </w:rPr>
        <w:t xml:space="preserve">easure </w:t>
      </w:r>
      <w:r w:rsidRPr="003B2621">
        <w:rPr>
          <w:rFonts w:ascii="Arial" w:hAnsi="Arial" w:cs="Arial"/>
          <w:sz w:val="20"/>
          <w:szCs w:val="20"/>
        </w:rPr>
        <w:t>c</w:t>
      </w:r>
      <w:r w:rsidR="007B2D41" w:rsidRPr="003B2621">
        <w:rPr>
          <w:rFonts w:ascii="Arial" w:hAnsi="Arial" w:cs="Arial"/>
          <w:sz w:val="20"/>
          <w:szCs w:val="20"/>
        </w:rPr>
        <w:t>ase fixtures for these measure codes are</w:t>
      </w:r>
      <w:r w:rsidRPr="003B2621">
        <w:rPr>
          <w:rFonts w:ascii="Arial" w:hAnsi="Arial" w:cs="Arial"/>
          <w:sz w:val="20"/>
          <w:szCs w:val="20"/>
        </w:rPr>
        <w:t xml:space="preserve"> LED</w:t>
      </w:r>
      <w:r w:rsidR="007B2D41" w:rsidRPr="003B2621">
        <w:rPr>
          <w:rFonts w:ascii="Arial" w:hAnsi="Arial" w:cs="Arial"/>
          <w:sz w:val="20"/>
          <w:szCs w:val="20"/>
        </w:rPr>
        <w:t xml:space="preserve"> </w:t>
      </w:r>
      <w:r w:rsidR="004E590E">
        <w:rPr>
          <w:rFonts w:ascii="Arial" w:hAnsi="Arial" w:cs="Arial"/>
          <w:sz w:val="20"/>
          <w:szCs w:val="20"/>
        </w:rPr>
        <w:t xml:space="preserve">luminaires </w:t>
      </w:r>
      <w:r w:rsidR="00BC3599">
        <w:rPr>
          <w:rFonts w:ascii="Arial" w:hAnsi="Arial" w:cs="Arial"/>
          <w:sz w:val="20"/>
          <w:szCs w:val="20"/>
        </w:rPr>
        <w:t>and</w:t>
      </w:r>
      <w:r w:rsidR="00674887">
        <w:rPr>
          <w:rFonts w:ascii="Arial" w:hAnsi="Arial" w:cs="Arial"/>
          <w:sz w:val="20"/>
          <w:szCs w:val="20"/>
        </w:rPr>
        <w:t xml:space="preserve"> LED ret</w:t>
      </w:r>
      <w:r w:rsidR="00013811">
        <w:rPr>
          <w:rFonts w:ascii="Arial" w:hAnsi="Arial" w:cs="Arial"/>
          <w:sz w:val="20"/>
          <w:szCs w:val="20"/>
        </w:rPr>
        <w:t>rofit kits</w:t>
      </w:r>
      <w:r w:rsidR="005F5A84">
        <w:rPr>
          <w:rFonts w:ascii="Arial" w:hAnsi="Arial" w:cs="Arial"/>
          <w:sz w:val="20"/>
          <w:szCs w:val="20"/>
        </w:rPr>
        <w:t xml:space="preserve"> </w:t>
      </w:r>
      <w:r w:rsidR="00AD1352">
        <w:rPr>
          <w:rFonts w:ascii="Arial" w:hAnsi="Arial" w:cs="Arial"/>
          <w:sz w:val="20"/>
          <w:szCs w:val="20"/>
        </w:rPr>
        <w:t>in Troffer or Linear Ambient Categories</w:t>
      </w:r>
      <w:r w:rsidR="00AD1352" w:rsidRPr="00AD1352">
        <w:rPr>
          <w:rFonts w:ascii="Arial" w:hAnsi="Arial" w:cs="Arial"/>
          <w:sz w:val="20"/>
          <w:szCs w:val="20"/>
        </w:rPr>
        <w:t xml:space="preserve"> </w:t>
      </w:r>
      <w:r w:rsidR="00AD1352">
        <w:rPr>
          <w:rFonts w:ascii="Arial" w:hAnsi="Arial" w:cs="Arial"/>
          <w:sz w:val="20"/>
          <w:szCs w:val="20"/>
        </w:rPr>
        <w:t xml:space="preserve">with efficacy </w:t>
      </w:r>
      <w:r w:rsidR="00AD1352" w:rsidRPr="001B44FB">
        <w:rPr>
          <w:rFonts w:ascii="Arial" w:hAnsi="Arial" w:cs="Arial"/>
          <w:sz w:val="20"/>
          <w:szCs w:val="20"/>
        </w:rPr>
        <w:t>≥125 LPW</w:t>
      </w:r>
      <w:r w:rsidR="00AD1352">
        <w:rPr>
          <w:rFonts w:ascii="Arial" w:hAnsi="Arial" w:cs="Arial"/>
          <w:sz w:val="20"/>
          <w:szCs w:val="20"/>
        </w:rPr>
        <w:t xml:space="preserve">. Troffer eligibility is limited to products </w:t>
      </w:r>
      <w:r w:rsidR="007B2D41" w:rsidRPr="003B2621">
        <w:rPr>
          <w:rFonts w:ascii="Arial" w:hAnsi="Arial" w:cs="Arial"/>
          <w:sz w:val="20"/>
          <w:szCs w:val="20"/>
        </w:rPr>
        <w:t xml:space="preserve">with initial light output between </w:t>
      </w:r>
      <w:r w:rsidR="007B2D41" w:rsidRPr="00ED77BD">
        <w:rPr>
          <w:rFonts w:ascii="Arial" w:hAnsi="Arial" w:cs="Arial"/>
          <w:sz w:val="20"/>
          <w:szCs w:val="20"/>
        </w:rPr>
        <w:t>2</w:t>
      </w:r>
      <w:r w:rsidR="00F013FE" w:rsidRPr="00D14120">
        <w:rPr>
          <w:rFonts w:ascii="Arial" w:hAnsi="Arial" w:cs="Arial"/>
          <w:sz w:val="20"/>
          <w:szCs w:val="20"/>
        </w:rPr>
        <w:t>,</w:t>
      </w:r>
      <w:r w:rsidRPr="00ED77BD">
        <w:rPr>
          <w:rFonts w:ascii="Arial" w:hAnsi="Arial" w:cs="Arial"/>
          <w:sz w:val="20"/>
          <w:szCs w:val="20"/>
        </w:rPr>
        <w:t>200 and 6</w:t>
      </w:r>
      <w:r w:rsidR="00F013FE" w:rsidRPr="00D14120">
        <w:rPr>
          <w:rFonts w:ascii="Arial" w:hAnsi="Arial" w:cs="Arial"/>
          <w:sz w:val="20"/>
          <w:szCs w:val="20"/>
        </w:rPr>
        <w:t>,</w:t>
      </w:r>
      <w:r w:rsidRPr="00ED77BD">
        <w:rPr>
          <w:rFonts w:ascii="Arial" w:hAnsi="Arial" w:cs="Arial"/>
          <w:sz w:val="20"/>
          <w:szCs w:val="20"/>
        </w:rPr>
        <w:t>500</w:t>
      </w:r>
      <w:r w:rsidRPr="003B2621">
        <w:rPr>
          <w:rFonts w:ascii="Arial" w:hAnsi="Arial" w:cs="Arial"/>
          <w:sz w:val="20"/>
          <w:szCs w:val="20"/>
        </w:rPr>
        <w:t xml:space="preserve"> lumens</w:t>
      </w:r>
      <w:r w:rsidR="00AD1352">
        <w:rPr>
          <w:rFonts w:ascii="Arial" w:hAnsi="Arial" w:cs="Arial"/>
          <w:sz w:val="20"/>
          <w:szCs w:val="20"/>
        </w:rPr>
        <w:t xml:space="preserve">, and Linear Ambient eligibility is limited to products with initial light output below </w:t>
      </w:r>
      <w:r w:rsidR="00855C55">
        <w:rPr>
          <w:rFonts w:ascii="Arial" w:hAnsi="Arial" w:cs="Arial"/>
          <w:sz w:val="20"/>
          <w:szCs w:val="20"/>
        </w:rPr>
        <w:t>6</w:t>
      </w:r>
      <w:r w:rsidR="00AD1352">
        <w:rPr>
          <w:rFonts w:ascii="Arial" w:hAnsi="Arial" w:cs="Arial"/>
          <w:sz w:val="20"/>
          <w:szCs w:val="20"/>
        </w:rPr>
        <w:t>,</w:t>
      </w:r>
      <w:r w:rsidR="00855C55">
        <w:rPr>
          <w:rFonts w:ascii="Arial" w:hAnsi="Arial" w:cs="Arial"/>
          <w:sz w:val="20"/>
          <w:szCs w:val="20"/>
        </w:rPr>
        <w:t>5</w:t>
      </w:r>
      <w:r w:rsidR="00AD1352">
        <w:rPr>
          <w:rFonts w:ascii="Arial" w:hAnsi="Arial" w:cs="Arial"/>
          <w:sz w:val="20"/>
          <w:szCs w:val="20"/>
        </w:rPr>
        <w:t>00 lumens</w:t>
      </w:r>
      <w:r w:rsidRPr="003B2621">
        <w:rPr>
          <w:rFonts w:ascii="Arial" w:hAnsi="Arial" w:cs="Arial"/>
          <w:sz w:val="20"/>
          <w:szCs w:val="20"/>
        </w:rPr>
        <w:t xml:space="preserve">. </w:t>
      </w:r>
      <w:r w:rsidR="00C97054">
        <w:rPr>
          <w:rFonts w:ascii="Arial" w:hAnsi="Arial" w:cs="Arial"/>
          <w:sz w:val="20"/>
          <w:szCs w:val="20"/>
        </w:rPr>
        <w:t xml:space="preserve"> </w:t>
      </w:r>
    </w:p>
    <w:p w14:paraId="4750D39D" w14:textId="56C0CC9E" w:rsidR="009B6850" w:rsidRPr="002F6D61" w:rsidRDefault="00C97054" w:rsidP="002F6D61">
      <w:pPr>
        <w:spacing w:after="120" w:line="264" w:lineRule="auto"/>
        <w:rPr>
          <w:rFonts w:ascii="Arial" w:hAnsi="Arial" w:cs="Arial"/>
          <w:sz w:val="20"/>
          <w:szCs w:val="20"/>
        </w:rPr>
      </w:pPr>
      <w:r>
        <w:rPr>
          <w:rFonts w:ascii="Arial" w:hAnsi="Arial" w:cs="Arial"/>
          <w:sz w:val="20"/>
          <w:szCs w:val="20"/>
        </w:rPr>
        <w:t>Per Resolution E-4952 the a</w:t>
      </w:r>
      <w:r w:rsidR="00BF50D8" w:rsidRPr="003B2621">
        <w:rPr>
          <w:rFonts w:ascii="Arial" w:hAnsi="Arial" w:cs="Arial"/>
          <w:sz w:val="20"/>
          <w:szCs w:val="20"/>
        </w:rPr>
        <w:t>ppropriate base case fixtures</w:t>
      </w:r>
      <w:r>
        <w:rPr>
          <w:rFonts w:ascii="Arial" w:hAnsi="Arial" w:cs="Arial"/>
          <w:sz w:val="20"/>
          <w:szCs w:val="20"/>
        </w:rPr>
        <w:t xml:space="preserve"> and retrofit kits</w:t>
      </w:r>
      <w:r w:rsidR="00BF50D8" w:rsidRPr="003B2621">
        <w:rPr>
          <w:rFonts w:ascii="Arial" w:hAnsi="Arial" w:cs="Arial"/>
          <w:sz w:val="20"/>
          <w:szCs w:val="20"/>
        </w:rPr>
        <w:t xml:space="preserve"> are </w:t>
      </w:r>
      <w:r w:rsidR="00BC3599">
        <w:rPr>
          <w:rFonts w:ascii="Arial" w:hAnsi="Arial" w:cs="Arial"/>
          <w:sz w:val="20"/>
          <w:szCs w:val="20"/>
        </w:rPr>
        <w:t>LED technology</w:t>
      </w:r>
      <w:r>
        <w:rPr>
          <w:rFonts w:ascii="Arial" w:hAnsi="Arial" w:cs="Arial"/>
          <w:sz w:val="20"/>
          <w:szCs w:val="20"/>
        </w:rPr>
        <w:t xml:space="preserve"> </w:t>
      </w:r>
      <w:r w:rsidR="00A40825">
        <w:rPr>
          <w:rFonts w:ascii="Arial" w:hAnsi="Arial" w:cs="Arial"/>
          <w:sz w:val="20"/>
          <w:szCs w:val="20"/>
        </w:rPr>
        <w:t xml:space="preserve">of </w:t>
      </w:r>
      <w:r w:rsidR="005F5A84">
        <w:rPr>
          <w:rFonts w:ascii="Arial" w:hAnsi="Arial" w:cs="Arial"/>
          <w:sz w:val="20"/>
          <w:szCs w:val="20"/>
        </w:rPr>
        <w:t>100 lumens per watt</w:t>
      </w:r>
      <w:r w:rsidR="005F5A84" w:rsidRPr="00A40825">
        <w:rPr>
          <w:rFonts w:ascii="Arial" w:hAnsi="Arial" w:cs="Arial"/>
          <w:sz w:val="20"/>
          <w:szCs w:val="20"/>
        </w:rPr>
        <w:t xml:space="preserve"> </w:t>
      </w:r>
      <w:r w:rsidR="004879D3">
        <w:rPr>
          <w:rFonts w:ascii="Arial" w:hAnsi="Arial" w:cs="Arial"/>
          <w:sz w:val="20"/>
          <w:szCs w:val="20"/>
        </w:rPr>
        <w:t xml:space="preserve">(LPW) </w:t>
      </w:r>
      <w:r w:rsidR="00AD1352">
        <w:rPr>
          <w:rFonts w:ascii="Arial" w:hAnsi="Arial" w:cs="Arial"/>
          <w:sz w:val="20"/>
          <w:szCs w:val="20"/>
        </w:rPr>
        <w:t>efficacy</w:t>
      </w:r>
      <w:r w:rsidR="005F5A84">
        <w:rPr>
          <w:rFonts w:ascii="Arial" w:hAnsi="Arial" w:cs="Arial"/>
          <w:sz w:val="20"/>
          <w:szCs w:val="20"/>
        </w:rPr>
        <w:t>, approximately</w:t>
      </w:r>
      <w:r w:rsidR="00A40825" w:rsidRPr="00A40825">
        <w:rPr>
          <w:rFonts w:ascii="Arial" w:hAnsi="Arial" w:cs="Arial"/>
          <w:sz w:val="20"/>
          <w:szCs w:val="20"/>
        </w:rPr>
        <w:t xml:space="preserve"> equal to the 25th</w:t>
      </w:r>
      <w:r w:rsidR="00A40825">
        <w:t xml:space="preserve"> </w:t>
      </w:r>
      <w:r w:rsidR="00A40825" w:rsidRPr="00A40825">
        <w:rPr>
          <w:rFonts w:ascii="Arial" w:hAnsi="Arial" w:cs="Arial"/>
          <w:sz w:val="20"/>
          <w:szCs w:val="20"/>
        </w:rPr>
        <w:t>percentile</w:t>
      </w:r>
      <w:r w:rsidR="00CA15C7">
        <w:rPr>
          <w:rFonts w:ascii="Arial" w:hAnsi="Arial" w:cs="Arial"/>
          <w:sz w:val="20"/>
          <w:szCs w:val="20"/>
        </w:rPr>
        <w:t xml:space="preserve"> </w:t>
      </w:r>
      <w:r w:rsidR="005F5A84">
        <w:rPr>
          <w:rFonts w:ascii="Arial" w:hAnsi="Arial" w:cs="Arial"/>
          <w:sz w:val="20"/>
          <w:szCs w:val="20"/>
        </w:rPr>
        <w:t xml:space="preserve">efficacy </w:t>
      </w:r>
      <w:r w:rsidR="004879D3">
        <w:rPr>
          <w:rFonts w:ascii="Arial" w:hAnsi="Arial" w:cs="Arial"/>
          <w:sz w:val="20"/>
          <w:szCs w:val="20"/>
        </w:rPr>
        <w:t>of the LED fixture performance range</w:t>
      </w:r>
      <w:r w:rsidR="00A40825">
        <w:rPr>
          <w:rFonts w:ascii="Arial" w:hAnsi="Arial" w:cs="Arial"/>
          <w:sz w:val="20"/>
          <w:szCs w:val="20"/>
        </w:rPr>
        <w:t xml:space="preserve">. </w:t>
      </w:r>
      <w:r w:rsidR="00C90CA6">
        <w:rPr>
          <w:rFonts w:ascii="Arial" w:hAnsi="Arial" w:cs="Arial"/>
          <w:sz w:val="20"/>
          <w:szCs w:val="20"/>
        </w:rPr>
        <w:t xml:space="preserve">New fixtures and luminaires compose 67% of the base case. </w:t>
      </w:r>
      <w:r w:rsidR="00AD1352">
        <w:rPr>
          <w:rFonts w:ascii="Arial" w:hAnsi="Arial" w:cs="Arial"/>
          <w:sz w:val="20"/>
          <w:szCs w:val="20"/>
        </w:rPr>
        <w:t xml:space="preserve">This workpaper revision introduces linear LED replacement lamps (TLEDs) </w:t>
      </w:r>
      <w:r w:rsidR="00C90CA6">
        <w:rPr>
          <w:rFonts w:ascii="Arial" w:hAnsi="Arial" w:cs="Arial"/>
          <w:sz w:val="20"/>
          <w:szCs w:val="20"/>
        </w:rPr>
        <w:t>as the remaining 33% of</w:t>
      </w:r>
      <w:r w:rsidR="00AD1352">
        <w:rPr>
          <w:rFonts w:ascii="Arial" w:hAnsi="Arial" w:cs="Arial"/>
          <w:sz w:val="20"/>
          <w:szCs w:val="20"/>
        </w:rPr>
        <w:t xml:space="preserve"> the base case</w:t>
      </w:r>
      <w:r w:rsidR="00C90CA6">
        <w:rPr>
          <w:rFonts w:ascii="Arial" w:hAnsi="Arial" w:cs="Arial"/>
          <w:sz w:val="20"/>
          <w:szCs w:val="20"/>
        </w:rPr>
        <w:t>, with the bare-l</w:t>
      </w:r>
      <w:r w:rsidR="003A3EFC">
        <w:rPr>
          <w:rFonts w:ascii="Arial" w:hAnsi="Arial" w:cs="Arial"/>
          <w:sz w:val="20"/>
          <w:szCs w:val="20"/>
        </w:rPr>
        <w:t xml:space="preserve">amp TLED efficacy set at the same benchmark as luminaire and </w:t>
      </w:r>
      <w:r w:rsidR="00855C55">
        <w:rPr>
          <w:rFonts w:ascii="Arial" w:hAnsi="Arial" w:cs="Arial"/>
          <w:sz w:val="20"/>
          <w:szCs w:val="20"/>
        </w:rPr>
        <w:t>retrofit k</w:t>
      </w:r>
      <w:r w:rsidR="003A3EFC">
        <w:rPr>
          <w:rFonts w:ascii="Arial" w:hAnsi="Arial" w:cs="Arial"/>
          <w:sz w:val="20"/>
          <w:szCs w:val="20"/>
        </w:rPr>
        <w:t xml:space="preserve">it performance, </w:t>
      </w:r>
      <w:r w:rsidR="00C90CA6">
        <w:rPr>
          <w:rFonts w:ascii="Arial" w:hAnsi="Arial" w:cs="Arial"/>
          <w:sz w:val="20"/>
          <w:szCs w:val="20"/>
        </w:rPr>
        <w:t>the 25</w:t>
      </w:r>
      <w:r w:rsidR="00C90CA6" w:rsidRPr="00D14120">
        <w:rPr>
          <w:rFonts w:ascii="Arial" w:hAnsi="Arial" w:cs="Arial"/>
          <w:sz w:val="20"/>
          <w:szCs w:val="20"/>
          <w:vertAlign w:val="superscript"/>
        </w:rPr>
        <w:t>th</w:t>
      </w:r>
      <w:r w:rsidR="00C90CA6">
        <w:rPr>
          <w:rFonts w:ascii="Arial" w:hAnsi="Arial" w:cs="Arial"/>
          <w:sz w:val="20"/>
          <w:szCs w:val="20"/>
        </w:rPr>
        <w:t xml:space="preserve"> percentile </w:t>
      </w:r>
      <w:r w:rsidR="004879D3">
        <w:rPr>
          <w:rFonts w:ascii="Arial" w:hAnsi="Arial" w:cs="Arial"/>
          <w:sz w:val="20"/>
          <w:szCs w:val="20"/>
        </w:rPr>
        <w:t xml:space="preserve">efficacy </w:t>
      </w:r>
      <w:r w:rsidR="003A3EFC">
        <w:rPr>
          <w:rFonts w:ascii="Arial" w:hAnsi="Arial" w:cs="Arial"/>
          <w:sz w:val="20"/>
          <w:szCs w:val="20"/>
        </w:rPr>
        <w:t>of</w:t>
      </w:r>
      <w:r w:rsidR="004879D3">
        <w:rPr>
          <w:rFonts w:ascii="Arial" w:hAnsi="Arial" w:cs="Arial"/>
          <w:sz w:val="20"/>
          <w:szCs w:val="20"/>
        </w:rPr>
        <w:t xml:space="preserve"> the</w:t>
      </w:r>
      <w:r w:rsidR="003A3EFC">
        <w:rPr>
          <w:rFonts w:ascii="Arial" w:hAnsi="Arial" w:cs="Arial"/>
          <w:sz w:val="20"/>
          <w:szCs w:val="20"/>
        </w:rPr>
        <w:t xml:space="preserve"> </w:t>
      </w:r>
      <w:r w:rsidR="004879D3">
        <w:rPr>
          <w:rFonts w:ascii="Arial" w:hAnsi="Arial" w:cs="Arial"/>
          <w:sz w:val="20"/>
          <w:szCs w:val="20"/>
        </w:rPr>
        <w:t>TLED performance range</w:t>
      </w:r>
      <w:r w:rsidR="00C90CA6">
        <w:rPr>
          <w:rFonts w:ascii="Arial" w:hAnsi="Arial" w:cs="Arial"/>
          <w:sz w:val="20"/>
          <w:szCs w:val="20"/>
        </w:rPr>
        <w:t>.</w:t>
      </w:r>
      <w:r w:rsidR="0008662A">
        <w:rPr>
          <w:rFonts w:ascii="Arial" w:hAnsi="Arial" w:cs="Arial"/>
          <w:sz w:val="20"/>
          <w:szCs w:val="20"/>
        </w:rPr>
        <w:t xml:space="preserve"> </w:t>
      </w:r>
      <w:r w:rsidR="0008662A" w:rsidRPr="002A173B">
        <w:rPr>
          <w:rFonts w:ascii="Arial" w:hAnsi="Arial" w:cs="Arial"/>
          <w:sz w:val="20"/>
          <w:szCs w:val="20"/>
        </w:rPr>
        <w:t>Evidence from SCE &amp; PG&amp;E participation data, input from local distribution channels, and the California LED Pricing Analysis Study by Navigant all suggest that TLEDS are a viable</w:t>
      </w:r>
      <w:r w:rsidR="0008662A">
        <w:rPr>
          <w:rFonts w:ascii="Arial" w:hAnsi="Arial" w:cs="Arial"/>
          <w:sz w:val="20"/>
          <w:szCs w:val="20"/>
        </w:rPr>
        <w:t xml:space="preserve"> and commonly-used</w:t>
      </w:r>
      <w:r w:rsidR="0008662A" w:rsidRPr="002A173B">
        <w:rPr>
          <w:rFonts w:ascii="Arial" w:hAnsi="Arial" w:cs="Arial"/>
          <w:sz w:val="20"/>
          <w:szCs w:val="20"/>
        </w:rPr>
        <w:t xml:space="preserve"> retrofit alternative to full fixture replacements</w:t>
      </w:r>
      <w:r w:rsidR="0008662A">
        <w:rPr>
          <w:rFonts w:ascii="Arial" w:hAnsi="Arial" w:cs="Arial"/>
          <w:sz w:val="20"/>
          <w:szCs w:val="20"/>
        </w:rPr>
        <w:t xml:space="preserve">, while the </w:t>
      </w:r>
      <w:r w:rsidR="0008662A" w:rsidRPr="002A173B">
        <w:rPr>
          <w:rFonts w:ascii="Arial" w:hAnsi="Arial" w:cs="Arial"/>
          <w:sz w:val="20"/>
          <w:szCs w:val="20"/>
        </w:rPr>
        <w:t>National Electrical Manufacturers Association</w:t>
      </w:r>
      <w:r w:rsidR="0008662A">
        <w:rPr>
          <w:rFonts w:ascii="Arial" w:hAnsi="Arial" w:cs="Arial"/>
          <w:sz w:val="20"/>
          <w:szCs w:val="20"/>
        </w:rPr>
        <w:t>’s (NEMA’s</w:t>
      </w:r>
      <w:r w:rsidR="0008662A" w:rsidRPr="002A173B">
        <w:rPr>
          <w:rFonts w:ascii="Arial" w:hAnsi="Arial" w:cs="Arial"/>
          <w:sz w:val="20"/>
          <w:szCs w:val="20"/>
        </w:rPr>
        <w:t>) national sales data shows that TLED market penetration has been steadily increasing.</w:t>
      </w:r>
      <w:r w:rsidR="0008662A">
        <w:rPr>
          <w:rFonts w:ascii="Arial" w:hAnsi="Arial" w:cs="Arial"/>
          <w:sz w:val="20"/>
          <w:szCs w:val="20"/>
        </w:rPr>
        <w:t xml:space="preserve"> Supporting data on TLED market share and purchase scenarios are presented below in </w:t>
      </w:r>
      <w:r w:rsidR="0008662A" w:rsidRPr="00D14120">
        <w:rPr>
          <w:rFonts w:ascii="Arial" w:hAnsi="Arial" w:cs="Arial"/>
          <w:sz w:val="20"/>
          <w:szCs w:val="20"/>
        </w:rPr>
        <w:fldChar w:fldCharType="begin"/>
      </w:r>
      <w:r w:rsidR="0008662A" w:rsidRPr="00D14120">
        <w:rPr>
          <w:rFonts w:ascii="Arial" w:hAnsi="Arial" w:cs="Arial"/>
          <w:sz w:val="20"/>
          <w:szCs w:val="20"/>
        </w:rPr>
        <w:instrText xml:space="preserve"> REF _Ref533335728 \h </w:instrText>
      </w:r>
      <w:r w:rsidR="00D14120">
        <w:rPr>
          <w:rFonts w:ascii="Arial" w:hAnsi="Arial" w:cs="Arial"/>
          <w:sz w:val="20"/>
          <w:szCs w:val="20"/>
        </w:rPr>
        <w:instrText xml:space="preserve"> \* MERGEFORMAT </w:instrText>
      </w:r>
      <w:r w:rsidR="0008662A" w:rsidRPr="00D14120">
        <w:rPr>
          <w:rFonts w:ascii="Arial" w:hAnsi="Arial" w:cs="Arial"/>
          <w:sz w:val="20"/>
          <w:szCs w:val="20"/>
        </w:rPr>
      </w:r>
      <w:r w:rsidR="0008662A" w:rsidRPr="00D14120">
        <w:rPr>
          <w:rFonts w:ascii="Arial" w:hAnsi="Arial" w:cs="Arial"/>
          <w:sz w:val="20"/>
          <w:szCs w:val="20"/>
        </w:rPr>
        <w:fldChar w:fldCharType="separate"/>
      </w:r>
      <w:r w:rsidR="0008662A" w:rsidRPr="004879D3">
        <w:rPr>
          <w:rFonts w:ascii="Arial" w:hAnsi="Arial" w:cs="Arial"/>
          <w:sz w:val="20"/>
          <w:szCs w:val="20"/>
        </w:rPr>
        <w:t>1.5.3 EM&amp;</w:t>
      </w:r>
      <w:r w:rsidR="0008662A" w:rsidRPr="002F6D61">
        <w:rPr>
          <w:rFonts w:ascii="Arial" w:hAnsi="Arial" w:cs="Arial"/>
        </w:rPr>
        <w:t>V, Market Potential, and Other Studies – Base Case and Measure Case Information</w:t>
      </w:r>
      <w:r w:rsidR="0008662A" w:rsidRPr="00D14120">
        <w:rPr>
          <w:rFonts w:ascii="Arial" w:hAnsi="Arial" w:cs="Arial"/>
          <w:sz w:val="20"/>
          <w:szCs w:val="20"/>
        </w:rPr>
        <w:fldChar w:fldCharType="end"/>
      </w:r>
      <w:r w:rsidR="00C1087A">
        <w:rPr>
          <w:rFonts w:ascii="Arial" w:hAnsi="Arial" w:cs="Arial"/>
          <w:sz w:val="20"/>
          <w:szCs w:val="20"/>
        </w:rPr>
        <w:t>, including BPA’s study indicating the popularity of TLEDs</w:t>
      </w:r>
      <w:r w:rsidR="0008662A">
        <w:rPr>
          <w:rFonts w:ascii="Arial" w:hAnsi="Arial" w:cs="Arial"/>
          <w:sz w:val="20"/>
          <w:szCs w:val="20"/>
        </w:rPr>
        <w:t>.</w:t>
      </w:r>
      <w:bookmarkStart w:id="31" w:name="_Hlk533333041"/>
    </w:p>
    <w:p w14:paraId="705E1B4D" w14:textId="6F4930BB" w:rsidR="00814CC1" w:rsidRPr="00814CC1" w:rsidRDefault="00814CC1" w:rsidP="00B86AB2">
      <w:pPr>
        <w:spacing w:line="264" w:lineRule="auto"/>
        <w:rPr>
          <w:rFonts w:ascii="Arial" w:hAnsi="Arial" w:cs="Arial"/>
          <w:sz w:val="20"/>
        </w:rPr>
      </w:pPr>
      <w:r w:rsidRPr="00814CC1">
        <w:rPr>
          <w:rFonts w:ascii="Arial" w:hAnsi="Arial" w:cs="Arial"/>
          <w:sz w:val="20"/>
          <w:szCs w:val="20"/>
        </w:rPr>
        <w:t xml:space="preserve">Based on the recent data collected in February 2019, the 25th percentile of the TLED efficacy is determined to be </w:t>
      </w:r>
      <w:proofErr w:type="gramStart"/>
      <w:r w:rsidRPr="00814CC1">
        <w:rPr>
          <w:rFonts w:ascii="Arial" w:hAnsi="Arial" w:cs="Arial"/>
          <w:sz w:val="20"/>
          <w:szCs w:val="20"/>
        </w:rPr>
        <w:t>111 lm/W</w:t>
      </w:r>
      <w:proofErr w:type="gramEnd"/>
      <w:r w:rsidRPr="00814CC1">
        <w:rPr>
          <w:rFonts w:ascii="Arial" w:hAnsi="Arial" w:cs="Arial"/>
          <w:sz w:val="20"/>
          <w:szCs w:val="20"/>
        </w:rPr>
        <w:t xml:space="preserve"> and is adopted for this workpaper revision. See attached file </w:t>
      </w:r>
      <w:r w:rsidRPr="00814CC1">
        <w:rPr>
          <w:rFonts w:ascii="Arial" w:hAnsi="Arial" w:cs="Arial"/>
          <w:sz w:val="20"/>
        </w:rPr>
        <w:t>“Copy of TLED Cost Data_FEB2019.xlsx” for the collected data and the calculation of the TLED efficacy.</w:t>
      </w:r>
    </w:p>
    <w:p w14:paraId="36FC85F6" w14:textId="654A526E" w:rsidR="004879D3" w:rsidRPr="00814CC1" w:rsidRDefault="000C474E" w:rsidP="00B86AB2">
      <w:pPr>
        <w:spacing w:line="264" w:lineRule="auto"/>
        <w:rPr>
          <w:rFonts w:ascii="Arial" w:hAnsi="Arial" w:cs="Arial"/>
          <w:sz w:val="20"/>
          <w:szCs w:val="20"/>
        </w:rPr>
      </w:pPr>
      <w:r w:rsidRPr="00814CC1">
        <w:rPr>
          <w:rFonts w:ascii="Arial" w:hAnsi="Arial" w:cs="Arial"/>
          <w:sz w:val="20"/>
          <w:szCs w:val="20"/>
        </w:rPr>
        <w:t xml:space="preserve">When evaluating TLEDs, it is important to consider their efficacy when installed in a luminaire. As the number of lamps increases, the luminaire efficiency is slightly reduced.  In order to appropriately compare the efficacy of TLEDs to that of other LED luminaires, this workpaper uses a fixture efficiency multiplier of 0.8 to represent the luminous efficiency of the luminaire, per this </w:t>
      </w:r>
      <w:proofErr w:type="spellStart"/>
      <w:r w:rsidRPr="00814CC1">
        <w:rPr>
          <w:rFonts w:ascii="Arial" w:hAnsi="Arial" w:cs="Arial"/>
          <w:sz w:val="20"/>
          <w:szCs w:val="20"/>
        </w:rPr>
        <w:t>CALiPER</w:t>
      </w:r>
      <w:proofErr w:type="spellEnd"/>
      <w:r w:rsidRPr="00814CC1">
        <w:rPr>
          <w:rFonts w:ascii="Arial" w:hAnsi="Arial" w:cs="Arial"/>
          <w:sz w:val="20"/>
          <w:szCs w:val="20"/>
        </w:rPr>
        <w:t xml:space="preserve"> report from DOE</w:t>
      </w:r>
    </w:p>
    <w:p w14:paraId="77D5EC08" w14:textId="34B58328" w:rsidR="00085333" w:rsidRPr="00814CC1" w:rsidRDefault="008F1809" w:rsidP="00B86AB2">
      <w:pPr>
        <w:spacing w:line="264" w:lineRule="auto"/>
        <w:rPr>
          <w:rFonts w:ascii="Arial" w:hAnsi="Arial" w:cs="Arial"/>
          <w:sz w:val="20"/>
          <w:szCs w:val="20"/>
        </w:rPr>
      </w:pPr>
      <w:r w:rsidRPr="00814CC1">
        <w:rPr>
          <w:rFonts w:ascii="Arial" w:hAnsi="Arial" w:cs="Arial"/>
          <w:sz w:val="20"/>
          <w:szCs w:val="20"/>
        </w:rPr>
        <w:t>Energy consumption is calculated based on a mix of 33% TLED and 67% LED new luminaire or full retrofit kit</w:t>
      </w:r>
      <w:r w:rsidR="008361CE" w:rsidRPr="00814CC1">
        <w:rPr>
          <w:rFonts w:ascii="Arial" w:hAnsi="Arial" w:cs="Arial"/>
          <w:sz w:val="20"/>
          <w:szCs w:val="20"/>
        </w:rPr>
        <w:t>.</w:t>
      </w:r>
      <w:r w:rsidRPr="00814CC1">
        <w:rPr>
          <w:rFonts w:ascii="Arial" w:hAnsi="Arial" w:cs="Arial"/>
          <w:sz w:val="20"/>
          <w:szCs w:val="20"/>
        </w:rPr>
        <w:t xml:space="preserve"> The base case wattage per </w:t>
      </w:r>
      <w:proofErr w:type="spellStart"/>
      <w:r w:rsidRPr="00814CC1">
        <w:rPr>
          <w:rFonts w:ascii="Arial" w:hAnsi="Arial" w:cs="Arial"/>
          <w:sz w:val="20"/>
          <w:szCs w:val="20"/>
        </w:rPr>
        <w:t>kilolumen</w:t>
      </w:r>
      <w:proofErr w:type="spellEnd"/>
      <w:r w:rsidRPr="00814CC1">
        <w:rPr>
          <w:rFonts w:ascii="Arial" w:hAnsi="Arial" w:cs="Arial"/>
          <w:sz w:val="20"/>
          <w:szCs w:val="20"/>
        </w:rPr>
        <w:t xml:space="preserve"> is a blend of</w:t>
      </w:r>
      <w:r w:rsidR="008361CE" w:rsidRPr="00814CC1">
        <w:rPr>
          <w:rFonts w:ascii="Arial" w:hAnsi="Arial" w:cs="Arial"/>
          <w:sz w:val="20"/>
          <w:szCs w:val="20"/>
        </w:rPr>
        <w:t xml:space="preserve"> 8</w:t>
      </w:r>
      <w:r w:rsidR="004879D3" w:rsidRPr="00814CC1">
        <w:rPr>
          <w:rFonts w:ascii="Arial" w:hAnsi="Arial" w:cs="Arial"/>
          <w:sz w:val="20"/>
          <w:szCs w:val="20"/>
        </w:rPr>
        <w:t>5.2</w:t>
      </w:r>
      <w:r w:rsidR="008361CE" w:rsidRPr="00814CC1">
        <w:rPr>
          <w:rFonts w:ascii="Arial" w:hAnsi="Arial" w:cs="Arial"/>
          <w:sz w:val="20"/>
          <w:szCs w:val="20"/>
        </w:rPr>
        <w:t xml:space="preserve"> lm/W for TLEDs and 100 </w:t>
      </w:r>
      <w:r w:rsidR="00814CC1" w:rsidRPr="00814CC1">
        <w:rPr>
          <w:rFonts w:ascii="Arial" w:hAnsi="Arial" w:cs="Arial"/>
          <w:sz w:val="20"/>
          <w:szCs w:val="20"/>
        </w:rPr>
        <w:t>LP</w:t>
      </w:r>
      <w:r w:rsidR="008361CE" w:rsidRPr="00814CC1">
        <w:rPr>
          <w:rFonts w:ascii="Arial" w:hAnsi="Arial" w:cs="Arial"/>
          <w:sz w:val="20"/>
          <w:szCs w:val="20"/>
        </w:rPr>
        <w:t xml:space="preserve">W for new luminaires and </w:t>
      </w:r>
      <w:r w:rsidR="00D56548">
        <w:rPr>
          <w:rFonts w:ascii="Arial" w:hAnsi="Arial" w:cs="Arial"/>
          <w:sz w:val="20"/>
          <w:szCs w:val="20"/>
        </w:rPr>
        <w:t xml:space="preserve">retrofit </w:t>
      </w:r>
      <w:r w:rsidR="008361CE" w:rsidRPr="00814CC1">
        <w:rPr>
          <w:rFonts w:ascii="Arial" w:hAnsi="Arial" w:cs="Arial"/>
          <w:sz w:val="20"/>
          <w:szCs w:val="20"/>
        </w:rPr>
        <w:t>kits, or 9</w:t>
      </w:r>
      <w:r w:rsidR="004879D3" w:rsidRPr="00814CC1">
        <w:rPr>
          <w:rFonts w:ascii="Arial" w:hAnsi="Arial" w:cs="Arial"/>
          <w:sz w:val="20"/>
          <w:szCs w:val="20"/>
        </w:rPr>
        <w:t>5</w:t>
      </w:r>
      <w:r w:rsidR="008361CE" w:rsidRPr="00814CC1">
        <w:rPr>
          <w:rFonts w:ascii="Arial" w:hAnsi="Arial" w:cs="Arial"/>
          <w:sz w:val="20"/>
          <w:szCs w:val="20"/>
        </w:rPr>
        <w:t xml:space="preserve"> </w:t>
      </w:r>
      <w:r w:rsidR="00814CC1" w:rsidRPr="00814CC1">
        <w:rPr>
          <w:rFonts w:ascii="Arial" w:hAnsi="Arial" w:cs="Arial"/>
          <w:sz w:val="20"/>
          <w:szCs w:val="20"/>
        </w:rPr>
        <w:t>LP</w:t>
      </w:r>
      <w:r w:rsidR="008361CE" w:rsidRPr="00814CC1">
        <w:rPr>
          <w:rFonts w:ascii="Arial" w:hAnsi="Arial" w:cs="Arial"/>
          <w:sz w:val="20"/>
          <w:szCs w:val="20"/>
        </w:rPr>
        <w:t xml:space="preserve">W overall.  </w:t>
      </w:r>
      <w:bookmarkEnd w:id="31"/>
    </w:p>
    <w:p w14:paraId="1F5F9B3A" w14:textId="5BAD2F89" w:rsidR="00CA6228" w:rsidRDefault="00CA6228" w:rsidP="00CA6228">
      <w:pPr>
        <w:pStyle w:val="Heading3"/>
      </w:pPr>
      <w:bookmarkStart w:id="32" w:name="_Toc533933921"/>
      <w:bookmarkStart w:id="33" w:name="_Toc2808641"/>
      <w:r>
        <w:t xml:space="preserve">1.5.1 </w:t>
      </w:r>
      <w:r w:rsidRPr="001248A3">
        <w:t xml:space="preserve">DEER </w:t>
      </w:r>
      <w:r w:rsidR="00982B9C">
        <w:t>Data</w:t>
      </w:r>
      <w:bookmarkEnd w:id="33"/>
      <w:r w:rsidR="00982B9C">
        <w:t xml:space="preserve"> </w:t>
      </w:r>
      <w:bookmarkEnd w:id="32"/>
    </w:p>
    <w:p w14:paraId="467E1354" w14:textId="52C5B4B3" w:rsidR="00982B9C" w:rsidRDefault="00982B9C" w:rsidP="00E620A2">
      <w:pPr>
        <w:rPr>
          <w:rFonts w:ascii="Arial" w:hAnsi="Arial"/>
          <w:sz w:val="20"/>
        </w:rPr>
      </w:pPr>
      <w:r w:rsidRPr="002574CF">
        <w:rPr>
          <w:rFonts w:ascii="Arial" w:hAnsi="Arial" w:cs="Arial"/>
          <w:sz w:val="20"/>
          <w:szCs w:val="20"/>
        </w:rPr>
        <w:t xml:space="preserve">The Database </w:t>
      </w:r>
      <w:r>
        <w:rPr>
          <w:rFonts w:ascii="Arial" w:hAnsi="Arial" w:cs="Arial"/>
          <w:sz w:val="20"/>
          <w:szCs w:val="20"/>
        </w:rPr>
        <w:t>for Energy Efficient Resources (</w:t>
      </w:r>
      <w:r w:rsidRPr="002574CF">
        <w:rPr>
          <w:rFonts w:ascii="Arial" w:hAnsi="Arial" w:cs="Arial"/>
          <w:sz w:val="20"/>
          <w:szCs w:val="20"/>
        </w:rPr>
        <w:t>DEER</w:t>
      </w:r>
      <w:r>
        <w:rPr>
          <w:rFonts w:ascii="Arial" w:hAnsi="Arial" w:cs="Arial"/>
          <w:sz w:val="20"/>
          <w:szCs w:val="20"/>
        </w:rPr>
        <w:t xml:space="preserve">) 2016 </w:t>
      </w:r>
      <w:r w:rsidRPr="002574CF">
        <w:rPr>
          <w:rFonts w:ascii="Arial" w:hAnsi="Arial" w:cs="Arial"/>
          <w:sz w:val="20"/>
          <w:szCs w:val="20"/>
        </w:rPr>
        <w:t>does not address LED savings</w:t>
      </w:r>
      <w:r>
        <w:rPr>
          <w:rFonts w:ascii="Arial" w:hAnsi="Arial" w:cs="Arial"/>
          <w:sz w:val="20"/>
          <w:szCs w:val="20"/>
        </w:rPr>
        <w:t xml:space="preserve"> for panel fixtures and retrofit kits</w:t>
      </w:r>
      <w:r w:rsidRPr="002574CF">
        <w:rPr>
          <w:rFonts w:ascii="Arial" w:hAnsi="Arial" w:cs="Arial"/>
          <w:sz w:val="20"/>
          <w:szCs w:val="20"/>
        </w:rPr>
        <w:t>.</w:t>
      </w:r>
    </w:p>
    <w:p w14:paraId="6DB84F43" w14:textId="77777777" w:rsidR="00982B9C" w:rsidRDefault="00982B9C" w:rsidP="00E620A2">
      <w:pPr>
        <w:rPr>
          <w:rFonts w:ascii="Arial" w:hAnsi="Arial"/>
          <w:sz w:val="20"/>
        </w:rPr>
      </w:pPr>
    </w:p>
    <w:p w14:paraId="6C711A55" w14:textId="77777777" w:rsidR="00E620A2" w:rsidRPr="001648C5" w:rsidRDefault="00E620A2" w:rsidP="00E620A2">
      <w:r>
        <w:rPr>
          <w:rFonts w:ascii="Arial" w:hAnsi="Arial"/>
          <w:sz w:val="20"/>
        </w:rPr>
        <w:t>This revision R9 of the workpaper is an update to the current revision R8 now found in the Database for Energy Efficient Resources (DEER).</w:t>
      </w:r>
    </w:p>
    <w:p w14:paraId="4A0C24DA" w14:textId="77777777" w:rsidR="00E620A2" w:rsidRDefault="00E620A2" w:rsidP="00E620A2"/>
    <w:p w14:paraId="4EEEABEA" w14:textId="0385D41A" w:rsidR="00B86AB2" w:rsidRDefault="00B86AB2">
      <w:pPr>
        <w:rPr>
          <w:b/>
          <w:bCs/>
          <w:sz w:val="20"/>
          <w:szCs w:val="20"/>
        </w:rPr>
      </w:pPr>
      <w:r>
        <w:br w:type="page"/>
      </w:r>
    </w:p>
    <w:p w14:paraId="4026A982" w14:textId="77777777" w:rsidR="00E620A2" w:rsidRDefault="00E620A2" w:rsidP="00E620A2">
      <w:pPr>
        <w:pStyle w:val="Caption"/>
        <w:keepNext/>
        <w:jc w:val="center"/>
      </w:pPr>
    </w:p>
    <w:p w14:paraId="35461F5A" w14:textId="2E403295" w:rsidR="00E620A2" w:rsidRPr="00AB09DC" w:rsidRDefault="00E620A2" w:rsidP="00E620A2">
      <w:pPr>
        <w:pStyle w:val="Caption"/>
        <w:keepNext/>
        <w:jc w:val="center"/>
        <w:rPr>
          <w:rFonts w:ascii="Arial" w:hAnsi="Arial" w:cs="Arial"/>
        </w:rPr>
      </w:pPr>
      <w:bookmarkStart w:id="34" w:name="_Toc2791458"/>
      <w:r w:rsidRPr="00982B9C">
        <w:rPr>
          <w:rFonts w:ascii="Arial" w:hAnsi="Arial" w:cs="Arial"/>
        </w:rPr>
        <w:t xml:space="preserve">Table </w:t>
      </w:r>
      <w:r w:rsidRPr="00982B9C">
        <w:rPr>
          <w:rFonts w:ascii="Arial" w:hAnsi="Arial" w:cs="Arial"/>
        </w:rPr>
        <w:fldChar w:fldCharType="begin"/>
      </w:r>
      <w:r w:rsidRPr="00982B9C">
        <w:rPr>
          <w:rFonts w:ascii="Arial" w:hAnsi="Arial" w:cs="Arial"/>
        </w:rPr>
        <w:instrText xml:space="preserve"> SEQ Table \* ARABIC </w:instrText>
      </w:r>
      <w:r w:rsidRPr="00982B9C">
        <w:rPr>
          <w:rFonts w:ascii="Arial" w:hAnsi="Arial" w:cs="Arial"/>
        </w:rPr>
        <w:fldChar w:fldCharType="separate"/>
      </w:r>
      <w:r w:rsidR="00A51621">
        <w:rPr>
          <w:rFonts w:ascii="Arial" w:hAnsi="Arial" w:cs="Arial"/>
          <w:noProof/>
        </w:rPr>
        <w:t>4</w:t>
      </w:r>
      <w:r w:rsidRPr="00982B9C">
        <w:rPr>
          <w:rFonts w:ascii="Arial" w:hAnsi="Arial" w:cs="Arial"/>
        </w:rPr>
        <w:fldChar w:fldCharType="end"/>
      </w:r>
      <w:r w:rsidR="00982B9C">
        <w:rPr>
          <w:rFonts w:ascii="Arial" w:hAnsi="Arial" w:cs="Arial"/>
        </w:rPr>
        <w:t>:</w:t>
      </w:r>
      <w:r w:rsidRPr="00982B9C">
        <w:rPr>
          <w:rFonts w:ascii="Arial" w:hAnsi="Arial" w:cs="Arial"/>
        </w:rPr>
        <w:t xml:space="preserve"> DEER Differences Summary</w:t>
      </w:r>
      <w:bookmarkEnd w:id="34"/>
    </w:p>
    <w:tbl>
      <w:tblPr>
        <w:tblStyle w:val="TableGrid1"/>
        <w:tblW w:w="4761" w:type="pct"/>
        <w:tblCellMar>
          <w:left w:w="115" w:type="dxa"/>
          <w:right w:w="115" w:type="dxa"/>
        </w:tblCellMar>
        <w:tblLook w:val="04A0" w:firstRow="1" w:lastRow="0" w:firstColumn="1" w:lastColumn="0" w:noHBand="0" w:noVBand="1"/>
      </w:tblPr>
      <w:tblGrid>
        <w:gridCol w:w="3263"/>
        <w:gridCol w:w="5954"/>
      </w:tblGrid>
      <w:tr w:rsidR="00E620A2" w:rsidRPr="00EC080B" w14:paraId="14A5DF09" w14:textId="77777777" w:rsidTr="00973F7C">
        <w:trPr>
          <w:trHeight w:val="20"/>
        </w:trPr>
        <w:tc>
          <w:tcPr>
            <w:tcW w:w="1770" w:type="pct"/>
            <w:shd w:val="clear" w:color="auto" w:fill="D9D9D9" w:themeFill="background1" w:themeFillShade="D9"/>
          </w:tcPr>
          <w:p w14:paraId="5E2D9663" w14:textId="77777777" w:rsidR="00E620A2" w:rsidRPr="00604362" w:rsidRDefault="00E620A2" w:rsidP="00973F7C">
            <w:pPr>
              <w:tabs>
                <w:tab w:val="right" w:pos="2957"/>
              </w:tabs>
              <w:rPr>
                <w:rFonts w:ascii="Times New Roman" w:hAnsi="Times New Roman"/>
                <w:b/>
                <w:bCs/>
                <w:sz w:val="20"/>
              </w:rPr>
            </w:pPr>
            <w:r w:rsidRPr="00604362">
              <w:rPr>
                <w:b/>
                <w:bCs/>
                <w:sz w:val="20"/>
              </w:rPr>
              <w:t>DEER Item</w:t>
            </w:r>
          </w:p>
        </w:tc>
        <w:tc>
          <w:tcPr>
            <w:tcW w:w="3230" w:type="pct"/>
            <w:shd w:val="clear" w:color="auto" w:fill="D9D9D9" w:themeFill="background1" w:themeFillShade="D9"/>
          </w:tcPr>
          <w:p w14:paraId="15EF33E0" w14:textId="77777777" w:rsidR="00E620A2" w:rsidRPr="00604362" w:rsidRDefault="00E620A2" w:rsidP="00973F7C">
            <w:pPr>
              <w:rPr>
                <w:rFonts w:ascii="Times New Roman" w:hAnsi="Times New Roman"/>
                <w:b/>
                <w:bCs/>
                <w:sz w:val="20"/>
              </w:rPr>
            </w:pPr>
            <w:r w:rsidRPr="00604362">
              <w:rPr>
                <w:b/>
                <w:bCs/>
                <w:sz w:val="20"/>
              </w:rPr>
              <w:t>Used for Workpaper?</w:t>
            </w:r>
          </w:p>
        </w:tc>
      </w:tr>
      <w:tr w:rsidR="00E620A2" w:rsidRPr="00EC080B" w14:paraId="4DAABAC4" w14:textId="77777777" w:rsidTr="00973F7C">
        <w:trPr>
          <w:trHeight w:val="20"/>
        </w:trPr>
        <w:tc>
          <w:tcPr>
            <w:tcW w:w="1770" w:type="pct"/>
          </w:tcPr>
          <w:p w14:paraId="3A6A1AC3" w14:textId="77777777" w:rsidR="00E620A2" w:rsidRPr="00604362" w:rsidRDefault="00E620A2" w:rsidP="00973F7C">
            <w:pPr>
              <w:rPr>
                <w:rFonts w:ascii="Times New Roman" w:hAnsi="Times New Roman"/>
                <w:sz w:val="20"/>
              </w:rPr>
            </w:pPr>
            <w:r w:rsidRPr="00604362">
              <w:rPr>
                <w:sz w:val="20"/>
              </w:rPr>
              <w:t>Modified DEER methodology</w:t>
            </w:r>
          </w:p>
        </w:tc>
        <w:tc>
          <w:tcPr>
            <w:tcW w:w="3230" w:type="pct"/>
          </w:tcPr>
          <w:p w14:paraId="1391710D" w14:textId="77777777" w:rsidR="00E620A2" w:rsidRPr="00604362" w:rsidRDefault="00E620A2" w:rsidP="00973F7C">
            <w:pPr>
              <w:rPr>
                <w:rFonts w:ascii="Times New Roman" w:hAnsi="Times New Roman"/>
                <w:b/>
                <w:bCs/>
                <w:sz w:val="20"/>
              </w:rPr>
            </w:pPr>
            <w:r w:rsidRPr="00604362">
              <w:rPr>
                <w:sz w:val="20"/>
              </w:rPr>
              <w:t>Yes</w:t>
            </w:r>
          </w:p>
        </w:tc>
      </w:tr>
      <w:tr w:rsidR="00E620A2" w:rsidRPr="00EC080B" w14:paraId="1AA73814" w14:textId="77777777" w:rsidTr="00973F7C">
        <w:trPr>
          <w:trHeight w:val="20"/>
        </w:trPr>
        <w:tc>
          <w:tcPr>
            <w:tcW w:w="1770" w:type="pct"/>
          </w:tcPr>
          <w:p w14:paraId="29CBD024" w14:textId="77777777" w:rsidR="00E620A2" w:rsidRPr="00604362" w:rsidRDefault="00E620A2" w:rsidP="00973F7C">
            <w:pPr>
              <w:rPr>
                <w:rFonts w:ascii="Times New Roman" w:hAnsi="Times New Roman"/>
                <w:sz w:val="20"/>
              </w:rPr>
            </w:pPr>
            <w:r w:rsidRPr="00604362">
              <w:rPr>
                <w:sz w:val="20"/>
              </w:rPr>
              <w:t>Scaled DEER measure</w:t>
            </w:r>
          </w:p>
        </w:tc>
        <w:tc>
          <w:tcPr>
            <w:tcW w:w="3230" w:type="pct"/>
          </w:tcPr>
          <w:p w14:paraId="0AFCADE1" w14:textId="77777777" w:rsidR="00E620A2" w:rsidRPr="00604362" w:rsidRDefault="00E620A2" w:rsidP="00973F7C">
            <w:pPr>
              <w:rPr>
                <w:rFonts w:ascii="Times New Roman" w:hAnsi="Times New Roman"/>
                <w:sz w:val="20"/>
              </w:rPr>
            </w:pPr>
            <w:r w:rsidRPr="00604362">
              <w:rPr>
                <w:sz w:val="20"/>
              </w:rPr>
              <w:t>No</w:t>
            </w:r>
          </w:p>
        </w:tc>
      </w:tr>
      <w:tr w:rsidR="00E620A2" w:rsidRPr="00EC080B" w14:paraId="3FC6C7D4" w14:textId="77777777" w:rsidTr="00973F7C">
        <w:trPr>
          <w:trHeight w:val="20"/>
        </w:trPr>
        <w:tc>
          <w:tcPr>
            <w:tcW w:w="1770" w:type="pct"/>
          </w:tcPr>
          <w:p w14:paraId="1C1F189B" w14:textId="77777777" w:rsidR="00E620A2" w:rsidRPr="00604362" w:rsidRDefault="00E620A2" w:rsidP="00973F7C">
            <w:pPr>
              <w:rPr>
                <w:rFonts w:ascii="Times New Roman" w:hAnsi="Times New Roman"/>
                <w:sz w:val="20"/>
              </w:rPr>
            </w:pPr>
            <w:r w:rsidRPr="00604362">
              <w:rPr>
                <w:sz w:val="20"/>
              </w:rPr>
              <w:t>DEER Base Case</w:t>
            </w:r>
          </w:p>
        </w:tc>
        <w:tc>
          <w:tcPr>
            <w:tcW w:w="3230" w:type="pct"/>
          </w:tcPr>
          <w:p w14:paraId="6FFFB4C4" w14:textId="77777777" w:rsidR="00E620A2" w:rsidRPr="00604362" w:rsidRDefault="00E620A2" w:rsidP="00973F7C">
            <w:pPr>
              <w:rPr>
                <w:rFonts w:ascii="Times New Roman" w:hAnsi="Times New Roman"/>
                <w:sz w:val="20"/>
              </w:rPr>
            </w:pPr>
            <w:r w:rsidRPr="00604362">
              <w:rPr>
                <w:sz w:val="20"/>
              </w:rPr>
              <w:t>No</w:t>
            </w:r>
          </w:p>
        </w:tc>
      </w:tr>
      <w:tr w:rsidR="00E620A2" w:rsidRPr="00EC080B" w14:paraId="0F06C899" w14:textId="77777777" w:rsidTr="00973F7C">
        <w:trPr>
          <w:trHeight w:val="20"/>
        </w:trPr>
        <w:tc>
          <w:tcPr>
            <w:tcW w:w="1770" w:type="pct"/>
          </w:tcPr>
          <w:p w14:paraId="47ECD6D3" w14:textId="77777777" w:rsidR="00E620A2" w:rsidRPr="00604362" w:rsidRDefault="00E620A2" w:rsidP="00973F7C">
            <w:pPr>
              <w:rPr>
                <w:rFonts w:ascii="Times New Roman" w:hAnsi="Times New Roman"/>
                <w:sz w:val="20"/>
              </w:rPr>
            </w:pPr>
            <w:r w:rsidRPr="00604362">
              <w:rPr>
                <w:sz w:val="20"/>
              </w:rPr>
              <w:t>DEER Measure Case</w:t>
            </w:r>
          </w:p>
        </w:tc>
        <w:tc>
          <w:tcPr>
            <w:tcW w:w="3230" w:type="pct"/>
          </w:tcPr>
          <w:p w14:paraId="63FA2914" w14:textId="77777777" w:rsidR="00E620A2" w:rsidRPr="00604362" w:rsidRDefault="00E620A2" w:rsidP="00973F7C">
            <w:pPr>
              <w:rPr>
                <w:rFonts w:ascii="Times New Roman" w:hAnsi="Times New Roman"/>
                <w:sz w:val="20"/>
              </w:rPr>
            </w:pPr>
            <w:r w:rsidRPr="00604362">
              <w:rPr>
                <w:sz w:val="20"/>
              </w:rPr>
              <w:t>No</w:t>
            </w:r>
          </w:p>
        </w:tc>
      </w:tr>
      <w:tr w:rsidR="00E620A2" w:rsidRPr="00EC080B" w14:paraId="27D0E684" w14:textId="77777777" w:rsidTr="00973F7C">
        <w:trPr>
          <w:trHeight w:val="20"/>
        </w:trPr>
        <w:tc>
          <w:tcPr>
            <w:tcW w:w="1770" w:type="pct"/>
          </w:tcPr>
          <w:p w14:paraId="124A5161" w14:textId="77777777" w:rsidR="00E620A2" w:rsidRPr="00604362" w:rsidRDefault="00E620A2" w:rsidP="00973F7C">
            <w:pPr>
              <w:rPr>
                <w:rFonts w:ascii="Times New Roman" w:hAnsi="Times New Roman"/>
                <w:sz w:val="20"/>
              </w:rPr>
            </w:pPr>
            <w:r w:rsidRPr="00604362">
              <w:rPr>
                <w:sz w:val="20"/>
              </w:rPr>
              <w:t>DEER Building Types</w:t>
            </w:r>
          </w:p>
        </w:tc>
        <w:tc>
          <w:tcPr>
            <w:tcW w:w="3230" w:type="pct"/>
          </w:tcPr>
          <w:p w14:paraId="4820A7C4" w14:textId="77777777" w:rsidR="00E620A2" w:rsidRPr="00604362" w:rsidRDefault="00E620A2" w:rsidP="00973F7C">
            <w:pPr>
              <w:rPr>
                <w:rFonts w:ascii="Times New Roman" w:hAnsi="Times New Roman"/>
                <w:sz w:val="20"/>
              </w:rPr>
            </w:pPr>
            <w:r w:rsidRPr="00604362">
              <w:rPr>
                <w:sz w:val="20"/>
              </w:rPr>
              <w:t>Yes</w:t>
            </w:r>
          </w:p>
        </w:tc>
      </w:tr>
      <w:tr w:rsidR="00E620A2" w:rsidRPr="00EC080B" w14:paraId="35519E82" w14:textId="77777777" w:rsidTr="00973F7C">
        <w:trPr>
          <w:trHeight w:val="20"/>
        </w:trPr>
        <w:tc>
          <w:tcPr>
            <w:tcW w:w="1770" w:type="pct"/>
          </w:tcPr>
          <w:p w14:paraId="14282767" w14:textId="77777777" w:rsidR="00E620A2" w:rsidRPr="00604362" w:rsidRDefault="00E620A2" w:rsidP="00973F7C">
            <w:pPr>
              <w:rPr>
                <w:rFonts w:ascii="Times New Roman" w:hAnsi="Times New Roman"/>
                <w:sz w:val="20"/>
              </w:rPr>
            </w:pPr>
            <w:r w:rsidRPr="00604362">
              <w:rPr>
                <w:sz w:val="20"/>
              </w:rPr>
              <w:t>DEER Operating Hours</w:t>
            </w:r>
          </w:p>
        </w:tc>
        <w:tc>
          <w:tcPr>
            <w:tcW w:w="3230" w:type="pct"/>
          </w:tcPr>
          <w:p w14:paraId="637C5EE7" w14:textId="77777777" w:rsidR="00E620A2" w:rsidRPr="00604362" w:rsidRDefault="00E620A2" w:rsidP="00973F7C">
            <w:pPr>
              <w:rPr>
                <w:rFonts w:ascii="Times New Roman" w:hAnsi="Times New Roman"/>
                <w:sz w:val="20"/>
              </w:rPr>
            </w:pPr>
            <w:r w:rsidRPr="00604362">
              <w:rPr>
                <w:sz w:val="20"/>
              </w:rPr>
              <w:t>Yes</w:t>
            </w:r>
          </w:p>
        </w:tc>
      </w:tr>
      <w:tr w:rsidR="00E620A2" w:rsidRPr="00EC080B" w14:paraId="63E6026A" w14:textId="77777777" w:rsidTr="00973F7C">
        <w:trPr>
          <w:trHeight w:val="20"/>
        </w:trPr>
        <w:tc>
          <w:tcPr>
            <w:tcW w:w="1770" w:type="pct"/>
          </w:tcPr>
          <w:p w14:paraId="173AABDC" w14:textId="77777777" w:rsidR="00E620A2" w:rsidRPr="00604362" w:rsidRDefault="00E620A2" w:rsidP="00973F7C">
            <w:pPr>
              <w:rPr>
                <w:rFonts w:ascii="Times New Roman" w:hAnsi="Times New Roman"/>
                <w:sz w:val="20"/>
              </w:rPr>
            </w:pPr>
            <w:r w:rsidRPr="00604362">
              <w:rPr>
                <w:sz w:val="20"/>
              </w:rPr>
              <w:t xml:space="preserve">DEER </w:t>
            </w:r>
            <w:proofErr w:type="spellStart"/>
            <w:r w:rsidRPr="00604362">
              <w:rPr>
                <w:sz w:val="20"/>
              </w:rPr>
              <w:t>eQUEST</w:t>
            </w:r>
            <w:proofErr w:type="spellEnd"/>
            <w:r w:rsidRPr="00604362">
              <w:rPr>
                <w:sz w:val="20"/>
              </w:rPr>
              <w:t xml:space="preserve"> Prototypes</w:t>
            </w:r>
          </w:p>
        </w:tc>
        <w:tc>
          <w:tcPr>
            <w:tcW w:w="3230" w:type="pct"/>
          </w:tcPr>
          <w:p w14:paraId="40DFC71A" w14:textId="77777777" w:rsidR="00E620A2" w:rsidRPr="00604362" w:rsidDel="00505CEC" w:rsidRDefault="00E620A2" w:rsidP="00973F7C">
            <w:pPr>
              <w:rPr>
                <w:rFonts w:ascii="Times New Roman" w:hAnsi="Times New Roman"/>
                <w:sz w:val="20"/>
              </w:rPr>
            </w:pPr>
            <w:r w:rsidRPr="00604362">
              <w:rPr>
                <w:sz w:val="20"/>
              </w:rPr>
              <w:t>No</w:t>
            </w:r>
          </w:p>
        </w:tc>
      </w:tr>
      <w:tr w:rsidR="00E620A2" w:rsidRPr="00EC080B" w14:paraId="0D9291BD" w14:textId="77777777" w:rsidTr="00973F7C">
        <w:trPr>
          <w:trHeight w:val="20"/>
        </w:trPr>
        <w:tc>
          <w:tcPr>
            <w:tcW w:w="1770" w:type="pct"/>
          </w:tcPr>
          <w:p w14:paraId="09F791C6" w14:textId="77777777" w:rsidR="00E620A2" w:rsidRPr="00604362" w:rsidRDefault="00E620A2" w:rsidP="00973F7C">
            <w:pPr>
              <w:rPr>
                <w:rFonts w:ascii="Times New Roman" w:hAnsi="Times New Roman"/>
                <w:sz w:val="20"/>
              </w:rPr>
            </w:pPr>
            <w:r w:rsidRPr="00604362">
              <w:rPr>
                <w:sz w:val="20"/>
              </w:rPr>
              <w:t>DEER Version</w:t>
            </w:r>
          </w:p>
        </w:tc>
        <w:tc>
          <w:tcPr>
            <w:tcW w:w="3230" w:type="pct"/>
          </w:tcPr>
          <w:p w14:paraId="79A016AB" w14:textId="77777777" w:rsidR="00E620A2" w:rsidRPr="00604362" w:rsidRDefault="00E620A2" w:rsidP="00973F7C">
            <w:pPr>
              <w:rPr>
                <w:rFonts w:ascii="Times New Roman" w:hAnsi="Times New Roman"/>
                <w:sz w:val="20"/>
              </w:rPr>
            </w:pPr>
            <w:r w:rsidRPr="00604362">
              <w:rPr>
                <w:sz w:val="20"/>
              </w:rPr>
              <w:t>DEER 2019</w:t>
            </w:r>
          </w:p>
        </w:tc>
      </w:tr>
      <w:tr w:rsidR="00E620A2" w:rsidRPr="00EC080B" w14:paraId="4C55F30C" w14:textId="77777777" w:rsidTr="00973F7C">
        <w:trPr>
          <w:trHeight w:val="20"/>
        </w:trPr>
        <w:tc>
          <w:tcPr>
            <w:tcW w:w="1770" w:type="pct"/>
          </w:tcPr>
          <w:p w14:paraId="4AEDBDA0" w14:textId="77777777" w:rsidR="00E620A2" w:rsidRPr="00604362" w:rsidRDefault="00E620A2" w:rsidP="00973F7C">
            <w:pPr>
              <w:rPr>
                <w:rFonts w:ascii="Times New Roman" w:hAnsi="Times New Roman"/>
                <w:sz w:val="20"/>
              </w:rPr>
            </w:pPr>
            <w:r w:rsidRPr="00604362">
              <w:rPr>
                <w:sz w:val="20"/>
              </w:rPr>
              <w:t>DEER Measure IDs Used</w:t>
            </w:r>
          </w:p>
        </w:tc>
        <w:tc>
          <w:tcPr>
            <w:tcW w:w="3230" w:type="pct"/>
          </w:tcPr>
          <w:p w14:paraId="1D908549" w14:textId="77777777" w:rsidR="00E620A2" w:rsidRPr="00604362" w:rsidRDefault="00E620A2" w:rsidP="00973F7C">
            <w:pPr>
              <w:rPr>
                <w:rFonts w:ascii="Times New Roman" w:hAnsi="Times New Roman"/>
                <w:sz w:val="20"/>
              </w:rPr>
            </w:pPr>
            <w:r w:rsidRPr="00604362">
              <w:rPr>
                <w:sz w:val="20"/>
              </w:rPr>
              <w:t>Propose new</w:t>
            </w:r>
          </w:p>
        </w:tc>
      </w:tr>
    </w:tbl>
    <w:p w14:paraId="1859EFAC" w14:textId="77777777" w:rsidR="00E620A2" w:rsidRDefault="00E620A2" w:rsidP="00E620A2"/>
    <w:p w14:paraId="4D4C6AEE" w14:textId="77777777" w:rsidR="00E620A2" w:rsidRPr="008D4644" w:rsidRDefault="00E620A2" w:rsidP="00E620A2">
      <w:r w:rsidRPr="008D4644">
        <w:rPr>
          <w:rFonts w:ascii="Arial" w:hAnsi="Arial"/>
          <w:b/>
          <w:sz w:val="20"/>
        </w:rPr>
        <w:t xml:space="preserve">Net-to-Gross Ratio </w:t>
      </w:r>
    </w:p>
    <w:p w14:paraId="07AF1750" w14:textId="77777777" w:rsidR="00E620A2" w:rsidRDefault="00E620A2" w:rsidP="00E620A2">
      <w:pPr>
        <w:rPr>
          <w:rFonts w:ascii="Arial" w:hAnsi="Arial" w:cs="Arial"/>
          <w:color w:val="000000" w:themeColor="text1"/>
          <w:sz w:val="20"/>
          <w:szCs w:val="20"/>
        </w:rPr>
      </w:pPr>
      <w:r>
        <w:rPr>
          <w:rFonts w:ascii="Arial" w:hAnsi="Arial" w:cs="Arial"/>
          <w:color w:val="000000" w:themeColor="text1"/>
          <w:sz w:val="20"/>
          <w:szCs w:val="20"/>
        </w:rPr>
        <w:t xml:space="preserve">Per Resolution E-4952, section 4.5 </w:t>
      </w:r>
      <w:r w:rsidRPr="00B642BF">
        <w:rPr>
          <w:rFonts w:ascii="Arial" w:hAnsi="Arial" w:cs="Arial"/>
          <w:color w:val="000000" w:themeColor="text1"/>
          <w:sz w:val="20"/>
          <w:szCs w:val="20"/>
        </w:rPr>
        <w:t>Net-to-Gross for Lighting Measures</w:t>
      </w:r>
      <w:r>
        <w:rPr>
          <w:rFonts w:ascii="Arial" w:hAnsi="Arial" w:cs="Arial"/>
          <w:color w:val="000000" w:themeColor="text1"/>
          <w:sz w:val="20"/>
          <w:szCs w:val="20"/>
        </w:rPr>
        <w:t>:</w:t>
      </w:r>
    </w:p>
    <w:p w14:paraId="631E0C49" w14:textId="77777777" w:rsidR="00E620A2" w:rsidRPr="00D63232" w:rsidRDefault="00E620A2" w:rsidP="00E620A2">
      <w:r>
        <w:rPr>
          <w:rFonts w:ascii="Arial" w:hAnsi="Arial" w:cs="Arial"/>
          <w:color w:val="000000" w:themeColor="text1"/>
          <w:sz w:val="20"/>
          <w:szCs w:val="20"/>
        </w:rPr>
        <w:t>“</w:t>
      </w:r>
      <w:r w:rsidRPr="00B642BF">
        <w:rPr>
          <w:rFonts w:ascii="Arial" w:hAnsi="Arial" w:cs="Arial"/>
          <w:color w:val="000000" w:themeColor="text1"/>
          <w:sz w:val="20"/>
          <w:szCs w:val="20"/>
        </w:rPr>
        <w:t xml:space="preserve">As discussed in Section </w:t>
      </w:r>
      <w:hyperlink w:anchor="_bookmark37" w:history="1">
        <w:r w:rsidRPr="00B642BF">
          <w:rPr>
            <w:rFonts w:ascii="Arial" w:hAnsi="Arial" w:cs="Arial"/>
            <w:color w:val="000000" w:themeColor="text1"/>
            <w:sz w:val="20"/>
            <w:szCs w:val="20"/>
          </w:rPr>
          <w:t xml:space="preserve">4.2, </w:t>
        </w:r>
      </w:hyperlink>
      <w:r w:rsidRPr="00B642BF">
        <w:rPr>
          <w:rFonts w:ascii="Arial" w:hAnsi="Arial" w:cs="Arial"/>
          <w:color w:val="000000" w:themeColor="text1"/>
          <w:sz w:val="20"/>
          <w:szCs w:val="20"/>
        </w:rPr>
        <w:t>DEER updates and several workpaper dispositions have updated the code and standard practice baselines for lighting measures to include all or a significant fraction of LEDs. Prior to the DEER2019/2020 update, these updates have covered screw-in lamps, exterior lighting fixtures, interior high-bay fixtures and interior low-bay fixtures. At this time, other fixtures such as linear fluorescent retrofit kits, ceiling mounted LED fixtures and ceiling grid fixtures have savings estimates based on linear fluorescent code or standard practice baselines. This DEER version updates, effective January 1, 2019, baselines for these remaining lighting fixture types to be entirely LED technologies. With this change, it is reasonable to raise the NTG value for these measures to 0.91, which is the same value directed by 2018 Phase 1 workpaper dispositions for exterior, interior high-bay and interior low-bay fixtures. This NTG value is allowed for only normal replacement (NR) and new construction (NC) measure application types</w:t>
      </w:r>
      <w:r>
        <w:rPr>
          <w:rFonts w:ascii="Arial" w:hAnsi="Arial" w:cs="Arial"/>
          <w:color w:val="000000" w:themeColor="text1"/>
          <w:sz w:val="20"/>
          <w:szCs w:val="20"/>
        </w:rPr>
        <w:t>.”</w:t>
      </w:r>
      <w:r w:rsidRPr="009B1119">
        <w:rPr>
          <w:b/>
        </w:rPr>
        <w:t xml:space="preserve"> </w:t>
      </w:r>
    </w:p>
    <w:p w14:paraId="12CA3D84" w14:textId="77777777" w:rsidR="00E620A2" w:rsidRDefault="00E620A2" w:rsidP="00E620A2"/>
    <w:p w14:paraId="73A6A121" w14:textId="77777777" w:rsidR="00E620A2" w:rsidRPr="008D4644" w:rsidRDefault="00E620A2" w:rsidP="00E620A2">
      <w:pPr>
        <w:rPr>
          <w:rFonts w:ascii="Arial" w:hAnsi="Arial"/>
          <w:b/>
          <w:sz w:val="20"/>
        </w:rPr>
      </w:pPr>
      <w:r w:rsidRPr="008D4644">
        <w:rPr>
          <w:rFonts w:ascii="Arial" w:hAnsi="Arial"/>
          <w:b/>
          <w:sz w:val="20"/>
        </w:rPr>
        <w:t>Spillage Rate</w:t>
      </w:r>
    </w:p>
    <w:p w14:paraId="5A806752" w14:textId="77777777" w:rsidR="00E620A2" w:rsidRPr="008D4644" w:rsidRDefault="00E620A2" w:rsidP="00E620A2">
      <w:pPr>
        <w:rPr>
          <w:rFonts w:ascii="Arial" w:hAnsi="Arial"/>
          <w:sz w:val="20"/>
        </w:rPr>
      </w:pPr>
      <w:r w:rsidRPr="008D4644">
        <w:rPr>
          <w:rFonts w:ascii="Arial" w:hAnsi="Arial"/>
          <w:sz w:val="20"/>
        </w:rPr>
        <w:t>Spillage rates are not tracked in work papers; they are tracked in an external document which will be supplied to the Commission Staff.</w:t>
      </w:r>
    </w:p>
    <w:p w14:paraId="0B08AA0E" w14:textId="77777777" w:rsidR="00E620A2" w:rsidRPr="008D4644" w:rsidRDefault="00E620A2" w:rsidP="00E620A2">
      <w:pPr>
        <w:rPr>
          <w:rFonts w:ascii="Arial" w:hAnsi="Arial"/>
          <w:b/>
          <w:sz w:val="20"/>
        </w:rPr>
      </w:pPr>
    </w:p>
    <w:p w14:paraId="667098D3" w14:textId="77777777" w:rsidR="00E620A2" w:rsidRPr="00B86AB2" w:rsidRDefault="00E620A2" w:rsidP="00E620A2">
      <w:pPr>
        <w:tabs>
          <w:tab w:val="left" w:pos="6435"/>
        </w:tabs>
        <w:rPr>
          <w:rFonts w:ascii="Arial" w:hAnsi="Arial" w:cs="Arial"/>
          <w:b/>
          <w:sz w:val="20"/>
          <w:szCs w:val="20"/>
        </w:rPr>
      </w:pPr>
      <w:r w:rsidRPr="00B86AB2">
        <w:rPr>
          <w:rFonts w:ascii="Arial" w:hAnsi="Arial" w:cs="Arial"/>
          <w:b/>
          <w:sz w:val="20"/>
          <w:szCs w:val="20"/>
        </w:rPr>
        <w:t>Installation Rate</w:t>
      </w:r>
    </w:p>
    <w:p w14:paraId="08A3CA45" w14:textId="77777777" w:rsidR="00E620A2" w:rsidRPr="00CA1504" w:rsidRDefault="00E620A2" w:rsidP="00E620A2">
      <w:pPr>
        <w:rPr>
          <w:rFonts w:ascii="Arial" w:hAnsi="Arial" w:cs="Arial"/>
          <w:sz w:val="20"/>
          <w:szCs w:val="20"/>
        </w:rPr>
      </w:pPr>
      <w:r w:rsidRPr="00CA1504">
        <w:rPr>
          <w:rFonts w:ascii="Arial" w:hAnsi="Arial" w:cs="Arial"/>
          <w:sz w:val="20"/>
          <w:szCs w:val="20"/>
        </w:rPr>
        <w:t>The IR value</w:t>
      </w:r>
      <w:r>
        <w:rPr>
          <w:rFonts w:ascii="Arial" w:hAnsi="Arial" w:cs="Arial"/>
          <w:sz w:val="20"/>
          <w:szCs w:val="20"/>
        </w:rPr>
        <w:t xml:space="preserve"> was </w:t>
      </w:r>
      <w:r w:rsidRPr="00CA1504">
        <w:rPr>
          <w:rFonts w:ascii="Arial" w:hAnsi="Arial" w:cs="Arial"/>
          <w:sz w:val="20"/>
          <w:szCs w:val="20"/>
        </w:rPr>
        <w:t xml:space="preserve">obtained using the DEER READI tool. The relevant IR value for the measures in this work paper </w:t>
      </w:r>
      <w:r>
        <w:rPr>
          <w:rFonts w:ascii="Arial" w:hAnsi="Arial" w:cs="Arial"/>
          <w:sz w:val="20"/>
          <w:szCs w:val="20"/>
        </w:rPr>
        <w:t>is</w:t>
      </w:r>
      <w:r w:rsidRPr="00CA1504">
        <w:rPr>
          <w:rFonts w:ascii="Arial" w:hAnsi="Arial" w:cs="Arial"/>
          <w:sz w:val="20"/>
          <w:szCs w:val="20"/>
        </w:rPr>
        <w:t xml:space="preserve"> in the table below.</w:t>
      </w:r>
    </w:p>
    <w:p w14:paraId="0E9376F6" w14:textId="6FE14B9A" w:rsidR="00E620A2" w:rsidRPr="00982B9C" w:rsidRDefault="00982B9C" w:rsidP="00982B9C">
      <w:pPr>
        <w:pStyle w:val="Caption"/>
        <w:jc w:val="center"/>
        <w:rPr>
          <w:rFonts w:ascii="Arial" w:hAnsi="Arial" w:cs="Arial"/>
        </w:rPr>
      </w:pPr>
      <w:bookmarkStart w:id="35" w:name="_Toc2791459"/>
      <w:r w:rsidRPr="00982B9C">
        <w:rPr>
          <w:rFonts w:ascii="Arial" w:hAnsi="Arial" w:cs="Arial"/>
        </w:rPr>
        <w:t xml:space="preserve">Table </w:t>
      </w:r>
      <w:r w:rsidRPr="00982B9C">
        <w:rPr>
          <w:rFonts w:ascii="Arial" w:hAnsi="Arial" w:cs="Arial"/>
        </w:rPr>
        <w:fldChar w:fldCharType="begin"/>
      </w:r>
      <w:r w:rsidRPr="00982B9C">
        <w:rPr>
          <w:rFonts w:ascii="Arial" w:hAnsi="Arial" w:cs="Arial"/>
        </w:rPr>
        <w:instrText xml:space="preserve"> SEQ Table \* ARABIC </w:instrText>
      </w:r>
      <w:r w:rsidRPr="00982B9C">
        <w:rPr>
          <w:rFonts w:ascii="Arial" w:hAnsi="Arial" w:cs="Arial"/>
        </w:rPr>
        <w:fldChar w:fldCharType="separate"/>
      </w:r>
      <w:r w:rsidR="00A51621">
        <w:rPr>
          <w:rFonts w:ascii="Arial" w:hAnsi="Arial" w:cs="Arial"/>
          <w:noProof/>
        </w:rPr>
        <w:t>5</w:t>
      </w:r>
      <w:r w:rsidRPr="00982B9C">
        <w:rPr>
          <w:rFonts w:ascii="Arial" w:hAnsi="Arial" w:cs="Arial"/>
        </w:rPr>
        <w:fldChar w:fldCharType="end"/>
      </w:r>
      <w:r>
        <w:rPr>
          <w:rFonts w:ascii="Arial" w:hAnsi="Arial" w:cs="Arial"/>
        </w:rPr>
        <w:t>:</w:t>
      </w:r>
      <w:r w:rsidR="00E620A2" w:rsidRPr="00982B9C">
        <w:rPr>
          <w:rFonts w:ascii="Arial" w:hAnsi="Arial" w:cs="Arial"/>
        </w:rPr>
        <w:t xml:space="preserve"> Installation Rate</w:t>
      </w:r>
      <w:bookmarkEnd w:id="35"/>
    </w:p>
    <w:tbl>
      <w:tblPr>
        <w:tblStyle w:val="TableGrid1"/>
        <w:tblW w:w="5000" w:type="pct"/>
        <w:tblLook w:val="01E0" w:firstRow="1" w:lastRow="1" w:firstColumn="1" w:lastColumn="1" w:noHBand="0" w:noVBand="0"/>
      </w:tblPr>
      <w:tblGrid>
        <w:gridCol w:w="1366"/>
        <w:gridCol w:w="2687"/>
        <w:gridCol w:w="1305"/>
        <w:gridCol w:w="1632"/>
        <w:gridCol w:w="1404"/>
        <w:gridCol w:w="1272"/>
      </w:tblGrid>
      <w:tr w:rsidR="00E620A2" w:rsidRPr="00CA1504" w14:paraId="5489DE1F" w14:textId="77777777" w:rsidTr="00B86AB2">
        <w:tc>
          <w:tcPr>
            <w:tcW w:w="707" w:type="pct"/>
            <w:shd w:val="clear" w:color="auto" w:fill="D9D9D9" w:themeFill="background1" w:themeFillShade="D9"/>
          </w:tcPr>
          <w:p w14:paraId="4A477031" w14:textId="77777777" w:rsidR="00E620A2" w:rsidRPr="00B86AB2" w:rsidRDefault="00E620A2" w:rsidP="00973F7C">
            <w:pPr>
              <w:rPr>
                <w:rFonts w:ascii="Arial" w:hAnsi="Arial" w:cs="Arial"/>
                <w:b/>
                <w:sz w:val="18"/>
                <w:szCs w:val="18"/>
              </w:rPr>
            </w:pPr>
            <w:r w:rsidRPr="00B86AB2">
              <w:rPr>
                <w:rFonts w:ascii="Arial" w:hAnsi="Arial" w:cs="Arial"/>
                <w:b/>
                <w:sz w:val="18"/>
                <w:szCs w:val="18"/>
              </w:rPr>
              <w:t>GSIA ID</w:t>
            </w:r>
          </w:p>
        </w:tc>
        <w:tc>
          <w:tcPr>
            <w:tcW w:w="1390" w:type="pct"/>
            <w:shd w:val="clear" w:color="auto" w:fill="D9D9D9" w:themeFill="background1" w:themeFillShade="D9"/>
          </w:tcPr>
          <w:p w14:paraId="31A7E3D0" w14:textId="77777777" w:rsidR="00E620A2" w:rsidRPr="00B86AB2" w:rsidRDefault="00E620A2" w:rsidP="00973F7C">
            <w:pPr>
              <w:rPr>
                <w:rFonts w:ascii="Arial" w:hAnsi="Arial" w:cs="Arial"/>
                <w:b/>
                <w:sz w:val="18"/>
                <w:szCs w:val="18"/>
              </w:rPr>
            </w:pPr>
            <w:r w:rsidRPr="00B86AB2">
              <w:rPr>
                <w:rFonts w:ascii="Arial" w:hAnsi="Arial" w:cs="Arial"/>
                <w:b/>
                <w:sz w:val="18"/>
                <w:szCs w:val="18"/>
              </w:rPr>
              <w:t>Description</w:t>
            </w:r>
          </w:p>
        </w:tc>
        <w:tc>
          <w:tcPr>
            <w:tcW w:w="675" w:type="pct"/>
            <w:shd w:val="clear" w:color="auto" w:fill="D9D9D9" w:themeFill="background1" w:themeFillShade="D9"/>
          </w:tcPr>
          <w:p w14:paraId="10DB7E81" w14:textId="77777777" w:rsidR="00E620A2" w:rsidRPr="00B86AB2" w:rsidRDefault="00E620A2" w:rsidP="00973F7C">
            <w:pPr>
              <w:rPr>
                <w:rFonts w:ascii="Arial" w:hAnsi="Arial" w:cs="Arial"/>
                <w:b/>
                <w:sz w:val="18"/>
                <w:szCs w:val="18"/>
              </w:rPr>
            </w:pPr>
            <w:r w:rsidRPr="00B86AB2">
              <w:rPr>
                <w:rFonts w:ascii="Arial" w:hAnsi="Arial" w:cs="Arial"/>
                <w:b/>
                <w:sz w:val="18"/>
                <w:szCs w:val="18"/>
              </w:rPr>
              <w:t>Sector</w:t>
            </w:r>
          </w:p>
        </w:tc>
        <w:tc>
          <w:tcPr>
            <w:tcW w:w="844" w:type="pct"/>
            <w:shd w:val="clear" w:color="auto" w:fill="D9D9D9" w:themeFill="background1" w:themeFillShade="D9"/>
          </w:tcPr>
          <w:p w14:paraId="4F90C978" w14:textId="77777777" w:rsidR="00E620A2" w:rsidRPr="00B86AB2" w:rsidRDefault="00E620A2" w:rsidP="00973F7C">
            <w:pPr>
              <w:rPr>
                <w:rFonts w:ascii="Arial" w:hAnsi="Arial" w:cs="Arial"/>
                <w:b/>
                <w:sz w:val="18"/>
                <w:szCs w:val="18"/>
              </w:rPr>
            </w:pPr>
            <w:proofErr w:type="spellStart"/>
            <w:r w:rsidRPr="00B86AB2">
              <w:rPr>
                <w:rFonts w:ascii="Arial" w:hAnsi="Arial" w:cs="Arial"/>
                <w:b/>
                <w:sz w:val="18"/>
                <w:szCs w:val="18"/>
              </w:rPr>
              <w:t>BldgType</w:t>
            </w:r>
            <w:proofErr w:type="spellEnd"/>
          </w:p>
        </w:tc>
        <w:tc>
          <w:tcPr>
            <w:tcW w:w="726" w:type="pct"/>
            <w:shd w:val="clear" w:color="auto" w:fill="D9D9D9" w:themeFill="background1" w:themeFillShade="D9"/>
          </w:tcPr>
          <w:p w14:paraId="008DD9B0" w14:textId="77777777" w:rsidR="00E620A2" w:rsidRPr="00B86AB2" w:rsidRDefault="00E620A2" w:rsidP="00973F7C">
            <w:pPr>
              <w:rPr>
                <w:rFonts w:ascii="Arial" w:hAnsi="Arial" w:cs="Arial"/>
                <w:b/>
                <w:sz w:val="18"/>
                <w:szCs w:val="18"/>
              </w:rPr>
            </w:pPr>
            <w:proofErr w:type="spellStart"/>
            <w:r w:rsidRPr="00B86AB2">
              <w:rPr>
                <w:rFonts w:ascii="Arial" w:hAnsi="Arial" w:cs="Arial"/>
                <w:b/>
                <w:sz w:val="18"/>
                <w:szCs w:val="18"/>
              </w:rPr>
              <w:t>ProgDelivID</w:t>
            </w:r>
            <w:proofErr w:type="spellEnd"/>
          </w:p>
        </w:tc>
        <w:tc>
          <w:tcPr>
            <w:tcW w:w="658" w:type="pct"/>
            <w:shd w:val="clear" w:color="auto" w:fill="D9D9D9" w:themeFill="background1" w:themeFillShade="D9"/>
          </w:tcPr>
          <w:p w14:paraId="5CE4E74A" w14:textId="77777777" w:rsidR="00E620A2" w:rsidRPr="00B86AB2" w:rsidRDefault="00E620A2" w:rsidP="00973F7C">
            <w:pPr>
              <w:rPr>
                <w:rFonts w:ascii="Arial" w:hAnsi="Arial" w:cs="Arial"/>
                <w:b/>
                <w:sz w:val="18"/>
                <w:szCs w:val="18"/>
              </w:rPr>
            </w:pPr>
            <w:proofErr w:type="spellStart"/>
            <w:r w:rsidRPr="00B86AB2">
              <w:rPr>
                <w:rFonts w:ascii="Arial" w:hAnsi="Arial" w:cs="Arial"/>
                <w:b/>
                <w:sz w:val="18"/>
                <w:szCs w:val="18"/>
              </w:rPr>
              <w:t>GSIAValue</w:t>
            </w:r>
            <w:proofErr w:type="spellEnd"/>
          </w:p>
        </w:tc>
      </w:tr>
      <w:tr w:rsidR="00E620A2" w:rsidRPr="00CA1504" w14:paraId="42E9BFC1" w14:textId="77777777" w:rsidTr="00B86AB2">
        <w:tc>
          <w:tcPr>
            <w:tcW w:w="707" w:type="pct"/>
          </w:tcPr>
          <w:p w14:paraId="481B2134" w14:textId="77777777" w:rsidR="00E620A2" w:rsidRPr="00982B9C" w:rsidRDefault="00E620A2" w:rsidP="00973F7C">
            <w:pPr>
              <w:rPr>
                <w:rFonts w:ascii="Arial" w:hAnsi="Arial" w:cs="Arial"/>
                <w:sz w:val="18"/>
                <w:szCs w:val="18"/>
              </w:rPr>
            </w:pPr>
            <w:r w:rsidRPr="00982B9C">
              <w:rPr>
                <w:rFonts w:ascii="Arial" w:hAnsi="Arial" w:cs="Arial"/>
                <w:sz w:val="18"/>
                <w:szCs w:val="18"/>
              </w:rPr>
              <w:t>Def-GSIA</w:t>
            </w:r>
          </w:p>
        </w:tc>
        <w:tc>
          <w:tcPr>
            <w:tcW w:w="1390" w:type="pct"/>
          </w:tcPr>
          <w:p w14:paraId="53D5AED7" w14:textId="77777777" w:rsidR="00E620A2" w:rsidRPr="00982B9C" w:rsidRDefault="00E620A2" w:rsidP="00973F7C">
            <w:pPr>
              <w:rPr>
                <w:rFonts w:ascii="Arial" w:hAnsi="Arial" w:cs="Arial"/>
                <w:sz w:val="18"/>
                <w:szCs w:val="18"/>
              </w:rPr>
            </w:pPr>
            <w:r w:rsidRPr="00982B9C">
              <w:rPr>
                <w:rFonts w:ascii="Arial" w:hAnsi="Arial" w:cs="Arial"/>
                <w:sz w:val="18"/>
                <w:szCs w:val="18"/>
              </w:rPr>
              <w:t>Default GSIA values</w:t>
            </w:r>
          </w:p>
        </w:tc>
        <w:tc>
          <w:tcPr>
            <w:tcW w:w="675" w:type="pct"/>
          </w:tcPr>
          <w:p w14:paraId="47A15DF9" w14:textId="77777777" w:rsidR="00E620A2" w:rsidRPr="00973F7C" w:rsidRDefault="00E620A2" w:rsidP="00973F7C">
            <w:pPr>
              <w:rPr>
                <w:rFonts w:ascii="Arial" w:hAnsi="Arial" w:cs="Arial"/>
                <w:sz w:val="18"/>
                <w:szCs w:val="18"/>
              </w:rPr>
            </w:pPr>
            <w:r w:rsidRPr="00973F7C">
              <w:rPr>
                <w:rFonts w:ascii="Arial" w:hAnsi="Arial" w:cs="Arial"/>
                <w:sz w:val="18"/>
                <w:szCs w:val="18"/>
              </w:rPr>
              <w:t>Any</w:t>
            </w:r>
          </w:p>
        </w:tc>
        <w:tc>
          <w:tcPr>
            <w:tcW w:w="844" w:type="pct"/>
          </w:tcPr>
          <w:p w14:paraId="149EFA91" w14:textId="77777777" w:rsidR="00E620A2" w:rsidRPr="00AB09DC" w:rsidRDefault="00E620A2" w:rsidP="00973F7C">
            <w:pPr>
              <w:rPr>
                <w:rFonts w:ascii="Arial" w:hAnsi="Arial" w:cs="Arial"/>
                <w:sz w:val="18"/>
                <w:szCs w:val="18"/>
              </w:rPr>
            </w:pPr>
            <w:r w:rsidRPr="00AB09DC">
              <w:rPr>
                <w:rFonts w:ascii="Arial" w:hAnsi="Arial" w:cs="Arial"/>
                <w:sz w:val="18"/>
                <w:szCs w:val="18"/>
              </w:rPr>
              <w:t>Any</w:t>
            </w:r>
          </w:p>
        </w:tc>
        <w:tc>
          <w:tcPr>
            <w:tcW w:w="726" w:type="pct"/>
          </w:tcPr>
          <w:p w14:paraId="31FF4FBD" w14:textId="77777777" w:rsidR="00E620A2" w:rsidRPr="00AB09DC" w:rsidRDefault="00E620A2" w:rsidP="00973F7C">
            <w:pPr>
              <w:rPr>
                <w:rFonts w:ascii="Arial" w:hAnsi="Arial" w:cs="Arial"/>
                <w:sz w:val="18"/>
                <w:szCs w:val="18"/>
              </w:rPr>
            </w:pPr>
            <w:r w:rsidRPr="00AB09DC">
              <w:rPr>
                <w:rFonts w:ascii="Arial" w:hAnsi="Arial" w:cs="Arial"/>
                <w:sz w:val="18"/>
                <w:szCs w:val="18"/>
              </w:rPr>
              <w:t>Any</w:t>
            </w:r>
          </w:p>
        </w:tc>
        <w:tc>
          <w:tcPr>
            <w:tcW w:w="658" w:type="pct"/>
          </w:tcPr>
          <w:p w14:paraId="2AA2CEF1" w14:textId="77777777" w:rsidR="00E620A2" w:rsidRPr="00AB09DC" w:rsidRDefault="00E620A2" w:rsidP="00973F7C">
            <w:pPr>
              <w:rPr>
                <w:rFonts w:ascii="Arial" w:hAnsi="Arial" w:cs="Arial"/>
                <w:sz w:val="18"/>
                <w:szCs w:val="18"/>
              </w:rPr>
            </w:pPr>
            <w:r w:rsidRPr="00AB09DC">
              <w:rPr>
                <w:rFonts w:ascii="Arial" w:hAnsi="Arial" w:cs="Arial"/>
                <w:sz w:val="18"/>
                <w:szCs w:val="18"/>
              </w:rPr>
              <w:t>1</w:t>
            </w:r>
          </w:p>
        </w:tc>
      </w:tr>
    </w:tbl>
    <w:p w14:paraId="1C6E1E8A" w14:textId="77777777" w:rsidR="00E620A2" w:rsidRDefault="00E620A2" w:rsidP="00E620A2"/>
    <w:p w14:paraId="47965C4A" w14:textId="77777777" w:rsidR="00E620A2" w:rsidRPr="003B01FE" w:rsidRDefault="00E620A2" w:rsidP="00E620A2">
      <w:pPr>
        <w:tabs>
          <w:tab w:val="left" w:pos="6435"/>
        </w:tabs>
        <w:rPr>
          <w:rFonts w:ascii="Arial" w:hAnsi="Arial"/>
          <w:sz w:val="20"/>
        </w:rPr>
      </w:pPr>
      <w:r w:rsidRPr="001F6794">
        <w:rPr>
          <w:rFonts w:ascii="Arial" w:hAnsi="Arial"/>
          <w:sz w:val="20"/>
        </w:rPr>
        <w:t>The DEER 2016 hours of operation and interactive effects are used in the savings calculations.</w:t>
      </w:r>
    </w:p>
    <w:p w14:paraId="6E5F59A6" w14:textId="77777777" w:rsidR="00E620A2" w:rsidRDefault="00E620A2" w:rsidP="00E620A2"/>
    <w:p w14:paraId="5AFF1C2E" w14:textId="77777777" w:rsidR="00E620A2" w:rsidRPr="003B01FE" w:rsidRDefault="00E620A2" w:rsidP="00E620A2">
      <w:pPr>
        <w:rPr>
          <w:rFonts w:ascii="Arial" w:hAnsi="Arial"/>
          <w:sz w:val="20"/>
        </w:rPr>
      </w:pPr>
      <w:r w:rsidRPr="003B01FE">
        <w:rPr>
          <w:rFonts w:ascii="Arial" w:hAnsi="Arial"/>
          <w:sz w:val="20"/>
        </w:rPr>
        <w:t>The rated life for these products is assumed to be 50,000 hours, the minimum DLC specification</w:t>
      </w:r>
      <w:r>
        <w:rPr>
          <w:rFonts w:ascii="Arial" w:hAnsi="Arial"/>
          <w:sz w:val="20"/>
        </w:rPr>
        <w:t>, though DLC products average more than 56,000 hours</w:t>
      </w:r>
      <w:r w:rsidRPr="003B01FE">
        <w:rPr>
          <w:rFonts w:ascii="Arial" w:hAnsi="Arial"/>
          <w:sz w:val="20"/>
        </w:rPr>
        <w:t xml:space="preserve">. Rated life for DLC-listed products starts at 50,000 hours and extends much higher, but a minimum of 50,000 hours or 12 years is used here. Since the EUL is dependent on the hours of operation, the EUL varies by building type. </w:t>
      </w:r>
    </w:p>
    <w:p w14:paraId="07E8F9B0" w14:textId="77777777" w:rsidR="00E620A2" w:rsidRPr="003B01FE" w:rsidRDefault="00E620A2" w:rsidP="00E620A2">
      <w:pPr>
        <w:rPr>
          <w:rFonts w:ascii="Arial" w:hAnsi="Arial"/>
          <w:sz w:val="20"/>
        </w:rPr>
      </w:pPr>
    </w:p>
    <w:p w14:paraId="0FBF9AC6" w14:textId="77777777" w:rsidR="00E620A2" w:rsidRPr="003B01FE" w:rsidRDefault="00E620A2" w:rsidP="00E620A2">
      <w:pPr>
        <w:rPr>
          <w:rFonts w:ascii="Arial" w:hAnsi="Arial"/>
          <w:sz w:val="20"/>
        </w:rPr>
      </w:pPr>
      <w:r w:rsidRPr="003B01FE">
        <w:rPr>
          <w:rFonts w:ascii="Arial" w:hAnsi="Arial"/>
          <w:sz w:val="20"/>
        </w:rPr>
        <w:t>The EUL is based on 50,000 hours rated fixture life divided by average annual hours of operation for each building type:</w:t>
      </w:r>
    </w:p>
    <w:p w14:paraId="44A15C7F" w14:textId="77777777" w:rsidR="00E620A2" w:rsidRPr="003B01FE" w:rsidRDefault="00E620A2" w:rsidP="00E620A2">
      <w:pPr>
        <w:rPr>
          <w:rFonts w:ascii="Arial" w:hAnsi="Arial"/>
          <w:sz w:val="20"/>
        </w:rPr>
      </w:pPr>
    </w:p>
    <w:p w14:paraId="7D66414F" w14:textId="77777777" w:rsidR="00E620A2" w:rsidRPr="003B01FE" w:rsidRDefault="00E620A2" w:rsidP="00E620A2">
      <w:pPr>
        <w:rPr>
          <w:rFonts w:ascii="Arial" w:hAnsi="Arial"/>
          <w:sz w:val="20"/>
        </w:rPr>
      </w:pPr>
      <w:r w:rsidRPr="003B01FE">
        <w:rPr>
          <w:rFonts w:ascii="Arial" w:hAnsi="Arial"/>
          <w:sz w:val="20"/>
        </w:rPr>
        <w:tab/>
        <w:t>EUL = (DLC-Minimum Fixture Life (hours)) / (Average Operating Hours per Year)</w:t>
      </w:r>
    </w:p>
    <w:p w14:paraId="1D955DD2" w14:textId="77777777" w:rsidR="00E620A2" w:rsidRDefault="00E620A2" w:rsidP="00CA6228">
      <w:pPr>
        <w:rPr>
          <w:rFonts w:ascii="Arial" w:hAnsi="Arial" w:cs="Arial"/>
          <w:sz w:val="20"/>
          <w:szCs w:val="20"/>
        </w:rPr>
      </w:pPr>
    </w:p>
    <w:p w14:paraId="263E520E" w14:textId="417C1549" w:rsidR="00457F4D" w:rsidRPr="003A4040" w:rsidRDefault="00457F4D" w:rsidP="00CA6228">
      <w:pPr>
        <w:rPr>
          <w:rFonts w:ascii="Arial" w:hAnsi="Arial" w:cs="Arial"/>
          <w:sz w:val="20"/>
          <w:szCs w:val="20"/>
        </w:rPr>
      </w:pPr>
      <w:r>
        <w:rPr>
          <w:rFonts w:ascii="Arial" w:hAnsi="Arial" w:cs="Arial"/>
          <w:sz w:val="20"/>
          <w:szCs w:val="20"/>
        </w:rPr>
        <w:t>Hours of Operation by building type are taken from DEER.</w:t>
      </w:r>
    </w:p>
    <w:p w14:paraId="46735620" w14:textId="78ED84C0" w:rsidR="002E0043" w:rsidRPr="002E0043" w:rsidRDefault="001248A3" w:rsidP="008473DB">
      <w:pPr>
        <w:pStyle w:val="Heading3"/>
      </w:pPr>
      <w:bookmarkStart w:id="36" w:name="_Toc533933922"/>
      <w:bookmarkStart w:id="37" w:name="_Toc2808642"/>
      <w:r>
        <w:lastRenderedPageBreak/>
        <w:t>1.</w:t>
      </w:r>
      <w:r w:rsidR="00952772">
        <w:t>5</w:t>
      </w:r>
      <w:r w:rsidR="00793646">
        <w:t>.2</w:t>
      </w:r>
      <w:r w:rsidR="00FA595F">
        <w:t xml:space="preserve"> </w:t>
      </w:r>
      <w:r w:rsidR="00E71EF1" w:rsidRPr="001248A3">
        <w:t xml:space="preserve">Codes &amp; Standards </w:t>
      </w:r>
      <w:r w:rsidR="001635BD">
        <w:t>and Standard Practice (SP)</w:t>
      </w:r>
      <w:r w:rsidR="00E71EF1" w:rsidRPr="001248A3">
        <w:t xml:space="preserve"> </w:t>
      </w:r>
      <w:r w:rsidR="009C5CA7">
        <w:t>Base</w:t>
      </w:r>
      <w:r w:rsidR="001635BD">
        <w:t>line</w:t>
      </w:r>
      <w:r w:rsidR="009C5CA7">
        <w:t xml:space="preserve"> and Measure Information</w:t>
      </w:r>
      <w:bookmarkEnd w:id="36"/>
      <w:bookmarkEnd w:id="37"/>
    </w:p>
    <w:p w14:paraId="51BBD753" w14:textId="77777777" w:rsidR="00640BB6" w:rsidRPr="00B13099" w:rsidRDefault="00476B67" w:rsidP="00B13099">
      <w:pPr>
        <w:rPr>
          <w:rFonts w:ascii="Arial" w:hAnsi="Arial" w:cs="Arial"/>
          <w:i/>
          <w:sz w:val="20"/>
          <w:szCs w:val="20"/>
        </w:rPr>
      </w:pPr>
      <w:r>
        <w:rPr>
          <w:rFonts w:ascii="Arial" w:hAnsi="Arial" w:cs="Arial"/>
          <w:sz w:val="20"/>
          <w:szCs w:val="20"/>
        </w:rPr>
        <w:t xml:space="preserve"> </w:t>
      </w:r>
    </w:p>
    <w:p w14:paraId="2E4072DB" w14:textId="77777777" w:rsidR="00DF145B" w:rsidRDefault="00EE53FF" w:rsidP="00DF145B">
      <w:pPr>
        <w:rPr>
          <w:rFonts w:ascii="Arial" w:hAnsi="Arial" w:cs="Arial"/>
          <w:sz w:val="20"/>
          <w:szCs w:val="20"/>
        </w:rPr>
      </w:pPr>
      <w:r w:rsidRPr="00B13099">
        <w:rPr>
          <w:rFonts w:ascii="Arial" w:hAnsi="Arial" w:cs="Arial"/>
          <w:b/>
          <w:i/>
        </w:rPr>
        <w:t>Federal Standards:</w:t>
      </w:r>
      <w:r w:rsidRPr="00B13099">
        <w:t xml:space="preserve"> </w:t>
      </w:r>
      <w:r w:rsidR="00B13099" w:rsidRPr="00B13099">
        <w:rPr>
          <w:rFonts w:ascii="Arial" w:hAnsi="Arial" w:cs="Arial"/>
          <w:sz w:val="20"/>
          <w:szCs w:val="20"/>
        </w:rPr>
        <w:t xml:space="preserve">These </w:t>
      </w:r>
      <w:r w:rsidR="000D14B0">
        <w:rPr>
          <w:rFonts w:ascii="Arial" w:hAnsi="Arial" w:cs="Arial"/>
          <w:sz w:val="20"/>
          <w:szCs w:val="20"/>
        </w:rPr>
        <w:t xml:space="preserve">LED </w:t>
      </w:r>
      <w:r w:rsidR="00B13099" w:rsidRPr="00B13099">
        <w:rPr>
          <w:rFonts w:ascii="Arial" w:hAnsi="Arial" w:cs="Arial"/>
          <w:sz w:val="20"/>
          <w:szCs w:val="20"/>
        </w:rPr>
        <w:t>measure</w:t>
      </w:r>
      <w:r w:rsidR="001231EA">
        <w:rPr>
          <w:rFonts w:ascii="Arial" w:hAnsi="Arial" w:cs="Arial"/>
          <w:sz w:val="20"/>
          <w:szCs w:val="20"/>
        </w:rPr>
        <w:t xml:space="preserve"> case fixture</w:t>
      </w:r>
      <w:r w:rsidR="00B13099" w:rsidRPr="00B13099">
        <w:rPr>
          <w:rFonts w:ascii="Arial" w:hAnsi="Arial" w:cs="Arial"/>
          <w:sz w:val="20"/>
          <w:szCs w:val="20"/>
        </w:rPr>
        <w:t xml:space="preserve">s do not fall </w:t>
      </w:r>
      <w:r w:rsidRPr="00B13099">
        <w:rPr>
          <w:rFonts w:ascii="Arial" w:hAnsi="Arial" w:cs="Arial"/>
          <w:sz w:val="20"/>
          <w:szCs w:val="20"/>
        </w:rPr>
        <w:t>under Federal DOE or EPA Energy Regulations.</w:t>
      </w:r>
      <w:r w:rsidR="001231EA" w:rsidRPr="001231EA">
        <w:rPr>
          <w:rFonts w:ascii="Arial" w:hAnsi="Arial" w:cs="Arial"/>
          <w:sz w:val="20"/>
          <w:szCs w:val="20"/>
        </w:rPr>
        <w:t xml:space="preserve"> Both </w:t>
      </w:r>
      <w:r w:rsidR="00DF145B">
        <w:rPr>
          <w:rFonts w:ascii="Arial" w:hAnsi="Arial" w:cs="Arial"/>
          <w:sz w:val="20"/>
          <w:szCs w:val="20"/>
        </w:rPr>
        <w:t>General Service Fluorescent</w:t>
      </w:r>
      <w:r w:rsidR="001231EA" w:rsidRPr="001231EA">
        <w:rPr>
          <w:rFonts w:ascii="Arial" w:hAnsi="Arial" w:cs="Arial"/>
          <w:sz w:val="20"/>
          <w:szCs w:val="20"/>
        </w:rPr>
        <w:t xml:space="preserve"> lamps and ballasts are energy-using components of </w:t>
      </w:r>
      <w:r w:rsidR="00DF145B">
        <w:rPr>
          <w:rFonts w:ascii="Arial" w:hAnsi="Arial" w:cs="Arial"/>
          <w:sz w:val="20"/>
          <w:szCs w:val="20"/>
        </w:rPr>
        <w:t>linear fluorescent</w:t>
      </w:r>
      <w:r w:rsidR="001231EA" w:rsidRPr="001231EA">
        <w:rPr>
          <w:rFonts w:ascii="Arial" w:hAnsi="Arial" w:cs="Arial"/>
          <w:sz w:val="20"/>
          <w:szCs w:val="20"/>
        </w:rPr>
        <w:t xml:space="preserve"> fixtures</w:t>
      </w:r>
      <w:r w:rsidR="00DF145B">
        <w:rPr>
          <w:rFonts w:ascii="Arial" w:hAnsi="Arial" w:cs="Arial"/>
          <w:sz w:val="20"/>
          <w:szCs w:val="20"/>
        </w:rPr>
        <w:t xml:space="preserve"> and are regulated by Federal Standards.</w:t>
      </w:r>
    </w:p>
    <w:p w14:paraId="7982FE04" w14:textId="77777777" w:rsidR="000D14B0" w:rsidRPr="0039573E" w:rsidRDefault="000D14B0" w:rsidP="000D14B0">
      <w:pPr>
        <w:pStyle w:val="ListParagraph"/>
        <w:numPr>
          <w:ilvl w:val="0"/>
          <w:numId w:val="25"/>
        </w:numPr>
        <w:rPr>
          <w:rFonts w:ascii="Arial" w:hAnsi="Arial" w:cs="Arial"/>
          <w:sz w:val="20"/>
          <w:szCs w:val="20"/>
        </w:rPr>
      </w:pPr>
      <w:r w:rsidRPr="0039573E">
        <w:rPr>
          <w:rFonts w:ascii="Arial" w:hAnsi="Arial" w:cs="Arial"/>
          <w:sz w:val="20"/>
          <w:szCs w:val="20"/>
        </w:rPr>
        <w:t>4-foot medium bi-pin lamps ≤4500K are required to meet 89 LPW (2,848 lm per 32 Watt lamp)</w:t>
      </w:r>
      <w:r w:rsidRPr="0039573E">
        <w:rPr>
          <w:rStyle w:val="EndnoteReference"/>
          <w:rFonts w:ascii="Arial" w:hAnsi="Arial" w:cs="Arial"/>
          <w:sz w:val="20"/>
          <w:szCs w:val="20"/>
        </w:rPr>
        <w:endnoteReference w:id="3"/>
      </w:r>
    </w:p>
    <w:p w14:paraId="3157E414" w14:textId="77777777" w:rsidR="000D14B0" w:rsidRPr="0039573E" w:rsidRDefault="000D14B0" w:rsidP="000D14B0">
      <w:pPr>
        <w:pStyle w:val="ListParagraph"/>
        <w:numPr>
          <w:ilvl w:val="0"/>
          <w:numId w:val="25"/>
        </w:numPr>
        <w:rPr>
          <w:rFonts w:ascii="Arial" w:hAnsi="Arial" w:cs="Arial"/>
          <w:sz w:val="20"/>
          <w:szCs w:val="20"/>
        </w:rPr>
      </w:pPr>
      <w:r w:rsidRPr="0039573E">
        <w:rPr>
          <w:rFonts w:ascii="Arial" w:hAnsi="Arial" w:cs="Arial"/>
          <w:sz w:val="20"/>
          <w:szCs w:val="20"/>
        </w:rPr>
        <w:t>Ballasts for 4-foot medium bi-pin lamps are required by EPCA’s 2011 amendment to have a ballast luminous efficacy (BLE) no less than 0.993/(1 + 0.27  ͯ  total lamp arc power ^ - 0.25)</w:t>
      </w:r>
      <w:r w:rsidRPr="0039573E">
        <w:rPr>
          <w:rStyle w:val="EndnoteReference"/>
          <w:rFonts w:ascii="Arial" w:hAnsi="Arial" w:cs="Arial"/>
          <w:sz w:val="20"/>
          <w:szCs w:val="20"/>
        </w:rPr>
        <w:endnoteReference w:id="4"/>
      </w:r>
    </w:p>
    <w:p w14:paraId="13D59A3A" w14:textId="77777777" w:rsidR="000D14B0" w:rsidRPr="0039573E" w:rsidRDefault="000D14B0" w:rsidP="000D14B0">
      <w:pPr>
        <w:rPr>
          <w:rFonts w:ascii="Arial" w:hAnsi="Arial" w:cs="Arial"/>
          <w:sz w:val="20"/>
          <w:szCs w:val="20"/>
        </w:rPr>
      </w:pPr>
      <w:r w:rsidRPr="0039573E">
        <w:rPr>
          <w:rFonts w:ascii="Arial" w:hAnsi="Arial" w:cs="Arial"/>
          <w:sz w:val="20"/>
          <w:szCs w:val="20"/>
        </w:rPr>
        <w:t xml:space="preserve">For Normal Replacement scenarios, only the ballast performance matters, and only for TLED Type </w:t>
      </w:r>
      <w:proofErr w:type="gramStart"/>
      <w:r w:rsidRPr="0039573E">
        <w:rPr>
          <w:rFonts w:ascii="Arial" w:hAnsi="Arial" w:cs="Arial"/>
          <w:sz w:val="20"/>
          <w:szCs w:val="20"/>
        </w:rPr>
        <w:t>A</w:t>
      </w:r>
      <w:proofErr w:type="gramEnd"/>
      <w:r w:rsidRPr="0039573E">
        <w:rPr>
          <w:rFonts w:ascii="Arial" w:hAnsi="Arial" w:cs="Arial"/>
          <w:sz w:val="20"/>
          <w:szCs w:val="20"/>
        </w:rPr>
        <w:t xml:space="preserve"> products. For these products serving 32-Watt 4-foot products, a 90% BLE is assumed, exceeding the 89.2% federal requirement.</w:t>
      </w:r>
    </w:p>
    <w:p w14:paraId="048A5713" w14:textId="7375EF70" w:rsidR="007800F1" w:rsidRDefault="007800F1" w:rsidP="0058068B">
      <w:pPr>
        <w:spacing w:before="120" w:after="120"/>
        <w:rPr>
          <w:rFonts w:ascii="Arial" w:hAnsi="Arial" w:cs="Arial"/>
          <w:sz w:val="20"/>
          <w:szCs w:val="20"/>
        </w:rPr>
      </w:pPr>
      <w:r w:rsidRPr="00B13099">
        <w:rPr>
          <w:rFonts w:ascii="Arial" w:hAnsi="Arial" w:cs="Arial"/>
          <w:b/>
          <w:i/>
        </w:rPr>
        <w:t>Title 20:</w:t>
      </w:r>
      <w:r w:rsidRPr="00B13099">
        <w:rPr>
          <w:rFonts w:ascii="Arial" w:hAnsi="Arial" w:cs="Arial"/>
        </w:rPr>
        <w:t xml:space="preserve"> </w:t>
      </w:r>
      <w:r w:rsidRPr="00B13099">
        <w:rPr>
          <w:rFonts w:ascii="Arial" w:hAnsi="Arial" w:cs="Arial"/>
          <w:sz w:val="20"/>
          <w:szCs w:val="20"/>
        </w:rPr>
        <w:t>These measure</w:t>
      </w:r>
      <w:r w:rsidR="000D14B0">
        <w:rPr>
          <w:rFonts w:ascii="Arial" w:hAnsi="Arial" w:cs="Arial"/>
          <w:sz w:val="20"/>
          <w:szCs w:val="20"/>
        </w:rPr>
        <w:t xml:space="preserve"> case fixture</w:t>
      </w:r>
      <w:r w:rsidRPr="00B13099">
        <w:rPr>
          <w:rFonts w:ascii="Arial" w:hAnsi="Arial" w:cs="Arial"/>
          <w:sz w:val="20"/>
          <w:szCs w:val="20"/>
        </w:rPr>
        <w:t>s do not fall under Title 20</w:t>
      </w:r>
      <w:r>
        <w:rPr>
          <w:rFonts w:ascii="Arial" w:hAnsi="Arial" w:cs="Arial"/>
          <w:sz w:val="20"/>
          <w:szCs w:val="20"/>
        </w:rPr>
        <w:t xml:space="preserve"> </w:t>
      </w:r>
      <w:r w:rsidRPr="00B13099">
        <w:rPr>
          <w:rFonts w:ascii="Arial" w:hAnsi="Arial" w:cs="Arial"/>
          <w:sz w:val="20"/>
          <w:szCs w:val="20"/>
        </w:rPr>
        <w:t>of the California Energy Regulations</w:t>
      </w:r>
    </w:p>
    <w:p w14:paraId="5AB8C207" w14:textId="757D1047" w:rsidR="007800F1" w:rsidRPr="00BD31A1" w:rsidRDefault="007800F1" w:rsidP="00DF145B">
      <w:pPr>
        <w:rPr>
          <w:rFonts w:ascii="Arial" w:hAnsi="Arial" w:cs="Arial"/>
          <w:sz w:val="20"/>
          <w:szCs w:val="20"/>
        </w:rPr>
      </w:pPr>
      <w:r w:rsidRPr="00B13099">
        <w:rPr>
          <w:rFonts w:ascii="Arial" w:hAnsi="Arial" w:cs="Arial"/>
          <w:b/>
          <w:i/>
        </w:rPr>
        <w:t>Title 24:</w:t>
      </w:r>
      <w:r w:rsidRPr="00B13099">
        <w:t xml:space="preserve"> </w:t>
      </w:r>
      <w:r w:rsidRPr="00BD31A1">
        <w:rPr>
          <w:rFonts w:ascii="Arial" w:hAnsi="Arial" w:cs="Arial"/>
          <w:sz w:val="20"/>
          <w:szCs w:val="20"/>
        </w:rPr>
        <w:t>The recently adopted 2019 California Title 24 Building Energy Standards reduces interior lighting power allowances based largely on the use of LED technologies.</w:t>
      </w:r>
      <w:r w:rsidR="00240402">
        <w:rPr>
          <w:rStyle w:val="EndnoteReference"/>
          <w:rFonts w:ascii="Arial" w:hAnsi="Arial" w:cs="Arial"/>
          <w:sz w:val="20"/>
          <w:szCs w:val="20"/>
        </w:rPr>
        <w:endnoteReference w:id="5"/>
      </w:r>
    </w:p>
    <w:p w14:paraId="7CF87DC0" w14:textId="77777777" w:rsidR="00DF145B" w:rsidRPr="00BD31A1" w:rsidRDefault="001B4D7A" w:rsidP="001B4D7A">
      <w:pPr>
        <w:pStyle w:val="BodyText"/>
        <w:spacing w:before="31"/>
        <w:ind w:left="220" w:right="180"/>
        <w:rPr>
          <w:rFonts w:ascii="Arial" w:hAnsi="Arial" w:cs="Arial"/>
          <w:sz w:val="20"/>
          <w:szCs w:val="20"/>
        </w:rPr>
      </w:pPr>
      <w:r w:rsidRPr="00BD31A1">
        <w:rPr>
          <w:rFonts w:ascii="Arial" w:hAnsi="Arial" w:cs="Arial"/>
          <w:sz w:val="20"/>
          <w:szCs w:val="20"/>
        </w:rPr>
        <w:t>As part of the 2019 update to Title 24, the IOU’s Codes and Standards indoor Lighting Power Densities study revised lighting power densities for all building and space types</w:t>
      </w:r>
      <w:r w:rsidR="007800F1" w:rsidRPr="00BD31A1">
        <w:rPr>
          <w:rFonts w:ascii="Arial" w:hAnsi="Arial" w:cs="Arial"/>
          <w:sz w:val="20"/>
          <w:szCs w:val="20"/>
        </w:rPr>
        <w:t>.</w:t>
      </w:r>
      <w:r w:rsidRPr="00BD31A1">
        <w:rPr>
          <w:rFonts w:ascii="Arial" w:hAnsi="Arial" w:cs="Arial"/>
          <w:sz w:val="20"/>
          <w:szCs w:val="20"/>
        </w:rPr>
        <w:t xml:space="preserve"> The 2013 Codes and standards Study “Indoor Lighting Controls” assumed the use of high performance lighting technologies including “high performance” linear fluorescent lamps and reduced light output ballasts, the 2019 Study assumes LED technology for all lighting and as a result the proposed lighting power density have been significantly reduced.</w:t>
      </w:r>
    </w:p>
    <w:p w14:paraId="1DE45615" w14:textId="77777777" w:rsidR="001635BD" w:rsidRDefault="001635BD" w:rsidP="001B4D7A">
      <w:pPr>
        <w:pStyle w:val="BodyText"/>
        <w:spacing w:before="31"/>
        <w:ind w:left="220" w:right="360"/>
        <w:rPr>
          <w:rFonts w:ascii="Arial" w:hAnsi="Arial" w:cs="Arial"/>
          <w:b/>
          <w:sz w:val="20"/>
          <w:szCs w:val="20"/>
        </w:rPr>
      </w:pPr>
    </w:p>
    <w:p w14:paraId="34CBB7C3" w14:textId="7FACA935" w:rsidR="001635BD" w:rsidRPr="001635BD" w:rsidRDefault="001635BD" w:rsidP="001B4D7A">
      <w:pPr>
        <w:pStyle w:val="BodyText"/>
        <w:spacing w:before="31"/>
        <w:ind w:left="220" w:right="360"/>
        <w:rPr>
          <w:rFonts w:ascii="Arial" w:hAnsi="Arial" w:cs="Arial"/>
          <w:b/>
          <w:sz w:val="20"/>
          <w:szCs w:val="20"/>
        </w:rPr>
      </w:pPr>
      <w:r w:rsidRPr="001635BD">
        <w:rPr>
          <w:rFonts w:ascii="Arial" w:hAnsi="Arial" w:cs="Arial"/>
          <w:b/>
          <w:sz w:val="20"/>
          <w:szCs w:val="20"/>
        </w:rPr>
        <w:t>DEER SP Baseline for Lighting</w:t>
      </w:r>
    </w:p>
    <w:p w14:paraId="63FD2E93" w14:textId="77777777" w:rsidR="001B4D7A" w:rsidRPr="00BD31A1" w:rsidRDefault="007800F1" w:rsidP="001B4D7A">
      <w:pPr>
        <w:pStyle w:val="BodyText"/>
        <w:spacing w:before="31"/>
        <w:ind w:left="220" w:right="360"/>
        <w:rPr>
          <w:rFonts w:ascii="Arial" w:hAnsi="Arial" w:cs="Arial"/>
          <w:sz w:val="20"/>
          <w:szCs w:val="20"/>
        </w:rPr>
      </w:pPr>
      <w:r w:rsidRPr="00BD31A1">
        <w:rPr>
          <w:rFonts w:ascii="Arial" w:hAnsi="Arial" w:cs="Arial"/>
          <w:sz w:val="20"/>
          <w:szCs w:val="20"/>
        </w:rPr>
        <w:t>The DEER2019 update incorporates the standard practice baselines from the recent dispositions covering exterior, interior low-bay, interior high-bay, screw-in and can-retrofit lighting. In addition to incorporating measures covered by recent workpaper dispositions, DEER2019 updates the standard practice baseline for all other NR, NC, ROB and AR measures to be based on LED technologies. This includes LED ceiling, troffer and retrofit kits measures that have previously been defined with T8 linear fluorescent baselines.</w:t>
      </w:r>
    </w:p>
    <w:p w14:paraId="02F0B91D" w14:textId="77777777" w:rsidR="001B4D7A" w:rsidRDefault="001B4D7A" w:rsidP="001B4D7A">
      <w:pPr>
        <w:pStyle w:val="BodyText"/>
        <w:spacing w:before="31"/>
        <w:ind w:left="220" w:right="360"/>
        <w:rPr>
          <w:rFonts w:ascii="Arial" w:hAnsi="Arial" w:cs="Arial"/>
          <w:sz w:val="20"/>
          <w:szCs w:val="20"/>
        </w:rPr>
      </w:pPr>
    </w:p>
    <w:p w14:paraId="61C87565" w14:textId="06B6F34A" w:rsidR="000D14B0" w:rsidRPr="000D413A" w:rsidRDefault="001248A3">
      <w:pPr>
        <w:pStyle w:val="Heading3"/>
      </w:pPr>
      <w:bookmarkStart w:id="38" w:name="_Ref533335728"/>
      <w:bookmarkStart w:id="39" w:name="_Toc533933923"/>
      <w:bookmarkStart w:id="40" w:name="_Toc2808643"/>
      <w:r w:rsidRPr="00F7225A">
        <w:t>1.</w:t>
      </w:r>
      <w:r w:rsidR="00952772">
        <w:t>5</w:t>
      </w:r>
      <w:r w:rsidR="00264B03" w:rsidRPr="00F7225A">
        <w:t>.3</w:t>
      </w:r>
      <w:r w:rsidR="00A02F0A" w:rsidRPr="00F7225A">
        <w:t xml:space="preserve"> </w:t>
      </w:r>
      <w:r w:rsidR="00C069A2" w:rsidRPr="00F7225A">
        <w:t>EM&amp;V</w:t>
      </w:r>
      <w:r w:rsidR="00755961" w:rsidRPr="00F7225A">
        <w:t xml:space="preserve">, Market </w:t>
      </w:r>
      <w:r w:rsidR="00755961">
        <w:t>Potential,</w:t>
      </w:r>
      <w:r w:rsidR="00C069A2" w:rsidRPr="001248A3">
        <w:t xml:space="preserve"> </w:t>
      </w:r>
      <w:r w:rsidR="0044337C">
        <w:t xml:space="preserve">and Other </w:t>
      </w:r>
      <w:r w:rsidR="00C069A2" w:rsidRPr="001248A3">
        <w:t>Studies</w:t>
      </w:r>
      <w:r w:rsidR="009C5CA7">
        <w:t xml:space="preserve"> – Base Case and Measure Case Information</w:t>
      </w:r>
      <w:bookmarkEnd w:id="38"/>
      <w:bookmarkEnd w:id="39"/>
      <w:bookmarkEnd w:id="40"/>
    </w:p>
    <w:p w14:paraId="624C9F8C" w14:textId="0ACB5034" w:rsidR="00DD7BB6" w:rsidRPr="000D413A" w:rsidRDefault="000D14B0" w:rsidP="0071784F">
      <w:pPr>
        <w:pStyle w:val="Heading4"/>
      </w:pPr>
      <w:r>
        <w:t xml:space="preserve">1.5.3.1 </w:t>
      </w:r>
      <w:r w:rsidR="00DD7BB6" w:rsidRPr="000D413A">
        <w:t>California LED Pricing Analysis, Navigant 2018</w:t>
      </w:r>
      <w:r w:rsidR="00DD7BB6">
        <w:t>:</w:t>
      </w:r>
      <w:r w:rsidR="00DD7BB6" w:rsidRPr="0071784F">
        <w:rPr>
          <w:rStyle w:val="EndnoteReference"/>
          <w:b w:val="0"/>
          <w:i w:val="0"/>
        </w:rPr>
        <w:endnoteReference w:id="6"/>
      </w:r>
    </w:p>
    <w:p w14:paraId="3091A15E" w14:textId="77777777" w:rsidR="00DD7BB6" w:rsidRPr="00392C00" w:rsidRDefault="00DD7BB6" w:rsidP="00DD7BB6">
      <w:pPr>
        <w:rPr>
          <w:rFonts w:ascii="Arial" w:hAnsi="Arial" w:cs="Arial"/>
          <w:sz w:val="20"/>
          <w:szCs w:val="20"/>
        </w:rPr>
      </w:pPr>
      <w:r w:rsidRPr="00392C00">
        <w:rPr>
          <w:rFonts w:ascii="Arial" w:hAnsi="Arial" w:cs="Arial"/>
          <w:sz w:val="20"/>
          <w:szCs w:val="20"/>
        </w:rPr>
        <w:t xml:space="preserve">This market study to evaluate LED product pricing was completed by Navigant Consulting, Inc. in January 2018. This study’s objectives included 1) identifying the range of current prices for DLC and ENERGYSTAR qualified LED products in the California non-residential lighting market for certain priority product categories selected by the IOUs including the LED </w:t>
      </w:r>
      <w:r>
        <w:rPr>
          <w:rFonts w:ascii="Arial" w:hAnsi="Arial" w:cs="Arial"/>
          <w:sz w:val="20"/>
          <w:szCs w:val="20"/>
        </w:rPr>
        <w:t>troffer</w:t>
      </w:r>
      <w:r w:rsidRPr="00392C00">
        <w:rPr>
          <w:rFonts w:ascii="Arial" w:hAnsi="Arial" w:cs="Arial"/>
          <w:sz w:val="20"/>
          <w:szCs w:val="20"/>
        </w:rPr>
        <w:t xml:space="preserve"> lighting product category, 2) determining what factors significantly influence LED price, 3) developing an incremental cost estimate relative to identified baseline technologies (MH, HPS, LF, CFL), and to 4) determine how, and at what rate LED price ranges are anticipated to change as the market matures 3 and 5 years out from 2017. </w:t>
      </w:r>
    </w:p>
    <w:p w14:paraId="5DE84F04" w14:textId="77777777" w:rsidR="00DD7BB6" w:rsidRPr="00392C00" w:rsidRDefault="00DD7BB6" w:rsidP="00DD7BB6">
      <w:pPr>
        <w:rPr>
          <w:rFonts w:ascii="Arial" w:hAnsi="Arial" w:cs="Arial"/>
          <w:sz w:val="20"/>
          <w:szCs w:val="20"/>
        </w:rPr>
      </w:pPr>
    </w:p>
    <w:p w14:paraId="342C2B50" w14:textId="77777777" w:rsidR="00DD7BB6" w:rsidRPr="00392C00" w:rsidRDefault="00DD7BB6" w:rsidP="00DD7BB6">
      <w:pPr>
        <w:rPr>
          <w:rFonts w:ascii="Arial" w:hAnsi="Arial" w:cs="Arial"/>
          <w:sz w:val="20"/>
          <w:szCs w:val="20"/>
        </w:rPr>
      </w:pPr>
      <w:r w:rsidRPr="00392C00">
        <w:rPr>
          <w:rFonts w:ascii="Arial" w:hAnsi="Arial" w:cs="Arial"/>
          <w:sz w:val="20"/>
          <w:szCs w:val="20"/>
        </w:rPr>
        <w:t xml:space="preserve">Price data from 2016 Q4 and 2017 Q2 was collected from California IOU Program data and from Navigant Research’s LED Price Tracker, which utilizes web-scraping software to collect data on product pricing and specifications online. Of the LED products, only those that met DLC’s technical requirements were included in the study analysis. To determine which factors significantly influence LED prices, a multiple variable regression was conducted to determine the correlation between various product specifications and price. </w:t>
      </w:r>
    </w:p>
    <w:p w14:paraId="1D867441" w14:textId="77777777" w:rsidR="00DD7BB6" w:rsidRPr="00392C00" w:rsidRDefault="00DD7BB6" w:rsidP="00DD7BB6">
      <w:pPr>
        <w:rPr>
          <w:rFonts w:ascii="Arial" w:hAnsi="Arial" w:cs="Arial"/>
          <w:sz w:val="20"/>
          <w:szCs w:val="20"/>
        </w:rPr>
      </w:pPr>
    </w:p>
    <w:p w14:paraId="4A26B36F" w14:textId="77777777" w:rsidR="00DD7BB6" w:rsidRPr="00392C00" w:rsidRDefault="00DD7BB6" w:rsidP="00DD7BB6">
      <w:pPr>
        <w:rPr>
          <w:rFonts w:ascii="Arial" w:hAnsi="Arial" w:cs="Arial"/>
          <w:sz w:val="20"/>
          <w:szCs w:val="20"/>
        </w:rPr>
      </w:pPr>
      <w:r w:rsidRPr="00392C00">
        <w:rPr>
          <w:rFonts w:ascii="Arial" w:hAnsi="Arial" w:cs="Arial"/>
          <w:sz w:val="20"/>
          <w:szCs w:val="20"/>
        </w:rPr>
        <w:lastRenderedPageBreak/>
        <w:t>The results of the study initially showed that the biggest driver influencing LED price is lumen output, followed by manufacturer, DLC qualification, and CRI. Efficacy was not one of the significant price determining characteristics. Furthermore, even as DLC efficacy requirements have increased over time, prices have continued to decline. According to the study, price does not appear to scale with efficacy for any of the L</w:t>
      </w:r>
      <w:r>
        <w:rPr>
          <w:rFonts w:ascii="Arial" w:hAnsi="Arial" w:cs="Arial"/>
          <w:sz w:val="20"/>
          <w:szCs w:val="20"/>
        </w:rPr>
        <w:t>ED product categories evaluated</w:t>
      </w:r>
      <w:r w:rsidRPr="00392C00">
        <w:rPr>
          <w:rFonts w:ascii="Arial" w:hAnsi="Arial" w:cs="Arial"/>
          <w:sz w:val="20"/>
          <w:szCs w:val="20"/>
        </w:rPr>
        <w:t>.</w:t>
      </w:r>
      <w:r w:rsidRPr="0064565E">
        <w:t xml:space="preserve"> </w:t>
      </w:r>
      <w:r w:rsidRPr="0064565E">
        <w:rPr>
          <w:rFonts w:ascii="Arial" w:hAnsi="Arial" w:cs="Arial"/>
          <w:sz w:val="20"/>
          <w:szCs w:val="20"/>
        </w:rPr>
        <w:t xml:space="preserve">LED deemed lighting measures have assumed that measure costs have scaled with efficacy, therefore this finding that efficacy may not be a key price driver implies that further analysis should be conducted to consider how to incorporate other price drivers in measure design to encourage the adoption of higher degrees of efficiency.  </w:t>
      </w:r>
      <w:r>
        <w:rPr>
          <w:rFonts w:ascii="Arial" w:hAnsi="Arial" w:cs="Arial"/>
          <w:sz w:val="20"/>
          <w:szCs w:val="20"/>
        </w:rPr>
        <w:t>PG&amp;E</w:t>
      </w:r>
      <w:r w:rsidRPr="00392C00">
        <w:rPr>
          <w:rFonts w:ascii="Arial" w:hAnsi="Arial" w:cs="Arial"/>
          <w:sz w:val="20"/>
          <w:szCs w:val="20"/>
        </w:rPr>
        <w:t xml:space="preserve"> </w:t>
      </w:r>
      <w:r>
        <w:rPr>
          <w:rFonts w:ascii="Arial" w:hAnsi="Arial" w:cs="Arial"/>
          <w:sz w:val="20"/>
          <w:szCs w:val="20"/>
        </w:rPr>
        <w:t>is continuing this per-</w:t>
      </w:r>
      <w:proofErr w:type="spellStart"/>
      <w:r>
        <w:rPr>
          <w:rFonts w:ascii="Arial" w:hAnsi="Arial" w:cs="Arial"/>
          <w:sz w:val="20"/>
          <w:szCs w:val="20"/>
        </w:rPr>
        <w:t>kilolumen</w:t>
      </w:r>
      <w:proofErr w:type="spellEnd"/>
      <w:r>
        <w:rPr>
          <w:rFonts w:ascii="Arial" w:hAnsi="Arial" w:cs="Arial"/>
          <w:sz w:val="20"/>
          <w:szCs w:val="20"/>
        </w:rPr>
        <w:t xml:space="preserve"> measure</w:t>
      </w:r>
      <w:r w:rsidRPr="00392C00">
        <w:rPr>
          <w:rFonts w:ascii="Arial" w:hAnsi="Arial" w:cs="Arial"/>
          <w:sz w:val="20"/>
          <w:szCs w:val="20"/>
        </w:rPr>
        <w:t xml:space="preserve"> structure </w:t>
      </w:r>
      <w:r>
        <w:rPr>
          <w:rFonts w:ascii="Arial" w:hAnsi="Arial" w:cs="Arial"/>
          <w:sz w:val="20"/>
          <w:szCs w:val="20"/>
        </w:rPr>
        <w:t xml:space="preserve">where </w:t>
      </w:r>
      <w:r w:rsidRPr="00392C00">
        <w:rPr>
          <w:rFonts w:ascii="Arial" w:hAnsi="Arial" w:cs="Arial"/>
          <w:sz w:val="20"/>
          <w:szCs w:val="20"/>
        </w:rPr>
        <w:t xml:space="preserve">both </w:t>
      </w:r>
      <w:r>
        <w:rPr>
          <w:rFonts w:ascii="Arial" w:hAnsi="Arial" w:cs="Arial"/>
          <w:sz w:val="20"/>
          <w:szCs w:val="20"/>
        </w:rPr>
        <w:t xml:space="preserve">costs and savings scale per unit of </w:t>
      </w:r>
      <w:r w:rsidRPr="00392C00">
        <w:rPr>
          <w:rFonts w:ascii="Arial" w:hAnsi="Arial" w:cs="Arial"/>
          <w:sz w:val="20"/>
          <w:szCs w:val="20"/>
        </w:rPr>
        <w:t>lumen output</w:t>
      </w:r>
      <w:r>
        <w:rPr>
          <w:rFonts w:ascii="Arial" w:hAnsi="Arial" w:cs="Arial"/>
          <w:sz w:val="20"/>
          <w:szCs w:val="20"/>
        </w:rPr>
        <w:t xml:space="preserve">, and efficacy is </w:t>
      </w:r>
      <w:r w:rsidRPr="00392C00">
        <w:rPr>
          <w:rFonts w:ascii="Arial" w:hAnsi="Arial" w:cs="Arial"/>
          <w:sz w:val="20"/>
          <w:szCs w:val="20"/>
        </w:rPr>
        <w:t>separate</w:t>
      </w:r>
      <w:r>
        <w:rPr>
          <w:rFonts w:ascii="Arial" w:hAnsi="Arial" w:cs="Arial"/>
          <w:sz w:val="20"/>
          <w:szCs w:val="20"/>
        </w:rPr>
        <w:t>d</w:t>
      </w:r>
      <w:r w:rsidRPr="00392C00">
        <w:rPr>
          <w:rFonts w:ascii="Arial" w:hAnsi="Arial" w:cs="Arial"/>
          <w:sz w:val="20"/>
          <w:szCs w:val="20"/>
        </w:rPr>
        <w:t xml:space="preserve"> </w:t>
      </w:r>
      <w:r>
        <w:rPr>
          <w:rFonts w:ascii="Arial" w:hAnsi="Arial" w:cs="Arial"/>
          <w:sz w:val="20"/>
          <w:szCs w:val="20"/>
        </w:rPr>
        <w:t xml:space="preserve">by </w:t>
      </w:r>
      <w:r w:rsidRPr="00392C00">
        <w:rPr>
          <w:rFonts w:ascii="Arial" w:hAnsi="Arial" w:cs="Arial"/>
          <w:sz w:val="20"/>
          <w:szCs w:val="20"/>
        </w:rPr>
        <w:t xml:space="preserve">tier. </w:t>
      </w:r>
    </w:p>
    <w:p w14:paraId="49BE90A6" w14:textId="77777777" w:rsidR="00DD7BB6" w:rsidRPr="00392C00" w:rsidRDefault="00DD7BB6" w:rsidP="00DD7BB6">
      <w:pPr>
        <w:rPr>
          <w:rFonts w:ascii="Arial" w:hAnsi="Arial" w:cs="Arial"/>
          <w:sz w:val="20"/>
          <w:szCs w:val="20"/>
        </w:rPr>
      </w:pPr>
    </w:p>
    <w:p w14:paraId="2EC01CA7" w14:textId="77777777" w:rsidR="00DD7BB6" w:rsidRPr="00392C00" w:rsidRDefault="00DD7BB6" w:rsidP="00DD7BB6">
      <w:pPr>
        <w:rPr>
          <w:rFonts w:ascii="Arial" w:hAnsi="Arial" w:cs="Arial"/>
          <w:sz w:val="20"/>
          <w:szCs w:val="20"/>
          <w:highlight w:val="yellow"/>
        </w:rPr>
      </w:pPr>
      <w:r w:rsidRPr="00392C00">
        <w:rPr>
          <w:rFonts w:ascii="Arial" w:hAnsi="Arial" w:cs="Arial"/>
          <w:sz w:val="20"/>
          <w:szCs w:val="20"/>
        </w:rPr>
        <w:t>Figure 1 below (Figure 3-5 in study</w:t>
      </w:r>
      <w:r w:rsidR="009A3CDF">
        <w:rPr>
          <w:rFonts w:ascii="Arial" w:hAnsi="Arial" w:cs="Arial"/>
          <w:sz w:val="20"/>
          <w:szCs w:val="20"/>
        </w:rPr>
        <w:t>, for LED troffers</w:t>
      </w:r>
      <w:r w:rsidRPr="00392C00">
        <w:rPr>
          <w:rFonts w:ascii="Arial" w:hAnsi="Arial" w:cs="Arial"/>
          <w:sz w:val="20"/>
          <w:szCs w:val="20"/>
        </w:rPr>
        <w:t xml:space="preserve">) shows that the relationship between price and efficacy is highly randomized and there is a large spread in the dataset.  </w:t>
      </w:r>
      <w:r w:rsidR="009A3CDF">
        <w:rPr>
          <w:rFonts w:ascii="Arial" w:hAnsi="Arial" w:cs="Arial"/>
          <w:sz w:val="20"/>
          <w:szCs w:val="20"/>
        </w:rPr>
        <w:t>T</w:t>
      </w:r>
      <w:r w:rsidRPr="00392C00">
        <w:rPr>
          <w:rFonts w:ascii="Arial" w:hAnsi="Arial" w:cs="Arial"/>
          <w:sz w:val="20"/>
          <w:szCs w:val="20"/>
        </w:rPr>
        <w:t>his phenomenon can be seen across the other lighting categories as well.</w:t>
      </w:r>
    </w:p>
    <w:p w14:paraId="1B17FF2C" w14:textId="77777777" w:rsidR="00DD7BB6" w:rsidRPr="00392C00" w:rsidRDefault="00DD7BB6" w:rsidP="00DD7BB6">
      <w:pPr>
        <w:keepNext/>
        <w:rPr>
          <w:rFonts w:ascii="Arial" w:hAnsi="Arial" w:cs="Arial"/>
          <w:sz w:val="20"/>
          <w:szCs w:val="20"/>
        </w:rPr>
      </w:pPr>
      <w:r w:rsidRPr="00392C00">
        <w:rPr>
          <w:rFonts w:ascii="Arial" w:hAnsi="Arial" w:cs="Arial"/>
          <w:noProof/>
          <w:sz w:val="20"/>
          <w:szCs w:val="20"/>
        </w:rPr>
        <w:drawing>
          <wp:inline distT="0" distB="0" distL="0" distR="0" wp14:anchorId="5E642BDB" wp14:editId="43F35929">
            <wp:extent cx="4997301" cy="3137729"/>
            <wp:effectExtent l="0" t="0" r="0" b="5715"/>
            <wp:docPr id="4604135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a:extLst>
                        <a:ext uri="{28A0092B-C50C-407E-A947-70E740481C1C}">
                          <a14:useLocalDpi xmlns:a14="http://schemas.microsoft.com/office/drawing/2010/main" val="0"/>
                        </a:ext>
                      </a:extLst>
                    </a:blip>
                    <a:stretch>
                      <a:fillRect/>
                    </a:stretch>
                  </pic:blipFill>
                  <pic:spPr>
                    <a:xfrm>
                      <a:off x="0" y="0"/>
                      <a:ext cx="4997301" cy="3137729"/>
                    </a:xfrm>
                    <a:prstGeom prst="rect">
                      <a:avLst/>
                    </a:prstGeom>
                  </pic:spPr>
                </pic:pic>
              </a:graphicData>
            </a:graphic>
          </wp:inline>
        </w:drawing>
      </w:r>
    </w:p>
    <w:p w14:paraId="02A4FFEC" w14:textId="2E8678F0" w:rsidR="00DD7BB6" w:rsidRPr="00AB09DC" w:rsidRDefault="00DD7BB6" w:rsidP="00DD7BB6">
      <w:pPr>
        <w:pStyle w:val="Caption"/>
        <w:rPr>
          <w:rFonts w:ascii="Arial" w:hAnsi="Arial" w:cs="Arial"/>
        </w:rPr>
      </w:pPr>
      <w:bookmarkStart w:id="41" w:name="_Toc516822269"/>
      <w:bookmarkStart w:id="42" w:name="_Toc2791465"/>
      <w:r w:rsidRPr="00AB09DC">
        <w:rPr>
          <w:rFonts w:ascii="Arial" w:hAnsi="Arial" w:cs="Arial"/>
        </w:rPr>
        <w:t xml:space="preserve">Figure </w:t>
      </w:r>
      <w:r w:rsidR="00797297" w:rsidRPr="00AB09DC">
        <w:rPr>
          <w:rFonts w:ascii="Arial" w:hAnsi="Arial" w:cs="Arial"/>
        </w:rPr>
        <w:fldChar w:fldCharType="begin"/>
      </w:r>
      <w:r w:rsidR="00797297" w:rsidRPr="00AB09DC">
        <w:rPr>
          <w:rFonts w:ascii="Arial" w:hAnsi="Arial" w:cs="Arial"/>
        </w:rPr>
        <w:instrText xml:space="preserve"> SEQ Figure \* ARABIC </w:instrText>
      </w:r>
      <w:r w:rsidR="00797297" w:rsidRPr="00AB09DC">
        <w:rPr>
          <w:rFonts w:ascii="Arial" w:hAnsi="Arial" w:cs="Arial"/>
        </w:rPr>
        <w:fldChar w:fldCharType="separate"/>
      </w:r>
      <w:r w:rsidR="00127D7D" w:rsidRPr="00AB09DC">
        <w:rPr>
          <w:rFonts w:ascii="Arial" w:hAnsi="Arial" w:cs="Arial"/>
          <w:noProof/>
        </w:rPr>
        <w:t>1</w:t>
      </w:r>
      <w:r w:rsidR="00797297" w:rsidRPr="00AB09DC">
        <w:rPr>
          <w:rFonts w:ascii="Arial" w:hAnsi="Arial" w:cs="Arial"/>
          <w:noProof/>
        </w:rPr>
        <w:fldChar w:fldCharType="end"/>
      </w:r>
      <w:r w:rsidR="00AB09DC">
        <w:rPr>
          <w:rFonts w:ascii="Arial" w:hAnsi="Arial" w:cs="Arial"/>
          <w:noProof/>
        </w:rPr>
        <w:t>:</w:t>
      </w:r>
      <w:r w:rsidRPr="00AB09DC">
        <w:rPr>
          <w:rFonts w:ascii="Arial" w:hAnsi="Arial" w:cs="Arial"/>
        </w:rPr>
        <w:t xml:space="preserve"> Web-based LED Price and Efficacy Data for Recessed Troffer/Panel 2’ x 4’</w:t>
      </w:r>
      <w:bookmarkEnd w:id="41"/>
      <w:bookmarkEnd w:id="42"/>
      <w:r w:rsidRPr="00AB09DC">
        <w:rPr>
          <w:rFonts w:ascii="Arial" w:hAnsi="Arial" w:cs="Arial"/>
        </w:rPr>
        <w:t xml:space="preserve"> </w:t>
      </w:r>
    </w:p>
    <w:p w14:paraId="0EFAB869" w14:textId="77777777" w:rsidR="00DD7BB6" w:rsidRPr="002C3514" w:rsidRDefault="00DD7BB6" w:rsidP="00DD7BB6">
      <w:pPr>
        <w:rPr>
          <w:rFonts w:ascii="Arial" w:hAnsi="Arial" w:cs="Arial"/>
          <w:sz w:val="20"/>
          <w:szCs w:val="20"/>
        </w:rPr>
      </w:pPr>
      <w:r w:rsidRPr="002C3514">
        <w:rPr>
          <w:rFonts w:ascii="Arial" w:hAnsi="Arial" w:cs="Arial"/>
          <w:sz w:val="20"/>
          <w:szCs w:val="20"/>
        </w:rPr>
        <w:t>(Source: California LED Pricing Analysis, Navigant, January 2018)</w:t>
      </w:r>
    </w:p>
    <w:p w14:paraId="4381460D" w14:textId="77777777" w:rsidR="00DD7BB6" w:rsidRPr="00392C00" w:rsidRDefault="00DD7BB6" w:rsidP="00DD7BB6">
      <w:pPr>
        <w:rPr>
          <w:rFonts w:ascii="Arial" w:hAnsi="Arial" w:cs="Arial"/>
          <w:sz w:val="20"/>
          <w:szCs w:val="20"/>
          <w:highlight w:val="yellow"/>
        </w:rPr>
      </w:pPr>
    </w:p>
    <w:p w14:paraId="51692A27" w14:textId="77777777" w:rsidR="009A3CDF" w:rsidRPr="00BF592C" w:rsidRDefault="00DD7BB6" w:rsidP="009A3CDF">
      <w:pPr>
        <w:pStyle w:val="Default"/>
        <w:rPr>
          <w:color w:val="auto"/>
          <w:sz w:val="20"/>
        </w:rPr>
      </w:pPr>
      <w:r w:rsidRPr="00392C00">
        <w:rPr>
          <w:sz w:val="20"/>
          <w:szCs w:val="20"/>
        </w:rPr>
        <w:t>Lumen output and wattage have a direct relationship, increasing or decreasing proportionally. Therefore, lumen outpu</w:t>
      </w:r>
      <w:r w:rsidR="009A3CDF">
        <w:rPr>
          <w:sz w:val="20"/>
          <w:szCs w:val="20"/>
        </w:rPr>
        <w:t>t is a main driver of LED price.</w:t>
      </w:r>
      <w:r w:rsidRPr="00392C00">
        <w:rPr>
          <w:sz w:val="20"/>
          <w:szCs w:val="20"/>
        </w:rPr>
        <w:t xml:space="preserve"> </w:t>
      </w:r>
      <w:r w:rsidR="009A3CDF" w:rsidRPr="00392C00">
        <w:rPr>
          <w:color w:val="auto"/>
          <w:sz w:val="20"/>
          <w:szCs w:val="20"/>
        </w:rPr>
        <w:t xml:space="preserve">The study determined that prices will continue to decrease over the next 5 years; however, the rate of decline is slowing across all product categories. It will continue to be important to closely monitor LED prices and update </w:t>
      </w:r>
      <w:proofErr w:type="spellStart"/>
      <w:r w:rsidR="009A3CDF" w:rsidRPr="00392C00">
        <w:rPr>
          <w:color w:val="auto"/>
          <w:sz w:val="20"/>
          <w:szCs w:val="20"/>
        </w:rPr>
        <w:t>workpapers</w:t>
      </w:r>
      <w:proofErr w:type="spellEnd"/>
      <w:r w:rsidR="009A3CDF" w:rsidRPr="00392C00">
        <w:rPr>
          <w:color w:val="auto"/>
          <w:sz w:val="20"/>
          <w:szCs w:val="20"/>
        </w:rPr>
        <w:t xml:space="preserve"> at least annually.</w:t>
      </w:r>
    </w:p>
    <w:p w14:paraId="4A82F44E" w14:textId="77777777" w:rsidR="00DD7BB6" w:rsidRPr="00392C00" w:rsidRDefault="00DD7BB6" w:rsidP="00DD7BB6">
      <w:pPr>
        <w:rPr>
          <w:rFonts w:ascii="Arial" w:hAnsi="Arial" w:cs="Arial"/>
          <w:sz w:val="20"/>
          <w:szCs w:val="20"/>
        </w:rPr>
      </w:pPr>
    </w:p>
    <w:p w14:paraId="1CE341E2" w14:textId="77777777" w:rsidR="00DD7BB6" w:rsidRPr="00392C00" w:rsidRDefault="00DD7BB6" w:rsidP="00DD7BB6">
      <w:pPr>
        <w:rPr>
          <w:rFonts w:ascii="Arial" w:hAnsi="Arial" w:cs="Arial"/>
          <w:sz w:val="20"/>
          <w:szCs w:val="20"/>
        </w:rPr>
      </w:pPr>
      <w:r w:rsidRPr="00392C00">
        <w:rPr>
          <w:rFonts w:ascii="Arial" w:hAnsi="Arial" w:cs="Arial"/>
          <w:sz w:val="20"/>
          <w:szCs w:val="20"/>
        </w:rPr>
        <w:t>The study also noted that the cost to manufacture a product is separate from the consumer purchase price of that product. So, although it may cost more to increase the efficacy of a product, that additional cost is not being reflected in the purchase price the way lumen output/wattage and manufacturer affect product price. It could be that manufacturers are making trade-offs with other performance parameters to keep prices down as they improve efficacy, but that was not evaluated in this study and could be important future research to better understand the factors that influence LED price.</w:t>
      </w:r>
    </w:p>
    <w:p w14:paraId="55634401" w14:textId="77777777" w:rsidR="00DD7BB6" w:rsidRPr="00392C00" w:rsidRDefault="00DD7BB6" w:rsidP="00DD7BB6">
      <w:pPr>
        <w:rPr>
          <w:rFonts w:ascii="Arial" w:hAnsi="Arial" w:cs="Arial"/>
          <w:sz w:val="20"/>
          <w:szCs w:val="20"/>
        </w:rPr>
      </w:pPr>
    </w:p>
    <w:p w14:paraId="5C34D073" w14:textId="3B432729" w:rsidR="00DD7BB6" w:rsidRDefault="00DD7BB6" w:rsidP="0071784F">
      <w:pPr>
        <w:rPr>
          <w:sz w:val="20"/>
          <w:szCs w:val="20"/>
        </w:rPr>
      </w:pPr>
      <w:r w:rsidRPr="00392C00">
        <w:rPr>
          <w:rFonts w:ascii="Arial" w:hAnsi="Arial" w:cs="Arial"/>
          <w:sz w:val="20"/>
          <w:szCs w:val="20"/>
        </w:rPr>
        <w:t xml:space="preserve">Another important finding of this study was that a larger portion of retrofit installations include replacing lamps and ballasts only and not entire fixtures. This is due to the extremely long life of commercial baseline linear fluorescent fixtures. This </w:t>
      </w:r>
      <w:r w:rsidR="00C1087A">
        <w:rPr>
          <w:rFonts w:ascii="Arial" w:hAnsi="Arial" w:cs="Arial"/>
          <w:sz w:val="20"/>
          <w:szCs w:val="20"/>
        </w:rPr>
        <w:t>has</w:t>
      </w:r>
      <w:r w:rsidRPr="00392C00">
        <w:rPr>
          <w:rFonts w:ascii="Arial" w:hAnsi="Arial" w:cs="Arial"/>
          <w:sz w:val="20"/>
          <w:szCs w:val="20"/>
        </w:rPr>
        <w:t xml:space="preserve"> implications for this workpaper since it currently assumes a fixture-to-fixture comparison between base case and measure case.  The incremental measure cost in the </w:t>
      </w:r>
      <w:r w:rsidRPr="00392C00">
        <w:rPr>
          <w:rFonts w:ascii="Arial" w:hAnsi="Arial" w:cs="Arial"/>
          <w:sz w:val="20"/>
          <w:szCs w:val="20"/>
        </w:rPr>
        <w:lastRenderedPageBreak/>
        <w:t xml:space="preserve">two scenarios is very different. Since a common consumer purchasing scenario includes replacement lamps and ballasts only, </w:t>
      </w:r>
      <w:r w:rsidR="00C1087A">
        <w:rPr>
          <w:rFonts w:ascii="Arial" w:hAnsi="Arial" w:cs="Arial"/>
          <w:sz w:val="20"/>
          <w:szCs w:val="20"/>
        </w:rPr>
        <w:t xml:space="preserve">this </w:t>
      </w:r>
      <w:r w:rsidRPr="00392C00">
        <w:rPr>
          <w:rFonts w:ascii="Arial" w:hAnsi="Arial" w:cs="Arial"/>
          <w:sz w:val="20"/>
          <w:szCs w:val="20"/>
        </w:rPr>
        <w:t>workpaper</w:t>
      </w:r>
      <w:r w:rsidR="00C1087A">
        <w:rPr>
          <w:rFonts w:ascii="Arial" w:hAnsi="Arial" w:cs="Arial"/>
          <w:sz w:val="20"/>
          <w:szCs w:val="20"/>
        </w:rPr>
        <w:t xml:space="preserve"> revision</w:t>
      </w:r>
      <w:r w:rsidRPr="00392C00">
        <w:rPr>
          <w:rFonts w:ascii="Arial" w:hAnsi="Arial" w:cs="Arial"/>
          <w:sz w:val="20"/>
          <w:szCs w:val="20"/>
        </w:rPr>
        <w:t xml:space="preserve"> </w:t>
      </w:r>
      <w:r w:rsidR="00C1087A">
        <w:rPr>
          <w:rFonts w:ascii="Arial" w:hAnsi="Arial" w:cs="Arial"/>
          <w:sz w:val="20"/>
          <w:szCs w:val="20"/>
        </w:rPr>
        <w:t xml:space="preserve">now includes </w:t>
      </w:r>
      <w:r w:rsidRPr="00392C00">
        <w:rPr>
          <w:rFonts w:ascii="Arial" w:hAnsi="Arial" w:cs="Arial"/>
          <w:sz w:val="20"/>
          <w:szCs w:val="20"/>
        </w:rPr>
        <w:t xml:space="preserve">that scenario in the baseline. </w:t>
      </w:r>
    </w:p>
    <w:p w14:paraId="370769A1" w14:textId="77777777" w:rsidR="0008662A" w:rsidRPr="00392C00" w:rsidRDefault="0008662A" w:rsidP="0071784F">
      <w:pPr>
        <w:rPr>
          <w:sz w:val="20"/>
          <w:szCs w:val="20"/>
        </w:rPr>
      </w:pPr>
    </w:p>
    <w:p w14:paraId="712DAFCE" w14:textId="77777777" w:rsidR="00B0701F" w:rsidRPr="0071784F" w:rsidRDefault="00B0701F" w:rsidP="0071784F">
      <w:pPr>
        <w:rPr>
          <w:rFonts w:ascii="Arial" w:hAnsi="Arial" w:cs="Arial"/>
          <w:b/>
          <w:i/>
          <w:sz w:val="20"/>
          <w:szCs w:val="22"/>
        </w:rPr>
      </w:pPr>
      <w:r w:rsidRPr="0071784F">
        <w:rPr>
          <w:rFonts w:ascii="Arial" w:hAnsi="Arial" w:cs="Arial"/>
          <w:sz w:val="20"/>
          <w:szCs w:val="22"/>
        </w:rPr>
        <w:t>The 2018 California LED Pricing Analysis by Navigant distinguishes the lighting luminaire market from the replacement market:</w:t>
      </w:r>
    </w:p>
    <w:p w14:paraId="00BE5E7C" w14:textId="77777777" w:rsidR="00B0701F" w:rsidRPr="0071784F" w:rsidRDefault="00B0701F" w:rsidP="0071784F">
      <w:pPr>
        <w:ind w:left="360"/>
        <w:rPr>
          <w:i/>
          <w:iCs/>
          <w:sz w:val="22"/>
          <w:szCs w:val="22"/>
        </w:rPr>
      </w:pPr>
      <w:r w:rsidRPr="0071784F">
        <w:rPr>
          <w:i/>
          <w:iCs/>
          <w:sz w:val="22"/>
          <w:szCs w:val="22"/>
        </w:rPr>
        <w:t xml:space="preserve">Navigant evaluated incremental cost both with and without baseline fixture costs, in order to represent two distinct scenarios: </w:t>
      </w:r>
    </w:p>
    <w:p w14:paraId="223B7D36" w14:textId="77777777" w:rsidR="00B0701F" w:rsidRPr="0071784F" w:rsidRDefault="00B0701F" w:rsidP="0071784F">
      <w:pPr>
        <w:pStyle w:val="ListParagraph"/>
        <w:numPr>
          <w:ilvl w:val="0"/>
          <w:numId w:val="31"/>
        </w:numPr>
        <w:spacing w:after="200" w:line="276" w:lineRule="auto"/>
        <w:ind w:left="1080"/>
        <w:rPr>
          <w:i/>
          <w:iCs/>
          <w:sz w:val="22"/>
          <w:szCs w:val="22"/>
        </w:rPr>
      </w:pPr>
      <w:r w:rsidRPr="0071784F">
        <w:rPr>
          <w:b/>
          <w:bCs/>
          <w:i/>
          <w:iCs/>
          <w:sz w:val="22"/>
          <w:szCs w:val="22"/>
        </w:rPr>
        <w:t xml:space="preserve">Luminaire Market: </w:t>
      </w:r>
      <w:r w:rsidRPr="0071784F">
        <w:rPr>
          <w:i/>
          <w:iCs/>
          <w:sz w:val="22"/>
          <w:szCs w:val="22"/>
        </w:rPr>
        <w:t>For the luminaire market incremental cost, the baseline system was assumed to comprise a lamp(s), ballast, reflector/diffusor, and the housing. Pricing for each of these system components was included in the baseline system cost. The incremental cost was then calculated relative to a complete LED luminaire. This scenario represented the new construction market where owners and facility managers are comparing technology options equally. It is important to note that this represents a small proportion of total installations.</w:t>
      </w:r>
      <w:r w:rsidRPr="0071784F">
        <w:rPr>
          <w:i/>
          <w:iCs/>
          <w:sz w:val="22"/>
          <w:szCs w:val="22"/>
          <w:vertAlign w:val="superscript"/>
        </w:rPr>
        <w:t>2</w:t>
      </w:r>
      <w:r w:rsidRPr="0071784F">
        <w:rPr>
          <w:i/>
          <w:iCs/>
          <w:sz w:val="22"/>
          <w:szCs w:val="22"/>
        </w:rPr>
        <w:t xml:space="preserve"> </w:t>
      </w:r>
    </w:p>
    <w:p w14:paraId="5F3F4301" w14:textId="1D7F16D7" w:rsidR="00B0701F" w:rsidRPr="0071784F" w:rsidRDefault="00B0701F" w:rsidP="0071784F">
      <w:pPr>
        <w:pStyle w:val="ListParagraph"/>
        <w:numPr>
          <w:ilvl w:val="0"/>
          <w:numId w:val="31"/>
        </w:numPr>
        <w:spacing w:after="120" w:line="276" w:lineRule="auto"/>
        <w:ind w:left="1080"/>
        <w:rPr>
          <w:i/>
          <w:iCs/>
          <w:sz w:val="22"/>
          <w:szCs w:val="22"/>
        </w:rPr>
      </w:pPr>
      <w:r w:rsidRPr="0071784F">
        <w:rPr>
          <w:b/>
          <w:bCs/>
          <w:i/>
          <w:iCs/>
          <w:sz w:val="22"/>
          <w:szCs w:val="22"/>
        </w:rPr>
        <w:t xml:space="preserve">Replacement Market: </w:t>
      </w:r>
      <w:r w:rsidRPr="0071784F">
        <w:rPr>
          <w:i/>
          <w:iCs/>
          <w:sz w:val="22"/>
          <w:szCs w:val="22"/>
        </w:rPr>
        <w:t>For the replacement market, the baseline system comprised of just a lamp(s) and ballast. The replacement market baseline system does not include reflector/diffusors or housing. This scenario represented the replacement on lamp or ballast burn-out where owners and facility managers are not comparing technology options equally due to the long lifetime of commercial baseline fixtures (above 100,000 hours). This represents a relatively larger proportion of total installations.</w:t>
      </w:r>
      <w:r w:rsidR="008A266D" w:rsidRPr="0039573E">
        <w:rPr>
          <w:iCs/>
          <w:sz w:val="22"/>
          <w:szCs w:val="22"/>
          <w:vertAlign w:val="superscript"/>
        </w:rPr>
        <w:fldChar w:fldCharType="begin"/>
      </w:r>
      <w:r w:rsidR="008A266D" w:rsidRPr="0039573E">
        <w:rPr>
          <w:iCs/>
          <w:sz w:val="22"/>
          <w:szCs w:val="22"/>
          <w:vertAlign w:val="superscript"/>
        </w:rPr>
        <w:instrText xml:space="preserve"> NOTEREF _Ref532803551 \h  \* MERGEFORMAT </w:instrText>
      </w:r>
      <w:r w:rsidR="008A266D" w:rsidRPr="0039573E">
        <w:rPr>
          <w:iCs/>
          <w:sz w:val="22"/>
          <w:szCs w:val="22"/>
          <w:vertAlign w:val="superscript"/>
        </w:rPr>
      </w:r>
      <w:r w:rsidR="008A266D" w:rsidRPr="0039573E">
        <w:rPr>
          <w:iCs/>
          <w:sz w:val="22"/>
          <w:szCs w:val="22"/>
          <w:vertAlign w:val="superscript"/>
        </w:rPr>
        <w:fldChar w:fldCharType="separate"/>
      </w:r>
      <w:r w:rsidR="000D413A">
        <w:rPr>
          <w:iCs/>
          <w:sz w:val="22"/>
          <w:szCs w:val="22"/>
          <w:vertAlign w:val="superscript"/>
        </w:rPr>
        <w:t>3</w:t>
      </w:r>
      <w:r w:rsidR="008A266D" w:rsidRPr="0039573E">
        <w:rPr>
          <w:iCs/>
          <w:sz w:val="22"/>
          <w:szCs w:val="22"/>
          <w:vertAlign w:val="superscript"/>
        </w:rPr>
        <w:fldChar w:fldCharType="end"/>
      </w:r>
      <w:r w:rsidRPr="0071784F">
        <w:rPr>
          <w:i/>
          <w:iCs/>
          <w:sz w:val="22"/>
          <w:szCs w:val="22"/>
          <w:vertAlign w:val="superscript"/>
        </w:rPr>
        <w:t xml:space="preserve"> </w:t>
      </w:r>
    </w:p>
    <w:p w14:paraId="18FA6029" w14:textId="77777777" w:rsidR="00B0701F" w:rsidRPr="0071784F" w:rsidRDefault="00B0701F" w:rsidP="0071784F">
      <w:pPr>
        <w:ind w:left="360"/>
        <w:rPr>
          <w:i/>
          <w:iCs/>
          <w:sz w:val="22"/>
          <w:szCs w:val="22"/>
        </w:rPr>
      </w:pPr>
      <w:r w:rsidRPr="0071784F">
        <w:rPr>
          <w:i/>
          <w:iCs/>
          <w:sz w:val="22"/>
          <w:szCs w:val="22"/>
        </w:rPr>
        <w:t xml:space="preserve">Key findings included: </w:t>
      </w:r>
    </w:p>
    <w:p w14:paraId="5847B825" w14:textId="77777777" w:rsidR="00B0701F" w:rsidRPr="0071784F" w:rsidRDefault="00B0701F" w:rsidP="0071784F">
      <w:pPr>
        <w:pStyle w:val="ListParagraph"/>
        <w:numPr>
          <w:ilvl w:val="0"/>
          <w:numId w:val="32"/>
        </w:numPr>
        <w:spacing w:after="200" w:line="276" w:lineRule="auto"/>
        <w:ind w:left="1080"/>
        <w:rPr>
          <w:i/>
          <w:iCs/>
          <w:sz w:val="22"/>
          <w:szCs w:val="22"/>
        </w:rPr>
      </w:pPr>
      <w:r w:rsidRPr="0071784F">
        <w:rPr>
          <w:i/>
          <w:iCs/>
          <w:sz w:val="22"/>
          <w:szCs w:val="22"/>
        </w:rPr>
        <w:t xml:space="preserve">The incremental costs of DLC and ENERGY STAR qualified LED products to complete baseline luminaire systems (lamp(s), ballast, reflector/diffusor and fixture) for certain priority products, particularly in the outdoor groups, were negative. This indicates that LED products were sometimes less expensive than, or comparable to, baseline systems. </w:t>
      </w:r>
    </w:p>
    <w:p w14:paraId="52704692" w14:textId="77777777" w:rsidR="00B0701F" w:rsidRDefault="00B0701F" w:rsidP="0071784F">
      <w:pPr>
        <w:pStyle w:val="ListParagraph"/>
        <w:numPr>
          <w:ilvl w:val="0"/>
          <w:numId w:val="32"/>
        </w:numPr>
        <w:spacing w:after="200" w:line="276" w:lineRule="auto"/>
        <w:ind w:left="1080"/>
        <w:rPr>
          <w:i/>
          <w:iCs/>
          <w:sz w:val="22"/>
          <w:szCs w:val="22"/>
        </w:rPr>
      </w:pPr>
      <w:r w:rsidRPr="0071784F">
        <w:rPr>
          <w:i/>
          <w:iCs/>
          <w:sz w:val="22"/>
          <w:szCs w:val="22"/>
        </w:rPr>
        <w:t xml:space="preserve">However, comparing fixture-to-fixture represents a small proportion of the market, accounting primarily for new construction installations. The replacement market, in which a complete DLC and ENERGY STAR qualified LED product is compared to a baseline lamp(s) and ballast, yields high incremental costs in every product category and represents a more common consumer purchasing scenario. </w:t>
      </w:r>
    </w:p>
    <w:p w14:paraId="1D8D8727" w14:textId="36B0C4C9" w:rsidR="000D14B0" w:rsidRPr="0071784F" w:rsidRDefault="000D14B0" w:rsidP="0071784F">
      <w:pPr>
        <w:pStyle w:val="BodyText"/>
        <w:rPr>
          <w:rFonts w:ascii="Arial" w:hAnsi="Arial" w:cs="Arial"/>
          <w:i/>
          <w:sz w:val="20"/>
        </w:rPr>
      </w:pPr>
      <w:r w:rsidRPr="000D413A">
        <w:rPr>
          <w:rFonts w:ascii="Arial" w:hAnsi="Arial" w:cs="Arial"/>
          <w:sz w:val="20"/>
        </w:rPr>
        <w:t xml:space="preserve">Drawing on these results, this workpaper </w:t>
      </w:r>
      <w:r>
        <w:rPr>
          <w:rFonts w:ascii="Arial" w:hAnsi="Arial" w:cs="Arial"/>
          <w:sz w:val="20"/>
        </w:rPr>
        <w:t xml:space="preserve">models the </w:t>
      </w:r>
      <w:r w:rsidR="007E572A">
        <w:rPr>
          <w:rFonts w:ascii="Arial" w:hAnsi="Arial" w:cs="Arial"/>
          <w:sz w:val="20"/>
        </w:rPr>
        <w:t xml:space="preserve">base case based on the </w:t>
      </w:r>
      <w:r>
        <w:rPr>
          <w:rFonts w:ascii="Arial" w:hAnsi="Arial" w:cs="Arial"/>
          <w:sz w:val="20"/>
        </w:rPr>
        <w:t>full market, including the replacement market that Navigant found to be much larger, under the constr</w:t>
      </w:r>
      <w:r w:rsidR="00F07B0E">
        <w:rPr>
          <w:rFonts w:ascii="Arial" w:hAnsi="Arial" w:cs="Arial"/>
          <w:sz w:val="20"/>
        </w:rPr>
        <w:t xml:space="preserve">aint of a 100% LED baseline per </w:t>
      </w:r>
      <w:r w:rsidR="00F07B0E" w:rsidRPr="00F07B0E">
        <w:rPr>
          <w:rFonts w:ascii="Arial" w:hAnsi="Arial" w:cs="Arial"/>
          <w:sz w:val="20"/>
        </w:rPr>
        <w:t>Resolution E-4952</w:t>
      </w:r>
      <w:r w:rsidR="00F07B0E">
        <w:rPr>
          <w:rFonts w:ascii="Arial" w:hAnsi="Arial" w:cs="Arial"/>
          <w:sz w:val="20"/>
        </w:rPr>
        <w:t>. As a result, the baseline share of LED tubular replacement lamps (TLEDs) is estimated at a significant share, 33</w:t>
      </w:r>
      <w:r w:rsidR="00F07B0E" w:rsidRPr="000D413A">
        <w:rPr>
          <w:rFonts w:ascii="Arial" w:hAnsi="Arial" w:cs="Arial"/>
          <w:sz w:val="20"/>
          <w:szCs w:val="20"/>
        </w:rPr>
        <w:t>%.</w:t>
      </w:r>
      <w:r w:rsidR="00F07B0E" w:rsidRPr="0071784F">
        <w:rPr>
          <w:rFonts w:ascii="Arial" w:hAnsi="Arial" w:cs="Arial"/>
          <w:sz w:val="20"/>
          <w:szCs w:val="20"/>
        </w:rPr>
        <w:t xml:space="preserve"> The </w:t>
      </w:r>
      <w:r w:rsidR="00F07B0E" w:rsidRPr="000D413A">
        <w:rPr>
          <w:rFonts w:ascii="Arial" w:hAnsi="Arial" w:cs="Arial"/>
          <w:sz w:val="20"/>
          <w:szCs w:val="20"/>
        </w:rPr>
        <w:t xml:space="preserve">33% TLED scenario is </w:t>
      </w:r>
      <w:r w:rsidR="00F07B0E">
        <w:rPr>
          <w:rFonts w:ascii="Arial" w:hAnsi="Arial" w:cs="Arial"/>
          <w:sz w:val="20"/>
          <w:szCs w:val="20"/>
        </w:rPr>
        <w:t xml:space="preserve">also a </w:t>
      </w:r>
      <w:r w:rsidR="00F07B0E" w:rsidRPr="000D413A">
        <w:rPr>
          <w:rFonts w:ascii="Arial" w:hAnsi="Arial" w:cs="Arial"/>
          <w:sz w:val="20"/>
          <w:szCs w:val="20"/>
        </w:rPr>
        <w:t xml:space="preserve">balance point </w:t>
      </w:r>
      <w:r w:rsidR="00F07B0E">
        <w:rPr>
          <w:rFonts w:ascii="Arial" w:hAnsi="Arial" w:cs="Arial"/>
          <w:sz w:val="20"/>
          <w:szCs w:val="20"/>
        </w:rPr>
        <w:t xml:space="preserve">which </w:t>
      </w:r>
      <w:r w:rsidR="00F07B0E" w:rsidRPr="000D413A">
        <w:rPr>
          <w:rFonts w:ascii="Arial" w:hAnsi="Arial" w:cs="Arial"/>
          <w:sz w:val="20"/>
          <w:szCs w:val="20"/>
        </w:rPr>
        <w:t>yields positive IMCs as well as</w:t>
      </w:r>
      <w:r w:rsidR="00F07B0E">
        <w:rPr>
          <w:rFonts w:ascii="Arial" w:hAnsi="Arial" w:cs="Arial"/>
          <w:sz w:val="20"/>
          <w:szCs w:val="20"/>
        </w:rPr>
        <w:t xml:space="preserve"> enough savings</w:t>
      </w:r>
      <w:r w:rsidR="00F07B0E" w:rsidRPr="000D413A">
        <w:rPr>
          <w:rFonts w:ascii="Arial" w:hAnsi="Arial" w:cs="Arial"/>
          <w:sz w:val="20"/>
          <w:szCs w:val="20"/>
        </w:rPr>
        <w:t xml:space="preserve"> </w:t>
      </w:r>
      <w:r w:rsidR="00F07B0E">
        <w:rPr>
          <w:rFonts w:ascii="Arial" w:hAnsi="Arial" w:cs="Arial"/>
          <w:sz w:val="20"/>
          <w:szCs w:val="20"/>
        </w:rPr>
        <w:t>for a cost-</w:t>
      </w:r>
      <w:r w:rsidR="00F07B0E" w:rsidRPr="00BD23DF">
        <w:rPr>
          <w:rFonts w:ascii="Arial" w:hAnsi="Arial" w:cs="Arial"/>
          <w:sz w:val="20"/>
          <w:szCs w:val="20"/>
        </w:rPr>
        <w:t xml:space="preserve">effective </w:t>
      </w:r>
      <w:r w:rsidR="00F07B0E" w:rsidRPr="000D413A">
        <w:rPr>
          <w:rFonts w:ascii="Arial" w:hAnsi="Arial" w:cs="Arial"/>
          <w:sz w:val="20"/>
          <w:szCs w:val="20"/>
        </w:rPr>
        <w:t>program. PG&amp;E will review program data in mid-year 2019 along with other publicly available study</w:t>
      </w:r>
      <w:r w:rsidR="0071784F">
        <w:rPr>
          <w:rFonts w:ascii="Arial" w:hAnsi="Arial" w:cs="Arial"/>
          <w:sz w:val="20"/>
          <w:szCs w:val="20"/>
        </w:rPr>
        <w:t xml:space="preserve"> data</w:t>
      </w:r>
      <w:r w:rsidR="00F07B0E" w:rsidRPr="000D413A">
        <w:rPr>
          <w:rFonts w:ascii="Arial" w:hAnsi="Arial" w:cs="Arial"/>
          <w:sz w:val="20"/>
          <w:szCs w:val="20"/>
        </w:rPr>
        <w:t xml:space="preserve"> to determine if the TLED </w:t>
      </w:r>
      <w:r w:rsidR="00F07B0E">
        <w:rPr>
          <w:rFonts w:ascii="Arial" w:hAnsi="Arial" w:cs="Arial"/>
          <w:sz w:val="20"/>
          <w:szCs w:val="20"/>
        </w:rPr>
        <w:t>percentage</w:t>
      </w:r>
      <w:r w:rsidR="00F07B0E" w:rsidRPr="000D413A">
        <w:rPr>
          <w:rFonts w:ascii="Arial" w:hAnsi="Arial" w:cs="Arial"/>
          <w:sz w:val="20"/>
          <w:szCs w:val="20"/>
        </w:rPr>
        <w:t xml:space="preserve"> requires update.</w:t>
      </w:r>
    </w:p>
    <w:p w14:paraId="22555A07" w14:textId="3B1796A8" w:rsidR="0008662A" w:rsidRDefault="0008662A" w:rsidP="0008662A">
      <w:pPr>
        <w:pStyle w:val="Heading4"/>
      </w:pPr>
      <w:r>
        <w:t>1.5.3.2 TLED Baseline</w:t>
      </w:r>
    </w:p>
    <w:p w14:paraId="58EC0B02" w14:textId="591E4736" w:rsidR="0008662A" w:rsidRDefault="008E5EE9" w:rsidP="0008662A">
      <w:pPr>
        <w:rPr>
          <w:rFonts w:ascii="Arial" w:hAnsi="Arial" w:cs="Arial"/>
          <w:sz w:val="20"/>
          <w:szCs w:val="20"/>
        </w:rPr>
      </w:pPr>
      <w:r w:rsidRPr="00744555">
        <w:rPr>
          <w:rFonts w:ascii="Arial" w:hAnsi="Arial" w:cs="Arial"/>
          <w:sz w:val="20"/>
          <w:szCs w:val="20"/>
        </w:rPr>
        <w:t>The TLED base case proposed here is based on e</w:t>
      </w:r>
      <w:r w:rsidR="0008662A" w:rsidRPr="00744555">
        <w:rPr>
          <w:rFonts w:ascii="Arial" w:hAnsi="Arial" w:cs="Arial"/>
          <w:sz w:val="20"/>
          <w:szCs w:val="20"/>
        </w:rPr>
        <w:t>vidence from the</w:t>
      </w:r>
      <w:r w:rsidRPr="00744555">
        <w:rPr>
          <w:rFonts w:ascii="Arial" w:hAnsi="Arial" w:cs="Arial"/>
          <w:sz w:val="20"/>
          <w:szCs w:val="20"/>
        </w:rPr>
        <w:t xml:space="preserve"> pricing study above,</w:t>
      </w:r>
      <w:r w:rsidR="0008662A" w:rsidRPr="00744555">
        <w:rPr>
          <w:rFonts w:ascii="Arial" w:hAnsi="Arial" w:cs="Arial"/>
          <w:sz w:val="20"/>
          <w:szCs w:val="20"/>
        </w:rPr>
        <w:t xml:space="preserve"> incentive program performance in SCE &amp; PG&amp;E territories, NEMA national sales data, </w:t>
      </w:r>
      <w:r w:rsidRPr="00744555">
        <w:rPr>
          <w:rFonts w:ascii="Arial" w:hAnsi="Arial" w:cs="Arial"/>
          <w:sz w:val="20"/>
          <w:szCs w:val="20"/>
        </w:rPr>
        <w:t xml:space="preserve">and </w:t>
      </w:r>
      <w:r w:rsidR="0008662A" w:rsidRPr="00744555">
        <w:rPr>
          <w:rFonts w:ascii="Arial" w:hAnsi="Arial" w:cs="Arial"/>
          <w:sz w:val="20"/>
          <w:szCs w:val="20"/>
        </w:rPr>
        <w:t>input fr</w:t>
      </w:r>
      <w:r w:rsidRPr="00744555">
        <w:rPr>
          <w:rFonts w:ascii="Arial" w:hAnsi="Arial" w:cs="Arial"/>
          <w:sz w:val="20"/>
          <w:szCs w:val="20"/>
        </w:rPr>
        <w:t>om local distribution channels. All data sources suggest that TLEDs</w:t>
      </w:r>
      <w:r w:rsidR="0008662A" w:rsidRPr="00744555">
        <w:rPr>
          <w:rFonts w:ascii="Arial" w:hAnsi="Arial" w:cs="Arial"/>
          <w:sz w:val="20"/>
          <w:szCs w:val="20"/>
        </w:rPr>
        <w:t xml:space="preserve"> are a popular alternative to purchase of a new luminaire or luminaire retrofit kit. </w:t>
      </w:r>
    </w:p>
    <w:p w14:paraId="799ED6C1" w14:textId="0F9628EE" w:rsidR="006B2A2A" w:rsidRDefault="006B2A2A" w:rsidP="0008662A">
      <w:pPr>
        <w:rPr>
          <w:rFonts w:ascii="Arial" w:hAnsi="Arial" w:cs="Arial"/>
          <w:sz w:val="20"/>
          <w:szCs w:val="20"/>
        </w:rPr>
      </w:pPr>
    </w:p>
    <w:p w14:paraId="3B8C03AC" w14:textId="0575A0D9" w:rsidR="00504C48" w:rsidRDefault="006B2A2A" w:rsidP="00504C48">
      <w:pPr>
        <w:rPr>
          <w:rFonts w:ascii="Arial" w:hAnsi="Arial" w:cs="Arial"/>
          <w:sz w:val="20"/>
          <w:szCs w:val="20"/>
        </w:rPr>
      </w:pPr>
      <w:r w:rsidRPr="002A173B">
        <w:rPr>
          <w:rFonts w:ascii="Arial" w:hAnsi="Arial" w:cs="Arial"/>
          <w:sz w:val="20"/>
          <w:szCs w:val="20"/>
        </w:rPr>
        <w:t xml:space="preserve">In </w:t>
      </w:r>
      <w:r>
        <w:rPr>
          <w:rFonts w:ascii="Arial" w:hAnsi="Arial" w:cs="Arial"/>
          <w:sz w:val="20"/>
          <w:szCs w:val="20"/>
        </w:rPr>
        <w:t>normal replacement</w:t>
      </w:r>
      <w:r w:rsidRPr="002A173B">
        <w:rPr>
          <w:rFonts w:ascii="Arial" w:hAnsi="Arial" w:cs="Arial"/>
          <w:sz w:val="20"/>
          <w:szCs w:val="20"/>
        </w:rPr>
        <w:t xml:space="preserve"> scenarios, customers who intend to upgrade to LED technology can choose </w:t>
      </w:r>
      <w:r>
        <w:rPr>
          <w:rFonts w:ascii="Arial" w:hAnsi="Arial" w:cs="Arial"/>
          <w:sz w:val="20"/>
          <w:szCs w:val="20"/>
        </w:rPr>
        <w:t xml:space="preserve">either </w:t>
      </w:r>
      <w:r w:rsidRPr="002A173B">
        <w:rPr>
          <w:rFonts w:ascii="Arial" w:hAnsi="Arial" w:cs="Arial"/>
          <w:sz w:val="20"/>
          <w:szCs w:val="20"/>
        </w:rPr>
        <w:t xml:space="preserve">to replace the entire fixture with a new LED luminaire or </w:t>
      </w:r>
      <w:r>
        <w:rPr>
          <w:rFonts w:ascii="Arial" w:hAnsi="Arial" w:cs="Arial"/>
          <w:sz w:val="20"/>
          <w:szCs w:val="20"/>
        </w:rPr>
        <w:t xml:space="preserve">fixture </w:t>
      </w:r>
      <w:r w:rsidRPr="002A173B">
        <w:rPr>
          <w:rFonts w:ascii="Arial" w:hAnsi="Arial" w:cs="Arial"/>
          <w:sz w:val="20"/>
          <w:szCs w:val="20"/>
        </w:rPr>
        <w:t>retrofit kit</w:t>
      </w:r>
      <w:r>
        <w:rPr>
          <w:rFonts w:ascii="Arial" w:hAnsi="Arial" w:cs="Arial"/>
          <w:sz w:val="20"/>
          <w:szCs w:val="20"/>
        </w:rPr>
        <w:t>,</w:t>
      </w:r>
      <w:r w:rsidRPr="002A173B">
        <w:rPr>
          <w:rFonts w:ascii="Arial" w:hAnsi="Arial" w:cs="Arial"/>
          <w:sz w:val="20"/>
          <w:szCs w:val="20"/>
        </w:rPr>
        <w:t xml:space="preserve"> or replace linear fluorescent lamps with </w:t>
      </w:r>
      <w:r>
        <w:rPr>
          <w:rFonts w:ascii="Arial" w:hAnsi="Arial" w:cs="Arial"/>
          <w:sz w:val="20"/>
          <w:szCs w:val="20"/>
        </w:rPr>
        <w:t xml:space="preserve">linear LED lamps (aka </w:t>
      </w:r>
      <w:r w:rsidRPr="002A173B">
        <w:rPr>
          <w:rFonts w:ascii="Arial" w:hAnsi="Arial" w:cs="Arial"/>
          <w:sz w:val="20"/>
          <w:szCs w:val="20"/>
        </w:rPr>
        <w:t>TLED</w:t>
      </w:r>
      <w:r>
        <w:rPr>
          <w:rFonts w:ascii="Arial" w:hAnsi="Arial" w:cs="Arial"/>
          <w:sz w:val="20"/>
          <w:szCs w:val="20"/>
        </w:rPr>
        <w:t>s)</w:t>
      </w:r>
      <w:r w:rsidRPr="002A173B">
        <w:rPr>
          <w:rFonts w:ascii="Arial" w:hAnsi="Arial" w:cs="Arial"/>
          <w:sz w:val="20"/>
          <w:szCs w:val="20"/>
        </w:rPr>
        <w:t>.</w:t>
      </w:r>
      <w:r w:rsidR="00504C48" w:rsidRPr="00504C48">
        <w:rPr>
          <w:rFonts w:ascii="Arial" w:hAnsi="Arial" w:cs="Arial"/>
          <w:sz w:val="20"/>
          <w:szCs w:val="20"/>
        </w:rPr>
        <w:t xml:space="preserve"> </w:t>
      </w:r>
      <w:r w:rsidR="00504C48" w:rsidRPr="00E7683E">
        <w:rPr>
          <w:rFonts w:ascii="Arial" w:hAnsi="Arial" w:cs="Arial"/>
          <w:sz w:val="20"/>
          <w:szCs w:val="20"/>
        </w:rPr>
        <w:t xml:space="preserve">Customers who intend to upgrade their existing non-LED technologies to LED technology are faced with the two scenarios Navigant highlights, a full LED luminaire </w:t>
      </w:r>
      <w:r w:rsidR="00504C48" w:rsidRPr="00E7683E">
        <w:rPr>
          <w:rFonts w:ascii="Arial" w:hAnsi="Arial" w:cs="Arial"/>
          <w:sz w:val="20"/>
          <w:szCs w:val="20"/>
        </w:rPr>
        <w:lastRenderedPageBreak/>
        <w:t xml:space="preserve">fixture/retrofit kit replacement or upgrading to TLEDs. Cost-sensitive customers may choose the less expensive TLED option; coupled with the data that indicates steady increases in TLED market penetration, PG&amp;E believes this should reasonably be included as part of the NR baseline scenario. </w:t>
      </w:r>
    </w:p>
    <w:p w14:paraId="0EACF1A1" w14:textId="41C42444" w:rsidR="006B2A2A" w:rsidRDefault="006B2A2A" w:rsidP="0008662A">
      <w:pPr>
        <w:rPr>
          <w:rFonts w:ascii="Arial" w:hAnsi="Arial" w:cs="Arial"/>
          <w:sz w:val="20"/>
          <w:szCs w:val="20"/>
        </w:rPr>
      </w:pPr>
    </w:p>
    <w:p w14:paraId="1CB01361" w14:textId="0CD30B16" w:rsidR="006B2A2A" w:rsidRPr="00744555" w:rsidRDefault="006B2A2A" w:rsidP="0008662A">
      <w:pPr>
        <w:rPr>
          <w:rFonts w:ascii="Arial" w:hAnsi="Arial" w:cs="Arial"/>
          <w:sz w:val="20"/>
          <w:szCs w:val="20"/>
        </w:rPr>
      </w:pPr>
    </w:p>
    <w:p w14:paraId="4808E391" w14:textId="77777777" w:rsidR="00E97604" w:rsidRDefault="0008662A" w:rsidP="00744555">
      <w:pPr>
        <w:keepNext/>
      </w:pPr>
      <w:r>
        <w:rPr>
          <w:noProof/>
        </w:rPr>
        <w:drawing>
          <wp:inline distT="0" distB="0" distL="0" distR="0" wp14:anchorId="70976B21" wp14:editId="06CDFA2B">
            <wp:extent cx="5638800" cy="2852987"/>
            <wp:effectExtent l="0" t="0" r="0" b="5080"/>
            <wp:docPr id="32" name="Picture 32" descr="https://www.nema.org/Intelligence/Documents/Linear-Fluorescent-Lamp-Indexes-Continue-to-Decline-in-Second-Quarter-2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ema.org/Intelligence/Documents/Linear-Fluorescent-Lamp-Indexes-Continue-to-Decline-in-Second-Quarter-2017.gif"/>
                    <pic:cNvPicPr>
                      <a:picLocks noChangeAspect="1" noChangeArrowheads="1"/>
                    </pic:cNvPicPr>
                  </pic:nvPicPr>
                  <pic:blipFill rotWithShape="1">
                    <a:blip r:embed="rId17">
                      <a:extLst>
                        <a:ext uri="{28A0092B-C50C-407E-A947-70E740481C1C}">
                          <a14:useLocalDpi xmlns:a14="http://schemas.microsoft.com/office/drawing/2010/main" val="0"/>
                        </a:ext>
                      </a:extLst>
                    </a:blip>
                    <a:srcRect t="50592"/>
                    <a:stretch/>
                  </pic:blipFill>
                  <pic:spPr bwMode="auto">
                    <a:xfrm>
                      <a:off x="0" y="0"/>
                      <a:ext cx="5740386" cy="2904385"/>
                    </a:xfrm>
                    <a:prstGeom prst="rect">
                      <a:avLst/>
                    </a:prstGeom>
                    <a:noFill/>
                    <a:ln>
                      <a:noFill/>
                    </a:ln>
                    <a:extLst>
                      <a:ext uri="{53640926-AAD7-44D8-BBD7-CCE9431645EC}">
                        <a14:shadowObscured xmlns:a14="http://schemas.microsoft.com/office/drawing/2010/main"/>
                      </a:ext>
                    </a:extLst>
                  </pic:spPr>
                </pic:pic>
              </a:graphicData>
            </a:graphic>
          </wp:inline>
        </w:drawing>
      </w:r>
    </w:p>
    <w:p w14:paraId="726F3A65" w14:textId="445931E2" w:rsidR="0008662A" w:rsidRPr="0093290D" w:rsidRDefault="00E97604" w:rsidP="00744555">
      <w:pPr>
        <w:pStyle w:val="Caption"/>
        <w:rPr>
          <w:rFonts w:ascii="Arial" w:hAnsi="Arial" w:cs="Arial"/>
        </w:rPr>
      </w:pPr>
      <w:bookmarkStart w:id="43" w:name="_Toc2791466"/>
      <w:r w:rsidRPr="0093290D">
        <w:rPr>
          <w:rFonts w:ascii="Arial" w:hAnsi="Arial" w:cs="Arial"/>
        </w:rPr>
        <w:t xml:space="preserve">Figure </w:t>
      </w:r>
      <w:r w:rsidR="00B86AB2" w:rsidRPr="0093290D">
        <w:rPr>
          <w:rFonts w:ascii="Arial" w:hAnsi="Arial" w:cs="Arial"/>
        </w:rPr>
        <w:fldChar w:fldCharType="begin"/>
      </w:r>
      <w:r w:rsidR="00B86AB2" w:rsidRPr="0093290D">
        <w:rPr>
          <w:rFonts w:ascii="Arial" w:hAnsi="Arial" w:cs="Arial"/>
        </w:rPr>
        <w:instrText xml:space="preserve"> SEQ Figure \* ARABIC </w:instrText>
      </w:r>
      <w:r w:rsidR="00B86AB2" w:rsidRPr="0093290D">
        <w:rPr>
          <w:rFonts w:ascii="Arial" w:hAnsi="Arial" w:cs="Arial"/>
        </w:rPr>
        <w:fldChar w:fldCharType="separate"/>
      </w:r>
      <w:r w:rsidR="00127D7D" w:rsidRPr="0093290D">
        <w:rPr>
          <w:rFonts w:ascii="Arial" w:hAnsi="Arial" w:cs="Arial"/>
          <w:noProof/>
        </w:rPr>
        <w:t>2</w:t>
      </w:r>
      <w:r w:rsidR="00B86AB2" w:rsidRPr="0093290D">
        <w:rPr>
          <w:rFonts w:ascii="Arial" w:hAnsi="Arial" w:cs="Arial"/>
          <w:noProof/>
        </w:rPr>
        <w:fldChar w:fldCharType="end"/>
      </w:r>
      <w:r w:rsidRPr="0093290D">
        <w:rPr>
          <w:rFonts w:ascii="Arial" w:hAnsi="Arial" w:cs="Arial"/>
        </w:rPr>
        <w:t>: NEMA Linear Lamp Penetration, Q2 2017</w:t>
      </w:r>
      <w:bookmarkEnd w:id="43"/>
    </w:p>
    <w:p w14:paraId="0E73B775" w14:textId="77777777" w:rsidR="008E5EE9" w:rsidRDefault="008E5EE9" w:rsidP="0008662A">
      <w:pPr>
        <w:rPr>
          <w:rFonts w:cs="Arial"/>
        </w:rPr>
      </w:pPr>
    </w:p>
    <w:p w14:paraId="3F1457CD" w14:textId="25E591E0" w:rsidR="0008662A" w:rsidRPr="00744555" w:rsidRDefault="0008662A" w:rsidP="00744555">
      <w:pPr>
        <w:rPr>
          <w:rFonts w:ascii="Arial" w:hAnsi="Arial" w:cs="Arial"/>
          <w:sz w:val="20"/>
          <w:szCs w:val="20"/>
        </w:rPr>
      </w:pPr>
      <w:r w:rsidRPr="00744555">
        <w:rPr>
          <w:rFonts w:ascii="Arial" w:hAnsi="Arial" w:cs="Arial"/>
          <w:sz w:val="20"/>
          <w:szCs w:val="20"/>
        </w:rPr>
        <w:t>NEMA shipment data shows that TLED purchases have been increasing over the last several years compared to other linear lamp types</w:t>
      </w:r>
      <w:r w:rsidR="008E5EE9" w:rsidRPr="00744555">
        <w:rPr>
          <w:rFonts w:ascii="Arial" w:hAnsi="Arial" w:cs="Arial"/>
          <w:sz w:val="20"/>
          <w:szCs w:val="20"/>
        </w:rPr>
        <w:t xml:space="preserve"> (see Figure 2 above).</w:t>
      </w:r>
      <w:r w:rsidR="008E5EE9" w:rsidRPr="00744555">
        <w:rPr>
          <w:rStyle w:val="EndnoteReference"/>
          <w:rFonts w:ascii="Arial" w:hAnsi="Arial" w:cs="Arial"/>
          <w:sz w:val="20"/>
          <w:szCs w:val="20"/>
        </w:rPr>
        <w:endnoteReference w:id="7"/>
      </w:r>
      <w:r w:rsidRPr="00744555">
        <w:rPr>
          <w:rFonts w:ascii="Arial" w:hAnsi="Arial" w:cs="Arial"/>
          <w:sz w:val="20"/>
          <w:szCs w:val="20"/>
        </w:rPr>
        <w:t xml:space="preserve"> Much of that popularity is driven by low cost (for similar levels of energy savings), significantly lower costs than the costs of both baseline and measure case new LED luminaires and retrofit kits. </w:t>
      </w:r>
    </w:p>
    <w:p w14:paraId="0A7931A9" w14:textId="77777777" w:rsidR="0008662A" w:rsidRPr="00744555" w:rsidRDefault="0008662A" w:rsidP="0008662A">
      <w:pPr>
        <w:pStyle w:val="Heading4"/>
        <w:rPr>
          <w:sz w:val="20"/>
          <w:szCs w:val="20"/>
        </w:rPr>
      </w:pPr>
      <w:r w:rsidRPr="00744555">
        <w:rPr>
          <w:sz w:val="20"/>
          <w:szCs w:val="20"/>
        </w:rPr>
        <w:t>TLEDs as a Viable Retrofit Alternative to Full Fixture Replacement</w:t>
      </w:r>
    </w:p>
    <w:p w14:paraId="3F4E431E" w14:textId="0AF68B43" w:rsidR="008E5EE9" w:rsidRPr="00744555" w:rsidRDefault="0008662A" w:rsidP="008E5EE9">
      <w:pPr>
        <w:rPr>
          <w:rFonts w:ascii="Arial" w:hAnsi="Arial" w:cs="Arial"/>
          <w:sz w:val="20"/>
          <w:szCs w:val="20"/>
        </w:rPr>
      </w:pPr>
      <w:r w:rsidRPr="00744555">
        <w:rPr>
          <w:rFonts w:ascii="Arial" w:hAnsi="Arial" w:cs="Arial"/>
          <w:sz w:val="20"/>
          <w:szCs w:val="20"/>
        </w:rPr>
        <w:t>The 2018 California LED Pricing Analysis by Navigant distinguish</w:t>
      </w:r>
      <w:r w:rsidR="008E5EE9" w:rsidRPr="00744555">
        <w:rPr>
          <w:rFonts w:ascii="Arial" w:hAnsi="Arial" w:cs="Arial"/>
          <w:sz w:val="20"/>
          <w:szCs w:val="20"/>
        </w:rPr>
        <w:t>es</w:t>
      </w:r>
      <w:r w:rsidRPr="00744555">
        <w:rPr>
          <w:rFonts w:ascii="Arial" w:hAnsi="Arial" w:cs="Arial"/>
          <w:sz w:val="20"/>
          <w:szCs w:val="20"/>
        </w:rPr>
        <w:t xml:space="preserve"> the lighting luminaire mar</w:t>
      </w:r>
      <w:r w:rsidR="008E5EE9" w:rsidRPr="00744555">
        <w:rPr>
          <w:rFonts w:ascii="Arial" w:hAnsi="Arial" w:cs="Arial"/>
          <w:sz w:val="20"/>
          <w:szCs w:val="20"/>
        </w:rPr>
        <w:t xml:space="preserve">ket from the replacement market, and suggests that customer purchase decisions are not solely influenced by </w:t>
      </w:r>
      <w:r w:rsidR="008E5EE9" w:rsidRPr="00744555">
        <w:rPr>
          <w:rFonts w:ascii="Arial" w:hAnsi="Arial" w:cs="Arial"/>
          <w:i/>
          <w:sz w:val="20"/>
          <w:szCs w:val="20"/>
        </w:rPr>
        <w:t>fixture</w:t>
      </w:r>
      <w:r w:rsidR="008E5EE9" w:rsidRPr="00744555">
        <w:rPr>
          <w:rFonts w:ascii="Arial" w:hAnsi="Arial" w:cs="Arial"/>
          <w:sz w:val="20"/>
          <w:szCs w:val="20"/>
        </w:rPr>
        <w:t xml:space="preserve"> cost differentials but include other options such as lamps that also deliver energy savings.</w:t>
      </w:r>
    </w:p>
    <w:p w14:paraId="2F492D1F" w14:textId="77777777" w:rsidR="008E5EE9" w:rsidRPr="00744555" w:rsidRDefault="008E5EE9" w:rsidP="008E5EE9">
      <w:pPr>
        <w:rPr>
          <w:rFonts w:ascii="Arial" w:hAnsi="Arial" w:cs="Arial"/>
          <w:sz w:val="20"/>
          <w:szCs w:val="20"/>
        </w:rPr>
      </w:pPr>
    </w:p>
    <w:p w14:paraId="1C6D4851" w14:textId="5606FFB2" w:rsidR="0008662A" w:rsidRPr="00744555" w:rsidRDefault="0008662A" w:rsidP="0008662A">
      <w:pPr>
        <w:rPr>
          <w:rFonts w:cs="Arial"/>
        </w:rPr>
      </w:pPr>
      <w:r w:rsidRPr="00744555">
        <w:rPr>
          <w:rFonts w:ascii="Arial" w:hAnsi="Arial" w:cs="Arial"/>
          <w:sz w:val="20"/>
          <w:szCs w:val="20"/>
        </w:rPr>
        <w:t xml:space="preserve">As Navigant’s key findings suggest, and as shown in Figure </w:t>
      </w:r>
      <w:r w:rsidR="00B4264C" w:rsidRPr="00744555">
        <w:rPr>
          <w:rFonts w:ascii="Arial" w:hAnsi="Arial" w:cs="Arial"/>
          <w:sz w:val="20"/>
          <w:szCs w:val="20"/>
        </w:rPr>
        <w:t>3</w:t>
      </w:r>
      <w:r w:rsidRPr="00744555">
        <w:rPr>
          <w:rFonts w:ascii="Arial" w:hAnsi="Arial" w:cs="Arial"/>
          <w:sz w:val="20"/>
          <w:szCs w:val="20"/>
        </w:rPr>
        <w:t xml:space="preserve"> below, the inclusion of TLEDs has a significant effect on incremental costs for these measures. In this </w:t>
      </w:r>
      <w:r w:rsidR="003968E2">
        <w:rPr>
          <w:rFonts w:ascii="Arial" w:hAnsi="Arial" w:cs="Arial"/>
          <w:sz w:val="20"/>
          <w:szCs w:val="20"/>
        </w:rPr>
        <w:t>workpaper</w:t>
      </w:r>
      <w:r w:rsidRPr="00744555">
        <w:rPr>
          <w:rFonts w:ascii="Arial" w:hAnsi="Arial" w:cs="Arial"/>
          <w:sz w:val="20"/>
          <w:szCs w:val="20"/>
        </w:rPr>
        <w:t xml:space="preserve">, TLEDs are </w:t>
      </w:r>
      <w:r w:rsidR="003968E2">
        <w:rPr>
          <w:rFonts w:ascii="Arial" w:hAnsi="Arial" w:cs="Arial"/>
          <w:sz w:val="20"/>
          <w:szCs w:val="20"/>
        </w:rPr>
        <w:t xml:space="preserve">much </w:t>
      </w:r>
      <w:r w:rsidRPr="00744555">
        <w:rPr>
          <w:rFonts w:ascii="Arial" w:hAnsi="Arial" w:cs="Arial"/>
          <w:sz w:val="20"/>
          <w:szCs w:val="20"/>
        </w:rPr>
        <w:t>less expensive than either base case (</w:t>
      </w:r>
      <w:r w:rsidR="003968E2">
        <w:rPr>
          <w:rFonts w:ascii="Arial" w:hAnsi="Arial" w:cs="Arial"/>
          <w:sz w:val="20"/>
          <w:szCs w:val="20"/>
        </w:rPr>
        <w:t>100</w:t>
      </w:r>
      <w:r w:rsidRPr="00744555">
        <w:rPr>
          <w:rFonts w:ascii="Arial" w:hAnsi="Arial" w:cs="Arial"/>
          <w:sz w:val="20"/>
          <w:szCs w:val="20"/>
        </w:rPr>
        <w:t xml:space="preserve">+ </w:t>
      </w:r>
      <w:r w:rsidR="003968E2">
        <w:rPr>
          <w:rFonts w:ascii="Arial" w:hAnsi="Arial" w:cs="Arial"/>
          <w:sz w:val="20"/>
          <w:szCs w:val="20"/>
        </w:rPr>
        <w:t>lm/</w:t>
      </w:r>
      <w:r w:rsidRPr="00744555">
        <w:rPr>
          <w:rFonts w:ascii="Arial" w:hAnsi="Arial" w:cs="Arial"/>
          <w:sz w:val="20"/>
          <w:szCs w:val="20"/>
        </w:rPr>
        <w:t xml:space="preserve">W) or measure case </w:t>
      </w:r>
      <w:proofErr w:type="gramStart"/>
      <w:r w:rsidRPr="00744555">
        <w:rPr>
          <w:rFonts w:ascii="Arial" w:hAnsi="Arial" w:cs="Arial"/>
          <w:sz w:val="20"/>
          <w:szCs w:val="20"/>
        </w:rPr>
        <w:t>(1</w:t>
      </w:r>
      <w:r w:rsidR="003968E2">
        <w:rPr>
          <w:rFonts w:ascii="Arial" w:hAnsi="Arial" w:cs="Arial"/>
          <w:sz w:val="20"/>
          <w:szCs w:val="20"/>
        </w:rPr>
        <w:t>25+</w:t>
      </w:r>
      <w:r w:rsidRPr="00744555">
        <w:rPr>
          <w:rFonts w:ascii="Arial" w:hAnsi="Arial" w:cs="Arial"/>
          <w:sz w:val="20"/>
          <w:szCs w:val="20"/>
        </w:rPr>
        <w:t xml:space="preserve"> </w:t>
      </w:r>
      <w:r w:rsidR="003968E2">
        <w:rPr>
          <w:rFonts w:ascii="Arial" w:hAnsi="Arial" w:cs="Arial"/>
          <w:sz w:val="20"/>
          <w:szCs w:val="20"/>
        </w:rPr>
        <w:t>lm/</w:t>
      </w:r>
      <w:r w:rsidRPr="00744555">
        <w:rPr>
          <w:rFonts w:ascii="Arial" w:hAnsi="Arial" w:cs="Arial"/>
          <w:sz w:val="20"/>
          <w:szCs w:val="20"/>
        </w:rPr>
        <w:t>W)</w:t>
      </w:r>
      <w:proofErr w:type="gramEnd"/>
      <w:r w:rsidRPr="00744555">
        <w:rPr>
          <w:rFonts w:ascii="Arial" w:hAnsi="Arial" w:cs="Arial"/>
          <w:sz w:val="20"/>
          <w:szCs w:val="20"/>
        </w:rPr>
        <w:t xml:space="preserve"> LED products. </w:t>
      </w:r>
    </w:p>
    <w:p w14:paraId="277BFB02" w14:textId="3C3E8A7E" w:rsidR="0008662A" w:rsidRDefault="0074519B" w:rsidP="0008662A">
      <w:pPr>
        <w:pStyle w:val="ListParagraph"/>
        <w:keepNext/>
        <w:ind w:left="0"/>
      </w:pPr>
      <w:r w:rsidRPr="0074519B">
        <w:rPr>
          <w:noProof/>
        </w:rPr>
        <w:lastRenderedPageBreak/>
        <w:t xml:space="preserve"> </w:t>
      </w:r>
      <w:r>
        <w:rPr>
          <w:noProof/>
        </w:rPr>
        <w:drawing>
          <wp:inline distT="0" distB="0" distL="0" distR="0" wp14:anchorId="1ACC439A" wp14:editId="4FB37C9F">
            <wp:extent cx="5739246" cy="4890655"/>
            <wp:effectExtent l="0" t="0" r="13970" b="5715"/>
            <wp:docPr id="1" name="Chart 1">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17B3A40-D907-4FD5-802D-E728E91355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5693BCD" w14:textId="206CC2C0" w:rsidR="00B4264C" w:rsidRPr="00AB09DC" w:rsidRDefault="0008662A" w:rsidP="00744555">
      <w:pPr>
        <w:pStyle w:val="Caption"/>
        <w:keepNext/>
        <w:rPr>
          <w:rFonts w:ascii="Arial" w:hAnsi="Arial" w:cs="Arial"/>
        </w:rPr>
      </w:pPr>
      <w:bookmarkStart w:id="44" w:name="_Toc2791467"/>
      <w:r w:rsidRPr="00AB09DC">
        <w:rPr>
          <w:rFonts w:ascii="Arial" w:hAnsi="Arial" w:cs="Arial"/>
        </w:rPr>
        <w:t xml:space="preserve">Figure </w:t>
      </w:r>
      <w:r w:rsidR="00797297" w:rsidRPr="00AB09DC">
        <w:rPr>
          <w:rFonts w:ascii="Arial" w:hAnsi="Arial" w:cs="Arial"/>
        </w:rPr>
        <w:fldChar w:fldCharType="begin"/>
      </w:r>
      <w:r w:rsidR="00797297" w:rsidRPr="00AB09DC">
        <w:rPr>
          <w:rFonts w:ascii="Arial" w:hAnsi="Arial" w:cs="Arial"/>
        </w:rPr>
        <w:instrText xml:space="preserve"> SEQ Figure \* ARABIC </w:instrText>
      </w:r>
      <w:r w:rsidR="00797297" w:rsidRPr="00AB09DC">
        <w:rPr>
          <w:rFonts w:ascii="Arial" w:hAnsi="Arial" w:cs="Arial"/>
        </w:rPr>
        <w:fldChar w:fldCharType="separate"/>
      </w:r>
      <w:r w:rsidR="00127D7D" w:rsidRPr="00AB09DC">
        <w:rPr>
          <w:rFonts w:ascii="Arial" w:hAnsi="Arial" w:cs="Arial"/>
          <w:noProof/>
        </w:rPr>
        <w:t>3</w:t>
      </w:r>
      <w:r w:rsidR="00797297" w:rsidRPr="00AB09DC">
        <w:rPr>
          <w:rFonts w:ascii="Arial" w:hAnsi="Arial" w:cs="Arial"/>
          <w:noProof/>
        </w:rPr>
        <w:fldChar w:fldCharType="end"/>
      </w:r>
      <w:r w:rsidRPr="00AB09DC">
        <w:rPr>
          <w:rFonts w:ascii="Arial" w:hAnsi="Arial" w:cs="Arial"/>
        </w:rPr>
        <w:t xml:space="preserve">: Impact of TLEDs on IMC for LED </w:t>
      </w:r>
      <w:r w:rsidR="000D5588" w:rsidRPr="00AB09DC">
        <w:rPr>
          <w:rFonts w:ascii="Arial" w:hAnsi="Arial" w:cs="Arial"/>
        </w:rPr>
        <w:t>Troffer measures</w:t>
      </w:r>
      <w:bookmarkEnd w:id="44"/>
    </w:p>
    <w:p w14:paraId="3E8AF1E1" w14:textId="77777777" w:rsidR="008E5EE9" w:rsidRPr="00296AC2" w:rsidRDefault="008E5EE9" w:rsidP="00744555"/>
    <w:p w14:paraId="2C6BB8EF" w14:textId="76B1C44C" w:rsidR="0008662A" w:rsidRPr="00744555" w:rsidRDefault="0008662A" w:rsidP="0008662A">
      <w:pPr>
        <w:rPr>
          <w:rFonts w:ascii="Arial" w:hAnsi="Arial" w:cs="Arial"/>
          <w:sz w:val="22"/>
          <w:szCs w:val="22"/>
        </w:rPr>
      </w:pPr>
      <w:r w:rsidRPr="00744555">
        <w:rPr>
          <w:rFonts w:ascii="Arial" w:hAnsi="Arial" w:cs="Arial"/>
          <w:sz w:val="20"/>
          <w:szCs w:val="22"/>
        </w:rPr>
        <w:t>With an increasing percentage of TLEDs in the base case, a positive IMC starts to emerge, which more accurately represents the proportion of the market that is the replacement market as explained by Navigant. (For more details on the calculations, please refer to the</w:t>
      </w:r>
      <w:r w:rsidR="00B4264C" w:rsidRPr="00744555">
        <w:rPr>
          <w:rFonts w:ascii="Arial" w:hAnsi="Arial" w:cs="Arial"/>
          <w:sz w:val="20"/>
          <w:szCs w:val="22"/>
        </w:rPr>
        <w:t xml:space="preserve"> </w:t>
      </w:r>
      <w:r w:rsidR="00692B73">
        <w:rPr>
          <w:rFonts w:ascii="Arial" w:hAnsi="Arial" w:cs="Arial"/>
          <w:sz w:val="20"/>
          <w:szCs w:val="22"/>
        </w:rPr>
        <w:t xml:space="preserve">latest calculation </w:t>
      </w:r>
      <w:r w:rsidR="00B4264C" w:rsidRPr="00744555">
        <w:rPr>
          <w:rFonts w:ascii="Arial" w:hAnsi="Arial" w:cs="Arial"/>
          <w:sz w:val="20"/>
          <w:szCs w:val="22"/>
        </w:rPr>
        <w:t>file</w:t>
      </w:r>
      <w:r w:rsidR="00692B73">
        <w:rPr>
          <w:rFonts w:ascii="Arial" w:hAnsi="Arial" w:cs="Arial"/>
          <w:sz w:val="20"/>
          <w:szCs w:val="22"/>
        </w:rPr>
        <w:t xml:space="preserve"> and vary the TLED base case share on the ‘NR’ worksheet</w:t>
      </w:r>
      <w:r w:rsidRPr="00744555">
        <w:rPr>
          <w:rFonts w:ascii="Arial" w:hAnsi="Arial" w:cs="Arial"/>
          <w:sz w:val="20"/>
          <w:szCs w:val="22"/>
        </w:rPr>
        <w:t xml:space="preserve">). A similar trend also exists for LED </w:t>
      </w:r>
      <w:r w:rsidR="00692B73">
        <w:rPr>
          <w:rFonts w:ascii="Arial" w:hAnsi="Arial" w:cs="Arial"/>
          <w:sz w:val="20"/>
          <w:szCs w:val="22"/>
        </w:rPr>
        <w:t>High-bays and Parking Garage fixtures</w:t>
      </w:r>
      <w:r w:rsidRPr="00744555">
        <w:rPr>
          <w:rFonts w:ascii="Arial" w:hAnsi="Arial" w:cs="Arial"/>
          <w:sz w:val="20"/>
          <w:szCs w:val="22"/>
        </w:rPr>
        <w:t xml:space="preserve">. </w:t>
      </w:r>
    </w:p>
    <w:p w14:paraId="3BA26392" w14:textId="77777777" w:rsidR="0008662A" w:rsidRDefault="0008662A" w:rsidP="0008662A">
      <w:pPr>
        <w:pStyle w:val="Caption"/>
      </w:pPr>
    </w:p>
    <w:p w14:paraId="5FD29B19" w14:textId="77777777" w:rsidR="0008662A" w:rsidRDefault="0008662A" w:rsidP="0008662A">
      <w:pPr>
        <w:spacing w:after="200"/>
        <w:rPr>
          <w:i/>
          <w:iCs/>
          <w:color w:val="1F497D" w:themeColor="text2"/>
          <w:sz w:val="18"/>
          <w:szCs w:val="18"/>
        </w:rPr>
      </w:pPr>
      <w:r>
        <w:br w:type="page"/>
      </w:r>
    </w:p>
    <w:p w14:paraId="14326DAF" w14:textId="0213B21C" w:rsidR="008E5EE9" w:rsidRDefault="008E5EE9" w:rsidP="00C1309F">
      <w:pPr>
        <w:pStyle w:val="Caption"/>
        <w:keepNext/>
        <w:jc w:val="center"/>
      </w:pPr>
    </w:p>
    <w:p w14:paraId="68F56493" w14:textId="77E4514E" w:rsidR="0008662A" w:rsidRPr="00C1309F" w:rsidRDefault="00504C48" w:rsidP="00814CC1">
      <w:pPr>
        <w:pStyle w:val="Heading4"/>
        <w:spacing w:before="0"/>
        <w:rPr>
          <w:sz w:val="20"/>
          <w:szCs w:val="20"/>
        </w:rPr>
      </w:pPr>
      <w:r w:rsidRPr="00C1309F">
        <w:rPr>
          <w:sz w:val="22"/>
          <w:szCs w:val="20"/>
        </w:rPr>
        <w:t xml:space="preserve">TLED market share: </w:t>
      </w:r>
      <w:r w:rsidR="0008662A" w:rsidRPr="00C1309F">
        <w:rPr>
          <w:sz w:val="22"/>
          <w:szCs w:val="20"/>
        </w:rPr>
        <w:t>Costs Continue to be a Barrier to Customer Purchase Decisions</w:t>
      </w:r>
    </w:p>
    <w:p w14:paraId="29205AA2" w14:textId="77777777" w:rsidR="0008662A" w:rsidRPr="00C1309F" w:rsidRDefault="0008662A" w:rsidP="0008662A">
      <w:pPr>
        <w:rPr>
          <w:rFonts w:ascii="Arial" w:hAnsi="Arial" w:cs="Arial"/>
          <w:sz w:val="20"/>
          <w:szCs w:val="20"/>
        </w:rPr>
      </w:pPr>
      <w:r w:rsidRPr="00C1309F">
        <w:rPr>
          <w:rFonts w:ascii="Arial" w:hAnsi="Arial" w:cs="Arial"/>
          <w:sz w:val="20"/>
          <w:szCs w:val="20"/>
        </w:rPr>
        <w:t xml:space="preserve">Customers who intend to upgrade their existing non-LED technologies to LED technology are faced with the two scenarios Navigant highlights, a full LED luminaire fixture/retrofit kit replacement or upgrading to TLEDs. Cost-sensitive customers may choose the less expensive TLED option; coupled with the data that indicates steady increases in TLED market penetration, PG&amp;E believes this should reasonably be included as part of the NR baseline scenario. </w:t>
      </w:r>
    </w:p>
    <w:p w14:paraId="30DAA726" w14:textId="71B1E403" w:rsidR="00504C48" w:rsidRPr="00C1309F" w:rsidRDefault="0008662A" w:rsidP="0008662A">
      <w:pPr>
        <w:rPr>
          <w:rFonts w:ascii="Arial" w:hAnsi="Arial" w:cs="Arial"/>
          <w:sz w:val="20"/>
          <w:szCs w:val="20"/>
        </w:rPr>
      </w:pPr>
      <w:r w:rsidRPr="00C1309F">
        <w:rPr>
          <w:rFonts w:ascii="Arial" w:hAnsi="Arial" w:cs="Arial"/>
          <w:sz w:val="20"/>
          <w:szCs w:val="20"/>
        </w:rPr>
        <w:t>Bonneville Power Administration (BPA) conducted a Non-Residential Lighting Market Characterization Study for the Pacific Northwest Region that indicated that LED sales continue to increase rapidly, accounting for 15% of all non-residential sales, with LED lamps and tubes representing the majority of the growth at 10% of total sales.</w:t>
      </w:r>
      <w:r w:rsidR="00036CC2" w:rsidRPr="00C1309F">
        <w:rPr>
          <w:rStyle w:val="EndnoteReference"/>
          <w:rFonts w:ascii="Arial" w:hAnsi="Arial" w:cs="Arial"/>
          <w:sz w:val="20"/>
          <w:szCs w:val="20"/>
        </w:rPr>
        <w:endnoteReference w:id="8"/>
      </w:r>
      <w:r w:rsidRPr="00C1309F">
        <w:rPr>
          <w:rFonts w:ascii="Arial" w:hAnsi="Arial" w:cs="Arial"/>
          <w:sz w:val="20"/>
          <w:szCs w:val="20"/>
        </w:rPr>
        <w:t xml:space="preserve"> There are two Statewide EM&amp;V studies that will help provide additional California-specific data to support this assumption:</w:t>
      </w:r>
    </w:p>
    <w:p w14:paraId="0F7A46B5" w14:textId="648E6A0F" w:rsidR="000C0912" w:rsidRPr="00C1309F" w:rsidRDefault="0008662A" w:rsidP="0008662A">
      <w:pPr>
        <w:pStyle w:val="ListParagraph"/>
        <w:numPr>
          <w:ilvl w:val="0"/>
          <w:numId w:val="33"/>
        </w:numPr>
        <w:spacing w:after="200" w:line="276" w:lineRule="auto"/>
        <w:ind w:left="360"/>
        <w:rPr>
          <w:rFonts w:ascii="Arial" w:hAnsi="Arial" w:cs="Arial"/>
          <w:sz w:val="20"/>
          <w:szCs w:val="20"/>
        </w:rPr>
      </w:pPr>
      <w:r w:rsidRPr="00C1309F">
        <w:rPr>
          <w:rFonts w:ascii="Arial" w:hAnsi="Arial" w:cs="Arial"/>
          <w:b/>
          <w:sz w:val="20"/>
          <w:szCs w:val="20"/>
        </w:rPr>
        <w:t xml:space="preserve">California Statewide Non-Residential LED Quality and Market Characterization Study: </w:t>
      </w:r>
      <w:r w:rsidR="00036CC2" w:rsidRPr="00C1309F">
        <w:rPr>
          <w:rFonts w:ascii="Arial" w:hAnsi="Arial" w:cs="Arial"/>
          <w:sz w:val="20"/>
          <w:szCs w:val="20"/>
        </w:rPr>
        <w:t xml:space="preserve">see Section </w:t>
      </w:r>
      <w:r w:rsidR="00036CC2" w:rsidRPr="00C1309F">
        <w:rPr>
          <w:rFonts w:ascii="Arial" w:hAnsi="Arial" w:cs="Arial"/>
          <w:sz w:val="20"/>
          <w:szCs w:val="20"/>
        </w:rPr>
        <w:fldChar w:fldCharType="begin"/>
      </w:r>
      <w:r w:rsidR="00036CC2" w:rsidRPr="00C1309F">
        <w:rPr>
          <w:rFonts w:ascii="Arial" w:hAnsi="Arial" w:cs="Arial"/>
          <w:sz w:val="20"/>
          <w:szCs w:val="20"/>
        </w:rPr>
        <w:instrText xml:space="preserve"> REF _Ref533354573 \h </w:instrText>
      </w:r>
      <w:r w:rsidR="00744555" w:rsidRPr="00B10C07">
        <w:rPr>
          <w:rFonts w:ascii="Arial" w:hAnsi="Arial" w:cs="Arial"/>
          <w:sz w:val="20"/>
          <w:szCs w:val="20"/>
        </w:rPr>
        <w:instrText xml:space="preserve"> \* MERGEFORMAT </w:instrText>
      </w:r>
      <w:r w:rsidR="00036CC2" w:rsidRPr="00C1309F">
        <w:rPr>
          <w:rFonts w:ascii="Arial" w:hAnsi="Arial" w:cs="Arial"/>
          <w:sz w:val="20"/>
          <w:szCs w:val="20"/>
        </w:rPr>
      </w:r>
      <w:r w:rsidR="00036CC2" w:rsidRPr="00C1309F">
        <w:rPr>
          <w:rFonts w:ascii="Arial" w:hAnsi="Arial" w:cs="Arial"/>
          <w:sz w:val="20"/>
          <w:szCs w:val="20"/>
        </w:rPr>
        <w:fldChar w:fldCharType="separate"/>
      </w:r>
      <w:r w:rsidR="00036CC2" w:rsidRPr="00C1309F">
        <w:rPr>
          <w:rFonts w:ascii="Arial" w:hAnsi="Arial" w:cs="Arial"/>
          <w:sz w:val="20"/>
          <w:szCs w:val="20"/>
        </w:rPr>
        <w:t>1.5.3.</w:t>
      </w:r>
      <w:r w:rsidR="000C0912">
        <w:rPr>
          <w:rFonts w:ascii="Arial" w:hAnsi="Arial" w:cs="Arial"/>
          <w:sz w:val="20"/>
          <w:szCs w:val="20"/>
        </w:rPr>
        <w:t>6</w:t>
      </w:r>
      <w:r w:rsidR="00036CC2" w:rsidRPr="00C1309F">
        <w:rPr>
          <w:rFonts w:ascii="Arial" w:hAnsi="Arial" w:cs="Arial"/>
          <w:sz w:val="20"/>
          <w:szCs w:val="20"/>
        </w:rPr>
        <w:t xml:space="preserve"> LED Non-Residential Lighting Market Characterization, Navigant – In Progress</w:t>
      </w:r>
      <w:r w:rsidR="00036CC2" w:rsidRPr="00C1309F">
        <w:rPr>
          <w:rFonts w:ascii="Arial" w:hAnsi="Arial" w:cs="Arial"/>
          <w:sz w:val="20"/>
          <w:szCs w:val="20"/>
        </w:rPr>
        <w:fldChar w:fldCharType="end"/>
      </w:r>
      <w:r w:rsidR="00036CC2" w:rsidRPr="00C1309F">
        <w:rPr>
          <w:rFonts w:ascii="Arial" w:hAnsi="Arial" w:cs="Arial"/>
          <w:sz w:val="20"/>
          <w:szCs w:val="20"/>
        </w:rPr>
        <w:t>.</w:t>
      </w:r>
    </w:p>
    <w:p w14:paraId="644AC56D" w14:textId="5C518C90" w:rsidR="000C0912" w:rsidRPr="00E3447D" w:rsidRDefault="0008662A">
      <w:pPr>
        <w:pStyle w:val="ListParagraph"/>
        <w:numPr>
          <w:ilvl w:val="0"/>
          <w:numId w:val="33"/>
        </w:numPr>
        <w:spacing w:after="200" w:line="276" w:lineRule="auto"/>
        <w:ind w:left="360"/>
        <w:rPr>
          <w:rFonts w:ascii="Arial" w:hAnsi="Arial" w:cs="Arial"/>
          <w:sz w:val="22"/>
          <w:szCs w:val="22"/>
        </w:rPr>
      </w:pPr>
      <w:r w:rsidRPr="00E3447D">
        <w:rPr>
          <w:rFonts w:ascii="Arial" w:hAnsi="Arial" w:cs="Arial"/>
          <w:b/>
          <w:sz w:val="20"/>
          <w:szCs w:val="20"/>
        </w:rPr>
        <w:t xml:space="preserve">Statewide Non-Residential Interior Lighting </w:t>
      </w:r>
      <w:r w:rsidR="00B10C07" w:rsidRPr="00E3447D">
        <w:rPr>
          <w:rFonts w:ascii="Arial" w:hAnsi="Arial" w:cs="Arial"/>
          <w:b/>
          <w:sz w:val="20"/>
          <w:szCs w:val="20"/>
        </w:rPr>
        <w:t>Standard Practices</w:t>
      </w:r>
      <w:r w:rsidRPr="00E3447D">
        <w:rPr>
          <w:rFonts w:ascii="Arial" w:hAnsi="Arial" w:cs="Arial"/>
          <w:b/>
          <w:sz w:val="20"/>
          <w:szCs w:val="20"/>
        </w:rPr>
        <w:t xml:space="preserve"> Study: </w:t>
      </w:r>
      <w:r w:rsidR="000C0912" w:rsidRPr="00E3447D">
        <w:rPr>
          <w:rFonts w:ascii="Arial" w:hAnsi="Arial" w:cs="Arial"/>
          <w:sz w:val="20"/>
          <w:szCs w:val="20"/>
        </w:rPr>
        <w:t xml:space="preserve">Launching in March 2019, this study will be conducted by TRC Energy Services to investigate standard practices for interior lighting categories of Troffers, Downlights, and </w:t>
      </w:r>
      <w:proofErr w:type="spellStart"/>
      <w:r w:rsidR="000C0912" w:rsidRPr="00E3447D">
        <w:rPr>
          <w:rFonts w:ascii="Arial" w:hAnsi="Arial" w:cs="Arial"/>
          <w:sz w:val="20"/>
          <w:szCs w:val="20"/>
        </w:rPr>
        <w:t>Highbay</w:t>
      </w:r>
      <w:proofErr w:type="spellEnd"/>
      <w:r w:rsidR="000C0912" w:rsidRPr="00E3447D">
        <w:rPr>
          <w:rFonts w:ascii="Arial" w:hAnsi="Arial" w:cs="Arial"/>
          <w:sz w:val="20"/>
          <w:szCs w:val="20"/>
        </w:rPr>
        <w:t>-fixtures. It will also explore the various retrofit paths for a linear fluorescent fixture, in particular for troffers (lensed and parabolic) and linear fluorescent high/low-bay fixtures, and what rate the market is choosing each of these retrofits. These retrofit paths have significantly different costs, and consequently significantly different IMCs, and potentially different energy savings. Results from this Interior Lighting Standard Practices Study could help to inform future iterations on the blended baseline mix for LED technologies</w:t>
      </w:r>
      <w:r w:rsidR="000C0912" w:rsidRPr="00E3447D" w:rsidDel="000C0912">
        <w:rPr>
          <w:rFonts w:ascii="Arial" w:hAnsi="Arial" w:cs="Arial"/>
          <w:sz w:val="20"/>
          <w:szCs w:val="20"/>
        </w:rPr>
        <w:t xml:space="preserve"> </w:t>
      </w:r>
    </w:p>
    <w:p w14:paraId="24BF31B8" w14:textId="77777777" w:rsidR="0008662A" w:rsidRPr="00C1309F" w:rsidRDefault="0008662A" w:rsidP="0008662A">
      <w:pPr>
        <w:pStyle w:val="Heading4"/>
        <w:rPr>
          <w:sz w:val="22"/>
        </w:rPr>
      </w:pPr>
      <w:r w:rsidRPr="00C1309F">
        <w:rPr>
          <w:sz w:val="22"/>
        </w:rPr>
        <w:t>Proposed Blended Baseline Mix: 100% LED Technology based upon full LED luminaire fixtures/retrofit kits + TLEDs</w:t>
      </w:r>
    </w:p>
    <w:p w14:paraId="672D42F3" w14:textId="507B8162" w:rsidR="0008662A" w:rsidRPr="00C1309F" w:rsidRDefault="0008662A" w:rsidP="0008662A">
      <w:pPr>
        <w:rPr>
          <w:rFonts w:ascii="Arial" w:hAnsi="Arial" w:cs="Arial"/>
          <w:sz w:val="20"/>
          <w:szCs w:val="22"/>
        </w:rPr>
      </w:pPr>
      <w:r w:rsidRPr="00C1309F">
        <w:rPr>
          <w:rFonts w:ascii="Arial" w:hAnsi="Arial" w:cs="Arial"/>
          <w:sz w:val="20"/>
          <w:szCs w:val="22"/>
        </w:rPr>
        <w:t>For PGECOLTG179, DEER2019 modifies the baseline to</w:t>
      </w:r>
      <w:r w:rsidR="00036CC2" w:rsidRPr="00C1309F">
        <w:rPr>
          <w:rFonts w:ascii="Arial" w:hAnsi="Arial" w:cs="Arial"/>
          <w:sz w:val="20"/>
          <w:szCs w:val="22"/>
        </w:rPr>
        <w:t xml:space="preserve"> 100% LED technologies. PG&amp;E proposes a</w:t>
      </w:r>
      <w:r w:rsidRPr="00C1309F">
        <w:rPr>
          <w:rFonts w:ascii="Arial" w:hAnsi="Arial" w:cs="Arial"/>
          <w:sz w:val="20"/>
          <w:szCs w:val="22"/>
        </w:rPr>
        <w:t xml:space="preserve"> blend of </w:t>
      </w:r>
      <w:r w:rsidR="00036CC2" w:rsidRPr="00C1309F">
        <w:rPr>
          <w:rFonts w:ascii="Arial" w:hAnsi="Arial" w:cs="Arial"/>
          <w:sz w:val="20"/>
          <w:szCs w:val="22"/>
        </w:rPr>
        <w:t xml:space="preserve">33% </w:t>
      </w:r>
      <w:r w:rsidRPr="00C1309F">
        <w:rPr>
          <w:rFonts w:ascii="Arial" w:hAnsi="Arial" w:cs="Arial"/>
          <w:sz w:val="20"/>
          <w:szCs w:val="22"/>
        </w:rPr>
        <w:t xml:space="preserve">TLEDs </w:t>
      </w:r>
      <w:r w:rsidR="00036CC2" w:rsidRPr="00C1309F">
        <w:rPr>
          <w:rFonts w:ascii="Arial" w:hAnsi="Arial" w:cs="Arial"/>
          <w:sz w:val="20"/>
          <w:szCs w:val="22"/>
        </w:rPr>
        <w:t xml:space="preserve">and 67% new LED luminaires and retrofit kits </w:t>
      </w:r>
      <w:r w:rsidRPr="00C1309F">
        <w:rPr>
          <w:rFonts w:ascii="Arial" w:hAnsi="Arial" w:cs="Arial"/>
          <w:sz w:val="20"/>
          <w:szCs w:val="22"/>
        </w:rPr>
        <w:t>for the LED technology base case.</w:t>
      </w:r>
    </w:p>
    <w:p w14:paraId="4E6E4B27" w14:textId="48E96B0F" w:rsidR="0008662A" w:rsidRPr="00C1309F" w:rsidRDefault="00127D7D" w:rsidP="0008662A">
      <w:pPr>
        <w:keepNext/>
        <w:rPr>
          <w:rFonts w:ascii="Arial" w:hAnsi="Arial" w:cs="Arial"/>
          <w:noProof/>
          <w:sz w:val="22"/>
          <w:szCs w:val="22"/>
        </w:rPr>
      </w:pPr>
      <w:r w:rsidRPr="00C1309F">
        <w:rPr>
          <w:rFonts w:ascii="Arial" w:hAnsi="Arial" w:cs="Arial"/>
          <w:noProof/>
          <w:sz w:val="20"/>
          <w:szCs w:val="22"/>
        </w:rPr>
        <w:t>Figure 4</w:t>
      </w:r>
      <w:r w:rsidR="0008662A" w:rsidRPr="00C1309F">
        <w:rPr>
          <w:rFonts w:ascii="Arial" w:hAnsi="Arial" w:cs="Arial"/>
          <w:noProof/>
          <w:sz w:val="20"/>
          <w:szCs w:val="22"/>
        </w:rPr>
        <w:t xml:space="preserve"> below illustrates the proposed workpaper methodology adding TLEDs to the baseline scenario as part of a blended baseline. </w:t>
      </w:r>
    </w:p>
    <w:p w14:paraId="2FAB5BCB" w14:textId="77777777" w:rsidR="00127D7D" w:rsidRDefault="0008662A">
      <w:pPr>
        <w:keepNext/>
      </w:pPr>
      <w:r w:rsidRPr="009A4982">
        <w:rPr>
          <w:noProof/>
        </w:rPr>
        <w:drawing>
          <wp:inline distT="0" distB="0" distL="0" distR="0" wp14:anchorId="350B2760" wp14:editId="07F25C2E">
            <wp:extent cx="5800725" cy="2671680"/>
            <wp:effectExtent l="0" t="0" r="0" b="0"/>
            <wp:docPr id="35" name="Picture 4">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AED21B-80F6-44F6-A4C9-68E30478F4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AED21B-80F6-44F6-A4C9-68E30478F430}"/>
                        </a:ext>
                      </a:extLst>
                    </pic:cNvPr>
                    <pic:cNvPicPr>
                      <a:picLocks noChangeAspect="1"/>
                    </pic:cNvPicPr>
                  </pic:nvPicPr>
                  <pic:blipFill>
                    <a:blip r:embed="rId19"/>
                    <a:stretch>
                      <a:fillRect/>
                    </a:stretch>
                  </pic:blipFill>
                  <pic:spPr>
                    <a:xfrm>
                      <a:off x="0" y="0"/>
                      <a:ext cx="5804629" cy="2673478"/>
                    </a:xfrm>
                    <a:prstGeom prst="rect">
                      <a:avLst/>
                    </a:prstGeom>
                  </pic:spPr>
                </pic:pic>
              </a:graphicData>
            </a:graphic>
          </wp:inline>
        </w:drawing>
      </w:r>
    </w:p>
    <w:p w14:paraId="5774658B" w14:textId="2700BB5A" w:rsidR="0008662A" w:rsidRPr="00B86AB2" w:rsidRDefault="00127D7D" w:rsidP="00C1309F">
      <w:pPr>
        <w:pStyle w:val="Caption"/>
        <w:rPr>
          <w:rFonts w:ascii="Arial" w:hAnsi="Arial" w:cs="Arial"/>
        </w:rPr>
      </w:pPr>
      <w:bookmarkStart w:id="45" w:name="_Toc2791468"/>
      <w:r w:rsidRPr="00B86AB2">
        <w:rPr>
          <w:rFonts w:ascii="Arial" w:hAnsi="Arial" w:cs="Arial"/>
        </w:rPr>
        <w:t xml:space="preserve">Figure </w:t>
      </w:r>
      <w:r w:rsidR="00797297" w:rsidRPr="00B86AB2">
        <w:rPr>
          <w:rFonts w:ascii="Arial" w:hAnsi="Arial" w:cs="Arial"/>
        </w:rPr>
        <w:fldChar w:fldCharType="begin"/>
      </w:r>
      <w:r w:rsidR="00797297" w:rsidRPr="00B86AB2">
        <w:rPr>
          <w:rFonts w:ascii="Arial" w:hAnsi="Arial" w:cs="Arial"/>
        </w:rPr>
        <w:instrText xml:space="preserve"> SEQ Figure \* ARABIC </w:instrText>
      </w:r>
      <w:r w:rsidR="00797297" w:rsidRPr="00B86AB2">
        <w:rPr>
          <w:rFonts w:ascii="Arial" w:hAnsi="Arial" w:cs="Arial"/>
        </w:rPr>
        <w:fldChar w:fldCharType="separate"/>
      </w:r>
      <w:r w:rsidRPr="00B86AB2">
        <w:rPr>
          <w:rFonts w:ascii="Arial" w:hAnsi="Arial" w:cs="Arial"/>
          <w:noProof/>
        </w:rPr>
        <w:t>4</w:t>
      </w:r>
      <w:r w:rsidR="00797297" w:rsidRPr="00B86AB2">
        <w:rPr>
          <w:rFonts w:ascii="Arial" w:hAnsi="Arial" w:cs="Arial"/>
          <w:noProof/>
        </w:rPr>
        <w:fldChar w:fldCharType="end"/>
      </w:r>
      <w:r w:rsidRPr="00B86AB2">
        <w:rPr>
          <w:rFonts w:ascii="Arial" w:hAnsi="Arial" w:cs="Arial"/>
        </w:rPr>
        <w:t>: Proposed workpaper methodology adding TLEDs to baseline</w:t>
      </w:r>
      <w:bookmarkEnd w:id="45"/>
    </w:p>
    <w:p w14:paraId="27685945" w14:textId="77777777" w:rsidR="0008662A" w:rsidRDefault="0008662A" w:rsidP="0008662A">
      <w:pPr>
        <w:pStyle w:val="Caption"/>
      </w:pPr>
    </w:p>
    <w:p w14:paraId="69356263" w14:textId="77777777" w:rsidR="0008662A" w:rsidRPr="00C1309F" w:rsidRDefault="0008662A" w:rsidP="0008662A">
      <w:pPr>
        <w:pStyle w:val="Heading4"/>
      </w:pPr>
      <w:r w:rsidRPr="00C1309F">
        <w:rPr>
          <w:sz w:val="22"/>
        </w:rPr>
        <w:lastRenderedPageBreak/>
        <w:t>History of Blended Baseline Approach Development</w:t>
      </w:r>
    </w:p>
    <w:p w14:paraId="400C6441" w14:textId="5B951FD5" w:rsidR="0008662A" w:rsidRPr="00C1309F" w:rsidRDefault="0008662A" w:rsidP="0008662A">
      <w:pPr>
        <w:rPr>
          <w:rFonts w:ascii="Arial" w:hAnsi="Arial" w:cs="Arial"/>
          <w:sz w:val="20"/>
          <w:szCs w:val="20"/>
        </w:rPr>
      </w:pPr>
      <w:r w:rsidRPr="00C1309F">
        <w:rPr>
          <w:rFonts w:ascii="Arial" w:hAnsi="Arial" w:cs="Arial"/>
          <w:sz w:val="20"/>
          <w:szCs w:val="20"/>
        </w:rPr>
        <w:t>PG&amp;E’s early 2018 research and communications with the CPUC E</w:t>
      </w:r>
      <w:r w:rsidR="00D56548">
        <w:rPr>
          <w:rFonts w:ascii="Arial" w:hAnsi="Arial" w:cs="Arial"/>
          <w:sz w:val="20"/>
          <w:szCs w:val="20"/>
        </w:rPr>
        <w:t>x</w:t>
      </w:r>
      <w:r w:rsidRPr="00C1309F">
        <w:rPr>
          <w:rFonts w:ascii="Arial" w:hAnsi="Arial" w:cs="Arial"/>
          <w:sz w:val="20"/>
          <w:szCs w:val="20"/>
        </w:rPr>
        <w:t>-Ante Review Team noted challenges with negative IMC values as baseline technologies shift to LED - the same technology as the measure case.</w:t>
      </w:r>
      <w:r w:rsidR="00E920FD" w:rsidRPr="00C1309F">
        <w:rPr>
          <w:rStyle w:val="EndnoteReference"/>
          <w:rFonts w:ascii="Arial" w:hAnsi="Arial" w:cs="Arial"/>
          <w:sz w:val="20"/>
          <w:szCs w:val="20"/>
        </w:rPr>
        <w:endnoteReference w:id="9"/>
      </w:r>
      <w:r w:rsidRPr="00C1309F">
        <w:rPr>
          <w:rFonts w:ascii="Arial" w:hAnsi="Arial" w:cs="Arial"/>
          <w:sz w:val="20"/>
          <w:szCs w:val="20"/>
        </w:rPr>
        <w:t xml:space="preserve"> </w:t>
      </w:r>
    </w:p>
    <w:p w14:paraId="366EE7DB" w14:textId="77777777" w:rsidR="0008662A" w:rsidRPr="00C1309F" w:rsidRDefault="0008662A" w:rsidP="0008662A">
      <w:pPr>
        <w:rPr>
          <w:rFonts w:ascii="Arial" w:hAnsi="Arial" w:cs="Arial"/>
          <w:sz w:val="20"/>
          <w:szCs w:val="22"/>
        </w:rPr>
      </w:pPr>
      <w:r w:rsidRPr="00C1309F">
        <w:rPr>
          <w:rFonts w:ascii="Arial" w:hAnsi="Arial" w:cs="Arial"/>
          <w:sz w:val="20"/>
          <w:szCs w:val="20"/>
        </w:rPr>
        <w:t xml:space="preserve">The EAR team expressed that they did not want PG&amp;E to eliminate measure codes or categories solely due to the cost issue recognizing the market barriers to LED fixture adoption still exist. Multiple meetings were then conducted between the EAR team and PG&amp;E from </w:t>
      </w:r>
      <w:r w:rsidRPr="00C1309F">
        <w:rPr>
          <w:rFonts w:ascii="Arial" w:hAnsi="Arial" w:cs="Arial"/>
          <w:sz w:val="20"/>
          <w:szCs w:val="22"/>
        </w:rPr>
        <w:t>March to April to try to resolve the</w:t>
      </w:r>
      <w:r w:rsidRPr="00C1309F">
        <w:rPr>
          <w:rFonts w:ascii="Arial" w:hAnsi="Arial" w:cs="Arial"/>
          <w:sz w:val="22"/>
          <w:szCs w:val="22"/>
        </w:rPr>
        <w:t xml:space="preserve"> </w:t>
      </w:r>
      <w:r w:rsidRPr="00C1309F">
        <w:rPr>
          <w:rFonts w:ascii="Arial" w:hAnsi="Arial" w:cs="Arial"/>
          <w:sz w:val="20"/>
          <w:szCs w:val="22"/>
        </w:rPr>
        <w:t>negative IMC issue. In late April, the EAR team accepted PG&amp;E’s proposal of setting IMC at 110% of the rebate values as an interim solution to the issue. On May 7, 2018, Commission staff issued the two dispositions for PGECOLTG151 &amp; PGECOLTG178 approving the interim solutions, with direction for PG&amp;E to continue with cost research for inclusion in the next revision to the workpaper. PG&amp;E’s recent research conducted with TRC in September/October reveals the continuation of the negative IMC issue.</w:t>
      </w:r>
    </w:p>
    <w:p w14:paraId="57C19905" w14:textId="28601F39" w:rsidR="0008662A" w:rsidRPr="00C1309F" w:rsidRDefault="0008662A" w:rsidP="0008662A">
      <w:pPr>
        <w:rPr>
          <w:rFonts w:ascii="Arial" w:hAnsi="Arial" w:cs="Arial"/>
          <w:sz w:val="20"/>
          <w:szCs w:val="22"/>
        </w:rPr>
      </w:pPr>
      <w:r w:rsidRPr="00C1309F">
        <w:rPr>
          <w:rFonts w:ascii="Arial" w:hAnsi="Arial" w:cs="Arial"/>
          <w:sz w:val="20"/>
          <w:szCs w:val="22"/>
        </w:rPr>
        <w:t xml:space="preserve">In conversations with the Ex Ante Review (EAR) Team from April 4, 2018 &amp; April 5, 2018, in development of the interim solution workpaper for LED High-Bay and Low-Bay fixtures, the EAR team acknowledged TLED popularity in the market and alluded </w:t>
      </w:r>
      <w:r w:rsidR="00127D7D" w:rsidRPr="00C1309F">
        <w:rPr>
          <w:rFonts w:ascii="Arial" w:hAnsi="Arial" w:cs="Arial"/>
          <w:sz w:val="20"/>
          <w:szCs w:val="22"/>
        </w:rPr>
        <w:t>to</w:t>
      </w:r>
      <w:r w:rsidRPr="00C1309F">
        <w:rPr>
          <w:rFonts w:ascii="Arial" w:hAnsi="Arial" w:cs="Arial"/>
          <w:sz w:val="20"/>
          <w:szCs w:val="22"/>
        </w:rPr>
        <w:t xml:space="preserve"> PG&amp;E consider</w:t>
      </w:r>
      <w:r w:rsidR="00127D7D" w:rsidRPr="00C1309F">
        <w:rPr>
          <w:rFonts w:ascii="Arial" w:hAnsi="Arial" w:cs="Arial"/>
          <w:sz w:val="20"/>
          <w:szCs w:val="22"/>
        </w:rPr>
        <w:t>ing</w:t>
      </w:r>
      <w:r w:rsidRPr="00C1309F">
        <w:rPr>
          <w:rFonts w:ascii="Arial" w:hAnsi="Arial" w:cs="Arial"/>
          <w:sz w:val="20"/>
          <w:szCs w:val="22"/>
        </w:rPr>
        <w:t xml:space="preserve"> adding TLEDs to its baseline mix for fixtures that have had fluorescent T8s in their baseline history.</w:t>
      </w:r>
      <w:r w:rsidR="00127D7D" w:rsidRPr="00C1309F">
        <w:rPr>
          <w:rStyle w:val="EndnoteReference"/>
          <w:rFonts w:ascii="Arial" w:hAnsi="Arial" w:cs="Arial"/>
          <w:sz w:val="20"/>
          <w:szCs w:val="22"/>
        </w:rPr>
        <w:endnoteReference w:id="10"/>
      </w:r>
    </w:p>
    <w:p w14:paraId="0A9AA886" w14:textId="77777777" w:rsidR="00127D7D" w:rsidRPr="00C1309F" w:rsidRDefault="00127D7D" w:rsidP="0008662A">
      <w:pPr>
        <w:rPr>
          <w:rFonts w:ascii="Arial" w:hAnsi="Arial" w:cs="Arial"/>
          <w:sz w:val="20"/>
          <w:szCs w:val="22"/>
        </w:rPr>
      </w:pPr>
    </w:p>
    <w:p w14:paraId="39183433" w14:textId="70D41B56" w:rsidR="0008662A" w:rsidRPr="00C1309F" w:rsidRDefault="0008662A" w:rsidP="0008662A">
      <w:pPr>
        <w:rPr>
          <w:rFonts w:ascii="Arial" w:hAnsi="Arial" w:cs="Arial"/>
          <w:sz w:val="20"/>
          <w:szCs w:val="22"/>
        </w:rPr>
      </w:pPr>
      <w:r w:rsidRPr="00C1309F">
        <w:rPr>
          <w:rFonts w:ascii="Arial" w:hAnsi="Arial" w:cs="Arial"/>
          <w:sz w:val="20"/>
          <w:szCs w:val="22"/>
        </w:rPr>
        <w:t xml:space="preserve">As such, PG&amp;E is proposing to add linear LED replacement lamps to its baseline technology mix for </w:t>
      </w:r>
      <w:r w:rsidR="00B10C07">
        <w:rPr>
          <w:rFonts w:ascii="Arial" w:hAnsi="Arial" w:cs="Arial"/>
          <w:sz w:val="20"/>
          <w:szCs w:val="22"/>
        </w:rPr>
        <w:t>this lighting workpaper as well</w:t>
      </w:r>
      <w:r w:rsidRPr="00C1309F">
        <w:rPr>
          <w:rFonts w:ascii="Arial" w:hAnsi="Arial" w:cs="Arial"/>
          <w:sz w:val="20"/>
          <w:szCs w:val="22"/>
        </w:rPr>
        <w:t>.</w:t>
      </w:r>
    </w:p>
    <w:p w14:paraId="11287FA7" w14:textId="77777777" w:rsidR="00504C48" w:rsidRDefault="00504C48" w:rsidP="00C1309F"/>
    <w:p w14:paraId="1CBDF910" w14:textId="1E33F6A6" w:rsidR="009E2964" w:rsidRPr="00597C03" w:rsidRDefault="001E37BA" w:rsidP="00B0701F">
      <w:pPr>
        <w:pStyle w:val="Heading4"/>
        <w:spacing w:before="0"/>
      </w:pPr>
      <w:r>
        <w:t>1.</w:t>
      </w:r>
      <w:r w:rsidR="00952772">
        <w:t>5</w:t>
      </w:r>
      <w:r>
        <w:t>.3.</w:t>
      </w:r>
      <w:r w:rsidR="000573C8">
        <w:t>3</w:t>
      </w:r>
      <w:r>
        <w:t xml:space="preserve"> </w:t>
      </w:r>
      <w:proofErr w:type="spellStart"/>
      <w:r>
        <w:t>CALiPER</w:t>
      </w:r>
      <w:proofErr w:type="spellEnd"/>
      <w:r>
        <w:t xml:space="preserve"> </w:t>
      </w:r>
      <w:r w:rsidR="00F90A98">
        <w:t>Snapshot</w:t>
      </w:r>
      <w:r>
        <w:t xml:space="preserve"> Report </w:t>
      </w:r>
      <w:r w:rsidR="00F90A98">
        <w:t>December 7, 2016</w:t>
      </w:r>
      <w:r w:rsidR="003B2621">
        <w:t>:</w:t>
      </w:r>
      <w:r w:rsidR="00262365">
        <w:rPr>
          <w:rStyle w:val="EndnoteReference"/>
          <w:rFonts w:ascii="Arial" w:hAnsi="Arial" w:cs="Arial"/>
          <w:b w:val="0"/>
          <w:i w:val="0"/>
        </w:rPr>
        <w:endnoteReference w:id="11"/>
      </w:r>
    </w:p>
    <w:p w14:paraId="3F08976E" w14:textId="4A8A0915" w:rsidR="00C37145" w:rsidRDefault="00B00818" w:rsidP="00A35CF8">
      <w:pPr>
        <w:rPr>
          <w:rFonts w:ascii="Arial" w:hAnsi="Arial" w:cs="Arial"/>
          <w:sz w:val="20"/>
          <w:szCs w:val="20"/>
        </w:rPr>
      </w:pPr>
      <w:r w:rsidRPr="00B00818">
        <w:rPr>
          <w:rFonts w:ascii="Arial" w:hAnsi="Arial" w:cs="Arial"/>
          <w:sz w:val="20"/>
          <w:szCs w:val="20"/>
        </w:rPr>
        <w:t xml:space="preserve">A few of the conclusions that </w:t>
      </w:r>
      <w:proofErr w:type="spellStart"/>
      <w:r w:rsidRPr="00B00818">
        <w:rPr>
          <w:rFonts w:ascii="Arial" w:hAnsi="Arial" w:cs="Arial"/>
          <w:sz w:val="20"/>
          <w:szCs w:val="20"/>
        </w:rPr>
        <w:t>CALiPER</w:t>
      </w:r>
      <w:proofErr w:type="spellEnd"/>
      <w:r w:rsidRPr="00B00818">
        <w:rPr>
          <w:rFonts w:ascii="Arial" w:hAnsi="Arial" w:cs="Arial"/>
          <w:sz w:val="20"/>
          <w:szCs w:val="20"/>
        </w:rPr>
        <w:t xml:space="preserve"> reported </w:t>
      </w:r>
      <w:r w:rsidR="00C37145">
        <w:rPr>
          <w:rFonts w:ascii="Arial" w:hAnsi="Arial" w:cs="Arial"/>
          <w:sz w:val="20"/>
          <w:szCs w:val="20"/>
        </w:rPr>
        <w:t xml:space="preserve">in </w:t>
      </w:r>
      <w:r w:rsidR="008523E5">
        <w:rPr>
          <w:rFonts w:ascii="Arial" w:hAnsi="Arial" w:cs="Arial"/>
          <w:sz w:val="20"/>
          <w:szCs w:val="20"/>
        </w:rPr>
        <w:t>its</w:t>
      </w:r>
      <w:r w:rsidR="00C37145">
        <w:rPr>
          <w:rFonts w:ascii="Arial" w:hAnsi="Arial" w:cs="Arial"/>
          <w:sz w:val="20"/>
          <w:szCs w:val="20"/>
        </w:rPr>
        <w:t xml:space="preserve"> most recent </w:t>
      </w:r>
      <w:r w:rsidR="00F90A98">
        <w:rPr>
          <w:rFonts w:ascii="Arial" w:hAnsi="Arial" w:cs="Arial"/>
          <w:sz w:val="20"/>
          <w:szCs w:val="20"/>
        </w:rPr>
        <w:t>snapshot</w:t>
      </w:r>
      <w:r w:rsidR="00C37145">
        <w:rPr>
          <w:rFonts w:ascii="Arial" w:hAnsi="Arial" w:cs="Arial"/>
          <w:sz w:val="20"/>
          <w:szCs w:val="20"/>
        </w:rPr>
        <w:t xml:space="preserve"> report </w:t>
      </w:r>
      <w:r w:rsidR="008523E5">
        <w:rPr>
          <w:rFonts w:ascii="Arial" w:hAnsi="Arial" w:cs="Arial"/>
          <w:sz w:val="20"/>
          <w:szCs w:val="20"/>
        </w:rPr>
        <w:t xml:space="preserve">on LED </w:t>
      </w:r>
      <w:r w:rsidR="00B10C07">
        <w:rPr>
          <w:rFonts w:ascii="Arial" w:hAnsi="Arial" w:cs="Arial"/>
          <w:sz w:val="20"/>
          <w:szCs w:val="20"/>
        </w:rPr>
        <w:t>Troffers</w:t>
      </w:r>
      <w:r w:rsidR="00F90A98">
        <w:rPr>
          <w:rFonts w:ascii="Arial" w:hAnsi="Arial" w:cs="Arial"/>
          <w:sz w:val="20"/>
          <w:szCs w:val="20"/>
        </w:rPr>
        <w:t>:</w:t>
      </w:r>
    </w:p>
    <w:p w14:paraId="47A62EC7" w14:textId="2C8B4F1C" w:rsidR="00EA2E68" w:rsidRDefault="00F90A98" w:rsidP="00EA2E68">
      <w:pPr>
        <w:numPr>
          <w:ilvl w:val="0"/>
          <w:numId w:val="20"/>
        </w:numPr>
        <w:rPr>
          <w:rFonts w:ascii="Arial" w:hAnsi="Arial" w:cs="Arial"/>
          <w:sz w:val="20"/>
          <w:szCs w:val="20"/>
        </w:rPr>
      </w:pPr>
      <w:r w:rsidRPr="00EA2E68">
        <w:rPr>
          <w:rFonts w:ascii="Arial" w:hAnsi="Arial" w:cs="Arial"/>
          <w:sz w:val="20"/>
          <w:szCs w:val="20"/>
        </w:rPr>
        <w:t>About 10% of the listed</w:t>
      </w:r>
      <w:r w:rsidR="00EA2E68" w:rsidRPr="00EA2E68">
        <w:rPr>
          <w:rFonts w:ascii="Arial" w:hAnsi="Arial" w:cs="Arial"/>
          <w:sz w:val="20"/>
          <w:szCs w:val="20"/>
        </w:rPr>
        <w:t xml:space="preserve"> </w:t>
      </w:r>
      <w:r w:rsidRPr="00EA2E68">
        <w:rPr>
          <w:rFonts w:ascii="Arial" w:hAnsi="Arial" w:cs="Arial"/>
          <w:sz w:val="20"/>
          <w:szCs w:val="20"/>
        </w:rPr>
        <w:t>products had a luminous efficacy</w:t>
      </w:r>
      <w:r w:rsidR="00EA2E68">
        <w:rPr>
          <w:rFonts w:ascii="Arial" w:hAnsi="Arial" w:cs="Arial"/>
          <w:sz w:val="20"/>
          <w:szCs w:val="20"/>
        </w:rPr>
        <w:t xml:space="preserve"> greater than 125 lm/W, so DLC Premium</w:t>
      </w:r>
      <w:r w:rsidR="00055C05">
        <w:rPr>
          <w:rFonts w:ascii="Arial" w:hAnsi="Arial" w:cs="Arial"/>
          <w:sz w:val="20"/>
          <w:szCs w:val="20"/>
        </w:rPr>
        <w:t xml:space="preserve">-level </w:t>
      </w:r>
      <w:r w:rsidR="00EA2E68">
        <w:rPr>
          <w:rFonts w:ascii="Arial" w:hAnsi="Arial" w:cs="Arial"/>
          <w:sz w:val="20"/>
          <w:szCs w:val="20"/>
        </w:rPr>
        <w:t>products are less than a tenth of the market</w:t>
      </w:r>
      <w:r w:rsidR="002E4284">
        <w:rPr>
          <w:rFonts w:ascii="Arial" w:hAnsi="Arial" w:cs="Arial"/>
          <w:sz w:val="20"/>
          <w:szCs w:val="20"/>
        </w:rPr>
        <w:t xml:space="preserve"> by this dataset</w:t>
      </w:r>
      <w:proofErr w:type="gramStart"/>
      <w:r w:rsidR="002E4284">
        <w:rPr>
          <w:rFonts w:ascii="Arial" w:hAnsi="Arial" w:cs="Arial"/>
          <w:sz w:val="20"/>
          <w:szCs w:val="20"/>
        </w:rPr>
        <w:t>.</w:t>
      </w:r>
      <w:r w:rsidR="00EA2E68">
        <w:rPr>
          <w:rFonts w:ascii="Arial" w:hAnsi="Arial" w:cs="Arial"/>
          <w:sz w:val="20"/>
          <w:szCs w:val="20"/>
        </w:rPr>
        <w:t>.</w:t>
      </w:r>
      <w:proofErr w:type="gramEnd"/>
    </w:p>
    <w:p w14:paraId="4D5D5DA3" w14:textId="77777777" w:rsidR="00EA2E68" w:rsidRDefault="00EA2E68" w:rsidP="00EA2E68">
      <w:pPr>
        <w:numPr>
          <w:ilvl w:val="0"/>
          <w:numId w:val="20"/>
        </w:numPr>
        <w:rPr>
          <w:rFonts w:ascii="Arial" w:hAnsi="Arial" w:cs="Arial"/>
          <w:sz w:val="20"/>
          <w:szCs w:val="20"/>
        </w:rPr>
      </w:pPr>
      <w:r w:rsidRPr="00EA2E68">
        <w:rPr>
          <w:rFonts w:ascii="Arial" w:hAnsi="Arial" w:cs="Arial"/>
          <w:sz w:val="20"/>
          <w:szCs w:val="20"/>
        </w:rPr>
        <w:t>The output of some of the listed LED products exceeds what is typical of a fluorescent troffer, supporting the continuation of an upper lumen output limit for this office/classroom/retail typical measure.</w:t>
      </w:r>
    </w:p>
    <w:p w14:paraId="0E76E222" w14:textId="11ED45D3" w:rsidR="0014799F" w:rsidRDefault="00F07B0E" w:rsidP="00C1309F">
      <w:pPr>
        <w:pStyle w:val="Heading4"/>
        <w:rPr>
          <w:rFonts w:ascii="Arial" w:hAnsi="Arial" w:cs="Arial"/>
          <w:sz w:val="20"/>
          <w:szCs w:val="20"/>
        </w:rPr>
      </w:pPr>
      <w:bookmarkStart w:id="46" w:name="_Hlk533695948"/>
      <w:r>
        <w:t>1.5.3.</w:t>
      </w:r>
      <w:r w:rsidR="000573C8">
        <w:t>4</w:t>
      </w:r>
      <w:r>
        <w:t xml:space="preserve"> </w:t>
      </w:r>
      <w:proofErr w:type="spellStart"/>
      <w:r>
        <w:t>CALiPER</w:t>
      </w:r>
      <w:proofErr w:type="spellEnd"/>
      <w:r>
        <w:t xml:space="preserve"> Snapshot Report June 17, 2016:</w:t>
      </w:r>
      <w:r>
        <w:rPr>
          <w:rStyle w:val="EndnoteReference"/>
          <w:rFonts w:ascii="Arial" w:hAnsi="Arial" w:cs="Arial"/>
          <w:sz w:val="20"/>
          <w:szCs w:val="20"/>
        </w:rPr>
        <w:endnoteReference w:id="12"/>
      </w:r>
    </w:p>
    <w:p w14:paraId="01CDEA1A" w14:textId="77777777" w:rsidR="00F07B0E" w:rsidRPr="00C1309F" w:rsidRDefault="00F07B0E" w:rsidP="00C1309F">
      <w:pPr>
        <w:ind w:left="360"/>
        <w:rPr>
          <w:rFonts w:ascii="Arial" w:hAnsi="Arial" w:cs="Arial"/>
          <w:sz w:val="20"/>
          <w:szCs w:val="20"/>
        </w:rPr>
      </w:pPr>
      <w:r w:rsidRPr="00C1309F">
        <w:rPr>
          <w:rFonts w:ascii="Arial" w:hAnsi="Arial" w:cs="Arial"/>
          <w:sz w:val="20"/>
          <w:szCs w:val="20"/>
        </w:rPr>
        <w:t xml:space="preserve">A few of the conclusions that </w:t>
      </w:r>
      <w:proofErr w:type="spellStart"/>
      <w:r w:rsidRPr="00C1309F">
        <w:rPr>
          <w:rFonts w:ascii="Arial" w:hAnsi="Arial" w:cs="Arial"/>
          <w:sz w:val="20"/>
          <w:szCs w:val="20"/>
        </w:rPr>
        <w:t>CALiPER</w:t>
      </w:r>
      <w:proofErr w:type="spellEnd"/>
      <w:r w:rsidRPr="00C1309F">
        <w:rPr>
          <w:rFonts w:ascii="Arial" w:hAnsi="Arial" w:cs="Arial"/>
          <w:sz w:val="20"/>
          <w:szCs w:val="20"/>
        </w:rPr>
        <w:t xml:space="preserve"> reported in its most recent snapshot report </w:t>
      </w:r>
      <w:r>
        <w:rPr>
          <w:rFonts w:ascii="Arial" w:hAnsi="Arial" w:cs="Arial"/>
          <w:sz w:val="20"/>
          <w:szCs w:val="20"/>
        </w:rPr>
        <w:t>on TLEDs</w:t>
      </w:r>
      <w:r w:rsidRPr="00C1309F">
        <w:rPr>
          <w:rFonts w:ascii="Arial" w:hAnsi="Arial" w:cs="Arial"/>
          <w:sz w:val="20"/>
          <w:szCs w:val="20"/>
        </w:rPr>
        <w:t>:</w:t>
      </w:r>
    </w:p>
    <w:p w14:paraId="539AA051" w14:textId="230C04FA" w:rsidR="000D14B0" w:rsidRPr="000D14B0" w:rsidRDefault="00F07B0E" w:rsidP="000D14B0">
      <w:pPr>
        <w:pStyle w:val="ListParagraph"/>
        <w:numPr>
          <w:ilvl w:val="0"/>
          <w:numId w:val="32"/>
        </w:numPr>
        <w:spacing w:after="120" w:line="264" w:lineRule="auto"/>
        <w:rPr>
          <w:rFonts w:ascii="Arial" w:hAnsi="Arial" w:cs="Arial"/>
          <w:sz w:val="20"/>
          <w:szCs w:val="20"/>
        </w:rPr>
      </w:pPr>
      <w:r>
        <w:rPr>
          <w:rFonts w:ascii="Arial" w:hAnsi="Arial" w:cs="Arial"/>
          <w:sz w:val="20"/>
          <w:szCs w:val="20"/>
        </w:rPr>
        <w:t>O</w:t>
      </w:r>
      <w:r w:rsidR="000D14B0" w:rsidRPr="000D14B0">
        <w:rPr>
          <w:rFonts w:ascii="Arial" w:hAnsi="Arial" w:cs="Arial"/>
          <w:sz w:val="20"/>
          <w:szCs w:val="20"/>
        </w:rPr>
        <w:t xml:space="preserve">ver 90% of the currently listed TLEDs exceed 100 </w:t>
      </w:r>
      <w:r w:rsidR="0038634E">
        <w:rPr>
          <w:rFonts w:ascii="Arial" w:hAnsi="Arial" w:cs="Arial"/>
          <w:sz w:val="20"/>
          <w:szCs w:val="20"/>
        </w:rPr>
        <w:t>LP</w:t>
      </w:r>
      <w:r w:rsidR="000D14B0" w:rsidRPr="000D14B0">
        <w:rPr>
          <w:rFonts w:ascii="Arial" w:hAnsi="Arial" w:cs="Arial"/>
          <w:sz w:val="20"/>
          <w:szCs w:val="20"/>
        </w:rPr>
        <w:t xml:space="preserve">W, which is roughly the efficacy of a bare linear fluorescent </w:t>
      </w:r>
      <w:proofErr w:type="gramStart"/>
      <w:r w:rsidR="000D14B0" w:rsidRPr="000D14B0">
        <w:rPr>
          <w:rFonts w:ascii="Arial" w:hAnsi="Arial" w:cs="Arial"/>
          <w:sz w:val="20"/>
          <w:szCs w:val="20"/>
        </w:rPr>
        <w:t>lamp,</w:t>
      </w:r>
      <w:proofErr w:type="gramEnd"/>
      <w:r w:rsidR="000D14B0" w:rsidRPr="000D14B0">
        <w:rPr>
          <w:rFonts w:ascii="Arial" w:hAnsi="Arial" w:cs="Arial"/>
          <w:sz w:val="20"/>
          <w:szCs w:val="20"/>
        </w:rPr>
        <w:t xml:space="preserve"> and near to the qualification threshold for the </w:t>
      </w:r>
      <w:proofErr w:type="spellStart"/>
      <w:r w:rsidR="000D14B0" w:rsidRPr="000D14B0">
        <w:rPr>
          <w:rFonts w:ascii="Arial" w:hAnsi="Arial" w:cs="Arial"/>
          <w:sz w:val="20"/>
          <w:szCs w:val="20"/>
        </w:rPr>
        <w:t>DesignLights</w:t>
      </w:r>
      <w:proofErr w:type="spellEnd"/>
      <w:r w:rsidR="000D14B0" w:rsidRPr="000D14B0">
        <w:rPr>
          <w:rFonts w:ascii="Arial" w:hAnsi="Arial" w:cs="Arial"/>
          <w:sz w:val="20"/>
          <w:szCs w:val="20"/>
        </w:rPr>
        <w:t xml:space="preserve"> Consortium™ Products List of 110 </w:t>
      </w:r>
      <w:r w:rsidR="0038634E">
        <w:rPr>
          <w:rFonts w:ascii="Arial" w:hAnsi="Arial" w:cs="Arial"/>
          <w:sz w:val="20"/>
          <w:szCs w:val="20"/>
        </w:rPr>
        <w:t>LP</w:t>
      </w:r>
      <w:r w:rsidR="000D14B0" w:rsidRPr="000D14B0">
        <w:rPr>
          <w:rFonts w:ascii="Arial" w:hAnsi="Arial" w:cs="Arial"/>
          <w:sz w:val="20"/>
          <w:szCs w:val="20"/>
        </w:rPr>
        <w:t xml:space="preserve">W.  In the broad </w:t>
      </w:r>
      <w:proofErr w:type="spellStart"/>
      <w:r w:rsidR="000D14B0" w:rsidRPr="000D14B0">
        <w:rPr>
          <w:rFonts w:ascii="Arial" w:hAnsi="Arial" w:cs="Arial"/>
          <w:sz w:val="20"/>
          <w:szCs w:val="20"/>
        </w:rPr>
        <w:t>LightingFacts</w:t>
      </w:r>
      <w:proofErr w:type="spellEnd"/>
      <w:r w:rsidR="000D14B0" w:rsidRPr="000D14B0">
        <w:rPr>
          <w:rFonts w:ascii="Arial" w:hAnsi="Arial" w:cs="Arial"/>
          <w:sz w:val="20"/>
          <w:szCs w:val="20"/>
        </w:rPr>
        <w:t xml:space="preserve"> database, both LED troffer retrofit kits and LED troffer luminaires tend to have lower efficacies compared to bare TLEDs, but when luminaire efficiency is considered, the retrofit kits and troffers are comparable to the high end of TLED efficacy.</w:t>
      </w:r>
    </w:p>
    <w:p w14:paraId="6E051818" w14:textId="77777777" w:rsidR="000D14B0" w:rsidRPr="000D14B0" w:rsidRDefault="000D14B0" w:rsidP="000D14B0">
      <w:pPr>
        <w:pStyle w:val="ListParagraph"/>
        <w:numPr>
          <w:ilvl w:val="0"/>
          <w:numId w:val="32"/>
        </w:numPr>
        <w:spacing w:after="120" w:line="264" w:lineRule="auto"/>
        <w:rPr>
          <w:rFonts w:ascii="Arial" w:hAnsi="Arial" w:cs="Arial"/>
          <w:sz w:val="20"/>
          <w:szCs w:val="20"/>
        </w:rPr>
      </w:pPr>
      <w:r w:rsidRPr="000D14B0">
        <w:rPr>
          <w:rFonts w:ascii="Arial" w:hAnsi="Arial" w:cs="Arial"/>
          <w:sz w:val="20"/>
          <w:szCs w:val="20"/>
        </w:rPr>
        <w:t>When evaluating TLEDs, it’s important to consider their efficacy when installed in a luminaire. As the number of lamps increases, the luminaire efficiency is slightly reduced.  In order to appropriately compare the efficacy of TLEDs to that of other LED luminaires, this workpaper uses a</w:t>
      </w:r>
      <w:r w:rsidR="00F07B0E">
        <w:rPr>
          <w:rFonts w:ascii="Arial" w:hAnsi="Arial" w:cs="Arial"/>
          <w:sz w:val="20"/>
          <w:szCs w:val="20"/>
        </w:rPr>
        <w:t xml:space="preserve"> fixture efficiency</w:t>
      </w:r>
      <w:r w:rsidRPr="000D14B0">
        <w:rPr>
          <w:rFonts w:ascii="Arial" w:hAnsi="Arial" w:cs="Arial"/>
          <w:sz w:val="20"/>
          <w:szCs w:val="20"/>
        </w:rPr>
        <w:t xml:space="preserve"> multiplier of 0.8 to represent the luminous efficiency of the luminaire, per t</w:t>
      </w:r>
      <w:r w:rsidR="00F07B0E">
        <w:rPr>
          <w:rFonts w:ascii="Arial" w:hAnsi="Arial" w:cs="Arial"/>
          <w:sz w:val="20"/>
          <w:szCs w:val="20"/>
        </w:rPr>
        <w:t xml:space="preserve">his </w:t>
      </w:r>
      <w:proofErr w:type="spellStart"/>
      <w:r w:rsidR="00F07B0E">
        <w:rPr>
          <w:rFonts w:ascii="Arial" w:hAnsi="Arial" w:cs="Arial"/>
          <w:sz w:val="20"/>
          <w:szCs w:val="20"/>
        </w:rPr>
        <w:t>CALiPER</w:t>
      </w:r>
      <w:proofErr w:type="spellEnd"/>
      <w:r w:rsidR="00F07B0E">
        <w:rPr>
          <w:rFonts w:ascii="Arial" w:hAnsi="Arial" w:cs="Arial"/>
          <w:sz w:val="20"/>
          <w:szCs w:val="20"/>
        </w:rPr>
        <w:t xml:space="preserve"> report from the DOE.</w:t>
      </w:r>
    </w:p>
    <w:p w14:paraId="4648A814" w14:textId="098F3333" w:rsidR="000C474E" w:rsidRDefault="000C474E" w:rsidP="00C1309F">
      <w:pPr>
        <w:spacing w:line="264" w:lineRule="auto"/>
        <w:rPr>
          <w:rFonts w:ascii="Arial" w:hAnsi="Arial" w:cs="Arial"/>
          <w:sz w:val="20"/>
        </w:rPr>
      </w:pPr>
      <w:r w:rsidRPr="00313394">
        <w:rPr>
          <w:rFonts w:ascii="Arial" w:hAnsi="Arial" w:cs="Arial"/>
          <w:sz w:val="20"/>
          <w:szCs w:val="20"/>
        </w:rPr>
        <w:t xml:space="preserve">Based on the recent data collected in February 2019, the 25th percentile of the TLED efficacy is </w:t>
      </w:r>
      <w:r>
        <w:rPr>
          <w:rFonts w:ascii="Arial" w:hAnsi="Arial" w:cs="Arial"/>
          <w:sz w:val="20"/>
          <w:szCs w:val="20"/>
        </w:rPr>
        <w:t xml:space="preserve">determined to be </w:t>
      </w:r>
      <w:r w:rsidRPr="00313394">
        <w:rPr>
          <w:rFonts w:ascii="Arial" w:hAnsi="Arial" w:cs="Arial"/>
          <w:sz w:val="20"/>
          <w:szCs w:val="20"/>
        </w:rPr>
        <w:t xml:space="preserve">111 </w:t>
      </w:r>
      <w:r w:rsidR="0038634E">
        <w:rPr>
          <w:rFonts w:ascii="Arial" w:hAnsi="Arial" w:cs="Arial"/>
          <w:sz w:val="20"/>
          <w:szCs w:val="20"/>
        </w:rPr>
        <w:t>LP</w:t>
      </w:r>
      <w:r w:rsidRPr="00313394">
        <w:rPr>
          <w:rFonts w:ascii="Arial" w:hAnsi="Arial" w:cs="Arial"/>
          <w:sz w:val="20"/>
          <w:szCs w:val="20"/>
        </w:rPr>
        <w:t xml:space="preserve">W and </w:t>
      </w:r>
      <w:r>
        <w:rPr>
          <w:rFonts w:ascii="Arial" w:hAnsi="Arial" w:cs="Arial"/>
          <w:sz w:val="20"/>
          <w:szCs w:val="20"/>
        </w:rPr>
        <w:t xml:space="preserve">is </w:t>
      </w:r>
      <w:r w:rsidRPr="00313394">
        <w:rPr>
          <w:rFonts w:ascii="Arial" w:hAnsi="Arial" w:cs="Arial"/>
          <w:sz w:val="20"/>
          <w:szCs w:val="20"/>
        </w:rPr>
        <w:t>adopted for this workpaper revision.</w:t>
      </w:r>
      <w:r>
        <w:rPr>
          <w:rFonts w:ascii="Arial" w:hAnsi="Arial" w:cs="Arial"/>
          <w:sz w:val="20"/>
          <w:szCs w:val="20"/>
        </w:rPr>
        <w:t xml:space="preserve"> See attached file </w:t>
      </w:r>
      <w:r>
        <w:rPr>
          <w:rFonts w:ascii="Arial" w:hAnsi="Arial" w:cs="Arial"/>
          <w:sz w:val="20"/>
        </w:rPr>
        <w:t>“</w:t>
      </w:r>
      <w:r w:rsidRPr="00DA6E11">
        <w:rPr>
          <w:rFonts w:ascii="Arial" w:hAnsi="Arial" w:cs="Arial"/>
          <w:sz w:val="20"/>
        </w:rPr>
        <w:t>Copy of TLED Cost Data_FEB2019</w:t>
      </w:r>
      <w:r>
        <w:rPr>
          <w:rFonts w:ascii="Arial" w:hAnsi="Arial" w:cs="Arial"/>
          <w:sz w:val="20"/>
        </w:rPr>
        <w:t>.xlsx” for the collected data and the calculation of the TLED efficacy.</w:t>
      </w:r>
    </w:p>
    <w:p w14:paraId="250F4C5F" w14:textId="68374517" w:rsidR="000D14B0" w:rsidRPr="00C1309F" w:rsidRDefault="000D14B0" w:rsidP="000C474E">
      <w:pPr>
        <w:spacing w:before="60" w:line="264" w:lineRule="auto"/>
        <w:rPr>
          <w:rFonts w:ascii="Arial" w:hAnsi="Arial" w:cs="Arial"/>
          <w:sz w:val="20"/>
          <w:szCs w:val="20"/>
        </w:rPr>
      </w:pPr>
      <w:r w:rsidRPr="00C1309F">
        <w:rPr>
          <w:rFonts w:ascii="Arial" w:hAnsi="Arial" w:cs="Arial"/>
          <w:sz w:val="20"/>
          <w:szCs w:val="20"/>
        </w:rPr>
        <w:t>In addition, many TLEDs operate with existing fluorescent ballast</w:t>
      </w:r>
      <w:r w:rsidR="000C474E">
        <w:rPr>
          <w:rFonts w:ascii="Arial" w:hAnsi="Arial" w:cs="Arial"/>
          <w:sz w:val="20"/>
          <w:szCs w:val="20"/>
        </w:rPr>
        <w:t>s</w:t>
      </w:r>
      <w:r w:rsidRPr="00C1309F">
        <w:rPr>
          <w:rFonts w:ascii="Arial" w:hAnsi="Arial" w:cs="Arial"/>
          <w:sz w:val="20"/>
          <w:szCs w:val="20"/>
        </w:rPr>
        <w:t xml:space="preserve">, which </w:t>
      </w:r>
      <w:proofErr w:type="gramStart"/>
      <w:r w:rsidRPr="00C1309F">
        <w:rPr>
          <w:rFonts w:ascii="Arial" w:hAnsi="Arial" w:cs="Arial"/>
          <w:sz w:val="20"/>
          <w:szCs w:val="20"/>
        </w:rPr>
        <w:t>increases</w:t>
      </w:r>
      <w:proofErr w:type="gramEnd"/>
      <w:r w:rsidRPr="00C1309F">
        <w:rPr>
          <w:rFonts w:ascii="Arial" w:hAnsi="Arial" w:cs="Arial"/>
          <w:sz w:val="20"/>
          <w:szCs w:val="20"/>
        </w:rPr>
        <w:t xml:space="preserve"> wattage. </w:t>
      </w:r>
      <w:proofErr w:type="spellStart"/>
      <w:r w:rsidR="00D30318">
        <w:rPr>
          <w:rFonts w:ascii="Arial" w:hAnsi="Arial" w:cs="Arial"/>
          <w:sz w:val="20"/>
          <w:szCs w:val="20"/>
        </w:rPr>
        <w:t>CALiPER</w:t>
      </w:r>
      <w:proofErr w:type="spellEnd"/>
      <w:r w:rsidR="00D30318">
        <w:rPr>
          <w:rFonts w:ascii="Arial" w:hAnsi="Arial" w:cs="Arial"/>
          <w:sz w:val="20"/>
          <w:szCs w:val="20"/>
        </w:rPr>
        <w:t xml:space="preserve"> does not address the percentage of TLEDs operating with </w:t>
      </w:r>
      <w:proofErr w:type="gramStart"/>
      <w:r w:rsidR="00D30318">
        <w:rPr>
          <w:rFonts w:ascii="Arial" w:hAnsi="Arial" w:cs="Arial"/>
          <w:sz w:val="20"/>
          <w:szCs w:val="20"/>
        </w:rPr>
        <w:t>a fluorescent</w:t>
      </w:r>
      <w:proofErr w:type="gramEnd"/>
      <w:r w:rsidR="00D30318">
        <w:rPr>
          <w:rFonts w:ascii="Arial" w:hAnsi="Arial" w:cs="Arial"/>
          <w:sz w:val="20"/>
          <w:szCs w:val="20"/>
        </w:rPr>
        <w:t xml:space="preserve"> ballast. </w:t>
      </w:r>
      <w:r w:rsidRPr="00C1309F">
        <w:rPr>
          <w:rFonts w:ascii="Arial" w:hAnsi="Arial" w:cs="Arial"/>
          <w:sz w:val="20"/>
          <w:szCs w:val="20"/>
        </w:rPr>
        <w:t xml:space="preserve">Anecdotal market evidence suggests the plug-and-play, Type A, approach to TLEDs is the most popular, with no electrician requirement to plug in new lamps; this is also the most inefficient strategy because it leaves the fluorescent ballast powered. Without a thorough study available on TLED trends, the work paper assumes a conservative 40.4% of TLEDs operate with fluorescent ballasts, based on the percentage of the DLC QPL listed TLEDs that are Type A. Fluorescent ballasts are assumed to consume 10% of system power, based </w:t>
      </w:r>
      <w:r w:rsidRPr="00C1309F">
        <w:rPr>
          <w:rFonts w:ascii="Arial" w:hAnsi="Arial" w:cs="Arial"/>
          <w:sz w:val="20"/>
          <w:szCs w:val="20"/>
        </w:rPr>
        <w:lastRenderedPageBreak/>
        <w:t>on federal fluorescent ballast luminous efficiency standards</w:t>
      </w:r>
      <w:r w:rsidR="00D30318">
        <w:rPr>
          <w:rFonts w:ascii="Arial" w:hAnsi="Arial" w:cs="Arial"/>
          <w:sz w:val="20"/>
          <w:szCs w:val="20"/>
        </w:rPr>
        <w:t xml:space="preserve"> cited above in section 1.5.2</w:t>
      </w:r>
      <w:r w:rsidRPr="00C1309F">
        <w:rPr>
          <w:rFonts w:ascii="Arial" w:hAnsi="Arial" w:cs="Arial"/>
          <w:sz w:val="20"/>
          <w:szCs w:val="20"/>
        </w:rPr>
        <w:t xml:space="preserve">. 59.6% of TLEDs are assumed to have no ballast losses. Incorporating ballast </w:t>
      </w:r>
      <w:r w:rsidR="0058068B">
        <w:rPr>
          <w:rFonts w:ascii="Arial" w:hAnsi="Arial" w:cs="Arial"/>
          <w:sz w:val="20"/>
          <w:szCs w:val="20"/>
        </w:rPr>
        <w:t>efficiency</w:t>
      </w:r>
      <w:r w:rsidRPr="00C1309F">
        <w:rPr>
          <w:rFonts w:ascii="Arial" w:hAnsi="Arial" w:cs="Arial"/>
          <w:sz w:val="20"/>
          <w:szCs w:val="20"/>
        </w:rPr>
        <w:t xml:space="preserve"> and fixture losses yields </w:t>
      </w:r>
      <w:r w:rsidR="0038634E">
        <w:rPr>
          <w:rFonts w:ascii="Arial" w:hAnsi="Arial" w:cs="Arial"/>
          <w:sz w:val="20"/>
          <w:szCs w:val="20"/>
        </w:rPr>
        <w:t>an efficacy of 85.2 LPW</w:t>
      </w:r>
      <w:r w:rsidR="00363933">
        <w:rPr>
          <w:rFonts w:ascii="Arial" w:hAnsi="Arial" w:cs="Arial"/>
          <w:sz w:val="20"/>
          <w:szCs w:val="20"/>
        </w:rPr>
        <w:t xml:space="preserve"> for TLEDs in fixtures (see attached file “</w:t>
      </w:r>
      <w:r w:rsidR="00363933" w:rsidRPr="00363933">
        <w:rPr>
          <w:rFonts w:ascii="Arial" w:hAnsi="Arial" w:cs="Arial"/>
          <w:sz w:val="20"/>
          <w:szCs w:val="20"/>
        </w:rPr>
        <w:t xml:space="preserve">PGECOLTG179 R6 Ambient </w:t>
      </w:r>
      <w:proofErr w:type="spellStart"/>
      <w:r w:rsidR="00363933" w:rsidRPr="00363933">
        <w:rPr>
          <w:rFonts w:ascii="Arial" w:hAnsi="Arial" w:cs="Arial"/>
          <w:sz w:val="20"/>
          <w:szCs w:val="20"/>
        </w:rPr>
        <w:t>Ltg</w:t>
      </w:r>
      <w:proofErr w:type="spellEnd"/>
      <w:r w:rsidR="00363933" w:rsidRPr="00363933">
        <w:rPr>
          <w:rFonts w:ascii="Arial" w:hAnsi="Arial" w:cs="Arial"/>
          <w:sz w:val="20"/>
          <w:szCs w:val="20"/>
        </w:rPr>
        <w:t xml:space="preserve"> Calc_Mar2019</w:t>
      </w:r>
      <w:r w:rsidR="00363933">
        <w:rPr>
          <w:rFonts w:ascii="Arial" w:hAnsi="Arial" w:cs="Arial"/>
          <w:sz w:val="20"/>
          <w:szCs w:val="20"/>
        </w:rPr>
        <w:t>.xlsx”, tab “TLED info” for details of the calculations).</w:t>
      </w:r>
    </w:p>
    <w:bookmarkEnd w:id="46"/>
    <w:p w14:paraId="112F0D3B" w14:textId="77777777" w:rsidR="00814CC1" w:rsidRDefault="00814CC1" w:rsidP="00A35CF8">
      <w:pPr>
        <w:rPr>
          <w:rFonts w:ascii="Arial" w:hAnsi="Arial" w:cs="Arial"/>
          <w:sz w:val="20"/>
          <w:szCs w:val="20"/>
        </w:rPr>
      </w:pPr>
    </w:p>
    <w:p w14:paraId="1125FA71" w14:textId="6C024DDE" w:rsidR="00D30318" w:rsidRPr="00597C03" w:rsidRDefault="00D30318" w:rsidP="00D30318">
      <w:pPr>
        <w:pStyle w:val="Heading4"/>
        <w:spacing w:before="0"/>
      </w:pPr>
      <w:r>
        <w:t>1.5.3.</w:t>
      </w:r>
      <w:r w:rsidR="000573C8">
        <w:t>5</w:t>
      </w:r>
      <w:r>
        <w:t xml:space="preserve"> Previous </w:t>
      </w:r>
      <w:proofErr w:type="spellStart"/>
      <w:r>
        <w:t>CALiPER</w:t>
      </w:r>
      <w:proofErr w:type="spellEnd"/>
      <w:r>
        <w:t xml:space="preserve"> studies:</w:t>
      </w:r>
    </w:p>
    <w:p w14:paraId="79056949" w14:textId="77777777" w:rsidR="002E4284" w:rsidRDefault="002E4284" w:rsidP="00A35CF8">
      <w:pPr>
        <w:rPr>
          <w:rFonts w:ascii="Arial" w:hAnsi="Arial" w:cs="Arial"/>
          <w:sz w:val="20"/>
          <w:szCs w:val="20"/>
        </w:rPr>
      </w:pPr>
      <w:r>
        <w:rPr>
          <w:rFonts w:ascii="Arial" w:hAnsi="Arial" w:cs="Arial"/>
          <w:sz w:val="20"/>
          <w:szCs w:val="20"/>
        </w:rPr>
        <w:t>Previous</w:t>
      </w:r>
      <w:r w:rsidRPr="002574CF">
        <w:rPr>
          <w:rFonts w:ascii="Arial" w:hAnsi="Arial" w:cs="Arial"/>
          <w:sz w:val="20"/>
          <w:szCs w:val="20"/>
        </w:rPr>
        <w:t xml:space="preserve"> DOE Solid-State Lighting </w:t>
      </w:r>
      <w:proofErr w:type="spellStart"/>
      <w:r w:rsidRPr="002574CF">
        <w:rPr>
          <w:rFonts w:ascii="Arial" w:hAnsi="Arial" w:cs="Arial"/>
          <w:sz w:val="20"/>
          <w:szCs w:val="20"/>
        </w:rPr>
        <w:t>CALiPER</w:t>
      </w:r>
      <w:proofErr w:type="spellEnd"/>
      <w:r w:rsidRPr="002574CF">
        <w:rPr>
          <w:rFonts w:ascii="Arial" w:hAnsi="Arial" w:cs="Arial"/>
          <w:sz w:val="20"/>
          <w:szCs w:val="20"/>
        </w:rPr>
        <w:t xml:space="preserve"> </w:t>
      </w:r>
      <w:r>
        <w:rPr>
          <w:rFonts w:ascii="Arial" w:hAnsi="Arial" w:cs="Arial"/>
          <w:sz w:val="20"/>
          <w:szCs w:val="20"/>
        </w:rPr>
        <w:t xml:space="preserve">Reports have examined 12 LED panel fixtures combined in application summary reports 1, 5, 7, 9 and 13, but none of these tests are dated more recently than September of 2011, making them of limited relevance for a workpaper in 2018 given LED improvements. Given their age, earlier </w:t>
      </w:r>
      <w:proofErr w:type="spellStart"/>
      <w:r>
        <w:rPr>
          <w:rFonts w:ascii="Arial" w:hAnsi="Arial" w:cs="Arial"/>
          <w:sz w:val="20"/>
          <w:szCs w:val="20"/>
        </w:rPr>
        <w:t>CALiPER</w:t>
      </w:r>
      <w:proofErr w:type="spellEnd"/>
      <w:r>
        <w:rPr>
          <w:rFonts w:ascii="Arial" w:hAnsi="Arial" w:cs="Arial"/>
          <w:sz w:val="20"/>
          <w:szCs w:val="20"/>
        </w:rPr>
        <w:t xml:space="preserve"> reports were not used for determining </w:t>
      </w:r>
      <w:r w:rsidR="00D30318">
        <w:rPr>
          <w:rFonts w:ascii="Arial" w:hAnsi="Arial" w:cs="Arial"/>
          <w:sz w:val="20"/>
          <w:szCs w:val="20"/>
        </w:rPr>
        <w:t>market share, performance, or savings</w:t>
      </w:r>
      <w:r>
        <w:rPr>
          <w:rFonts w:ascii="Arial" w:hAnsi="Arial" w:cs="Arial"/>
          <w:sz w:val="20"/>
          <w:szCs w:val="20"/>
        </w:rPr>
        <w:t xml:space="preserve">.  </w:t>
      </w:r>
    </w:p>
    <w:p w14:paraId="5FA5041D" w14:textId="77777777" w:rsidR="002E4284" w:rsidRDefault="002E4284" w:rsidP="00A35CF8">
      <w:pPr>
        <w:rPr>
          <w:rFonts w:ascii="Arial" w:hAnsi="Arial" w:cs="Arial"/>
          <w:sz w:val="20"/>
          <w:szCs w:val="20"/>
        </w:rPr>
      </w:pPr>
    </w:p>
    <w:p w14:paraId="44278096" w14:textId="09458796" w:rsidR="00DD7BB6" w:rsidRDefault="00DD7BB6" w:rsidP="009B723C">
      <w:pPr>
        <w:pStyle w:val="Heading4"/>
        <w:spacing w:before="0"/>
        <w:rPr>
          <w:highlight w:val="yellow"/>
        </w:rPr>
      </w:pPr>
      <w:bookmarkStart w:id="47" w:name="_Ref533354573"/>
      <w:r>
        <w:t>1.5.3.</w:t>
      </w:r>
      <w:r w:rsidR="00973F7C">
        <w:t xml:space="preserve">6 </w:t>
      </w:r>
      <w:r w:rsidRPr="00BF592C">
        <w:t>LED Non-Residential Lighting Market Characterization, Navigant – In Progress</w:t>
      </w:r>
      <w:bookmarkEnd w:id="47"/>
    </w:p>
    <w:p w14:paraId="3A7CCC17" w14:textId="3F8A44AF" w:rsidR="00DD7BB6" w:rsidRPr="000D1C38" w:rsidRDefault="00DD7BB6" w:rsidP="00DD7BB6">
      <w:pPr>
        <w:rPr>
          <w:rFonts w:ascii="Arial" w:hAnsi="Arial"/>
          <w:sz w:val="20"/>
        </w:rPr>
      </w:pPr>
      <w:r w:rsidRPr="00680BA9">
        <w:rPr>
          <w:rFonts w:ascii="Arial" w:hAnsi="Arial"/>
          <w:sz w:val="20"/>
        </w:rPr>
        <w:t>This Statewide Non-Residential LED Market C</w:t>
      </w:r>
      <w:r w:rsidRPr="000D1C38">
        <w:rPr>
          <w:rFonts w:ascii="Arial" w:hAnsi="Arial"/>
          <w:sz w:val="20"/>
        </w:rPr>
        <w:t xml:space="preserve">haracterization Study being conducted by Navigant Consulting, </w:t>
      </w:r>
      <w:proofErr w:type="spellStart"/>
      <w:r w:rsidRPr="000D1C38">
        <w:rPr>
          <w:rFonts w:ascii="Arial" w:hAnsi="Arial"/>
          <w:sz w:val="20"/>
        </w:rPr>
        <w:t>Inc</w:t>
      </w:r>
      <w:proofErr w:type="spellEnd"/>
      <w:r w:rsidRPr="000D1C38">
        <w:rPr>
          <w:rFonts w:ascii="Arial" w:hAnsi="Arial"/>
          <w:sz w:val="20"/>
        </w:rPr>
        <w:t xml:space="preserve"> </w:t>
      </w:r>
      <w:r>
        <w:rPr>
          <w:rFonts w:ascii="Arial" w:hAnsi="Arial"/>
          <w:sz w:val="20"/>
        </w:rPr>
        <w:t>was initially scoped</w:t>
      </w:r>
      <w:r w:rsidRPr="000D1C38">
        <w:rPr>
          <w:rFonts w:ascii="Arial" w:hAnsi="Arial"/>
          <w:sz w:val="20"/>
        </w:rPr>
        <w:t xml:space="preserve"> in response to a June 26, 2015 </w:t>
      </w:r>
      <w:r w:rsidRPr="0064565E">
        <w:rPr>
          <w:rFonts w:ascii="Arial" w:hAnsi="Arial"/>
          <w:sz w:val="20"/>
        </w:rPr>
        <w:t xml:space="preserve">workpaper disposition for </w:t>
      </w:r>
      <w:r w:rsidR="009A3CDF">
        <w:rPr>
          <w:rFonts w:ascii="Arial" w:hAnsi="Arial"/>
          <w:sz w:val="20"/>
        </w:rPr>
        <w:t>an earlier revision of this workpaper</w:t>
      </w:r>
      <w:r w:rsidRPr="000D1C38">
        <w:rPr>
          <w:rFonts w:ascii="Arial" w:hAnsi="Arial"/>
          <w:sz w:val="20"/>
        </w:rPr>
        <w:t>, seeking additional clarification on qualifying LED technologies for the IOUs. Its expected completion date is Q</w:t>
      </w:r>
      <w:r w:rsidR="00C90CA6">
        <w:rPr>
          <w:rFonts w:ascii="Arial" w:hAnsi="Arial"/>
          <w:sz w:val="20"/>
        </w:rPr>
        <w:t>1</w:t>
      </w:r>
      <w:r w:rsidRPr="000D1C38">
        <w:rPr>
          <w:rFonts w:ascii="Arial" w:hAnsi="Arial"/>
          <w:sz w:val="20"/>
        </w:rPr>
        <w:t xml:space="preserve"> 201</w:t>
      </w:r>
      <w:r w:rsidR="00C90CA6">
        <w:rPr>
          <w:rFonts w:ascii="Arial" w:hAnsi="Arial"/>
          <w:sz w:val="20"/>
        </w:rPr>
        <w:t>9</w:t>
      </w:r>
      <w:r w:rsidRPr="000D1C38">
        <w:rPr>
          <w:rFonts w:ascii="Arial" w:hAnsi="Arial"/>
          <w:sz w:val="20"/>
        </w:rPr>
        <w:t>. Commission Staff think it is unclear that the DLC QPL meets the requirements of incentivizing the top half of quality products in the non-residential lighting market. In that disposition, Commission Staff wrote the following:</w:t>
      </w:r>
    </w:p>
    <w:p w14:paraId="60AE60C6" w14:textId="77777777" w:rsidR="00DD7BB6" w:rsidRPr="00680BA9" w:rsidRDefault="00DD7BB6" w:rsidP="00DD7BB6">
      <w:pPr>
        <w:rPr>
          <w:rFonts w:ascii="Arial" w:hAnsi="Arial" w:cs="Arial"/>
          <w:sz w:val="20"/>
          <w:szCs w:val="20"/>
        </w:rPr>
      </w:pPr>
    </w:p>
    <w:p w14:paraId="1CC384A4" w14:textId="77777777" w:rsidR="00DD7BB6" w:rsidRPr="00BF592C" w:rsidRDefault="00DD7BB6" w:rsidP="00DD7BB6">
      <w:pPr>
        <w:ind w:left="990" w:right="1170"/>
        <w:jc w:val="both"/>
        <w:rPr>
          <w:rFonts w:ascii="Arial" w:hAnsi="Arial" w:cs="Arial"/>
          <w:highlight w:val="yellow"/>
        </w:rPr>
      </w:pPr>
      <w:r w:rsidRPr="00BF592C">
        <w:rPr>
          <w:rFonts w:ascii="Arial" w:hAnsi="Arial" w:cs="Arial"/>
          <w:i/>
          <w:sz w:val="20"/>
        </w:rPr>
        <w:t>“However, the products covered by this work paper are not covered by the CEC standard and therefore must still be “products that are in the top half of quality on the market.” As added guidance along with the more general guidance provided by the Commission in the text of the Decision (at 79) that “Our goal, as in D.12-05-015, is to avoid offering incentives for lighting products that do not meet consumer expectations and result in a poor lighting experience, discouraging customers from investing in energy efficient lighting in the future.” It is unclear that the DLC listed products meet this requirement. The work paper shall be revised to include the process utilized by the PAs that will ensure that products offered meet the direction from D.12-11-015.”</w:t>
      </w:r>
    </w:p>
    <w:p w14:paraId="13C452F6" w14:textId="77777777" w:rsidR="00DD7BB6" w:rsidRPr="00BF592C" w:rsidRDefault="00DD7BB6" w:rsidP="00DD7BB6">
      <w:pPr>
        <w:rPr>
          <w:rFonts w:ascii="Arial" w:hAnsi="Arial" w:cs="Arial"/>
          <w:sz w:val="20"/>
        </w:rPr>
      </w:pPr>
    </w:p>
    <w:p w14:paraId="6DAF5080" w14:textId="3679B548" w:rsidR="00DD7BB6" w:rsidRDefault="00DD7BB6" w:rsidP="00DD7BB6">
      <w:pPr>
        <w:rPr>
          <w:rFonts w:ascii="Arial" w:hAnsi="Arial" w:cs="Arial"/>
          <w:sz w:val="20"/>
        </w:rPr>
      </w:pPr>
      <w:r w:rsidRPr="00BF592C">
        <w:rPr>
          <w:rFonts w:ascii="Arial" w:hAnsi="Arial" w:cs="Arial"/>
          <w:sz w:val="20"/>
        </w:rPr>
        <w:t>This market share study</w:t>
      </w:r>
      <w:r>
        <w:rPr>
          <w:rFonts w:ascii="Arial" w:hAnsi="Arial" w:cs="Arial"/>
          <w:sz w:val="20"/>
        </w:rPr>
        <w:t xml:space="preserve"> is</w:t>
      </w:r>
      <w:r w:rsidRPr="00BF592C">
        <w:rPr>
          <w:rFonts w:ascii="Arial" w:hAnsi="Arial" w:cs="Arial"/>
          <w:sz w:val="20"/>
        </w:rPr>
        <w:t xml:space="preserve"> an effort to determine the size of the non-residential LED market and the relative market share of products on the DLC QPL. The </w:t>
      </w:r>
      <w:r>
        <w:rPr>
          <w:rFonts w:ascii="Arial" w:hAnsi="Arial" w:cs="Arial"/>
          <w:sz w:val="20"/>
        </w:rPr>
        <w:t>study is</w:t>
      </w:r>
      <w:r w:rsidRPr="00BF592C">
        <w:rPr>
          <w:rFonts w:ascii="Arial" w:hAnsi="Arial" w:cs="Arial"/>
          <w:sz w:val="20"/>
        </w:rPr>
        <w:t xml:space="preserve"> a</w:t>
      </w:r>
      <w:r>
        <w:rPr>
          <w:rFonts w:ascii="Arial" w:hAnsi="Arial" w:cs="Arial"/>
          <w:sz w:val="20"/>
        </w:rPr>
        <w:t>ls</w:t>
      </w:r>
      <w:r w:rsidRPr="00BF592C">
        <w:rPr>
          <w:rFonts w:ascii="Arial" w:hAnsi="Arial" w:cs="Arial"/>
          <w:sz w:val="20"/>
        </w:rPr>
        <w:t>o develop</w:t>
      </w:r>
      <w:r>
        <w:rPr>
          <w:rFonts w:ascii="Arial" w:hAnsi="Arial" w:cs="Arial"/>
          <w:sz w:val="20"/>
        </w:rPr>
        <w:t>ing</w:t>
      </w:r>
      <w:r w:rsidRPr="00BF592C">
        <w:rPr>
          <w:rFonts w:ascii="Arial" w:hAnsi="Arial" w:cs="Arial"/>
          <w:sz w:val="20"/>
        </w:rPr>
        <w:t xml:space="preserve"> a proposed definition of “quality” for non</w:t>
      </w:r>
      <w:r>
        <w:rPr>
          <w:rFonts w:ascii="Arial" w:hAnsi="Arial" w:cs="Arial"/>
          <w:sz w:val="20"/>
        </w:rPr>
        <w:t>-residential lighting and will work</w:t>
      </w:r>
      <w:r w:rsidRPr="00BF592C">
        <w:rPr>
          <w:rFonts w:ascii="Arial" w:hAnsi="Arial" w:cs="Arial"/>
          <w:sz w:val="20"/>
        </w:rPr>
        <w:t xml:space="preserve"> with Commission staff to finalize this quality definition for future use in PA’s lighting portfolio.</w:t>
      </w:r>
      <w:r w:rsidR="009A3CDF">
        <w:rPr>
          <w:rFonts w:ascii="Arial" w:hAnsi="Arial" w:cs="Arial"/>
          <w:sz w:val="20"/>
        </w:rPr>
        <w:t xml:space="preserve"> The DLC will also be incorporating a major upgrade to Quality of Light requirements in version 5.0 of its technical requirements</w:t>
      </w:r>
      <w:r w:rsidR="000C0912">
        <w:rPr>
          <w:rFonts w:ascii="Arial" w:hAnsi="Arial" w:cs="Arial"/>
          <w:sz w:val="20"/>
        </w:rPr>
        <w:t>.</w:t>
      </w:r>
    </w:p>
    <w:p w14:paraId="79B033FC" w14:textId="77777777" w:rsidR="00DD7BB6" w:rsidRDefault="00DD7BB6" w:rsidP="00814CC1">
      <w:pPr>
        <w:spacing w:line="120" w:lineRule="auto"/>
        <w:rPr>
          <w:rFonts w:ascii="Arial" w:hAnsi="Arial" w:cs="Arial"/>
          <w:sz w:val="20"/>
        </w:rPr>
      </w:pPr>
    </w:p>
    <w:p w14:paraId="77C7438E" w14:textId="77777777" w:rsidR="00DD7BB6" w:rsidRPr="006F1807" w:rsidRDefault="00DD7BB6" w:rsidP="00DD7BB6">
      <w:pPr>
        <w:rPr>
          <w:rFonts w:ascii="Arial" w:hAnsi="Arial" w:cs="Arial"/>
        </w:rPr>
      </w:pPr>
      <w:r w:rsidRPr="006F1807">
        <w:rPr>
          <w:rFonts w:ascii="Arial" w:hAnsi="Arial" w:cs="Arial"/>
          <w:sz w:val="20"/>
        </w:rPr>
        <w:t>This study has been expanded to include distributor surveys to determine the standard practice baseline for interior LED categories. These surveys will ask distributors about their current sales/purchase mix by lighting technology, including LEDs. They will ask about the last 12 months and the projected sales mix by lighting technology for each of the next five years. The sales data is being collected separately for each interior product category and also attempts to collect efficacy data within LED products being sold.</w:t>
      </w:r>
    </w:p>
    <w:p w14:paraId="327785EA" w14:textId="77777777" w:rsidR="00DD7BB6" w:rsidRDefault="00DD7BB6" w:rsidP="00814CC1">
      <w:pPr>
        <w:spacing w:line="120" w:lineRule="auto"/>
        <w:rPr>
          <w:rFonts w:ascii="Arial" w:hAnsi="Arial" w:cs="Arial"/>
          <w:sz w:val="20"/>
        </w:rPr>
      </w:pPr>
    </w:p>
    <w:p w14:paraId="2E592811" w14:textId="77777777" w:rsidR="00DD7BB6" w:rsidRPr="00B9723C" w:rsidRDefault="00DD7BB6" w:rsidP="00B9723C">
      <w:pPr>
        <w:rPr>
          <w:rFonts w:ascii="Arial" w:hAnsi="Arial" w:cs="Arial"/>
          <w:sz w:val="20"/>
          <w:szCs w:val="20"/>
        </w:rPr>
      </w:pPr>
      <w:r>
        <w:rPr>
          <w:rFonts w:ascii="Arial" w:hAnsi="Arial" w:cs="Arial"/>
          <w:sz w:val="20"/>
        </w:rPr>
        <w:t>Until this study is completed, IOUs will use the DOE Lighting Facts database as a proxy for representing the LED market.</w:t>
      </w:r>
    </w:p>
    <w:p w14:paraId="2D62E7A6" w14:textId="00EE2EF0" w:rsidR="009C5CA7" w:rsidRDefault="001248A3" w:rsidP="00A53D5C">
      <w:pPr>
        <w:pStyle w:val="Heading3"/>
      </w:pPr>
      <w:bookmarkStart w:id="48" w:name="_Toc533933924"/>
      <w:bookmarkStart w:id="49" w:name="_Toc2808644"/>
      <w:r w:rsidRPr="007F4313">
        <w:t>1.</w:t>
      </w:r>
      <w:r w:rsidR="00952772">
        <w:t>5</w:t>
      </w:r>
      <w:r w:rsidR="00264B03" w:rsidRPr="007F4313">
        <w:t xml:space="preserve">.4 </w:t>
      </w:r>
      <w:r w:rsidR="009C5CA7" w:rsidRPr="007F4313">
        <w:t xml:space="preserve">Assumptions and </w:t>
      </w:r>
      <w:r w:rsidR="00264B03" w:rsidRPr="007F4313">
        <w:t>Calculations from other sources</w:t>
      </w:r>
      <w:r w:rsidR="006B0474">
        <w:t xml:space="preserve"> – </w:t>
      </w:r>
      <w:r w:rsidR="00264B03" w:rsidRPr="007F4313">
        <w:t>Base and Measure Cases</w:t>
      </w:r>
      <w:bookmarkEnd w:id="48"/>
      <w:bookmarkEnd w:id="49"/>
    </w:p>
    <w:p w14:paraId="465D8C1E" w14:textId="6346EE7D" w:rsidR="00DD7BB6" w:rsidRDefault="00262365" w:rsidP="007E4D1F">
      <w:pPr>
        <w:rPr>
          <w:rFonts w:ascii="Arial" w:hAnsi="Arial" w:cs="Arial"/>
          <w:sz w:val="20"/>
          <w:szCs w:val="20"/>
        </w:rPr>
      </w:pPr>
      <w:r>
        <w:rPr>
          <w:rFonts w:ascii="Arial" w:hAnsi="Arial" w:cs="Arial"/>
          <w:sz w:val="20"/>
          <w:szCs w:val="20"/>
        </w:rPr>
        <w:t xml:space="preserve">The fixture performance </w:t>
      </w:r>
      <w:r w:rsidR="002E6C39">
        <w:rPr>
          <w:rFonts w:ascii="Arial" w:hAnsi="Arial" w:cs="Arial"/>
          <w:sz w:val="20"/>
          <w:szCs w:val="20"/>
        </w:rPr>
        <w:t xml:space="preserve">in the applicable </w:t>
      </w:r>
      <w:r w:rsidR="00D30318">
        <w:rPr>
          <w:rFonts w:ascii="Arial" w:hAnsi="Arial" w:cs="Arial"/>
          <w:sz w:val="20"/>
          <w:szCs w:val="20"/>
        </w:rPr>
        <w:t xml:space="preserve">General Applications </w:t>
      </w:r>
      <w:r w:rsidR="002E6C39">
        <w:rPr>
          <w:rFonts w:ascii="Arial" w:hAnsi="Arial" w:cs="Arial"/>
          <w:sz w:val="20"/>
          <w:szCs w:val="20"/>
        </w:rPr>
        <w:t>of the DLC list—</w:t>
      </w:r>
      <w:r w:rsidR="00D30318">
        <w:rPr>
          <w:rFonts w:ascii="Arial" w:hAnsi="Arial" w:cs="Arial"/>
          <w:sz w:val="20"/>
          <w:szCs w:val="20"/>
        </w:rPr>
        <w:t>Troffer Luminaires, Integrated Troffer Retrofit Kits, Linear Ambient Luminaires, Linear Ambient Integrated Retrofit Kits--</w:t>
      </w:r>
      <w:r w:rsidR="00373421">
        <w:rPr>
          <w:rFonts w:ascii="Arial" w:hAnsi="Arial" w:cs="Arial"/>
          <w:sz w:val="20"/>
          <w:szCs w:val="20"/>
        </w:rPr>
        <w:t xml:space="preserve">were </w:t>
      </w:r>
      <w:r>
        <w:rPr>
          <w:rFonts w:ascii="Arial" w:hAnsi="Arial" w:cs="Arial"/>
          <w:sz w:val="20"/>
          <w:szCs w:val="20"/>
        </w:rPr>
        <w:t xml:space="preserve">analyzed to justify the </w:t>
      </w:r>
      <w:r w:rsidR="004A5BE3">
        <w:rPr>
          <w:rFonts w:ascii="Arial" w:hAnsi="Arial" w:cs="Arial"/>
          <w:sz w:val="20"/>
          <w:szCs w:val="20"/>
        </w:rPr>
        <w:t>light output</w:t>
      </w:r>
      <w:r>
        <w:rPr>
          <w:rFonts w:ascii="Arial" w:hAnsi="Arial" w:cs="Arial"/>
          <w:sz w:val="20"/>
          <w:szCs w:val="20"/>
        </w:rPr>
        <w:t xml:space="preserve"> equivalency assumptions.</w:t>
      </w:r>
      <w:r w:rsidR="000D22E1">
        <w:rPr>
          <w:rFonts w:ascii="Arial" w:hAnsi="Arial" w:cs="Arial"/>
          <w:sz w:val="20"/>
          <w:szCs w:val="20"/>
        </w:rPr>
        <w:t xml:space="preserve"> The</w:t>
      </w:r>
      <w:r w:rsidR="00786D34">
        <w:rPr>
          <w:rFonts w:ascii="Arial" w:hAnsi="Arial" w:cs="Arial"/>
          <w:sz w:val="20"/>
          <w:szCs w:val="20"/>
        </w:rPr>
        <w:t>re were</w:t>
      </w:r>
      <w:r w:rsidR="000D22E1">
        <w:rPr>
          <w:rFonts w:ascii="Arial" w:hAnsi="Arial" w:cs="Arial"/>
          <w:sz w:val="20"/>
          <w:szCs w:val="20"/>
        </w:rPr>
        <w:t xml:space="preserve"> </w:t>
      </w:r>
      <w:r w:rsidR="00D30318">
        <w:rPr>
          <w:rFonts w:ascii="Arial" w:hAnsi="Arial" w:cs="Arial"/>
          <w:sz w:val="20"/>
          <w:szCs w:val="20"/>
        </w:rPr>
        <w:t>122,217</w:t>
      </w:r>
      <w:r w:rsidR="000D22E1">
        <w:rPr>
          <w:rFonts w:ascii="Arial" w:hAnsi="Arial" w:cs="Arial"/>
          <w:sz w:val="20"/>
          <w:szCs w:val="20"/>
        </w:rPr>
        <w:t xml:space="preserve"> fixtures in these categories </w:t>
      </w:r>
      <w:r w:rsidR="008D0FE4">
        <w:rPr>
          <w:rFonts w:ascii="Arial" w:hAnsi="Arial" w:cs="Arial"/>
          <w:sz w:val="20"/>
          <w:szCs w:val="20"/>
        </w:rPr>
        <w:t>d</w:t>
      </w:r>
      <w:r w:rsidR="00786D34">
        <w:rPr>
          <w:rFonts w:ascii="Arial" w:hAnsi="Arial" w:cs="Arial"/>
          <w:sz w:val="20"/>
          <w:szCs w:val="20"/>
        </w:rPr>
        <w:t xml:space="preserve">ownloaded from DLC </w:t>
      </w:r>
      <w:r w:rsidR="00D30318">
        <w:rPr>
          <w:rFonts w:ascii="Arial" w:hAnsi="Arial" w:cs="Arial"/>
          <w:sz w:val="20"/>
          <w:szCs w:val="20"/>
        </w:rPr>
        <w:t>in December 2018</w:t>
      </w:r>
      <w:r w:rsidR="00786D34">
        <w:rPr>
          <w:rFonts w:ascii="Arial" w:hAnsi="Arial" w:cs="Arial"/>
          <w:sz w:val="20"/>
          <w:szCs w:val="20"/>
        </w:rPr>
        <w:t>. These were used to create the 2</w:t>
      </w:r>
      <w:r w:rsidR="00D30318">
        <w:rPr>
          <w:rFonts w:ascii="Arial" w:hAnsi="Arial" w:cs="Arial"/>
          <w:sz w:val="20"/>
          <w:szCs w:val="20"/>
        </w:rPr>
        <w:t>4</w:t>
      </w:r>
      <w:r w:rsidR="00786D34">
        <w:rPr>
          <w:rFonts w:ascii="Arial" w:hAnsi="Arial" w:cs="Arial"/>
          <w:sz w:val="20"/>
          <w:szCs w:val="20"/>
        </w:rPr>
        <w:t xml:space="preserve"> measure code tiers with the appropriate</w:t>
      </w:r>
      <w:r w:rsidR="000D22E1">
        <w:rPr>
          <w:rFonts w:ascii="Arial" w:hAnsi="Arial" w:cs="Arial"/>
          <w:sz w:val="20"/>
          <w:szCs w:val="20"/>
        </w:rPr>
        <w:t xml:space="preserve"> </w:t>
      </w:r>
      <w:r w:rsidR="004A5BE3">
        <w:rPr>
          <w:rFonts w:ascii="Arial" w:hAnsi="Arial" w:cs="Arial"/>
          <w:sz w:val="20"/>
          <w:szCs w:val="20"/>
        </w:rPr>
        <w:t>luminaire efficac</w:t>
      </w:r>
      <w:r w:rsidR="00D30318">
        <w:rPr>
          <w:rFonts w:ascii="Arial" w:hAnsi="Arial" w:cs="Arial"/>
          <w:sz w:val="20"/>
          <w:szCs w:val="20"/>
        </w:rPr>
        <w:t>ies</w:t>
      </w:r>
      <w:r w:rsidR="004A5BE3">
        <w:rPr>
          <w:rFonts w:ascii="Arial" w:hAnsi="Arial" w:cs="Arial"/>
          <w:sz w:val="20"/>
          <w:szCs w:val="20"/>
        </w:rPr>
        <w:t>.</w:t>
      </w:r>
      <w:r w:rsidR="008D0FE4">
        <w:rPr>
          <w:rFonts w:ascii="Arial" w:hAnsi="Arial" w:cs="Arial"/>
          <w:sz w:val="20"/>
          <w:szCs w:val="20"/>
        </w:rPr>
        <w:t xml:space="preserve"> </w:t>
      </w:r>
    </w:p>
    <w:p w14:paraId="0DD53950" w14:textId="77777777" w:rsidR="000D22E1" w:rsidRDefault="000D22E1" w:rsidP="007E4D1F">
      <w:pPr>
        <w:rPr>
          <w:rFonts w:ascii="Arial" w:hAnsi="Arial" w:cs="Arial"/>
          <w:sz w:val="20"/>
          <w:szCs w:val="20"/>
        </w:rPr>
      </w:pPr>
    </w:p>
    <w:p w14:paraId="48046071" w14:textId="33380B8D" w:rsidR="004A5BE3" w:rsidRPr="002574CF" w:rsidRDefault="004A5BE3" w:rsidP="004A5BE3">
      <w:pPr>
        <w:rPr>
          <w:rFonts w:ascii="Arial" w:hAnsi="Arial" w:cs="Arial"/>
          <w:sz w:val="20"/>
          <w:szCs w:val="20"/>
        </w:rPr>
      </w:pPr>
      <w:r w:rsidRPr="002574CF">
        <w:rPr>
          <w:b/>
        </w:rPr>
        <w:lastRenderedPageBreak/>
        <w:t>Delta Wattage Assumption (ΔW)</w:t>
      </w:r>
      <w:r w:rsidR="00FB6E11">
        <w:rPr>
          <w:b/>
        </w:rPr>
        <w:t xml:space="preserve"> </w:t>
      </w:r>
    </w:p>
    <w:p w14:paraId="6AF4B999" w14:textId="1F314790" w:rsidR="00055C05" w:rsidRDefault="004A5BE3" w:rsidP="004A5BE3">
      <w:pPr>
        <w:rPr>
          <w:rFonts w:ascii="Arial" w:hAnsi="Arial" w:cs="Arial"/>
          <w:sz w:val="20"/>
          <w:szCs w:val="20"/>
        </w:rPr>
      </w:pPr>
      <w:r>
        <w:rPr>
          <w:rFonts w:ascii="Arial" w:hAnsi="Arial" w:cs="Arial"/>
          <w:sz w:val="20"/>
          <w:szCs w:val="20"/>
        </w:rPr>
        <w:t>The</w:t>
      </w:r>
      <w:r w:rsidR="00055C05">
        <w:rPr>
          <w:rFonts w:ascii="Arial" w:hAnsi="Arial" w:cs="Arial"/>
          <w:sz w:val="20"/>
          <w:szCs w:val="20"/>
        </w:rPr>
        <w:t xml:space="preserve"> Normal Replacement scenario baseline is 100% LED: 33% TLED and 67% LED new luminaire or retrofit kit. The workpaper assumes no meaningful differences between measure and base cases in lumen depreciation, light distribution, or other factors affecting energy savings. The delta Wattage equation is therefore relatively simple:</w:t>
      </w:r>
    </w:p>
    <w:p w14:paraId="498107A9" w14:textId="77777777" w:rsidR="00055C05" w:rsidRDefault="00055C05" w:rsidP="004A5BE3">
      <w:pPr>
        <w:rPr>
          <w:rFonts w:ascii="Arial" w:hAnsi="Arial" w:cs="Arial"/>
          <w:sz w:val="20"/>
          <w:szCs w:val="20"/>
        </w:rPr>
      </w:pPr>
      <m:oMathPara>
        <m:oMath>
          <m:r>
            <w:rPr>
              <w:rFonts w:ascii="Cambria Math" w:hAnsi="Cambria Math" w:cs="Arial"/>
              <w:sz w:val="20"/>
              <w:szCs w:val="20"/>
            </w:rPr>
            <m:t>Delta Watts =Base Case Watts-Measure Case Watts</m:t>
          </m:r>
        </m:oMath>
      </m:oMathPara>
    </w:p>
    <w:p w14:paraId="760FB994" w14:textId="52857F44" w:rsidR="00055C05" w:rsidRPr="00DD1CB7" w:rsidRDefault="00055C05" w:rsidP="00055C05">
      <w:pPr>
        <w:rPr>
          <w:rFonts w:ascii="Arial" w:hAnsi="Arial" w:cs="Arial"/>
          <w:sz w:val="20"/>
          <w:szCs w:val="20"/>
        </w:rPr>
      </w:pPr>
      <m:oMathPara>
        <m:oMath>
          <m:r>
            <w:rPr>
              <w:rFonts w:ascii="Cambria Math" w:hAnsi="Cambria Math" w:cs="Arial"/>
              <w:sz w:val="20"/>
              <w:szCs w:val="20"/>
            </w:rPr>
            <m:t xml:space="preserve">Delta Watts= </m:t>
          </m:r>
          <m:d>
            <m:dPr>
              <m:ctrlPr>
                <w:rPr>
                  <w:rFonts w:ascii="Cambria Math" w:hAnsi="Cambria Math" w:cs="Arial"/>
                  <w:i/>
                  <w:sz w:val="20"/>
                  <w:szCs w:val="20"/>
                </w:rPr>
              </m:ctrlPr>
            </m:dPr>
            <m:e>
              <m:f>
                <m:fPr>
                  <m:ctrlPr>
                    <w:rPr>
                      <w:rFonts w:ascii="Cambria Math" w:hAnsi="Cambria Math" w:cs="Arial"/>
                      <w:i/>
                      <w:sz w:val="20"/>
                      <w:szCs w:val="20"/>
                    </w:rPr>
                  </m:ctrlPr>
                </m:fPr>
                <m:num>
                  <m:r>
                    <w:rPr>
                      <w:rFonts w:ascii="Cambria Math" w:hAnsi="Cambria Math" w:cs="Arial"/>
                      <w:sz w:val="20"/>
                      <w:szCs w:val="20"/>
                    </w:rPr>
                    <m:t>1000 lm</m:t>
                  </m:r>
                </m:num>
                <m:den>
                  <m:d>
                    <m:dPr>
                      <m:ctrlPr>
                        <w:rPr>
                          <w:rFonts w:ascii="Cambria Math" w:hAnsi="Cambria Math" w:cs="Arial"/>
                          <w:i/>
                          <w:sz w:val="20"/>
                          <w:szCs w:val="20"/>
                        </w:rPr>
                      </m:ctrlPr>
                    </m:dPr>
                    <m:e>
                      <m:r>
                        <w:rPr>
                          <w:rFonts w:ascii="Cambria Math" w:hAnsi="Cambria Math" w:cs="Arial"/>
                          <w:sz w:val="20"/>
                          <w:szCs w:val="20"/>
                        </w:rPr>
                        <m:t>33%×</m:t>
                      </m:r>
                      <m:f>
                        <m:fPr>
                          <m:ctrlPr>
                            <w:rPr>
                              <w:rFonts w:ascii="Cambria Math" w:hAnsi="Cambria Math" w:cs="Arial"/>
                              <w:i/>
                              <w:sz w:val="20"/>
                              <w:szCs w:val="20"/>
                            </w:rPr>
                          </m:ctrlPr>
                        </m:fPr>
                        <m:num>
                          <m:r>
                            <w:rPr>
                              <w:rFonts w:ascii="Cambria Math" w:hAnsi="Cambria Math" w:cs="Arial"/>
                              <w:sz w:val="20"/>
                              <w:szCs w:val="20"/>
                            </w:rPr>
                            <m:t>85.2 lm</m:t>
                          </m:r>
                        </m:num>
                        <m:den>
                          <m:r>
                            <w:rPr>
                              <w:rFonts w:ascii="Cambria Math" w:hAnsi="Cambria Math" w:cs="Arial"/>
                              <w:sz w:val="20"/>
                              <w:szCs w:val="20"/>
                            </w:rPr>
                            <m:t>W</m:t>
                          </m:r>
                        </m:den>
                      </m:f>
                      <m:r>
                        <w:rPr>
                          <w:rFonts w:ascii="Cambria Math" w:hAnsi="Cambria Math" w:cs="Arial"/>
                          <w:sz w:val="20"/>
                          <w:szCs w:val="20"/>
                        </w:rPr>
                        <m:t>+67%*</m:t>
                      </m:r>
                      <m:f>
                        <m:fPr>
                          <m:ctrlPr>
                            <w:rPr>
                              <w:rFonts w:ascii="Cambria Math" w:hAnsi="Cambria Math" w:cs="Arial"/>
                              <w:i/>
                              <w:sz w:val="20"/>
                              <w:szCs w:val="20"/>
                            </w:rPr>
                          </m:ctrlPr>
                        </m:fPr>
                        <m:num>
                          <m:r>
                            <w:rPr>
                              <w:rFonts w:ascii="Cambria Math" w:hAnsi="Cambria Math" w:cs="Arial"/>
                              <w:sz w:val="20"/>
                              <w:szCs w:val="20"/>
                            </w:rPr>
                            <m:t>100 lm</m:t>
                          </m:r>
                        </m:num>
                        <m:den>
                          <m:r>
                            <w:rPr>
                              <w:rFonts w:ascii="Cambria Math" w:hAnsi="Cambria Math" w:cs="Arial"/>
                              <w:sz w:val="20"/>
                              <w:szCs w:val="20"/>
                            </w:rPr>
                            <m:t>W</m:t>
                          </m:r>
                        </m:den>
                      </m:f>
                    </m:e>
                  </m:d>
                </m:den>
              </m:f>
            </m:e>
          </m:d>
          <m:r>
            <w:rPr>
              <w:rFonts w:ascii="Cambria Math" w:hAnsi="Cambria Math" w:cs="Arial"/>
              <w:sz w:val="20"/>
              <w:szCs w:val="20"/>
            </w:rPr>
            <m:t>-</m:t>
          </m:r>
          <m:d>
            <m:dPr>
              <m:ctrlPr>
                <w:rPr>
                  <w:rFonts w:ascii="Cambria Math" w:hAnsi="Cambria Math" w:cs="Arial"/>
                  <w:i/>
                  <w:sz w:val="20"/>
                  <w:szCs w:val="20"/>
                </w:rPr>
              </m:ctrlPr>
            </m:dPr>
            <m:e>
              <m:f>
                <m:fPr>
                  <m:ctrlPr>
                    <w:rPr>
                      <w:rFonts w:ascii="Cambria Math" w:hAnsi="Cambria Math" w:cs="Arial"/>
                      <w:i/>
                      <w:sz w:val="20"/>
                      <w:szCs w:val="20"/>
                    </w:rPr>
                  </m:ctrlPr>
                </m:fPr>
                <m:num>
                  <m:r>
                    <w:rPr>
                      <w:rFonts w:ascii="Cambria Math" w:hAnsi="Cambria Math" w:cs="Arial"/>
                      <w:sz w:val="20"/>
                      <w:szCs w:val="20"/>
                    </w:rPr>
                    <m:t>1000 lm</m:t>
                  </m:r>
                </m:num>
                <m:den>
                  <m:f>
                    <m:fPr>
                      <m:ctrlPr>
                        <w:rPr>
                          <w:rFonts w:ascii="Cambria Math" w:hAnsi="Cambria Math" w:cs="Arial"/>
                          <w:i/>
                          <w:sz w:val="20"/>
                          <w:szCs w:val="20"/>
                        </w:rPr>
                      </m:ctrlPr>
                    </m:fPr>
                    <m:num>
                      <m:d>
                        <m:dPr>
                          <m:begChr m:val="{"/>
                          <m:endChr m:val="}"/>
                          <m:ctrlPr>
                            <w:rPr>
                              <w:rFonts w:ascii="Cambria Math" w:hAnsi="Cambria Math" w:cs="Arial"/>
                              <w:i/>
                              <w:sz w:val="20"/>
                              <w:szCs w:val="20"/>
                            </w:rPr>
                          </m:ctrlPr>
                        </m:dPr>
                        <m:e>
                          <m:r>
                            <w:rPr>
                              <w:rFonts w:ascii="Cambria Math" w:hAnsi="Cambria Math" w:cs="Arial"/>
                              <w:sz w:val="20"/>
                              <w:szCs w:val="20"/>
                            </w:rPr>
                            <m:t>125 or 140</m:t>
                          </m:r>
                        </m:e>
                      </m:d>
                      <m:r>
                        <w:rPr>
                          <w:rFonts w:ascii="Cambria Math" w:hAnsi="Cambria Math" w:cs="Arial"/>
                          <w:sz w:val="20"/>
                          <w:szCs w:val="20"/>
                        </w:rPr>
                        <m:t>lm</m:t>
                      </m:r>
                    </m:num>
                    <m:den>
                      <m:r>
                        <w:rPr>
                          <w:rFonts w:ascii="Cambria Math" w:hAnsi="Cambria Math" w:cs="Arial"/>
                          <w:sz w:val="20"/>
                          <w:szCs w:val="20"/>
                        </w:rPr>
                        <m:t>W</m:t>
                      </m:r>
                    </m:den>
                  </m:f>
                </m:den>
              </m:f>
            </m:e>
          </m:d>
          <m:r>
            <w:rPr>
              <w:rFonts w:ascii="Cambria Math" w:hAnsi="Cambria Math" w:cs="Arial"/>
              <w:sz w:val="20"/>
              <w:szCs w:val="20"/>
            </w:rPr>
            <m:t>=2.6 or 3.4 lm/W</m:t>
          </m:r>
        </m:oMath>
      </m:oMathPara>
    </w:p>
    <w:p w14:paraId="591E3B3A" w14:textId="77777777" w:rsidR="00DD1CB7" w:rsidRPr="00813B9A" w:rsidRDefault="00DD1CB7" w:rsidP="00055C05">
      <w:pPr>
        <w:rPr>
          <w:rFonts w:ascii="Arial" w:hAnsi="Arial" w:cs="Arial"/>
          <w:sz w:val="20"/>
          <w:szCs w:val="20"/>
        </w:rPr>
      </w:pPr>
    </w:p>
    <w:p w14:paraId="38FA433D" w14:textId="39DF7955" w:rsidR="00503F37" w:rsidRDefault="00914FD7" w:rsidP="00914FD7">
      <w:pPr>
        <w:rPr>
          <w:rFonts w:ascii="Arial" w:hAnsi="Arial" w:cs="Arial"/>
          <w:b/>
          <w:bCs/>
          <w:kern w:val="32"/>
          <w:sz w:val="32"/>
          <w:szCs w:val="32"/>
        </w:rPr>
      </w:pPr>
      <w:r>
        <w:rPr>
          <w:rFonts w:ascii="Arial" w:hAnsi="Arial" w:cs="Arial"/>
          <w:sz w:val="20"/>
          <w:szCs w:val="20"/>
        </w:rPr>
        <w:t xml:space="preserve">Workpaper calculations verify that the luminous efficacies assumed above, both base and measure case, will result in Lighting Power Densities (LPDs) that meet </w:t>
      </w:r>
      <w:r w:rsidR="004A5BE3">
        <w:rPr>
          <w:rFonts w:ascii="Arial" w:hAnsi="Arial" w:cs="Arial"/>
          <w:sz w:val="20"/>
          <w:szCs w:val="20"/>
        </w:rPr>
        <w:t>California Title 24</w:t>
      </w:r>
      <w:r>
        <w:rPr>
          <w:rFonts w:ascii="Arial" w:hAnsi="Arial" w:cs="Arial"/>
          <w:sz w:val="20"/>
          <w:szCs w:val="20"/>
        </w:rPr>
        <w:t xml:space="preserve">-2016 </w:t>
      </w:r>
      <w:r w:rsidR="004A5BE3">
        <w:rPr>
          <w:rFonts w:ascii="Arial" w:hAnsi="Arial" w:cs="Arial"/>
          <w:sz w:val="20"/>
          <w:szCs w:val="20"/>
        </w:rPr>
        <w:t xml:space="preserve">(T24) interior commercial LPD requirements. </w:t>
      </w:r>
    </w:p>
    <w:p w14:paraId="7CB1F190" w14:textId="77777777" w:rsidR="00F661FF" w:rsidRDefault="00F661FF" w:rsidP="00F661FF">
      <w:pPr>
        <w:pStyle w:val="Heading1"/>
        <w:spacing w:before="120" w:after="0"/>
      </w:pPr>
      <w:bookmarkStart w:id="50" w:name="_Toc533933925"/>
    </w:p>
    <w:p w14:paraId="73F25F1D" w14:textId="4DE0FD6B" w:rsidR="00C069A2" w:rsidRDefault="00CF3FF0" w:rsidP="00F661FF">
      <w:pPr>
        <w:pStyle w:val="Heading1"/>
        <w:spacing w:before="0"/>
      </w:pPr>
      <w:bookmarkStart w:id="51" w:name="_Toc2808645"/>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50"/>
      <w:bookmarkEnd w:id="51"/>
      <w:r w:rsidR="00021210">
        <w:t xml:space="preserve"> </w:t>
      </w:r>
    </w:p>
    <w:p w14:paraId="3437C137" w14:textId="6EAA7404" w:rsidR="008832FA" w:rsidRDefault="007C1DEB" w:rsidP="001A3026">
      <w:pPr>
        <w:rPr>
          <w:rFonts w:ascii="Arial" w:hAnsi="Arial" w:cs="Arial"/>
          <w:sz w:val="20"/>
          <w:szCs w:val="20"/>
        </w:rPr>
      </w:pPr>
      <w:r>
        <w:rPr>
          <w:rFonts w:ascii="Arial" w:hAnsi="Arial" w:cs="Arial"/>
          <w:sz w:val="20"/>
          <w:szCs w:val="20"/>
        </w:rPr>
        <w:t xml:space="preserve">This workpaper </w:t>
      </w:r>
      <w:r w:rsidR="00FE34BD">
        <w:rPr>
          <w:rFonts w:ascii="Arial" w:hAnsi="Arial" w:cs="Arial"/>
          <w:sz w:val="20"/>
          <w:szCs w:val="20"/>
        </w:rPr>
        <w:t xml:space="preserve">does not group </w:t>
      </w:r>
      <w:r>
        <w:rPr>
          <w:rFonts w:ascii="Arial" w:hAnsi="Arial" w:cs="Arial"/>
          <w:sz w:val="20"/>
          <w:szCs w:val="20"/>
        </w:rPr>
        <w:t>base and measure case</w:t>
      </w:r>
      <w:r w:rsidR="00FE34BD">
        <w:rPr>
          <w:rFonts w:ascii="Arial" w:hAnsi="Arial" w:cs="Arial"/>
          <w:sz w:val="20"/>
          <w:szCs w:val="20"/>
        </w:rPr>
        <w:t xml:space="preserve"> fixtures by</w:t>
      </w:r>
      <w:r>
        <w:rPr>
          <w:rFonts w:ascii="Arial" w:hAnsi="Arial" w:cs="Arial"/>
          <w:sz w:val="20"/>
          <w:szCs w:val="20"/>
        </w:rPr>
        <w:t xml:space="preserve"> wattages.</w:t>
      </w:r>
      <w:r w:rsidR="00322FB9">
        <w:rPr>
          <w:rFonts w:ascii="Arial" w:hAnsi="Arial" w:cs="Arial"/>
          <w:sz w:val="20"/>
          <w:szCs w:val="20"/>
        </w:rPr>
        <w:t xml:space="preserve"> The base case </w:t>
      </w:r>
      <w:r w:rsidR="00FE34BD">
        <w:rPr>
          <w:rFonts w:ascii="Arial" w:hAnsi="Arial" w:cs="Arial"/>
          <w:sz w:val="20"/>
          <w:szCs w:val="20"/>
        </w:rPr>
        <w:t xml:space="preserve">and measure </w:t>
      </w:r>
      <w:r w:rsidR="00322FB9">
        <w:rPr>
          <w:rFonts w:ascii="Arial" w:hAnsi="Arial" w:cs="Arial"/>
          <w:sz w:val="20"/>
          <w:szCs w:val="20"/>
        </w:rPr>
        <w:t xml:space="preserve">wattages </w:t>
      </w:r>
      <w:r w:rsidR="00FE34BD">
        <w:rPr>
          <w:rFonts w:ascii="Arial" w:hAnsi="Arial" w:cs="Arial"/>
          <w:sz w:val="20"/>
          <w:szCs w:val="20"/>
        </w:rPr>
        <w:t xml:space="preserve">are determined by </w:t>
      </w:r>
      <w:r w:rsidR="00457F4D">
        <w:rPr>
          <w:rFonts w:ascii="Arial" w:hAnsi="Arial" w:cs="Arial"/>
          <w:sz w:val="20"/>
          <w:szCs w:val="20"/>
        </w:rPr>
        <w:t xml:space="preserve">simple division of a </w:t>
      </w:r>
      <w:proofErr w:type="spellStart"/>
      <w:r w:rsidR="00457F4D">
        <w:rPr>
          <w:rFonts w:ascii="Arial" w:hAnsi="Arial" w:cs="Arial"/>
          <w:sz w:val="20"/>
          <w:szCs w:val="20"/>
        </w:rPr>
        <w:t>kilolumen</w:t>
      </w:r>
      <w:proofErr w:type="spellEnd"/>
      <w:r w:rsidR="00457F4D">
        <w:rPr>
          <w:rFonts w:ascii="Arial" w:hAnsi="Arial" w:cs="Arial"/>
          <w:sz w:val="20"/>
          <w:szCs w:val="20"/>
        </w:rPr>
        <w:t xml:space="preserve"> (1000 lumens) by the efficacy minimum</w:t>
      </w:r>
      <w:r w:rsidR="00DD355B">
        <w:rPr>
          <w:rFonts w:ascii="Arial" w:hAnsi="Arial" w:cs="Arial"/>
          <w:sz w:val="20"/>
          <w:szCs w:val="20"/>
        </w:rPr>
        <w:t xml:space="preserve">s: </w:t>
      </w:r>
      <w:r w:rsidR="00457F4D">
        <w:rPr>
          <w:rFonts w:ascii="Arial" w:hAnsi="Arial" w:cs="Arial"/>
          <w:sz w:val="20"/>
          <w:szCs w:val="20"/>
        </w:rPr>
        <w:t xml:space="preserve">125 and 140 </w:t>
      </w:r>
      <w:r w:rsidR="00A2602B">
        <w:rPr>
          <w:rFonts w:ascii="Arial" w:hAnsi="Arial" w:cs="Arial"/>
          <w:sz w:val="20"/>
          <w:szCs w:val="20"/>
        </w:rPr>
        <w:t>LPW</w:t>
      </w:r>
      <w:r w:rsidR="00DD355B">
        <w:rPr>
          <w:rFonts w:ascii="Arial" w:hAnsi="Arial" w:cs="Arial"/>
          <w:sz w:val="20"/>
          <w:szCs w:val="20"/>
        </w:rPr>
        <w:t xml:space="preserve"> for Measure Case, 100 </w:t>
      </w:r>
      <w:r w:rsidR="00A2602B">
        <w:rPr>
          <w:rFonts w:ascii="Arial" w:hAnsi="Arial" w:cs="Arial"/>
          <w:sz w:val="20"/>
          <w:szCs w:val="20"/>
        </w:rPr>
        <w:t>LPW</w:t>
      </w:r>
      <w:r w:rsidR="00DD355B">
        <w:rPr>
          <w:rFonts w:ascii="Arial" w:hAnsi="Arial" w:cs="Arial"/>
          <w:sz w:val="20"/>
          <w:szCs w:val="20"/>
        </w:rPr>
        <w:t xml:space="preserve"> for base case</w:t>
      </w:r>
      <w:r w:rsidR="0074519B">
        <w:rPr>
          <w:rFonts w:ascii="Arial" w:hAnsi="Arial" w:cs="Arial"/>
          <w:sz w:val="20"/>
          <w:szCs w:val="20"/>
        </w:rPr>
        <w:t xml:space="preserve"> LED Fixtures</w:t>
      </w:r>
      <w:r w:rsidR="00DD355B">
        <w:rPr>
          <w:rFonts w:ascii="Arial" w:hAnsi="Arial" w:cs="Arial"/>
          <w:sz w:val="20"/>
          <w:szCs w:val="20"/>
        </w:rPr>
        <w:t xml:space="preserve"> per Resolution E-4952. </w:t>
      </w:r>
    </w:p>
    <w:p w14:paraId="59FC2130" w14:textId="77777777" w:rsidR="003B44BB" w:rsidRDefault="003B44BB" w:rsidP="001A3026">
      <w:pPr>
        <w:rPr>
          <w:rFonts w:ascii="Arial" w:hAnsi="Arial" w:cs="Arial"/>
          <w:sz w:val="20"/>
          <w:szCs w:val="20"/>
        </w:rPr>
      </w:pPr>
    </w:p>
    <w:p w14:paraId="38920FD8" w14:textId="4B6F4A20" w:rsidR="003B44BB" w:rsidRPr="00AB09DC" w:rsidRDefault="003B44BB" w:rsidP="003B44BB">
      <w:pPr>
        <w:pStyle w:val="Caption"/>
        <w:jc w:val="center"/>
        <w:rPr>
          <w:rFonts w:ascii="Arial" w:hAnsi="Arial" w:cs="Arial"/>
        </w:rPr>
      </w:pPr>
      <w:bookmarkStart w:id="52" w:name="_Toc533927159"/>
      <w:bookmarkStart w:id="53" w:name="_Toc2791460"/>
      <w:r w:rsidRPr="00AB09DC">
        <w:rPr>
          <w:rFonts w:ascii="Arial" w:hAnsi="Arial" w:cs="Arial"/>
        </w:rPr>
        <w:t>Table</w:t>
      </w:r>
      <w:r w:rsidR="00DD12F1" w:rsidRPr="00AB09DC">
        <w:rPr>
          <w:rFonts w:ascii="Arial" w:hAnsi="Arial" w:cs="Arial"/>
        </w:rPr>
        <w:t xml:space="preserve"> </w:t>
      </w:r>
      <w:r w:rsidR="00797297" w:rsidRPr="00AB09DC">
        <w:rPr>
          <w:rFonts w:ascii="Arial" w:hAnsi="Arial" w:cs="Arial"/>
        </w:rPr>
        <w:fldChar w:fldCharType="begin"/>
      </w:r>
      <w:r w:rsidR="00797297" w:rsidRPr="00AB09DC">
        <w:rPr>
          <w:rFonts w:ascii="Arial" w:hAnsi="Arial" w:cs="Arial"/>
        </w:rPr>
        <w:instrText xml:space="preserve"> SEQ Table \* ARABIC </w:instrText>
      </w:r>
      <w:r w:rsidR="00797297" w:rsidRPr="00AB09DC">
        <w:rPr>
          <w:rFonts w:ascii="Arial" w:hAnsi="Arial" w:cs="Arial"/>
        </w:rPr>
        <w:fldChar w:fldCharType="separate"/>
      </w:r>
      <w:r w:rsidR="00A51621">
        <w:rPr>
          <w:rFonts w:ascii="Arial" w:hAnsi="Arial" w:cs="Arial"/>
          <w:noProof/>
        </w:rPr>
        <w:t>6</w:t>
      </w:r>
      <w:r w:rsidR="00797297" w:rsidRPr="00AB09DC">
        <w:rPr>
          <w:rFonts w:ascii="Arial" w:hAnsi="Arial" w:cs="Arial"/>
          <w:noProof/>
        </w:rPr>
        <w:fldChar w:fldCharType="end"/>
      </w:r>
      <w:r w:rsidR="00AB09DC" w:rsidRPr="00AB09DC">
        <w:rPr>
          <w:rFonts w:ascii="Arial" w:hAnsi="Arial" w:cs="Arial"/>
        </w:rPr>
        <w:t xml:space="preserve">: </w:t>
      </w:r>
      <w:r w:rsidR="00322FB9" w:rsidRPr="00AB09DC">
        <w:rPr>
          <w:rFonts w:ascii="Arial" w:hAnsi="Arial" w:cs="Arial"/>
        </w:rPr>
        <w:t xml:space="preserve">LED </w:t>
      </w:r>
      <w:r w:rsidR="00C27933" w:rsidRPr="00AB09DC">
        <w:rPr>
          <w:rFonts w:ascii="Arial" w:hAnsi="Arial" w:cs="Arial"/>
        </w:rPr>
        <w:t xml:space="preserve">Ambient </w:t>
      </w:r>
      <w:r w:rsidR="002E6C39" w:rsidRPr="00AB09DC">
        <w:rPr>
          <w:rFonts w:ascii="Arial" w:hAnsi="Arial" w:cs="Arial"/>
        </w:rPr>
        <w:t>Fixtures &amp; Retrofit Kits</w:t>
      </w:r>
      <w:r w:rsidR="00FD3F5C" w:rsidRPr="00AB09DC">
        <w:rPr>
          <w:rFonts w:ascii="Arial" w:hAnsi="Arial" w:cs="Arial"/>
        </w:rPr>
        <w:t xml:space="preserve"> </w:t>
      </w:r>
      <w:r w:rsidRPr="00AB09DC">
        <w:rPr>
          <w:rFonts w:ascii="Arial" w:hAnsi="Arial" w:cs="Arial"/>
        </w:rPr>
        <w:t>Base and Measure Wattages</w:t>
      </w:r>
      <w:bookmarkEnd w:id="52"/>
      <w:bookmarkEnd w:id="53"/>
    </w:p>
    <w:tbl>
      <w:tblPr>
        <w:tblStyle w:val="TableGrid"/>
        <w:tblW w:w="9018" w:type="dxa"/>
        <w:tblLook w:val="04A0" w:firstRow="1" w:lastRow="0" w:firstColumn="1" w:lastColumn="0" w:noHBand="0" w:noVBand="1"/>
      </w:tblPr>
      <w:tblGrid>
        <w:gridCol w:w="4248"/>
        <w:gridCol w:w="1350"/>
        <w:gridCol w:w="1710"/>
        <w:gridCol w:w="1710"/>
      </w:tblGrid>
      <w:tr w:rsidR="00BF5FB0" w14:paraId="323C2849" w14:textId="77777777" w:rsidTr="00A2602B">
        <w:tc>
          <w:tcPr>
            <w:tcW w:w="4248" w:type="dxa"/>
            <w:vAlign w:val="bottom"/>
          </w:tcPr>
          <w:p w14:paraId="5676B067" w14:textId="77777777" w:rsidR="00BF5FB0" w:rsidRPr="00AB09DC" w:rsidRDefault="00786D34" w:rsidP="00C45648">
            <w:pPr>
              <w:jc w:val="center"/>
              <w:rPr>
                <w:rFonts w:ascii="Arial" w:hAnsi="Arial" w:cs="Arial"/>
                <w:b/>
                <w:bCs/>
                <w:color w:val="000000"/>
                <w:sz w:val="18"/>
                <w:szCs w:val="20"/>
              </w:rPr>
            </w:pPr>
            <w:r w:rsidRPr="00AB09DC">
              <w:rPr>
                <w:rFonts w:ascii="Arial" w:hAnsi="Arial" w:cs="Arial"/>
                <w:b/>
                <w:bCs/>
                <w:color w:val="000000"/>
                <w:sz w:val="18"/>
                <w:szCs w:val="20"/>
              </w:rPr>
              <w:t xml:space="preserve">Measure </w:t>
            </w:r>
            <w:r w:rsidR="00BF5FB0" w:rsidRPr="00AB09DC">
              <w:rPr>
                <w:rFonts w:ascii="Arial" w:hAnsi="Arial" w:cs="Arial"/>
                <w:b/>
                <w:bCs/>
                <w:color w:val="000000"/>
                <w:sz w:val="18"/>
                <w:szCs w:val="20"/>
              </w:rPr>
              <w:t>Case</w:t>
            </w:r>
            <w:r w:rsidRPr="00AB09DC">
              <w:rPr>
                <w:rFonts w:ascii="Arial" w:hAnsi="Arial" w:cs="Arial"/>
                <w:b/>
                <w:bCs/>
                <w:color w:val="000000"/>
                <w:sz w:val="18"/>
                <w:szCs w:val="20"/>
              </w:rPr>
              <w:t xml:space="preserve"> Description</w:t>
            </w:r>
          </w:p>
        </w:tc>
        <w:tc>
          <w:tcPr>
            <w:tcW w:w="1350" w:type="dxa"/>
            <w:vAlign w:val="bottom"/>
          </w:tcPr>
          <w:p w14:paraId="225A3E94" w14:textId="77777777" w:rsidR="00BF5FB0" w:rsidRPr="00AB09DC" w:rsidRDefault="00BF5FB0" w:rsidP="00C45648">
            <w:pPr>
              <w:jc w:val="center"/>
              <w:rPr>
                <w:rFonts w:ascii="Arial" w:hAnsi="Arial" w:cs="Arial"/>
                <w:b/>
                <w:sz w:val="18"/>
                <w:szCs w:val="20"/>
              </w:rPr>
            </w:pPr>
            <w:r w:rsidRPr="00AB09DC">
              <w:rPr>
                <w:rFonts w:ascii="Arial" w:hAnsi="Arial" w:cs="Arial"/>
                <w:b/>
                <w:sz w:val="18"/>
                <w:szCs w:val="20"/>
              </w:rPr>
              <w:t>Base Case Wattage</w:t>
            </w:r>
          </w:p>
        </w:tc>
        <w:tc>
          <w:tcPr>
            <w:tcW w:w="1710" w:type="dxa"/>
            <w:vAlign w:val="bottom"/>
          </w:tcPr>
          <w:p w14:paraId="7B1F8177" w14:textId="77777777" w:rsidR="00BF5FB0" w:rsidRPr="00AB09DC" w:rsidRDefault="00BF5FB0" w:rsidP="00BF5FB0">
            <w:pPr>
              <w:jc w:val="center"/>
              <w:rPr>
                <w:rFonts w:ascii="Arial" w:hAnsi="Arial" w:cs="Arial"/>
                <w:b/>
                <w:sz w:val="18"/>
                <w:szCs w:val="20"/>
              </w:rPr>
            </w:pPr>
            <w:r w:rsidRPr="00AB09DC">
              <w:rPr>
                <w:rFonts w:ascii="Arial" w:hAnsi="Arial" w:cs="Arial"/>
                <w:b/>
                <w:sz w:val="18"/>
                <w:szCs w:val="20"/>
              </w:rPr>
              <w:t>Measure Case Wattage</w:t>
            </w:r>
          </w:p>
        </w:tc>
        <w:tc>
          <w:tcPr>
            <w:tcW w:w="1710" w:type="dxa"/>
            <w:vAlign w:val="bottom"/>
          </w:tcPr>
          <w:p w14:paraId="02B699EF" w14:textId="77777777" w:rsidR="00BF5FB0" w:rsidRPr="00AB09DC" w:rsidRDefault="00BF5FB0" w:rsidP="00C45648">
            <w:pPr>
              <w:jc w:val="center"/>
              <w:rPr>
                <w:rFonts w:ascii="Arial" w:hAnsi="Arial" w:cs="Arial"/>
                <w:b/>
                <w:sz w:val="18"/>
                <w:szCs w:val="20"/>
              </w:rPr>
            </w:pPr>
            <w:r w:rsidRPr="00AB09DC">
              <w:rPr>
                <w:rFonts w:ascii="Arial" w:hAnsi="Arial" w:cs="Arial"/>
                <w:b/>
                <w:sz w:val="18"/>
                <w:szCs w:val="20"/>
              </w:rPr>
              <w:t>Delta Wattage</w:t>
            </w:r>
          </w:p>
        </w:tc>
      </w:tr>
      <w:tr w:rsidR="00661F2B" w:rsidRPr="00C27933" w14:paraId="455260D4" w14:textId="77777777" w:rsidTr="00A2602B">
        <w:tc>
          <w:tcPr>
            <w:tcW w:w="4248" w:type="dxa"/>
            <w:vAlign w:val="center"/>
          </w:tcPr>
          <w:p w14:paraId="48E256C8" w14:textId="5EA63CB8" w:rsidR="00661F2B" w:rsidRPr="00AB09DC" w:rsidRDefault="00661F2B">
            <w:pPr>
              <w:rPr>
                <w:rFonts w:ascii="Arial" w:hAnsi="Arial" w:cs="Arial"/>
                <w:color w:val="000000"/>
                <w:sz w:val="18"/>
                <w:szCs w:val="22"/>
              </w:rPr>
            </w:pPr>
            <w:r w:rsidRPr="00AB09DC">
              <w:rPr>
                <w:rFonts w:ascii="Arial" w:hAnsi="Arial" w:cs="Arial"/>
                <w:color w:val="000000"/>
                <w:sz w:val="18"/>
                <w:szCs w:val="22"/>
              </w:rPr>
              <w:t xml:space="preserve">LED </w:t>
            </w:r>
            <w:r w:rsidR="00C1087A" w:rsidRPr="00AB09DC">
              <w:rPr>
                <w:rFonts w:ascii="Arial" w:hAnsi="Arial" w:cs="Arial"/>
                <w:color w:val="000000"/>
                <w:sz w:val="18"/>
                <w:szCs w:val="22"/>
              </w:rPr>
              <w:t xml:space="preserve">Troffer </w:t>
            </w:r>
            <w:r w:rsidRPr="00AB09DC">
              <w:rPr>
                <w:rFonts w:ascii="Arial" w:hAnsi="Arial" w:cs="Arial"/>
                <w:color w:val="000000"/>
                <w:sz w:val="18"/>
                <w:szCs w:val="22"/>
              </w:rPr>
              <w:t>Luminaires/Retrofit Kits rated ≥1</w:t>
            </w:r>
            <w:r w:rsidR="00AB546E" w:rsidRPr="00AB09DC">
              <w:rPr>
                <w:rFonts w:ascii="Arial" w:hAnsi="Arial" w:cs="Arial"/>
                <w:color w:val="000000"/>
                <w:sz w:val="18"/>
                <w:szCs w:val="22"/>
              </w:rPr>
              <w:t>25</w:t>
            </w:r>
            <w:r w:rsidRPr="00AB09DC">
              <w:rPr>
                <w:rFonts w:ascii="Arial" w:hAnsi="Arial" w:cs="Arial"/>
                <w:color w:val="000000"/>
                <w:sz w:val="18"/>
                <w:szCs w:val="22"/>
              </w:rPr>
              <w:t xml:space="preserve"> and &lt;</w:t>
            </w:r>
            <w:r w:rsidR="00AB546E" w:rsidRPr="00AB09DC">
              <w:rPr>
                <w:rFonts w:ascii="Arial" w:hAnsi="Arial" w:cs="Arial"/>
                <w:color w:val="000000"/>
                <w:sz w:val="18"/>
                <w:szCs w:val="22"/>
              </w:rPr>
              <w:t>140</w:t>
            </w:r>
            <w:r w:rsidRPr="00AB09DC">
              <w:rPr>
                <w:rFonts w:ascii="Arial" w:hAnsi="Arial" w:cs="Arial"/>
                <w:color w:val="000000"/>
                <w:sz w:val="18"/>
                <w:szCs w:val="22"/>
              </w:rPr>
              <w:t xml:space="preserve"> LPW</w:t>
            </w:r>
          </w:p>
        </w:tc>
        <w:tc>
          <w:tcPr>
            <w:tcW w:w="1350" w:type="dxa"/>
            <w:vAlign w:val="center"/>
          </w:tcPr>
          <w:p w14:paraId="2E281478" w14:textId="29C2D4EC" w:rsidR="00661F2B" w:rsidRPr="00AB09DC" w:rsidRDefault="00661F2B" w:rsidP="00C060C8">
            <w:pPr>
              <w:jc w:val="center"/>
              <w:rPr>
                <w:rFonts w:ascii="Arial" w:hAnsi="Arial" w:cs="Arial"/>
                <w:color w:val="000000"/>
                <w:sz w:val="18"/>
                <w:szCs w:val="22"/>
              </w:rPr>
            </w:pPr>
            <w:r w:rsidRPr="00AB09DC">
              <w:rPr>
                <w:rFonts w:ascii="Arial" w:hAnsi="Arial" w:cs="Arial"/>
                <w:color w:val="000000"/>
                <w:sz w:val="18"/>
                <w:szCs w:val="22"/>
              </w:rPr>
              <w:t>1</w:t>
            </w:r>
            <w:r w:rsidR="00914FD7" w:rsidRPr="00AB09DC">
              <w:rPr>
                <w:rFonts w:ascii="Arial" w:hAnsi="Arial" w:cs="Arial"/>
                <w:color w:val="000000"/>
                <w:sz w:val="18"/>
                <w:szCs w:val="22"/>
              </w:rPr>
              <w:t>0</w:t>
            </w:r>
            <w:r w:rsidR="00A2602B">
              <w:rPr>
                <w:rFonts w:ascii="Arial" w:hAnsi="Arial" w:cs="Arial"/>
                <w:color w:val="000000"/>
                <w:sz w:val="18"/>
                <w:szCs w:val="22"/>
              </w:rPr>
              <w:t>.6</w:t>
            </w:r>
          </w:p>
        </w:tc>
        <w:tc>
          <w:tcPr>
            <w:tcW w:w="1710" w:type="dxa"/>
            <w:vAlign w:val="center"/>
          </w:tcPr>
          <w:p w14:paraId="52A602F4" w14:textId="77777777" w:rsidR="00661F2B" w:rsidRPr="00AB09DC" w:rsidRDefault="00AB546E">
            <w:pPr>
              <w:jc w:val="center"/>
              <w:rPr>
                <w:rFonts w:ascii="Arial" w:hAnsi="Arial" w:cs="Arial"/>
                <w:color w:val="000000"/>
                <w:sz w:val="18"/>
                <w:szCs w:val="22"/>
              </w:rPr>
            </w:pPr>
            <w:r w:rsidRPr="00AB09DC">
              <w:rPr>
                <w:rFonts w:ascii="Arial" w:hAnsi="Arial" w:cs="Arial"/>
                <w:color w:val="000000"/>
                <w:sz w:val="18"/>
                <w:szCs w:val="22"/>
              </w:rPr>
              <w:t>8.0</w:t>
            </w:r>
          </w:p>
        </w:tc>
        <w:tc>
          <w:tcPr>
            <w:tcW w:w="1710" w:type="dxa"/>
            <w:vAlign w:val="center"/>
          </w:tcPr>
          <w:p w14:paraId="45CC2FCB" w14:textId="592575FD" w:rsidR="00661F2B" w:rsidRPr="00AB09DC" w:rsidRDefault="00914FD7" w:rsidP="00661F2B">
            <w:pPr>
              <w:jc w:val="center"/>
              <w:rPr>
                <w:rFonts w:ascii="Arial" w:hAnsi="Arial" w:cs="Arial"/>
                <w:sz w:val="18"/>
                <w:szCs w:val="22"/>
              </w:rPr>
            </w:pPr>
            <w:r w:rsidRPr="00AB09DC">
              <w:rPr>
                <w:rFonts w:ascii="Arial" w:hAnsi="Arial" w:cs="Arial"/>
                <w:sz w:val="18"/>
                <w:szCs w:val="22"/>
              </w:rPr>
              <w:t>2.</w:t>
            </w:r>
            <w:r w:rsidR="00A2602B">
              <w:rPr>
                <w:rFonts w:ascii="Arial" w:hAnsi="Arial" w:cs="Arial"/>
                <w:sz w:val="18"/>
                <w:szCs w:val="22"/>
              </w:rPr>
              <w:t>6</w:t>
            </w:r>
          </w:p>
        </w:tc>
      </w:tr>
      <w:tr w:rsidR="00661F2B" w:rsidRPr="00C27933" w14:paraId="6B909F65" w14:textId="77777777" w:rsidTr="00A2602B">
        <w:tc>
          <w:tcPr>
            <w:tcW w:w="4248" w:type="dxa"/>
            <w:vAlign w:val="center"/>
          </w:tcPr>
          <w:p w14:paraId="045975F1" w14:textId="2A74474C" w:rsidR="00661F2B" w:rsidRPr="00AB09DC" w:rsidRDefault="00661F2B">
            <w:pPr>
              <w:rPr>
                <w:rFonts w:ascii="Arial" w:hAnsi="Arial" w:cs="Arial"/>
                <w:color w:val="000000"/>
                <w:sz w:val="18"/>
                <w:szCs w:val="22"/>
              </w:rPr>
            </w:pPr>
            <w:r w:rsidRPr="00AB09DC">
              <w:rPr>
                <w:rFonts w:ascii="Arial" w:hAnsi="Arial" w:cs="Arial"/>
                <w:color w:val="000000"/>
                <w:sz w:val="18"/>
                <w:szCs w:val="22"/>
              </w:rPr>
              <w:t xml:space="preserve">LED </w:t>
            </w:r>
            <w:r w:rsidR="00C1087A" w:rsidRPr="00AB09DC">
              <w:rPr>
                <w:rFonts w:ascii="Arial" w:hAnsi="Arial" w:cs="Arial"/>
                <w:color w:val="000000"/>
                <w:sz w:val="18"/>
                <w:szCs w:val="22"/>
              </w:rPr>
              <w:t xml:space="preserve">Troffer </w:t>
            </w:r>
            <w:r w:rsidRPr="00AB09DC">
              <w:rPr>
                <w:rFonts w:ascii="Arial" w:hAnsi="Arial" w:cs="Arial"/>
                <w:color w:val="000000"/>
                <w:sz w:val="18"/>
                <w:szCs w:val="22"/>
              </w:rPr>
              <w:t>Luminaires/Retrofit Kits rated ≥</w:t>
            </w:r>
            <w:r w:rsidR="00AB546E" w:rsidRPr="00AB09DC">
              <w:rPr>
                <w:rFonts w:ascii="Arial" w:hAnsi="Arial" w:cs="Arial"/>
                <w:color w:val="000000"/>
                <w:sz w:val="18"/>
                <w:szCs w:val="22"/>
              </w:rPr>
              <w:t>140</w:t>
            </w:r>
            <w:r w:rsidRPr="00AB09DC">
              <w:rPr>
                <w:rFonts w:ascii="Arial" w:hAnsi="Arial" w:cs="Arial"/>
                <w:color w:val="000000"/>
                <w:sz w:val="18"/>
                <w:szCs w:val="22"/>
              </w:rPr>
              <w:t xml:space="preserve"> LPW</w:t>
            </w:r>
          </w:p>
        </w:tc>
        <w:tc>
          <w:tcPr>
            <w:tcW w:w="1350" w:type="dxa"/>
            <w:vAlign w:val="center"/>
          </w:tcPr>
          <w:p w14:paraId="770E589E" w14:textId="1112B763" w:rsidR="00661F2B" w:rsidRPr="00AB09DC" w:rsidRDefault="00661F2B" w:rsidP="006F0984">
            <w:pPr>
              <w:jc w:val="center"/>
              <w:rPr>
                <w:rFonts w:ascii="Arial" w:hAnsi="Arial" w:cs="Arial"/>
                <w:color w:val="000000"/>
                <w:sz w:val="18"/>
                <w:szCs w:val="22"/>
              </w:rPr>
            </w:pPr>
            <w:r w:rsidRPr="00AB09DC">
              <w:rPr>
                <w:rFonts w:ascii="Arial" w:hAnsi="Arial" w:cs="Arial"/>
                <w:color w:val="000000"/>
                <w:sz w:val="18"/>
                <w:szCs w:val="22"/>
              </w:rPr>
              <w:t>1</w:t>
            </w:r>
            <w:r w:rsidR="00914FD7" w:rsidRPr="00AB09DC">
              <w:rPr>
                <w:rFonts w:ascii="Arial" w:hAnsi="Arial" w:cs="Arial"/>
                <w:color w:val="000000"/>
                <w:sz w:val="18"/>
                <w:szCs w:val="22"/>
              </w:rPr>
              <w:t>0</w:t>
            </w:r>
            <w:r w:rsidR="00A2602B">
              <w:rPr>
                <w:rFonts w:ascii="Arial" w:hAnsi="Arial" w:cs="Arial"/>
                <w:color w:val="000000"/>
                <w:sz w:val="18"/>
                <w:szCs w:val="22"/>
              </w:rPr>
              <w:t>.6</w:t>
            </w:r>
          </w:p>
        </w:tc>
        <w:tc>
          <w:tcPr>
            <w:tcW w:w="1710" w:type="dxa"/>
            <w:vAlign w:val="center"/>
          </w:tcPr>
          <w:p w14:paraId="7C6A9CD5" w14:textId="77777777" w:rsidR="00661F2B" w:rsidRPr="00AB09DC" w:rsidRDefault="00AB546E">
            <w:pPr>
              <w:jc w:val="center"/>
              <w:rPr>
                <w:rFonts w:ascii="Arial" w:hAnsi="Arial" w:cs="Arial"/>
                <w:color w:val="000000"/>
                <w:sz w:val="18"/>
                <w:szCs w:val="22"/>
              </w:rPr>
            </w:pPr>
            <w:r w:rsidRPr="00AB09DC">
              <w:rPr>
                <w:rFonts w:ascii="Arial" w:hAnsi="Arial" w:cs="Arial"/>
                <w:color w:val="000000"/>
                <w:sz w:val="18"/>
                <w:szCs w:val="22"/>
              </w:rPr>
              <w:t>7.1</w:t>
            </w:r>
          </w:p>
        </w:tc>
        <w:tc>
          <w:tcPr>
            <w:tcW w:w="1710" w:type="dxa"/>
            <w:vAlign w:val="center"/>
          </w:tcPr>
          <w:p w14:paraId="210F85E6" w14:textId="7A9A9A46" w:rsidR="00661F2B" w:rsidRPr="00AB09DC" w:rsidRDefault="00914FD7" w:rsidP="00A2602B">
            <w:pPr>
              <w:jc w:val="center"/>
              <w:rPr>
                <w:rFonts w:ascii="Arial" w:hAnsi="Arial" w:cs="Arial"/>
                <w:sz w:val="18"/>
                <w:szCs w:val="22"/>
              </w:rPr>
            </w:pPr>
            <w:r w:rsidRPr="00AB09DC">
              <w:rPr>
                <w:rFonts w:ascii="Arial" w:hAnsi="Arial" w:cs="Arial"/>
                <w:sz w:val="18"/>
                <w:szCs w:val="22"/>
              </w:rPr>
              <w:t>3</w:t>
            </w:r>
            <w:r w:rsidR="00AB546E" w:rsidRPr="00AB09DC">
              <w:rPr>
                <w:rFonts w:ascii="Arial" w:hAnsi="Arial" w:cs="Arial"/>
                <w:sz w:val="18"/>
                <w:szCs w:val="22"/>
              </w:rPr>
              <w:t>.</w:t>
            </w:r>
            <w:r w:rsidR="00A2602B">
              <w:rPr>
                <w:rFonts w:ascii="Arial" w:hAnsi="Arial" w:cs="Arial"/>
                <w:sz w:val="18"/>
                <w:szCs w:val="22"/>
              </w:rPr>
              <w:t>4</w:t>
            </w:r>
            <w:r w:rsidR="00AB546E" w:rsidRPr="00AB09DC">
              <w:rPr>
                <w:rFonts w:ascii="Arial" w:hAnsi="Arial" w:cs="Arial"/>
                <w:sz w:val="18"/>
                <w:szCs w:val="22"/>
              </w:rPr>
              <w:t xml:space="preserve"> </w:t>
            </w:r>
          </w:p>
        </w:tc>
      </w:tr>
      <w:tr w:rsidR="00C1087A" w:rsidRPr="00C27933" w14:paraId="4FD251E5" w14:textId="77777777" w:rsidTr="00A2602B">
        <w:tc>
          <w:tcPr>
            <w:tcW w:w="4248" w:type="dxa"/>
            <w:vAlign w:val="center"/>
          </w:tcPr>
          <w:p w14:paraId="16BECD08" w14:textId="0AF603A3" w:rsidR="00C1087A" w:rsidRPr="00AB09DC" w:rsidRDefault="00C1087A" w:rsidP="00C1087A">
            <w:pPr>
              <w:rPr>
                <w:rFonts w:ascii="Arial" w:hAnsi="Arial" w:cs="Arial"/>
                <w:color w:val="000000"/>
                <w:sz w:val="18"/>
                <w:szCs w:val="22"/>
              </w:rPr>
            </w:pPr>
            <w:r w:rsidRPr="00AB09DC">
              <w:rPr>
                <w:rFonts w:ascii="Arial" w:hAnsi="Arial" w:cs="Arial"/>
                <w:color w:val="000000"/>
                <w:sz w:val="18"/>
                <w:szCs w:val="22"/>
              </w:rPr>
              <w:t>LED Linear Ambient Luminaires/Retrofit Kits rated ≥125 and &lt;140 LPW</w:t>
            </w:r>
          </w:p>
        </w:tc>
        <w:tc>
          <w:tcPr>
            <w:tcW w:w="1350" w:type="dxa"/>
            <w:vAlign w:val="center"/>
          </w:tcPr>
          <w:p w14:paraId="30CC7497" w14:textId="2947DCEC" w:rsidR="00C1087A" w:rsidRPr="00AB09DC" w:rsidRDefault="00A2602B" w:rsidP="00C1087A">
            <w:pPr>
              <w:jc w:val="center"/>
              <w:rPr>
                <w:rFonts w:ascii="Arial" w:hAnsi="Arial" w:cs="Arial"/>
                <w:color w:val="000000"/>
                <w:sz w:val="18"/>
                <w:szCs w:val="22"/>
              </w:rPr>
            </w:pPr>
            <w:r>
              <w:rPr>
                <w:rFonts w:ascii="Arial" w:hAnsi="Arial" w:cs="Arial"/>
                <w:color w:val="000000"/>
                <w:sz w:val="18"/>
                <w:szCs w:val="22"/>
              </w:rPr>
              <w:t>10.6</w:t>
            </w:r>
          </w:p>
        </w:tc>
        <w:tc>
          <w:tcPr>
            <w:tcW w:w="1710" w:type="dxa"/>
            <w:vAlign w:val="center"/>
          </w:tcPr>
          <w:p w14:paraId="2EA17FAD" w14:textId="6E9F3DA9" w:rsidR="00C1087A" w:rsidRPr="00AB09DC" w:rsidRDefault="00C1087A" w:rsidP="00C1087A">
            <w:pPr>
              <w:jc w:val="center"/>
              <w:rPr>
                <w:rFonts w:ascii="Arial" w:hAnsi="Arial" w:cs="Arial"/>
                <w:color w:val="000000"/>
                <w:sz w:val="18"/>
                <w:szCs w:val="22"/>
              </w:rPr>
            </w:pPr>
            <w:r w:rsidRPr="00AB09DC">
              <w:rPr>
                <w:rFonts w:ascii="Arial" w:hAnsi="Arial" w:cs="Arial"/>
                <w:color w:val="000000"/>
                <w:sz w:val="18"/>
                <w:szCs w:val="22"/>
              </w:rPr>
              <w:t>8.0</w:t>
            </w:r>
          </w:p>
        </w:tc>
        <w:tc>
          <w:tcPr>
            <w:tcW w:w="1710" w:type="dxa"/>
            <w:vAlign w:val="center"/>
          </w:tcPr>
          <w:p w14:paraId="04ABD9E1" w14:textId="7FE43F89" w:rsidR="00C1087A" w:rsidRPr="00AB09DC" w:rsidRDefault="00A2602B" w:rsidP="00C1087A">
            <w:pPr>
              <w:jc w:val="center"/>
              <w:rPr>
                <w:rFonts w:ascii="Arial" w:hAnsi="Arial" w:cs="Arial"/>
                <w:sz w:val="18"/>
                <w:szCs w:val="22"/>
              </w:rPr>
            </w:pPr>
            <w:r>
              <w:rPr>
                <w:rFonts w:ascii="Arial" w:hAnsi="Arial" w:cs="Arial"/>
                <w:sz w:val="18"/>
                <w:szCs w:val="22"/>
              </w:rPr>
              <w:t>2.6</w:t>
            </w:r>
          </w:p>
        </w:tc>
      </w:tr>
      <w:tr w:rsidR="00C1087A" w:rsidRPr="00C27933" w14:paraId="04D179D9" w14:textId="77777777" w:rsidTr="00A2602B">
        <w:tc>
          <w:tcPr>
            <w:tcW w:w="4248" w:type="dxa"/>
            <w:vAlign w:val="center"/>
          </w:tcPr>
          <w:p w14:paraId="529CB121" w14:textId="45A2D289" w:rsidR="00C1087A" w:rsidRPr="00AB09DC" w:rsidRDefault="00C1087A" w:rsidP="00C1087A">
            <w:pPr>
              <w:rPr>
                <w:rFonts w:ascii="Arial" w:hAnsi="Arial" w:cs="Arial"/>
                <w:color w:val="000000"/>
                <w:sz w:val="18"/>
                <w:szCs w:val="22"/>
              </w:rPr>
            </w:pPr>
            <w:r w:rsidRPr="00AB09DC">
              <w:rPr>
                <w:rFonts w:ascii="Arial" w:hAnsi="Arial" w:cs="Arial"/>
                <w:color w:val="000000"/>
                <w:sz w:val="18"/>
                <w:szCs w:val="22"/>
              </w:rPr>
              <w:t>LED Linear Ambient Luminaires/Retrofit Kits rated ≥140 LPW</w:t>
            </w:r>
          </w:p>
        </w:tc>
        <w:tc>
          <w:tcPr>
            <w:tcW w:w="1350" w:type="dxa"/>
            <w:vAlign w:val="center"/>
          </w:tcPr>
          <w:p w14:paraId="60443141" w14:textId="58238CCD" w:rsidR="00C1087A" w:rsidRPr="00AB09DC" w:rsidRDefault="00A2602B" w:rsidP="00C1087A">
            <w:pPr>
              <w:jc w:val="center"/>
              <w:rPr>
                <w:rFonts w:ascii="Arial" w:hAnsi="Arial" w:cs="Arial"/>
                <w:color w:val="000000"/>
                <w:sz w:val="18"/>
                <w:szCs w:val="22"/>
              </w:rPr>
            </w:pPr>
            <w:r>
              <w:rPr>
                <w:rFonts w:ascii="Arial" w:hAnsi="Arial" w:cs="Arial"/>
                <w:color w:val="000000"/>
                <w:sz w:val="18"/>
                <w:szCs w:val="22"/>
              </w:rPr>
              <w:t>10.6</w:t>
            </w:r>
          </w:p>
        </w:tc>
        <w:tc>
          <w:tcPr>
            <w:tcW w:w="1710" w:type="dxa"/>
            <w:vAlign w:val="center"/>
          </w:tcPr>
          <w:p w14:paraId="33226487" w14:textId="6621963A" w:rsidR="00C1087A" w:rsidRPr="00AB09DC" w:rsidRDefault="00C1087A" w:rsidP="00C1087A">
            <w:pPr>
              <w:jc w:val="center"/>
              <w:rPr>
                <w:rFonts w:ascii="Arial" w:hAnsi="Arial" w:cs="Arial"/>
                <w:color w:val="000000"/>
                <w:sz w:val="18"/>
                <w:szCs w:val="22"/>
              </w:rPr>
            </w:pPr>
            <w:r w:rsidRPr="00AB09DC">
              <w:rPr>
                <w:rFonts w:ascii="Arial" w:hAnsi="Arial" w:cs="Arial"/>
                <w:color w:val="000000"/>
                <w:sz w:val="18"/>
                <w:szCs w:val="22"/>
              </w:rPr>
              <w:t>7.1</w:t>
            </w:r>
          </w:p>
        </w:tc>
        <w:tc>
          <w:tcPr>
            <w:tcW w:w="1710" w:type="dxa"/>
            <w:vAlign w:val="center"/>
          </w:tcPr>
          <w:p w14:paraId="497767AF" w14:textId="50B8E554" w:rsidR="00C1087A" w:rsidRPr="00AB09DC" w:rsidRDefault="00A2602B" w:rsidP="00C1087A">
            <w:pPr>
              <w:jc w:val="center"/>
              <w:rPr>
                <w:rFonts w:ascii="Arial" w:hAnsi="Arial" w:cs="Arial"/>
                <w:sz w:val="18"/>
                <w:szCs w:val="22"/>
              </w:rPr>
            </w:pPr>
            <w:r>
              <w:rPr>
                <w:rFonts w:ascii="Arial" w:hAnsi="Arial" w:cs="Arial"/>
                <w:sz w:val="18"/>
                <w:szCs w:val="22"/>
              </w:rPr>
              <w:t>3.4</w:t>
            </w:r>
          </w:p>
        </w:tc>
      </w:tr>
    </w:tbl>
    <w:p w14:paraId="3CDF03AA" w14:textId="77777777" w:rsidR="00F661FF" w:rsidRDefault="00F661FF" w:rsidP="00F661FF">
      <w:pPr>
        <w:pStyle w:val="Heading2"/>
        <w:spacing w:before="120"/>
      </w:pPr>
      <w:bookmarkStart w:id="54" w:name="_Toc533933926"/>
    </w:p>
    <w:p w14:paraId="00378735" w14:textId="77777777" w:rsidR="00C069A2" w:rsidRDefault="00C069A2" w:rsidP="00F661FF">
      <w:pPr>
        <w:pStyle w:val="Heading2"/>
        <w:spacing w:before="120"/>
      </w:pPr>
      <w:bookmarkStart w:id="55" w:name="_Toc2808646"/>
      <w:r>
        <w:t xml:space="preserve">2.1 </w:t>
      </w:r>
      <w:r w:rsidR="007878B9">
        <w:t xml:space="preserve">Electric </w:t>
      </w:r>
      <w:r>
        <w:t>Energy Savings Estimation Methodologies</w:t>
      </w:r>
      <w:bookmarkEnd w:id="54"/>
      <w:bookmarkEnd w:id="55"/>
      <w:r w:rsidR="007C1DEB">
        <w:t xml:space="preserve"> </w:t>
      </w:r>
    </w:p>
    <w:p w14:paraId="6D4AB353" w14:textId="77777777" w:rsidR="00E97091" w:rsidRDefault="00F65E84" w:rsidP="00BC2543">
      <w:pPr>
        <w:rPr>
          <w:rFonts w:ascii="Arial" w:hAnsi="Arial" w:cs="Arial"/>
          <w:sz w:val="20"/>
          <w:szCs w:val="20"/>
        </w:rPr>
      </w:pPr>
      <w:r w:rsidRPr="00F65E84">
        <w:rPr>
          <w:rFonts w:ascii="Arial" w:hAnsi="Arial" w:cs="Arial"/>
          <w:sz w:val="20"/>
          <w:szCs w:val="20"/>
        </w:rPr>
        <w:t xml:space="preserve">The lighting wattage difference (Watts </w:t>
      </w:r>
      <w:r w:rsidRPr="00CF48A4">
        <w:rPr>
          <w:rFonts w:ascii="Arial" w:hAnsi="Arial" w:cs="Arial"/>
          <w:sz w:val="20"/>
          <w:szCs w:val="20"/>
        </w:rPr>
        <w:t xml:space="preserve">per unit) is the difference between the electric demand of the base </w:t>
      </w:r>
      <w:r w:rsidR="00DB520B" w:rsidRPr="00CF48A4">
        <w:rPr>
          <w:rFonts w:ascii="Arial" w:hAnsi="Arial" w:cs="Arial"/>
          <w:sz w:val="20"/>
          <w:szCs w:val="20"/>
        </w:rPr>
        <w:t xml:space="preserve">case </w:t>
      </w:r>
      <w:r w:rsidRPr="00CF48A4">
        <w:rPr>
          <w:rFonts w:ascii="Arial" w:hAnsi="Arial" w:cs="Arial"/>
          <w:sz w:val="20"/>
          <w:szCs w:val="20"/>
        </w:rPr>
        <w:t xml:space="preserve">unit and the electric demand of the </w:t>
      </w:r>
      <w:r w:rsidR="00DB520B" w:rsidRPr="00CF48A4">
        <w:rPr>
          <w:rFonts w:ascii="Arial" w:hAnsi="Arial" w:cs="Arial"/>
          <w:sz w:val="20"/>
          <w:szCs w:val="20"/>
        </w:rPr>
        <w:t>measure case</w:t>
      </w:r>
      <w:r w:rsidRPr="00CF48A4">
        <w:rPr>
          <w:rFonts w:ascii="Arial" w:hAnsi="Arial" w:cs="Arial"/>
          <w:sz w:val="20"/>
          <w:szCs w:val="20"/>
        </w:rPr>
        <w:t xml:space="preserve"> unit. </w:t>
      </w:r>
      <w:r w:rsidR="00BB6191" w:rsidRPr="008443D6">
        <w:rPr>
          <w:rFonts w:ascii="Arial" w:hAnsi="Arial" w:cs="Arial"/>
          <w:sz w:val="20"/>
          <w:szCs w:val="20"/>
        </w:rPr>
        <w:t>The operating hours and interactive effects for Commercial were taken from DEER 2016 data. The operating hours and interactive effects for Residential were taken from DEER 2017.</w:t>
      </w:r>
    </w:p>
    <w:p w14:paraId="65CE6466" w14:textId="77777777" w:rsidR="00BB6191" w:rsidRDefault="00BB6191" w:rsidP="00BC2543">
      <w:pPr>
        <w:rPr>
          <w:rFonts w:ascii="Arial" w:hAnsi="Arial" w:cs="Arial"/>
          <w:sz w:val="20"/>
          <w:szCs w:val="20"/>
        </w:rPr>
      </w:pPr>
    </w:p>
    <w:p w14:paraId="39EE7ED6" w14:textId="77777777" w:rsidR="00126A4E" w:rsidRPr="001A3026" w:rsidRDefault="00126A4E" w:rsidP="00CF3FF0">
      <w:pPr>
        <w:rPr>
          <w:rFonts w:ascii="Arial" w:hAnsi="Arial" w:cs="Arial"/>
          <w:sz w:val="20"/>
          <w:szCs w:val="20"/>
        </w:rPr>
      </w:pPr>
      <w:r w:rsidRPr="00CF3FF0">
        <w:rPr>
          <w:rFonts w:ascii="Arial" w:hAnsi="Arial" w:cs="Arial"/>
          <w:b/>
          <w:sz w:val="20"/>
          <w:szCs w:val="20"/>
        </w:rPr>
        <w:t>∆Watts/</w:t>
      </w:r>
      <w:proofErr w:type="spellStart"/>
      <w:r w:rsidR="00230617">
        <w:rPr>
          <w:rFonts w:ascii="Arial" w:hAnsi="Arial" w:cs="Arial"/>
          <w:b/>
          <w:sz w:val="20"/>
          <w:szCs w:val="20"/>
        </w:rPr>
        <w:t>kilolumen</w:t>
      </w:r>
      <w:proofErr w:type="spellEnd"/>
      <w:r w:rsidRPr="00CF3FF0">
        <w:rPr>
          <w:rFonts w:ascii="Arial" w:hAnsi="Arial" w:cs="Arial"/>
          <w:b/>
          <w:sz w:val="20"/>
          <w:szCs w:val="20"/>
        </w:rPr>
        <w:t>:</w:t>
      </w:r>
      <w:r w:rsidR="00CF3FF0" w:rsidRPr="00CF3FF0" w:rsidDel="00CF3FF0">
        <w:rPr>
          <w:rFonts w:ascii="Arial" w:hAnsi="Arial" w:cs="Arial"/>
          <w:b/>
          <w:sz w:val="20"/>
          <w:szCs w:val="20"/>
        </w:rPr>
        <w:t xml:space="preserve"> </w:t>
      </w:r>
      <w:r w:rsidRPr="001A3026">
        <w:rPr>
          <w:rFonts w:ascii="Arial" w:hAnsi="Arial" w:cs="Arial"/>
          <w:sz w:val="20"/>
          <w:szCs w:val="20"/>
        </w:rPr>
        <w:t xml:space="preserve">The demand difference (watts per </w:t>
      </w:r>
      <w:proofErr w:type="spellStart"/>
      <w:r w:rsidR="00230617">
        <w:rPr>
          <w:rFonts w:ascii="Arial" w:hAnsi="Arial" w:cs="Arial"/>
          <w:sz w:val="20"/>
          <w:szCs w:val="20"/>
        </w:rPr>
        <w:t>kilolumen</w:t>
      </w:r>
      <w:proofErr w:type="spellEnd"/>
      <w:r w:rsidRPr="001A3026">
        <w:rPr>
          <w:rFonts w:ascii="Arial" w:hAnsi="Arial" w:cs="Arial"/>
          <w:sz w:val="20"/>
          <w:szCs w:val="20"/>
        </w:rPr>
        <w:t xml:space="preserve">) is simply the difference between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the</w:t>
      </w:r>
      <w:r w:rsidRPr="001A3026">
        <w:rPr>
          <w:rFonts w:ascii="Arial" w:hAnsi="Arial" w:cs="Arial"/>
          <w:sz w:val="20"/>
          <w:szCs w:val="20"/>
        </w:rPr>
        <w:t xml:space="preserve"> base </w:t>
      </w:r>
      <w:r w:rsidR="00DB520B">
        <w:rPr>
          <w:rFonts w:ascii="Arial" w:hAnsi="Arial" w:cs="Arial"/>
          <w:sz w:val="20"/>
          <w:szCs w:val="20"/>
        </w:rPr>
        <w:t xml:space="preserve">case </w:t>
      </w:r>
      <w:r w:rsidR="00230617">
        <w:rPr>
          <w:rFonts w:ascii="Arial" w:hAnsi="Arial" w:cs="Arial"/>
          <w:sz w:val="20"/>
          <w:szCs w:val="20"/>
        </w:rPr>
        <w:t>fixture</w:t>
      </w:r>
      <w:r w:rsidR="004F12E7" w:rsidRPr="001A3026">
        <w:rPr>
          <w:rFonts w:ascii="Arial" w:hAnsi="Arial" w:cs="Arial"/>
          <w:sz w:val="20"/>
          <w:szCs w:val="20"/>
        </w:rPr>
        <w:t xml:space="preserve"> </w:t>
      </w:r>
      <w:r w:rsidRPr="001A3026">
        <w:rPr>
          <w:rFonts w:ascii="Arial" w:hAnsi="Arial" w:cs="Arial"/>
          <w:sz w:val="20"/>
          <w:szCs w:val="20"/>
        </w:rPr>
        <w:t xml:space="preserve">and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w:t>
      </w:r>
      <w:r w:rsidRPr="001A3026">
        <w:rPr>
          <w:rFonts w:ascii="Arial" w:hAnsi="Arial" w:cs="Arial"/>
          <w:sz w:val="20"/>
          <w:szCs w:val="20"/>
        </w:rPr>
        <w:t xml:space="preserve">the </w:t>
      </w:r>
      <w:r w:rsidR="00DB520B">
        <w:rPr>
          <w:rFonts w:ascii="Arial" w:hAnsi="Arial" w:cs="Arial"/>
          <w:sz w:val="20"/>
          <w:szCs w:val="20"/>
        </w:rPr>
        <w:t>measure case</w:t>
      </w:r>
      <w:r w:rsidRPr="001A3026">
        <w:rPr>
          <w:rFonts w:ascii="Arial" w:hAnsi="Arial" w:cs="Arial"/>
          <w:sz w:val="20"/>
          <w:szCs w:val="20"/>
        </w:rPr>
        <w:t xml:space="preserve"> </w:t>
      </w:r>
      <w:r w:rsidR="00C45648">
        <w:rPr>
          <w:rFonts w:ascii="Arial" w:hAnsi="Arial" w:cs="Arial"/>
          <w:sz w:val="20"/>
          <w:szCs w:val="20"/>
        </w:rPr>
        <w:t>fixture</w:t>
      </w:r>
      <w:r w:rsidRPr="001A3026">
        <w:rPr>
          <w:rFonts w:ascii="Arial" w:hAnsi="Arial" w:cs="Arial"/>
          <w:sz w:val="20"/>
          <w:szCs w:val="20"/>
        </w:rPr>
        <w:t>.</w:t>
      </w:r>
    </w:p>
    <w:p w14:paraId="0D84B328" w14:textId="77777777" w:rsidR="00126A4E" w:rsidRPr="00446895" w:rsidRDefault="00126A4E" w:rsidP="00CC34FF">
      <w:pPr>
        <w:ind w:left="720"/>
        <w:rPr>
          <w:rFonts w:ascii="Arial" w:hAnsi="Arial" w:cs="Arial"/>
          <w:sz w:val="20"/>
          <w:szCs w:val="20"/>
        </w:rPr>
      </w:pPr>
      <w:r w:rsidRPr="00446895">
        <w:rPr>
          <w:rFonts w:ascii="Arial" w:hAnsi="Arial" w:cs="Arial"/>
          <w:sz w:val="20"/>
          <w:szCs w:val="20"/>
        </w:rPr>
        <w:t>∆Watts/</w:t>
      </w:r>
      <w:proofErr w:type="spellStart"/>
      <w:r w:rsidR="00230617">
        <w:rPr>
          <w:rFonts w:ascii="Arial" w:hAnsi="Arial" w:cs="Arial"/>
          <w:sz w:val="20"/>
          <w:szCs w:val="20"/>
        </w:rPr>
        <w:t>kilolumen</w:t>
      </w:r>
      <w:proofErr w:type="spellEnd"/>
      <w:r w:rsidR="00794E75" w:rsidRPr="00446895">
        <w:rPr>
          <w:rFonts w:ascii="Arial" w:hAnsi="Arial" w:cs="Arial"/>
          <w:sz w:val="20"/>
          <w:szCs w:val="20"/>
        </w:rPr>
        <w:t xml:space="preserve"> </w:t>
      </w:r>
      <w:r w:rsidRPr="00446895">
        <w:rPr>
          <w:rFonts w:ascii="Arial" w:hAnsi="Arial" w:cs="Arial"/>
          <w:sz w:val="20"/>
          <w:szCs w:val="20"/>
        </w:rPr>
        <w:t>= Base</w:t>
      </w:r>
      <w:r w:rsidR="001A3026" w:rsidRPr="00446895">
        <w:rPr>
          <w:rFonts w:ascii="Arial" w:hAnsi="Arial" w:cs="Arial"/>
          <w:sz w:val="20"/>
          <w:szCs w:val="20"/>
        </w:rPr>
        <w:t xml:space="preserve"> Case</w:t>
      </w:r>
      <w:r w:rsidRPr="00446895">
        <w:rPr>
          <w:rFonts w:ascii="Arial" w:hAnsi="Arial" w:cs="Arial"/>
          <w:sz w:val="20"/>
          <w:szCs w:val="20"/>
        </w:rPr>
        <w:t xml:space="preserve"> Watts/</w:t>
      </w:r>
      <w:proofErr w:type="spellStart"/>
      <w:r w:rsidR="00230617">
        <w:rPr>
          <w:rFonts w:ascii="Arial" w:hAnsi="Arial" w:cs="Arial"/>
          <w:sz w:val="20"/>
          <w:szCs w:val="20"/>
        </w:rPr>
        <w:t>kilolumen</w:t>
      </w:r>
      <w:proofErr w:type="spellEnd"/>
      <w:r w:rsidR="00BB4412" w:rsidRPr="00446895">
        <w:rPr>
          <w:rFonts w:ascii="Arial" w:hAnsi="Arial" w:cs="Arial"/>
          <w:sz w:val="20"/>
          <w:szCs w:val="20"/>
        </w:rPr>
        <w:t xml:space="preserve"> </w:t>
      </w:r>
      <w:r w:rsidRPr="00446895">
        <w:rPr>
          <w:rFonts w:ascii="Arial" w:hAnsi="Arial" w:cs="Arial"/>
          <w:sz w:val="20"/>
          <w:szCs w:val="20"/>
        </w:rPr>
        <w:t>-</w:t>
      </w:r>
      <w:r w:rsidR="00476B67" w:rsidRPr="00446895">
        <w:rPr>
          <w:rFonts w:ascii="Arial" w:hAnsi="Arial" w:cs="Arial"/>
          <w:sz w:val="20"/>
          <w:szCs w:val="20"/>
        </w:rPr>
        <w:t xml:space="preserve"> </w:t>
      </w:r>
      <w:r w:rsidR="001A3026" w:rsidRPr="00446895">
        <w:rPr>
          <w:rFonts w:ascii="Arial" w:hAnsi="Arial" w:cs="Arial"/>
          <w:sz w:val="20"/>
          <w:szCs w:val="20"/>
        </w:rPr>
        <w:t xml:space="preserve">Measure Case </w:t>
      </w:r>
      <w:r w:rsidRPr="00446895">
        <w:rPr>
          <w:rFonts w:ascii="Arial" w:hAnsi="Arial" w:cs="Arial"/>
          <w:sz w:val="20"/>
          <w:szCs w:val="20"/>
        </w:rPr>
        <w:t>Watts</w:t>
      </w:r>
      <w:r w:rsidR="00AD322C" w:rsidRPr="00446895">
        <w:rPr>
          <w:rFonts w:ascii="Arial" w:hAnsi="Arial" w:cs="Arial"/>
          <w:sz w:val="20"/>
          <w:szCs w:val="20"/>
        </w:rPr>
        <w:t>/</w:t>
      </w:r>
      <w:proofErr w:type="spellStart"/>
      <w:r w:rsidR="00230617">
        <w:rPr>
          <w:rFonts w:ascii="Arial" w:hAnsi="Arial" w:cs="Arial"/>
          <w:sz w:val="20"/>
          <w:szCs w:val="20"/>
        </w:rPr>
        <w:t>kilolumen</w:t>
      </w:r>
      <w:proofErr w:type="spellEnd"/>
    </w:p>
    <w:p w14:paraId="36D9D016" w14:textId="77777777" w:rsidR="00126A4E" w:rsidRPr="00446895" w:rsidRDefault="00126A4E" w:rsidP="00126A4E">
      <w:pPr>
        <w:rPr>
          <w:rFonts w:ascii="Arial" w:hAnsi="Arial" w:cs="Arial"/>
          <w:sz w:val="20"/>
          <w:szCs w:val="20"/>
        </w:rPr>
      </w:pPr>
    </w:p>
    <w:p w14:paraId="5D10AB91" w14:textId="77777777" w:rsidR="00CC6DB2" w:rsidRPr="00446895" w:rsidRDefault="00CC6DB2" w:rsidP="00CC6DB2">
      <w:pPr>
        <w:rPr>
          <w:rFonts w:ascii="Arial" w:hAnsi="Arial" w:cs="Arial"/>
          <w:b/>
          <w:sz w:val="20"/>
          <w:szCs w:val="20"/>
        </w:rPr>
      </w:pPr>
      <w:r w:rsidRPr="00446895">
        <w:rPr>
          <w:rFonts w:ascii="Arial" w:hAnsi="Arial" w:cs="Arial"/>
          <w:b/>
          <w:sz w:val="20"/>
          <w:szCs w:val="20"/>
        </w:rPr>
        <w:t>Example:</w:t>
      </w:r>
    </w:p>
    <w:p w14:paraId="6392AFC4" w14:textId="1E757323" w:rsidR="00CC6DB2" w:rsidRPr="00446895" w:rsidRDefault="00CC6DB2" w:rsidP="00CC6DB2">
      <w:pPr>
        <w:ind w:firstLine="720"/>
        <w:rPr>
          <w:rFonts w:ascii="Arial" w:hAnsi="Arial" w:cs="Arial"/>
          <w:sz w:val="20"/>
          <w:szCs w:val="20"/>
        </w:rPr>
      </w:pPr>
      <w:r w:rsidRPr="00446895">
        <w:rPr>
          <w:rFonts w:ascii="Arial" w:hAnsi="Arial" w:cs="Arial"/>
          <w:sz w:val="20"/>
          <w:szCs w:val="20"/>
        </w:rPr>
        <w:t>∆Watts/</w:t>
      </w:r>
      <w:proofErr w:type="spellStart"/>
      <w:r w:rsidR="00230617">
        <w:rPr>
          <w:rFonts w:ascii="Arial" w:hAnsi="Arial" w:cs="Arial"/>
          <w:sz w:val="20"/>
          <w:szCs w:val="20"/>
        </w:rPr>
        <w:t>kilolumen</w:t>
      </w:r>
      <w:proofErr w:type="spellEnd"/>
      <w:r w:rsidRPr="00446895">
        <w:rPr>
          <w:rFonts w:ascii="Arial" w:hAnsi="Arial" w:cs="Arial"/>
          <w:sz w:val="20"/>
          <w:szCs w:val="20"/>
        </w:rPr>
        <w:t xml:space="preserve"> = </w:t>
      </w:r>
      <w:r w:rsidR="00914FD7">
        <w:rPr>
          <w:rFonts w:ascii="Arial" w:hAnsi="Arial" w:cs="Arial"/>
          <w:sz w:val="20"/>
          <w:szCs w:val="20"/>
        </w:rPr>
        <w:t>10</w:t>
      </w:r>
      <w:r w:rsidR="00C71263">
        <w:rPr>
          <w:rFonts w:ascii="Arial" w:hAnsi="Arial" w:cs="Arial"/>
          <w:sz w:val="20"/>
          <w:szCs w:val="20"/>
        </w:rPr>
        <w:t>.</w:t>
      </w:r>
      <w:r w:rsidR="00A2602B">
        <w:rPr>
          <w:rFonts w:ascii="Arial" w:hAnsi="Arial" w:cs="Arial"/>
          <w:sz w:val="20"/>
          <w:szCs w:val="20"/>
        </w:rPr>
        <w:t>6</w:t>
      </w:r>
      <w:r w:rsidRPr="00446895">
        <w:rPr>
          <w:rFonts w:ascii="Arial" w:hAnsi="Arial" w:cs="Arial"/>
          <w:sz w:val="20"/>
          <w:szCs w:val="20"/>
        </w:rPr>
        <w:t xml:space="preserve"> W –</w:t>
      </w:r>
      <w:r w:rsidR="00C45648">
        <w:rPr>
          <w:rFonts w:ascii="Arial" w:hAnsi="Arial" w:cs="Arial"/>
          <w:sz w:val="20"/>
          <w:szCs w:val="20"/>
        </w:rPr>
        <w:t xml:space="preserve"> </w:t>
      </w:r>
      <w:r w:rsidR="00AB546E">
        <w:rPr>
          <w:rFonts w:ascii="Arial" w:hAnsi="Arial" w:cs="Arial"/>
          <w:sz w:val="20"/>
          <w:szCs w:val="20"/>
        </w:rPr>
        <w:t>8.0</w:t>
      </w:r>
      <w:r w:rsidR="00923BC4" w:rsidRPr="00446895">
        <w:rPr>
          <w:rFonts w:ascii="Arial" w:hAnsi="Arial" w:cs="Arial"/>
          <w:sz w:val="20"/>
          <w:szCs w:val="20"/>
        </w:rPr>
        <w:t xml:space="preserve"> </w:t>
      </w:r>
      <w:r w:rsidRPr="00446895">
        <w:rPr>
          <w:rFonts w:ascii="Arial" w:hAnsi="Arial" w:cs="Arial"/>
          <w:sz w:val="20"/>
          <w:szCs w:val="20"/>
        </w:rPr>
        <w:t xml:space="preserve">W = </w:t>
      </w:r>
      <w:r w:rsidR="00914FD7">
        <w:rPr>
          <w:rFonts w:ascii="Arial" w:hAnsi="Arial" w:cs="Arial"/>
          <w:sz w:val="20"/>
          <w:szCs w:val="20"/>
        </w:rPr>
        <w:t>2</w:t>
      </w:r>
      <w:r w:rsidR="00AB546E">
        <w:rPr>
          <w:rFonts w:ascii="Arial" w:hAnsi="Arial" w:cs="Arial"/>
          <w:sz w:val="20"/>
          <w:szCs w:val="20"/>
        </w:rPr>
        <w:t>.</w:t>
      </w:r>
      <w:r w:rsidR="00A2602B">
        <w:rPr>
          <w:rFonts w:ascii="Arial" w:hAnsi="Arial" w:cs="Arial"/>
          <w:sz w:val="20"/>
          <w:szCs w:val="20"/>
        </w:rPr>
        <w:t>6</w:t>
      </w:r>
    </w:p>
    <w:p w14:paraId="0D6DE718" w14:textId="77777777" w:rsidR="00CC6DB2" w:rsidRPr="00446895" w:rsidRDefault="00CC6DB2" w:rsidP="00CC6DB2">
      <w:pPr>
        <w:rPr>
          <w:rFonts w:ascii="Arial" w:hAnsi="Arial" w:cs="Arial"/>
          <w:sz w:val="20"/>
          <w:szCs w:val="20"/>
        </w:rPr>
      </w:pPr>
    </w:p>
    <w:p w14:paraId="4C4744FB" w14:textId="77777777" w:rsidR="00126A4E" w:rsidRPr="00446895" w:rsidRDefault="00B42822" w:rsidP="00CC6DB2">
      <w:pPr>
        <w:rPr>
          <w:rFonts w:ascii="Arial" w:hAnsi="Arial" w:cs="Arial"/>
          <w:b/>
          <w:sz w:val="20"/>
          <w:szCs w:val="20"/>
        </w:rPr>
      </w:pPr>
      <w:r w:rsidRPr="00446895">
        <w:rPr>
          <w:rFonts w:ascii="Arial" w:hAnsi="Arial" w:cs="Arial"/>
          <w:b/>
          <w:sz w:val="20"/>
          <w:szCs w:val="20"/>
        </w:rPr>
        <w:t>Annual Electric</w:t>
      </w:r>
      <w:r w:rsidR="00126A4E" w:rsidRPr="00446895">
        <w:rPr>
          <w:rFonts w:ascii="Arial" w:hAnsi="Arial" w:cs="Arial"/>
          <w:b/>
          <w:sz w:val="20"/>
          <w:szCs w:val="20"/>
        </w:rPr>
        <w:t xml:space="preserve"> Savings:</w:t>
      </w:r>
    </w:p>
    <w:p w14:paraId="652E330A" w14:textId="77777777" w:rsidR="00126A4E" w:rsidRPr="00446895" w:rsidRDefault="004203DD" w:rsidP="004F12E7">
      <w:pPr>
        <w:ind w:left="720"/>
        <w:rPr>
          <w:rFonts w:ascii="Arial" w:hAnsi="Arial" w:cs="Arial"/>
          <w:sz w:val="20"/>
          <w:szCs w:val="20"/>
        </w:rPr>
      </w:pPr>
      <w:r w:rsidRPr="00446895">
        <w:rPr>
          <w:rFonts w:ascii="Arial" w:hAnsi="Arial" w:cs="Arial"/>
          <w:sz w:val="20"/>
          <w:szCs w:val="20"/>
        </w:rPr>
        <w:t xml:space="preserve">Annual </w:t>
      </w:r>
      <w:r w:rsidR="00126A4E" w:rsidRPr="00446895">
        <w:rPr>
          <w:rFonts w:ascii="Arial" w:hAnsi="Arial" w:cs="Arial"/>
          <w:sz w:val="20"/>
          <w:szCs w:val="20"/>
        </w:rPr>
        <w:t>Energy Savings [kWh/</w:t>
      </w:r>
      <w:proofErr w:type="spellStart"/>
      <w:r w:rsidR="00230617">
        <w:rPr>
          <w:rFonts w:ascii="Arial" w:hAnsi="Arial" w:cs="Arial"/>
          <w:sz w:val="20"/>
          <w:szCs w:val="20"/>
        </w:rPr>
        <w:t>kilolumen</w:t>
      </w:r>
      <w:proofErr w:type="spellEnd"/>
      <w:r w:rsidR="00126A4E" w:rsidRPr="00446895">
        <w:rPr>
          <w:rFonts w:ascii="Arial" w:hAnsi="Arial" w:cs="Arial"/>
          <w:sz w:val="20"/>
          <w:szCs w:val="20"/>
        </w:rPr>
        <w:t>] = (∆Watts/</w:t>
      </w:r>
      <w:proofErr w:type="spellStart"/>
      <w:r w:rsidR="00230617">
        <w:rPr>
          <w:rFonts w:ascii="Arial" w:hAnsi="Arial" w:cs="Arial"/>
          <w:sz w:val="20"/>
          <w:szCs w:val="20"/>
        </w:rPr>
        <w:t>kilolumen</w:t>
      </w:r>
      <w:proofErr w:type="spellEnd"/>
      <w:r w:rsidR="00126A4E" w:rsidRPr="00446895">
        <w:rPr>
          <w:rFonts w:ascii="Arial" w:hAnsi="Arial" w:cs="Arial"/>
          <w:sz w:val="20"/>
          <w:szCs w:val="20"/>
        </w:rPr>
        <w:t>) x (</w:t>
      </w:r>
      <w:r w:rsidR="007F14BA" w:rsidRPr="00446895">
        <w:rPr>
          <w:rFonts w:ascii="Arial" w:hAnsi="Arial" w:cs="Arial"/>
          <w:sz w:val="20"/>
          <w:szCs w:val="20"/>
        </w:rPr>
        <w:t>A</w:t>
      </w:r>
      <w:r w:rsidR="00AD322C" w:rsidRPr="00446895">
        <w:rPr>
          <w:rFonts w:ascii="Arial" w:hAnsi="Arial" w:cs="Arial"/>
          <w:sz w:val="20"/>
          <w:szCs w:val="20"/>
        </w:rPr>
        <w:t xml:space="preserve">nnual </w:t>
      </w:r>
      <w:r w:rsidR="007F14BA" w:rsidRPr="00446895">
        <w:rPr>
          <w:rFonts w:ascii="Arial" w:hAnsi="Arial" w:cs="Arial"/>
          <w:sz w:val="20"/>
          <w:szCs w:val="20"/>
        </w:rPr>
        <w:t>H</w:t>
      </w:r>
      <w:r w:rsidR="00AD322C" w:rsidRPr="00446895">
        <w:rPr>
          <w:rFonts w:ascii="Arial" w:hAnsi="Arial" w:cs="Arial"/>
          <w:sz w:val="20"/>
          <w:szCs w:val="20"/>
        </w:rPr>
        <w:t xml:space="preserve">ours of </w:t>
      </w:r>
      <w:r w:rsidR="007F14BA" w:rsidRPr="00446895">
        <w:rPr>
          <w:rFonts w:ascii="Arial" w:hAnsi="Arial" w:cs="Arial"/>
          <w:sz w:val="20"/>
          <w:szCs w:val="20"/>
        </w:rPr>
        <w:t>O</w:t>
      </w:r>
      <w:r w:rsidR="00AD322C" w:rsidRPr="00446895">
        <w:rPr>
          <w:rFonts w:ascii="Arial" w:hAnsi="Arial" w:cs="Arial"/>
          <w:sz w:val="20"/>
          <w:szCs w:val="20"/>
        </w:rPr>
        <w:t>peration</w:t>
      </w:r>
      <w:r w:rsidR="00CC34FF" w:rsidRPr="00446895">
        <w:rPr>
          <w:rFonts w:ascii="Arial" w:hAnsi="Arial" w:cs="Arial"/>
          <w:sz w:val="20"/>
          <w:szCs w:val="20"/>
        </w:rPr>
        <w:t>)</w:t>
      </w:r>
      <w:r w:rsidR="00AD322C" w:rsidRPr="00446895">
        <w:rPr>
          <w:rFonts w:ascii="Arial" w:hAnsi="Arial" w:cs="Arial"/>
          <w:sz w:val="20"/>
          <w:szCs w:val="20"/>
        </w:rPr>
        <w:t xml:space="preserve"> x (Energy Interactive Effects) </w:t>
      </w:r>
      <w:r w:rsidR="007F14BA" w:rsidRPr="00446895">
        <w:rPr>
          <w:rFonts w:ascii="Arial" w:hAnsi="Arial" w:cs="Arial"/>
          <w:sz w:val="20"/>
          <w:szCs w:val="20"/>
        </w:rPr>
        <w:t>/ (</w:t>
      </w:r>
      <w:r w:rsidR="00126A4E" w:rsidRPr="00446895">
        <w:rPr>
          <w:rFonts w:ascii="Arial" w:hAnsi="Arial" w:cs="Arial"/>
          <w:sz w:val="20"/>
          <w:szCs w:val="20"/>
        </w:rPr>
        <w:t>1,000 Watts / kW</w:t>
      </w:r>
      <w:r w:rsidR="007F14BA" w:rsidRPr="00446895">
        <w:rPr>
          <w:rFonts w:ascii="Arial" w:hAnsi="Arial" w:cs="Arial"/>
          <w:sz w:val="20"/>
          <w:szCs w:val="20"/>
        </w:rPr>
        <w:t>)</w:t>
      </w:r>
    </w:p>
    <w:p w14:paraId="3868E904" w14:textId="77777777" w:rsidR="00DF284F" w:rsidRDefault="00DF284F" w:rsidP="00CC6DB2">
      <w:pPr>
        <w:ind w:left="720"/>
        <w:rPr>
          <w:rFonts w:ascii="Arial" w:hAnsi="Arial" w:cs="Arial"/>
          <w:b/>
          <w:sz w:val="20"/>
          <w:szCs w:val="20"/>
          <w:highlight w:val="cyan"/>
        </w:rPr>
      </w:pPr>
    </w:p>
    <w:p w14:paraId="2BC004E3" w14:textId="77777777" w:rsidR="00C069A2" w:rsidRDefault="0030550A" w:rsidP="002E0043">
      <w:pPr>
        <w:pStyle w:val="Heading2"/>
        <w:keepNext w:val="0"/>
      </w:pPr>
      <w:bookmarkStart w:id="56" w:name="_Toc533933927"/>
      <w:bookmarkStart w:id="57" w:name="_Toc2808647"/>
      <w:r>
        <w:lastRenderedPageBreak/>
        <w:t>2.2. Demand R</w:t>
      </w:r>
      <w:r w:rsidR="00C069A2">
        <w:t>eduction Estimation Methodologies</w:t>
      </w:r>
      <w:bookmarkEnd w:id="56"/>
      <w:bookmarkEnd w:id="57"/>
    </w:p>
    <w:p w14:paraId="0088486B" w14:textId="77777777" w:rsidR="00A95746" w:rsidRPr="00127BF4" w:rsidRDefault="00801249" w:rsidP="00801249">
      <w:pPr>
        <w:rPr>
          <w:rFonts w:ascii="Arial" w:hAnsi="Arial" w:cs="Arial"/>
          <w:i/>
          <w:color w:val="FF0000"/>
          <w:sz w:val="20"/>
          <w:szCs w:val="20"/>
        </w:rPr>
      </w:pPr>
      <w:r w:rsidRPr="00CF48A4">
        <w:rPr>
          <w:rFonts w:ascii="Arial" w:hAnsi="Arial" w:cs="Arial"/>
          <w:sz w:val="20"/>
          <w:szCs w:val="20"/>
        </w:rPr>
        <w:t>This measure includes HVAC interactive effects savings.</w:t>
      </w:r>
      <w:r w:rsidRPr="00CF48A4">
        <w:rPr>
          <w:rFonts w:ascii="Arial" w:hAnsi="Arial" w:cs="Arial"/>
          <w:color w:val="FF0000"/>
          <w:sz w:val="20"/>
          <w:szCs w:val="20"/>
        </w:rPr>
        <w:t xml:space="preserve"> </w:t>
      </w:r>
      <w:r w:rsidR="00BB6191" w:rsidRPr="008443D6">
        <w:rPr>
          <w:rFonts w:ascii="Arial" w:hAnsi="Arial" w:cs="Arial"/>
          <w:sz w:val="20"/>
          <w:szCs w:val="20"/>
        </w:rPr>
        <w:t>The operating hours and interactive effects for Commercial were taken from DEER 2016 data. The operating hours and interactive effects for Residential were taken from DEER 2017.</w:t>
      </w:r>
    </w:p>
    <w:p w14:paraId="074EDD15" w14:textId="77777777" w:rsidR="00044570" w:rsidRDefault="00044570" w:rsidP="00814CC1">
      <w:pPr>
        <w:spacing w:line="120" w:lineRule="auto"/>
        <w:rPr>
          <w:rFonts w:ascii="Arial" w:hAnsi="Arial" w:cs="Arial"/>
          <w:i/>
          <w:sz w:val="20"/>
          <w:szCs w:val="20"/>
        </w:rPr>
      </w:pPr>
    </w:p>
    <w:p w14:paraId="7784288C" w14:textId="77777777" w:rsidR="00EB46D0" w:rsidRPr="00CF3FF0" w:rsidRDefault="00EB46D0" w:rsidP="00CF3FF0">
      <w:pPr>
        <w:rPr>
          <w:rFonts w:ascii="Arial" w:hAnsi="Arial" w:cs="Arial"/>
          <w:sz w:val="20"/>
          <w:szCs w:val="20"/>
        </w:rPr>
      </w:pPr>
      <w:r w:rsidRPr="00CF3FF0">
        <w:rPr>
          <w:rFonts w:ascii="Arial" w:hAnsi="Arial" w:cs="Arial"/>
          <w:b/>
          <w:sz w:val="20"/>
          <w:szCs w:val="20"/>
        </w:rPr>
        <w:t>∆Watts/</w:t>
      </w:r>
      <w:proofErr w:type="spellStart"/>
      <w:r w:rsidR="00230617">
        <w:rPr>
          <w:rFonts w:ascii="Arial" w:hAnsi="Arial" w:cs="Arial"/>
          <w:b/>
          <w:sz w:val="20"/>
          <w:szCs w:val="20"/>
        </w:rPr>
        <w:t>kilolumen</w:t>
      </w:r>
      <w:proofErr w:type="spellEnd"/>
      <w:r w:rsidRPr="00CF3FF0">
        <w:rPr>
          <w:rFonts w:ascii="Arial" w:hAnsi="Arial" w:cs="Arial"/>
          <w:b/>
          <w:sz w:val="20"/>
          <w:szCs w:val="20"/>
        </w:rPr>
        <w:t>:</w:t>
      </w:r>
      <w:r w:rsidR="00CF3FF0">
        <w:rPr>
          <w:rFonts w:ascii="Arial" w:hAnsi="Arial" w:cs="Arial"/>
          <w:b/>
          <w:sz w:val="20"/>
          <w:szCs w:val="20"/>
        </w:rPr>
        <w:t xml:space="preserve"> </w:t>
      </w:r>
      <w:r w:rsidRPr="00CF3FF0">
        <w:rPr>
          <w:rFonts w:ascii="Arial" w:hAnsi="Arial" w:cs="Arial"/>
          <w:sz w:val="20"/>
          <w:szCs w:val="20"/>
        </w:rPr>
        <w:t xml:space="preserve">The demand difference (watts per </w:t>
      </w:r>
      <w:proofErr w:type="spellStart"/>
      <w:r w:rsidR="00230617">
        <w:rPr>
          <w:rFonts w:ascii="Arial" w:hAnsi="Arial" w:cs="Arial"/>
          <w:sz w:val="20"/>
          <w:szCs w:val="20"/>
        </w:rPr>
        <w:t>kilolumen</w:t>
      </w:r>
      <w:proofErr w:type="spellEnd"/>
      <w:r w:rsidRPr="00CF3FF0">
        <w:rPr>
          <w:rFonts w:ascii="Arial" w:hAnsi="Arial" w:cs="Arial"/>
          <w:sz w:val="20"/>
          <w:szCs w:val="20"/>
        </w:rPr>
        <w:t xml:space="preserve">) is simply the difference between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w:t>
      </w:r>
      <w:r w:rsidRPr="00CF3FF0">
        <w:rPr>
          <w:rFonts w:ascii="Arial" w:hAnsi="Arial" w:cs="Arial"/>
          <w:sz w:val="20"/>
          <w:szCs w:val="20"/>
        </w:rPr>
        <w:t xml:space="preserve">the base </w:t>
      </w:r>
      <w:r w:rsidR="00C45648">
        <w:rPr>
          <w:rFonts w:ascii="Arial" w:hAnsi="Arial" w:cs="Arial"/>
          <w:sz w:val="20"/>
          <w:szCs w:val="20"/>
        </w:rPr>
        <w:t>fixture</w:t>
      </w:r>
      <w:r w:rsidR="004F12E7" w:rsidRPr="00CF3FF0">
        <w:rPr>
          <w:rFonts w:ascii="Arial" w:hAnsi="Arial" w:cs="Arial"/>
          <w:sz w:val="20"/>
          <w:szCs w:val="20"/>
        </w:rPr>
        <w:t xml:space="preserve"> </w:t>
      </w:r>
      <w:r w:rsidRPr="00CF3FF0">
        <w:rPr>
          <w:rFonts w:ascii="Arial" w:hAnsi="Arial" w:cs="Arial"/>
          <w:sz w:val="20"/>
          <w:szCs w:val="20"/>
        </w:rPr>
        <w:t xml:space="preserve">and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w:t>
      </w:r>
      <w:r w:rsidRPr="00CF3FF0">
        <w:rPr>
          <w:rFonts w:ascii="Arial" w:hAnsi="Arial" w:cs="Arial"/>
          <w:sz w:val="20"/>
          <w:szCs w:val="20"/>
        </w:rPr>
        <w:t xml:space="preserve">the energy efficient </w:t>
      </w:r>
      <w:r w:rsidR="00C45648">
        <w:rPr>
          <w:rFonts w:ascii="Arial" w:hAnsi="Arial" w:cs="Arial"/>
          <w:sz w:val="20"/>
          <w:szCs w:val="20"/>
        </w:rPr>
        <w:t>fixture</w:t>
      </w:r>
      <w:r w:rsidRPr="00CF3FF0">
        <w:rPr>
          <w:rFonts w:ascii="Arial" w:hAnsi="Arial" w:cs="Arial"/>
          <w:sz w:val="20"/>
          <w:szCs w:val="20"/>
        </w:rPr>
        <w:t>.</w:t>
      </w:r>
    </w:p>
    <w:p w14:paraId="241477DD" w14:textId="77777777" w:rsidR="00EB46D0" w:rsidRPr="00CF3FF0" w:rsidRDefault="00EB46D0" w:rsidP="00EB46D0">
      <w:pPr>
        <w:ind w:left="720"/>
        <w:rPr>
          <w:rFonts w:ascii="Arial" w:hAnsi="Arial" w:cs="Arial"/>
          <w:i/>
          <w:sz w:val="20"/>
          <w:szCs w:val="20"/>
        </w:rPr>
      </w:pPr>
    </w:p>
    <w:p w14:paraId="404711DB" w14:textId="77777777" w:rsidR="00EB46D0" w:rsidRDefault="00EB46D0" w:rsidP="00CC34FF">
      <w:pPr>
        <w:ind w:left="720"/>
        <w:rPr>
          <w:rFonts w:ascii="Arial" w:hAnsi="Arial" w:cs="Arial"/>
          <w:b/>
          <w:sz w:val="20"/>
          <w:szCs w:val="20"/>
        </w:rPr>
      </w:pPr>
      <w:r w:rsidRPr="00EA0340">
        <w:rPr>
          <w:rFonts w:ascii="Arial" w:hAnsi="Arial" w:cs="Arial"/>
          <w:b/>
          <w:sz w:val="20"/>
          <w:szCs w:val="20"/>
        </w:rPr>
        <w:t>∆Watts/</w:t>
      </w:r>
      <w:proofErr w:type="spellStart"/>
      <w:r w:rsidR="00230617">
        <w:rPr>
          <w:rFonts w:ascii="Arial" w:hAnsi="Arial" w:cs="Arial"/>
          <w:b/>
          <w:sz w:val="20"/>
          <w:szCs w:val="20"/>
        </w:rPr>
        <w:t>kilolumen</w:t>
      </w:r>
      <w:proofErr w:type="spellEnd"/>
      <w:r w:rsidR="00794E75">
        <w:rPr>
          <w:rFonts w:ascii="Arial" w:hAnsi="Arial" w:cs="Arial"/>
          <w:b/>
          <w:sz w:val="20"/>
          <w:szCs w:val="20"/>
        </w:rPr>
        <w:t xml:space="preserve"> </w:t>
      </w:r>
      <w:r w:rsidRPr="00CF3FF0">
        <w:rPr>
          <w:rFonts w:ascii="Arial" w:hAnsi="Arial" w:cs="Arial"/>
          <w:b/>
          <w:sz w:val="20"/>
          <w:szCs w:val="20"/>
        </w:rPr>
        <w:t>= Base Watts/</w:t>
      </w:r>
      <w:proofErr w:type="spellStart"/>
      <w:r w:rsidR="00230617">
        <w:rPr>
          <w:rFonts w:ascii="Arial" w:hAnsi="Arial" w:cs="Arial"/>
          <w:b/>
          <w:sz w:val="20"/>
          <w:szCs w:val="20"/>
        </w:rPr>
        <w:t>kilolumen</w:t>
      </w:r>
      <w:proofErr w:type="spellEnd"/>
      <w:r w:rsidR="00BB4412">
        <w:rPr>
          <w:rFonts w:ascii="Arial" w:hAnsi="Arial" w:cs="Arial"/>
          <w:b/>
          <w:sz w:val="20"/>
          <w:szCs w:val="20"/>
        </w:rPr>
        <w:t xml:space="preserve"> </w:t>
      </w:r>
      <w:r w:rsidRPr="00CF3FF0">
        <w:rPr>
          <w:rFonts w:ascii="Arial" w:hAnsi="Arial" w:cs="Arial"/>
          <w:b/>
          <w:sz w:val="20"/>
          <w:szCs w:val="20"/>
        </w:rPr>
        <w:t>-</w:t>
      </w:r>
      <w:r w:rsidR="00476B67">
        <w:rPr>
          <w:rFonts w:ascii="Arial" w:hAnsi="Arial" w:cs="Arial"/>
          <w:b/>
          <w:sz w:val="20"/>
          <w:szCs w:val="20"/>
        </w:rPr>
        <w:t xml:space="preserve"> </w:t>
      </w:r>
      <w:r w:rsidRPr="00CF3FF0">
        <w:rPr>
          <w:rFonts w:ascii="Arial" w:hAnsi="Arial" w:cs="Arial"/>
          <w:b/>
          <w:sz w:val="20"/>
          <w:szCs w:val="20"/>
        </w:rPr>
        <w:t>Energy Efficient Watts</w:t>
      </w:r>
      <w:r w:rsidR="00AD322C">
        <w:rPr>
          <w:rFonts w:ascii="Arial" w:hAnsi="Arial" w:cs="Arial"/>
          <w:b/>
          <w:sz w:val="20"/>
          <w:szCs w:val="20"/>
        </w:rPr>
        <w:t>/</w:t>
      </w:r>
      <w:proofErr w:type="spellStart"/>
      <w:r w:rsidR="00230617">
        <w:rPr>
          <w:rFonts w:ascii="Arial" w:hAnsi="Arial" w:cs="Arial"/>
          <w:b/>
          <w:sz w:val="20"/>
          <w:szCs w:val="20"/>
        </w:rPr>
        <w:t>kilolumen</w:t>
      </w:r>
      <w:proofErr w:type="spellEnd"/>
    </w:p>
    <w:p w14:paraId="0184DDB9" w14:textId="77777777" w:rsidR="00E23EC3" w:rsidRDefault="00E23EC3" w:rsidP="00CC34FF">
      <w:pPr>
        <w:ind w:left="720"/>
        <w:rPr>
          <w:rFonts w:ascii="Arial" w:hAnsi="Arial" w:cs="Arial"/>
          <w:b/>
          <w:sz w:val="20"/>
          <w:szCs w:val="20"/>
          <w:u w:val="single"/>
        </w:rPr>
      </w:pPr>
    </w:p>
    <w:p w14:paraId="613AA98B" w14:textId="77777777" w:rsidR="00E23EC3" w:rsidRPr="00EA0340" w:rsidRDefault="00E23EC3" w:rsidP="00E23EC3">
      <w:pPr>
        <w:rPr>
          <w:rFonts w:ascii="Arial" w:hAnsi="Arial" w:cs="Arial"/>
          <w:b/>
          <w:sz w:val="20"/>
          <w:szCs w:val="20"/>
        </w:rPr>
      </w:pPr>
      <w:r w:rsidRPr="00EA0340">
        <w:rPr>
          <w:rFonts w:ascii="Arial" w:hAnsi="Arial" w:cs="Arial"/>
          <w:b/>
          <w:sz w:val="20"/>
          <w:szCs w:val="20"/>
        </w:rPr>
        <w:t>Where:</w:t>
      </w:r>
    </w:p>
    <w:p w14:paraId="22872133" w14:textId="77777777" w:rsidR="00E23EC3" w:rsidRPr="004F12E7" w:rsidRDefault="00E23EC3" w:rsidP="00E23EC3">
      <w:pPr>
        <w:rPr>
          <w:rFonts w:ascii="Arial" w:hAnsi="Arial" w:cs="Arial"/>
          <w:b/>
          <w:sz w:val="20"/>
          <w:szCs w:val="20"/>
        </w:rPr>
      </w:pPr>
      <w:r>
        <w:rPr>
          <w:rFonts w:ascii="Arial" w:hAnsi="Arial" w:cs="Arial"/>
          <w:sz w:val="20"/>
          <w:szCs w:val="20"/>
        </w:rPr>
        <w:tab/>
      </w:r>
      <w:r w:rsidR="003F3419" w:rsidRPr="003F3419">
        <w:rPr>
          <w:rFonts w:ascii="Arial" w:hAnsi="Arial" w:cs="Arial"/>
          <w:sz w:val="20"/>
          <w:szCs w:val="20"/>
        </w:rPr>
        <w:t>Base Case Watts/</w:t>
      </w:r>
      <w:proofErr w:type="spellStart"/>
      <w:r w:rsidR="00230617">
        <w:rPr>
          <w:rFonts w:ascii="Arial" w:hAnsi="Arial" w:cs="Arial"/>
          <w:sz w:val="20"/>
          <w:szCs w:val="20"/>
        </w:rPr>
        <w:t>Kilolumen</w:t>
      </w:r>
      <w:proofErr w:type="spellEnd"/>
      <w:r w:rsidR="003F3419" w:rsidRPr="003F3419">
        <w:rPr>
          <w:rFonts w:ascii="Arial" w:hAnsi="Arial" w:cs="Arial"/>
          <w:sz w:val="20"/>
          <w:szCs w:val="20"/>
        </w:rPr>
        <w:t xml:space="preserve"> represents code/industry standard base unit demand.</w:t>
      </w:r>
    </w:p>
    <w:p w14:paraId="35116F74" w14:textId="77777777" w:rsidR="00EB46D0" w:rsidRPr="00CF3FF0" w:rsidRDefault="00EB46D0" w:rsidP="00EB46D0">
      <w:pPr>
        <w:rPr>
          <w:rFonts w:ascii="Arial" w:hAnsi="Arial" w:cs="Arial"/>
          <w:i/>
          <w:sz w:val="20"/>
          <w:szCs w:val="20"/>
        </w:rPr>
      </w:pPr>
    </w:p>
    <w:p w14:paraId="78ED8B61" w14:textId="77777777" w:rsidR="003F3DED" w:rsidRPr="00CF3FF0" w:rsidRDefault="003F3DED" w:rsidP="003F3DED">
      <w:pPr>
        <w:rPr>
          <w:rFonts w:ascii="Arial" w:hAnsi="Arial" w:cs="Arial"/>
          <w:b/>
          <w:sz w:val="20"/>
          <w:szCs w:val="20"/>
        </w:rPr>
      </w:pPr>
      <w:r w:rsidRPr="00CF3FF0">
        <w:rPr>
          <w:rFonts w:ascii="Arial" w:hAnsi="Arial" w:cs="Arial"/>
          <w:b/>
          <w:sz w:val="20"/>
          <w:szCs w:val="20"/>
        </w:rPr>
        <w:t>Demand Reduction:</w:t>
      </w:r>
    </w:p>
    <w:p w14:paraId="4C090B10" w14:textId="77777777" w:rsidR="003F3DED" w:rsidRPr="00F03117" w:rsidRDefault="003F3DED" w:rsidP="003F3DED">
      <w:pPr>
        <w:ind w:left="720"/>
        <w:rPr>
          <w:rFonts w:ascii="Arial" w:hAnsi="Arial" w:cs="Arial"/>
          <w:sz w:val="20"/>
          <w:szCs w:val="20"/>
        </w:rPr>
      </w:pPr>
      <w:r w:rsidRPr="00F03117">
        <w:rPr>
          <w:rFonts w:ascii="Arial" w:hAnsi="Arial" w:cs="Arial"/>
          <w:sz w:val="20"/>
          <w:szCs w:val="20"/>
        </w:rPr>
        <w:t>Demand Reduction [kW/</w:t>
      </w:r>
      <w:proofErr w:type="spellStart"/>
      <w:r w:rsidR="00230617">
        <w:rPr>
          <w:rFonts w:ascii="Arial" w:hAnsi="Arial" w:cs="Arial"/>
          <w:sz w:val="20"/>
          <w:szCs w:val="20"/>
        </w:rPr>
        <w:t>kilolumen</w:t>
      </w:r>
      <w:proofErr w:type="spellEnd"/>
      <w:r w:rsidRPr="00F03117">
        <w:rPr>
          <w:rFonts w:ascii="Arial" w:hAnsi="Arial" w:cs="Arial"/>
          <w:sz w:val="20"/>
          <w:szCs w:val="20"/>
        </w:rPr>
        <w:t>] = (</w:t>
      </w:r>
      <w:r w:rsidR="00CC34FF" w:rsidRPr="00F03117">
        <w:rPr>
          <w:rFonts w:ascii="Arial" w:hAnsi="Arial" w:cs="Arial"/>
          <w:sz w:val="20"/>
          <w:szCs w:val="20"/>
        </w:rPr>
        <w:t>∆Watts/</w:t>
      </w:r>
      <w:proofErr w:type="spellStart"/>
      <w:r w:rsidR="00230617">
        <w:rPr>
          <w:rFonts w:ascii="Arial" w:hAnsi="Arial" w:cs="Arial"/>
          <w:sz w:val="20"/>
          <w:szCs w:val="20"/>
        </w:rPr>
        <w:t>kilolumen</w:t>
      </w:r>
      <w:proofErr w:type="spellEnd"/>
      <w:r w:rsidR="00CC34FF" w:rsidRPr="00F03117">
        <w:rPr>
          <w:rFonts w:ascii="Arial" w:hAnsi="Arial" w:cs="Arial"/>
          <w:sz w:val="20"/>
          <w:szCs w:val="20"/>
        </w:rPr>
        <w:t>) x</w:t>
      </w:r>
      <w:r w:rsidRPr="00F03117">
        <w:rPr>
          <w:rFonts w:ascii="Arial" w:hAnsi="Arial" w:cs="Arial"/>
          <w:sz w:val="20"/>
          <w:szCs w:val="20"/>
        </w:rPr>
        <w:t xml:space="preserve"> (</w:t>
      </w:r>
      <w:r w:rsidR="00BB4412" w:rsidRPr="00F03117">
        <w:rPr>
          <w:rFonts w:ascii="Arial" w:hAnsi="Arial" w:cs="Arial"/>
          <w:sz w:val="20"/>
          <w:szCs w:val="20"/>
        </w:rPr>
        <w:t>L</w:t>
      </w:r>
      <w:r w:rsidR="00AD322C" w:rsidRPr="00F03117">
        <w:rPr>
          <w:rFonts w:ascii="Arial" w:hAnsi="Arial" w:cs="Arial"/>
          <w:sz w:val="20"/>
          <w:szCs w:val="20"/>
        </w:rPr>
        <w:t xml:space="preserve">ighting </w:t>
      </w:r>
      <w:r w:rsidR="00BB4412" w:rsidRPr="00F03117">
        <w:rPr>
          <w:rFonts w:ascii="Arial" w:hAnsi="Arial" w:cs="Arial"/>
          <w:sz w:val="20"/>
          <w:szCs w:val="20"/>
        </w:rPr>
        <w:t>C</w:t>
      </w:r>
      <w:r w:rsidR="00AD322C" w:rsidRPr="00F03117">
        <w:rPr>
          <w:rFonts w:ascii="Arial" w:hAnsi="Arial" w:cs="Arial"/>
          <w:sz w:val="20"/>
          <w:szCs w:val="20"/>
        </w:rPr>
        <w:t xml:space="preserve">oincident </w:t>
      </w:r>
      <w:r w:rsidR="00BB4412" w:rsidRPr="00F03117">
        <w:rPr>
          <w:rFonts w:ascii="Arial" w:hAnsi="Arial" w:cs="Arial"/>
          <w:sz w:val="20"/>
          <w:szCs w:val="20"/>
        </w:rPr>
        <w:t>D</w:t>
      </w:r>
      <w:r w:rsidR="00AD322C" w:rsidRPr="00F03117">
        <w:rPr>
          <w:rFonts w:ascii="Arial" w:hAnsi="Arial" w:cs="Arial"/>
          <w:sz w:val="20"/>
          <w:szCs w:val="20"/>
        </w:rPr>
        <w:t>emand</w:t>
      </w:r>
      <w:r w:rsidR="00BB4412" w:rsidRPr="00F03117">
        <w:rPr>
          <w:rFonts w:ascii="Arial" w:hAnsi="Arial" w:cs="Arial"/>
          <w:sz w:val="20"/>
          <w:szCs w:val="20"/>
        </w:rPr>
        <w:t>)</w:t>
      </w:r>
      <w:r w:rsidR="00AD322C" w:rsidRPr="00F03117">
        <w:rPr>
          <w:rFonts w:ascii="Arial" w:hAnsi="Arial" w:cs="Arial"/>
          <w:sz w:val="20"/>
          <w:szCs w:val="20"/>
        </w:rPr>
        <w:t xml:space="preserve"> x </w:t>
      </w:r>
      <w:r w:rsidR="00BB4412" w:rsidRPr="00F03117">
        <w:rPr>
          <w:rFonts w:ascii="Arial" w:hAnsi="Arial" w:cs="Arial"/>
          <w:sz w:val="20"/>
          <w:szCs w:val="20"/>
        </w:rPr>
        <w:t>(D</w:t>
      </w:r>
      <w:r w:rsidR="00AD322C" w:rsidRPr="00F03117">
        <w:rPr>
          <w:rFonts w:ascii="Arial" w:hAnsi="Arial" w:cs="Arial"/>
          <w:sz w:val="20"/>
          <w:szCs w:val="20"/>
        </w:rPr>
        <w:t xml:space="preserve">emand </w:t>
      </w:r>
      <w:r w:rsidR="00BB4412" w:rsidRPr="00F03117">
        <w:rPr>
          <w:rFonts w:ascii="Arial" w:hAnsi="Arial" w:cs="Arial"/>
          <w:sz w:val="20"/>
          <w:szCs w:val="20"/>
        </w:rPr>
        <w:t>I</w:t>
      </w:r>
      <w:r w:rsidR="00AD322C" w:rsidRPr="00F03117">
        <w:rPr>
          <w:rFonts w:ascii="Arial" w:hAnsi="Arial" w:cs="Arial"/>
          <w:sz w:val="20"/>
          <w:szCs w:val="20"/>
        </w:rPr>
        <w:t xml:space="preserve">nteractive </w:t>
      </w:r>
      <w:r w:rsidR="00BB4412" w:rsidRPr="00F03117">
        <w:rPr>
          <w:rFonts w:ascii="Arial" w:hAnsi="Arial" w:cs="Arial"/>
          <w:sz w:val="20"/>
          <w:szCs w:val="20"/>
        </w:rPr>
        <w:t>E</w:t>
      </w:r>
      <w:r w:rsidR="00AD322C" w:rsidRPr="00F03117">
        <w:rPr>
          <w:rFonts w:ascii="Arial" w:hAnsi="Arial" w:cs="Arial"/>
          <w:sz w:val="20"/>
          <w:szCs w:val="20"/>
        </w:rPr>
        <w:t>ffects</w:t>
      </w:r>
      <w:r w:rsidR="00794E75" w:rsidRPr="00F03117">
        <w:rPr>
          <w:rFonts w:ascii="Arial" w:hAnsi="Arial" w:cs="Arial"/>
          <w:sz w:val="20"/>
          <w:szCs w:val="20"/>
        </w:rPr>
        <w:t>) /</w:t>
      </w:r>
      <w:r w:rsidRPr="00F03117">
        <w:rPr>
          <w:rFonts w:ascii="Arial" w:hAnsi="Arial" w:cs="Arial"/>
          <w:sz w:val="20"/>
          <w:szCs w:val="20"/>
        </w:rPr>
        <w:t xml:space="preserve"> </w:t>
      </w:r>
      <w:r w:rsidR="00794E75" w:rsidRPr="00F03117">
        <w:rPr>
          <w:rFonts w:ascii="Arial" w:hAnsi="Arial" w:cs="Arial"/>
          <w:sz w:val="20"/>
          <w:szCs w:val="20"/>
        </w:rPr>
        <w:t>(</w:t>
      </w:r>
      <w:r w:rsidRPr="00F03117">
        <w:rPr>
          <w:rFonts w:ascii="Arial" w:hAnsi="Arial" w:cs="Arial"/>
          <w:sz w:val="20"/>
          <w:szCs w:val="20"/>
        </w:rPr>
        <w:t>1,000 Watts/kW</w:t>
      </w:r>
      <w:r w:rsidR="00794E75" w:rsidRPr="00F03117">
        <w:rPr>
          <w:rFonts w:ascii="Arial" w:hAnsi="Arial" w:cs="Arial"/>
          <w:sz w:val="20"/>
          <w:szCs w:val="20"/>
        </w:rPr>
        <w:t>)</w:t>
      </w:r>
    </w:p>
    <w:p w14:paraId="11FA4459" w14:textId="77777777" w:rsidR="00DF284F" w:rsidRDefault="00DF284F" w:rsidP="003F3DED">
      <w:pPr>
        <w:ind w:left="720"/>
        <w:rPr>
          <w:rFonts w:ascii="Arial" w:hAnsi="Arial" w:cs="Arial"/>
          <w:b/>
          <w:sz w:val="20"/>
          <w:szCs w:val="20"/>
        </w:rPr>
      </w:pPr>
    </w:p>
    <w:p w14:paraId="491CD483" w14:textId="77777777" w:rsidR="007878B9" w:rsidRPr="00BF0332" w:rsidRDefault="00276ED1" w:rsidP="00BF0332">
      <w:pPr>
        <w:pStyle w:val="Heading2"/>
      </w:pPr>
      <w:bookmarkStart w:id="58" w:name="_Toc533933928"/>
      <w:bookmarkStart w:id="59" w:name="_Toc2808648"/>
      <w:r w:rsidRPr="00BF0332">
        <w:t xml:space="preserve">2.3. </w:t>
      </w:r>
      <w:r w:rsidR="007878B9" w:rsidRPr="00BF0332">
        <w:t>Gas Energy Savings Estimation Methodologies</w:t>
      </w:r>
      <w:bookmarkEnd w:id="58"/>
      <w:bookmarkEnd w:id="59"/>
    </w:p>
    <w:p w14:paraId="721178AF" w14:textId="77777777" w:rsidR="00AD322C" w:rsidRDefault="00840D16" w:rsidP="00AD322C">
      <w:pPr>
        <w:rPr>
          <w:rFonts w:ascii="Arial" w:hAnsi="Arial" w:cs="Arial"/>
          <w:sz w:val="20"/>
          <w:szCs w:val="20"/>
        </w:rPr>
      </w:pPr>
      <w:r w:rsidRPr="00840D16">
        <w:rPr>
          <w:rFonts w:ascii="Arial" w:hAnsi="Arial" w:cs="Arial"/>
          <w:sz w:val="20"/>
          <w:szCs w:val="20"/>
        </w:rPr>
        <w:t xml:space="preserve">Gas estimates are entirely based on the estimated increased gas use through calculated interactive effects. This measure includes HVAC interactive effects </w:t>
      </w:r>
      <w:r w:rsidR="00B30D5C">
        <w:rPr>
          <w:rFonts w:ascii="Arial" w:hAnsi="Arial" w:cs="Arial"/>
          <w:sz w:val="20"/>
          <w:szCs w:val="20"/>
        </w:rPr>
        <w:t>impacts</w:t>
      </w:r>
      <w:r w:rsidRPr="00840D16">
        <w:rPr>
          <w:rFonts w:ascii="Arial" w:hAnsi="Arial" w:cs="Arial"/>
          <w:sz w:val="20"/>
          <w:szCs w:val="20"/>
        </w:rPr>
        <w:t xml:space="preserve">. </w:t>
      </w:r>
      <w:r w:rsidR="00BB6191" w:rsidRPr="008443D6">
        <w:rPr>
          <w:rFonts w:ascii="Arial" w:hAnsi="Arial" w:cs="Arial"/>
          <w:sz w:val="20"/>
          <w:szCs w:val="20"/>
        </w:rPr>
        <w:t>The operating hours and interactive effects for Commercial were taken from DEER 2016 data. The operating hours and interactive effects for Residential were taken from DEER 2017.</w:t>
      </w:r>
    </w:p>
    <w:p w14:paraId="234FBC46" w14:textId="77777777" w:rsidR="00BB6191" w:rsidRDefault="00BB6191" w:rsidP="00AD322C">
      <w:pPr>
        <w:rPr>
          <w:rFonts w:ascii="Arial" w:hAnsi="Arial" w:cs="Arial"/>
          <w:i/>
          <w:sz w:val="20"/>
          <w:szCs w:val="20"/>
        </w:rPr>
      </w:pPr>
    </w:p>
    <w:p w14:paraId="44F69615" w14:textId="77777777" w:rsidR="004203DD" w:rsidRPr="00CF3FF0" w:rsidRDefault="004203DD" w:rsidP="004203DD">
      <w:pPr>
        <w:rPr>
          <w:rFonts w:ascii="Arial" w:hAnsi="Arial" w:cs="Arial"/>
          <w:sz w:val="20"/>
          <w:szCs w:val="20"/>
        </w:rPr>
      </w:pPr>
      <w:r w:rsidRPr="00CF3FF0">
        <w:rPr>
          <w:rFonts w:ascii="Arial" w:hAnsi="Arial" w:cs="Arial"/>
          <w:b/>
          <w:sz w:val="20"/>
          <w:szCs w:val="20"/>
        </w:rPr>
        <w:t>∆Watts/</w:t>
      </w:r>
      <w:proofErr w:type="spellStart"/>
      <w:r w:rsidR="00230617">
        <w:rPr>
          <w:rFonts w:ascii="Arial" w:hAnsi="Arial" w:cs="Arial"/>
          <w:b/>
          <w:sz w:val="20"/>
          <w:szCs w:val="20"/>
        </w:rPr>
        <w:t>kilolumen</w:t>
      </w:r>
      <w:proofErr w:type="spellEnd"/>
      <w:r w:rsidRPr="00CF3FF0">
        <w:rPr>
          <w:rFonts w:ascii="Arial" w:hAnsi="Arial" w:cs="Arial"/>
          <w:b/>
          <w:sz w:val="20"/>
          <w:szCs w:val="20"/>
        </w:rPr>
        <w:t>:</w:t>
      </w:r>
      <w:r>
        <w:rPr>
          <w:rFonts w:ascii="Arial" w:hAnsi="Arial" w:cs="Arial"/>
          <w:b/>
          <w:sz w:val="20"/>
          <w:szCs w:val="20"/>
        </w:rPr>
        <w:t xml:space="preserve"> </w:t>
      </w:r>
      <w:r w:rsidRPr="00CF3FF0">
        <w:rPr>
          <w:rFonts w:ascii="Arial" w:hAnsi="Arial" w:cs="Arial"/>
          <w:sz w:val="20"/>
          <w:szCs w:val="20"/>
        </w:rPr>
        <w:t xml:space="preserve">The demand difference (watts per </w:t>
      </w:r>
      <w:proofErr w:type="spellStart"/>
      <w:r w:rsidR="00230617">
        <w:rPr>
          <w:rFonts w:ascii="Arial" w:hAnsi="Arial" w:cs="Arial"/>
          <w:sz w:val="20"/>
          <w:szCs w:val="20"/>
        </w:rPr>
        <w:t>kilolumen</w:t>
      </w:r>
      <w:proofErr w:type="spellEnd"/>
      <w:r w:rsidRPr="00CF3FF0">
        <w:rPr>
          <w:rFonts w:ascii="Arial" w:hAnsi="Arial" w:cs="Arial"/>
          <w:sz w:val="20"/>
          <w:szCs w:val="20"/>
        </w:rPr>
        <w:t>) is simply the difference between the electric demand of</w:t>
      </w:r>
      <w:r w:rsidR="00230617" w:rsidRPr="00230617">
        <w:rPr>
          <w:rFonts w:ascii="Arial" w:hAnsi="Arial" w:cs="Arial"/>
          <w:sz w:val="20"/>
          <w:szCs w:val="20"/>
        </w:rPr>
        <w:t xml:space="preserve">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w:t>
      </w:r>
      <w:r w:rsidRPr="00CF3FF0">
        <w:rPr>
          <w:rFonts w:ascii="Arial" w:hAnsi="Arial" w:cs="Arial"/>
          <w:sz w:val="20"/>
          <w:szCs w:val="20"/>
        </w:rPr>
        <w:t xml:space="preserve"> the base </w:t>
      </w:r>
      <w:r w:rsidR="00C45648">
        <w:rPr>
          <w:rFonts w:ascii="Arial" w:hAnsi="Arial" w:cs="Arial"/>
          <w:sz w:val="20"/>
          <w:szCs w:val="20"/>
        </w:rPr>
        <w:t>fixture</w:t>
      </w:r>
      <w:r w:rsidRPr="00CF3FF0">
        <w:rPr>
          <w:rFonts w:ascii="Arial" w:hAnsi="Arial" w:cs="Arial"/>
          <w:sz w:val="20"/>
          <w:szCs w:val="20"/>
        </w:rPr>
        <w:t xml:space="preserve"> and the electric demand of</w:t>
      </w:r>
      <w:r w:rsidR="00230617" w:rsidRPr="00230617">
        <w:rPr>
          <w:rFonts w:ascii="Arial" w:hAnsi="Arial" w:cs="Arial"/>
          <w:sz w:val="20"/>
          <w:szCs w:val="20"/>
        </w:rPr>
        <w:t xml:space="preserve">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w:t>
      </w:r>
      <w:r w:rsidRPr="00CF3FF0">
        <w:rPr>
          <w:rFonts w:ascii="Arial" w:hAnsi="Arial" w:cs="Arial"/>
          <w:sz w:val="20"/>
          <w:szCs w:val="20"/>
        </w:rPr>
        <w:t xml:space="preserve"> the energy efficient </w:t>
      </w:r>
      <w:r w:rsidR="00C45648">
        <w:rPr>
          <w:rFonts w:ascii="Arial" w:hAnsi="Arial" w:cs="Arial"/>
          <w:sz w:val="20"/>
          <w:szCs w:val="20"/>
        </w:rPr>
        <w:t>fixture</w:t>
      </w:r>
      <w:r w:rsidRPr="00CF3FF0">
        <w:rPr>
          <w:rFonts w:ascii="Arial" w:hAnsi="Arial" w:cs="Arial"/>
          <w:sz w:val="20"/>
          <w:szCs w:val="20"/>
        </w:rPr>
        <w:t>.</w:t>
      </w:r>
    </w:p>
    <w:p w14:paraId="42E87680" w14:textId="77777777" w:rsidR="004203DD" w:rsidRPr="00CF3FF0" w:rsidRDefault="004203DD" w:rsidP="004203DD">
      <w:pPr>
        <w:ind w:left="720"/>
        <w:rPr>
          <w:rFonts w:ascii="Arial" w:hAnsi="Arial" w:cs="Arial"/>
          <w:i/>
          <w:sz w:val="20"/>
          <w:szCs w:val="20"/>
        </w:rPr>
      </w:pPr>
    </w:p>
    <w:p w14:paraId="6B16E24A" w14:textId="77777777" w:rsidR="004203DD" w:rsidRDefault="004203DD" w:rsidP="004203DD">
      <w:pPr>
        <w:ind w:left="720"/>
        <w:rPr>
          <w:rFonts w:ascii="Arial" w:hAnsi="Arial" w:cs="Arial"/>
          <w:b/>
          <w:sz w:val="20"/>
          <w:szCs w:val="20"/>
        </w:rPr>
      </w:pPr>
      <w:r w:rsidRPr="00EA0340">
        <w:rPr>
          <w:rFonts w:ascii="Arial" w:hAnsi="Arial" w:cs="Arial"/>
          <w:b/>
          <w:sz w:val="20"/>
          <w:szCs w:val="20"/>
        </w:rPr>
        <w:t>∆Watts/</w:t>
      </w:r>
      <w:proofErr w:type="spellStart"/>
      <w:r w:rsidR="00230617">
        <w:rPr>
          <w:rFonts w:ascii="Arial" w:hAnsi="Arial" w:cs="Arial"/>
          <w:b/>
          <w:sz w:val="20"/>
          <w:szCs w:val="20"/>
        </w:rPr>
        <w:t>kilolumen</w:t>
      </w:r>
      <w:proofErr w:type="spellEnd"/>
      <w:r>
        <w:rPr>
          <w:rFonts w:ascii="Arial" w:hAnsi="Arial" w:cs="Arial"/>
          <w:b/>
          <w:sz w:val="20"/>
          <w:szCs w:val="20"/>
        </w:rPr>
        <w:t xml:space="preserve"> </w:t>
      </w:r>
      <w:r w:rsidRPr="00CF3FF0">
        <w:rPr>
          <w:rFonts w:ascii="Arial" w:hAnsi="Arial" w:cs="Arial"/>
          <w:b/>
          <w:sz w:val="20"/>
          <w:szCs w:val="20"/>
        </w:rPr>
        <w:t>= Base Watts/</w:t>
      </w:r>
      <w:proofErr w:type="spellStart"/>
      <w:r w:rsidR="00230617">
        <w:rPr>
          <w:rFonts w:ascii="Arial" w:hAnsi="Arial" w:cs="Arial"/>
          <w:b/>
          <w:sz w:val="20"/>
          <w:szCs w:val="20"/>
        </w:rPr>
        <w:t>kilolumen</w:t>
      </w:r>
      <w:proofErr w:type="spellEnd"/>
      <w:r>
        <w:rPr>
          <w:rFonts w:ascii="Arial" w:hAnsi="Arial" w:cs="Arial"/>
          <w:b/>
          <w:sz w:val="20"/>
          <w:szCs w:val="20"/>
        </w:rPr>
        <w:t xml:space="preserve"> </w:t>
      </w:r>
      <w:r w:rsidRPr="00CF3FF0">
        <w:rPr>
          <w:rFonts w:ascii="Arial" w:hAnsi="Arial" w:cs="Arial"/>
          <w:b/>
          <w:sz w:val="20"/>
          <w:szCs w:val="20"/>
        </w:rPr>
        <w:t>-</w:t>
      </w:r>
      <w:r>
        <w:rPr>
          <w:rFonts w:ascii="Arial" w:hAnsi="Arial" w:cs="Arial"/>
          <w:b/>
          <w:sz w:val="20"/>
          <w:szCs w:val="20"/>
        </w:rPr>
        <w:t xml:space="preserve"> </w:t>
      </w:r>
      <w:r w:rsidRPr="00CF3FF0">
        <w:rPr>
          <w:rFonts w:ascii="Arial" w:hAnsi="Arial" w:cs="Arial"/>
          <w:b/>
          <w:sz w:val="20"/>
          <w:szCs w:val="20"/>
        </w:rPr>
        <w:t>Energy Efficient Watts</w:t>
      </w:r>
      <w:r>
        <w:rPr>
          <w:rFonts w:ascii="Arial" w:hAnsi="Arial" w:cs="Arial"/>
          <w:b/>
          <w:sz w:val="20"/>
          <w:szCs w:val="20"/>
        </w:rPr>
        <w:t>/</w:t>
      </w:r>
      <w:proofErr w:type="spellStart"/>
      <w:r w:rsidR="00230617">
        <w:rPr>
          <w:rFonts w:ascii="Arial" w:hAnsi="Arial" w:cs="Arial"/>
          <w:b/>
          <w:sz w:val="20"/>
          <w:szCs w:val="20"/>
        </w:rPr>
        <w:t>kilolumen</w:t>
      </w:r>
      <w:proofErr w:type="spellEnd"/>
    </w:p>
    <w:p w14:paraId="67F43042" w14:textId="77777777" w:rsidR="004203DD" w:rsidRDefault="004203DD" w:rsidP="004203DD">
      <w:pPr>
        <w:ind w:left="720"/>
        <w:rPr>
          <w:rFonts w:ascii="Arial" w:hAnsi="Arial" w:cs="Arial"/>
          <w:b/>
          <w:sz w:val="20"/>
          <w:szCs w:val="20"/>
          <w:u w:val="single"/>
        </w:rPr>
      </w:pPr>
    </w:p>
    <w:p w14:paraId="1DEC4C17" w14:textId="77777777" w:rsidR="00AD322C" w:rsidRPr="00CF3FF0" w:rsidRDefault="00547480" w:rsidP="00AD322C">
      <w:pPr>
        <w:rPr>
          <w:rFonts w:ascii="Arial" w:hAnsi="Arial" w:cs="Arial"/>
          <w:b/>
          <w:sz w:val="20"/>
          <w:szCs w:val="20"/>
        </w:rPr>
      </w:pPr>
      <w:r>
        <w:rPr>
          <w:rFonts w:ascii="Arial" w:hAnsi="Arial" w:cs="Arial"/>
          <w:b/>
          <w:sz w:val="20"/>
          <w:szCs w:val="20"/>
        </w:rPr>
        <w:t>Annual Gas Savings</w:t>
      </w:r>
      <w:r w:rsidR="00AD322C" w:rsidRPr="00CF3FF0">
        <w:rPr>
          <w:rFonts w:ascii="Arial" w:hAnsi="Arial" w:cs="Arial"/>
          <w:b/>
          <w:sz w:val="20"/>
          <w:szCs w:val="20"/>
        </w:rPr>
        <w:t>:</w:t>
      </w:r>
    </w:p>
    <w:p w14:paraId="0D2FC85A" w14:textId="77777777" w:rsidR="00AD322C" w:rsidRPr="001A5C3F" w:rsidRDefault="004203DD" w:rsidP="00AD322C">
      <w:pPr>
        <w:rPr>
          <w:rFonts w:ascii="Arial" w:hAnsi="Arial" w:cs="Arial"/>
          <w:sz w:val="20"/>
          <w:szCs w:val="20"/>
        </w:rPr>
      </w:pPr>
      <w:r w:rsidRPr="001A5C3F">
        <w:rPr>
          <w:rFonts w:ascii="Arial" w:hAnsi="Arial" w:cs="Arial"/>
          <w:sz w:val="20"/>
          <w:szCs w:val="20"/>
        </w:rPr>
        <w:t xml:space="preserve">Annual </w:t>
      </w:r>
      <w:r w:rsidR="003C0071" w:rsidRPr="001A5C3F">
        <w:rPr>
          <w:rFonts w:ascii="Arial" w:hAnsi="Arial" w:cs="Arial"/>
          <w:sz w:val="20"/>
          <w:szCs w:val="20"/>
        </w:rPr>
        <w:t xml:space="preserve">Gas Savings </w:t>
      </w:r>
      <w:r w:rsidR="00AD322C" w:rsidRPr="001A5C3F">
        <w:rPr>
          <w:rFonts w:ascii="Arial" w:hAnsi="Arial" w:cs="Arial"/>
          <w:sz w:val="20"/>
          <w:szCs w:val="20"/>
        </w:rPr>
        <w:t>[</w:t>
      </w:r>
      <w:r w:rsidR="00547480" w:rsidRPr="001A5C3F">
        <w:rPr>
          <w:rFonts w:ascii="Arial" w:hAnsi="Arial" w:cs="Arial"/>
          <w:sz w:val="20"/>
          <w:szCs w:val="20"/>
        </w:rPr>
        <w:t>∆</w:t>
      </w:r>
      <w:proofErr w:type="spellStart"/>
      <w:r w:rsidR="00547480" w:rsidRPr="001A5C3F">
        <w:rPr>
          <w:rFonts w:ascii="Arial" w:hAnsi="Arial" w:cs="Arial"/>
          <w:sz w:val="20"/>
          <w:szCs w:val="20"/>
        </w:rPr>
        <w:t>Therms</w:t>
      </w:r>
      <w:proofErr w:type="spellEnd"/>
      <w:r w:rsidR="00547480" w:rsidRPr="001A5C3F">
        <w:rPr>
          <w:rFonts w:ascii="Arial" w:hAnsi="Arial" w:cs="Arial"/>
          <w:sz w:val="20"/>
          <w:szCs w:val="20"/>
        </w:rPr>
        <w:t>/</w:t>
      </w:r>
      <w:proofErr w:type="spellStart"/>
      <w:r w:rsidR="00230617">
        <w:rPr>
          <w:rFonts w:ascii="Arial" w:hAnsi="Arial" w:cs="Arial"/>
          <w:sz w:val="20"/>
          <w:szCs w:val="20"/>
        </w:rPr>
        <w:t>kilolumen</w:t>
      </w:r>
      <w:proofErr w:type="spellEnd"/>
      <w:r w:rsidR="00AD322C" w:rsidRPr="001A5C3F">
        <w:rPr>
          <w:rFonts w:ascii="Arial" w:hAnsi="Arial" w:cs="Arial"/>
          <w:sz w:val="20"/>
          <w:szCs w:val="20"/>
        </w:rPr>
        <w:t>] = (∆Watts/</w:t>
      </w:r>
      <w:proofErr w:type="spellStart"/>
      <w:r w:rsidR="00230617">
        <w:rPr>
          <w:rFonts w:ascii="Arial" w:hAnsi="Arial" w:cs="Arial"/>
          <w:sz w:val="20"/>
          <w:szCs w:val="20"/>
        </w:rPr>
        <w:t>kilolumen</w:t>
      </w:r>
      <w:proofErr w:type="spellEnd"/>
      <w:r w:rsidR="00AD322C" w:rsidRPr="001A5C3F">
        <w:rPr>
          <w:rFonts w:ascii="Arial" w:hAnsi="Arial" w:cs="Arial"/>
          <w:sz w:val="20"/>
          <w:szCs w:val="20"/>
        </w:rPr>
        <w:t>) x (</w:t>
      </w:r>
      <w:r w:rsidR="00547480" w:rsidRPr="001A5C3F">
        <w:rPr>
          <w:rFonts w:ascii="Arial" w:hAnsi="Arial" w:cs="Arial"/>
          <w:sz w:val="20"/>
          <w:szCs w:val="20"/>
        </w:rPr>
        <w:t>Annual Hours of Operation)</w:t>
      </w:r>
      <w:r w:rsidR="00AD322C" w:rsidRPr="001A5C3F">
        <w:rPr>
          <w:rFonts w:ascii="Arial" w:hAnsi="Arial" w:cs="Arial"/>
          <w:sz w:val="20"/>
          <w:szCs w:val="20"/>
        </w:rPr>
        <w:t xml:space="preserve"> x </w:t>
      </w:r>
      <w:r w:rsidR="009851AE">
        <w:rPr>
          <w:rFonts w:ascii="Arial" w:hAnsi="Arial" w:cs="Arial"/>
          <w:sz w:val="20"/>
          <w:szCs w:val="20"/>
        </w:rPr>
        <w:t>(</w:t>
      </w:r>
      <w:r w:rsidR="00547480" w:rsidRPr="001A5C3F">
        <w:rPr>
          <w:rFonts w:ascii="Arial" w:hAnsi="Arial" w:cs="Arial"/>
          <w:sz w:val="20"/>
          <w:szCs w:val="20"/>
        </w:rPr>
        <w:t>Gas</w:t>
      </w:r>
      <w:r w:rsidR="00AD322C" w:rsidRPr="001A5C3F">
        <w:rPr>
          <w:rFonts w:ascii="Arial" w:hAnsi="Arial" w:cs="Arial"/>
          <w:sz w:val="20"/>
          <w:szCs w:val="20"/>
        </w:rPr>
        <w:t xml:space="preserve"> </w:t>
      </w:r>
      <w:r w:rsidR="00547480" w:rsidRPr="001A5C3F">
        <w:rPr>
          <w:rFonts w:ascii="Arial" w:hAnsi="Arial" w:cs="Arial"/>
          <w:sz w:val="20"/>
          <w:szCs w:val="20"/>
        </w:rPr>
        <w:t>I</w:t>
      </w:r>
      <w:r w:rsidR="00AD322C" w:rsidRPr="001A5C3F">
        <w:rPr>
          <w:rFonts w:ascii="Arial" w:hAnsi="Arial" w:cs="Arial"/>
          <w:sz w:val="20"/>
          <w:szCs w:val="20"/>
        </w:rPr>
        <w:t xml:space="preserve">nteractive </w:t>
      </w:r>
      <w:r w:rsidR="00547480" w:rsidRPr="001A5C3F">
        <w:rPr>
          <w:rFonts w:ascii="Arial" w:hAnsi="Arial" w:cs="Arial"/>
          <w:sz w:val="20"/>
          <w:szCs w:val="20"/>
        </w:rPr>
        <w:t>E</w:t>
      </w:r>
      <w:r w:rsidR="008D7999">
        <w:rPr>
          <w:rFonts w:ascii="Arial" w:hAnsi="Arial" w:cs="Arial"/>
          <w:sz w:val="20"/>
          <w:szCs w:val="20"/>
        </w:rPr>
        <w:t>ffects</w:t>
      </w:r>
      <w:r w:rsidR="00D916FD">
        <w:rPr>
          <w:rFonts w:ascii="Arial" w:hAnsi="Arial" w:cs="Arial"/>
          <w:sz w:val="20"/>
          <w:szCs w:val="20"/>
        </w:rPr>
        <w:t xml:space="preserve"> </w:t>
      </w:r>
      <w:r w:rsidR="008D7999">
        <w:rPr>
          <w:rFonts w:ascii="Arial" w:hAnsi="Arial" w:cs="Arial"/>
          <w:sz w:val="20"/>
          <w:szCs w:val="20"/>
        </w:rPr>
        <w:t>(</w:t>
      </w:r>
      <w:proofErr w:type="spellStart"/>
      <w:r w:rsidR="008D7999">
        <w:rPr>
          <w:rFonts w:ascii="Arial" w:hAnsi="Arial" w:cs="Arial"/>
          <w:sz w:val="20"/>
          <w:szCs w:val="20"/>
        </w:rPr>
        <w:t>Therms</w:t>
      </w:r>
      <w:proofErr w:type="spellEnd"/>
      <w:r w:rsidR="008D7999">
        <w:rPr>
          <w:rFonts w:ascii="Arial" w:hAnsi="Arial" w:cs="Arial"/>
          <w:sz w:val="20"/>
          <w:szCs w:val="20"/>
        </w:rPr>
        <w:t>/kwh)</w:t>
      </w:r>
      <w:r w:rsidR="009851AE">
        <w:rPr>
          <w:rFonts w:ascii="Arial" w:hAnsi="Arial" w:cs="Arial"/>
          <w:sz w:val="20"/>
          <w:szCs w:val="20"/>
        </w:rPr>
        <w:t>)</w:t>
      </w:r>
      <w:r w:rsidR="00547480" w:rsidRPr="001A5C3F">
        <w:rPr>
          <w:rFonts w:ascii="Arial" w:hAnsi="Arial" w:cs="Arial"/>
          <w:sz w:val="20"/>
          <w:szCs w:val="20"/>
        </w:rPr>
        <w:t xml:space="preserve"> / 1</w:t>
      </w:r>
      <w:r w:rsidR="00AD322C" w:rsidRPr="001A5C3F">
        <w:rPr>
          <w:rFonts w:ascii="Arial" w:hAnsi="Arial" w:cs="Arial"/>
          <w:sz w:val="20"/>
          <w:szCs w:val="20"/>
        </w:rPr>
        <w:t>,000 Watts/kW</w:t>
      </w:r>
    </w:p>
    <w:p w14:paraId="7D25EECC" w14:textId="77777777" w:rsidR="00DF284F" w:rsidRPr="001A5C3F" w:rsidRDefault="001C6C57" w:rsidP="00DF284F">
      <w:pPr>
        <w:ind w:left="720"/>
        <w:rPr>
          <w:rFonts w:ascii="Arial" w:hAnsi="Arial" w:cs="Arial"/>
          <w:sz w:val="20"/>
          <w:szCs w:val="20"/>
          <w:highlight w:val="cyan"/>
        </w:rPr>
      </w:pPr>
      <w:r>
        <w:rPr>
          <w:rFonts w:ascii="Arial" w:hAnsi="Arial" w:cs="Arial"/>
          <w:sz w:val="20"/>
          <w:szCs w:val="20"/>
        </w:rPr>
        <w:t xml:space="preserve"> </w:t>
      </w:r>
    </w:p>
    <w:p w14:paraId="7C4D884B" w14:textId="77777777" w:rsidR="00F661FF" w:rsidRDefault="00F661FF">
      <w:pPr>
        <w:rPr>
          <w:rFonts w:ascii="Arial" w:hAnsi="Arial" w:cs="Arial"/>
          <w:b/>
          <w:bCs/>
          <w:kern w:val="32"/>
          <w:sz w:val="28"/>
          <w:szCs w:val="28"/>
        </w:rPr>
      </w:pPr>
      <w:bookmarkStart w:id="60" w:name="_Toc533933929"/>
      <w:r>
        <w:rPr>
          <w:sz w:val="28"/>
          <w:szCs w:val="28"/>
        </w:rPr>
        <w:br w:type="page"/>
      </w:r>
    </w:p>
    <w:p w14:paraId="3346FA9A" w14:textId="7DB3F867" w:rsidR="00B7164C" w:rsidRPr="003F7A9C" w:rsidRDefault="00C069A2" w:rsidP="00D20486">
      <w:pPr>
        <w:pStyle w:val="Heading1"/>
        <w:rPr>
          <w:sz w:val="28"/>
          <w:szCs w:val="28"/>
        </w:rPr>
      </w:pPr>
      <w:bookmarkStart w:id="61" w:name="_Toc2808649"/>
      <w:proofErr w:type="gramStart"/>
      <w:r w:rsidRPr="003F7A9C">
        <w:rPr>
          <w:sz w:val="28"/>
          <w:szCs w:val="28"/>
        </w:rPr>
        <w:lastRenderedPageBreak/>
        <w:t>Section 3</w:t>
      </w:r>
      <w:r w:rsidR="003129E8" w:rsidRPr="003F7A9C">
        <w:rPr>
          <w:sz w:val="28"/>
          <w:szCs w:val="28"/>
        </w:rPr>
        <w:t>.</w:t>
      </w:r>
      <w:proofErr w:type="gramEnd"/>
      <w:r w:rsidRPr="003F7A9C">
        <w:rPr>
          <w:sz w:val="28"/>
          <w:szCs w:val="28"/>
        </w:rPr>
        <w:t xml:space="preserve"> Load Shapes</w:t>
      </w:r>
      <w:bookmarkEnd w:id="60"/>
      <w:bookmarkEnd w:id="61"/>
      <w:r w:rsidR="00844B27" w:rsidRPr="003F7A9C">
        <w:rPr>
          <w:sz w:val="28"/>
          <w:szCs w:val="28"/>
        </w:rPr>
        <w:t xml:space="preserve"> </w:t>
      </w:r>
    </w:p>
    <w:p w14:paraId="4508AE67" w14:textId="77777777" w:rsidR="00A06A54" w:rsidRPr="0008537D" w:rsidRDefault="00A06A54" w:rsidP="00A06A54">
      <w:pPr>
        <w:autoSpaceDE w:val="0"/>
        <w:autoSpaceDN w:val="0"/>
        <w:adjustRightInd w:val="0"/>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14:paraId="526F8E98" w14:textId="77777777" w:rsidR="00F661FF" w:rsidRDefault="00F661FF" w:rsidP="00F661FF">
      <w:pPr>
        <w:pStyle w:val="Heading2"/>
        <w:keepNext w:val="0"/>
        <w:spacing w:before="0"/>
      </w:pPr>
      <w:bookmarkStart w:id="62" w:name="_Toc173742996"/>
      <w:bookmarkStart w:id="63" w:name="_Toc533933930"/>
    </w:p>
    <w:p w14:paraId="791771B1" w14:textId="77777777" w:rsidR="00B7164C" w:rsidRPr="007A4D97" w:rsidRDefault="00BF0332" w:rsidP="00F661FF">
      <w:pPr>
        <w:pStyle w:val="Heading2"/>
        <w:keepNext w:val="0"/>
        <w:spacing w:before="0"/>
      </w:pPr>
      <w:bookmarkStart w:id="64" w:name="_Toc2808650"/>
      <w:r w:rsidRPr="007A4D97">
        <w:t>3.1 Base Case</w:t>
      </w:r>
      <w:r w:rsidR="00B7164C" w:rsidRPr="007A4D97">
        <w:t xml:space="preserve"> Load Shapes</w:t>
      </w:r>
      <w:bookmarkEnd w:id="62"/>
      <w:bookmarkEnd w:id="63"/>
      <w:bookmarkEnd w:id="64"/>
    </w:p>
    <w:p w14:paraId="1371900F" w14:textId="77777777" w:rsidR="008840FA" w:rsidRPr="00A209A2" w:rsidRDefault="00B66898" w:rsidP="008840FA">
      <w:pPr>
        <w:rPr>
          <w:rFonts w:ascii="Arial" w:hAnsi="Arial" w:cs="Arial"/>
          <w:sz w:val="20"/>
          <w:szCs w:val="20"/>
        </w:rPr>
      </w:pPr>
      <w:bookmarkStart w:id="65" w:name="_Toc173742997"/>
      <w:r w:rsidRPr="00A209A2">
        <w:rPr>
          <w:rFonts w:ascii="Arial" w:hAnsi="Arial" w:cs="Arial"/>
          <w:sz w:val="20"/>
          <w:szCs w:val="20"/>
        </w:rPr>
        <w:t>T</w:t>
      </w:r>
      <w:r w:rsidR="008840FA" w:rsidRPr="00A209A2">
        <w:rPr>
          <w:rFonts w:ascii="Arial" w:hAnsi="Arial" w:cs="Arial"/>
          <w:sz w:val="20"/>
          <w:szCs w:val="20"/>
        </w:rPr>
        <w:t xml:space="preserve">he closest load shape chosen for this measure is the </w:t>
      </w:r>
      <w:r w:rsidR="00501673">
        <w:rPr>
          <w:rFonts w:ascii="Arial" w:hAnsi="Arial" w:cs="Arial"/>
          <w:sz w:val="20"/>
          <w:szCs w:val="20"/>
        </w:rPr>
        <w:t>“</w:t>
      </w:r>
      <w:proofErr w:type="spellStart"/>
      <w:r w:rsidR="008840FA" w:rsidRPr="00A209A2">
        <w:rPr>
          <w:rFonts w:ascii="Arial" w:hAnsi="Arial" w:cs="Arial"/>
          <w:sz w:val="20"/>
          <w:szCs w:val="20"/>
        </w:rPr>
        <w:t>DEER</w:t>
      </w:r>
      <w:proofErr w:type="gramStart"/>
      <w:r w:rsidR="008840FA" w:rsidRPr="00A209A2">
        <w:rPr>
          <w:rFonts w:ascii="Arial" w:hAnsi="Arial" w:cs="Arial"/>
          <w:sz w:val="20"/>
          <w:szCs w:val="20"/>
        </w:rPr>
        <w:t>:Indoor</w:t>
      </w:r>
      <w:proofErr w:type="gramEnd"/>
      <w:r w:rsidR="008840FA" w:rsidRPr="00A209A2">
        <w:rPr>
          <w:rFonts w:ascii="Arial" w:hAnsi="Arial" w:cs="Arial"/>
          <w:sz w:val="20"/>
          <w:szCs w:val="20"/>
        </w:rPr>
        <w:t>_</w:t>
      </w:r>
      <w:r w:rsidR="0079606B">
        <w:rPr>
          <w:rFonts w:ascii="Arial" w:hAnsi="Arial" w:cs="Arial"/>
          <w:sz w:val="20"/>
          <w:szCs w:val="20"/>
        </w:rPr>
        <w:t>Non-</w:t>
      </w:r>
      <w:r w:rsidR="008840FA" w:rsidRPr="00A209A2">
        <w:rPr>
          <w:rFonts w:ascii="Arial" w:hAnsi="Arial" w:cs="Arial"/>
          <w:sz w:val="20"/>
          <w:szCs w:val="20"/>
        </w:rPr>
        <w:t>CFL_Ltg</w:t>
      </w:r>
      <w:proofErr w:type="spellEnd"/>
      <w:r w:rsidR="00501673">
        <w:rPr>
          <w:rFonts w:ascii="Arial" w:hAnsi="Arial" w:cs="Arial"/>
          <w:sz w:val="20"/>
          <w:szCs w:val="20"/>
        </w:rPr>
        <w:t>”</w:t>
      </w:r>
      <w:r w:rsidR="008840FA" w:rsidRPr="00A209A2">
        <w:rPr>
          <w:rFonts w:ascii="Arial" w:hAnsi="Arial" w:cs="Arial"/>
          <w:sz w:val="20"/>
          <w:szCs w:val="20"/>
        </w:rPr>
        <w:t xml:space="preserve"> load shape.</w:t>
      </w:r>
      <w:r w:rsidR="00476B67" w:rsidRPr="00A209A2">
        <w:rPr>
          <w:rFonts w:ascii="Arial" w:hAnsi="Arial" w:cs="Arial"/>
          <w:sz w:val="20"/>
          <w:szCs w:val="20"/>
        </w:rPr>
        <w:t xml:space="preserve"> </w:t>
      </w:r>
    </w:p>
    <w:p w14:paraId="06B05390" w14:textId="77777777" w:rsidR="00B66898" w:rsidRPr="00A209A2" w:rsidRDefault="00B66898" w:rsidP="008840FA">
      <w:pPr>
        <w:pStyle w:val="Caption"/>
        <w:jc w:val="center"/>
        <w:rPr>
          <w:rFonts w:ascii="Arial" w:hAnsi="Arial" w:cs="Arial"/>
        </w:rPr>
      </w:pPr>
    </w:p>
    <w:p w14:paraId="3582730F" w14:textId="77777777" w:rsidR="00B7164C" w:rsidRPr="00A209A2" w:rsidRDefault="00B7164C" w:rsidP="00D467CB">
      <w:pPr>
        <w:pStyle w:val="Heading2"/>
        <w:keepNext w:val="0"/>
        <w:spacing w:before="0"/>
      </w:pPr>
      <w:bookmarkStart w:id="66" w:name="_Toc533933931"/>
      <w:bookmarkStart w:id="67" w:name="_Toc2808651"/>
      <w:r w:rsidRPr="00A209A2">
        <w:t>3.2 Measure Load Shapes</w:t>
      </w:r>
      <w:bookmarkEnd w:id="65"/>
      <w:bookmarkEnd w:id="66"/>
      <w:bookmarkEnd w:id="67"/>
    </w:p>
    <w:p w14:paraId="6884E5AE" w14:textId="77777777" w:rsidR="00B66898" w:rsidRPr="00A209A2" w:rsidRDefault="009B6201" w:rsidP="003C6DFA">
      <w:pPr>
        <w:rPr>
          <w:rFonts w:ascii="Arial" w:hAnsi="Arial" w:cs="Arial"/>
          <w:sz w:val="20"/>
          <w:szCs w:val="20"/>
        </w:rPr>
      </w:pPr>
      <w:r w:rsidRPr="00A209A2">
        <w:rPr>
          <w:rFonts w:ascii="Arial" w:hAnsi="Arial" w:cs="Arial"/>
          <w:sz w:val="20"/>
          <w:szCs w:val="20"/>
        </w:rPr>
        <w:t xml:space="preserve">The </w:t>
      </w:r>
      <w:r w:rsidR="00F47D9D" w:rsidRPr="00A209A2">
        <w:rPr>
          <w:rFonts w:ascii="Arial" w:hAnsi="Arial" w:cs="Arial"/>
          <w:sz w:val="20"/>
          <w:szCs w:val="20"/>
        </w:rPr>
        <w:t>measure load shape for this measure is</w:t>
      </w:r>
      <w:r w:rsidR="00AB2D9E" w:rsidRPr="00A209A2">
        <w:rPr>
          <w:rFonts w:ascii="Arial" w:hAnsi="Arial" w:cs="Arial"/>
          <w:sz w:val="20"/>
          <w:szCs w:val="20"/>
        </w:rPr>
        <w:t xml:space="preserve"> determined based o</w:t>
      </w:r>
      <w:r w:rsidR="00F47D9D" w:rsidRPr="00A209A2">
        <w:rPr>
          <w:rFonts w:ascii="Arial" w:hAnsi="Arial" w:cs="Arial"/>
          <w:sz w:val="20"/>
          <w:szCs w:val="20"/>
        </w:rPr>
        <w:t>n</w:t>
      </w:r>
      <w:r w:rsidR="00AB2D9E" w:rsidRPr="00A209A2">
        <w:rPr>
          <w:rFonts w:ascii="Arial" w:hAnsi="Arial" w:cs="Arial"/>
          <w:sz w:val="20"/>
          <w:szCs w:val="20"/>
        </w:rPr>
        <w:t xml:space="preserve"> the applicable </w:t>
      </w:r>
      <w:r w:rsidR="0079606B">
        <w:rPr>
          <w:rFonts w:ascii="Arial" w:hAnsi="Arial" w:cs="Arial"/>
          <w:sz w:val="20"/>
          <w:szCs w:val="20"/>
        </w:rPr>
        <w:t xml:space="preserve">non-residential </w:t>
      </w:r>
      <w:r w:rsidR="00AB2D9E" w:rsidRPr="00A209A2">
        <w:rPr>
          <w:rFonts w:ascii="Arial" w:hAnsi="Arial" w:cs="Arial"/>
          <w:sz w:val="20"/>
          <w:szCs w:val="20"/>
        </w:rPr>
        <w:t>market sector</w:t>
      </w:r>
      <w:r w:rsidR="00F47D9D" w:rsidRPr="00A209A2">
        <w:rPr>
          <w:rFonts w:ascii="Arial" w:hAnsi="Arial" w:cs="Arial"/>
          <w:sz w:val="20"/>
          <w:szCs w:val="20"/>
        </w:rPr>
        <w:t xml:space="preserve"> and the </w:t>
      </w:r>
      <w:r w:rsidR="00A209A2" w:rsidRPr="00A209A2">
        <w:rPr>
          <w:rFonts w:ascii="Arial" w:hAnsi="Arial" w:cs="Arial"/>
          <w:sz w:val="20"/>
          <w:szCs w:val="20"/>
        </w:rPr>
        <w:t>lighting</w:t>
      </w:r>
      <w:r w:rsidR="00F47D9D" w:rsidRPr="00A209A2">
        <w:rPr>
          <w:rFonts w:ascii="Arial" w:hAnsi="Arial" w:cs="Arial"/>
          <w:sz w:val="20"/>
          <w:szCs w:val="20"/>
        </w:rPr>
        <w:t xml:space="preserve"> end-use.</w:t>
      </w:r>
      <w:r w:rsidR="00476B67" w:rsidRPr="00A209A2">
        <w:rPr>
          <w:rFonts w:ascii="Arial" w:hAnsi="Arial" w:cs="Arial"/>
          <w:sz w:val="20"/>
          <w:szCs w:val="20"/>
        </w:rPr>
        <w:t xml:space="preserve"> </w:t>
      </w:r>
    </w:p>
    <w:p w14:paraId="4D6C3F3E" w14:textId="77777777" w:rsidR="00DF3395" w:rsidRPr="00A209A2" w:rsidRDefault="00B66898" w:rsidP="00D467CB">
      <w:pPr>
        <w:spacing w:line="144" w:lineRule="auto"/>
        <w:rPr>
          <w:rFonts w:ascii="Arial" w:hAnsi="Arial" w:cs="Arial"/>
          <w:sz w:val="20"/>
          <w:szCs w:val="20"/>
        </w:rPr>
      </w:pPr>
      <w:r w:rsidRPr="00A209A2">
        <w:rPr>
          <w:rFonts w:ascii="Arial" w:hAnsi="Arial" w:cs="Arial"/>
          <w:sz w:val="20"/>
          <w:szCs w:val="20"/>
        </w:rPr>
        <w:t xml:space="preserve"> </w:t>
      </w:r>
    </w:p>
    <w:p w14:paraId="4CC3111A" w14:textId="77777777" w:rsidR="00D87EFF" w:rsidRDefault="00B66898" w:rsidP="00D87EFF">
      <w:pPr>
        <w:rPr>
          <w:rFonts w:ascii="Arial" w:hAnsi="Arial" w:cs="Arial"/>
          <w:sz w:val="20"/>
          <w:szCs w:val="20"/>
        </w:rPr>
      </w:pPr>
      <w:r w:rsidRPr="00A209A2">
        <w:rPr>
          <w:rFonts w:ascii="Arial" w:hAnsi="Arial" w:cs="Arial"/>
          <w:sz w:val="20"/>
          <w:szCs w:val="20"/>
        </w:rPr>
        <w:t>T</w:t>
      </w:r>
      <w:r w:rsidR="00D87EFF" w:rsidRPr="00A209A2">
        <w:rPr>
          <w:rFonts w:ascii="Arial" w:hAnsi="Arial" w:cs="Arial"/>
          <w:sz w:val="20"/>
          <w:szCs w:val="20"/>
        </w:rPr>
        <w:t xml:space="preserve">he closest load shape chosen for this measure is the </w:t>
      </w:r>
      <w:proofErr w:type="spellStart"/>
      <w:r w:rsidR="00D87EFF" w:rsidRPr="00A209A2">
        <w:rPr>
          <w:rFonts w:ascii="Arial" w:hAnsi="Arial" w:cs="Arial"/>
          <w:sz w:val="20"/>
          <w:szCs w:val="20"/>
        </w:rPr>
        <w:t>DEER</w:t>
      </w:r>
      <w:proofErr w:type="gramStart"/>
      <w:r w:rsidR="00D87EFF" w:rsidRPr="00A209A2">
        <w:rPr>
          <w:rFonts w:ascii="Arial" w:hAnsi="Arial" w:cs="Arial"/>
          <w:sz w:val="20"/>
          <w:szCs w:val="20"/>
        </w:rPr>
        <w:t>:Indoor</w:t>
      </w:r>
      <w:proofErr w:type="gramEnd"/>
      <w:r w:rsidR="00D87EFF" w:rsidRPr="00A209A2">
        <w:rPr>
          <w:rFonts w:ascii="Arial" w:hAnsi="Arial" w:cs="Arial"/>
          <w:sz w:val="20"/>
          <w:szCs w:val="20"/>
        </w:rPr>
        <w:t>_</w:t>
      </w:r>
      <w:r w:rsidR="0079606B">
        <w:rPr>
          <w:rFonts w:ascii="Arial" w:hAnsi="Arial" w:cs="Arial"/>
          <w:sz w:val="20"/>
          <w:szCs w:val="20"/>
        </w:rPr>
        <w:t>Non-</w:t>
      </w:r>
      <w:r w:rsidR="00D87EFF" w:rsidRPr="00A209A2">
        <w:rPr>
          <w:rFonts w:ascii="Arial" w:hAnsi="Arial" w:cs="Arial"/>
          <w:sz w:val="20"/>
          <w:szCs w:val="20"/>
        </w:rPr>
        <w:t>CFL_Ltg</w:t>
      </w:r>
      <w:proofErr w:type="spellEnd"/>
      <w:r w:rsidR="00D87EFF" w:rsidRPr="00A209A2">
        <w:rPr>
          <w:rFonts w:ascii="Arial" w:hAnsi="Arial" w:cs="Arial"/>
          <w:sz w:val="20"/>
          <w:szCs w:val="20"/>
        </w:rPr>
        <w:t xml:space="preserve"> load shape.</w:t>
      </w:r>
      <w:r w:rsidR="00476B67" w:rsidRPr="00A209A2">
        <w:rPr>
          <w:rFonts w:ascii="Arial" w:hAnsi="Arial" w:cs="Arial"/>
          <w:sz w:val="20"/>
          <w:szCs w:val="20"/>
        </w:rPr>
        <w:t xml:space="preserve"> </w:t>
      </w:r>
      <w:r w:rsidR="00D87EFF" w:rsidRPr="00A209A2">
        <w:rPr>
          <w:rFonts w:ascii="Arial" w:hAnsi="Arial" w:cs="Arial"/>
          <w:sz w:val="20"/>
          <w:szCs w:val="20"/>
        </w:rPr>
        <w:t>See the KEMA report [31] for a more thorough discussion regarding the load shapes for this measure.</w:t>
      </w:r>
    </w:p>
    <w:p w14:paraId="4F2B6C75" w14:textId="77777777" w:rsidR="00F661FF" w:rsidRDefault="00F661FF">
      <w:pPr>
        <w:rPr>
          <w:rFonts w:ascii="Arial" w:hAnsi="Arial" w:cs="Arial"/>
          <w:b/>
          <w:bCs/>
          <w:kern w:val="32"/>
          <w:sz w:val="32"/>
          <w:szCs w:val="32"/>
        </w:rPr>
      </w:pPr>
      <w:bookmarkStart w:id="68" w:name="_Toc533933932"/>
      <w:r>
        <w:br w:type="page"/>
      </w:r>
    </w:p>
    <w:p w14:paraId="7353FA76" w14:textId="0959A569" w:rsidR="0091058D" w:rsidRPr="0076572D" w:rsidRDefault="00C069A2" w:rsidP="006C1C28">
      <w:pPr>
        <w:pStyle w:val="Heading1"/>
        <w:keepLines/>
      </w:pPr>
      <w:bookmarkStart w:id="69" w:name="_Toc2808652"/>
      <w:proofErr w:type="gramStart"/>
      <w:r w:rsidRPr="0076572D">
        <w:lastRenderedPageBreak/>
        <w:t>Section 4</w:t>
      </w:r>
      <w:r w:rsidR="003129E8" w:rsidRPr="0076572D">
        <w:t>.</w:t>
      </w:r>
      <w:proofErr w:type="gramEnd"/>
      <w:r w:rsidRPr="0076572D">
        <w:t xml:space="preserve"> Base Case &amp; Measure Costs</w:t>
      </w:r>
      <w:bookmarkEnd w:id="68"/>
      <w:bookmarkEnd w:id="69"/>
    </w:p>
    <w:p w14:paraId="77BC75D4" w14:textId="77777777" w:rsidR="0094555E" w:rsidRPr="00EC4B0D" w:rsidRDefault="00505D2B" w:rsidP="0094555E">
      <w:pPr>
        <w:rPr>
          <w:rFonts w:ascii="Arial" w:hAnsi="Arial" w:cs="Arial"/>
          <w:sz w:val="20"/>
          <w:szCs w:val="20"/>
        </w:rPr>
      </w:pPr>
      <w:r>
        <w:rPr>
          <w:rFonts w:ascii="Arial" w:hAnsi="Arial" w:cs="Arial"/>
          <w:sz w:val="20"/>
          <w:szCs w:val="20"/>
        </w:rPr>
        <w:t>DEER 201</w:t>
      </w:r>
      <w:r w:rsidR="00CA1504">
        <w:rPr>
          <w:rFonts w:ascii="Arial" w:hAnsi="Arial" w:cs="Arial"/>
          <w:sz w:val="20"/>
          <w:szCs w:val="20"/>
        </w:rPr>
        <w:t>6</w:t>
      </w:r>
      <w:r w:rsidR="0094555E" w:rsidRPr="00EC4B0D">
        <w:rPr>
          <w:rFonts w:ascii="Arial" w:hAnsi="Arial" w:cs="Arial"/>
          <w:sz w:val="20"/>
          <w:szCs w:val="20"/>
        </w:rPr>
        <w:t xml:space="preserve"> does not have measure cost data for LED </w:t>
      </w:r>
      <w:r w:rsidR="0095234F" w:rsidRPr="00EC4B0D">
        <w:rPr>
          <w:rFonts w:ascii="Arial" w:hAnsi="Arial" w:cs="Arial"/>
          <w:sz w:val="20"/>
          <w:szCs w:val="20"/>
        </w:rPr>
        <w:t>fixtures</w:t>
      </w:r>
      <w:r w:rsidR="0094555E" w:rsidRPr="00EC4B0D">
        <w:rPr>
          <w:rFonts w:ascii="Arial" w:hAnsi="Arial" w:cs="Arial"/>
          <w:sz w:val="20"/>
          <w:szCs w:val="20"/>
        </w:rPr>
        <w:t>.</w:t>
      </w:r>
    </w:p>
    <w:p w14:paraId="098D6CD5" w14:textId="77777777" w:rsidR="00F661FF" w:rsidRDefault="00F661FF" w:rsidP="00F661FF">
      <w:pPr>
        <w:pStyle w:val="Heading2"/>
        <w:spacing w:before="0" w:after="0"/>
      </w:pPr>
      <w:bookmarkStart w:id="70" w:name="_Toc533933933"/>
    </w:p>
    <w:p w14:paraId="140134B0" w14:textId="7CDAF05D" w:rsidR="00D17F75" w:rsidRDefault="00C069A2" w:rsidP="00F661FF">
      <w:pPr>
        <w:pStyle w:val="Heading2"/>
        <w:spacing w:before="120"/>
      </w:pPr>
      <w:bookmarkStart w:id="71" w:name="_Toc2808653"/>
      <w:r w:rsidRPr="00DC6AFC">
        <w:t>4.1 Base Case Costs</w:t>
      </w:r>
      <w:bookmarkEnd w:id="70"/>
      <w:bookmarkEnd w:id="71"/>
      <w:r w:rsidR="00021210">
        <w:t xml:space="preserve"> </w:t>
      </w:r>
    </w:p>
    <w:p w14:paraId="0D4F025B" w14:textId="1D6AA6DF" w:rsidR="00DD1C47" w:rsidRDefault="00D17F75" w:rsidP="0079606B">
      <w:pPr>
        <w:rPr>
          <w:rFonts w:ascii="Arial" w:hAnsi="Arial" w:cs="Arial"/>
          <w:sz w:val="20"/>
          <w:szCs w:val="20"/>
        </w:rPr>
      </w:pPr>
      <w:r w:rsidRPr="00EC4B0D">
        <w:rPr>
          <w:rFonts w:ascii="Arial" w:hAnsi="Arial" w:cs="Arial"/>
          <w:sz w:val="20"/>
          <w:szCs w:val="20"/>
        </w:rPr>
        <w:t>I</w:t>
      </w:r>
      <w:r w:rsidR="00BE06A4" w:rsidRPr="00EC4B0D">
        <w:rPr>
          <w:rFonts w:ascii="Arial" w:hAnsi="Arial" w:cs="Arial"/>
          <w:sz w:val="20"/>
          <w:szCs w:val="20"/>
        </w:rPr>
        <w:t xml:space="preserve">t is assumed the labor cost of replacing </w:t>
      </w:r>
      <w:r w:rsidR="00F1764E">
        <w:rPr>
          <w:rFonts w:ascii="Arial" w:hAnsi="Arial" w:cs="Arial"/>
          <w:sz w:val="20"/>
          <w:szCs w:val="20"/>
        </w:rPr>
        <w:t>the measure case</w:t>
      </w:r>
      <w:r w:rsidR="00BE06A4" w:rsidRPr="00EC4B0D">
        <w:rPr>
          <w:rFonts w:ascii="Arial" w:hAnsi="Arial" w:cs="Arial"/>
          <w:sz w:val="20"/>
          <w:szCs w:val="20"/>
        </w:rPr>
        <w:t xml:space="preserve"> </w:t>
      </w:r>
      <w:r w:rsidR="0079606B" w:rsidRPr="00EC4B0D">
        <w:rPr>
          <w:rFonts w:ascii="Arial" w:hAnsi="Arial" w:cs="Arial"/>
          <w:sz w:val="20"/>
          <w:szCs w:val="20"/>
        </w:rPr>
        <w:t xml:space="preserve">fixture would </w:t>
      </w:r>
      <w:r w:rsidR="00BE06A4" w:rsidRPr="00EC4B0D">
        <w:rPr>
          <w:rFonts w:ascii="Arial" w:hAnsi="Arial" w:cs="Arial"/>
          <w:sz w:val="20"/>
          <w:szCs w:val="20"/>
        </w:rPr>
        <w:t>be the same</w:t>
      </w:r>
      <w:r w:rsidR="00F1764E">
        <w:rPr>
          <w:rFonts w:ascii="Arial" w:hAnsi="Arial" w:cs="Arial"/>
          <w:sz w:val="20"/>
          <w:szCs w:val="20"/>
        </w:rPr>
        <w:t xml:space="preserve"> as the base case fixture</w:t>
      </w:r>
      <w:r w:rsidR="002E029C" w:rsidRPr="00EC4B0D">
        <w:rPr>
          <w:rFonts w:ascii="Arial" w:hAnsi="Arial" w:cs="Arial"/>
          <w:sz w:val="20"/>
          <w:szCs w:val="20"/>
        </w:rPr>
        <w:t>.</w:t>
      </w:r>
      <w:r w:rsidR="00BE06A4" w:rsidRPr="00EC4B0D">
        <w:rPr>
          <w:rFonts w:ascii="Arial" w:hAnsi="Arial" w:cs="Arial"/>
          <w:sz w:val="20"/>
          <w:szCs w:val="20"/>
        </w:rPr>
        <w:t xml:space="preserve"> </w:t>
      </w:r>
      <w:r w:rsidR="002E029C" w:rsidRPr="00EC4B0D">
        <w:rPr>
          <w:rFonts w:ascii="Arial" w:hAnsi="Arial" w:cs="Arial"/>
          <w:sz w:val="20"/>
          <w:szCs w:val="20"/>
        </w:rPr>
        <w:t>T</w:t>
      </w:r>
      <w:r w:rsidR="00BE06A4" w:rsidRPr="00EC4B0D">
        <w:rPr>
          <w:rFonts w:ascii="Arial" w:hAnsi="Arial" w:cs="Arial"/>
          <w:sz w:val="20"/>
          <w:szCs w:val="20"/>
        </w:rPr>
        <w:t>he base case</w:t>
      </w:r>
      <w:r w:rsidR="0079606B" w:rsidRPr="00EC4B0D">
        <w:rPr>
          <w:rFonts w:ascii="Arial" w:hAnsi="Arial" w:cs="Arial"/>
          <w:sz w:val="20"/>
          <w:szCs w:val="20"/>
        </w:rPr>
        <w:t xml:space="preserve"> and measure case</w:t>
      </w:r>
      <w:r w:rsidR="00BE06A4" w:rsidRPr="00EC4B0D">
        <w:rPr>
          <w:rFonts w:ascii="Arial" w:hAnsi="Arial" w:cs="Arial"/>
          <w:sz w:val="20"/>
          <w:szCs w:val="20"/>
        </w:rPr>
        <w:t xml:space="preserve"> cost</w:t>
      </w:r>
      <w:r w:rsidR="0079606B" w:rsidRPr="00EC4B0D">
        <w:rPr>
          <w:rFonts w:ascii="Arial" w:hAnsi="Arial" w:cs="Arial"/>
          <w:sz w:val="20"/>
          <w:szCs w:val="20"/>
        </w:rPr>
        <w:t>s</w:t>
      </w:r>
      <w:r w:rsidR="00BE06A4" w:rsidRPr="00EC4B0D">
        <w:rPr>
          <w:rFonts w:ascii="Arial" w:hAnsi="Arial" w:cs="Arial"/>
          <w:sz w:val="20"/>
          <w:szCs w:val="20"/>
        </w:rPr>
        <w:t xml:space="preserve"> </w:t>
      </w:r>
      <w:r w:rsidR="00F1764E">
        <w:rPr>
          <w:rFonts w:ascii="Arial" w:hAnsi="Arial" w:cs="Arial"/>
          <w:sz w:val="20"/>
          <w:szCs w:val="20"/>
        </w:rPr>
        <w:t>include just equipment costs</w:t>
      </w:r>
      <w:r w:rsidR="0079606B" w:rsidRPr="00EC4B0D">
        <w:rPr>
          <w:rFonts w:ascii="Arial" w:hAnsi="Arial" w:cs="Arial"/>
          <w:sz w:val="20"/>
          <w:szCs w:val="20"/>
        </w:rPr>
        <w:t xml:space="preserve">. </w:t>
      </w:r>
      <w:r w:rsidR="00321DB0" w:rsidRPr="00EC4B0D">
        <w:rPr>
          <w:rFonts w:ascii="Arial" w:hAnsi="Arial" w:cs="Arial"/>
          <w:sz w:val="20"/>
          <w:szCs w:val="20"/>
        </w:rPr>
        <w:t xml:space="preserve"> The base case costs are taken from </w:t>
      </w:r>
      <w:r w:rsidR="00C060C8">
        <w:rPr>
          <w:rFonts w:ascii="Arial" w:hAnsi="Arial" w:cs="Arial"/>
          <w:sz w:val="20"/>
          <w:szCs w:val="20"/>
        </w:rPr>
        <w:t>distributor catalogs and websites and confirmed with manufacturer representatives where possible</w:t>
      </w:r>
      <w:r w:rsidR="00F1764E">
        <w:rPr>
          <w:rFonts w:ascii="Arial" w:hAnsi="Arial" w:cs="Arial"/>
          <w:sz w:val="20"/>
          <w:szCs w:val="20"/>
        </w:rPr>
        <w:t>.</w:t>
      </w:r>
      <w:r w:rsidR="00DA6C19">
        <w:rPr>
          <w:rFonts w:ascii="Arial" w:hAnsi="Arial" w:cs="Arial"/>
          <w:sz w:val="20"/>
          <w:szCs w:val="20"/>
        </w:rPr>
        <w:t xml:space="preserve"> </w:t>
      </w:r>
      <w:r w:rsidR="00EC080B">
        <w:rPr>
          <w:rFonts w:ascii="Arial" w:hAnsi="Arial" w:cs="Arial"/>
          <w:sz w:val="20"/>
          <w:szCs w:val="20"/>
        </w:rPr>
        <w:t xml:space="preserve">All costs are given per </w:t>
      </w:r>
      <w:proofErr w:type="spellStart"/>
      <w:r w:rsidR="00EC080B">
        <w:rPr>
          <w:rFonts w:ascii="Arial" w:hAnsi="Arial" w:cs="Arial"/>
          <w:sz w:val="20"/>
          <w:szCs w:val="20"/>
        </w:rPr>
        <w:t>kilolumen</w:t>
      </w:r>
      <w:proofErr w:type="spellEnd"/>
      <w:r w:rsidR="00EC080B">
        <w:rPr>
          <w:rFonts w:ascii="Arial" w:hAnsi="Arial" w:cs="Arial"/>
          <w:sz w:val="20"/>
          <w:szCs w:val="20"/>
        </w:rPr>
        <w:t>.</w:t>
      </w:r>
    </w:p>
    <w:p w14:paraId="2B1A1C4D" w14:textId="77777777" w:rsidR="003E0160" w:rsidRPr="00EC4B0D" w:rsidRDefault="003E0160" w:rsidP="0079606B">
      <w:pPr>
        <w:rPr>
          <w:rFonts w:ascii="Arial" w:hAnsi="Arial" w:cs="Arial"/>
          <w:sz w:val="20"/>
          <w:szCs w:val="20"/>
        </w:rPr>
      </w:pPr>
    </w:p>
    <w:p w14:paraId="23BC7524" w14:textId="077B9627" w:rsidR="000D22E1" w:rsidRPr="00AB09DC" w:rsidRDefault="000D22E1" w:rsidP="000D22E1">
      <w:pPr>
        <w:pStyle w:val="Caption"/>
        <w:jc w:val="center"/>
        <w:rPr>
          <w:rFonts w:ascii="Arial" w:hAnsi="Arial" w:cs="Arial"/>
        </w:rPr>
      </w:pPr>
      <w:bookmarkStart w:id="72" w:name="_Toc533927160"/>
      <w:bookmarkStart w:id="73" w:name="_Toc2791461"/>
      <w:r w:rsidRPr="00AB09DC">
        <w:rPr>
          <w:rFonts w:ascii="Arial" w:hAnsi="Arial" w:cs="Arial"/>
        </w:rPr>
        <w:t xml:space="preserve">Table </w:t>
      </w:r>
      <w:r w:rsidR="00797297" w:rsidRPr="00AB09DC">
        <w:rPr>
          <w:rFonts w:ascii="Arial" w:hAnsi="Arial" w:cs="Arial"/>
        </w:rPr>
        <w:fldChar w:fldCharType="begin"/>
      </w:r>
      <w:r w:rsidR="00797297" w:rsidRPr="00AB09DC">
        <w:rPr>
          <w:rFonts w:ascii="Arial" w:hAnsi="Arial" w:cs="Arial"/>
        </w:rPr>
        <w:instrText xml:space="preserve"> SEQ Table \* ARABIC </w:instrText>
      </w:r>
      <w:r w:rsidR="00797297" w:rsidRPr="00AB09DC">
        <w:rPr>
          <w:rFonts w:ascii="Arial" w:hAnsi="Arial" w:cs="Arial"/>
        </w:rPr>
        <w:fldChar w:fldCharType="separate"/>
      </w:r>
      <w:r w:rsidR="00A51621">
        <w:rPr>
          <w:rFonts w:ascii="Arial" w:hAnsi="Arial" w:cs="Arial"/>
          <w:noProof/>
        </w:rPr>
        <w:t>7</w:t>
      </w:r>
      <w:r w:rsidR="00797297" w:rsidRPr="00AB09DC">
        <w:rPr>
          <w:rFonts w:ascii="Arial" w:hAnsi="Arial" w:cs="Arial"/>
          <w:noProof/>
        </w:rPr>
        <w:fldChar w:fldCharType="end"/>
      </w:r>
      <w:r w:rsidR="00AB09DC" w:rsidRPr="00AB09DC">
        <w:rPr>
          <w:rFonts w:ascii="Arial" w:hAnsi="Arial" w:cs="Arial"/>
          <w:noProof/>
        </w:rPr>
        <w:t>:</w:t>
      </w:r>
      <w:r w:rsidR="00EC7B5B" w:rsidRPr="00AB09DC">
        <w:rPr>
          <w:rFonts w:ascii="Arial" w:hAnsi="Arial" w:cs="Arial"/>
        </w:rPr>
        <w:t xml:space="preserve"> </w:t>
      </w:r>
      <w:r w:rsidRPr="00AB09DC">
        <w:rPr>
          <w:rFonts w:ascii="Arial" w:hAnsi="Arial" w:cs="Arial"/>
        </w:rPr>
        <w:t xml:space="preserve">LED </w:t>
      </w:r>
      <w:r w:rsidR="00C27933" w:rsidRPr="00AB09DC">
        <w:rPr>
          <w:rFonts w:ascii="Arial" w:hAnsi="Arial" w:cs="Arial"/>
        </w:rPr>
        <w:t xml:space="preserve">Ambient </w:t>
      </w:r>
      <w:r w:rsidR="002E6C39" w:rsidRPr="00AB09DC">
        <w:rPr>
          <w:rFonts w:ascii="Arial" w:hAnsi="Arial" w:cs="Arial"/>
        </w:rPr>
        <w:t xml:space="preserve">Fixtures &amp; Retrofit Kits </w:t>
      </w:r>
      <w:r w:rsidRPr="00AB09DC">
        <w:rPr>
          <w:rFonts w:ascii="Arial" w:hAnsi="Arial" w:cs="Arial"/>
        </w:rPr>
        <w:t>Base Case Cost Table</w:t>
      </w:r>
      <w:bookmarkEnd w:id="72"/>
      <w:bookmarkEnd w:id="73"/>
    </w:p>
    <w:tbl>
      <w:tblPr>
        <w:tblW w:w="837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6"/>
        <w:gridCol w:w="2014"/>
      </w:tblGrid>
      <w:tr w:rsidR="0049475B" w:rsidRPr="0008537D" w14:paraId="0B87027B" w14:textId="77777777" w:rsidTr="003E0160">
        <w:trPr>
          <w:trHeight w:val="163"/>
        </w:trPr>
        <w:tc>
          <w:tcPr>
            <w:tcW w:w="6356" w:type="dxa"/>
            <w:vAlign w:val="center"/>
          </w:tcPr>
          <w:p w14:paraId="0FE69E47" w14:textId="77777777" w:rsidR="0049475B" w:rsidRPr="00422D1A" w:rsidRDefault="0049475B" w:rsidP="00686886">
            <w:pPr>
              <w:jc w:val="center"/>
              <w:rPr>
                <w:rFonts w:ascii="Arial" w:hAnsi="Arial" w:cs="Arial"/>
                <w:b/>
                <w:sz w:val="20"/>
                <w:szCs w:val="20"/>
              </w:rPr>
            </w:pPr>
            <w:r w:rsidRPr="00422D1A">
              <w:rPr>
                <w:rFonts w:ascii="Arial" w:hAnsi="Arial" w:cs="Arial"/>
                <w:b/>
                <w:sz w:val="20"/>
                <w:szCs w:val="20"/>
              </w:rPr>
              <w:t>Measure Description</w:t>
            </w:r>
          </w:p>
        </w:tc>
        <w:tc>
          <w:tcPr>
            <w:tcW w:w="2014" w:type="dxa"/>
            <w:vAlign w:val="center"/>
          </w:tcPr>
          <w:p w14:paraId="7344E0F6" w14:textId="77777777" w:rsidR="00EC080B" w:rsidRDefault="0049475B" w:rsidP="00686886">
            <w:pPr>
              <w:jc w:val="center"/>
              <w:rPr>
                <w:rFonts w:ascii="Arial" w:hAnsi="Arial" w:cs="Arial"/>
                <w:b/>
                <w:sz w:val="20"/>
                <w:szCs w:val="20"/>
              </w:rPr>
            </w:pPr>
            <w:r w:rsidRPr="00422D1A">
              <w:rPr>
                <w:rFonts w:ascii="Arial" w:hAnsi="Arial" w:cs="Arial"/>
                <w:b/>
                <w:sz w:val="20"/>
                <w:szCs w:val="20"/>
              </w:rPr>
              <w:t xml:space="preserve">Base Case </w:t>
            </w:r>
            <w:r>
              <w:rPr>
                <w:rFonts w:ascii="Arial" w:hAnsi="Arial" w:cs="Arial"/>
                <w:b/>
                <w:sz w:val="20"/>
                <w:szCs w:val="20"/>
              </w:rPr>
              <w:t xml:space="preserve">Equipment </w:t>
            </w:r>
            <w:r w:rsidRPr="00422D1A">
              <w:rPr>
                <w:rFonts w:ascii="Arial" w:hAnsi="Arial" w:cs="Arial"/>
                <w:b/>
                <w:sz w:val="20"/>
                <w:szCs w:val="20"/>
              </w:rPr>
              <w:t>Cost</w:t>
            </w:r>
          </w:p>
          <w:p w14:paraId="1D52C61D" w14:textId="02B19F9C" w:rsidR="0049475B" w:rsidRPr="00422D1A" w:rsidRDefault="00934B22" w:rsidP="00686886">
            <w:pPr>
              <w:jc w:val="cente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kilolumen</w:t>
            </w:r>
            <w:proofErr w:type="spellEnd"/>
            <w:r>
              <w:rPr>
                <w:rFonts w:ascii="Arial" w:hAnsi="Arial" w:cs="Arial"/>
                <w:b/>
                <w:sz w:val="20"/>
                <w:szCs w:val="20"/>
              </w:rPr>
              <w:t>)</w:t>
            </w:r>
          </w:p>
        </w:tc>
      </w:tr>
      <w:tr w:rsidR="00A5688F" w:rsidRPr="00C27933" w14:paraId="2C4ADC93" w14:textId="77777777" w:rsidTr="003F5B60">
        <w:trPr>
          <w:trHeight w:val="163"/>
        </w:trPr>
        <w:tc>
          <w:tcPr>
            <w:tcW w:w="6356" w:type="dxa"/>
            <w:vAlign w:val="center"/>
          </w:tcPr>
          <w:p w14:paraId="5576E826" w14:textId="77777777" w:rsidR="00A5688F" w:rsidRPr="00934B22" w:rsidRDefault="00A5688F" w:rsidP="003F5B60">
            <w:pPr>
              <w:jc w:val="center"/>
              <w:rPr>
                <w:rFonts w:ascii="Arial" w:eastAsiaTheme="minorHAnsi" w:hAnsi="Arial" w:cs="Arial"/>
                <w:color w:val="000000"/>
                <w:sz w:val="20"/>
                <w:szCs w:val="16"/>
              </w:rPr>
            </w:pPr>
            <w:r w:rsidRPr="00934B22">
              <w:rPr>
                <w:rFonts w:ascii="Arial" w:eastAsiaTheme="minorHAnsi" w:hAnsi="Arial" w:cs="Arial"/>
                <w:color w:val="000000"/>
                <w:sz w:val="18"/>
                <w:szCs w:val="16"/>
              </w:rPr>
              <w:t>LED</w:t>
            </w:r>
            <w:r>
              <w:rPr>
                <w:rFonts w:ascii="Arial" w:eastAsiaTheme="minorHAnsi" w:hAnsi="Arial" w:cs="Arial"/>
                <w:color w:val="000000"/>
                <w:sz w:val="18"/>
                <w:szCs w:val="16"/>
              </w:rPr>
              <w:t xml:space="preserve"> Troffer</w:t>
            </w:r>
            <w:r w:rsidRPr="00934B22">
              <w:rPr>
                <w:rFonts w:ascii="Arial" w:eastAsiaTheme="minorHAnsi" w:hAnsi="Arial" w:cs="Arial"/>
                <w:color w:val="000000"/>
                <w:sz w:val="18"/>
                <w:szCs w:val="16"/>
              </w:rPr>
              <w:t xml:space="preserve"> Luminaires/Retrofit Kits </w:t>
            </w:r>
          </w:p>
        </w:tc>
        <w:tc>
          <w:tcPr>
            <w:tcW w:w="2014" w:type="dxa"/>
            <w:vAlign w:val="center"/>
          </w:tcPr>
          <w:p w14:paraId="4DB4CDE0" w14:textId="77777777" w:rsidR="00A5688F" w:rsidRPr="001C6B71" w:rsidRDefault="00A5688F" w:rsidP="003F5B60">
            <w:pPr>
              <w:jc w:val="center"/>
              <w:rPr>
                <w:rFonts w:ascii="Arial" w:hAnsi="Arial" w:cs="Arial"/>
                <w:b/>
                <w:sz w:val="20"/>
                <w:szCs w:val="16"/>
              </w:rPr>
            </w:pPr>
            <w:r>
              <w:rPr>
                <w:rFonts w:ascii="Arial" w:hAnsi="Arial" w:cs="Arial"/>
                <w:b/>
                <w:sz w:val="20"/>
                <w:szCs w:val="16"/>
              </w:rPr>
              <w:t xml:space="preserve"> $31.78</w:t>
            </w:r>
          </w:p>
        </w:tc>
      </w:tr>
      <w:tr w:rsidR="00A5688F" w:rsidRPr="00C27933" w14:paraId="12DBB3FF" w14:textId="77777777" w:rsidTr="003F5B60">
        <w:trPr>
          <w:trHeight w:val="163"/>
        </w:trPr>
        <w:tc>
          <w:tcPr>
            <w:tcW w:w="6356" w:type="dxa"/>
            <w:vAlign w:val="center"/>
          </w:tcPr>
          <w:p w14:paraId="4EFCB0D8" w14:textId="77777777" w:rsidR="00A5688F" w:rsidRPr="00934B22" w:rsidRDefault="00A5688F" w:rsidP="003F5B60">
            <w:pPr>
              <w:jc w:val="center"/>
              <w:rPr>
                <w:rFonts w:ascii="Arial" w:eastAsiaTheme="minorHAnsi" w:hAnsi="Arial" w:cs="Arial"/>
                <w:color w:val="000000"/>
                <w:sz w:val="20"/>
                <w:szCs w:val="16"/>
              </w:rPr>
            </w:pPr>
            <w:r w:rsidRPr="00934B22">
              <w:rPr>
                <w:rFonts w:ascii="Arial" w:eastAsiaTheme="minorHAnsi" w:hAnsi="Arial" w:cs="Arial"/>
                <w:color w:val="000000"/>
                <w:sz w:val="18"/>
                <w:szCs w:val="16"/>
              </w:rPr>
              <w:t xml:space="preserve">LED </w:t>
            </w:r>
            <w:r>
              <w:rPr>
                <w:rFonts w:ascii="Arial" w:eastAsiaTheme="minorHAnsi" w:hAnsi="Arial" w:cs="Arial"/>
                <w:color w:val="000000"/>
                <w:sz w:val="18"/>
                <w:szCs w:val="16"/>
              </w:rPr>
              <w:t xml:space="preserve">Linear Ambient </w:t>
            </w:r>
            <w:r w:rsidRPr="00934B22">
              <w:rPr>
                <w:rFonts w:ascii="Arial" w:eastAsiaTheme="minorHAnsi" w:hAnsi="Arial" w:cs="Arial"/>
                <w:color w:val="000000"/>
                <w:sz w:val="18"/>
                <w:szCs w:val="16"/>
              </w:rPr>
              <w:t>Luminaires/Retrofit Kits</w:t>
            </w:r>
          </w:p>
        </w:tc>
        <w:tc>
          <w:tcPr>
            <w:tcW w:w="2014" w:type="dxa"/>
            <w:vAlign w:val="center"/>
          </w:tcPr>
          <w:p w14:paraId="4F192636" w14:textId="77777777" w:rsidR="00A5688F" w:rsidRPr="001C6B71" w:rsidRDefault="00A5688F" w:rsidP="003F5B60">
            <w:pPr>
              <w:jc w:val="center"/>
              <w:rPr>
                <w:rFonts w:ascii="Arial" w:hAnsi="Arial" w:cs="Arial"/>
                <w:b/>
                <w:sz w:val="20"/>
                <w:szCs w:val="16"/>
              </w:rPr>
            </w:pPr>
            <w:r>
              <w:rPr>
                <w:rFonts w:ascii="Arial" w:hAnsi="Arial" w:cs="Arial"/>
                <w:b/>
                <w:sz w:val="20"/>
                <w:szCs w:val="16"/>
              </w:rPr>
              <w:t xml:space="preserve"> $35.91</w:t>
            </w:r>
            <w:r w:rsidRPr="001C6B71">
              <w:rPr>
                <w:rFonts w:ascii="Arial" w:hAnsi="Arial" w:cs="Arial"/>
                <w:b/>
                <w:sz w:val="20"/>
                <w:szCs w:val="16"/>
              </w:rPr>
              <w:t xml:space="preserve"> </w:t>
            </w:r>
          </w:p>
        </w:tc>
      </w:tr>
      <w:tr w:rsidR="00A5688F" w:rsidRPr="00C27933" w14:paraId="32DE71DD" w14:textId="77777777" w:rsidTr="003F5B60">
        <w:trPr>
          <w:trHeight w:val="163"/>
        </w:trPr>
        <w:tc>
          <w:tcPr>
            <w:tcW w:w="6356" w:type="dxa"/>
            <w:vAlign w:val="center"/>
          </w:tcPr>
          <w:p w14:paraId="1194F0F7" w14:textId="77777777" w:rsidR="00A5688F" w:rsidRPr="00934B22" w:rsidRDefault="00A5688F" w:rsidP="00914FD7">
            <w:pPr>
              <w:jc w:val="center"/>
              <w:rPr>
                <w:rFonts w:ascii="Arial" w:eastAsiaTheme="minorHAnsi" w:hAnsi="Arial" w:cs="Arial"/>
                <w:color w:val="000000"/>
                <w:sz w:val="18"/>
                <w:szCs w:val="16"/>
              </w:rPr>
            </w:pPr>
            <w:r>
              <w:rPr>
                <w:rFonts w:ascii="Arial" w:eastAsiaTheme="minorHAnsi" w:hAnsi="Arial" w:cs="Arial"/>
                <w:color w:val="000000"/>
                <w:sz w:val="18"/>
                <w:szCs w:val="16"/>
              </w:rPr>
              <w:t>TLEDs</w:t>
            </w:r>
          </w:p>
        </w:tc>
        <w:tc>
          <w:tcPr>
            <w:tcW w:w="2014" w:type="dxa"/>
            <w:vAlign w:val="center"/>
          </w:tcPr>
          <w:p w14:paraId="19ECF778" w14:textId="59F069B5" w:rsidR="00A5688F" w:rsidRDefault="00A5688F" w:rsidP="00C73086">
            <w:pPr>
              <w:jc w:val="center"/>
              <w:rPr>
                <w:rFonts w:ascii="Arial" w:hAnsi="Arial" w:cs="Arial"/>
                <w:b/>
                <w:sz w:val="20"/>
                <w:szCs w:val="16"/>
              </w:rPr>
            </w:pPr>
            <w:r>
              <w:rPr>
                <w:rFonts w:ascii="Arial" w:hAnsi="Arial" w:cs="Arial"/>
                <w:b/>
                <w:sz w:val="20"/>
                <w:szCs w:val="16"/>
              </w:rPr>
              <w:t>$</w:t>
            </w:r>
            <w:r w:rsidR="00C73086">
              <w:rPr>
                <w:rFonts w:ascii="Arial" w:hAnsi="Arial" w:cs="Arial"/>
                <w:b/>
                <w:sz w:val="20"/>
                <w:szCs w:val="16"/>
              </w:rPr>
              <w:t>3.</w:t>
            </w:r>
            <w:r w:rsidR="00A50642">
              <w:rPr>
                <w:rFonts w:ascii="Arial" w:hAnsi="Arial" w:cs="Arial"/>
                <w:b/>
                <w:sz w:val="20"/>
                <w:szCs w:val="16"/>
              </w:rPr>
              <w:t>60</w:t>
            </w:r>
          </w:p>
        </w:tc>
      </w:tr>
      <w:tr w:rsidR="00914FD7" w:rsidRPr="00C27933" w14:paraId="512DA3C5" w14:textId="77777777" w:rsidTr="003F5B60">
        <w:trPr>
          <w:trHeight w:val="163"/>
        </w:trPr>
        <w:tc>
          <w:tcPr>
            <w:tcW w:w="6356" w:type="dxa"/>
            <w:vAlign w:val="center"/>
          </w:tcPr>
          <w:p w14:paraId="1AC2F8C3" w14:textId="77777777" w:rsidR="00A5688F" w:rsidRDefault="00914FD7" w:rsidP="00914FD7">
            <w:pPr>
              <w:jc w:val="center"/>
              <w:rPr>
                <w:rFonts w:ascii="Arial" w:eastAsiaTheme="minorHAnsi" w:hAnsi="Arial" w:cs="Arial"/>
                <w:color w:val="000000"/>
                <w:sz w:val="18"/>
                <w:szCs w:val="16"/>
              </w:rPr>
            </w:pPr>
            <w:r w:rsidRPr="00934B22">
              <w:rPr>
                <w:rFonts w:ascii="Arial" w:eastAsiaTheme="minorHAnsi" w:hAnsi="Arial" w:cs="Arial"/>
                <w:color w:val="000000"/>
                <w:sz w:val="18"/>
                <w:szCs w:val="16"/>
              </w:rPr>
              <w:t>All LED</w:t>
            </w:r>
            <w:r>
              <w:rPr>
                <w:rFonts w:ascii="Arial" w:eastAsiaTheme="minorHAnsi" w:hAnsi="Arial" w:cs="Arial"/>
                <w:color w:val="000000"/>
                <w:sz w:val="18"/>
                <w:szCs w:val="16"/>
              </w:rPr>
              <w:t xml:space="preserve"> Troffer</w:t>
            </w:r>
            <w:r w:rsidRPr="00934B22">
              <w:rPr>
                <w:rFonts w:ascii="Arial" w:eastAsiaTheme="minorHAnsi" w:hAnsi="Arial" w:cs="Arial"/>
                <w:color w:val="000000"/>
                <w:sz w:val="18"/>
                <w:szCs w:val="16"/>
              </w:rPr>
              <w:t xml:space="preserve"> Luminaires/Retrofit Kits Measures </w:t>
            </w:r>
          </w:p>
          <w:p w14:paraId="44CE23A3" w14:textId="77777777" w:rsidR="00914FD7" w:rsidRPr="00934B22" w:rsidRDefault="00A5688F" w:rsidP="00914FD7">
            <w:pPr>
              <w:jc w:val="center"/>
              <w:rPr>
                <w:rFonts w:ascii="Arial" w:eastAsiaTheme="minorHAnsi" w:hAnsi="Arial" w:cs="Arial"/>
                <w:color w:val="000000"/>
                <w:sz w:val="20"/>
                <w:szCs w:val="16"/>
              </w:rPr>
            </w:pPr>
            <w:r>
              <w:rPr>
                <w:rFonts w:ascii="Arial" w:eastAsiaTheme="minorHAnsi" w:hAnsi="Arial" w:cs="Arial"/>
                <w:color w:val="000000"/>
                <w:sz w:val="18"/>
                <w:szCs w:val="16"/>
              </w:rPr>
              <w:t>(blend including TLEDs)</w:t>
            </w:r>
          </w:p>
        </w:tc>
        <w:tc>
          <w:tcPr>
            <w:tcW w:w="2014" w:type="dxa"/>
            <w:vAlign w:val="center"/>
          </w:tcPr>
          <w:p w14:paraId="3339F30A" w14:textId="23D93ABF" w:rsidR="00914FD7" w:rsidRPr="001C6B71" w:rsidRDefault="00914FD7" w:rsidP="00914FD7">
            <w:pPr>
              <w:jc w:val="center"/>
              <w:rPr>
                <w:rFonts w:ascii="Arial" w:hAnsi="Arial" w:cs="Arial"/>
                <w:b/>
                <w:sz w:val="20"/>
                <w:szCs w:val="16"/>
              </w:rPr>
            </w:pPr>
            <w:r>
              <w:rPr>
                <w:rFonts w:ascii="Arial" w:hAnsi="Arial" w:cs="Arial"/>
                <w:b/>
                <w:sz w:val="20"/>
                <w:szCs w:val="16"/>
              </w:rPr>
              <w:t xml:space="preserve"> $</w:t>
            </w:r>
            <w:r w:rsidR="00A5688F">
              <w:rPr>
                <w:rFonts w:ascii="Arial" w:hAnsi="Arial" w:cs="Arial"/>
                <w:b/>
                <w:sz w:val="20"/>
                <w:szCs w:val="16"/>
              </w:rPr>
              <w:t>22.</w:t>
            </w:r>
            <w:r w:rsidR="00A50642">
              <w:rPr>
                <w:rFonts w:ascii="Arial" w:hAnsi="Arial" w:cs="Arial"/>
                <w:b/>
                <w:sz w:val="20"/>
                <w:szCs w:val="16"/>
              </w:rPr>
              <w:t>48</w:t>
            </w:r>
          </w:p>
        </w:tc>
      </w:tr>
      <w:tr w:rsidR="00914FD7" w:rsidRPr="00C27933" w14:paraId="096A04B9" w14:textId="77777777" w:rsidTr="003E0160">
        <w:trPr>
          <w:trHeight w:val="163"/>
        </w:trPr>
        <w:tc>
          <w:tcPr>
            <w:tcW w:w="6356" w:type="dxa"/>
            <w:vAlign w:val="center"/>
          </w:tcPr>
          <w:p w14:paraId="5EF08DF0" w14:textId="77777777" w:rsidR="00A5688F" w:rsidRDefault="00914FD7" w:rsidP="00914FD7">
            <w:pPr>
              <w:jc w:val="center"/>
              <w:rPr>
                <w:rFonts w:ascii="Arial" w:eastAsiaTheme="minorHAnsi" w:hAnsi="Arial" w:cs="Arial"/>
                <w:color w:val="000000"/>
                <w:sz w:val="18"/>
                <w:szCs w:val="16"/>
              </w:rPr>
            </w:pPr>
            <w:r w:rsidRPr="00934B22">
              <w:rPr>
                <w:rFonts w:ascii="Arial" w:eastAsiaTheme="minorHAnsi" w:hAnsi="Arial" w:cs="Arial"/>
                <w:color w:val="000000"/>
                <w:sz w:val="18"/>
                <w:szCs w:val="16"/>
              </w:rPr>
              <w:t xml:space="preserve">All LED </w:t>
            </w:r>
            <w:r>
              <w:rPr>
                <w:rFonts w:ascii="Arial" w:eastAsiaTheme="minorHAnsi" w:hAnsi="Arial" w:cs="Arial"/>
                <w:color w:val="000000"/>
                <w:sz w:val="18"/>
                <w:szCs w:val="16"/>
              </w:rPr>
              <w:t xml:space="preserve">Linear Ambient </w:t>
            </w:r>
            <w:r w:rsidRPr="00934B22">
              <w:rPr>
                <w:rFonts w:ascii="Arial" w:eastAsiaTheme="minorHAnsi" w:hAnsi="Arial" w:cs="Arial"/>
                <w:color w:val="000000"/>
                <w:sz w:val="18"/>
                <w:szCs w:val="16"/>
              </w:rPr>
              <w:t xml:space="preserve">Luminaires/Retrofit Kits Measures </w:t>
            </w:r>
          </w:p>
          <w:p w14:paraId="4D821411" w14:textId="3EFAB894" w:rsidR="00914FD7" w:rsidRPr="00934B22" w:rsidRDefault="00A5688F" w:rsidP="00914FD7">
            <w:pPr>
              <w:jc w:val="center"/>
              <w:rPr>
                <w:rFonts w:ascii="Arial" w:eastAsiaTheme="minorHAnsi" w:hAnsi="Arial" w:cs="Arial"/>
                <w:color w:val="000000"/>
                <w:sz w:val="20"/>
                <w:szCs w:val="16"/>
              </w:rPr>
            </w:pPr>
            <w:r>
              <w:rPr>
                <w:rFonts w:ascii="Arial" w:eastAsiaTheme="minorHAnsi" w:hAnsi="Arial" w:cs="Arial"/>
                <w:color w:val="000000"/>
                <w:sz w:val="18"/>
                <w:szCs w:val="16"/>
              </w:rPr>
              <w:t>(blend including TLEDs)</w:t>
            </w:r>
          </w:p>
        </w:tc>
        <w:tc>
          <w:tcPr>
            <w:tcW w:w="2014" w:type="dxa"/>
            <w:vAlign w:val="center"/>
          </w:tcPr>
          <w:p w14:paraId="1248AEE3" w14:textId="690D6950" w:rsidR="00914FD7" w:rsidRPr="001C6B71" w:rsidRDefault="00914FD7" w:rsidP="00914FD7">
            <w:pPr>
              <w:jc w:val="center"/>
              <w:rPr>
                <w:rFonts w:ascii="Arial" w:hAnsi="Arial" w:cs="Arial"/>
                <w:b/>
                <w:sz w:val="20"/>
                <w:szCs w:val="16"/>
              </w:rPr>
            </w:pPr>
            <w:r>
              <w:rPr>
                <w:rFonts w:ascii="Arial" w:hAnsi="Arial" w:cs="Arial"/>
                <w:b/>
                <w:sz w:val="20"/>
                <w:szCs w:val="16"/>
              </w:rPr>
              <w:t xml:space="preserve"> $</w:t>
            </w:r>
            <w:r w:rsidR="00A5688F">
              <w:rPr>
                <w:rFonts w:ascii="Arial" w:hAnsi="Arial" w:cs="Arial"/>
                <w:b/>
                <w:sz w:val="20"/>
                <w:szCs w:val="16"/>
              </w:rPr>
              <w:t>2</w:t>
            </w:r>
            <w:r w:rsidRPr="001C6B71">
              <w:rPr>
                <w:rFonts w:ascii="Arial" w:hAnsi="Arial" w:cs="Arial"/>
                <w:b/>
                <w:sz w:val="20"/>
                <w:szCs w:val="16"/>
              </w:rPr>
              <w:t>5.</w:t>
            </w:r>
            <w:r w:rsidR="00C73086">
              <w:rPr>
                <w:rFonts w:ascii="Arial" w:hAnsi="Arial" w:cs="Arial"/>
                <w:b/>
                <w:sz w:val="20"/>
                <w:szCs w:val="16"/>
              </w:rPr>
              <w:t>2</w:t>
            </w:r>
            <w:r w:rsidR="00A50642">
              <w:rPr>
                <w:rFonts w:ascii="Arial" w:hAnsi="Arial" w:cs="Arial"/>
                <w:b/>
                <w:sz w:val="20"/>
                <w:szCs w:val="16"/>
              </w:rPr>
              <w:t>4</w:t>
            </w:r>
          </w:p>
        </w:tc>
      </w:tr>
    </w:tbl>
    <w:p w14:paraId="337E7775" w14:textId="77777777" w:rsidR="00A50642" w:rsidRDefault="00A50642" w:rsidP="00A50642">
      <w:pPr>
        <w:rPr>
          <w:rFonts w:ascii="Arial" w:hAnsi="Arial" w:cs="Arial"/>
          <w:b/>
          <w:sz w:val="20"/>
          <w:szCs w:val="20"/>
        </w:rPr>
      </w:pPr>
      <w:bookmarkStart w:id="74" w:name="_Toc533933934"/>
    </w:p>
    <w:p w14:paraId="535A8F54" w14:textId="4B721D0A" w:rsidR="00A50642" w:rsidRDefault="00A50642" w:rsidP="00A50642">
      <w:r>
        <w:rPr>
          <w:rFonts w:ascii="Arial" w:hAnsi="Arial" w:cs="Arial"/>
          <w:b/>
          <w:sz w:val="20"/>
          <w:szCs w:val="20"/>
        </w:rPr>
        <w:t>T</w:t>
      </w:r>
      <w:r w:rsidRPr="00E51103">
        <w:rPr>
          <w:rFonts w:ascii="Arial" w:hAnsi="Arial" w:cs="Arial"/>
          <w:b/>
          <w:sz w:val="20"/>
          <w:szCs w:val="20"/>
        </w:rPr>
        <w:t>LED:</w:t>
      </w:r>
      <w:r w:rsidRPr="00E51103">
        <w:rPr>
          <w:rFonts w:ascii="Arial" w:hAnsi="Arial" w:cs="Arial"/>
          <w:sz w:val="20"/>
          <w:szCs w:val="20"/>
        </w:rPr>
        <w:t xml:space="preserve">  </w:t>
      </w:r>
      <w:r w:rsidRPr="00D131F0">
        <w:rPr>
          <w:rFonts w:ascii="Arial" w:hAnsi="Arial" w:cs="Arial"/>
          <w:sz w:val="20"/>
          <w:szCs w:val="20"/>
        </w:rPr>
        <w:t>Costs for base case TLED came from online pricing via web-scraping. Because TLEDs vary</w:t>
      </w:r>
      <w:r>
        <w:t xml:space="preserve"> </w:t>
      </w:r>
      <w:r w:rsidRPr="00D131F0">
        <w:rPr>
          <w:rFonts w:ascii="Arial" w:hAnsi="Arial" w:cs="Arial"/>
          <w:sz w:val="20"/>
          <w:szCs w:val="20"/>
        </w:rPr>
        <w:t>widely in wattage, price, and light output, the prices were normalized by light output at the midpoint of the lumen bin. Based on the February 2019 web-scraped cost data the average TLED price was $9.23 with an average light output of 2,582 lumens, which yields a cost of $</w:t>
      </w:r>
      <w:r>
        <w:rPr>
          <w:rFonts w:ascii="Arial" w:hAnsi="Arial" w:cs="Arial"/>
          <w:sz w:val="20"/>
          <w:szCs w:val="20"/>
        </w:rPr>
        <w:t>3.60</w:t>
      </w:r>
      <w:r w:rsidRPr="00D131F0">
        <w:rPr>
          <w:rFonts w:ascii="Arial" w:hAnsi="Arial" w:cs="Arial"/>
          <w:sz w:val="20"/>
          <w:szCs w:val="20"/>
        </w:rPr>
        <w:t xml:space="preserve"> per </w:t>
      </w:r>
      <w:proofErr w:type="spellStart"/>
      <w:r>
        <w:rPr>
          <w:rFonts w:ascii="Arial" w:hAnsi="Arial" w:cs="Arial"/>
          <w:sz w:val="20"/>
          <w:szCs w:val="20"/>
        </w:rPr>
        <w:t>kilo</w:t>
      </w:r>
      <w:r w:rsidRPr="00D131F0">
        <w:rPr>
          <w:rFonts w:ascii="Arial" w:hAnsi="Arial" w:cs="Arial"/>
          <w:sz w:val="20"/>
          <w:szCs w:val="20"/>
        </w:rPr>
        <w:t>lumen</w:t>
      </w:r>
      <w:proofErr w:type="spellEnd"/>
      <w:r w:rsidRPr="00D131F0">
        <w:rPr>
          <w:rFonts w:ascii="Arial" w:hAnsi="Arial" w:cs="Arial"/>
          <w:sz w:val="20"/>
          <w:szCs w:val="20"/>
        </w:rPr>
        <w:t>. See attached file “Copy of TLED Cost Data_FEB2019.xlsx” for the cost data</w:t>
      </w:r>
      <w:r w:rsidRPr="0051184D">
        <w:rPr>
          <w:rFonts w:ascii="Arial" w:hAnsi="Arial" w:cs="Arial"/>
          <w:sz w:val="20"/>
          <w:szCs w:val="20"/>
        </w:rPr>
        <w:t xml:space="preserve"> and the calculations.</w:t>
      </w:r>
    </w:p>
    <w:p w14:paraId="7A0AF871" w14:textId="77777777" w:rsidR="00A50642" w:rsidRDefault="00A50642" w:rsidP="00A50642">
      <w:pPr>
        <w:pStyle w:val="Heading2"/>
        <w:keepLines/>
        <w:spacing w:before="0" w:after="0"/>
      </w:pPr>
      <w:bookmarkStart w:id="75" w:name="_Toc533933935"/>
      <w:bookmarkEnd w:id="74"/>
    </w:p>
    <w:p w14:paraId="4343E0E8" w14:textId="4DBFAA03" w:rsidR="005910C8" w:rsidRDefault="005910C8" w:rsidP="00A50642">
      <w:pPr>
        <w:pStyle w:val="Heading2"/>
        <w:keepLines/>
        <w:spacing w:before="120"/>
      </w:pPr>
      <w:bookmarkStart w:id="76" w:name="_Toc2808654"/>
      <w:r>
        <w:t>4.2 Measure Costs</w:t>
      </w:r>
      <w:bookmarkEnd w:id="75"/>
      <w:bookmarkEnd w:id="76"/>
    </w:p>
    <w:p w14:paraId="1E180ADC" w14:textId="322F7D06" w:rsidR="00DF0993" w:rsidRDefault="005910C8" w:rsidP="005910C8">
      <w:pPr>
        <w:rPr>
          <w:rFonts w:ascii="Arial" w:hAnsi="Arial" w:cs="Arial"/>
          <w:sz w:val="20"/>
          <w:szCs w:val="20"/>
        </w:rPr>
      </w:pPr>
      <w:r w:rsidRPr="00EC4B0D">
        <w:rPr>
          <w:rFonts w:ascii="Arial" w:hAnsi="Arial" w:cs="Arial"/>
          <w:sz w:val="20"/>
          <w:szCs w:val="20"/>
        </w:rPr>
        <w:t>The</w:t>
      </w:r>
      <w:r w:rsidR="00930D20" w:rsidRPr="00EC4B0D">
        <w:rPr>
          <w:rFonts w:ascii="Arial" w:hAnsi="Arial" w:cs="Arial"/>
          <w:sz w:val="20"/>
          <w:szCs w:val="20"/>
        </w:rPr>
        <w:t xml:space="preserve"> measure</w:t>
      </w:r>
      <w:r w:rsidRPr="00EC4B0D">
        <w:rPr>
          <w:rFonts w:ascii="Arial" w:hAnsi="Arial" w:cs="Arial"/>
          <w:sz w:val="20"/>
          <w:szCs w:val="20"/>
        </w:rPr>
        <w:t xml:space="preserve"> </w:t>
      </w:r>
      <w:r w:rsidR="00F1764E">
        <w:rPr>
          <w:rFonts w:ascii="Arial" w:hAnsi="Arial" w:cs="Arial"/>
          <w:sz w:val="20"/>
          <w:szCs w:val="20"/>
        </w:rPr>
        <w:t xml:space="preserve">equipment costs were developed </w:t>
      </w:r>
      <w:r w:rsidR="00C060C8" w:rsidRPr="00EC4B0D">
        <w:rPr>
          <w:rFonts w:ascii="Arial" w:hAnsi="Arial" w:cs="Arial"/>
          <w:sz w:val="20"/>
          <w:szCs w:val="20"/>
        </w:rPr>
        <w:t xml:space="preserve">from </w:t>
      </w:r>
      <w:r w:rsidR="00C060C8">
        <w:rPr>
          <w:rFonts w:ascii="Arial" w:hAnsi="Arial" w:cs="Arial"/>
          <w:sz w:val="20"/>
          <w:szCs w:val="20"/>
        </w:rPr>
        <w:t>California distributor catalogs and websites and confirmed with manufacturer representatives where possible.</w:t>
      </w:r>
      <w:r w:rsidRPr="00EC4B0D">
        <w:rPr>
          <w:rFonts w:ascii="Arial" w:hAnsi="Arial" w:cs="Arial"/>
          <w:sz w:val="20"/>
          <w:szCs w:val="20"/>
        </w:rPr>
        <w:t xml:space="preserve"> </w:t>
      </w:r>
      <w:r w:rsidR="00EC080B">
        <w:rPr>
          <w:rFonts w:ascii="Arial" w:hAnsi="Arial" w:cs="Arial"/>
          <w:sz w:val="20"/>
          <w:szCs w:val="20"/>
        </w:rPr>
        <w:t xml:space="preserve">All costs are given per </w:t>
      </w:r>
      <w:proofErr w:type="spellStart"/>
      <w:r w:rsidR="00EC080B">
        <w:rPr>
          <w:rFonts w:ascii="Arial" w:hAnsi="Arial" w:cs="Arial"/>
          <w:sz w:val="20"/>
          <w:szCs w:val="20"/>
        </w:rPr>
        <w:t>kilolumen</w:t>
      </w:r>
      <w:proofErr w:type="spellEnd"/>
      <w:r w:rsidR="00EC080B">
        <w:rPr>
          <w:rFonts w:ascii="Arial" w:hAnsi="Arial" w:cs="Arial"/>
          <w:sz w:val="20"/>
          <w:szCs w:val="20"/>
        </w:rPr>
        <w:t>.</w:t>
      </w:r>
    </w:p>
    <w:p w14:paraId="1B6566F3" w14:textId="77777777" w:rsidR="002F2115" w:rsidRDefault="002F2115" w:rsidP="005910C8">
      <w:pPr>
        <w:rPr>
          <w:rFonts w:ascii="Arial" w:hAnsi="Arial" w:cs="Arial"/>
          <w:sz w:val="20"/>
          <w:szCs w:val="20"/>
        </w:rPr>
      </w:pPr>
    </w:p>
    <w:p w14:paraId="1C2B47A1" w14:textId="2B3C188E" w:rsidR="00DF0993" w:rsidRPr="00AB09DC" w:rsidRDefault="00DF0993" w:rsidP="00DF0993">
      <w:pPr>
        <w:pStyle w:val="Caption"/>
        <w:jc w:val="center"/>
        <w:rPr>
          <w:rFonts w:ascii="Arial" w:hAnsi="Arial" w:cs="Arial"/>
        </w:rPr>
      </w:pPr>
      <w:bookmarkStart w:id="77" w:name="_Toc533927161"/>
      <w:bookmarkStart w:id="78" w:name="_Toc2791462"/>
      <w:r w:rsidRPr="00AB09DC">
        <w:rPr>
          <w:rFonts w:ascii="Arial" w:hAnsi="Arial" w:cs="Arial"/>
        </w:rPr>
        <w:t xml:space="preserve">Table </w:t>
      </w:r>
      <w:r w:rsidR="00797297" w:rsidRPr="00AB09DC">
        <w:rPr>
          <w:rFonts w:ascii="Arial" w:hAnsi="Arial" w:cs="Arial"/>
        </w:rPr>
        <w:fldChar w:fldCharType="begin"/>
      </w:r>
      <w:r w:rsidR="00797297" w:rsidRPr="00AB09DC">
        <w:rPr>
          <w:rFonts w:ascii="Arial" w:hAnsi="Arial" w:cs="Arial"/>
        </w:rPr>
        <w:instrText xml:space="preserve"> SEQ Table \* ARABIC </w:instrText>
      </w:r>
      <w:r w:rsidR="00797297" w:rsidRPr="00AB09DC">
        <w:rPr>
          <w:rFonts w:ascii="Arial" w:hAnsi="Arial" w:cs="Arial"/>
        </w:rPr>
        <w:fldChar w:fldCharType="separate"/>
      </w:r>
      <w:r w:rsidR="00A51621">
        <w:rPr>
          <w:rFonts w:ascii="Arial" w:hAnsi="Arial" w:cs="Arial"/>
          <w:noProof/>
        </w:rPr>
        <w:t>8</w:t>
      </w:r>
      <w:r w:rsidR="00797297" w:rsidRPr="00AB09DC">
        <w:rPr>
          <w:rFonts w:ascii="Arial" w:hAnsi="Arial" w:cs="Arial"/>
          <w:noProof/>
        </w:rPr>
        <w:fldChar w:fldCharType="end"/>
      </w:r>
      <w:r w:rsidR="00AB09DC">
        <w:rPr>
          <w:rFonts w:ascii="Arial" w:hAnsi="Arial" w:cs="Arial"/>
          <w:noProof/>
        </w:rPr>
        <w:t>:</w:t>
      </w:r>
      <w:r w:rsidR="00DD12F1" w:rsidRPr="00AB09DC">
        <w:rPr>
          <w:rFonts w:ascii="Arial" w:hAnsi="Arial" w:cs="Arial"/>
        </w:rPr>
        <w:t xml:space="preserve"> </w:t>
      </w:r>
      <w:r w:rsidR="00E669B7" w:rsidRPr="00AB09DC">
        <w:rPr>
          <w:rFonts w:ascii="Arial" w:hAnsi="Arial" w:cs="Arial"/>
        </w:rPr>
        <w:t xml:space="preserve">LED </w:t>
      </w:r>
      <w:r w:rsidR="00C27933" w:rsidRPr="00AB09DC">
        <w:rPr>
          <w:rFonts w:ascii="Arial" w:hAnsi="Arial" w:cs="Arial"/>
        </w:rPr>
        <w:t>Ambient</w:t>
      </w:r>
      <w:r w:rsidR="002E6C39" w:rsidRPr="00AB09DC">
        <w:rPr>
          <w:rFonts w:ascii="Arial" w:hAnsi="Arial" w:cs="Arial"/>
        </w:rPr>
        <w:t xml:space="preserve"> Fixtures &amp; Retrofit Kits </w:t>
      </w:r>
      <w:r w:rsidR="000D22E1" w:rsidRPr="00AB09DC">
        <w:rPr>
          <w:rFonts w:ascii="Arial" w:hAnsi="Arial" w:cs="Arial"/>
        </w:rPr>
        <w:t xml:space="preserve">Measure </w:t>
      </w:r>
      <w:r w:rsidRPr="00AB09DC">
        <w:rPr>
          <w:rFonts w:ascii="Arial" w:hAnsi="Arial" w:cs="Arial"/>
        </w:rPr>
        <w:t>Cost Table</w:t>
      </w:r>
      <w:bookmarkEnd w:id="77"/>
      <w:bookmarkEnd w:id="78"/>
      <w:r w:rsidR="00021210" w:rsidRPr="00AB09DC">
        <w:rPr>
          <w:rFonts w:ascii="Arial" w:hAnsi="Arial" w:cs="Arial"/>
        </w:rPr>
        <w:t xml:space="preserve"> </w:t>
      </w: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5329"/>
        <w:gridCol w:w="1894"/>
      </w:tblGrid>
      <w:tr w:rsidR="00C20A59" w:rsidRPr="004230EB" w14:paraId="183C6BE1" w14:textId="77777777" w:rsidTr="00886761">
        <w:trPr>
          <w:trHeight w:val="181"/>
          <w:jc w:val="center"/>
        </w:trPr>
        <w:tc>
          <w:tcPr>
            <w:tcW w:w="1795" w:type="dxa"/>
          </w:tcPr>
          <w:p w14:paraId="4367ACAD" w14:textId="77777777" w:rsidR="004230EB" w:rsidRPr="00766540" w:rsidRDefault="004230EB" w:rsidP="00686886">
            <w:pPr>
              <w:jc w:val="center"/>
              <w:rPr>
                <w:rFonts w:ascii="Arial" w:hAnsi="Arial" w:cs="Arial"/>
                <w:b/>
                <w:sz w:val="20"/>
                <w:szCs w:val="20"/>
              </w:rPr>
            </w:pPr>
          </w:p>
          <w:p w14:paraId="7B5843BB" w14:textId="77777777" w:rsidR="00C20A59" w:rsidRPr="00766540" w:rsidRDefault="00C20A59" w:rsidP="00686886">
            <w:pPr>
              <w:jc w:val="center"/>
              <w:rPr>
                <w:rFonts w:ascii="Arial" w:hAnsi="Arial" w:cs="Arial"/>
                <w:b/>
                <w:sz w:val="20"/>
                <w:szCs w:val="20"/>
              </w:rPr>
            </w:pPr>
            <w:r w:rsidRPr="00766540">
              <w:rPr>
                <w:rFonts w:ascii="Arial" w:hAnsi="Arial" w:cs="Arial"/>
                <w:b/>
                <w:sz w:val="20"/>
                <w:szCs w:val="20"/>
              </w:rPr>
              <w:t>Measure Code</w:t>
            </w:r>
          </w:p>
        </w:tc>
        <w:tc>
          <w:tcPr>
            <w:tcW w:w="5329" w:type="dxa"/>
            <w:vAlign w:val="center"/>
          </w:tcPr>
          <w:p w14:paraId="042B69CE" w14:textId="77777777" w:rsidR="00C20A59" w:rsidRPr="00766540" w:rsidRDefault="00C20A59" w:rsidP="00686886">
            <w:pPr>
              <w:jc w:val="center"/>
              <w:rPr>
                <w:rFonts w:ascii="Arial" w:hAnsi="Arial" w:cs="Arial"/>
                <w:b/>
                <w:sz w:val="20"/>
                <w:szCs w:val="20"/>
              </w:rPr>
            </w:pPr>
            <w:r w:rsidRPr="00766540">
              <w:rPr>
                <w:rFonts w:ascii="Arial" w:hAnsi="Arial" w:cs="Arial"/>
                <w:b/>
                <w:sz w:val="20"/>
                <w:szCs w:val="20"/>
              </w:rPr>
              <w:t>Measure Description</w:t>
            </w:r>
          </w:p>
        </w:tc>
        <w:tc>
          <w:tcPr>
            <w:tcW w:w="1894" w:type="dxa"/>
            <w:vAlign w:val="center"/>
          </w:tcPr>
          <w:p w14:paraId="283F9BAE" w14:textId="77777777" w:rsidR="00EC080B" w:rsidRDefault="00C20A59" w:rsidP="00686886">
            <w:pPr>
              <w:jc w:val="center"/>
              <w:rPr>
                <w:rFonts w:ascii="Arial" w:hAnsi="Arial" w:cs="Arial"/>
                <w:b/>
                <w:sz w:val="20"/>
                <w:szCs w:val="20"/>
              </w:rPr>
            </w:pPr>
            <w:r w:rsidRPr="00766540">
              <w:rPr>
                <w:rFonts w:ascii="Arial" w:hAnsi="Arial" w:cs="Arial"/>
                <w:b/>
                <w:sz w:val="20"/>
                <w:szCs w:val="20"/>
              </w:rPr>
              <w:t>Measure Equipment Cost</w:t>
            </w:r>
          </w:p>
          <w:p w14:paraId="1086A389" w14:textId="69DB9713" w:rsidR="00C20A59" w:rsidRPr="00766540" w:rsidRDefault="00766540" w:rsidP="00686886">
            <w:pPr>
              <w:jc w:val="center"/>
              <w:rPr>
                <w:rFonts w:ascii="Arial" w:hAnsi="Arial" w:cs="Arial"/>
                <w:b/>
                <w:sz w:val="20"/>
                <w:szCs w:val="20"/>
              </w:rPr>
            </w:pPr>
            <w:r w:rsidRPr="00766540">
              <w:rPr>
                <w:rFonts w:ascii="Arial" w:hAnsi="Arial" w:cs="Arial"/>
                <w:b/>
                <w:sz w:val="20"/>
                <w:szCs w:val="20"/>
              </w:rPr>
              <w:t>($/</w:t>
            </w:r>
            <w:proofErr w:type="spellStart"/>
            <w:r w:rsidRPr="00766540">
              <w:rPr>
                <w:rFonts w:ascii="Arial" w:hAnsi="Arial" w:cs="Arial"/>
                <w:b/>
                <w:sz w:val="20"/>
                <w:szCs w:val="20"/>
              </w:rPr>
              <w:t>kilolumen</w:t>
            </w:r>
            <w:proofErr w:type="spellEnd"/>
            <w:r w:rsidRPr="00766540">
              <w:rPr>
                <w:rFonts w:ascii="Arial" w:hAnsi="Arial" w:cs="Arial"/>
                <w:b/>
                <w:sz w:val="20"/>
                <w:szCs w:val="20"/>
              </w:rPr>
              <w:t>)</w:t>
            </w:r>
          </w:p>
        </w:tc>
      </w:tr>
      <w:tr w:rsidR="001C6B71" w:rsidRPr="004230EB" w14:paraId="579D6AC4" w14:textId="77777777" w:rsidTr="00886761">
        <w:trPr>
          <w:trHeight w:val="181"/>
          <w:jc w:val="center"/>
        </w:trPr>
        <w:tc>
          <w:tcPr>
            <w:tcW w:w="1795" w:type="dxa"/>
            <w:vAlign w:val="center"/>
          </w:tcPr>
          <w:p w14:paraId="6103578D" w14:textId="2803FB09" w:rsidR="001C6B71" w:rsidRPr="004230EB" w:rsidRDefault="001C6B71" w:rsidP="00663201">
            <w:pPr>
              <w:jc w:val="center"/>
              <w:rPr>
                <w:rFonts w:ascii="Arial" w:hAnsi="Arial" w:cs="Arial"/>
                <w:sz w:val="18"/>
                <w:szCs w:val="18"/>
              </w:rPr>
            </w:pPr>
            <w:r w:rsidRPr="004230EB">
              <w:rPr>
                <w:rFonts w:ascii="Arial" w:hAnsi="Arial" w:cs="Arial"/>
                <w:color w:val="222222"/>
                <w:sz w:val="18"/>
                <w:szCs w:val="18"/>
              </w:rPr>
              <w:t>LT4</w:t>
            </w:r>
            <w:r w:rsidR="00C1087A">
              <w:rPr>
                <w:rFonts w:ascii="Arial" w:hAnsi="Arial" w:cs="Arial"/>
                <w:color w:val="222222"/>
                <w:sz w:val="18"/>
                <w:szCs w:val="18"/>
              </w:rPr>
              <w:t>8</w:t>
            </w:r>
            <w:r w:rsidRPr="004230EB">
              <w:rPr>
                <w:rFonts w:ascii="Arial" w:hAnsi="Arial" w:cs="Arial"/>
                <w:color w:val="222222"/>
                <w:sz w:val="18"/>
                <w:szCs w:val="18"/>
              </w:rPr>
              <w:t>8</w:t>
            </w:r>
            <w:r w:rsidR="00A5688F">
              <w:rPr>
                <w:rFonts w:ascii="Arial" w:hAnsi="Arial" w:cs="Arial"/>
                <w:color w:val="222222"/>
                <w:sz w:val="18"/>
                <w:szCs w:val="18"/>
              </w:rPr>
              <w:t xml:space="preserve"> – LT</w:t>
            </w:r>
            <w:r w:rsidR="00886761">
              <w:rPr>
                <w:rFonts w:ascii="Arial" w:hAnsi="Arial" w:cs="Arial"/>
                <w:color w:val="222222"/>
                <w:sz w:val="18"/>
                <w:szCs w:val="18"/>
              </w:rPr>
              <w:t>498</w:t>
            </w:r>
            <w:r w:rsidR="00A5688F">
              <w:rPr>
                <w:rFonts w:ascii="Arial" w:hAnsi="Arial" w:cs="Arial"/>
                <w:color w:val="222222"/>
                <w:sz w:val="18"/>
                <w:szCs w:val="18"/>
              </w:rPr>
              <w:t xml:space="preserve"> even</w:t>
            </w:r>
          </w:p>
        </w:tc>
        <w:tc>
          <w:tcPr>
            <w:tcW w:w="5329" w:type="dxa"/>
            <w:vAlign w:val="bottom"/>
          </w:tcPr>
          <w:p w14:paraId="58429AA2" w14:textId="2696F9C8" w:rsidR="001C6B71" w:rsidRPr="004230EB" w:rsidRDefault="001C6B71" w:rsidP="00663201">
            <w:pPr>
              <w:rPr>
                <w:rFonts w:ascii="Arial" w:hAnsi="Arial" w:cs="Arial"/>
                <w:color w:val="000000"/>
                <w:sz w:val="18"/>
                <w:szCs w:val="18"/>
              </w:rPr>
            </w:pPr>
            <w:r w:rsidRPr="004230EB">
              <w:rPr>
                <w:rFonts w:ascii="Arial" w:hAnsi="Arial" w:cs="Arial"/>
                <w:sz w:val="18"/>
                <w:szCs w:val="18"/>
              </w:rPr>
              <w:t xml:space="preserve">LED </w:t>
            </w:r>
            <w:r w:rsidR="00A5688F">
              <w:rPr>
                <w:rFonts w:ascii="Arial" w:hAnsi="Arial" w:cs="Arial"/>
                <w:sz w:val="18"/>
                <w:szCs w:val="18"/>
              </w:rPr>
              <w:t xml:space="preserve">troffer </w:t>
            </w:r>
            <w:r w:rsidRPr="004230EB">
              <w:rPr>
                <w:rFonts w:ascii="Arial" w:hAnsi="Arial" w:cs="Arial"/>
                <w:sz w:val="18"/>
                <w:szCs w:val="18"/>
              </w:rPr>
              <w:t>new Luminaire</w:t>
            </w:r>
            <w:r w:rsidR="00A5688F">
              <w:rPr>
                <w:rFonts w:ascii="Arial" w:hAnsi="Arial" w:cs="Arial"/>
                <w:sz w:val="18"/>
                <w:szCs w:val="18"/>
              </w:rPr>
              <w:t>s and Retrofit kits</w:t>
            </w:r>
            <w:r w:rsidRPr="004230EB">
              <w:rPr>
                <w:rFonts w:ascii="Arial" w:hAnsi="Arial" w:cs="Arial"/>
                <w:sz w:val="18"/>
                <w:szCs w:val="18"/>
              </w:rPr>
              <w:t xml:space="preserve"> rated greater than or equal to 125 LPW and less than 140 LPW</w:t>
            </w:r>
          </w:p>
        </w:tc>
        <w:tc>
          <w:tcPr>
            <w:tcW w:w="1894" w:type="dxa"/>
            <w:vAlign w:val="bottom"/>
          </w:tcPr>
          <w:p w14:paraId="0E330D99" w14:textId="08F92961" w:rsidR="001C6B71" w:rsidRPr="003A4040" w:rsidRDefault="001C6B71" w:rsidP="00663201">
            <w:pPr>
              <w:jc w:val="center"/>
              <w:rPr>
                <w:rFonts w:ascii="Arial" w:hAnsi="Arial" w:cs="Arial"/>
                <w:b/>
                <w:sz w:val="18"/>
                <w:szCs w:val="18"/>
              </w:rPr>
            </w:pPr>
            <w:r w:rsidRPr="003A4040">
              <w:rPr>
                <w:rFonts w:ascii="Arial" w:hAnsi="Arial" w:cs="Arial"/>
                <w:b/>
                <w:sz w:val="18"/>
                <w:szCs w:val="18"/>
              </w:rPr>
              <w:t>$</w:t>
            </w:r>
            <w:r w:rsidR="00A5688F">
              <w:rPr>
                <w:rFonts w:ascii="Arial" w:hAnsi="Arial" w:cs="Arial"/>
                <w:b/>
                <w:sz w:val="18"/>
                <w:szCs w:val="18"/>
              </w:rPr>
              <w:t>28.60</w:t>
            </w:r>
          </w:p>
        </w:tc>
      </w:tr>
      <w:tr w:rsidR="001C6B71" w:rsidRPr="004230EB" w14:paraId="6E82793A" w14:textId="77777777" w:rsidTr="00886761">
        <w:trPr>
          <w:trHeight w:val="181"/>
          <w:jc w:val="center"/>
        </w:trPr>
        <w:tc>
          <w:tcPr>
            <w:tcW w:w="1795" w:type="dxa"/>
            <w:vAlign w:val="center"/>
          </w:tcPr>
          <w:p w14:paraId="4D15C648" w14:textId="27CB056B" w:rsidR="001C6B71" w:rsidRPr="004230EB" w:rsidRDefault="001C6B71" w:rsidP="00663201">
            <w:pPr>
              <w:jc w:val="center"/>
              <w:rPr>
                <w:rFonts w:ascii="Arial" w:hAnsi="Arial" w:cs="Arial"/>
                <w:sz w:val="18"/>
                <w:szCs w:val="18"/>
              </w:rPr>
            </w:pPr>
            <w:r w:rsidRPr="004230EB">
              <w:rPr>
                <w:rFonts w:ascii="Arial" w:hAnsi="Arial" w:cs="Arial"/>
                <w:color w:val="222222"/>
                <w:sz w:val="18"/>
                <w:szCs w:val="18"/>
              </w:rPr>
              <w:t>LT</w:t>
            </w:r>
            <w:r w:rsidR="00886761">
              <w:rPr>
                <w:rFonts w:ascii="Arial" w:hAnsi="Arial" w:cs="Arial"/>
                <w:color w:val="222222"/>
                <w:sz w:val="18"/>
                <w:szCs w:val="18"/>
              </w:rPr>
              <w:t>48</w:t>
            </w:r>
            <w:r w:rsidRPr="004230EB">
              <w:rPr>
                <w:rFonts w:ascii="Arial" w:hAnsi="Arial" w:cs="Arial"/>
                <w:color w:val="222222"/>
                <w:sz w:val="18"/>
                <w:szCs w:val="18"/>
              </w:rPr>
              <w:t>9</w:t>
            </w:r>
            <w:r w:rsidR="00A5688F">
              <w:rPr>
                <w:rFonts w:ascii="Arial" w:hAnsi="Arial" w:cs="Arial"/>
                <w:color w:val="222222"/>
                <w:sz w:val="18"/>
                <w:szCs w:val="18"/>
              </w:rPr>
              <w:t xml:space="preserve"> – LT</w:t>
            </w:r>
            <w:r w:rsidR="00886761">
              <w:rPr>
                <w:rFonts w:ascii="Arial" w:hAnsi="Arial" w:cs="Arial"/>
                <w:color w:val="222222"/>
                <w:sz w:val="18"/>
                <w:szCs w:val="18"/>
              </w:rPr>
              <w:t>49</w:t>
            </w:r>
            <w:r w:rsidR="00A5688F">
              <w:rPr>
                <w:rFonts w:ascii="Arial" w:hAnsi="Arial" w:cs="Arial"/>
                <w:color w:val="222222"/>
                <w:sz w:val="18"/>
                <w:szCs w:val="18"/>
              </w:rPr>
              <w:t>9 odd</w:t>
            </w:r>
          </w:p>
        </w:tc>
        <w:tc>
          <w:tcPr>
            <w:tcW w:w="5329" w:type="dxa"/>
            <w:vAlign w:val="bottom"/>
          </w:tcPr>
          <w:p w14:paraId="57649345" w14:textId="614205E0" w:rsidR="001C6B71" w:rsidRPr="004230EB" w:rsidRDefault="00A5688F" w:rsidP="00663201">
            <w:pPr>
              <w:rPr>
                <w:rFonts w:ascii="Arial" w:hAnsi="Arial" w:cs="Arial"/>
                <w:color w:val="000000"/>
                <w:sz w:val="18"/>
                <w:szCs w:val="18"/>
              </w:rPr>
            </w:pPr>
            <w:r>
              <w:rPr>
                <w:rFonts w:ascii="Arial" w:hAnsi="Arial" w:cs="Arial"/>
                <w:sz w:val="18"/>
                <w:szCs w:val="18"/>
              </w:rPr>
              <w:t>L</w:t>
            </w:r>
            <w:r w:rsidR="001C6B71" w:rsidRPr="004230EB">
              <w:rPr>
                <w:rFonts w:ascii="Arial" w:hAnsi="Arial" w:cs="Arial"/>
                <w:sz w:val="18"/>
                <w:szCs w:val="18"/>
              </w:rPr>
              <w:t xml:space="preserve">ED </w:t>
            </w:r>
            <w:r>
              <w:rPr>
                <w:rFonts w:ascii="Arial" w:hAnsi="Arial" w:cs="Arial"/>
                <w:sz w:val="18"/>
                <w:szCs w:val="18"/>
              </w:rPr>
              <w:t xml:space="preserve">troffer </w:t>
            </w:r>
            <w:r w:rsidR="001C6B71" w:rsidRPr="004230EB">
              <w:rPr>
                <w:rFonts w:ascii="Arial" w:hAnsi="Arial" w:cs="Arial"/>
                <w:sz w:val="18"/>
                <w:szCs w:val="18"/>
              </w:rPr>
              <w:t>new Luminaire</w:t>
            </w:r>
            <w:r w:rsidR="00195917">
              <w:rPr>
                <w:rFonts w:ascii="Arial" w:hAnsi="Arial" w:cs="Arial"/>
                <w:sz w:val="18"/>
                <w:szCs w:val="18"/>
              </w:rPr>
              <w:t>s and Retrofit kits</w:t>
            </w:r>
            <w:r w:rsidR="001C6B71" w:rsidRPr="004230EB">
              <w:rPr>
                <w:rFonts w:ascii="Arial" w:hAnsi="Arial" w:cs="Arial"/>
                <w:sz w:val="18"/>
                <w:szCs w:val="18"/>
              </w:rPr>
              <w:t xml:space="preserve"> rated greater than or equal to 140 LPW</w:t>
            </w:r>
          </w:p>
        </w:tc>
        <w:tc>
          <w:tcPr>
            <w:tcW w:w="1894" w:type="dxa"/>
            <w:vAlign w:val="bottom"/>
          </w:tcPr>
          <w:p w14:paraId="4872931C" w14:textId="63615943" w:rsidR="001C6B71" w:rsidRPr="003A4040" w:rsidRDefault="001C6B71" w:rsidP="00663201">
            <w:pPr>
              <w:jc w:val="center"/>
              <w:rPr>
                <w:rFonts w:ascii="Arial" w:hAnsi="Arial" w:cs="Arial"/>
                <w:b/>
                <w:sz w:val="18"/>
                <w:szCs w:val="18"/>
              </w:rPr>
            </w:pPr>
            <w:r w:rsidRPr="003A4040">
              <w:rPr>
                <w:rFonts w:ascii="Arial" w:hAnsi="Arial" w:cs="Arial"/>
                <w:b/>
                <w:sz w:val="18"/>
                <w:szCs w:val="18"/>
              </w:rPr>
              <w:t>$</w:t>
            </w:r>
            <w:r w:rsidR="00A5688F">
              <w:rPr>
                <w:rFonts w:ascii="Arial" w:hAnsi="Arial" w:cs="Arial"/>
                <w:b/>
                <w:sz w:val="18"/>
                <w:szCs w:val="18"/>
              </w:rPr>
              <w:t>28.93</w:t>
            </w:r>
          </w:p>
        </w:tc>
      </w:tr>
      <w:tr w:rsidR="00886761" w:rsidRPr="004230EB" w14:paraId="1366A6AB" w14:textId="77777777" w:rsidTr="00886761">
        <w:trPr>
          <w:trHeight w:val="181"/>
          <w:jc w:val="center"/>
        </w:trPr>
        <w:tc>
          <w:tcPr>
            <w:tcW w:w="1795" w:type="dxa"/>
            <w:vAlign w:val="center"/>
          </w:tcPr>
          <w:p w14:paraId="1E71A108" w14:textId="66C369E5" w:rsidR="00886761" w:rsidRPr="004230EB" w:rsidRDefault="0044749C" w:rsidP="00886761">
            <w:pPr>
              <w:jc w:val="center"/>
              <w:rPr>
                <w:rFonts w:ascii="Arial" w:hAnsi="Arial" w:cs="Arial"/>
                <w:sz w:val="18"/>
                <w:szCs w:val="18"/>
              </w:rPr>
            </w:pPr>
            <w:r>
              <w:rPr>
                <w:rFonts w:ascii="Arial" w:hAnsi="Arial" w:cs="Arial"/>
                <w:color w:val="222222"/>
                <w:sz w:val="18"/>
                <w:szCs w:val="18"/>
              </w:rPr>
              <w:t xml:space="preserve">LT512; </w:t>
            </w:r>
            <w:r w:rsidR="00886761" w:rsidRPr="004230EB">
              <w:rPr>
                <w:rFonts w:ascii="Arial" w:hAnsi="Arial" w:cs="Arial"/>
                <w:color w:val="222222"/>
                <w:sz w:val="18"/>
                <w:szCs w:val="18"/>
              </w:rPr>
              <w:t>LT</w:t>
            </w:r>
            <w:r w:rsidR="00886761">
              <w:rPr>
                <w:rFonts w:ascii="Arial" w:hAnsi="Arial" w:cs="Arial"/>
                <w:color w:val="222222"/>
                <w:sz w:val="18"/>
                <w:szCs w:val="18"/>
              </w:rPr>
              <w:t>50</w:t>
            </w:r>
            <w:r>
              <w:rPr>
                <w:rFonts w:ascii="Arial" w:hAnsi="Arial" w:cs="Arial"/>
                <w:color w:val="222222"/>
                <w:sz w:val="18"/>
                <w:szCs w:val="18"/>
              </w:rPr>
              <w:t>2</w:t>
            </w:r>
            <w:r w:rsidR="00886761">
              <w:rPr>
                <w:rFonts w:ascii="Arial" w:hAnsi="Arial" w:cs="Arial"/>
                <w:color w:val="222222"/>
                <w:sz w:val="18"/>
                <w:szCs w:val="18"/>
              </w:rPr>
              <w:t xml:space="preserve"> – LT510 even</w:t>
            </w:r>
          </w:p>
        </w:tc>
        <w:tc>
          <w:tcPr>
            <w:tcW w:w="5329" w:type="dxa"/>
            <w:vAlign w:val="bottom"/>
          </w:tcPr>
          <w:p w14:paraId="083B663C" w14:textId="52FCC2A9" w:rsidR="00886761" w:rsidRPr="004230EB" w:rsidRDefault="00886761" w:rsidP="00886761">
            <w:pPr>
              <w:rPr>
                <w:rFonts w:ascii="Arial" w:hAnsi="Arial" w:cs="Arial"/>
                <w:color w:val="000000"/>
                <w:sz w:val="18"/>
                <w:szCs w:val="18"/>
              </w:rPr>
            </w:pPr>
            <w:r w:rsidRPr="004230EB">
              <w:rPr>
                <w:rFonts w:ascii="Arial" w:hAnsi="Arial" w:cs="Arial"/>
                <w:sz w:val="18"/>
                <w:szCs w:val="18"/>
              </w:rPr>
              <w:t xml:space="preserve">LED </w:t>
            </w:r>
            <w:r>
              <w:rPr>
                <w:rFonts w:ascii="Arial" w:hAnsi="Arial" w:cs="Arial"/>
                <w:sz w:val="18"/>
                <w:szCs w:val="18"/>
              </w:rPr>
              <w:t xml:space="preserve">linear ambient </w:t>
            </w:r>
            <w:r w:rsidRPr="004230EB">
              <w:rPr>
                <w:rFonts w:ascii="Arial" w:hAnsi="Arial" w:cs="Arial"/>
                <w:sz w:val="18"/>
                <w:szCs w:val="18"/>
              </w:rPr>
              <w:t>new Luminaire</w:t>
            </w:r>
            <w:r>
              <w:rPr>
                <w:rFonts w:ascii="Arial" w:hAnsi="Arial" w:cs="Arial"/>
                <w:sz w:val="18"/>
                <w:szCs w:val="18"/>
              </w:rPr>
              <w:t>s and Retrofit kits</w:t>
            </w:r>
            <w:r w:rsidRPr="004230EB">
              <w:rPr>
                <w:rFonts w:ascii="Arial" w:hAnsi="Arial" w:cs="Arial"/>
                <w:sz w:val="18"/>
                <w:szCs w:val="18"/>
              </w:rPr>
              <w:t xml:space="preserve"> rated greater than or equal to 125 LPW and less than 140 LPW</w:t>
            </w:r>
          </w:p>
        </w:tc>
        <w:tc>
          <w:tcPr>
            <w:tcW w:w="1894" w:type="dxa"/>
            <w:vAlign w:val="bottom"/>
          </w:tcPr>
          <w:p w14:paraId="69CDB35B" w14:textId="45C4B625" w:rsidR="00886761" w:rsidRPr="003A4040" w:rsidRDefault="00886761" w:rsidP="00886761">
            <w:pPr>
              <w:jc w:val="center"/>
              <w:rPr>
                <w:rFonts w:ascii="Arial" w:hAnsi="Arial" w:cs="Arial"/>
                <w:b/>
                <w:sz w:val="18"/>
                <w:szCs w:val="18"/>
              </w:rPr>
            </w:pPr>
            <w:r w:rsidRPr="003A4040">
              <w:rPr>
                <w:rFonts w:ascii="Arial" w:hAnsi="Arial" w:cs="Arial"/>
                <w:b/>
                <w:sz w:val="18"/>
                <w:szCs w:val="18"/>
              </w:rPr>
              <w:t>$</w:t>
            </w:r>
            <w:r>
              <w:rPr>
                <w:rFonts w:ascii="Arial" w:hAnsi="Arial" w:cs="Arial"/>
                <w:b/>
                <w:sz w:val="18"/>
                <w:szCs w:val="18"/>
              </w:rPr>
              <w:t>31.75</w:t>
            </w:r>
          </w:p>
        </w:tc>
      </w:tr>
      <w:tr w:rsidR="00886761" w:rsidRPr="004230EB" w14:paraId="395DE2B0" w14:textId="77777777" w:rsidTr="00886761">
        <w:trPr>
          <w:trHeight w:val="181"/>
          <w:jc w:val="center"/>
        </w:trPr>
        <w:tc>
          <w:tcPr>
            <w:tcW w:w="1795" w:type="dxa"/>
            <w:vAlign w:val="center"/>
          </w:tcPr>
          <w:p w14:paraId="6414A438" w14:textId="71C272DF" w:rsidR="00886761" w:rsidRPr="004230EB" w:rsidRDefault="0044749C" w:rsidP="0044749C">
            <w:pPr>
              <w:jc w:val="center"/>
              <w:rPr>
                <w:rFonts w:ascii="Arial" w:hAnsi="Arial" w:cs="Arial"/>
                <w:sz w:val="18"/>
                <w:szCs w:val="18"/>
              </w:rPr>
            </w:pPr>
            <w:r>
              <w:rPr>
                <w:rFonts w:ascii="Arial" w:hAnsi="Arial" w:cs="Arial"/>
                <w:color w:val="222222"/>
                <w:sz w:val="18"/>
                <w:szCs w:val="18"/>
              </w:rPr>
              <w:t xml:space="preserve">LT513; </w:t>
            </w:r>
            <w:r w:rsidR="00886761" w:rsidRPr="004230EB">
              <w:rPr>
                <w:rFonts w:ascii="Arial" w:hAnsi="Arial" w:cs="Arial"/>
                <w:color w:val="222222"/>
                <w:sz w:val="18"/>
                <w:szCs w:val="18"/>
              </w:rPr>
              <w:t>LT</w:t>
            </w:r>
            <w:r w:rsidR="00886761">
              <w:rPr>
                <w:rFonts w:ascii="Arial" w:hAnsi="Arial" w:cs="Arial"/>
                <w:color w:val="222222"/>
                <w:sz w:val="18"/>
                <w:szCs w:val="18"/>
              </w:rPr>
              <w:t>50</w:t>
            </w:r>
            <w:r>
              <w:rPr>
                <w:rFonts w:ascii="Arial" w:hAnsi="Arial" w:cs="Arial"/>
                <w:color w:val="222222"/>
                <w:sz w:val="18"/>
                <w:szCs w:val="18"/>
              </w:rPr>
              <w:t>3</w:t>
            </w:r>
            <w:r w:rsidR="00886761">
              <w:rPr>
                <w:rFonts w:ascii="Arial" w:hAnsi="Arial" w:cs="Arial"/>
                <w:color w:val="222222"/>
                <w:sz w:val="18"/>
                <w:szCs w:val="18"/>
              </w:rPr>
              <w:t xml:space="preserve"> – LT511 odd</w:t>
            </w:r>
          </w:p>
        </w:tc>
        <w:tc>
          <w:tcPr>
            <w:tcW w:w="5329" w:type="dxa"/>
            <w:vAlign w:val="bottom"/>
          </w:tcPr>
          <w:p w14:paraId="06ECD7BB" w14:textId="4E670545" w:rsidR="00886761" w:rsidRPr="004230EB" w:rsidRDefault="00886761" w:rsidP="00886761">
            <w:pPr>
              <w:rPr>
                <w:rFonts w:ascii="Arial" w:hAnsi="Arial" w:cs="Arial"/>
                <w:color w:val="000000"/>
                <w:sz w:val="18"/>
                <w:szCs w:val="18"/>
              </w:rPr>
            </w:pPr>
            <w:r>
              <w:rPr>
                <w:rFonts w:ascii="Arial" w:hAnsi="Arial" w:cs="Arial"/>
                <w:sz w:val="18"/>
                <w:szCs w:val="18"/>
              </w:rPr>
              <w:t>L</w:t>
            </w:r>
            <w:r w:rsidRPr="004230EB">
              <w:rPr>
                <w:rFonts w:ascii="Arial" w:hAnsi="Arial" w:cs="Arial"/>
                <w:sz w:val="18"/>
                <w:szCs w:val="18"/>
              </w:rPr>
              <w:t xml:space="preserve">ED </w:t>
            </w:r>
            <w:r>
              <w:rPr>
                <w:rFonts w:ascii="Arial" w:hAnsi="Arial" w:cs="Arial"/>
                <w:sz w:val="18"/>
                <w:szCs w:val="18"/>
              </w:rPr>
              <w:t xml:space="preserve">linear ambient </w:t>
            </w:r>
            <w:r w:rsidRPr="004230EB">
              <w:rPr>
                <w:rFonts w:ascii="Arial" w:hAnsi="Arial" w:cs="Arial"/>
                <w:sz w:val="18"/>
                <w:szCs w:val="18"/>
              </w:rPr>
              <w:t>new Luminaire</w:t>
            </w:r>
            <w:r>
              <w:rPr>
                <w:rFonts w:ascii="Arial" w:hAnsi="Arial" w:cs="Arial"/>
                <w:sz w:val="18"/>
                <w:szCs w:val="18"/>
              </w:rPr>
              <w:t>s and Retrofit kits</w:t>
            </w:r>
            <w:r w:rsidRPr="004230EB">
              <w:rPr>
                <w:rFonts w:ascii="Arial" w:hAnsi="Arial" w:cs="Arial"/>
                <w:sz w:val="18"/>
                <w:szCs w:val="18"/>
              </w:rPr>
              <w:t xml:space="preserve"> rated greater than or equal to 140 LPW</w:t>
            </w:r>
          </w:p>
        </w:tc>
        <w:tc>
          <w:tcPr>
            <w:tcW w:w="1894" w:type="dxa"/>
            <w:vAlign w:val="bottom"/>
          </w:tcPr>
          <w:p w14:paraId="471CDD2D" w14:textId="0C71B820" w:rsidR="00886761" w:rsidRPr="003A4040" w:rsidRDefault="00886761" w:rsidP="00886761">
            <w:pPr>
              <w:jc w:val="center"/>
              <w:rPr>
                <w:rFonts w:ascii="Arial" w:hAnsi="Arial" w:cs="Arial"/>
                <w:b/>
                <w:sz w:val="18"/>
                <w:szCs w:val="18"/>
              </w:rPr>
            </w:pPr>
            <w:r w:rsidRPr="003A4040">
              <w:rPr>
                <w:rFonts w:ascii="Arial" w:hAnsi="Arial" w:cs="Arial"/>
                <w:b/>
                <w:sz w:val="18"/>
                <w:szCs w:val="18"/>
              </w:rPr>
              <w:t>$</w:t>
            </w:r>
            <w:r>
              <w:rPr>
                <w:rFonts w:ascii="Arial" w:hAnsi="Arial" w:cs="Arial"/>
                <w:b/>
                <w:sz w:val="18"/>
                <w:szCs w:val="18"/>
              </w:rPr>
              <w:t>33.13</w:t>
            </w:r>
          </w:p>
        </w:tc>
      </w:tr>
    </w:tbl>
    <w:p w14:paraId="2B82A034" w14:textId="04B88CF6" w:rsidR="005632A4" w:rsidRPr="0044749C" w:rsidRDefault="005632A4">
      <w:pPr>
        <w:rPr>
          <w:rFonts w:ascii="Arial" w:hAnsi="Arial" w:cs="Arial"/>
          <w:bCs/>
          <w:iCs/>
          <w:sz w:val="28"/>
          <w:szCs w:val="28"/>
        </w:rPr>
      </w:pPr>
    </w:p>
    <w:p w14:paraId="33DC73C6" w14:textId="77777777" w:rsidR="00B86AB2" w:rsidRDefault="00B86AB2">
      <w:pPr>
        <w:rPr>
          <w:rFonts w:ascii="Arial" w:hAnsi="Arial" w:cs="Arial"/>
          <w:b/>
          <w:bCs/>
          <w:i/>
          <w:iCs/>
          <w:sz w:val="28"/>
          <w:szCs w:val="28"/>
        </w:rPr>
      </w:pPr>
      <w:bookmarkStart w:id="79" w:name="_Toc533933936"/>
      <w:r>
        <w:br w:type="page"/>
      </w:r>
    </w:p>
    <w:p w14:paraId="4D48ABC7" w14:textId="160AB55D" w:rsidR="0030550A" w:rsidRDefault="0030550A" w:rsidP="002D12AC">
      <w:pPr>
        <w:pStyle w:val="Heading2"/>
        <w:keepLines/>
      </w:pPr>
      <w:bookmarkStart w:id="80" w:name="_Toc2808655"/>
      <w:r>
        <w:lastRenderedPageBreak/>
        <w:t>4.3 Incremental &amp; Full Measure Costs</w:t>
      </w:r>
      <w:bookmarkEnd w:id="79"/>
      <w:bookmarkEnd w:id="80"/>
    </w:p>
    <w:tbl>
      <w:tblPr>
        <w:tblW w:w="955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000" w:firstRow="0" w:lastRow="0" w:firstColumn="0" w:lastColumn="0" w:noHBand="0" w:noVBand="0"/>
      </w:tblPr>
      <w:tblGrid>
        <w:gridCol w:w="1305"/>
        <w:gridCol w:w="3213"/>
        <w:gridCol w:w="2070"/>
        <w:gridCol w:w="2970"/>
      </w:tblGrid>
      <w:tr w:rsidR="003034D0" w:rsidRPr="00746B00" w14:paraId="52BA165A" w14:textId="77777777" w:rsidTr="00973F7C">
        <w:trPr>
          <w:trHeight w:val="255"/>
        </w:trPr>
        <w:tc>
          <w:tcPr>
            <w:tcW w:w="1305" w:type="dxa"/>
            <w:shd w:val="clear" w:color="auto" w:fill="0D0D0D" w:themeFill="text1" w:themeFillTint="F2"/>
            <w:noWrap/>
            <w:vAlign w:val="bottom"/>
          </w:tcPr>
          <w:p w14:paraId="77F2D6AB"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Measure Application Type</w:t>
            </w:r>
          </w:p>
        </w:tc>
        <w:tc>
          <w:tcPr>
            <w:tcW w:w="3213" w:type="dxa"/>
            <w:shd w:val="clear" w:color="auto" w:fill="0D0D0D" w:themeFill="text1" w:themeFillTint="F2"/>
            <w:vAlign w:val="bottom"/>
          </w:tcPr>
          <w:p w14:paraId="3A22551C"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Gross Measure Cost</w:t>
            </w:r>
          </w:p>
          <w:p w14:paraId="5227D7BB"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(RUL Period/First Baseline)</w:t>
            </w:r>
          </w:p>
        </w:tc>
        <w:tc>
          <w:tcPr>
            <w:tcW w:w="2070" w:type="dxa"/>
            <w:shd w:val="clear" w:color="auto" w:fill="0D0D0D" w:themeFill="text1" w:themeFillTint="F2"/>
            <w:noWrap/>
            <w:vAlign w:val="bottom"/>
          </w:tcPr>
          <w:p w14:paraId="5D8C027D"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Gross Measure Cost</w:t>
            </w:r>
          </w:p>
          <w:p w14:paraId="5F486248"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(EUL-RUL Period/ Second Baseline)</w:t>
            </w:r>
          </w:p>
        </w:tc>
        <w:tc>
          <w:tcPr>
            <w:tcW w:w="2970" w:type="dxa"/>
            <w:shd w:val="clear" w:color="auto" w:fill="0D0D0D" w:themeFill="text1" w:themeFillTint="F2"/>
            <w:noWrap/>
            <w:vAlign w:val="bottom"/>
          </w:tcPr>
          <w:p w14:paraId="76EF3B12"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Incremental Measure Cost</w:t>
            </w:r>
          </w:p>
        </w:tc>
      </w:tr>
      <w:tr w:rsidR="003034D0" w:rsidRPr="00F814F9" w14:paraId="12878893" w14:textId="77777777" w:rsidTr="00973F7C">
        <w:trPr>
          <w:trHeight w:val="255"/>
        </w:trPr>
        <w:tc>
          <w:tcPr>
            <w:tcW w:w="1305" w:type="dxa"/>
            <w:shd w:val="clear" w:color="auto" w:fill="FFFFFF" w:themeFill="background1"/>
            <w:noWrap/>
            <w:vAlign w:val="bottom"/>
          </w:tcPr>
          <w:p w14:paraId="47F85B6D" w14:textId="276FBE30" w:rsidR="003034D0" w:rsidRPr="002F2115" w:rsidRDefault="006153A5" w:rsidP="005C31D5">
            <w:pPr>
              <w:jc w:val="center"/>
              <w:rPr>
                <w:rFonts w:ascii="Arial" w:hAnsi="Arial" w:cs="Arial"/>
                <w:sz w:val="16"/>
                <w:szCs w:val="16"/>
              </w:rPr>
            </w:pPr>
            <w:r>
              <w:rPr>
                <w:rFonts w:ascii="Arial" w:hAnsi="Arial" w:cs="Arial"/>
                <w:sz w:val="16"/>
                <w:szCs w:val="16"/>
              </w:rPr>
              <w:t xml:space="preserve">AR / </w:t>
            </w:r>
            <w:r w:rsidR="003034D0" w:rsidRPr="002F2115">
              <w:rPr>
                <w:rFonts w:ascii="Arial" w:hAnsi="Arial" w:cs="Arial"/>
                <w:sz w:val="16"/>
                <w:szCs w:val="16"/>
              </w:rPr>
              <w:t>ER</w:t>
            </w:r>
          </w:p>
        </w:tc>
        <w:tc>
          <w:tcPr>
            <w:tcW w:w="3213" w:type="dxa"/>
            <w:shd w:val="clear" w:color="auto" w:fill="FFFFFF" w:themeFill="background1"/>
            <w:vAlign w:val="bottom"/>
          </w:tcPr>
          <w:p w14:paraId="1DD8518C"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0EBD1F62"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+Measure Labor Cost</w:t>
            </w:r>
          </w:p>
        </w:tc>
        <w:tc>
          <w:tcPr>
            <w:tcW w:w="2070" w:type="dxa"/>
            <w:shd w:val="clear" w:color="auto" w:fill="FFFFFF" w:themeFill="background1"/>
            <w:noWrap/>
            <w:vAlign w:val="bottom"/>
          </w:tcPr>
          <w:p w14:paraId="0869BCEF"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(-1)x(Base Equipment Cost</w:t>
            </w:r>
          </w:p>
          <w:p w14:paraId="5B81D77E"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Labor Cost)</w:t>
            </w:r>
          </w:p>
        </w:tc>
        <w:tc>
          <w:tcPr>
            <w:tcW w:w="2970" w:type="dxa"/>
            <w:shd w:val="clear" w:color="auto" w:fill="FFFFFF" w:themeFill="background1"/>
            <w:noWrap/>
            <w:vAlign w:val="bottom"/>
          </w:tcPr>
          <w:p w14:paraId="1F34DF3B"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4A64A7D6"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r w:rsidR="003034D0" w:rsidRPr="00746B00" w14:paraId="16D5E0C0" w14:textId="77777777" w:rsidTr="00973F7C">
        <w:trPr>
          <w:trHeight w:val="170"/>
        </w:trPr>
        <w:tc>
          <w:tcPr>
            <w:tcW w:w="1305" w:type="dxa"/>
            <w:shd w:val="clear" w:color="auto" w:fill="FFFFFF" w:themeFill="background1"/>
            <w:noWrap/>
            <w:vAlign w:val="bottom"/>
          </w:tcPr>
          <w:p w14:paraId="748F1BFB" w14:textId="04E0096A" w:rsidR="003034D0" w:rsidRPr="002F2115" w:rsidRDefault="006153A5" w:rsidP="005C31D5">
            <w:pPr>
              <w:jc w:val="center"/>
              <w:rPr>
                <w:rFonts w:ascii="Arial" w:hAnsi="Arial" w:cs="Arial"/>
                <w:sz w:val="16"/>
                <w:szCs w:val="16"/>
              </w:rPr>
            </w:pPr>
            <w:r>
              <w:rPr>
                <w:rFonts w:ascii="Arial" w:hAnsi="Arial" w:cs="Arial"/>
                <w:sz w:val="16"/>
                <w:szCs w:val="16"/>
              </w:rPr>
              <w:t xml:space="preserve">NR / </w:t>
            </w:r>
            <w:r w:rsidR="003034D0" w:rsidRPr="002F2115">
              <w:rPr>
                <w:rFonts w:ascii="Arial" w:hAnsi="Arial" w:cs="Arial"/>
                <w:sz w:val="16"/>
                <w:szCs w:val="16"/>
              </w:rPr>
              <w:t>ROB</w:t>
            </w:r>
          </w:p>
        </w:tc>
        <w:tc>
          <w:tcPr>
            <w:tcW w:w="3213" w:type="dxa"/>
            <w:shd w:val="clear" w:color="auto" w:fill="FFFFFF" w:themeFill="background1"/>
            <w:vAlign w:val="bottom"/>
          </w:tcPr>
          <w:p w14:paraId="31316F4F"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5087FEBE"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c>
          <w:tcPr>
            <w:tcW w:w="2070" w:type="dxa"/>
            <w:shd w:val="clear" w:color="auto" w:fill="FFFFFF" w:themeFill="background1"/>
            <w:noWrap/>
            <w:vAlign w:val="bottom"/>
          </w:tcPr>
          <w:p w14:paraId="0C449F16"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N/A</w:t>
            </w:r>
          </w:p>
        </w:tc>
        <w:tc>
          <w:tcPr>
            <w:tcW w:w="2970" w:type="dxa"/>
            <w:shd w:val="clear" w:color="auto" w:fill="FFFFFF" w:themeFill="background1"/>
            <w:vAlign w:val="bottom"/>
          </w:tcPr>
          <w:p w14:paraId="3F97BD39"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3B431052"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r w:rsidR="003034D0" w:rsidRPr="00746B00" w14:paraId="75BD9FFD" w14:textId="77777777" w:rsidTr="00973F7C">
        <w:trPr>
          <w:trHeight w:val="170"/>
        </w:trPr>
        <w:tc>
          <w:tcPr>
            <w:tcW w:w="130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BFBFBF" w:themeFill="background1" w:themeFillShade="BF"/>
            <w:noWrap/>
            <w:vAlign w:val="bottom"/>
          </w:tcPr>
          <w:p w14:paraId="261BD9C1"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NC</w:t>
            </w:r>
          </w:p>
        </w:tc>
        <w:tc>
          <w:tcPr>
            <w:tcW w:w="321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BFBFBF" w:themeFill="background1" w:themeFillShade="BF"/>
            <w:vAlign w:val="bottom"/>
          </w:tcPr>
          <w:p w14:paraId="157D76D7"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0944D2A7"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c>
          <w:tcPr>
            <w:tcW w:w="207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BFBFBF" w:themeFill="background1" w:themeFillShade="BF"/>
            <w:noWrap/>
            <w:vAlign w:val="bottom"/>
          </w:tcPr>
          <w:p w14:paraId="3051FB27"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N/A</w:t>
            </w:r>
          </w:p>
        </w:tc>
        <w:tc>
          <w:tcPr>
            <w:tcW w:w="297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BFBFBF" w:themeFill="background1" w:themeFillShade="BF"/>
            <w:vAlign w:val="bottom"/>
          </w:tcPr>
          <w:p w14:paraId="541CE0A2"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72E27C0B"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bl>
    <w:p w14:paraId="06AF9FA1" w14:textId="77777777" w:rsidR="003034D0" w:rsidRDefault="00B95781" w:rsidP="008473DB">
      <w:pPr>
        <w:pStyle w:val="Heading3"/>
      </w:pPr>
      <w:bookmarkStart w:id="81" w:name="_Toc383697822"/>
      <w:bookmarkStart w:id="82" w:name="_Toc533933937"/>
      <w:bookmarkStart w:id="83" w:name="_Toc2808656"/>
      <w:r w:rsidRPr="00746B00">
        <w:t>4.3.1 Full Measure Cost</w:t>
      </w:r>
      <w:bookmarkEnd w:id="81"/>
      <w:bookmarkEnd w:id="82"/>
      <w:bookmarkEnd w:id="83"/>
    </w:p>
    <w:p w14:paraId="1A8B9A90" w14:textId="1B390635" w:rsidR="00970C80" w:rsidRDefault="00970C80" w:rsidP="00970C80">
      <w:pPr>
        <w:rPr>
          <w:rFonts w:ascii="Arial" w:hAnsi="Arial" w:cs="Arial"/>
          <w:sz w:val="20"/>
          <w:szCs w:val="20"/>
        </w:rPr>
      </w:pPr>
      <w:r>
        <w:rPr>
          <w:rFonts w:ascii="Arial" w:hAnsi="Arial" w:cs="Arial"/>
          <w:sz w:val="20"/>
          <w:szCs w:val="20"/>
        </w:rPr>
        <w:t xml:space="preserve">The Full </w:t>
      </w:r>
      <w:r w:rsidRPr="005B1DEA">
        <w:rPr>
          <w:rFonts w:ascii="Arial" w:hAnsi="Arial" w:cs="Arial"/>
          <w:sz w:val="20"/>
          <w:szCs w:val="20"/>
        </w:rPr>
        <w:t>Measure Cost is applicable to Direct Install programs.</w:t>
      </w:r>
      <w:r w:rsidR="003D1EB1">
        <w:rPr>
          <w:rFonts w:ascii="Arial" w:hAnsi="Arial" w:cs="Arial"/>
          <w:sz w:val="20"/>
          <w:szCs w:val="20"/>
        </w:rPr>
        <w:t xml:space="preserve"> There is an effort on updating systems to collect actual costs from implementers, </w:t>
      </w:r>
      <w:r w:rsidR="00EC080B">
        <w:rPr>
          <w:rFonts w:ascii="Arial" w:hAnsi="Arial" w:cs="Arial"/>
          <w:sz w:val="20"/>
          <w:szCs w:val="20"/>
        </w:rPr>
        <w:t xml:space="preserve">until </w:t>
      </w:r>
      <w:r w:rsidR="003D1EB1">
        <w:rPr>
          <w:rFonts w:ascii="Arial" w:hAnsi="Arial" w:cs="Arial"/>
          <w:sz w:val="20"/>
          <w:szCs w:val="20"/>
        </w:rPr>
        <w:t>then the following costs will be used for direct install.</w:t>
      </w:r>
      <w:r w:rsidR="00EC080B">
        <w:rPr>
          <w:rFonts w:ascii="Arial" w:hAnsi="Arial" w:cs="Arial"/>
          <w:sz w:val="20"/>
          <w:szCs w:val="20"/>
        </w:rPr>
        <w:t xml:space="preserve"> All costs are given per </w:t>
      </w:r>
      <w:proofErr w:type="spellStart"/>
      <w:r w:rsidR="00EC080B">
        <w:rPr>
          <w:rFonts w:ascii="Arial" w:hAnsi="Arial" w:cs="Arial"/>
          <w:sz w:val="20"/>
          <w:szCs w:val="20"/>
        </w:rPr>
        <w:t>kilolumen</w:t>
      </w:r>
      <w:proofErr w:type="spellEnd"/>
      <w:r w:rsidR="00EC080B">
        <w:rPr>
          <w:rFonts w:ascii="Arial" w:hAnsi="Arial" w:cs="Arial"/>
          <w:sz w:val="20"/>
          <w:szCs w:val="20"/>
        </w:rPr>
        <w:t>.</w:t>
      </w:r>
    </w:p>
    <w:p w14:paraId="78B54D31" w14:textId="77777777" w:rsidR="00106A4C" w:rsidRPr="005B1DEA" w:rsidRDefault="00106A4C" w:rsidP="00970C80">
      <w:pPr>
        <w:rPr>
          <w:rFonts w:ascii="Arial" w:hAnsi="Arial" w:cs="Arial"/>
          <w:sz w:val="20"/>
          <w:szCs w:val="20"/>
        </w:rPr>
      </w:pPr>
    </w:p>
    <w:p w14:paraId="5E5F4A8F" w14:textId="77777777" w:rsidR="00BA1A39" w:rsidRDefault="00970C80" w:rsidP="00970C80">
      <w:pPr>
        <w:rPr>
          <w:rFonts w:ascii="Arial" w:hAnsi="Arial" w:cs="Arial"/>
          <w:sz w:val="20"/>
          <w:szCs w:val="20"/>
        </w:rPr>
      </w:pPr>
      <w:r>
        <w:rPr>
          <w:rFonts w:ascii="Arial" w:hAnsi="Arial" w:cs="Arial"/>
          <w:sz w:val="20"/>
          <w:szCs w:val="20"/>
        </w:rPr>
        <w:t>FMC</w:t>
      </w:r>
      <w:r w:rsidRPr="005B1DEA">
        <w:rPr>
          <w:rFonts w:ascii="Arial" w:hAnsi="Arial" w:cs="Arial"/>
          <w:sz w:val="20"/>
          <w:szCs w:val="20"/>
        </w:rPr>
        <w:t xml:space="preserve"> = Measure Equipment Cost + Measure Labor Cost</w:t>
      </w:r>
    </w:p>
    <w:p w14:paraId="08BC303C" w14:textId="77777777" w:rsidR="00CE0DF1" w:rsidRPr="00AB09DC" w:rsidRDefault="00CE0DF1" w:rsidP="00970C80">
      <w:pPr>
        <w:rPr>
          <w:rFonts w:ascii="Arial" w:hAnsi="Arial" w:cs="Arial"/>
          <w:sz w:val="20"/>
          <w:szCs w:val="20"/>
        </w:rPr>
      </w:pPr>
    </w:p>
    <w:p w14:paraId="106184F8" w14:textId="77777777" w:rsidR="00F814F9" w:rsidRDefault="00BA1A39" w:rsidP="00886761">
      <w:pPr>
        <w:pStyle w:val="Caption"/>
        <w:jc w:val="center"/>
        <w:rPr>
          <w:rFonts w:ascii="Arial" w:hAnsi="Arial" w:cs="Arial"/>
        </w:rPr>
      </w:pPr>
      <w:r w:rsidRPr="00AB09DC">
        <w:rPr>
          <w:rFonts w:ascii="Arial" w:hAnsi="Arial" w:cs="Arial"/>
        </w:rPr>
        <w:t xml:space="preserve"> </w:t>
      </w:r>
      <w:bookmarkStart w:id="84" w:name="_Toc533927162"/>
    </w:p>
    <w:p w14:paraId="369330EF" w14:textId="0836E44E" w:rsidR="00BA1A39" w:rsidRDefault="00BA1A39" w:rsidP="00886761">
      <w:pPr>
        <w:pStyle w:val="Caption"/>
        <w:jc w:val="center"/>
      </w:pPr>
      <w:bookmarkStart w:id="85" w:name="_Toc2791463"/>
      <w:r w:rsidRPr="00AB09DC">
        <w:rPr>
          <w:rFonts w:ascii="Arial" w:hAnsi="Arial" w:cs="Arial"/>
        </w:rPr>
        <w:t xml:space="preserve">Table </w:t>
      </w:r>
      <w:r w:rsidR="00797297" w:rsidRPr="00AB09DC">
        <w:rPr>
          <w:rFonts w:ascii="Arial" w:hAnsi="Arial" w:cs="Arial"/>
        </w:rPr>
        <w:fldChar w:fldCharType="begin"/>
      </w:r>
      <w:r w:rsidR="00797297" w:rsidRPr="00AB09DC">
        <w:rPr>
          <w:rFonts w:ascii="Arial" w:hAnsi="Arial" w:cs="Arial"/>
        </w:rPr>
        <w:instrText xml:space="preserve"> SEQ Table \* ARABIC </w:instrText>
      </w:r>
      <w:r w:rsidR="00797297" w:rsidRPr="00AB09DC">
        <w:rPr>
          <w:rFonts w:ascii="Arial" w:hAnsi="Arial" w:cs="Arial"/>
        </w:rPr>
        <w:fldChar w:fldCharType="separate"/>
      </w:r>
      <w:r w:rsidR="00A51621">
        <w:rPr>
          <w:rFonts w:ascii="Arial" w:hAnsi="Arial" w:cs="Arial"/>
          <w:noProof/>
        </w:rPr>
        <w:t>9</w:t>
      </w:r>
      <w:r w:rsidR="00797297" w:rsidRPr="00AB09DC">
        <w:rPr>
          <w:rFonts w:ascii="Arial" w:hAnsi="Arial" w:cs="Arial"/>
          <w:noProof/>
        </w:rPr>
        <w:fldChar w:fldCharType="end"/>
      </w:r>
      <w:r w:rsidR="00AB09DC">
        <w:rPr>
          <w:rFonts w:ascii="Arial" w:hAnsi="Arial" w:cs="Arial"/>
          <w:noProof/>
        </w:rPr>
        <w:t>:</w:t>
      </w:r>
      <w:r w:rsidR="009C7023" w:rsidRPr="00AB09DC">
        <w:rPr>
          <w:rFonts w:ascii="Arial" w:hAnsi="Arial" w:cs="Arial"/>
        </w:rPr>
        <w:t xml:space="preserve"> </w:t>
      </w:r>
      <w:r w:rsidRPr="00AB09DC">
        <w:rPr>
          <w:rFonts w:ascii="Arial" w:hAnsi="Arial" w:cs="Arial"/>
        </w:rPr>
        <w:t>LED Ambient Commercial Fixtures &amp; Retrofit Kits Full Measure Cost</w:t>
      </w:r>
      <w:bookmarkEnd w:id="84"/>
      <w:bookmarkEnd w:id="85"/>
    </w:p>
    <w:tbl>
      <w:tblPr>
        <w:tblpPr w:leftFromText="180" w:rightFromText="180" w:vertAnchor="text" w:horzAnchor="margin" w:tblpXSpec="center" w:tblpY="35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5040"/>
        <w:gridCol w:w="1260"/>
        <w:gridCol w:w="1350"/>
        <w:gridCol w:w="1170"/>
      </w:tblGrid>
      <w:tr w:rsidR="00C21271" w:rsidRPr="00F16BFD" w14:paraId="5C12AF3A" w14:textId="77777777" w:rsidTr="00037AA1">
        <w:trPr>
          <w:trHeight w:val="767"/>
        </w:trPr>
        <w:tc>
          <w:tcPr>
            <w:tcW w:w="1188" w:type="dxa"/>
            <w:vAlign w:val="center"/>
          </w:tcPr>
          <w:p w14:paraId="47C91113" w14:textId="77777777" w:rsidR="00C21271" w:rsidRPr="00195917" w:rsidRDefault="00C21271" w:rsidP="0044749C">
            <w:pPr>
              <w:jc w:val="center"/>
              <w:rPr>
                <w:rFonts w:ascii="Arial" w:hAnsi="Arial" w:cs="Arial"/>
                <w:b/>
                <w:sz w:val="18"/>
                <w:szCs w:val="18"/>
              </w:rPr>
            </w:pPr>
            <w:bookmarkStart w:id="86" w:name="_Toc324318376"/>
            <w:bookmarkStart w:id="87" w:name="_Toc324340505"/>
            <w:bookmarkStart w:id="88" w:name="_Toc381279689"/>
            <w:bookmarkStart w:id="89" w:name="_Toc383697823"/>
            <w:r w:rsidRPr="00195917">
              <w:rPr>
                <w:rFonts w:ascii="Arial" w:hAnsi="Arial" w:cs="Arial"/>
                <w:b/>
                <w:sz w:val="18"/>
                <w:szCs w:val="18"/>
              </w:rPr>
              <w:t>Measure Code</w:t>
            </w:r>
          </w:p>
        </w:tc>
        <w:tc>
          <w:tcPr>
            <w:tcW w:w="5040" w:type="dxa"/>
            <w:vAlign w:val="center"/>
          </w:tcPr>
          <w:p w14:paraId="07A0CDFD" w14:textId="77777777" w:rsidR="00C21271" w:rsidRPr="00195917" w:rsidRDefault="00C21271" w:rsidP="0044749C">
            <w:pPr>
              <w:jc w:val="center"/>
              <w:rPr>
                <w:rFonts w:ascii="Arial" w:hAnsi="Arial" w:cs="Arial"/>
                <w:b/>
                <w:sz w:val="18"/>
                <w:szCs w:val="18"/>
              </w:rPr>
            </w:pPr>
            <w:r w:rsidRPr="00195917">
              <w:rPr>
                <w:rFonts w:ascii="Arial" w:hAnsi="Arial" w:cs="Arial"/>
                <w:b/>
                <w:sz w:val="18"/>
                <w:szCs w:val="18"/>
              </w:rPr>
              <w:t>Measure Description</w:t>
            </w:r>
          </w:p>
        </w:tc>
        <w:tc>
          <w:tcPr>
            <w:tcW w:w="1260" w:type="dxa"/>
            <w:vAlign w:val="center"/>
          </w:tcPr>
          <w:p w14:paraId="3F0B0C59" w14:textId="77777777" w:rsidR="00C21271" w:rsidRPr="00F16BFD" w:rsidRDefault="00C21271" w:rsidP="00886761">
            <w:pPr>
              <w:jc w:val="center"/>
              <w:rPr>
                <w:rFonts w:ascii="Arial" w:hAnsi="Arial" w:cs="Arial"/>
                <w:b/>
                <w:sz w:val="18"/>
                <w:szCs w:val="18"/>
              </w:rPr>
            </w:pPr>
            <w:r w:rsidRPr="00F16BFD">
              <w:rPr>
                <w:rFonts w:ascii="Arial" w:hAnsi="Arial" w:cs="Arial"/>
                <w:b/>
                <w:sz w:val="18"/>
                <w:szCs w:val="18"/>
              </w:rPr>
              <w:t>Measure Equipment Cost</w:t>
            </w:r>
          </w:p>
        </w:tc>
        <w:tc>
          <w:tcPr>
            <w:tcW w:w="1350" w:type="dxa"/>
            <w:vAlign w:val="center"/>
          </w:tcPr>
          <w:p w14:paraId="25E576F8" w14:textId="31B799EA" w:rsidR="00C21271" w:rsidRPr="00F16BFD" w:rsidRDefault="00C21271" w:rsidP="0044749C">
            <w:pPr>
              <w:jc w:val="center"/>
              <w:rPr>
                <w:rFonts w:ascii="Arial" w:hAnsi="Arial" w:cs="Arial"/>
                <w:b/>
                <w:sz w:val="18"/>
                <w:szCs w:val="18"/>
              </w:rPr>
            </w:pPr>
            <w:r w:rsidRPr="00F16BFD">
              <w:rPr>
                <w:rFonts w:ascii="Arial" w:hAnsi="Arial" w:cs="Arial"/>
                <w:b/>
                <w:sz w:val="18"/>
                <w:szCs w:val="18"/>
              </w:rPr>
              <w:t>Measure Lab</w:t>
            </w:r>
            <w:r w:rsidR="003A3EFC">
              <w:rPr>
                <w:rFonts w:ascii="Arial" w:hAnsi="Arial" w:cs="Arial"/>
                <w:b/>
                <w:sz w:val="18"/>
                <w:szCs w:val="18"/>
              </w:rPr>
              <w:t>o</w:t>
            </w:r>
            <w:r w:rsidRPr="00F16BFD">
              <w:rPr>
                <w:rFonts w:ascii="Arial" w:hAnsi="Arial" w:cs="Arial"/>
                <w:b/>
                <w:sz w:val="18"/>
                <w:szCs w:val="18"/>
              </w:rPr>
              <w:t>r Cost</w:t>
            </w:r>
            <w:r w:rsidR="00886761">
              <w:rPr>
                <w:rStyle w:val="EndnoteReference"/>
                <w:rFonts w:ascii="Arial" w:hAnsi="Arial" w:cs="Arial"/>
                <w:b/>
                <w:sz w:val="18"/>
                <w:szCs w:val="18"/>
              </w:rPr>
              <w:endnoteReference w:id="13"/>
            </w:r>
          </w:p>
        </w:tc>
        <w:tc>
          <w:tcPr>
            <w:tcW w:w="1170" w:type="dxa"/>
            <w:vAlign w:val="center"/>
          </w:tcPr>
          <w:p w14:paraId="6F11CA41" w14:textId="77777777" w:rsidR="00C21271" w:rsidRPr="00F16BFD" w:rsidRDefault="00C21271" w:rsidP="00886761">
            <w:pPr>
              <w:jc w:val="center"/>
              <w:rPr>
                <w:rFonts w:ascii="Arial" w:hAnsi="Arial" w:cs="Arial"/>
                <w:b/>
                <w:sz w:val="18"/>
                <w:szCs w:val="18"/>
              </w:rPr>
            </w:pPr>
            <w:r w:rsidRPr="00F16BFD">
              <w:rPr>
                <w:rFonts w:ascii="Arial" w:hAnsi="Arial" w:cs="Arial"/>
                <w:b/>
                <w:sz w:val="18"/>
                <w:szCs w:val="18"/>
              </w:rPr>
              <w:t>Full</w:t>
            </w:r>
          </w:p>
          <w:p w14:paraId="1889085E" w14:textId="77777777" w:rsidR="00C21271" w:rsidRPr="00F16BFD" w:rsidRDefault="00C21271" w:rsidP="00886761">
            <w:pPr>
              <w:jc w:val="center"/>
              <w:rPr>
                <w:rFonts w:ascii="Arial" w:hAnsi="Arial" w:cs="Arial"/>
                <w:b/>
                <w:sz w:val="18"/>
                <w:szCs w:val="18"/>
              </w:rPr>
            </w:pPr>
            <w:r w:rsidRPr="00F16BFD">
              <w:rPr>
                <w:rFonts w:ascii="Arial" w:hAnsi="Arial" w:cs="Arial"/>
                <w:b/>
                <w:sz w:val="18"/>
                <w:szCs w:val="18"/>
              </w:rPr>
              <w:t>Measure Cost</w:t>
            </w:r>
          </w:p>
        </w:tc>
      </w:tr>
      <w:tr w:rsidR="00886761" w:rsidRPr="00F16BFD" w14:paraId="529CC772" w14:textId="77777777" w:rsidTr="00037AA1">
        <w:trPr>
          <w:trHeight w:val="149"/>
        </w:trPr>
        <w:tc>
          <w:tcPr>
            <w:tcW w:w="1188" w:type="dxa"/>
            <w:vAlign w:val="center"/>
          </w:tcPr>
          <w:p w14:paraId="53D91CEF" w14:textId="5381C41C" w:rsidR="00886761" w:rsidRPr="00F16BFD" w:rsidRDefault="00886761" w:rsidP="00886761">
            <w:pPr>
              <w:jc w:val="center"/>
              <w:rPr>
                <w:rFonts w:ascii="Arial" w:hAnsi="Arial" w:cs="Arial"/>
                <w:sz w:val="18"/>
                <w:szCs w:val="18"/>
              </w:rPr>
            </w:pPr>
            <w:r w:rsidRPr="004230EB">
              <w:rPr>
                <w:rFonts w:ascii="Arial" w:hAnsi="Arial" w:cs="Arial"/>
                <w:color w:val="222222"/>
                <w:sz w:val="18"/>
                <w:szCs w:val="18"/>
              </w:rPr>
              <w:t>LT4</w:t>
            </w:r>
            <w:r>
              <w:rPr>
                <w:rFonts w:ascii="Arial" w:hAnsi="Arial" w:cs="Arial"/>
                <w:color w:val="222222"/>
                <w:sz w:val="18"/>
                <w:szCs w:val="18"/>
              </w:rPr>
              <w:t>8</w:t>
            </w:r>
            <w:r w:rsidRPr="004230EB">
              <w:rPr>
                <w:rFonts w:ascii="Arial" w:hAnsi="Arial" w:cs="Arial"/>
                <w:color w:val="222222"/>
                <w:sz w:val="18"/>
                <w:szCs w:val="18"/>
              </w:rPr>
              <w:t>8</w:t>
            </w:r>
            <w:r>
              <w:rPr>
                <w:rFonts w:ascii="Arial" w:hAnsi="Arial" w:cs="Arial"/>
                <w:color w:val="222222"/>
                <w:sz w:val="18"/>
                <w:szCs w:val="18"/>
              </w:rPr>
              <w:t xml:space="preserve"> – LT498 even</w:t>
            </w:r>
          </w:p>
        </w:tc>
        <w:tc>
          <w:tcPr>
            <w:tcW w:w="5040" w:type="dxa"/>
            <w:vAlign w:val="center"/>
          </w:tcPr>
          <w:p w14:paraId="4B37E6FF" w14:textId="78687027" w:rsidR="00886761" w:rsidRPr="00F16BFD" w:rsidRDefault="00886761" w:rsidP="00886761">
            <w:pPr>
              <w:rPr>
                <w:rFonts w:ascii="Arial" w:hAnsi="Arial" w:cs="Arial"/>
                <w:sz w:val="18"/>
                <w:szCs w:val="18"/>
              </w:rPr>
            </w:pPr>
            <w:r w:rsidRPr="004230EB">
              <w:rPr>
                <w:rFonts w:ascii="Arial" w:hAnsi="Arial" w:cs="Arial"/>
                <w:sz w:val="18"/>
                <w:szCs w:val="18"/>
              </w:rPr>
              <w:t xml:space="preserve">LED </w:t>
            </w:r>
            <w:r>
              <w:rPr>
                <w:rFonts w:ascii="Arial" w:hAnsi="Arial" w:cs="Arial"/>
                <w:sz w:val="18"/>
                <w:szCs w:val="18"/>
              </w:rPr>
              <w:t xml:space="preserve">troffer </w:t>
            </w:r>
            <w:r w:rsidRPr="004230EB">
              <w:rPr>
                <w:rFonts w:ascii="Arial" w:hAnsi="Arial" w:cs="Arial"/>
                <w:sz w:val="18"/>
                <w:szCs w:val="18"/>
              </w:rPr>
              <w:t>new Luminaire</w:t>
            </w:r>
            <w:r>
              <w:rPr>
                <w:rFonts w:ascii="Arial" w:hAnsi="Arial" w:cs="Arial"/>
                <w:sz w:val="18"/>
                <w:szCs w:val="18"/>
              </w:rPr>
              <w:t>s and Retrofit kits</w:t>
            </w:r>
            <w:r w:rsidRPr="004230EB">
              <w:rPr>
                <w:rFonts w:ascii="Arial" w:hAnsi="Arial" w:cs="Arial"/>
                <w:sz w:val="18"/>
                <w:szCs w:val="18"/>
              </w:rPr>
              <w:t xml:space="preserve"> rated greater than or equal to 125 LPW and less than 140 LPW</w:t>
            </w:r>
          </w:p>
        </w:tc>
        <w:tc>
          <w:tcPr>
            <w:tcW w:w="1260" w:type="dxa"/>
            <w:vAlign w:val="center"/>
          </w:tcPr>
          <w:p w14:paraId="3AA5AD3D" w14:textId="59A389B8" w:rsidR="00886761" w:rsidRPr="00F16BFD" w:rsidRDefault="00886761" w:rsidP="00886761">
            <w:pPr>
              <w:jc w:val="center"/>
              <w:rPr>
                <w:rFonts w:ascii="Arial" w:hAnsi="Arial" w:cs="Arial"/>
                <w:sz w:val="18"/>
                <w:szCs w:val="18"/>
              </w:rPr>
            </w:pPr>
            <w:r w:rsidRPr="003A4040">
              <w:rPr>
                <w:rFonts w:ascii="Arial" w:hAnsi="Arial" w:cs="Arial"/>
                <w:b/>
                <w:sz w:val="18"/>
                <w:szCs w:val="18"/>
              </w:rPr>
              <w:t>$</w:t>
            </w:r>
            <w:r>
              <w:rPr>
                <w:rFonts w:ascii="Arial" w:hAnsi="Arial" w:cs="Arial"/>
                <w:b/>
                <w:sz w:val="18"/>
                <w:szCs w:val="18"/>
              </w:rPr>
              <w:t>28.60</w:t>
            </w:r>
          </w:p>
        </w:tc>
        <w:tc>
          <w:tcPr>
            <w:tcW w:w="1350" w:type="dxa"/>
            <w:vAlign w:val="center"/>
          </w:tcPr>
          <w:p w14:paraId="3F805BEE" w14:textId="4DC0145E" w:rsidR="00886761" w:rsidRPr="00F16BFD" w:rsidRDefault="00886761" w:rsidP="00886761">
            <w:pPr>
              <w:jc w:val="center"/>
              <w:rPr>
                <w:rFonts w:ascii="Arial" w:hAnsi="Arial" w:cs="Arial"/>
                <w:b/>
                <w:sz w:val="18"/>
                <w:szCs w:val="18"/>
              </w:rPr>
            </w:pPr>
            <w:r w:rsidRPr="00F16BFD">
              <w:rPr>
                <w:rFonts w:ascii="Arial" w:hAnsi="Arial" w:cs="Arial"/>
                <w:b/>
                <w:sz w:val="18"/>
                <w:szCs w:val="18"/>
              </w:rPr>
              <w:t>$2</w:t>
            </w:r>
            <w:r>
              <w:rPr>
                <w:rFonts w:ascii="Arial" w:hAnsi="Arial" w:cs="Arial"/>
                <w:b/>
                <w:sz w:val="18"/>
                <w:szCs w:val="18"/>
              </w:rPr>
              <w:t>0</w:t>
            </w:r>
            <w:r w:rsidRPr="00F16BFD">
              <w:rPr>
                <w:rFonts w:ascii="Arial" w:hAnsi="Arial" w:cs="Arial"/>
                <w:b/>
                <w:sz w:val="18"/>
                <w:szCs w:val="18"/>
              </w:rPr>
              <w:t>.</w:t>
            </w:r>
            <w:r>
              <w:rPr>
                <w:rFonts w:ascii="Arial" w:hAnsi="Arial" w:cs="Arial"/>
                <w:b/>
                <w:sz w:val="18"/>
                <w:szCs w:val="18"/>
              </w:rPr>
              <w:t>9</w:t>
            </w:r>
            <w:r w:rsidRPr="00F16BFD">
              <w:rPr>
                <w:rFonts w:ascii="Arial" w:hAnsi="Arial" w:cs="Arial"/>
                <w:b/>
                <w:sz w:val="18"/>
                <w:szCs w:val="18"/>
              </w:rPr>
              <w:t>7</w:t>
            </w:r>
          </w:p>
        </w:tc>
        <w:tc>
          <w:tcPr>
            <w:tcW w:w="1170" w:type="dxa"/>
            <w:vAlign w:val="center"/>
          </w:tcPr>
          <w:p w14:paraId="5A538EDE" w14:textId="5CDA2AFF" w:rsidR="00886761" w:rsidRPr="00F16BFD" w:rsidRDefault="00886761" w:rsidP="00886761">
            <w:pPr>
              <w:jc w:val="center"/>
              <w:rPr>
                <w:rFonts w:ascii="Arial" w:hAnsi="Arial" w:cs="Arial"/>
                <w:b/>
                <w:sz w:val="18"/>
                <w:szCs w:val="18"/>
              </w:rPr>
            </w:pPr>
            <w:r w:rsidRPr="00F16BFD">
              <w:rPr>
                <w:rFonts w:ascii="Arial" w:hAnsi="Arial" w:cs="Arial"/>
                <w:b/>
                <w:sz w:val="18"/>
                <w:szCs w:val="18"/>
              </w:rPr>
              <w:t>$49.</w:t>
            </w:r>
            <w:r>
              <w:rPr>
                <w:rFonts w:ascii="Arial" w:hAnsi="Arial" w:cs="Arial"/>
                <w:b/>
                <w:sz w:val="18"/>
                <w:szCs w:val="18"/>
              </w:rPr>
              <w:t>57</w:t>
            </w:r>
          </w:p>
        </w:tc>
      </w:tr>
      <w:tr w:rsidR="00886761" w:rsidRPr="00F16BFD" w14:paraId="3FBA281D" w14:textId="77777777" w:rsidTr="00037AA1">
        <w:trPr>
          <w:trHeight w:val="149"/>
        </w:trPr>
        <w:tc>
          <w:tcPr>
            <w:tcW w:w="1188" w:type="dxa"/>
            <w:vAlign w:val="center"/>
          </w:tcPr>
          <w:p w14:paraId="639C305C" w14:textId="11729237" w:rsidR="00886761" w:rsidRPr="00F16BFD" w:rsidRDefault="00886761" w:rsidP="00886761">
            <w:pPr>
              <w:jc w:val="center"/>
              <w:rPr>
                <w:rFonts w:ascii="Arial" w:hAnsi="Arial" w:cs="Arial"/>
                <w:sz w:val="18"/>
                <w:szCs w:val="18"/>
              </w:rPr>
            </w:pPr>
            <w:r w:rsidRPr="004230EB">
              <w:rPr>
                <w:rFonts w:ascii="Arial" w:hAnsi="Arial" w:cs="Arial"/>
                <w:color w:val="222222"/>
                <w:sz w:val="18"/>
                <w:szCs w:val="18"/>
              </w:rPr>
              <w:t>LT</w:t>
            </w:r>
            <w:r>
              <w:rPr>
                <w:rFonts w:ascii="Arial" w:hAnsi="Arial" w:cs="Arial"/>
                <w:color w:val="222222"/>
                <w:sz w:val="18"/>
                <w:szCs w:val="18"/>
              </w:rPr>
              <w:t>48</w:t>
            </w:r>
            <w:r w:rsidRPr="004230EB">
              <w:rPr>
                <w:rFonts w:ascii="Arial" w:hAnsi="Arial" w:cs="Arial"/>
                <w:color w:val="222222"/>
                <w:sz w:val="18"/>
                <w:szCs w:val="18"/>
              </w:rPr>
              <w:t>9</w:t>
            </w:r>
            <w:r>
              <w:rPr>
                <w:rFonts w:ascii="Arial" w:hAnsi="Arial" w:cs="Arial"/>
                <w:color w:val="222222"/>
                <w:sz w:val="18"/>
                <w:szCs w:val="18"/>
              </w:rPr>
              <w:t xml:space="preserve"> – LT499 odd</w:t>
            </w:r>
          </w:p>
        </w:tc>
        <w:tc>
          <w:tcPr>
            <w:tcW w:w="5040" w:type="dxa"/>
            <w:vAlign w:val="center"/>
          </w:tcPr>
          <w:p w14:paraId="79F8325A" w14:textId="4E239402" w:rsidR="00886761" w:rsidRPr="00F16BFD" w:rsidRDefault="00886761" w:rsidP="00886761">
            <w:pPr>
              <w:rPr>
                <w:rFonts w:ascii="Arial" w:hAnsi="Arial" w:cs="Arial"/>
                <w:sz w:val="18"/>
                <w:szCs w:val="18"/>
              </w:rPr>
            </w:pPr>
            <w:r>
              <w:rPr>
                <w:rFonts w:ascii="Arial" w:hAnsi="Arial" w:cs="Arial"/>
                <w:sz w:val="18"/>
                <w:szCs w:val="18"/>
              </w:rPr>
              <w:t>L</w:t>
            </w:r>
            <w:r w:rsidRPr="004230EB">
              <w:rPr>
                <w:rFonts w:ascii="Arial" w:hAnsi="Arial" w:cs="Arial"/>
                <w:sz w:val="18"/>
                <w:szCs w:val="18"/>
              </w:rPr>
              <w:t xml:space="preserve">ED </w:t>
            </w:r>
            <w:r>
              <w:rPr>
                <w:rFonts w:ascii="Arial" w:hAnsi="Arial" w:cs="Arial"/>
                <w:sz w:val="18"/>
                <w:szCs w:val="18"/>
              </w:rPr>
              <w:t xml:space="preserve">troffer </w:t>
            </w:r>
            <w:r w:rsidRPr="004230EB">
              <w:rPr>
                <w:rFonts w:ascii="Arial" w:hAnsi="Arial" w:cs="Arial"/>
                <w:sz w:val="18"/>
                <w:szCs w:val="18"/>
              </w:rPr>
              <w:t>new Luminaire</w:t>
            </w:r>
            <w:r>
              <w:rPr>
                <w:rFonts w:ascii="Arial" w:hAnsi="Arial" w:cs="Arial"/>
                <w:sz w:val="18"/>
                <w:szCs w:val="18"/>
              </w:rPr>
              <w:t>s and Retrofit kits</w:t>
            </w:r>
            <w:r w:rsidRPr="004230EB">
              <w:rPr>
                <w:rFonts w:ascii="Arial" w:hAnsi="Arial" w:cs="Arial"/>
                <w:sz w:val="18"/>
                <w:szCs w:val="18"/>
              </w:rPr>
              <w:t xml:space="preserve"> rated greater than or equal to 140 LPW</w:t>
            </w:r>
          </w:p>
        </w:tc>
        <w:tc>
          <w:tcPr>
            <w:tcW w:w="1260" w:type="dxa"/>
            <w:vAlign w:val="center"/>
          </w:tcPr>
          <w:p w14:paraId="41B0AD57" w14:textId="48CF4F36" w:rsidR="00886761" w:rsidRPr="00F16BFD" w:rsidRDefault="00886761" w:rsidP="00886761">
            <w:pPr>
              <w:jc w:val="center"/>
              <w:rPr>
                <w:rFonts w:ascii="Arial" w:hAnsi="Arial" w:cs="Arial"/>
                <w:sz w:val="18"/>
                <w:szCs w:val="18"/>
              </w:rPr>
            </w:pPr>
            <w:r w:rsidRPr="003A4040">
              <w:rPr>
                <w:rFonts w:ascii="Arial" w:hAnsi="Arial" w:cs="Arial"/>
                <w:b/>
                <w:sz w:val="18"/>
                <w:szCs w:val="18"/>
              </w:rPr>
              <w:t>$</w:t>
            </w:r>
            <w:r>
              <w:rPr>
                <w:rFonts w:ascii="Arial" w:hAnsi="Arial" w:cs="Arial"/>
                <w:b/>
                <w:sz w:val="18"/>
                <w:szCs w:val="18"/>
              </w:rPr>
              <w:t>28.93</w:t>
            </w:r>
          </w:p>
        </w:tc>
        <w:tc>
          <w:tcPr>
            <w:tcW w:w="1350" w:type="dxa"/>
            <w:vAlign w:val="center"/>
          </w:tcPr>
          <w:p w14:paraId="71C7C468" w14:textId="34928575" w:rsidR="00886761" w:rsidRPr="00F16BFD" w:rsidRDefault="00886761" w:rsidP="00886761">
            <w:pPr>
              <w:jc w:val="center"/>
              <w:rPr>
                <w:rFonts w:ascii="Arial" w:hAnsi="Arial" w:cs="Arial"/>
                <w:b/>
                <w:sz w:val="18"/>
                <w:szCs w:val="18"/>
              </w:rPr>
            </w:pPr>
            <w:r w:rsidRPr="00F16BFD">
              <w:rPr>
                <w:rFonts w:ascii="Arial" w:hAnsi="Arial" w:cs="Arial"/>
                <w:b/>
                <w:sz w:val="18"/>
                <w:szCs w:val="18"/>
              </w:rPr>
              <w:t>$2</w:t>
            </w:r>
            <w:r>
              <w:rPr>
                <w:rFonts w:ascii="Arial" w:hAnsi="Arial" w:cs="Arial"/>
                <w:b/>
                <w:sz w:val="18"/>
                <w:szCs w:val="18"/>
              </w:rPr>
              <w:t>0</w:t>
            </w:r>
            <w:r w:rsidRPr="00F16BFD">
              <w:rPr>
                <w:rFonts w:ascii="Arial" w:hAnsi="Arial" w:cs="Arial"/>
                <w:b/>
                <w:sz w:val="18"/>
                <w:szCs w:val="18"/>
              </w:rPr>
              <w:t>.</w:t>
            </w:r>
            <w:r>
              <w:rPr>
                <w:rFonts w:ascii="Arial" w:hAnsi="Arial" w:cs="Arial"/>
                <w:b/>
                <w:sz w:val="18"/>
                <w:szCs w:val="18"/>
              </w:rPr>
              <w:t>9</w:t>
            </w:r>
            <w:r w:rsidRPr="00F16BFD">
              <w:rPr>
                <w:rFonts w:ascii="Arial" w:hAnsi="Arial" w:cs="Arial"/>
                <w:b/>
                <w:sz w:val="18"/>
                <w:szCs w:val="18"/>
              </w:rPr>
              <w:t>7</w:t>
            </w:r>
          </w:p>
        </w:tc>
        <w:tc>
          <w:tcPr>
            <w:tcW w:w="1170" w:type="dxa"/>
            <w:vAlign w:val="center"/>
          </w:tcPr>
          <w:p w14:paraId="3C8B1BE6" w14:textId="22087564" w:rsidR="00886761" w:rsidRPr="00F16BFD" w:rsidRDefault="00886761" w:rsidP="00886761">
            <w:pPr>
              <w:jc w:val="center"/>
              <w:rPr>
                <w:rFonts w:ascii="Arial" w:hAnsi="Arial" w:cs="Arial"/>
                <w:b/>
                <w:sz w:val="18"/>
                <w:szCs w:val="18"/>
              </w:rPr>
            </w:pPr>
            <w:r w:rsidRPr="00F16BFD">
              <w:rPr>
                <w:rFonts w:ascii="Arial" w:hAnsi="Arial" w:cs="Arial"/>
                <w:b/>
                <w:sz w:val="18"/>
                <w:szCs w:val="18"/>
              </w:rPr>
              <w:t>$</w:t>
            </w:r>
            <w:r>
              <w:rPr>
                <w:rFonts w:ascii="Arial" w:hAnsi="Arial" w:cs="Arial"/>
                <w:b/>
                <w:sz w:val="18"/>
                <w:szCs w:val="18"/>
              </w:rPr>
              <w:t>4</w:t>
            </w:r>
            <w:r w:rsidRPr="00F16BFD">
              <w:rPr>
                <w:rFonts w:ascii="Arial" w:hAnsi="Arial" w:cs="Arial"/>
                <w:b/>
                <w:sz w:val="18"/>
                <w:szCs w:val="18"/>
              </w:rPr>
              <w:t>9.</w:t>
            </w:r>
            <w:r>
              <w:rPr>
                <w:rFonts w:ascii="Arial" w:hAnsi="Arial" w:cs="Arial"/>
                <w:b/>
                <w:sz w:val="18"/>
                <w:szCs w:val="18"/>
              </w:rPr>
              <w:t>90</w:t>
            </w:r>
          </w:p>
        </w:tc>
      </w:tr>
      <w:tr w:rsidR="00886761" w:rsidRPr="00F16BFD" w14:paraId="05950F66" w14:textId="77777777" w:rsidTr="00037AA1">
        <w:trPr>
          <w:trHeight w:val="149"/>
        </w:trPr>
        <w:tc>
          <w:tcPr>
            <w:tcW w:w="1188" w:type="dxa"/>
            <w:vAlign w:val="center"/>
          </w:tcPr>
          <w:p w14:paraId="63A1A70A" w14:textId="340DBA53" w:rsidR="00886761" w:rsidRPr="00F16BFD" w:rsidRDefault="0044749C" w:rsidP="0044749C">
            <w:pPr>
              <w:jc w:val="center"/>
              <w:rPr>
                <w:rFonts w:ascii="Arial" w:hAnsi="Arial" w:cs="Arial"/>
                <w:sz w:val="18"/>
                <w:szCs w:val="18"/>
              </w:rPr>
            </w:pPr>
            <w:r>
              <w:rPr>
                <w:rFonts w:ascii="Arial" w:hAnsi="Arial" w:cs="Arial"/>
                <w:color w:val="222222"/>
                <w:sz w:val="18"/>
                <w:szCs w:val="18"/>
              </w:rPr>
              <w:t xml:space="preserve">LT512; </w:t>
            </w:r>
            <w:r w:rsidRPr="004230EB">
              <w:rPr>
                <w:rFonts w:ascii="Arial" w:hAnsi="Arial" w:cs="Arial"/>
                <w:color w:val="222222"/>
                <w:sz w:val="18"/>
                <w:szCs w:val="18"/>
              </w:rPr>
              <w:t>LT</w:t>
            </w:r>
            <w:r>
              <w:rPr>
                <w:rFonts w:ascii="Arial" w:hAnsi="Arial" w:cs="Arial"/>
                <w:color w:val="222222"/>
                <w:sz w:val="18"/>
                <w:szCs w:val="18"/>
              </w:rPr>
              <w:t xml:space="preserve">502 </w:t>
            </w:r>
            <w:r w:rsidR="00886761">
              <w:rPr>
                <w:rFonts w:ascii="Arial" w:hAnsi="Arial" w:cs="Arial"/>
                <w:color w:val="222222"/>
                <w:sz w:val="18"/>
                <w:szCs w:val="18"/>
              </w:rPr>
              <w:t>– LT510 even</w:t>
            </w:r>
          </w:p>
        </w:tc>
        <w:tc>
          <w:tcPr>
            <w:tcW w:w="5040" w:type="dxa"/>
            <w:vAlign w:val="center"/>
          </w:tcPr>
          <w:p w14:paraId="4B9227EA" w14:textId="6AA20BDE" w:rsidR="00886761" w:rsidRPr="00F16BFD" w:rsidRDefault="00886761" w:rsidP="00886761">
            <w:pPr>
              <w:rPr>
                <w:rFonts w:ascii="Arial" w:hAnsi="Arial" w:cs="Arial"/>
                <w:sz w:val="18"/>
                <w:szCs w:val="18"/>
              </w:rPr>
            </w:pPr>
            <w:r w:rsidRPr="004230EB">
              <w:rPr>
                <w:rFonts w:ascii="Arial" w:hAnsi="Arial" w:cs="Arial"/>
                <w:sz w:val="18"/>
                <w:szCs w:val="18"/>
              </w:rPr>
              <w:t xml:space="preserve">LED </w:t>
            </w:r>
            <w:r>
              <w:rPr>
                <w:rFonts w:ascii="Arial" w:hAnsi="Arial" w:cs="Arial"/>
                <w:sz w:val="18"/>
                <w:szCs w:val="18"/>
              </w:rPr>
              <w:t xml:space="preserve">linear ambient </w:t>
            </w:r>
            <w:r w:rsidRPr="004230EB">
              <w:rPr>
                <w:rFonts w:ascii="Arial" w:hAnsi="Arial" w:cs="Arial"/>
                <w:sz w:val="18"/>
                <w:szCs w:val="18"/>
              </w:rPr>
              <w:t>new Luminaire</w:t>
            </w:r>
            <w:r>
              <w:rPr>
                <w:rFonts w:ascii="Arial" w:hAnsi="Arial" w:cs="Arial"/>
                <w:sz w:val="18"/>
                <w:szCs w:val="18"/>
              </w:rPr>
              <w:t>s and Retrofit kits</w:t>
            </w:r>
            <w:r w:rsidRPr="004230EB">
              <w:rPr>
                <w:rFonts w:ascii="Arial" w:hAnsi="Arial" w:cs="Arial"/>
                <w:sz w:val="18"/>
                <w:szCs w:val="18"/>
              </w:rPr>
              <w:t xml:space="preserve"> rated greater than or equal to 125 LPW and less than 140 LPW</w:t>
            </w:r>
          </w:p>
        </w:tc>
        <w:tc>
          <w:tcPr>
            <w:tcW w:w="1260" w:type="dxa"/>
            <w:vAlign w:val="center"/>
          </w:tcPr>
          <w:p w14:paraId="41120A75" w14:textId="65AE2FD8" w:rsidR="00886761" w:rsidRPr="00F16BFD" w:rsidRDefault="00886761" w:rsidP="00886761">
            <w:pPr>
              <w:jc w:val="center"/>
              <w:rPr>
                <w:rFonts w:ascii="Arial" w:hAnsi="Arial" w:cs="Arial"/>
                <w:sz w:val="18"/>
                <w:szCs w:val="18"/>
              </w:rPr>
            </w:pPr>
            <w:r w:rsidRPr="003A4040">
              <w:rPr>
                <w:rFonts w:ascii="Arial" w:hAnsi="Arial" w:cs="Arial"/>
                <w:b/>
                <w:sz w:val="18"/>
                <w:szCs w:val="18"/>
              </w:rPr>
              <w:t>$</w:t>
            </w:r>
            <w:r>
              <w:rPr>
                <w:rFonts w:ascii="Arial" w:hAnsi="Arial" w:cs="Arial"/>
                <w:b/>
                <w:sz w:val="18"/>
                <w:szCs w:val="18"/>
              </w:rPr>
              <w:t>31.75</w:t>
            </w:r>
          </w:p>
        </w:tc>
        <w:tc>
          <w:tcPr>
            <w:tcW w:w="1350" w:type="dxa"/>
            <w:vAlign w:val="center"/>
          </w:tcPr>
          <w:p w14:paraId="47323B03" w14:textId="2BAD38B9" w:rsidR="00886761" w:rsidRPr="00F16BFD" w:rsidRDefault="00886761" w:rsidP="00886761">
            <w:pPr>
              <w:jc w:val="center"/>
              <w:rPr>
                <w:rFonts w:ascii="Arial" w:hAnsi="Arial" w:cs="Arial"/>
                <w:b/>
                <w:sz w:val="18"/>
                <w:szCs w:val="18"/>
              </w:rPr>
            </w:pPr>
            <w:r w:rsidRPr="00F16BFD">
              <w:rPr>
                <w:rFonts w:ascii="Arial" w:hAnsi="Arial" w:cs="Arial"/>
                <w:b/>
                <w:sz w:val="18"/>
                <w:szCs w:val="18"/>
              </w:rPr>
              <w:t>$2</w:t>
            </w:r>
            <w:r>
              <w:rPr>
                <w:rFonts w:ascii="Arial" w:hAnsi="Arial" w:cs="Arial"/>
                <w:b/>
                <w:sz w:val="18"/>
                <w:szCs w:val="18"/>
              </w:rPr>
              <w:t>0</w:t>
            </w:r>
            <w:r w:rsidRPr="00F16BFD">
              <w:rPr>
                <w:rFonts w:ascii="Arial" w:hAnsi="Arial" w:cs="Arial"/>
                <w:b/>
                <w:sz w:val="18"/>
                <w:szCs w:val="18"/>
              </w:rPr>
              <w:t>.</w:t>
            </w:r>
            <w:r>
              <w:rPr>
                <w:rFonts w:ascii="Arial" w:hAnsi="Arial" w:cs="Arial"/>
                <w:b/>
                <w:sz w:val="18"/>
                <w:szCs w:val="18"/>
              </w:rPr>
              <w:t>9</w:t>
            </w:r>
            <w:r w:rsidRPr="00F16BFD">
              <w:rPr>
                <w:rFonts w:ascii="Arial" w:hAnsi="Arial" w:cs="Arial"/>
                <w:b/>
                <w:sz w:val="18"/>
                <w:szCs w:val="18"/>
              </w:rPr>
              <w:t>7</w:t>
            </w:r>
          </w:p>
        </w:tc>
        <w:tc>
          <w:tcPr>
            <w:tcW w:w="1170" w:type="dxa"/>
            <w:vAlign w:val="center"/>
          </w:tcPr>
          <w:p w14:paraId="4D886B9C" w14:textId="6F0915CD" w:rsidR="00886761" w:rsidRPr="00F16BFD" w:rsidRDefault="00886761" w:rsidP="00886761">
            <w:pPr>
              <w:jc w:val="center"/>
              <w:rPr>
                <w:rFonts w:ascii="Arial" w:hAnsi="Arial" w:cs="Arial"/>
                <w:b/>
                <w:sz w:val="18"/>
                <w:szCs w:val="18"/>
              </w:rPr>
            </w:pPr>
            <w:r w:rsidRPr="00F16BFD">
              <w:rPr>
                <w:rFonts w:ascii="Arial" w:hAnsi="Arial" w:cs="Arial"/>
                <w:b/>
                <w:sz w:val="18"/>
                <w:szCs w:val="18"/>
              </w:rPr>
              <w:t>$</w:t>
            </w:r>
            <w:r>
              <w:rPr>
                <w:rFonts w:ascii="Arial" w:hAnsi="Arial" w:cs="Arial"/>
                <w:b/>
                <w:sz w:val="18"/>
                <w:szCs w:val="18"/>
              </w:rPr>
              <w:t>52</w:t>
            </w:r>
            <w:r w:rsidRPr="00F16BFD">
              <w:rPr>
                <w:rFonts w:ascii="Arial" w:hAnsi="Arial" w:cs="Arial"/>
                <w:b/>
                <w:sz w:val="18"/>
                <w:szCs w:val="18"/>
              </w:rPr>
              <w:t>.</w:t>
            </w:r>
            <w:r>
              <w:rPr>
                <w:rFonts w:ascii="Arial" w:hAnsi="Arial" w:cs="Arial"/>
                <w:b/>
                <w:sz w:val="18"/>
                <w:szCs w:val="18"/>
              </w:rPr>
              <w:t>72</w:t>
            </w:r>
          </w:p>
        </w:tc>
      </w:tr>
      <w:tr w:rsidR="00886761" w:rsidRPr="00F16BFD" w14:paraId="53548AE2" w14:textId="77777777" w:rsidTr="00037AA1">
        <w:trPr>
          <w:trHeight w:val="149"/>
        </w:trPr>
        <w:tc>
          <w:tcPr>
            <w:tcW w:w="1188" w:type="dxa"/>
            <w:vAlign w:val="center"/>
          </w:tcPr>
          <w:p w14:paraId="427C79B9" w14:textId="0DB1BF26" w:rsidR="00886761" w:rsidRPr="00F16BFD" w:rsidRDefault="0044749C" w:rsidP="0044749C">
            <w:pPr>
              <w:jc w:val="center"/>
              <w:rPr>
                <w:rFonts w:ascii="Arial" w:hAnsi="Arial" w:cs="Arial"/>
                <w:sz w:val="18"/>
                <w:szCs w:val="18"/>
              </w:rPr>
            </w:pPr>
            <w:r>
              <w:rPr>
                <w:rFonts w:ascii="Arial" w:hAnsi="Arial" w:cs="Arial"/>
                <w:color w:val="222222"/>
                <w:sz w:val="18"/>
                <w:szCs w:val="18"/>
              </w:rPr>
              <w:t xml:space="preserve">LT513; </w:t>
            </w:r>
            <w:r w:rsidR="00886761" w:rsidRPr="004230EB">
              <w:rPr>
                <w:rFonts w:ascii="Arial" w:hAnsi="Arial" w:cs="Arial"/>
                <w:color w:val="222222"/>
                <w:sz w:val="18"/>
                <w:szCs w:val="18"/>
              </w:rPr>
              <w:t>LT</w:t>
            </w:r>
            <w:r w:rsidR="00886761">
              <w:rPr>
                <w:rFonts w:ascii="Arial" w:hAnsi="Arial" w:cs="Arial"/>
                <w:color w:val="222222"/>
                <w:sz w:val="18"/>
                <w:szCs w:val="18"/>
              </w:rPr>
              <w:t>50</w:t>
            </w:r>
            <w:r>
              <w:rPr>
                <w:rFonts w:ascii="Arial" w:hAnsi="Arial" w:cs="Arial"/>
                <w:color w:val="222222"/>
                <w:sz w:val="18"/>
                <w:szCs w:val="18"/>
              </w:rPr>
              <w:t>3</w:t>
            </w:r>
            <w:r w:rsidR="00886761">
              <w:rPr>
                <w:rFonts w:ascii="Arial" w:hAnsi="Arial" w:cs="Arial"/>
                <w:color w:val="222222"/>
                <w:sz w:val="18"/>
                <w:szCs w:val="18"/>
              </w:rPr>
              <w:t xml:space="preserve"> – LT511 odd</w:t>
            </w:r>
          </w:p>
        </w:tc>
        <w:tc>
          <w:tcPr>
            <w:tcW w:w="5040" w:type="dxa"/>
            <w:vAlign w:val="center"/>
          </w:tcPr>
          <w:p w14:paraId="3C56747E" w14:textId="45F1FF19" w:rsidR="00886761" w:rsidRPr="00F16BFD" w:rsidRDefault="00886761" w:rsidP="00886761">
            <w:pPr>
              <w:rPr>
                <w:rFonts w:ascii="Arial" w:hAnsi="Arial" w:cs="Arial"/>
                <w:sz w:val="18"/>
                <w:szCs w:val="18"/>
              </w:rPr>
            </w:pPr>
            <w:r>
              <w:rPr>
                <w:rFonts w:ascii="Arial" w:hAnsi="Arial" w:cs="Arial"/>
                <w:sz w:val="18"/>
                <w:szCs w:val="18"/>
              </w:rPr>
              <w:t>L</w:t>
            </w:r>
            <w:r w:rsidRPr="004230EB">
              <w:rPr>
                <w:rFonts w:ascii="Arial" w:hAnsi="Arial" w:cs="Arial"/>
                <w:sz w:val="18"/>
                <w:szCs w:val="18"/>
              </w:rPr>
              <w:t xml:space="preserve">ED </w:t>
            </w:r>
            <w:r>
              <w:rPr>
                <w:rFonts w:ascii="Arial" w:hAnsi="Arial" w:cs="Arial"/>
                <w:sz w:val="18"/>
                <w:szCs w:val="18"/>
              </w:rPr>
              <w:t xml:space="preserve">linear ambient </w:t>
            </w:r>
            <w:r w:rsidRPr="004230EB">
              <w:rPr>
                <w:rFonts w:ascii="Arial" w:hAnsi="Arial" w:cs="Arial"/>
                <w:sz w:val="18"/>
                <w:szCs w:val="18"/>
              </w:rPr>
              <w:t>new Luminaire</w:t>
            </w:r>
            <w:r>
              <w:rPr>
                <w:rFonts w:ascii="Arial" w:hAnsi="Arial" w:cs="Arial"/>
                <w:sz w:val="18"/>
                <w:szCs w:val="18"/>
              </w:rPr>
              <w:t>s and Retrofit kits</w:t>
            </w:r>
            <w:r w:rsidRPr="004230EB">
              <w:rPr>
                <w:rFonts w:ascii="Arial" w:hAnsi="Arial" w:cs="Arial"/>
                <w:sz w:val="18"/>
                <w:szCs w:val="18"/>
              </w:rPr>
              <w:t xml:space="preserve"> rated greater than or equal to 140 LPW</w:t>
            </w:r>
          </w:p>
        </w:tc>
        <w:tc>
          <w:tcPr>
            <w:tcW w:w="1260" w:type="dxa"/>
            <w:vAlign w:val="center"/>
          </w:tcPr>
          <w:p w14:paraId="5BBFC7C9" w14:textId="7DC9B481" w:rsidR="00886761" w:rsidRPr="00F16BFD" w:rsidRDefault="00886761" w:rsidP="00886761">
            <w:pPr>
              <w:jc w:val="center"/>
              <w:rPr>
                <w:rFonts w:ascii="Arial" w:hAnsi="Arial" w:cs="Arial"/>
                <w:sz w:val="18"/>
                <w:szCs w:val="18"/>
              </w:rPr>
            </w:pPr>
            <w:r w:rsidRPr="003A4040">
              <w:rPr>
                <w:rFonts w:ascii="Arial" w:hAnsi="Arial" w:cs="Arial"/>
                <w:b/>
                <w:sz w:val="18"/>
                <w:szCs w:val="18"/>
              </w:rPr>
              <w:t>$</w:t>
            </w:r>
            <w:r>
              <w:rPr>
                <w:rFonts w:ascii="Arial" w:hAnsi="Arial" w:cs="Arial"/>
                <w:b/>
                <w:sz w:val="18"/>
                <w:szCs w:val="18"/>
              </w:rPr>
              <w:t>33.13</w:t>
            </w:r>
          </w:p>
        </w:tc>
        <w:tc>
          <w:tcPr>
            <w:tcW w:w="1350" w:type="dxa"/>
            <w:vAlign w:val="center"/>
          </w:tcPr>
          <w:p w14:paraId="794681AE" w14:textId="386738B0" w:rsidR="00886761" w:rsidRPr="00F16BFD" w:rsidRDefault="00886761" w:rsidP="00886761">
            <w:pPr>
              <w:jc w:val="center"/>
              <w:rPr>
                <w:rFonts w:ascii="Arial" w:hAnsi="Arial" w:cs="Arial"/>
                <w:b/>
                <w:sz w:val="18"/>
                <w:szCs w:val="18"/>
              </w:rPr>
            </w:pPr>
            <w:r w:rsidRPr="00F16BFD">
              <w:rPr>
                <w:rFonts w:ascii="Arial" w:hAnsi="Arial" w:cs="Arial"/>
                <w:b/>
                <w:sz w:val="18"/>
                <w:szCs w:val="18"/>
              </w:rPr>
              <w:t>$2</w:t>
            </w:r>
            <w:r>
              <w:rPr>
                <w:rFonts w:ascii="Arial" w:hAnsi="Arial" w:cs="Arial"/>
                <w:b/>
                <w:sz w:val="18"/>
                <w:szCs w:val="18"/>
              </w:rPr>
              <w:t>0</w:t>
            </w:r>
            <w:r w:rsidRPr="00F16BFD">
              <w:rPr>
                <w:rFonts w:ascii="Arial" w:hAnsi="Arial" w:cs="Arial"/>
                <w:b/>
                <w:sz w:val="18"/>
                <w:szCs w:val="18"/>
              </w:rPr>
              <w:t>.</w:t>
            </w:r>
            <w:r>
              <w:rPr>
                <w:rFonts w:ascii="Arial" w:hAnsi="Arial" w:cs="Arial"/>
                <w:b/>
                <w:sz w:val="18"/>
                <w:szCs w:val="18"/>
              </w:rPr>
              <w:t>9</w:t>
            </w:r>
            <w:r w:rsidRPr="00F16BFD">
              <w:rPr>
                <w:rFonts w:ascii="Arial" w:hAnsi="Arial" w:cs="Arial"/>
                <w:b/>
                <w:sz w:val="18"/>
                <w:szCs w:val="18"/>
              </w:rPr>
              <w:t>7</w:t>
            </w:r>
          </w:p>
        </w:tc>
        <w:tc>
          <w:tcPr>
            <w:tcW w:w="1170" w:type="dxa"/>
            <w:vAlign w:val="center"/>
          </w:tcPr>
          <w:p w14:paraId="48969164" w14:textId="0D9A0F9E" w:rsidR="00886761" w:rsidRPr="00F16BFD" w:rsidRDefault="00886761" w:rsidP="00886761">
            <w:pPr>
              <w:jc w:val="center"/>
              <w:rPr>
                <w:rFonts w:ascii="Arial" w:hAnsi="Arial" w:cs="Arial"/>
                <w:b/>
                <w:sz w:val="18"/>
                <w:szCs w:val="18"/>
              </w:rPr>
            </w:pPr>
            <w:r w:rsidRPr="00F16BFD">
              <w:rPr>
                <w:rFonts w:ascii="Arial" w:hAnsi="Arial" w:cs="Arial"/>
                <w:b/>
                <w:sz w:val="18"/>
                <w:szCs w:val="18"/>
              </w:rPr>
              <w:t>$</w:t>
            </w:r>
            <w:r>
              <w:rPr>
                <w:rFonts w:ascii="Arial" w:hAnsi="Arial" w:cs="Arial"/>
                <w:b/>
                <w:sz w:val="18"/>
                <w:szCs w:val="18"/>
              </w:rPr>
              <w:t>54</w:t>
            </w:r>
            <w:r w:rsidRPr="00F16BFD">
              <w:rPr>
                <w:rFonts w:ascii="Arial" w:hAnsi="Arial" w:cs="Arial"/>
                <w:b/>
                <w:sz w:val="18"/>
                <w:szCs w:val="18"/>
              </w:rPr>
              <w:t>.</w:t>
            </w:r>
            <w:r>
              <w:rPr>
                <w:rFonts w:ascii="Arial" w:hAnsi="Arial" w:cs="Arial"/>
                <w:b/>
                <w:sz w:val="18"/>
                <w:szCs w:val="18"/>
              </w:rPr>
              <w:t>10</w:t>
            </w:r>
          </w:p>
        </w:tc>
      </w:tr>
    </w:tbl>
    <w:p w14:paraId="7C8986A5" w14:textId="77777777" w:rsidR="008237CB" w:rsidRDefault="008237CB">
      <w:pPr>
        <w:rPr>
          <w:rFonts w:ascii="Arial" w:hAnsi="Arial" w:cs="Arial"/>
          <w:b/>
          <w:bCs/>
          <w:szCs w:val="26"/>
        </w:rPr>
      </w:pPr>
      <w:r>
        <w:br w:type="page"/>
      </w:r>
    </w:p>
    <w:p w14:paraId="71E100F9" w14:textId="7D3F32B7" w:rsidR="00970C80" w:rsidRPr="00970C80" w:rsidRDefault="00970C80" w:rsidP="008473DB">
      <w:pPr>
        <w:pStyle w:val="Heading3"/>
      </w:pPr>
      <w:bookmarkStart w:id="90" w:name="_Toc533933938"/>
      <w:bookmarkStart w:id="91" w:name="_Toc2808657"/>
      <w:r w:rsidRPr="00746B00">
        <w:lastRenderedPageBreak/>
        <w:t>4.3.2 Incremental Measure Costs</w:t>
      </w:r>
      <w:bookmarkEnd w:id="86"/>
      <w:bookmarkEnd w:id="87"/>
      <w:bookmarkEnd w:id="88"/>
      <w:bookmarkEnd w:id="89"/>
      <w:bookmarkEnd w:id="90"/>
      <w:bookmarkEnd w:id="91"/>
    </w:p>
    <w:p w14:paraId="5FEF3C47" w14:textId="77777777" w:rsidR="00686886" w:rsidRDefault="00B11E06" w:rsidP="00B11E06">
      <w:pPr>
        <w:rPr>
          <w:rFonts w:ascii="Arial" w:hAnsi="Arial" w:cs="Arial"/>
          <w:sz w:val="20"/>
          <w:szCs w:val="20"/>
        </w:rPr>
      </w:pPr>
      <w:r w:rsidRPr="00EC4B0D">
        <w:rPr>
          <w:rFonts w:ascii="Arial" w:hAnsi="Arial" w:cs="Arial"/>
          <w:sz w:val="20"/>
          <w:szCs w:val="20"/>
        </w:rPr>
        <w:t xml:space="preserve">The labor </w:t>
      </w:r>
      <w:r w:rsidR="00686886">
        <w:rPr>
          <w:rFonts w:ascii="Arial" w:hAnsi="Arial" w:cs="Arial"/>
          <w:sz w:val="20"/>
          <w:szCs w:val="20"/>
        </w:rPr>
        <w:t>costs for measure and base cases</w:t>
      </w:r>
      <w:r w:rsidRPr="00EC4B0D">
        <w:rPr>
          <w:rFonts w:ascii="Arial" w:hAnsi="Arial" w:cs="Arial"/>
          <w:sz w:val="20"/>
          <w:szCs w:val="20"/>
        </w:rPr>
        <w:t xml:space="preserve"> </w:t>
      </w:r>
      <w:r w:rsidR="00686886">
        <w:rPr>
          <w:rFonts w:ascii="Arial" w:hAnsi="Arial" w:cs="Arial"/>
          <w:sz w:val="20"/>
          <w:szCs w:val="20"/>
        </w:rPr>
        <w:t>are</w:t>
      </w:r>
      <w:r w:rsidRPr="00EC4B0D">
        <w:rPr>
          <w:rFonts w:ascii="Arial" w:hAnsi="Arial" w:cs="Arial"/>
          <w:sz w:val="20"/>
          <w:szCs w:val="20"/>
        </w:rPr>
        <w:t xml:space="preserve"> equivalent.</w:t>
      </w:r>
      <w:r w:rsidR="00686886">
        <w:rPr>
          <w:rFonts w:ascii="Arial" w:hAnsi="Arial" w:cs="Arial"/>
          <w:sz w:val="20"/>
          <w:szCs w:val="20"/>
        </w:rPr>
        <w:t xml:space="preserve"> </w:t>
      </w:r>
    </w:p>
    <w:p w14:paraId="77E85851" w14:textId="77777777" w:rsidR="00B11E06" w:rsidRDefault="00B11E06" w:rsidP="00B11E06">
      <w:pPr>
        <w:rPr>
          <w:rFonts w:ascii="Arial" w:hAnsi="Arial" w:cs="Arial"/>
          <w:sz w:val="20"/>
          <w:szCs w:val="20"/>
        </w:rPr>
      </w:pPr>
      <w:r w:rsidRPr="00EC4B0D">
        <w:rPr>
          <w:rFonts w:ascii="Arial" w:hAnsi="Arial" w:cs="Arial"/>
          <w:sz w:val="20"/>
          <w:szCs w:val="20"/>
        </w:rPr>
        <w:t>Incremental cost (INCR) = Measure Cost – Base Case Cost</w:t>
      </w:r>
    </w:p>
    <w:p w14:paraId="2791042D" w14:textId="77777777" w:rsidR="004A1B4A" w:rsidRDefault="004A1B4A" w:rsidP="00571DF6">
      <w:pPr>
        <w:pStyle w:val="Caption"/>
        <w:jc w:val="center"/>
      </w:pPr>
    </w:p>
    <w:p w14:paraId="015A09CB" w14:textId="3EEE40AB" w:rsidR="00B11E06" w:rsidRPr="00AB09DC" w:rsidRDefault="00571DF6" w:rsidP="00571DF6">
      <w:pPr>
        <w:pStyle w:val="Caption"/>
        <w:jc w:val="center"/>
        <w:rPr>
          <w:rFonts w:ascii="Arial" w:hAnsi="Arial" w:cs="Arial"/>
        </w:rPr>
      </w:pPr>
      <w:bookmarkStart w:id="92" w:name="_Toc533927163"/>
      <w:bookmarkStart w:id="93" w:name="_Toc2791464"/>
      <w:r w:rsidRPr="00AB09DC">
        <w:rPr>
          <w:rFonts w:ascii="Arial" w:hAnsi="Arial" w:cs="Arial"/>
        </w:rPr>
        <w:t xml:space="preserve">Table </w:t>
      </w:r>
      <w:r w:rsidR="00797297" w:rsidRPr="00AB09DC">
        <w:rPr>
          <w:rFonts w:ascii="Arial" w:hAnsi="Arial" w:cs="Arial"/>
        </w:rPr>
        <w:fldChar w:fldCharType="begin"/>
      </w:r>
      <w:r w:rsidR="00797297" w:rsidRPr="00AB09DC">
        <w:rPr>
          <w:rFonts w:ascii="Arial" w:hAnsi="Arial" w:cs="Arial"/>
        </w:rPr>
        <w:instrText xml:space="preserve"> SEQ Table \* ARABIC </w:instrText>
      </w:r>
      <w:r w:rsidR="00797297" w:rsidRPr="00AB09DC">
        <w:rPr>
          <w:rFonts w:ascii="Arial" w:hAnsi="Arial" w:cs="Arial"/>
        </w:rPr>
        <w:fldChar w:fldCharType="separate"/>
      </w:r>
      <w:r w:rsidR="00A51621">
        <w:rPr>
          <w:rFonts w:ascii="Arial" w:hAnsi="Arial" w:cs="Arial"/>
          <w:noProof/>
        </w:rPr>
        <w:t>10</w:t>
      </w:r>
      <w:r w:rsidR="00797297" w:rsidRPr="00AB09DC">
        <w:rPr>
          <w:rFonts w:ascii="Arial" w:hAnsi="Arial" w:cs="Arial"/>
          <w:noProof/>
        </w:rPr>
        <w:fldChar w:fldCharType="end"/>
      </w:r>
      <w:r w:rsidR="00AB09DC" w:rsidRPr="00AB09DC">
        <w:rPr>
          <w:rFonts w:ascii="Arial" w:hAnsi="Arial" w:cs="Arial"/>
          <w:noProof/>
        </w:rPr>
        <w:t>:</w:t>
      </w:r>
      <w:r w:rsidR="00DD12F1" w:rsidRPr="00AB09DC">
        <w:rPr>
          <w:rFonts w:ascii="Arial" w:hAnsi="Arial" w:cs="Arial"/>
        </w:rPr>
        <w:t xml:space="preserve"> </w:t>
      </w:r>
      <w:r w:rsidR="000D22E1" w:rsidRPr="00AB09DC">
        <w:rPr>
          <w:rFonts w:ascii="Arial" w:hAnsi="Arial" w:cs="Arial"/>
        </w:rPr>
        <w:t xml:space="preserve">LED </w:t>
      </w:r>
      <w:r w:rsidR="00C27933" w:rsidRPr="00AB09DC">
        <w:rPr>
          <w:rFonts w:ascii="Arial" w:hAnsi="Arial" w:cs="Arial"/>
        </w:rPr>
        <w:t>Ambient Commercial</w:t>
      </w:r>
      <w:r w:rsidR="002E6C39" w:rsidRPr="00AB09DC">
        <w:rPr>
          <w:rFonts w:ascii="Arial" w:hAnsi="Arial" w:cs="Arial"/>
        </w:rPr>
        <w:t xml:space="preserve"> Fixtures &amp; Retrofit Kits Incremental C</w:t>
      </w:r>
      <w:r w:rsidRPr="00AB09DC">
        <w:rPr>
          <w:rFonts w:ascii="Arial" w:hAnsi="Arial" w:cs="Arial"/>
        </w:rPr>
        <w:t>ost</w:t>
      </w:r>
      <w:bookmarkEnd w:id="92"/>
      <w:bookmarkEnd w:id="93"/>
    </w:p>
    <w:tbl>
      <w:tblPr>
        <w:tblW w:w="10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8"/>
        <w:gridCol w:w="5242"/>
        <w:gridCol w:w="1215"/>
        <w:gridCol w:w="1080"/>
        <w:gridCol w:w="1553"/>
      </w:tblGrid>
      <w:tr w:rsidR="00692B73" w:rsidRPr="0008537D" w14:paraId="41623208" w14:textId="77777777" w:rsidTr="00037AA1">
        <w:trPr>
          <w:trHeight w:val="154"/>
          <w:jc w:val="center"/>
        </w:trPr>
        <w:tc>
          <w:tcPr>
            <w:tcW w:w="1238" w:type="dxa"/>
          </w:tcPr>
          <w:p w14:paraId="7636633F" w14:textId="77777777" w:rsidR="00692B73" w:rsidRPr="00486131" w:rsidRDefault="00692B73" w:rsidP="001C476E">
            <w:pPr>
              <w:jc w:val="center"/>
            </w:pPr>
            <w:r w:rsidRPr="003A4040">
              <w:rPr>
                <w:rFonts w:ascii="Arial" w:hAnsi="Arial" w:cs="Arial"/>
                <w:b/>
                <w:sz w:val="20"/>
                <w:szCs w:val="20"/>
              </w:rPr>
              <w:t>Measure Code</w:t>
            </w:r>
          </w:p>
        </w:tc>
        <w:tc>
          <w:tcPr>
            <w:tcW w:w="5242" w:type="dxa"/>
            <w:vAlign w:val="center"/>
          </w:tcPr>
          <w:p w14:paraId="1F8A5210" w14:textId="77777777" w:rsidR="00692B73" w:rsidRPr="00422D1A" w:rsidRDefault="00692B73" w:rsidP="00686886">
            <w:pPr>
              <w:jc w:val="center"/>
              <w:rPr>
                <w:rFonts w:ascii="Arial" w:hAnsi="Arial" w:cs="Arial"/>
                <w:b/>
                <w:sz w:val="20"/>
                <w:szCs w:val="20"/>
              </w:rPr>
            </w:pPr>
            <w:r w:rsidRPr="00422D1A">
              <w:rPr>
                <w:rFonts w:ascii="Arial" w:hAnsi="Arial" w:cs="Arial"/>
                <w:b/>
                <w:sz w:val="20"/>
                <w:szCs w:val="20"/>
              </w:rPr>
              <w:t xml:space="preserve">Measure </w:t>
            </w:r>
            <w:r>
              <w:rPr>
                <w:rFonts w:ascii="Arial" w:hAnsi="Arial" w:cs="Arial"/>
                <w:b/>
                <w:sz w:val="20"/>
                <w:szCs w:val="20"/>
              </w:rPr>
              <w:t>Description</w:t>
            </w:r>
          </w:p>
        </w:tc>
        <w:tc>
          <w:tcPr>
            <w:tcW w:w="1215" w:type="dxa"/>
          </w:tcPr>
          <w:p w14:paraId="3102D376" w14:textId="3E2B0038" w:rsidR="00692B73" w:rsidRPr="00422D1A" w:rsidRDefault="00692B73" w:rsidP="00321DB0">
            <w:pPr>
              <w:jc w:val="center"/>
              <w:rPr>
                <w:rFonts w:ascii="Arial" w:hAnsi="Arial" w:cs="Arial"/>
                <w:b/>
                <w:sz w:val="20"/>
                <w:szCs w:val="20"/>
              </w:rPr>
            </w:pPr>
            <w:r>
              <w:rPr>
                <w:rFonts w:ascii="Arial" w:hAnsi="Arial" w:cs="Arial"/>
                <w:b/>
                <w:sz w:val="20"/>
                <w:szCs w:val="20"/>
              </w:rPr>
              <w:t>Blended Base Cost</w:t>
            </w:r>
          </w:p>
        </w:tc>
        <w:tc>
          <w:tcPr>
            <w:tcW w:w="1080" w:type="dxa"/>
          </w:tcPr>
          <w:p w14:paraId="1F8266E1" w14:textId="15D224C7" w:rsidR="00692B73" w:rsidRPr="00422D1A" w:rsidRDefault="00692B73" w:rsidP="00321DB0">
            <w:pPr>
              <w:jc w:val="center"/>
              <w:rPr>
                <w:rFonts w:ascii="Arial" w:hAnsi="Arial" w:cs="Arial"/>
                <w:b/>
                <w:sz w:val="20"/>
                <w:szCs w:val="20"/>
              </w:rPr>
            </w:pPr>
            <w:r>
              <w:rPr>
                <w:rFonts w:ascii="Arial" w:hAnsi="Arial" w:cs="Arial"/>
                <w:b/>
                <w:sz w:val="20"/>
                <w:szCs w:val="20"/>
              </w:rPr>
              <w:t>Measure Cost</w:t>
            </w:r>
          </w:p>
        </w:tc>
        <w:tc>
          <w:tcPr>
            <w:tcW w:w="1553" w:type="dxa"/>
            <w:vAlign w:val="center"/>
          </w:tcPr>
          <w:p w14:paraId="187AFDAA" w14:textId="06EF259B" w:rsidR="00692B73" w:rsidRPr="00422D1A" w:rsidRDefault="00692B73" w:rsidP="00321DB0">
            <w:pPr>
              <w:jc w:val="center"/>
              <w:rPr>
                <w:rFonts w:ascii="Arial" w:hAnsi="Arial" w:cs="Arial"/>
                <w:b/>
                <w:sz w:val="20"/>
                <w:szCs w:val="20"/>
              </w:rPr>
            </w:pPr>
            <w:r w:rsidRPr="00422D1A">
              <w:rPr>
                <w:rFonts w:ascii="Arial" w:hAnsi="Arial" w:cs="Arial"/>
                <w:b/>
                <w:sz w:val="20"/>
                <w:szCs w:val="20"/>
              </w:rPr>
              <w:t>Incremental Measure Cost</w:t>
            </w:r>
          </w:p>
        </w:tc>
      </w:tr>
      <w:tr w:rsidR="00886761" w:rsidRPr="00F027AA" w14:paraId="18F2B795" w14:textId="77777777" w:rsidTr="00037AA1">
        <w:trPr>
          <w:trHeight w:val="154"/>
          <w:jc w:val="center"/>
        </w:trPr>
        <w:tc>
          <w:tcPr>
            <w:tcW w:w="1238" w:type="dxa"/>
            <w:vAlign w:val="center"/>
          </w:tcPr>
          <w:p w14:paraId="6F263D7C" w14:textId="26818D66" w:rsidR="00886761" w:rsidRPr="00195917" w:rsidRDefault="00886761" w:rsidP="00886761">
            <w:pPr>
              <w:rPr>
                <w:rFonts w:ascii="Arial" w:hAnsi="Arial" w:cs="Arial"/>
                <w:sz w:val="18"/>
                <w:szCs w:val="18"/>
              </w:rPr>
            </w:pPr>
            <w:r w:rsidRPr="004230EB">
              <w:rPr>
                <w:rFonts w:ascii="Arial" w:hAnsi="Arial" w:cs="Arial"/>
                <w:color w:val="222222"/>
                <w:sz w:val="18"/>
                <w:szCs w:val="18"/>
              </w:rPr>
              <w:t>LT4</w:t>
            </w:r>
            <w:r>
              <w:rPr>
                <w:rFonts w:ascii="Arial" w:hAnsi="Arial" w:cs="Arial"/>
                <w:color w:val="222222"/>
                <w:sz w:val="18"/>
                <w:szCs w:val="18"/>
              </w:rPr>
              <w:t>8</w:t>
            </w:r>
            <w:r w:rsidRPr="004230EB">
              <w:rPr>
                <w:rFonts w:ascii="Arial" w:hAnsi="Arial" w:cs="Arial"/>
                <w:color w:val="222222"/>
                <w:sz w:val="18"/>
                <w:szCs w:val="18"/>
              </w:rPr>
              <w:t>8</w:t>
            </w:r>
            <w:r>
              <w:rPr>
                <w:rFonts w:ascii="Arial" w:hAnsi="Arial" w:cs="Arial"/>
                <w:color w:val="222222"/>
                <w:sz w:val="18"/>
                <w:szCs w:val="18"/>
              </w:rPr>
              <w:t xml:space="preserve"> – LT498 even</w:t>
            </w:r>
          </w:p>
        </w:tc>
        <w:tc>
          <w:tcPr>
            <w:tcW w:w="5242" w:type="dxa"/>
            <w:vAlign w:val="center"/>
          </w:tcPr>
          <w:p w14:paraId="2911C36C" w14:textId="1929AC54" w:rsidR="00886761" w:rsidRPr="00195917" w:rsidRDefault="00886761" w:rsidP="00886761">
            <w:pPr>
              <w:rPr>
                <w:rFonts w:ascii="Arial" w:hAnsi="Arial" w:cs="Arial"/>
                <w:sz w:val="18"/>
                <w:szCs w:val="18"/>
              </w:rPr>
            </w:pPr>
            <w:r w:rsidRPr="00195917">
              <w:rPr>
                <w:rFonts w:ascii="Arial" w:hAnsi="Arial" w:cs="Arial"/>
                <w:sz w:val="18"/>
                <w:szCs w:val="18"/>
              </w:rPr>
              <w:t>LED troffer new Luminaires and Retrofit kits rated greater than or equal to 125 LPW and less than 140 LPW</w:t>
            </w:r>
          </w:p>
        </w:tc>
        <w:tc>
          <w:tcPr>
            <w:tcW w:w="1215" w:type="dxa"/>
            <w:vAlign w:val="center"/>
          </w:tcPr>
          <w:p w14:paraId="79153F74" w14:textId="14DE2B48" w:rsidR="00886761" w:rsidRPr="003A4040" w:rsidRDefault="00886761" w:rsidP="00886761">
            <w:pPr>
              <w:jc w:val="center"/>
              <w:rPr>
                <w:rFonts w:ascii="Arial" w:hAnsi="Arial" w:cs="Arial"/>
                <w:b/>
                <w:color w:val="000000"/>
                <w:sz w:val="18"/>
                <w:szCs w:val="18"/>
              </w:rPr>
            </w:pPr>
            <w:r>
              <w:rPr>
                <w:rFonts w:ascii="Arial" w:hAnsi="Arial" w:cs="Arial"/>
                <w:b/>
                <w:color w:val="000000"/>
                <w:sz w:val="18"/>
                <w:szCs w:val="18"/>
              </w:rPr>
              <w:t>$22.</w:t>
            </w:r>
            <w:r w:rsidR="001C2F0F">
              <w:rPr>
                <w:rFonts w:ascii="Arial" w:hAnsi="Arial" w:cs="Arial"/>
                <w:b/>
                <w:color w:val="000000"/>
                <w:sz w:val="18"/>
                <w:szCs w:val="18"/>
              </w:rPr>
              <w:t>52</w:t>
            </w:r>
          </w:p>
        </w:tc>
        <w:tc>
          <w:tcPr>
            <w:tcW w:w="1080" w:type="dxa"/>
            <w:vAlign w:val="center"/>
          </w:tcPr>
          <w:p w14:paraId="7DD709E1" w14:textId="37BABCA5" w:rsidR="00886761" w:rsidRPr="003A4040" w:rsidRDefault="00886761" w:rsidP="00886761">
            <w:pPr>
              <w:jc w:val="center"/>
              <w:rPr>
                <w:rFonts w:ascii="Arial" w:hAnsi="Arial" w:cs="Arial"/>
                <w:b/>
                <w:color w:val="000000"/>
                <w:sz w:val="18"/>
                <w:szCs w:val="18"/>
              </w:rPr>
            </w:pPr>
            <w:r>
              <w:rPr>
                <w:rFonts w:ascii="Arial" w:hAnsi="Arial" w:cs="Arial"/>
                <w:b/>
                <w:color w:val="000000"/>
                <w:sz w:val="18"/>
                <w:szCs w:val="18"/>
              </w:rPr>
              <w:t>$28.60</w:t>
            </w:r>
          </w:p>
        </w:tc>
        <w:tc>
          <w:tcPr>
            <w:tcW w:w="1553" w:type="dxa"/>
            <w:vAlign w:val="center"/>
          </w:tcPr>
          <w:p w14:paraId="2982C600" w14:textId="36CE83F3" w:rsidR="00886761" w:rsidRPr="003A4040" w:rsidRDefault="00886761" w:rsidP="001C2F0F">
            <w:pPr>
              <w:jc w:val="center"/>
              <w:rPr>
                <w:rFonts w:ascii="Arial" w:hAnsi="Arial" w:cs="Arial"/>
                <w:b/>
                <w:bCs/>
                <w:sz w:val="18"/>
                <w:szCs w:val="18"/>
              </w:rPr>
            </w:pPr>
            <w:r w:rsidRPr="003A4040">
              <w:rPr>
                <w:rFonts w:ascii="Arial" w:hAnsi="Arial" w:cs="Arial"/>
                <w:b/>
                <w:color w:val="000000"/>
                <w:sz w:val="18"/>
                <w:szCs w:val="18"/>
              </w:rPr>
              <w:t>$</w:t>
            </w:r>
            <w:r w:rsidR="001C2F0F">
              <w:rPr>
                <w:rFonts w:ascii="Arial" w:hAnsi="Arial" w:cs="Arial"/>
                <w:b/>
                <w:color w:val="000000"/>
                <w:sz w:val="18"/>
                <w:szCs w:val="18"/>
              </w:rPr>
              <w:t>6.08</w:t>
            </w:r>
          </w:p>
        </w:tc>
      </w:tr>
      <w:tr w:rsidR="00886761" w:rsidRPr="00F027AA" w14:paraId="1CFA673B" w14:textId="77777777" w:rsidTr="00037AA1">
        <w:trPr>
          <w:trHeight w:val="154"/>
          <w:jc w:val="center"/>
        </w:trPr>
        <w:tc>
          <w:tcPr>
            <w:tcW w:w="1238" w:type="dxa"/>
            <w:vAlign w:val="center"/>
          </w:tcPr>
          <w:p w14:paraId="327990D8" w14:textId="34E83601" w:rsidR="00886761" w:rsidRPr="00195917" w:rsidRDefault="00886761" w:rsidP="00886761">
            <w:pPr>
              <w:rPr>
                <w:rFonts w:ascii="Arial" w:hAnsi="Arial" w:cs="Arial"/>
                <w:sz w:val="18"/>
                <w:szCs w:val="18"/>
              </w:rPr>
            </w:pPr>
            <w:r w:rsidRPr="004230EB">
              <w:rPr>
                <w:rFonts w:ascii="Arial" w:hAnsi="Arial" w:cs="Arial"/>
                <w:color w:val="222222"/>
                <w:sz w:val="18"/>
                <w:szCs w:val="18"/>
              </w:rPr>
              <w:t>LT</w:t>
            </w:r>
            <w:r>
              <w:rPr>
                <w:rFonts w:ascii="Arial" w:hAnsi="Arial" w:cs="Arial"/>
                <w:color w:val="222222"/>
                <w:sz w:val="18"/>
                <w:szCs w:val="18"/>
              </w:rPr>
              <w:t>48</w:t>
            </w:r>
            <w:r w:rsidRPr="004230EB">
              <w:rPr>
                <w:rFonts w:ascii="Arial" w:hAnsi="Arial" w:cs="Arial"/>
                <w:color w:val="222222"/>
                <w:sz w:val="18"/>
                <w:szCs w:val="18"/>
              </w:rPr>
              <w:t>9</w:t>
            </w:r>
            <w:r>
              <w:rPr>
                <w:rFonts w:ascii="Arial" w:hAnsi="Arial" w:cs="Arial"/>
                <w:color w:val="222222"/>
                <w:sz w:val="18"/>
                <w:szCs w:val="18"/>
              </w:rPr>
              <w:t xml:space="preserve"> – LT499 odd</w:t>
            </w:r>
          </w:p>
        </w:tc>
        <w:tc>
          <w:tcPr>
            <w:tcW w:w="5242" w:type="dxa"/>
            <w:vAlign w:val="center"/>
          </w:tcPr>
          <w:p w14:paraId="7CB66D68" w14:textId="297F0A10" w:rsidR="00886761" w:rsidRPr="00195917" w:rsidRDefault="00886761" w:rsidP="00886761">
            <w:pPr>
              <w:rPr>
                <w:rFonts w:ascii="Arial" w:hAnsi="Arial" w:cs="Arial"/>
                <w:sz w:val="18"/>
                <w:szCs w:val="18"/>
              </w:rPr>
            </w:pPr>
            <w:r w:rsidRPr="00195917">
              <w:rPr>
                <w:rFonts w:ascii="Arial" w:hAnsi="Arial" w:cs="Arial"/>
                <w:sz w:val="18"/>
                <w:szCs w:val="18"/>
              </w:rPr>
              <w:t>LED troffer new Luminaire</w:t>
            </w:r>
            <w:r>
              <w:rPr>
                <w:rFonts w:ascii="Arial" w:hAnsi="Arial" w:cs="Arial"/>
                <w:sz w:val="18"/>
                <w:szCs w:val="18"/>
              </w:rPr>
              <w:t>s and Retrofit kits</w:t>
            </w:r>
            <w:r w:rsidRPr="00195917">
              <w:rPr>
                <w:rFonts w:ascii="Arial" w:hAnsi="Arial" w:cs="Arial"/>
                <w:sz w:val="18"/>
                <w:szCs w:val="18"/>
              </w:rPr>
              <w:t xml:space="preserve"> rated greater than or equal to 140 LPW</w:t>
            </w:r>
          </w:p>
        </w:tc>
        <w:tc>
          <w:tcPr>
            <w:tcW w:w="1215" w:type="dxa"/>
            <w:vAlign w:val="center"/>
          </w:tcPr>
          <w:p w14:paraId="36A817C2" w14:textId="58FFB079" w:rsidR="00886761" w:rsidRPr="003A4040" w:rsidRDefault="00886761" w:rsidP="00886761">
            <w:pPr>
              <w:jc w:val="center"/>
              <w:rPr>
                <w:rFonts w:ascii="Arial" w:hAnsi="Arial" w:cs="Arial"/>
                <w:b/>
                <w:color w:val="000000"/>
                <w:sz w:val="18"/>
                <w:szCs w:val="18"/>
              </w:rPr>
            </w:pPr>
            <w:r>
              <w:rPr>
                <w:rFonts w:ascii="Arial" w:hAnsi="Arial" w:cs="Arial"/>
                <w:b/>
                <w:color w:val="000000"/>
                <w:sz w:val="18"/>
                <w:szCs w:val="18"/>
              </w:rPr>
              <w:t>$22.</w:t>
            </w:r>
            <w:r w:rsidR="001C2F0F">
              <w:rPr>
                <w:rFonts w:ascii="Arial" w:hAnsi="Arial" w:cs="Arial"/>
                <w:b/>
                <w:color w:val="000000"/>
                <w:sz w:val="18"/>
                <w:szCs w:val="18"/>
              </w:rPr>
              <w:t>52</w:t>
            </w:r>
          </w:p>
        </w:tc>
        <w:tc>
          <w:tcPr>
            <w:tcW w:w="1080" w:type="dxa"/>
            <w:vAlign w:val="center"/>
          </w:tcPr>
          <w:p w14:paraId="2F616BA6" w14:textId="3EAEEEA5" w:rsidR="00886761" w:rsidRPr="003A4040" w:rsidRDefault="00886761" w:rsidP="00886761">
            <w:pPr>
              <w:jc w:val="center"/>
              <w:rPr>
                <w:rFonts w:ascii="Arial" w:hAnsi="Arial" w:cs="Arial"/>
                <w:b/>
                <w:color w:val="000000"/>
                <w:sz w:val="18"/>
                <w:szCs w:val="18"/>
              </w:rPr>
            </w:pPr>
            <w:r>
              <w:rPr>
                <w:rFonts w:ascii="Arial" w:hAnsi="Arial" w:cs="Arial"/>
                <w:b/>
                <w:color w:val="000000"/>
                <w:sz w:val="18"/>
                <w:szCs w:val="18"/>
              </w:rPr>
              <w:t>$28.93</w:t>
            </w:r>
          </w:p>
        </w:tc>
        <w:tc>
          <w:tcPr>
            <w:tcW w:w="1553" w:type="dxa"/>
            <w:vAlign w:val="center"/>
          </w:tcPr>
          <w:p w14:paraId="7D901ECC" w14:textId="6AE4E512" w:rsidR="00886761" w:rsidRPr="003A4040" w:rsidRDefault="00886761" w:rsidP="00886761">
            <w:pPr>
              <w:jc w:val="center"/>
              <w:rPr>
                <w:rFonts w:ascii="Arial" w:hAnsi="Arial" w:cs="Arial"/>
                <w:b/>
                <w:bCs/>
                <w:sz w:val="18"/>
                <w:szCs w:val="18"/>
              </w:rPr>
            </w:pPr>
            <w:r w:rsidRPr="003A4040">
              <w:rPr>
                <w:rFonts w:ascii="Arial" w:hAnsi="Arial" w:cs="Arial"/>
                <w:b/>
                <w:color w:val="000000"/>
                <w:sz w:val="18"/>
                <w:szCs w:val="18"/>
              </w:rPr>
              <w:t>$</w:t>
            </w:r>
            <w:r>
              <w:rPr>
                <w:rFonts w:ascii="Arial" w:hAnsi="Arial" w:cs="Arial"/>
                <w:b/>
                <w:color w:val="000000"/>
                <w:sz w:val="18"/>
                <w:szCs w:val="18"/>
              </w:rPr>
              <w:t>6.</w:t>
            </w:r>
            <w:r w:rsidR="001C2F0F">
              <w:rPr>
                <w:rFonts w:ascii="Arial" w:hAnsi="Arial" w:cs="Arial"/>
                <w:b/>
                <w:color w:val="000000"/>
                <w:sz w:val="18"/>
                <w:szCs w:val="18"/>
              </w:rPr>
              <w:t>41</w:t>
            </w:r>
          </w:p>
        </w:tc>
      </w:tr>
      <w:tr w:rsidR="00886761" w:rsidRPr="00F027AA" w14:paraId="5D453815" w14:textId="77777777" w:rsidTr="00037AA1">
        <w:trPr>
          <w:trHeight w:val="154"/>
          <w:jc w:val="center"/>
        </w:trPr>
        <w:tc>
          <w:tcPr>
            <w:tcW w:w="1238" w:type="dxa"/>
            <w:vAlign w:val="center"/>
          </w:tcPr>
          <w:p w14:paraId="4D57044C" w14:textId="0AFFC4A8" w:rsidR="00886761" w:rsidRPr="00195917" w:rsidRDefault="0044749C" w:rsidP="00886761">
            <w:pPr>
              <w:rPr>
                <w:rFonts w:ascii="Arial" w:hAnsi="Arial" w:cs="Arial"/>
                <w:sz w:val="18"/>
                <w:szCs w:val="18"/>
              </w:rPr>
            </w:pPr>
            <w:r>
              <w:rPr>
                <w:rFonts w:ascii="Arial" w:hAnsi="Arial" w:cs="Arial"/>
                <w:color w:val="222222"/>
                <w:sz w:val="18"/>
                <w:szCs w:val="18"/>
              </w:rPr>
              <w:t xml:space="preserve">LT512; </w:t>
            </w:r>
            <w:r w:rsidR="00886761" w:rsidRPr="004230EB">
              <w:rPr>
                <w:rFonts w:ascii="Arial" w:hAnsi="Arial" w:cs="Arial"/>
                <w:color w:val="222222"/>
                <w:sz w:val="18"/>
                <w:szCs w:val="18"/>
              </w:rPr>
              <w:t>LT</w:t>
            </w:r>
            <w:r w:rsidR="00886761">
              <w:rPr>
                <w:rFonts w:ascii="Arial" w:hAnsi="Arial" w:cs="Arial"/>
                <w:color w:val="222222"/>
                <w:sz w:val="18"/>
                <w:szCs w:val="18"/>
              </w:rPr>
              <w:t>50</w:t>
            </w:r>
            <w:r>
              <w:rPr>
                <w:rFonts w:ascii="Arial" w:hAnsi="Arial" w:cs="Arial"/>
                <w:color w:val="222222"/>
                <w:sz w:val="18"/>
                <w:szCs w:val="18"/>
              </w:rPr>
              <w:t>2</w:t>
            </w:r>
            <w:r w:rsidR="00886761">
              <w:rPr>
                <w:rFonts w:ascii="Arial" w:hAnsi="Arial" w:cs="Arial"/>
                <w:color w:val="222222"/>
                <w:sz w:val="18"/>
                <w:szCs w:val="18"/>
              </w:rPr>
              <w:t xml:space="preserve"> – LT510 even</w:t>
            </w:r>
          </w:p>
        </w:tc>
        <w:tc>
          <w:tcPr>
            <w:tcW w:w="5242" w:type="dxa"/>
            <w:vAlign w:val="center"/>
          </w:tcPr>
          <w:p w14:paraId="1E4CA47D" w14:textId="5DB19409" w:rsidR="00886761" w:rsidRPr="00195917" w:rsidRDefault="00886761" w:rsidP="00886761">
            <w:pPr>
              <w:rPr>
                <w:rFonts w:ascii="Arial" w:hAnsi="Arial" w:cs="Arial"/>
                <w:sz w:val="18"/>
                <w:szCs w:val="18"/>
              </w:rPr>
            </w:pPr>
            <w:r w:rsidRPr="00195917">
              <w:rPr>
                <w:rFonts w:ascii="Arial" w:hAnsi="Arial" w:cs="Arial"/>
                <w:sz w:val="18"/>
                <w:szCs w:val="18"/>
              </w:rPr>
              <w:t>LED linear ambient new Luminaires and Retrofit kits rated greater than or equal to 125 LPW and less than 140 LPW</w:t>
            </w:r>
          </w:p>
        </w:tc>
        <w:tc>
          <w:tcPr>
            <w:tcW w:w="1215" w:type="dxa"/>
            <w:vAlign w:val="center"/>
          </w:tcPr>
          <w:p w14:paraId="5D456C20" w14:textId="34DEDC40" w:rsidR="00886761" w:rsidRPr="003A4040" w:rsidRDefault="00886761" w:rsidP="00886761">
            <w:pPr>
              <w:jc w:val="center"/>
              <w:rPr>
                <w:rFonts w:ascii="Arial" w:hAnsi="Arial" w:cs="Arial"/>
                <w:b/>
                <w:color w:val="000000"/>
                <w:sz w:val="18"/>
                <w:szCs w:val="18"/>
              </w:rPr>
            </w:pPr>
            <w:r>
              <w:rPr>
                <w:rFonts w:ascii="Arial" w:hAnsi="Arial" w:cs="Arial"/>
                <w:b/>
                <w:color w:val="000000"/>
                <w:sz w:val="18"/>
                <w:szCs w:val="18"/>
              </w:rPr>
              <w:t>$25.</w:t>
            </w:r>
            <w:r w:rsidR="001C2F0F">
              <w:rPr>
                <w:rFonts w:ascii="Arial" w:hAnsi="Arial" w:cs="Arial"/>
                <w:b/>
                <w:color w:val="000000"/>
                <w:sz w:val="18"/>
                <w:szCs w:val="18"/>
              </w:rPr>
              <w:t>28</w:t>
            </w:r>
          </w:p>
        </w:tc>
        <w:tc>
          <w:tcPr>
            <w:tcW w:w="1080" w:type="dxa"/>
            <w:vAlign w:val="center"/>
          </w:tcPr>
          <w:p w14:paraId="03BFAA8F" w14:textId="06790091" w:rsidR="00886761" w:rsidRPr="003A4040" w:rsidRDefault="00886761" w:rsidP="00886761">
            <w:pPr>
              <w:jc w:val="center"/>
              <w:rPr>
                <w:rFonts w:ascii="Arial" w:hAnsi="Arial" w:cs="Arial"/>
                <w:b/>
                <w:color w:val="000000"/>
                <w:sz w:val="18"/>
                <w:szCs w:val="18"/>
              </w:rPr>
            </w:pPr>
            <w:r>
              <w:rPr>
                <w:rFonts w:ascii="Arial" w:hAnsi="Arial" w:cs="Arial"/>
                <w:b/>
                <w:color w:val="000000"/>
                <w:sz w:val="18"/>
                <w:szCs w:val="18"/>
              </w:rPr>
              <w:t>$31.75</w:t>
            </w:r>
          </w:p>
        </w:tc>
        <w:tc>
          <w:tcPr>
            <w:tcW w:w="1553" w:type="dxa"/>
            <w:vAlign w:val="center"/>
          </w:tcPr>
          <w:p w14:paraId="7D4F10D2" w14:textId="23C3A448" w:rsidR="00886761" w:rsidRPr="003A4040" w:rsidRDefault="00886761" w:rsidP="00886761">
            <w:pPr>
              <w:jc w:val="center"/>
              <w:rPr>
                <w:rFonts w:ascii="Arial" w:hAnsi="Arial" w:cs="Arial"/>
                <w:b/>
                <w:bCs/>
                <w:sz w:val="18"/>
                <w:szCs w:val="18"/>
              </w:rPr>
            </w:pPr>
            <w:r w:rsidRPr="003A4040">
              <w:rPr>
                <w:rFonts w:ascii="Arial" w:hAnsi="Arial" w:cs="Arial"/>
                <w:b/>
                <w:color w:val="000000"/>
                <w:sz w:val="18"/>
                <w:szCs w:val="18"/>
              </w:rPr>
              <w:t>$</w:t>
            </w:r>
            <w:r>
              <w:rPr>
                <w:rFonts w:ascii="Arial" w:hAnsi="Arial" w:cs="Arial"/>
                <w:b/>
                <w:color w:val="000000"/>
                <w:sz w:val="18"/>
                <w:szCs w:val="18"/>
              </w:rPr>
              <w:t>6.</w:t>
            </w:r>
            <w:r w:rsidR="001C2F0F">
              <w:rPr>
                <w:rFonts w:ascii="Arial" w:hAnsi="Arial" w:cs="Arial"/>
                <w:b/>
                <w:color w:val="000000"/>
                <w:sz w:val="18"/>
                <w:szCs w:val="18"/>
              </w:rPr>
              <w:t>47</w:t>
            </w:r>
          </w:p>
        </w:tc>
      </w:tr>
      <w:tr w:rsidR="00886761" w:rsidRPr="00F027AA" w14:paraId="1936F1D5" w14:textId="77777777" w:rsidTr="00037AA1">
        <w:trPr>
          <w:trHeight w:val="154"/>
          <w:jc w:val="center"/>
        </w:trPr>
        <w:tc>
          <w:tcPr>
            <w:tcW w:w="1238" w:type="dxa"/>
            <w:vAlign w:val="center"/>
          </w:tcPr>
          <w:p w14:paraId="438557C5" w14:textId="11280DEB" w:rsidR="00886761" w:rsidRPr="00195917" w:rsidRDefault="0044749C" w:rsidP="0044749C">
            <w:pPr>
              <w:rPr>
                <w:rFonts w:ascii="Arial" w:hAnsi="Arial" w:cs="Arial"/>
                <w:sz w:val="18"/>
                <w:szCs w:val="18"/>
              </w:rPr>
            </w:pPr>
            <w:r>
              <w:rPr>
                <w:rFonts w:ascii="Arial" w:hAnsi="Arial" w:cs="Arial"/>
                <w:color w:val="222222"/>
                <w:sz w:val="18"/>
                <w:szCs w:val="18"/>
              </w:rPr>
              <w:t xml:space="preserve">LT513; </w:t>
            </w:r>
            <w:r w:rsidR="00886761" w:rsidRPr="004230EB">
              <w:rPr>
                <w:rFonts w:ascii="Arial" w:hAnsi="Arial" w:cs="Arial"/>
                <w:color w:val="222222"/>
                <w:sz w:val="18"/>
                <w:szCs w:val="18"/>
              </w:rPr>
              <w:t>LT</w:t>
            </w:r>
            <w:r w:rsidR="00886761">
              <w:rPr>
                <w:rFonts w:ascii="Arial" w:hAnsi="Arial" w:cs="Arial"/>
                <w:color w:val="222222"/>
                <w:sz w:val="18"/>
                <w:szCs w:val="18"/>
              </w:rPr>
              <w:t>50</w:t>
            </w:r>
            <w:r>
              <w:rPr>
                <w:rFonts w:ascii="Arial" w:hAnsi="Arial" w:cs="Arial"/>
                <w:color w:val="222222"/>
                <w:sz w:val="18"/>
                <w:szCs w:val="18"/>
              </w:rPr>
              <w:t>3</w:t>
            </w:r>
            <w:r w:rsidR="00886761">
              <w:rPr>
                <w:rFonts w:ascii="Arial" w:hAnsi="Arial" w:cs="Arial"/>
                <w:color w:val="222222"/>
                <w:sz w:val="18"/>
                <w:szCs w:val="18"/>
              </w:rPr>
              <w:t xml:space="preserve"> – LT511 odd</w:t>
            </w:r>
          </w:p>
        </w:tc>
        <w:tc>
          <w:tcPr>
            <w:tcW w:w="5242" w:type="dxa"/>
            <w:vAlign w:val="center"/>
          </w:tcPr>
          <w:p w14:paraId="6D84E7BF" w14:textId="427BA935" w:rsidR="00886761" w:rsidRPr="00195917" w:rsidRDefault="00886761" w:rsidP="00886761">
            <w:pPr>
              <w:rPr>
                <w:rFonts w:ascii="Arial" w:hAnsi="Arial" w:cs="Arial"/>
                <w:sz w:val="18"/>
                <w:szCs w:val="18"/>
              </w:rPr>
            </w:pPr>
            <w:r w:rsidRPr="00195917">
              <w:rPr>
                <w:rFonts w:ascii="Arial" w:hAnsi="Arial" w:cs="Arial"/>
                <w:sz w:val="18"/>
                <w:szCs w:val="18"/>
              </w:rPr>
              <w:t>LED linear ambient new Luminaire</w:t>
            </w:r>
            <w:r>
              <w:rPr>
                <w:rFonts w:ascii="Arial" w:hAnsi="Arial" w:cs="Arial"/>
                <w:sz w:val="18"/>
                <w:szCs w:val="18"/>
              </w:rPr>
              <w:t>s and Retrofit kits</w:t>
            </w:r>
            <w:r w:rsidRPr="00195917">
              <w:rPr>
                <w:rFonts w:ascii="Arial" w:hAnsi="Arial" w:cs="Arial"/>
                <w:sz w:val="18"/>
                <w:szCs w:val="18"/>
              </w:rPr>
              <w:t xml:space="preserve"> rated greater than or equal to 140 LPW</w:t>
            </w:r>
          </w:p>
        </w:tc>
        <w:tc>
          <w:tcPr>
            <w:tcW w:w="1215" w:type="dxa"/>
            <w:vAlign w:val="center"/>
          </w:tcPr>
          <w:p w14:paraId="1F23C554" w14:textId="7BFC32CE" w:rsidR="00886761" w:rsidRPr="003A4040" w:rsidRDefault="00886761" w:rsidP="00886761">
            <w:pPr>
              <w:jc w:val="center"/>
              <w:rPr>
                <w:rFonts w:ascii="Arial" w:hAnsi="Arial" w:cs="Arial"/>
                <w:b/>
                <w:color w:val="000000"/>
                <w:sz w:val="18"/>
                <w:szCs w:val="18"/>
              </w:rPr>
            </w:pPr>
            <w:r>
              <w:rPr>
                <w:rFonts w:ascii="Arial" w:hAnsi="Arial" w:cs="Arial"/>
                <w:b/>
                <w:color w:val="000000"/>
                <w:sz w:val="18"/>
                <w:szCs w:val="18"/>
              </w:rPr>
              <w:t>$25.</w:t>
            </w:r>
            <w:r w:rsidR="001C2F0F">
              <w:rPr>
                <w:rFonts w:ascii="Arial" w:hAnsi="Arial" w:cs="Arial"/>
                <w:b/>
                <w:color w:val="000000"/>
                <w:sz w:val="18"/>
                <w:szCs w:val="18"/>
              </w:rPr>
              <w:t>28</w:t>
            </w:r>
          </w:p>
        </w:tc>
        <w:tc>
          <w:tcPr>
            <w:tcW w:w="1080" w:type="dxa"/>
            <w:vAlign w:val="center"/>
          </w:tcPr>
          <w:p w14:paraId="5113EB00" w14:textId="6B2DDCF1" w:rsidR="00886761" w:rsidRPr="003A4040" w:rsidRDefault="00886761" w:rsidP="00886761">
            <w:pPr>
              <w:jc w:val="center"/>
              <w:rPr>
                <w:rFonts w:ascii="Arial" w:hAnsi="Arial" w:cs="Arial"/>
                <w:b/>
                <w:color w:val="000000"/>
                <w:sz w:val="18"/>
                <w:szCs w:val="18"/>
              </w:rPr>
            </w:pPr>
            <w:r>
              <w:rPr>
                <w:rFonts w:ascii="Arial" w:hAnsi="Arial" w:cs="Arial"/>
                <w:b/>
                <w:color w:val="000000"/>
                <w:sz w:val="18"/>
                <w:szCs w:val="18"/>
              </w:rPr>
              <w:t>$33.13</w:t>
            </w:r>
          </w:p>
        </w:tc>
        <w:tc>
          <w:tcPr>
            <w:tcW w:w="1553" w:type="dxa"/>
            <w:vAlign w:val="center"/>
          </w:tcPr>
          <w:p w14:paraId="1EBB79A8" w14:textId="253F4034" w:rsidR="00886761" w:rsidRPr="003A4040" w:rsidRDefault="00886761" w:rsidP="00886761">
            <w:pPr>
              <w:jc w:val="center"/>
              <w:rPr>
                <w:rFonts w:ascii="Arial" w:hAnsi="Arial" w:cs="Arial"/>
                <w:b/>
                <w:bCs/>
                <w:sz w:val="18"/>
                <w:szCs w:val="18"/>
              </w:rPr>
            </w:pPr>
            <w:r w:rsidRPr="003A4040">
              <w:rPr>
                <w:rFonts w:ascii="Arial" w:hAnsi="Arial" w:cs="Arial"/>
                <w:b/>
                <w:color w:val="000000"/>
                <w:sz w:val="18"/>
                <w:szCs w:val="18"/>
              </w:rPr>
              <w:t>$</w:t>
            </w:r>
            <w:r>
              <w:rPr>
                <w:rFonts w:ascii="Arial" w:hAnsi="Arial" w:cs="Arial"/>
                <w:b/>
                <w:color w:val="000000"/>
                <w:sz w:val="18"/>
                <w:szCs w:val="18"/>
              </w:rPr>
              <w:t>7.</w:t>
            </w:r>
            <w:r w:rsidR="001C2F0F">
              <w:rPr>
                <w:rFonts w:ascii="Arial" w:hAnsi="Arial" w:cs="Arial"/>
                <w:b/>
                <w:color w:val="000000"/>
                <w:sz w:val="18"/>
                <w:szCs w:val="18"/>
              </w:rPr>
              <w:t>85</w:t>
            </w:r>
          </w:p>
        </w:tc>
      </w:tr>
    </w:tbl>
    <w:p w14:paraId="3143E7A9" w14:textId="77777777" w:rsidR="008237CB" w:rsidRDefault="008237CB" w:rsidP="00EC4B0D">
      <w:pPr>
        <w:pStyle w:val="Heading1"/>
        <w:tabs>
          <w:tab w:val="left" w:pos="3495"/>
        </w:tabs>
      </w:pPr>
    </w:p>
    <w:p w14:paraId="49166325" w14:textId="77777777" w:rsidR="008237CB" w:rsidRDefault="008237CB">
      <w:pPr>
        <w:rPr>
          <w:rFonts w:ascii="Arial" w:hAnsi="Arial" w:cs="Arial"/>
          <w:b/>
          <w:bCs/>
          <w:kern w:val="32"/>
          <w:sz w:val="32"/>
          <w:szCs w:val="32"/>
        </w:rPr>
      </w:pPr>
      <w:r>
        <w:br w:type="page"/>
      </w:r>
    </w:p>
    <w:p w14:paraId="1682AFCB" w14:textId="151B0834" w:rsidR="009168A1" w:rsidRPr="000966CC" w:rsidRDefault="00DE0602" w:rsidP="00EC4B0D">
      <w:pPr>
        <w:pStyle w:val="Heading1"/>
        <w:tabs>
          <w:tab w:val="left" w:pos="3495"/>
        </w:tabs>
      </w:pPr>
      <w:bookmarkStart w:id="94" w:name="_Toc533933939"/>
      <w:bookmarkStart w:id="95" w:name="_Toc2808658"/>
      <w:r>
        <w:lastRenderedPageBreak/>
        <w:t>R</w:t>
      </w:r>
      <w:r w:rsidR="000966CC">
        <w:t>eferences</w:t>
      </w:r>
      <w:r w:rsidR="001946B1">
        <w:t>:</w:t>
      </w:r>
      <w:bookmarkEnd w:id="94"/>
      <w:bookmarkEnd w:id="95"/>
      <w:r w:rsidR="00844B27">
        <w:t xml:space="preserve"> </w:t>
      </w:r>
      <w:r w:rsidR="00EC4B0D">
        <w:tab/>
      </w:r>
    </w:p>
    <w:sectPr w:rsidR="009168A1" w:rsidRPr="000966CC" w:rsidSect="001F4B8F">
      <w:endnotePr>
        <w:numFmt w:val="decimal"/>
      </w:endnotePr>
      <w:pgSz w:w="12240" w:h="15840"/>
      <w:pgMar w:top="1440" w:right="1350" w:bottom="1440" w:left="1440" w:header="720" w:footer="720" w:gutter="0"/>
      <w:pgNumType w:start="1" w:chapStyle="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6C77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6C7727" w16cid:durableId="202A6F0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35DE8" w14:textId="77777777" w:rsidR="002B27B8" w:rsidRDefault="002B27B8">
      <w:r>
        <w:separator/>
      </w:r>
    </w:p>
  </w:endnote>
  <w:endnote w:type="continuationSeparator" w:id="0">
    <w:p w14:paraId="709F7504" w14:textId="77777777" w:rsidR="002B27B8" w:rsidRDefault="002B27B8">
      <w:r>
        <w:continuationSeparator/>
      </w:r>
    </w:p>
  </w:endnote>
  <w:endnote w:id="1">
    <w:p w14:paraId="58415A12" w14:textId="6EADBB7F" w:rsidR="00D56548" w:rsidRPr="00CA1504" w:rsidRDefault="00D56548" w:rsidP="00E41399">
      <w:pPr>
        <w:rPr>
          <w:sz w:val="20"/>
          <w:szCs w:val="20"/>
        </w:rPr>
      </w:pPr>
      <w:r w:rsidRPr="00CA1504">
        <w:rPr>
          <w:rStyle w:val="breadcrumbs"/>
          <w:color w:val="333333"/>
          <w:sz w:val="20"/>
          <w:szCs w:val="20"/>
          <w:lang w:val="en-GB"/>
        </w:rPr>
        <w:endnoteRef/>
      </w:r>
      <w:r w:rsidRPr="00CA1504">
        <w:rPr>
          <w:rStyle w:val="breadcrumbs"/>
          <w:color w:val="333333"/>
          <w:sz w:val="20"/>
          <w:szCs w:val="20"/>
          <w:lang w:val="en-GB"/>
        </w:rPr>
        <w:t xml:space="preserve"> </w:t>
      </w:r>
      <w:proofErr w:type="gramStart"/>
      <w:r w:rsidRPr="00CA1504">
        <w:rPr>
          <w:rStyle w:val="breadcrumbs"/>
          <w:color w:val="333333"/>
          <w:sz w:val="20"/>
          <w:szCs w:val="20"/>
          <w:lang w:val="en-GB"/>
        </w:rPr>
        <w:t>US Department of Energy, “201</w:t>
      </w:r>
      <w:r>
        <w:rPr>
          <w:rStyle w:val="breadcrumbs"/>
          <w:color w:val="333333"/>
          <w:sz w:val="20"/>
          <w:szCs w:val="20"/>
          <w:lang w:val="en-GB"/>
        </w:rPr>
        <w:t>5</w:t>
      </w:r>
      <w:r w:rsidRPr="00CA1504">
        <w:rPr>
          <w:rStyle w:val="breadcrumbs"/>
          <w:color w:val="333333"/>
          <w:sz w:val="20"/>
          <w:szCs w:val="20"/>
          <w:lang w:val="en-GB"/>
        </w:rPr>
        <w:t xml:space="preserve"> U.S. Lighting Market Characterization,” prepared by Navigant Consulting.</w:t>
      </w:r>
      <w:proofErr w:type="gramEnd"/>
      <w:r w:rsidRPr="00CA1504">
        <w:rPr>
          <w:rStyle w:val="breadcrumbs"/>
          <w:color w:val="333333"/>
          <w:sz w:val="20"/>
          <w:szCs w:val="20"/>
          <w:lang w:val="en-GB"/>
        </w:rPr>
        <w:t xml:space="preserve"> </w:t>
      </w:r>
      <w:r>
        <w:rPr>
          <w:rStyle w:val="breadcrumbs"/>
          <w:color w:val="333333"/>
          <w:sz w:val="20"/>
          <w:szCs w:val="20"/>
          <w:lang w:val="en-GB"/>
        </w:rPr>
        <w:t>November</w:t>
      </w:r>
      <w:r w:rsidRPr="00CA1504">
        <w:rPr>
          <w:rStyle w:val="breadcrumbs"/>
          <w:color w:val="333333"/>
          <w:sz w:val="20"/>
          <w:szCs w:val="20"/>
          <w:lang w:val="en-GB"/>
        </w:rPr>
        <w:t xml:space="preserve"> 201</w:t>
      </w:r>
      <w:r>
        <w:rPr>
          <w:rStyle w:val="breadcrumbs"/>
          <w:color w:val="333333"/>
          <w:sz w:val="20"/>
          <w:szCs w:val="20"/>
          <w:lang w:val="en-GB"/>
        </w:rPr>
        <w:t>7</w:t>
      </w:r>
      <w:r w:rsidRPr="00CA1504">
        <w:rPr>
          <w:rStyle w:val="breadcrumbs"/>
          <w:color w:val="333333"/>
          <w:sz w:val="20"/>
          <w:szCs w:val="20"/>
          <w:lang w:val="en-GB"/>
        </w:rPr>
        <w:t xml:space="preserve">. </w:t>
      </w:r>
      <w:proofErr w:type="gramStart"/>
      <w:r w:rsidRPr="00CA1504">
        <w:rPr>
          <w:rStyle w:val="breadcrumbs"/>
          <w:color w:val="333333"/>
          <w:sz w:val="20"/>
          <w:szCs w:val="20"/>
          <w:lang w:val="en-GB"/>
        </w:rPr>
        <w:t xml:space="preserve">Accessed at </w:t>
      </w:r>
      <w:hyperlink r:id="rId1" w:history="1">
        <w:r w:rsidRPr="00C91A4B">
          <w:rPr>
            <w:rStyle w:val="Hyperlink"/>
            <w:sz w:val="20"/>
            <w:szCs w:val="20"/>
            <w:lang w:val="en-GB"/>
          </w:rPr>
          <w:t>https://www.energy.gov/sites/prod/files/2017/12/f46/lmc2015_nov17.pdf</w:t>
        </w:r>
      </w:hyperlink>
      <w:r w:rsidRPr="00CA1504">
        <w:rPr>
          <w:rStyle w:val="breadcrumbs"/>
          <w:color w:val="333333"/>
          <w:sz w:val="20"/>
          <w:szCs w:val="20"/>
          <w:lang w:val="en-GB"/>
        </w:rPr>
        <w:t>.</w:t>
      </w:r>
      <w:proofErr w:type="gramEnd"/>
      <w:r w:rsidRPr="00CA1504">
        <w:rPr>
          <w:rStyle w:val="breadcrumbs"/>
          <w:color w:val="333333"/>
          <w:sz w:val="20"/>
          <w:szCs w:val="20"/>
          <w:lang w:val="en-GB"/>
        </w:rPr>
        <w:t xml:space="preserve"> </w:t>
      </w:r>
      <w:r>
        <w:rPr>
          <w:rStyle w:val="breadcrumbs"/>
          <w:color w:val="333333"/>
          <w:sz w:val="20"/>
          <w:szCs w:val="20"/>
          <w:lang w:val="en-GB"/>
        </w:rPr>
        <w:t>66</w:t>
      </w:r>
      <w:r w:rsidRPr="00CA1504">
        <w:rPr>
          <w:rStyle w:val="breadcrumbs"/>
          <w:color w:val="333333"/>
          <w:sz w:val="20"/>
          <w:szCs w:val="20"/>
          <w:lang w:val="en-GB"/>
        </w:rPr>
        <w:t>% energy use</w:t>
      </w:r>
      <w:r>
        <w:rPr>
          <w:rStyle w:val="breadcrumbs"/>
          <w:color w:val="333333"/>
          <w:sz w:val="20"/>
          <w:szCs w:val="20"/>
          <w:lang w:val="en-GB"/>
        </w:rPr>
        <w:t xml:space="preserve"> = (162 + 29)/(237 + 53) Commercial &amp; </w:t>
      </w:r>
      <w:proofErr w:type="spellStart"/>
      <w:r>
        <w:rPr>
          <w:rStyle w:val="breadcrumbs"/>
          <w:color w:val="333333"/>
          <w:sz w:val="20"/>
          <w:szCs w:val="20"/>
          <w:lang w:val="en-GB"/>
        </w:rPr>
        <w:t>Indistrial</w:t>
      </w:r>
      <w:proofErr w:type="spellEnd"/>
      <w:r>
        <w:rPr>
          <w:rStyle w:val="breadcrumbs"/>
          <w:color w:val="333333"/>
          <w:sz w:val="20"/>
          <w:szCs w:val="20"/>
          <w:lang w:val="en-GB"/>
        </w:rPr>
        <w:t xml:space="preserve"> </w:t>
      </w:r>
      <w:r w:rsidRPr="00CA1504">
        <w:rPr>
          <w:rStyle w:val="breadcrumbs"/>
          <w:color w:val="333333"/>
          <w:sz w:val="20"/>
          <w:szCs w:val="20"/>
          <w:lang w:val="en-GB"/>
        </w:rPr>
        <w:t>is shown in Table 4.8</w:t>
      </w:r>
      <w:r>
        <w:rPr>
          <w:rStyle w:val="breadcrumbs"/>
          <w:color w:val="333333"/>
          <w:sz w:val="20"/>
          <w:szCs w:val="20"/>
          <w:lang w:val="en-GB"/>
        </w:rPr>
        <w:t xml:space="preserve"> p.60</w:t>
      </w:r>
      <w:r w:rsidRPr="00CA1504">
        <w:rPr>
          <w:rStyle w:val="breadcrumbs"/>
          <w:color w:val="333333"/>
          <w:sz w:val="20"/>
          <w:szCs w:val="20"/>
          <w:lang w:val="en-GB"/>
        </w:rPr>
        <w:t xml:space="preserve">; </w:t>
      </w:r>
      <w:r>
        <w:rPr>
          <w:rStyle w:val="breadcrumbs"/>
          <w:color w:val="333333"/>
          <w:sz w:val="20"/>
          <w:szCs w:val="20"/>
          <w:lang w:val="en-GB"/>
        </w:rPr>
        <w:t>7</w:t>
      </w:r>
      <w:r w:rsidRPr="00CA1504">
        <w:rPr>
          <w:rStyle w:val="breadcrumbs"/>
          <w:color w:val="333333"/>
          <w:sz w:val="20"/>
          <w:szCs w:val="20"/>
          <w:lang w:val="en-GB"/>
        </w:rPr>
        <w:t xml:space="preserve">8% </w:t>
      </w:r>
      <w:r>
        <w:rPr>
          <w:rStyle w:val="breadcrumbs"/>
          <w:color w:val="333333"/>
          <w:sz w:val="20"/>
          <w:szCs w:val="20"/>
          <w:lang w:val="en-GB"/>
        </w:rPr>
        <w:t xml:space="preserve">Commercial &amp; 90% Industrial </w:t>
      </w:r>
      <w:r w:rsidRPr="00CA1504">
        <w:rPr>
          <w:rStyle w:val="breadcrumbs"/>
          <w:color w:val="333333"/>
          <w:sz w:val="20"/>
          <w:szCs w:val="20"/>
          <w:lang w:val="en-GB"/>
        </w:rPr>
        <w:t>lamp penetration shown in Table 4.2</w:t>
      </w:r>
      <w:r>
        <w:rPr>
          <w:rStyle w:val="breadcrumbs"/>
          <w:color w:val="333333"/>
          <w:sz w:val="20"/>
          <w:szCs w:val="20"/>
          <w:lang w:val="en-GB"/>
        </w:rPr>
        <w:t>, p.49</w:t>
      </w:r>
      <w:r w:rsidRPr="00CA1504">
        <w:rPr>
          <w:rStyle w:val="breadcrumbs"/>
          <w:color w:val="333333"/>
          <w:sz w:val="20"/>
          <w:szCs w:val="20"/>
          <w:lang w:val="en-GB"/>
        </w:rPr>
        <w:t>.</w:t>
      </w:r>
    </w:p>
  </w:endnote>
  <w:endnote w:id="2">
    <w:p w14:paraId="1E1D9E24" w14:textId="393E7F1E" w:rsidR="00D56548" w:rsidRDefault="00D56548">
      <w:pPr>
        <w:pStyle w:val="EndnoteText"/>
      </w:pPr>
      <w:r>
        <w:rPr>
          <w:rStyle w:val="EndnoteReference"/>
        </w:rPr>
        <w:endnoteRef/>
      </w:r>
      <w:r>
        <w:t xml:space="preserve"> </w:t>
      </w:r>
      <w:hyperlink r:id="rId2" w:history="1">
        <w:r w:rsidRPr="00806003">
          <w:rPr>
            <w:rStyle w:val="Hyperlink"/>
          </w:rPr>
          <w:t>A Comprehensive Store Retrofit to LED lighting in Common Lighting Applications,</w:t>
        </w:r>
      </w:hyperlink>
      <w:r>
        <w:t xml:space="preserve"> March 2014; and </w:t>
      </w:r>
      <w:hyperlink r:id="rId3" w:history="1">
        <w:r w:rsidRPr="000573C8">
          <w:rPr>
            <w:rStyle w:val="Hyperlink"/>
          </w:rPr>
          <w:t>LED Office Lighting and Advanced Lighting Control System (ALCS)</w:t>
        </w:r>
      </w:hyperlink>
      <w:r>
        <w:t>, November 2012.</w:t>
      </w:r>
    </w:p>
  </w:endnote>
  <w:endnote w:id="3">
    <w:p w14:paraId="673547E5" w14:textId="77777777" w:rsidR="00D56548" w:rsidRPr="00CA1504" w:rsidRDefault="00D56548" w:rsidP="000D14B0">
      <w:pPr>
        <w:pStyle w:val="EndnoteText"/>
      </w:pPr>
      <w:r w:rsidRPr="00CA1504">
        <w:rPr>
          <w:rStyle w:val="EndnoteReference"/>
        </w:rPr>
        <w:endnoteRef/>
      </w:r>
      <w:r w:rsidRPr="00CA1504">
        <w:rPr>
          <w:rStyle w:val="apple-converted-space"/>
          <w:color w:val="3C4349"/>
          <w:shd w:val="clear" w:color="auto" w:fill="FFFFFF"/>
        </w:rPr>
        <w:t xml:space="preserve"> </w:t>
      </w:r>
      <w:r w:rsidRPr="00CA1504">
        <w:rPr>
          <w:rStyle w:val="apple-converted-space"/>
          <w:shd w:val="clear" w:color="auto" w:fill="FFFFFF"/>
        </w:rPr>
        <w:t>Code of Federal Regulations </w:t>
      </w:r>
      <w:hyperlink r:id="rId4" w:tgtFrame="_self" w:history="1">
        <w:r w:rsidRPr="00CA1504">
          <w:rPr>
            <w:rStyle w:val="Hyperlink"/>
            <w:color w:val="auto"/>
            <w:bdr w:val="none" w:sz="0" w:space="0" w:color="auto" w:frame="1"/>
            <w:shd w:val="clear" w:color="auto" w:fill="FFFFFF"/>
          </w:rPr>
          <w:t>10 CFR 430.32(n)</w:t>
        </w:r>
      </w:hyperlink>
      <w:r w:rsidRPr="00CA1504">
        <w:t xml:space="preserve"> ; accessed at </w:t>
      </w:r>
      <w:hyperlink r:id="rId5" w:history="1">
        <w:r w:rsidRPr="00CA1504">
          <w:rPr>
            <w:rStyle w:val="Hyperlink"/>
          </w:rPr>
          <w:t>http://www1.eere.energy.gov/buildings/appliance_standards/product.aspx/productid/70</w:t>
        </w:r>
      </w:hyperlink>
      <w:r w:rsidRPr="00CA1504">
        <w:t xml:space="preserve"> </w:t>
      </w:r>
    </w:p>
  </w:endnote>
  <w:endnote w:id="4">
    <w:p w14:paraId="0213FD3A" w14:textId="77777777" w:rsidR="00D56548" w:rsidRPr="00CA1504" w:rsidRDefault="00D56548" w:rsidP="000D14B0">
      <w:pPr>
        <w:pStyle w:val="EndnoteText"/>
      </w:pPr>
      <w:r w:rsidRPr="00CA1504">
        <w:rPr>
          <w:rStyle w:val="EndnoteReference"/>
        </w:rPr>
        <w:endnoteRef/>
      </w:r>
      <w:r w:rsidRPr="00CA1504">
        <w:t xml:space="preserve"> Fed Register 2011-28451.pdf ; accessed at </w:t>
      </w:r>
      <w:hyperlink r:id="rId6" w:history="1">
        <w:r w:rsidRPr="00CA1504">
          <w:rPr>
            <w:rStyle w:val="Hyperlink"/>
          </w:rPr>
          <w:t>http://www.gpo.gov/fdsys/pkg/FR-2011-11-14/pdf/2011-28451.pdf</w:t>
        </w:r>
      </w:hyperlink>
      <w:r w:rsidRPr="00CA1504">
        <w:t xml:space="preserve"> </w:t>
      </w:r>
    </w:p>
  </w:endnote>
  <w:endnote w:id="5">
    <w:p w14:paraId="53E65629" w14:textId="77777777" w:rsidR="00D56548" w:rsidRPr="000D413A" w:rsidRDefault="00D56548" w:rsidP="00195917">
      <w:pPr>
        <w:spacing w:line="268" w:lineRule="exact"/>
      </w:pPr>
      <w:r>
        <w:rPr>
          <w:rStyle w:val="EndnoteReference"/>
        </w:rPr>
        <w:endnoteRef/>
      </w:r>
      <w:r>
        <w:t xml:space="preserve"> </w:t>
      </w:r>
      <w:proofErr w:type="gramStart"/>
      <w:r>
        <w:rPr>
          <w:sz w:val="20"/>
        </w:rPr>
        <w:t>2016 Building Energy Efficiency Standards for Residential and Non-Residential Buildings.</w:t>
      </w:r>
      <w:proofErr w:type="gramEnd"/>
      <w:r>
        <w:rPr>
          <w:sz w:val="20"/>
        </w:rPr>
        <w:t xml:space="preserve"> See Section 140.6 tables B, C, and D (pages 207-210) and Section 140.7 tables A and B (pages 213-5).  Accessed at </w:t>
      </w:r>
      <w:hyperlink r:id="rId7" w:history="1">
        <w:r w:rsidRPr="00C91A4B">
          <w:rPr>
            <w:rStyle w:val="Hyperlink"/>
            <w:sz w:val="20"/>
          </w:rPr>
          <w:t>https://www.energy.ca.gov/2015publications/CEC-400-2015-037/CEC-400-2015-037-CMF.pdf</w:t>
        </w:r>
      </w:hyperlink>
      <w:r>
        <w:rPr>
          <w:sz w:val="20"/>
        </w:rPr>
        <w:t xml:space="preserve"> </w:t>
      </w:r>
    </w:p>
  </w:endnote>
  <w:endnote w:id="6">
    <w:p w14:paraId="5F609EF3" w14:textId="77777777" w:rsidR="00D56548" w:rsidRDefault="00D56548" w:rsidP="00DD7BB6">
      <w:pPr>
        <w:pStyle w:val="EndnoteText"/>
      </w:pPr>
      <w:r>
        <w:rPr>
          <w:rStyle w:val="EndnoteReference"/>
        </w:rPr>
        <w:endnoteRef/>
      </w:r>
      <w:r>
        <w:t xml:space="preserve"> </w:t>
      </w:r>
      <w:proofErr w:type="gramStart"/>
      <w:r>
        <w:t>Navigant.</w:t>
      </w:r>
      <w:proofErr w:type="gramEnd"/>
      <w:r>
        <w:t xml:space="preserve">  California LED Pricing Analysis – Final Report.  January 2018.</w:t>
      </w:r>
    </w:p>
    <w:p w14:paraId="18BEADDE" w14:textId="77777777" w:rsidR="00D56548" w:rsidRDefault="00D56548" w:rsidP="00DD7BB6">
      <w:pPr>
        <w:pStyle w:val="EndnoteText"/>
      </w:pPr>
      <w:hyperlink r:id="rId8" w:history="1">
        <w:r w:rsidRPr="00B1051B">
          <w:rPr>
            <w:rStyle w:val="Hyperlink"/>
          </w:rPr>
          <w:t>http://www.calmac.org/publications/LED_Pricing_Analysis_Report_-_Revised_1.19.2018_Final.pdf</w:t>
        </w:r>
      </w:hyperlink>
    </w:p>
    <w:p w14:paraId="6620CC1A" w14:textId="77777777" w:rsidR="00D56548" w:rsidRDefault="00D56548" w:rsidP="00DD7BB6">
      <w:pPr>
        <w:pStyle w:val="EndnoteText"/>
      </w:pPr>
    </w:p>
  </w:endnote>
  <w:endnote w:id="7">
    <w:p w14:paraId="73AF4610" w14:textId="77777777" w:rsidR="00D56548" w:rsidRDefault="00D56548" w:rsidP="008E5EE9">
      <w:pPr>
        <w:pStyle w:val="EndnoteText"/>
      </w:pPr>
      <w:r>
        <w:rPr>
          <w:rStyle w:val="EndnoteReference"/>
        </w:rPr>
        <w:endnoteRef/>
      </w:r>
      <w:r>
        <w:t xml:space="preserve"> </w:t>
      </w:r>
      <w:proofErr w:type="gramStart"/>
      <w:r>
        <w:t>NEMA Linear lamp index, Q2 2017.</w:t>
      </w:r>
      <w:proofErr w:type="gramEnd"/>
      <w:r>
        <w:t xml:space="preserve">  Accessed at </w:t>
      </w:r>
      <w:hyperlink r:id="rId9" w:history="1">
        <w:r w:rsidRPr="004C4992">
          <w:rPr>
            <w:rStyle w:val="Hyperlink"/>
          </w:rPr>
          <w:t>https://www.nema.org/Intelligence/Indices/Pages/Linear-Fluorescent-Lamp-Indexes-Continue-to-Decline-in-Second-Quarter-2017-while-T-LED-Market-Penetration-Increases.aspx</w:t>
        </w:r>
      </w:hyperlink>
    </w:p>
  </w:endnote>
  <w:endnote w:id="8">
    <w:p w14:paraId="75A9F347" w14:textId="3AF24B8E" w:rsidR="00D56548" w:rsidRDefault="00D56548">
      <w:pPr>
        <w:pStyle w:val="EndnoteText"/>
      </w:pPr>
      <w:r>
        <w:rPr>
          <w:rStyle w:val="EndnoteReference"/>
        </w:rPr>
        <w:endnoteRef/>
      </w:r>
      <w:r>
        <w:t xml:space="preserve"> </w:t>
      </w:r>
      <w:hyperlink r:id="rId10" w:history="1">
        <w:r w:rsidRPr="00AD2B71">
          <w:rPr>
            <w:rStyle w:val="Hyperlink"/>
          </w:rPr>
          <w:t>2016 Non-Residential Lighting Market Characterization, Bonneville Power Administration, July 2017</w:t>
        </w:r>
      </w:hyperlink>
    </w:p>
  </w:endnote>
  <w:endnote w:id="9">
    <w:p w14:paraId="65CD93C7" w14:textId="4D9E1E7E" w:rsidR="00D56548" w:rsidRDefault="00D56548">
      <w:pPr>
        <w:pStyle w:val="EndnoteText"/>
      </w:pPr>
      <w:r>
        <w:rPr>
          <w:rStyle w:val="EndnoteReference"/>
        </w:rPr>
        <w:endnoteRef/>
      </w:r>
      <w:r>
        <w:t xml:space="preserve"> Meeting Notes_04042018_CS EAR and </w:t>
      </w:r>
      <w:proofErr w:type="spellStart"/>
      <w:r>
        <w:t>PGE_Lighting</w:t>
      </w:r>
      <w:proofErr w:type="spellEnd"/>
      <w:r>
        <w:t xml:space="preserve"> </w:t>
      </w:r>
      <w:proofErr w:type="spellStart"/>
      <w:r>
        <w:t>Workpapers</w:t>
      </w:r>
      <w:proofErr w:type="spellEnd"/>
      <w:r>
        <w:t xml:space="preserve"> Status Update &amp; Meeting Notes_04052018_CS EAR and </w:t>
      </w:r>
      <w:proofErr w:type="spellStart"/>
      <w:r>
        <w:t>PGE_Lighting</w:t>
      </w:r>
      <w:proofErr w:type="spellEnd"/>
      <w:r>
        <w:t xml:space="preserve"> </w:t>
      </w:r>
      <w:proofErr w:type="spellStart"/>
      <w:r>
        <w:t>Workpapers</w:t>
      </w:r>
      <w:proofErr w:type="spellEnd"/>
      <w:r>
        <w:t xml:space="preserve"> Status Update</w:t>
      </w:r>
    </w:p>
  </w:endnote>
  <w:endnote w:id="10">
    <w:p w14:paraId="448160CD" w14:textId="19A3B502" w:rsidR="00D56548" w:rsidRDefault="00D56548">
      <w:pPr>
        <w:pStyle w:val="EndnoteText"/>
      </w:pPr>
      <w:r>
        <w:rPr>
          <w:rStyle w:val="EndnoteReference"/>
        </w:rPr>
        <w:endnoteRef/>
      </w:r>
      <w:r>
        <w:t xml:space="preserve"> Meeting Notes_04042018_CS EAR and </w:t>
      </w:r>
      <w:proofErr w:type="spellStart"/>
      <w:r>
        <w:t>PGE_Lighting</w:t>
      </w:r>
      <w:proofErr w:type="spellEnd"/>
      <w:r>
        <w:t xml:space="preserve"> </w:t>
      </w:r>
      <w:proofErr w:type="spellStart"/>
      <w:r>
        <w:t>Workpapers</w:t>
      </w:r>
      <w:proofErr w:type="spellEnd"/>
      <w:r>
        <w:t xml:space="preserve"> Status Update &amp; Meeting Notes_04052018_CS EAR and </w:t>
      </w:r>
      <w:proofErr w:type="spellStart"/>
      <w:r>
        <w:t>PGE_Lighting</w:t>
      </w:r>
      <w:proofErr w:type="spellEnd"/>
      <w:r>
        <w:t xml:space="preserve"> </w:t>
      </w:r>
      <w:proofErr w:type="spellStart"/>
      <w:r>
        <w:t>Workpapers</w:t>
      </w:r>
      <w:proofErr w:type="spellEnd"/>
      <w:r>
        <w:t xml:space="preserve"> Status Update</w:t>
      </w:r>
    </w:p>
  </w:endnote>
  <w:endnote w:id="11">
    <w:p w14:paraId="1342F2F7" w14:textId="2F84BFF7" w:rsidR="00D56548" w:rsidRPr="00CA1504" w:rsidRDefault="00D56548">
      <w:pPr>
        <w:pStyle w:val="EndnoteText"/>
      </w:pPr>
      <w:r w:rsidRPr="00CA1504">
        <w:rPr>
          <w:rStyle w:val="EndnoteReference"/>
        </w:rPr>
        <w:endnoteRef/>
      </w:r>
      <w:r w:rsidRPr="00CA1504">
        <w:t xml:space="preserve"> </w:t>
      </w:r>
      <w:proofErr w:type="spellStart"/>
      <w:r w:rsidRPr="00CA1504">
        <w:t>CALiPER</w:t>
      </w:r>
      <w:proofErr w:type="spellEnd"/>
      <w:r w:rsidRPr="00CA1504">
        <w:t xml:space="preserve"> </w:t>
      </w:r>
      <w:r>
        <w:t>Snapshot</w:t>
      </w:r>
      <w:r w:rsidRPr="00CA1504">
        <w:t xml:space="preserve"> Report. </w:t>
      </w:r>
      <w:proofErr w:type="gramStart"/>
      <w:r w:rsidRPr="00CA1504">
        <w:t>DOE.</w:t>
      </w:r>
      <w:proofErr w:type="gramEnd"/>
      <w:r w:rsidRPr="00CA1504">
        <w:t xml:space="preserve"> </w:t>
      </w:r>
      <w:r>
        <w:t>December 7, 2016</w:t>
      </w:r>
      <w:r w:rsidRPr="00CA1504">
        <w:t>.</w:t>
      </w:r>
      <w:r>
        <w:t xml:space="preserve"> </w:t>
      </w:r>
      <w:hyperlink r:id="rId11" w:history="1">
        <w:r w:rsidRPr="00C91A4B">
          <w:rPr>
            <w:rStyle w:val="Hyperlink"/>
          </w:rPr>
          <w:t>https://energy.gov/sites/prod/files/2016/12/f34/snapshot2016_troffers.pdf</w:t>
        </w:r>
      </w:hyperlink>
      <w:r>
        <w:t xml:space="preserve"> </w:t>
      </w:r>
    </w:p>
  </w:endnote>
  <w:endnote w:id="12">
    <w:p w14:paraId="0A6FA854" w14:textId="77777777" w:rsidR="00D56548" w:rsidRDefault="00D56548" w:rsidP="00F07B0E">
      <w:pPr>
        <w:pStyle w:val="EndnoteText"/>
      </w:pPr>
      <w:r>
        <w:rPr>
          <w:rStyle w:val="EndnoteReference"/>
        </w:rPr>
        <w:endnoteRef/>
      </w:r>
      <w:r>
        <w:t xml:space="preserve"> </w:t>
      </w:r>
      <w:proofErr w:type="spellStart"/>
      <w:r>
        <w:t>CALiPER</w:t>
      </w:r>
      <w:proofErr w:type="spellEnd"/>
      <w:r>
        <w:t xml:space="preserve"> Snapshot Report Linear Lamps (TLEDs), June 17, 2017. Accessed at </w:t>
      </w:r>
      <w:hyperlink r:id="rId12" w:history="1">
        <w:r w:rsidRPr="00C91A4B">
          <w:rPr>
            <w:rStyle w:val="Hyperlink"/>
          </w:rPr>
          <w:t>https://www.energy.gov/sites/prod/files/2016/07/f33/snapshot2016_tleds.pdf</w:t>
        </w:r>
      </w:hyperlink>
      <w:r>
        <w:t xml:space="preserve"> </w:t>
      </w:r>
    </w:p>
  </w:endnote>
  <w:endnote w:id="13">
    <w:p w14:paraId="68F2AB8A" w14:textId="397769E6" w:rsidR="00D56548" w:rsidRDefault="00D56548">
      <w:pPr>
        <w:pStyle w:val="EndnoteText"/>
      </w:pPr>
      <w:r>
        <w:rPr>
          <w:rStyle w:val="EndnoteReference"/>
        </w:rPr>
        <w:endnoteRef/>
      </w:r>
      <w:r>
        <w:t xml:space="preserve"> </w:t>
      </w:r>
      <w:r w:rsidRPr="00AB09DC">
        <w:rPr>
          <w:color w:val="000000"/>
          <w:szCs w:val="27"/>
        </w:rPr>
        <w:t xml:space="preserve">Measure Labor Cost is product of Installation time and Labor Rate. </w:t>
      </w:r>
      <w:proofErr w:type="gramStart"/>
      <w:r w:rsidRPr="00AB09DC">
        <w:rPr>
          <w:color w:val="000000"/>
          <w:szCs w:val="27"/>
        </w:rPr>
        <w:t>Labor rate of $70.11 per hour taken from RS Means for PG&amp;E Territory cities.</w:t>
      </w:r>
      <w:proofErr w:type="gramEnd"/>
      <w:r w:rsidRPr="00AB09DC">
        <w:rPr>
          <w:color w:val="000000"/>
          <w:szCs w:val="27"/>
        </w:rPr>
        <w:t xml:space="preserve"> Installation time of 1.509 hours per fixture (0.39 hours per </w:t>
      </w:r>
      <w:proofErr w:type="spellStart"/>
      <w:r w:rsidRPr="00AB09DC">
        <w:rPr>
          <w:color w:val="000000"/>
          <w:szCs w:val="27"/>
        </w:rPr>
        <w:t>kilolumen</w:t>
      </w:r>
      <w:proofErr w:type="spellEnd"/>
      <w:r w:rsidRPr="00AB09DC">
        <w:rPr>
          <w:color w:val="000000"/>
          <w:szCs w:val="27"/>
        </w:rPr>
        <w:t xml:space="preserve">) taken from RS Means, Interior LED Fixtures Line # 265113551000; accessed at </w:t>
      </w:r>
      <w:hyperlink r:id="rId13" w:history="1">
        <w:r w:rsidRPr="00AB09DC">
          <w:rPr>
            <w:rStyle w:val="Hyperlink"/>
            <w:szCs w:val="27"/>
          </w:rPr>
          <w:t>http://www.rsmeans.com</w:t>
        </w:r>
      </w:hyperlink>
      <w:r w:rsidRPr="00AB09DC">
        <w:rPr>
          <w:color w:val="000000"/>
          <w:szCs w:val="27"/>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4B301" w14:textId="77777777" w:rsidR="00D56548" w:rsidRDefault="00D5654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341656" w14:textId="77777777" w:rsidR="00D56548" w:rsidRDefault="00D565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B269F" w14:textId="77777777" w:rsidR="00D56548" w:rsidRPr="00846195" w:rsidRDefault="00D56548"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6153A5">
      <w:rPr>
        <w:rStyle w:val="PageNumber"/>
        <w:b/>
        <w:noProof/>
        <w:sz w:val="20"/>
        <w:szCs w:val="20"/>
      </w:rPr>
      <w:t>1</w:t>
    </w:r>
    <w:r w:rsidRPr="00846195">
      <w:rPr>
        <w:rStyle w:val="PageNumber"/>
        <w:b/>
        <w:sz w:val="20"/>
        <w:szCs w:val="20"/>
      </w:rPr>
      <w:fldChar w:fldCharType="end"/>
    </w:r>
  </w:p>
  <w:p w14:paraId="65E54893" w14:textId="0B401C24" w:rsidR="00D56548" w:rsidRDefault="00D56548" w:rsidP="00D7047A">
    <w:pPr>
      <w:pStyle w:val="Footer"/>
      <w:pBdr>
        <w:top w:val="single" w:sz="4" w:space="1" w:color="auto"/>
      </w:pBdr>
      <w:tabs>
        <w:tab w:val="clear" w:pos="8640"/>
        <w:tab w:val="right" w:pos="9360"/>
      </w:tabs>
      <w:rPr>
        <w:b/>
        <w:sz w:val="20"/>
        <w:szCs w:val="20"/>
      </w:rPr>
    </w:pPr>
    <w:r w:rsidRPr="00893A0F">
      <w:rPr>
        <w:noProof/>
        <w:sz w:val="20"/>
        <w:szCs w:val="20"/>
      </w:rPr>
      <w:t>PGECOLTG</w:t>
    </w:r>
    <w:r>
      <w:rPr>
        <w:noProof/>
        <w:sz w:val="20"/>
        <w:szCs w:val="20"/>
      </w:rPr>
      <w:t xml:space="preserve">179 R6 </w:t>
    </w:r>
    <w:r w:rsidRPr="00893A0F">
      <w:rPr>
        <w:noProof/>
        <w:sz w:val="20"/>
        <w:szCs w:val="20"/>
      </w:rPr>
      <w:t>LED</w:t>
    </w:r>
    <w:r>
      <w:rPr>
        <w:noProof/>
        <w:sz w:val="20"/>
        <w:szCs w:val="20"/>
      </w:rPr>
      <w:t xml:space="preserve"> Ambient</w:t>
    </w:r>
    <w:r>
      <w:rPr>
        <w:b/>
        <w:color w:val="FF0000"/>
        <w:sz w:val="20"/>
        <w:szCs w:val="20"/>
      </w:rPr>
      <w:tab/>
    </w:r>
    <w:r>
      <w:rPr>
        <w:b/>
        <w:sz w:val="20"/>
        <w:szCs w:val="20"/>
      </w:rPr>
      <w:tab/>
      <w:t>3/1/2019</w:t>
    </w:r>
  </w:p>
  <w:p w14:paraId="281E0CB1" w14:textId="77777777" w:rsidR="00D56548" w:rsidRDefault="00D56548" w:rsidP="00D7047A">
    <w:pPr>
      <w:pStyle w:val="Footer"/>
      <w:rPr>
        <w:noProof/>
        <w:sz w:val="20"/>
        <w:szCs w:val="20"/>
      </w:rPr>
    </w:pPr>
    <w:r>
      <w:rPr>
        <w:noProof/>
        <w:sz w:val="20"/>
        <w:szCs w:val="20"/>
      </w:rPr>
      <w:t>Commercial Fixtures and Retrofit Kits</w:t>
    </w:r>
  </w:p>
  <w:p w14:paraId="23D99B40" w14:textId="77777777" w:rsidR="00D56548" w:rsidRDefault="00D56548" w:rsidP="00051C3A">
    <w:pPr>
      <w:pStyle w:val="Footer"/>
      <w:rPr>
        <w:b/>
        <w:sz w:val="20"/>
        <w:szCs w:val="20"/>
      </w:rPr>
    </w:pPr>
    <w:r>
      <w:rPr>
        <w:b/>
        <w:sz w:val="20"/>
        <w:szCs w:val="20"/>
      </w:rPr>
      <w:t>Pacific Gas &amp; Electric Company</w:t>
    </w:r>
  </w:p>
  <w:p w14:paraId="6E259B86" w14:textId="77777777" w:rsidR="00D56548" w:rsidRPr="00893A0F" w:rsidRDefault="00D56548" w:rsidP="00D7047A">
    <w:pPr>
      <w:pStyle w:val="Footer"/>
      <w:rPr>
        <w:b/>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87F70" w14:textId="46875F4E" w:rsidR="00D56548" w:rsidRPr="002E0E3F" w:rsidRDefault="00D56548" w:rsidP="00D7047A">
    <w:pPr>
      <w:pStyle w:val="Footer"/>
      <w:jc w:val="right"/>
      <w:rPr>
        <w:rFonts w:ascii="Arial" w:hAnsi="Arial" w:cs="Arial"/>
        <w:b/>
        <w:sz w:val="36"/>
        <w:szCs w:val="36"/>
      </w:rPr>
    </w:pPr>
    <w:r>
      <w:rPr>
        <w:rFonts w:ascii="Arial" w:hAnsi="Arial" w:cs="Arial"/>
        <w:b/>
        <w:sz w:val="36"/>
        <w:szCs w:val="36"/>
      </w:rPr>
      <w:t>3/1/2019</w:t>
    </w:r>
  </w:p>
  <w:p w14:paraId="187DD0D8" w14:textId="77777777" w:rsidR="00D56548" w:rsidRDefault="00D565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651D7" w14:textId="77777777" w:rsidR="002B27B8" w:rsidRDefault="002B27B8">
      <w:r>
        <w:separator/>
      </w:r>
    </w:p>
  </w:footnote>
  <w:footnote w:type="continuationSeparator" w:id="0">
    <w:p w14:paraId="723F8DEE" w14:textId="77777777" w:rsidR="002B27B8" w:rsidRDefault="002B27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29263" w14:textId="77777777" w:rsidR="00D56548" w:rsidRDefault="00D56548" w:rsidP="001A573F">
    <w:pPr>
      <w:pStyle w:val="Header"/>
      <w:jc w:val="right"/>
    </w:pPr>
  </w:p>
  <w:p w14:paraId="4776B77B" w14:textId="77777777" w:rsidR="00D56548" w:rsidRDefault="00D56548"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155200"/>
    <w:multiLevelType w:val="hybridMultilevel"/>
    <w:tmpl w:val="FCB8E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533EF6"/>
    <w:multiLevelType w:val="hybridMultilevel"/>
    <w:tmpl w:val="65D64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D92557"/>
    <w:multiLevelType w:val="hybridMultilevel"/>
    <w:tmpl w:val="830A93FE"/>
    <w:lvl w:ilvl="0" w:tplc="04C681A8">
      <w:start w:val="1"/>
      <w:numFmt w:val="bullet"/>
      <w:lvlText w:val=""/>
      <w:lvlJc w:val="left"/>
      <w:pPr>
        <w:ind w:left="252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7">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9853F8"/>
    <w:multiLevelType w:val="hybridMultilevel"/>
    <w:tmpl w:val="4356A994"/>
    <w:lvl w:ilvl="0" w:tplc="0409000B">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2EAD61F3"/>
    <w:multiLevelType w:val="hybridMultilevel"/>
    <w:tmpl w:val="CF906D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5">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2">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D34CBC"/>
    <w:multiLevelType w:val="hybridMultilevel"/>
    <w:tmpl w:val="2DC6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D678B4"/>
    <w:multiLevelType w:val="hybridMultilevel"/>
    <w:tmpl w:val="ABE4C19C"/>
    <w:lvl w:ilvl="0" w:tplc="0409000B">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820856"/>
    <w:multiLevelType w:val="singleLevel"/>
    <w:tmpl w:val="6C78A414"/>
    <w:lvl w:ilvl="0">
      <w:start w:val="1"/>
      <w:numFmt w:val="decimal"/>
      <w:lvlText w:val="%1."/>
      <w:legacy w:legacy="1" w:legacySpace="0" w:legacyIndent="0"/>
      <w:lvlJc w:val="left"/>
    </w:lvl>
  </w:abstractNum>
  <w:abstractNum w:abstractNumId="29">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BE42DCE"/>
    <w:multiLevelType w:val="hybridMultilevel"/>
    <w:tmpl w:val="44E2E8A6"/>
    <w:lvl w:ilvl="0" w:tplc="AF583AEE">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5"/>
  </w:num>
  <w:num w:numId="3">
    <w:abstractNumId w:val="7"/>
  </w:num>
  <w:num w:numId="4">
    <w:abstractNumId w:val="9"/>
  </w:num>
  <w:num w:numId="5">
    <w:abstractNumId w:val="28"/>
  </w:num>
  <w:num w:numId="6">
    <w:abstractNumId w:val="14"/>
  </w:num>
  <w:num w:numId="7">
    <w:abstractNumId w:val="8"/>
  </w:num>
  <w:num w:numId="8">
    <w:abstractNumId w:val="16"/>
  </w:num>
  <w:num w:numId="9">
    <w:abstractNumId w:val="12"/>
  </w:num>
  <w:num w:numId="10">
    <w:abstractNumId w:val="1"/>
  </w:num>
  <w:num w:numId="11">
    <w:abstractNumId w:val="21"/>
  </w:num>
  <w:num w:numId="12">
    <w:abstractNumId w:val="22"/>
  </w:num>
  <w:num w:numId="13">
    <w:abstractNumId w:val="3"/>
  </w:num>
  <w:num w:numId="14">
    <w:abstractNumId w:val="29"/>
  </w:num>
  <w:num w:numId="15">
    <w:abstractNumId w:val="17"/>
  </w:num>
  <w:num w:numId="16">
    <w:abstractNumId w:val="18"/>
  </w:num>
  <w:num w:numId="17">
    <w:abstractNumId w:val="0"/>
  </w:num>
  <w:num w:numId="18">
    <w:abstractNumId w:val="11"/>
  </w:num>
  <w:num w:numId="19">
    <w:abstractNumId w:val="26"/>
  </w:num>
  <w:num w:numId="20">
    <w:abstractNumId w:val="27"/>
  </w:num>
  <w:num w:numId="21">
    <w:abstractNumId w:val="20"/>
  </w:num>
  <w:num w:numId="22">
    <w:abstractNumId w:val="10"/>
  </w:num>
  <w:num w:numId="23">
    <w:abstractNumId w:val="19"/>
  </w:num>
  <w:num w:numId="24">
    <w:abstractNumId w:val="23"/>
  </w:num>
  <w:num w:numId="25">
    <w:abstractNumId w:val="31"/>
  </w:num>
  <w:num w:numId="26">
    <w:abstractNumId w:val="4"/>
  </w:num>
  <w:num w:numId="27">
    <w:abstractNumId w:val="11"/>
  </w:num>
  <w:num w:numId="28">
    <w:abstractNumId w:val="10"/>
  </w:num>
  <w:num w:numId="29">
    <w:abstractNumId w:val="6"/>
  </w:num>
  <w:num w:numId="30">
    <w:abstractNumId w:val="24"/>
  </w:num>
  <w:num w:numId="31">
    <w:abstractNumId w:val="30"/>
  </w:num>
  <w:num w:numId="32">
    <w:abstractNumId w:val="5"/>
  </w:num>
  <w:num w:numId="33">
    <w:abstractNumId w:val="13"/>
  </w:num>
  <w:num w:numId="34">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nsanchai, Mananya">
    <w15:presenceInfo w15:providerId="AD" w15:userId="S-1-5-21-115761338-343289930-1325754085-2888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EB8"/>
    <w:rsid w:val="0000411D"/>
    <w:rsid w:val="000050CC"/>
    <w:rsid w:val="00005E70"/>
    <w:rsid w:val="00012F86"/>
    <w:rsid w:val="000132F6"/>
    <w:rsid w:val="00013811"/>
    <w:rsid w:val="00013F18"/>
    <w:rsid w:val="00014740"/>
    <w:rsid w:val="00014742"/>
    <w:rsid w:val="00015851"/>
    <w:rsid w:val="00016772"/>
    <w:rsid w:val="000170B5"/>
    <w:rsid w:val="00017488"/>
    <w:rsid w:val="0002118E"/>
    <w:rsid w:val="00021210"/>
    <w:rsid w:val="00023102"/>
    <w:rsid w:val="00024AA9"/>
    <w:rsid w:val="000250B3"/>
    <w:rsid w:val="00026F78"/>
    <w:rsid w:val="000272C2"/>
    <w:rsid w:val="0003064A"/>
    <w:rsid w:val="00031441"/>
    <w:rsid w:val="00032B63"/>
    <w:rsid w:val="00032F1B"/>
    <w:rsid w:val="00034F2B"/>
    <w:rsid w:val="000351CB"/>
    <w:rsid w:val="00035380"/>
    <w:rsid w:val="000361B6"/>
    <w:rsid w:val="00036CC2"/>
    <w:rsid w:val="000373B0"/>
    <w:rsid w:val="000374A5"/>
    <w:rsid w:val="00037AA1"/>
    <w:rsid w:val="00041DC3"/>
    <w:rsid w:val="00044365"/>
    <w:rsid w:val="00044570"/>
    <w:rsid w:val="000448A5"/>
    <w:rsid w:val="00046D10"/>
    <w:rsid w:val="00051043"/>
    <w:rsid w:val="00051C3A"/>
    <w:rsid w:val="00053CD8"/>
    <w:rsid w:val="0005535A"/>
    <w:rsid w:val="00055973"/>
    <w:rsid w:val="00055C05"/>
    <w:rsid w:val="00056DB9"/>
    <w:rsid w:val="000571F6"/>
    <w:rsid w:val="000573C8"/>
    <w:rsid w:val="000573E7"/>
    <w:rsid w:val="00057957"/>
    <w:rsid w:val="0005796E"/>
    <w:rsid w:val="00057C09"/>
    <w:rsid w:val="00063A83"/>
    <w:rsid w:val="00063FA7"/>
    <w:rsid w:val="0006490F"/>
    <w:rsid w:val="00066D5B"/>
    <w:rsid w:val="000678A2"/>
    <w:rsid w:val="00067EB5"/>
    <w:rsid w:val="00067F73"/>
    <w:rsid w:val="000701EB"/>
    <w:rsid w:val="000719AA"/>
    <w:rsid w:val="00072C38"/>
    <w:rsid w:val="00072DB9"/>
    <w:rsid w:val="00073184"/>
    <w:rsid w:val="000749EA"/>
    <w:rsid w:val="000750C5"/>
    <w:rsid w:val="00077161"/>
    <w:rsid w:val="00077C32"/>
    <w:rsid w:val="00077DC4"/>
    <w:rsid w:val="000814B9"/>
    <w:rsid w:val="000842B9"/>
    <w:rsid w:val="00084E8F"/>
    <w:rsid w:val="0008524A"/>
    <w:rsid w:val="00085333"/>
    <w:rsid w:val="0008537D"/>
    <w:rsid w:val="00085DF5"/>
    <w:rsid w:val="00086594"/>
    <w:rsid w:val="0008662A"/>
    <w:rsid w:val="00087378"/>
    <w:rsid w:val="0009430D"/>
    <w:rsid w:val="00095610"/>
    <w:rsid w:val="000966CC"/>
    <w:rsid w:val="000973D9"/>
    <w:rsid w:val="000A1ADB"/>
    <w:rsid w:val="000A2490"/>
    <w:rsid w:val="000A2FB3"/>
    <w:rsid w:val="000A48F2"/>
    <w:rsid w:val="000B03C9"/>
    <w:rsid w:val="000B0B1E"/>
    <w:rsid w:val="000B71D2"/>
    <w:rsid w:val="000C0912"/>
    <w:rsid w:val="000C0FD3"/>
    <w:rsid w:val="000C23B1"/>
    <w:rsid w:val="000C474E"/>
    <w:rsid w:val="000C4909"/>
    <w:rsid w:val="000C5FFA"/>
    <w:rsid w:val="000C693B"/>
    <w:rsid w:val="000D14B0"/>
    <w:rsid w:val="000D22E0"/>
    <w:rsid w:val="000D22E1"/>
    <w:rsid w:val="000D2D93"/>
    <w:rsid w:val="000D39C9"/>
    <w:rsid w:val="000D413A"/>
    <w:rsid w:val="000D47BE"/>
    <w:rsid w:val="000D47DA"/>
    <w:rsid w:val="000D4EB7"/>
    <w:rsid w:val="000D5047"/>
    <w:rsid w:val="000D5588"/>
    <w:rsid w:val="000D5790"/>
    <w:rsid w:val="000D6298"/>
    <w:rsid w:val="000D64B7"/>
    <w:rsid w:val="000D6DA4"/>
    <w:rsid w:val="000D7DCC"/>
    <w:rsid w:val="000E0350"/>
    <w:rsid w:val="000E04A5"/>
    <w:rsid w:val="000E1328"/>
    <w:rsid w:val="000E132D"/>
    <w:rsid w:val="000E273A"/>
    <w:rsid w:val="000E31B5"/>
    <w:rsid w:val="000E5673"/>
    <w:rsid w:val="000E6E80"/>
    <w:rsid w:val="000F0069"/>
    <w:rsid w:val="000F0C5D"/>
    <w:rsid w:val="000F11DD"/>
    <w:rsid w:val="000F16B4"/>
    <w:rsid w:val="00101376"/>
    <w:rsid w:val="001022B5"/>
    <w:rsid w:val="00102BF4"/>
    <w:rsid w:val="00103793"/>
    <w:rsid w:val="00103867"/>
    <w:rsid w:val="00106A4C"/>
    <w:rsid w:val="00115EB1"/>
    <w:rsid w:val="0012128C"/>
    <w:rsid w:val="00121D23"/>
    <w:rsid w:val="00121FEC"/>
    <w:rsid w:val="00122084"/>
    <w:rsid w:val="001231EA"/>
    <w:rsid w:val="00123C51"/>
    <w:rsid w:val="001248A3"/>
    <w:rsid w:val="00124F32"/>
    <w:rsid w:val="00126483"/>
    <w:rsid w:val="00126A4E"/>
    <w:rsid w:val="00127BF4"/>
    <w:rsid w:val="00127CC8"/>
    <w:rsid w:val="00127D7D"/>
    <w:rsid w:val="0013046A"/>
    <w:rsid w:val="0013080C"/>
    <w:rsid w:val="0013087E"/>
    <w:rsid w:val="00133198"/>
    <w:rsid w:val="00133C60"/>
    <w:rsid w:val="00136D56"/>
    <w:rsid w:val="001379BA"/>
    <w:rsid w:val="00137DF4"/>
    <w:rsid w:val="00140990"/>
    <w:rsid w:val="0014398A"/>
    <w:rsid w:val="001454AA"/>
    <w:rsid w:val="0014671B"/>
    <w:rsid w:val="0014799F"/>
    <w:rsid w:val="001506C5"/>
    <w:rsid w:val="00150AFE"/>
    <w:rsid w:val="00150EC7"/>
    <w:rsid w:val="001517F5"/>
    <w:rsid w:val="00152F83"/>
    <w:rsid w:val="00153516"/>
    <w:rsid w:val="00155EF5"/>
    <w:rsid w:val="00155F77"/>
    <w:rsid w:val="0016070B"/>
    <w:rsid w:val="00161B73"/>
    <w:rsid w:val="00161E02"/>
    <w:rsid w:val="00163256"/>
    <w:rsid w:val="001635BD"/>
    <w:rsid w:val="00163A05"/>
    <w:rsid w:val="00163CC0"/>
    <w:rsid w:val="00167F2B"/>
    <w:rsid w:val="0017167D"/>
    <w:rsid w:val="0017179F"/>
    <w:rsid w:val="00171812"/>
    <w:rsid w:val="00172149"/>
    <w:rsid w:val="001730CE"/>
    <w:rsid w:val="00173499"/>
    <w:rsid w:val="001744D6"/>
    <w:rsid w:val="00175673"/>
    <w:rsid w:val="00176431"/>
    <w:rsid w:val="00181C0B"/>
    <w:rsid w:val="001822FC"/>
    <w:rsid w:val="0018290E"/>
    <w:rsid w:val="00182CB4"/>
    <w:rsid w:val="001835E1"/>
    <w:rsid w:val="001835EB"/>
    <w:rsid w:val="00183C8E"/>
    <w:rsid w:val="00193714"/>
    <w:rsid w:val="001946B1"/>
    <w:rsid w:val="00194E14"/>
    <w:rsid w:val="00195917"/>
    <w:rsid w:val="001965AF"/>
    <w:rsid w:val="00196880"/>
    <w:rsid w:val="00196D7C"/>
    <w:rsid w:val="00197A23"/>
    <w:rsid w:val="001A13D5"/>
    <w:rsid w:val="001A270F"/>
    <w:rsid w:val="001A3026"/>
    <w:rsid w:val="001A4516"/>
    <w:rsid w:val="001A4B5E"/>
    <w:rsid w:val="001A550C"/>
    <w:rsid w:val="001A573F"/>
    <w:rsid w:val="001A5C3F"/>
    <w:rsid w:val="001A64C6"/>
    <w:rsid w:val="001A7081"/>
    <w:rsid w:val="001A70AD"/>
    <w:rsid w:val="001A73E3"/>
    <w:rsid w:val="001A75C6"/>
    <w:rsid w:val="001B03AC"/>
    <w:rsid w:val="001B238D"/>
    <w:rsid w:val="001B242B"/>
    <w:rsid w:val="001B44FB"/>
    <w:rsid w:val="001B45F2"/>
    <w:rsid w:val="001B4ACB"/>
    <w:rsid w:val="001B4D7A"/>
    <w:rsid w:val="001B5E15"/>
    <w:rsid w:val="001B5F91"/>
    <w:rsid w:val="001B75E6"/>
    <w:rsid w:val="001B792D"/>
    <w:rsid w:val="001B7D84"/>
    <w:rsid w:val="001C1C03"/>
    <w:rsid w:val="001C28F8"/>
    <w:rsid w:val="001C2942"/>
    <w:rsid w:val="001C2E2C"/>
    <w:rsid w:val="001C2F0F"/>
    <w:rsid w:val="001C476E"/>
    <w:rsid w:val="001C64DB"/>
    <w:rsid w:val="001C6B71"/>
    <w:rsid w:val="001C6C57"/>
    <w:rsid w:val="001D067F"/>
    <w:rsid w:val="001D0AF0"/>
    <w:rsid w:val="001D0FE0"/>
    <w:rsid w:val="001D11CE"/>
    <w:rsid w:val="001D16C2"/>
    <w:rsid w:val="001D1B62"/>
    <w:rsid w:val="001D3F48"/>
    <w:rsid w:val="001D483C"/>
    <w:rsid w:val="001D5155"/>
    <w:rsid w:val="001D54AF"/>
    <w:rsid w:val="001E37BA"/>
    <w:rsid w:val="001E3AE3"/>
    <w:rsid w:val="001E727A"/>
    <w:rsid w:val="001E7CA0"/>
    <w:rsid w:val="001F0078"/>
    <w:rsid w:val="001F21BD"/>
    <w:rsid w:val="001F2B40"/>
    <w:rsid w:val="001F2CDE"/>
    <w:rsid w:val="001F4083"/>
    <w:rsid w:val="001F4B8F"/>
    <w:rsid w:val="001F4BCB"/>
    <w:rsid w:val="001F60D5"/>
    <w:rsid w:val="001F624A"/>
    <w:rsid w:val="001F627F"/>
    <w:rsid w:val="001F6E49"/>
    <w:rsid w:val="001F7023"/>
    <w:rsid w:val="00200174"/>
    <w:rsid w:val="00205B34"/>
    <w:rsid w:val="0020665C"/>
    <w:rsid w:val="00210392"/>
    <w:rsid w:val="00210550"/>
    <w:rsid w:val="0021056A"/>
    <w:rsid w:val="00210E47"/>
    <w:rsid w:val="00211BAC"/>
    <w:rsid w:val="002154B2"/>
    <w:rsid w:val="00216409"/>
    <w:rsid w:val="00216F78"/>
    <w:rsid w:val="002170D6"/>
    <w:rsid w:val="002203BD"/>
    <w:rsid w:val="002203EA"/>
    <w:rsid w:val="0022055B"/>
    <w:rsid w:val="0022067C"/>
    <w:rsid w:val="002207C3"/>
    <w:rsid w:val="00220F52"/>
    <w:rsid w:val="0022370C"/>
    <w:rsid w:val="00224074"/>
    <w:rsid w:val="0022428B"/>
    <w:rsid w:val="00224D3E"/>
    <w:rsid w:val="002257FA"/>
    <w:rsid w:val="00225AB8"/>
    <w:rsid w:val="0022619C"/>
    <w:rsid w:val="00230617"/>
    <w:rsid w:val="00231D53"/>
    <w:rsid w:val="0023385B"/>
    <w:rsid w:val="00235694"/>
    <w:rsid w:val="002378D5"/>
    <w:rsid w:val="00240402"/>
    <w:rsid w:val="00241DAA"/>
    <w:rsid w:val="0024233E"/>
    <w:rsid w:val="0024375A"/>
    <w:rsid w:val="00243BAC"/>
    <w:rsid w:val="00244BD6"/>
    <w:rsid w:val="00245A56"/>
    <w:rsid w:val="002466F4"/>
    <w:rsid w:val="00250D6C"/>
    <w:rsid w:val="002522C9"/>
    <w:rsid w:val="00252352"/>
    <w:rsid w:val="00253B4D"/>
    <w:rsid w:val="00255067"/>
    <w:rsid w:val="0025738E"/>
    <w:rsid w:val="002574CF"/>
    <w:rsid w:val="00260BE6"/>
    <w:rsid w:val="00261E24"/>
    <w:rsid w:val="00262365"/>
    <w:rsid w:val="002628B9"/>
    <w:rsid w:val="002633E2"/>
    <w:rsid w:val="002635D8"/>
    <w:rsid w:val="002644BC"/>
    <w:rsid w:val="00264804"/>
    <w:rsid w:val="00264B03"/>
    <w:rsid w:val="00265769"/>
    <w:rsid w:val="00265BEF"/>
    <w:rsid w:val="002671E3"/>
    <w:rsid w:val="00270FD7"/>
    <w:rsid w:val="0027323D"/>
    <w:rsid w:val="00273C4E"/>
    <w:rsid w:val="0027474D"/>
    <w:rsid w:val="00274A7E"/>
    <w:rsid w:val="0027515D"/>
    <w:rsid w:val="0027624D"/>
    <w:rsid w:val="00276918"/>
    <w:rsid w:val="00276ED1"/>
    <w:rsid w:val="00276FA2"/>
    <w:rsid w:val="0027792C"/>
    <w:rsid w:val="0028312C"/>
    <w:rsid w:val="002856F0"/>
    <w:rsid w:val="00285AF5"/>
    <w:rsid w:val="002862B7"/>
    <w:rsid w:val="00286B3C"/>
    <w:rsid w:val="0028709C"/>
    <w:rsid w:val="002870E2"/>
    <w:rsid w:val="002913D0"/>
    <w:rsid w:val="00291D75"/>
    <w:rsid w:val="0029371D"/>
    <w:rsid w:val="00294D06"/>
    <w:rsid w:val="00295B67"/>
    <w:rsid w:val="00296AC2"/>
    <w:rsid w:val="002971C4"/>
    <w:rsid w:val="00297FB8"/>
    <w:rsid w:val="002A173B"/>
    <w:rsid w:val="002A1BD1"/>
    <w:rsid w:val="002A22A4"/>
    <w:rsid w:val="002A2C2E"/>
    <w:rsid w:val="002A4B6C"/>
    <w:rsid w:val="002B0ECF"/>
    <w:rsid w:val="002B166E"/>
    <w:rsid w:val="002B27B8"/>
    <w:rsid w:val="002B3F17"/>
    <w:rsid w:val="002B777A"/>
    <w:rsid w:val="002B7CE7"/>
    <w:rsid w:val="002C12FA"/>
    <w:rsid w:val="002C21F9"/>
    <w:rsid w:val="002C23B7"/>
    <w:rsid w:val="002C26EB"/>
    <w:rsid w:val="002C321E"/>
    <w:rsid w:val="002C412B"/>
    <w:rsid w:val="002C42E0"/>
    <w:rsid w:val="002C48AF"/>
    <w:rsid w:val="002C4F1C"/>
    <w:rsid w:val="002C518C"/>
    <w:rsid w:val="002C53DD"/>
    <w:rsid w:val="002C7B46"/>
    <w:rsid w:val="002D08BE"/>
    <w:rsid w:val="002D0F51"/>
    <w:rsid w:val="002D12AC"/>
    <w:rsid w:val="002D27DC"/>
    <w:rsid w:val="002D4621"/>
    <w:rsid w:val="002D5866"/>
    <w:rsid w:val="002D6C78"/>
    <w:rsid w:val="002E0043"/>
    <w:rsid w:val="002E029C"/>
    <w:rsid w:val="002E40A2"/>
    <w:rsid w:val="002E4284"/>
    <w:rsid w:val="002E47B4"/>
    <w:rsid w:val="002E5671"/>
    <w:rsid w:val="002E6C39"/>
    <w:rsid w:val="002E7C0C"/>
    <w:rsid w:val="002F105C"/>
    <w:rsid w:val="002F11A3"/>
    <w:rsid w:val="002F2115"/>
    <w:rsid w:val="002F2D92"/>
    <w:rsid w:val="002F3610"/>
    <w:rsid w:val="002F3FE5"/>
    <w:rsid w:val="002F44AD"/>
    <w:rsid w:val="002F4E8C"/>
    <w:rsid w:val="002F6D61"/>
    <w:rsid w:val="002F7833"/>
    <w:rsid w:val="0030104F"/>
    <w:rsid w:val="0030114D"/>
    <w:rsid w:val="00301FBC"/>
    <w:rsid w:val="00302B74"/>
    <w:rsid w:val="0030321F"/>
    <w:rsid w:val="003032B7"/>
    <w:rsid w:val="003034D0"/>
    <w:rsid w:val="0030390D"/>
    <w:rsid w:val="00303D35"/>
    <w:rsid w:val="0030550A"/>
    <w:rsid w:val="003061BC"/>
    <w:rsid w:val="00306DD7"/>
    <w:rsid w:val="0030703E"/>
    <w:rsid w:val="00311969"/>
    <w:rsid w:val="00311B2F"/>
    <w:rsid w:val="00311BD9"/>
    <w:rsid w:val="003129E8"/>
    <w:rsid w:val="00315AB7"/>
    <w:rsid w:val="00316A0B"/>
    <w:rsid w:val="00321DB0"/>
    <w:rsid w:val="00322FB9"/>
    <w:rsid w:val="00324AFE"/>
    <w:rsid w:val="00324D0F"/>
    <w:rsid w:val="003259CD"/>
    <w:rsid w:val="0032657A"/>
    <w:rsid w:val="00327682"/>
    <w:rsid w:val="00332E5C"/>
    <w:rsid w:val="00333996"/>
    <w:rsid w:val="00333E01"/>
    <w:rsid w:val="00335017"/>
    <w:rsid w:val="003360B4"/>
    <w:rsid w:val="00336C71"/>
    <w:rsid w:val="00340DAD"/>
    <w:rsid w:val="003419BE"/>
    <w:rsid w:val="00343579"/>
    <w:rsid w:val="00344A93"/>
    <w:rsid w:val="00345971"/>
    <w:rsid w:val="00345DE6"/>
    <w:rsid w:val="0034647B"/>
    <w:rsid w:val="0034789C"/>
    <w:rsid w:val="00347CD5"/>
    <w:rsid w:val="00350382"/>
    <w:rsid w:val="00350891"/>
    <w:rsid w:val="00353DC2"/>
    <w:rsid w:val="0035498F"/>
    <w:rsid w:val="00355210"/>
    <w:rsid w:val="00356017"/>
    <w:rsid w:val="00357F8C"/>
    <w:rsid w:val="00362067"/>
    <w:rsid w:val="00362839"/>
    <w:rsid w:val="00363933"/>
    <w:rsid w:val="0036440B"/>
    <w:rsid w:val="00364A5F"/>
    <w:rsid w:val="00367DF8"/>
    <w:rsid w:val="00373421"/>
    <w:rsid w:val="00374640"/>
    <w:rsid w:val="0037707D"/>
    <w:rsid w:val="00377407"/>
    <w:rsid w:val="00377531"/>
    <w:rsid w:val="00381702"/>
    <w:rsid w:val="00381BB7"/>
    <w:rsid w:val="00381ED6"/>
    <w:rsid w:val="0038391A"/>
    <w:rsid w:val="00383B74"/>
    <w:rsid w:val="0038634E"/>
    <w:rsid w:val="00387CCC"/>
    <w:rsid w:val="003907AB"/>
    <w:rsid w:val="00391C77"/>
    <w:rsid w:val="00392734"/>
    <w:rsid w:val="00392B5E"/>
    <w:rsid w:val="00392C05"/>
    <w:rsid w:val="00393618"/>
    <w:rsid w:val="00393D41"/>
    <w:rsid w:val="003942ED"/>
    <w:rsid w:val="0039573E"/>
    <w:rsid w:val="00395845"/>
    <w:rsid w:val="003968E2"/>
    <w:rsid w:val="00396FA6"/>
    <w:rsid w:val="0039761A"/>
    <w:rsid w:val="003A0DE6"/>
    <w:rsid w:val="003A19DA"/>
    <w:rsid w:val="003A1B51"/>
    <w:rsid w:val="003A2593"/>
    <w:rsid w:val="003A3EFC"/>
    <w:rsid w:val="003A4040"/>
    <w:rsid w:val="003A4329"/>
    <w:rsid w:val="003A4ABF"/>
    <w:rsid w:val="003A648E"/>
    <w:rsid w:val="003A66D0"/>
    <w:rsid w:val="003A7DD4"/>
    <w:rsid w:val="003B1D79"/>
    <w:rsid w:val="003B2621"/>
    <w:rsid w:val="003B3615"/>
    <w:rsid w:val="003B384E"/>
    <w:rsid w:val="003B44BB"/>
    <w:rsid w:val="003B51DE"/>
    <w:rsid w:val="003C0071"/>
    <w:rsid w:val="003C27C4"/>
    <w:rsid w:val="003C331B"/>
    <w:rsid w:val="003C3A3C"/>
    <w:rsid w:val="003C44F9"/>
    <w:rsid w:val="003C479C"/>
    <w:rsid w:val="003C48C5"/>
    <w:rsid w:val="003C5915"/>
    <w:rsid w:val="003C5980"/>
    <w:rsid w:val="003C6DFA"/>
    <w:rsid w:val="003D04BC"/>
    <w:rsid w:val="003D05F9"/>
    <w:rsid w:val="003D1EB1"/>
    <w:rsid w:val="003D36AD"/>
    <w:rsid w:val="003D3F36"/>
    <w:rsid w:val="003D45D5"/>
    <w:rsid w:val="003D4620"/>
    <w:rsid w:val="003D5191"/>
    <w:rsid w:val="003D60B8"/>
    <w:rsid w:val="003D765C"/>
    <w:rsid w:val="003E0160"/>
    <w:rsid w:val="003E1F03"/>
    <w:rsid w:val="003E24CE"/>
    <w:rsid w:val="003E26C3"/>
    <w:rsid w:val="003E3441"/>
    <w:rsid w:val="003E3941"/>
    <w:rsid w:val="003E540D"/>
    <w:rsid w:val="003E5A00"/>
    <w:rsid w:val="003E7422"/>
    <w:rsid w:val="003E7CF9"/>
    <w:rsid w:val="003E7D3D"/>
    <w:rsid w:val="003E7E0A"/>
    <w:rsid w:val="003F0439"/>
    <w:rsid w:val="003F0CBE"/>
    <w:rsid w:val="003F2817"/>
    <w:rsid w:val="003F3107"/>
    <w:rsid w:val="003F3419"/>
    <w:rsid w:val="003F3DED"/>
    <w:rsid w:val="003F57BD"/>
    <w:rsid w:val="003F5B60"/>
    <w:rsid w:val="003F5B70"/>
    <w:rsid w:val="003F7A9C"/>
    <w:rsid w:val="00401070"/>
    <w:rsid w:val="004018B3"/>
    <w:rsid w:val="00402353"/>
    <w:rsid w:val="0040323C"/>
    <w:rsid w:val="00403FBE"/>
    <w:rsid w:val="004078BB"/>
    <w:rsid w:val="004113E1"/>
    <w:rsid w:val="004117E0"/>
    <w:rsid w:val="0041339D"/>
    <w:rsid w:val="004148A5"/>
    <w:rsid w:val="00415754"/>
    <w:rsid w:val="004162E3"/>
    <w:rsid w:val="004175E9"/>
    <w:rsid w:val="004203DD"/>
    <w:rsid w:val="00421984"/>
    <w:rsid w:val="00421ED8"/>
    <w:rsid w:val="0042297B"/>
    <w:rsid w:val="00422D1A"/>
    <w:rsid w:val="00422F19"/>
    <w:rsid w:val="004230EB"/>
    <w:rsid w:val="00423B48"/>
    <w:rsid w:val="00425CE6"/>
    <w:rsid w:val="00425FE9"/>
    <w:rsid w:val="0042647B"/>
    <w:rsid w:val="00427131"/>
    <w:rsid w:val="00427D15"/>
    <w:rsid w:val="004304AE"/>
    <w:rsid w:val="0043118A"/>
    <w:rsid w:val="00431602"/>
    <w:rsid w:val="004323E9"/>
    <w:rsid w:val="00432C65"/>
    <w:rsid w:val="004337F8"/>
    <w:rsid w:val="004339ED"/>
    <w:rsid w:val="00433B89"/>
    <w:rsid w:val="0043466C"/>
    <w:rsid w:val="00435469"/>
    <w:rsid w:val="00435C34"/>
    <w:rsid w:val="00436F7E"/>
    <w:rsid w:val="00437947"/>
    <w:rsid w:val="0044128D"/>
    <w:rsid w:val="004417FC"/>
    <w:rsid w:val="004419D3"/>
    <w:rsid w:val="00442BCF"/>
    <w:rsid w:val="0044337C"/>
    <w:rsid w:val="00443769"/>
    <w:rsid w:val="00445790"/>
    <w:rsid w:val="0044620E"/>
    <w:rsid w:val="004464AA"/>
    <w:rsid w:val="00446895"/>
    <w:rsid w:val="0044749C"/>
    <w:rsid w:val="00450273"/>
    <w:rsid w:val="0045051D"/>
    <w:rsid w:val="004509A5"/>
    <w:rsid w:val="00451B66"/>
    <w:rsid w:val="00452CA5"/>
    <w:rsid w:val="00453A77"/>
    <w:rsid w:val="004551F3"/>
    <w:rsid w:val="00455856"/>
    <w:rsid w:val="00455C67"/>
    <w:rsid w:val="004563F1"/>
    <w:rsid w:val="00457F4D"/>
    <w:rsid w:val="004602EC"/>
    <w:rsid w:val="004617A6"/>
    <w:rsid w:val="0046239D"/>
    <w:rsid w:val="00462467"/>
    <w:rsid w:val="00467FE9"/>
    <w:rsid w:val="00474025"/>
    <w:rsid w:val="00474E68"/>
    <w:rsid w:val="0047543D"/>
    <w:rsid w:val="00475E34"/>
    <w:rsid w:val="00476B67"/>
    <w:rsid w:val="0048008C"/>
    <w:rsid w:val="004809C9"/>
    <w:rsid w:val="00480BAD"/>
    <w:rsid w:val="00480C7E"/>
    <w:rsid w:val="0048184C"/>
    <w:rsid w:val="004823D5"/>
    <w:rsid w:val="004862F4"/>
    <w:rsid w:val="00486679"/>
    <w:rsid w:val="00486CF9"/>
    <w:rsid w:val="004879D3"/>
    <w:rsid w:val="00487D95"/>
    <w:rsid w:val="0049156C"/>
    <w:rsid w:val="00492048"/>
    <w:rsid w:val="00493555"/>
    <w:rsid w:val="004938FF"/>
    <w:rsid w:val="0049390F"/>
    <w:rsid w:val="00493CA7"/>
    <w:rsid w:val="0049475B"/>
    <w:rsid w:val="00495AEF"/>
    <w:rsid w:val="00496491"/>
    <w:rsid w:val="004967A2"/>
    <w:rsid w:val="004967EC"/>
    <w:rsid w:val="00497308"/>
    <w:rsid w:val="00497CD3"/>
    <w:rsid w:val="004A0A9D"/>
    <w:rsid w:val="004A1B4A"/>
    <w:rsid w:val="004A2D46"/>
    <w:rsid w:val="004A3A35"/>
    <w:rsid w:val="004A46C4"/>
    <w:rsid w:val="004A5BE3"/>
    <w:rsid w:val="004A6FCA"/>
    <w:rsid w:val="004A74F0"/>
    <w:rsid w:val="004B0F48"/>
    <w:rsid w:val="004B14B6"/>
    <w:rsid w:val="004B2B9D"/>
    <w:rsid w:val="004B2CFB"/>
    <w:rsid w:val="004B4489"/>
    <w:rsid w:val="004B46D2"/>
    <w:rsid w:val="004B506E"/>
    <w:rsid w:val="004C094A"/>
    <w:rsid w:val="004C3412"/>
    <w:rsid w:val="004C3B88"/>
    <w:rsid w:val="004C4DAB"/>
    <w:rsid w:val="004C4E2A"/>
    <w:rsid w:val="004C56D1"/>
    <w:rsid w:val="004C572C"/>
    <w:rsid w:val="004C6B9C"/>
    <w:rsid w:val="004D0E10"/>
    <w:rsid w:val="004D2C76"/>
    <w:rsid w:val="004D3F28"/>
    <w:rsid w:val="004D476D"/>
    <w:rsid w:val="004D58D5"/>
    <w:rsid w:val="004D71AF"/>
    <w:rsid w:val="004D7301"/>
    <w:rsid w:val="004E07C9"/>
    <w:rsid w:val="004E234F"/>
    <w:rsid w:val="004E31C8"/>
    <w:rsid w:val="004E43A4"/>
    <w:rsid w:val="004E590E"/>
    <w:rsid w:val="004F12E7"/>
    <w:rsid w:val="004F1CD7"/>
    <w:rsid w:val="004F1DB8"/>
    <w:rsid w:val="004F3292"/>
    <w:rsid w:val="004F3EDB"/>
    <w:rsid w:val="004F55EC"/>
    <w:rsid w:val="004F59FD"/>
    <w:rsid w:val="004F61DD"/>
    <w:rsid w:val="00501673"/>
    <w:rsid w:val="00502569"/>
    <w:rsid w:val="00502C16"/>
    <w:rsid w:val="00502D68"/>
    <w:rsid w:val="005035F8"/>
    <w:rsid w:val="00503F37"/>
    <w:rsid w:val="00504C48"/>
    <w:rsid w:val="00505D2B"/>
    <w:rsid w:val="00506204"/>
    <w:rsid w:val="00506AD5"/>
    <w:rsid w:val="00511155"/>
    <w:rsid w:val="00511171"/>
    <w:rsid w:val="00512C1A"/>
    <w:rsid w:val="005136CC"/>
    <w:rsid w:val="00513858"/>
    <w:rsid w:val="00514B37"/>
    <w:rsid w:val="00514EEC"/>
    <w:rsid w:val="00515696"/>
    <w:rsid w:val="00521874"/>
    <w:rsid w:val="00521920"/>
    <w:rsid w:val="005246B1"/>
    <w:rsid w:val="00527A8C"/>
    <w:rsid w:val="00530281"/>
    <w:rsid w:val="00530B04"/>
    <w:rsid w:val="00531AF8"/>
    <w:rsid w:val="00531E03"/>
    <w:rsid w:val="00531E69"/>
    <w:rsid w:val="005341D2"/>
    <w:rsid w:val="00536359"/>
    <w:rsid w:val="0053683E"/>
    <w:rsid w:val="00537B0D"/>
    <w:rsid w:val="005403E8"/>
    <w:rsid w:val="00542990"/>
    <w:rsid w:val="00542A98"/>
    <w:rsid w:val="00542F66"/>
    <w:rsid w:val="005453C5"/>
    <w:rsid w:val="005454DC"/>
    <w:rsid w:val="0054599C"/>
    <w:rsid w:val="00545A84"/>
    <w:rsid w:val="005460ED"/>
    <w:rsid w:val="00546D9E"/>
    <w:rsid w:val="00547480"/>
    <w:rsid w:val="00551046"/>
    <w:rsid w:val="0055169D"/>
    <w:rsid w:val="00551EF3"/>
    <w:rsid w:val="005521E2"/>
    <w:rsid w:val="00553781"/>
    <w:rsid w:val="00553DCA"/>
    <w:rsid w:val="00554084"/>
    <w:rsid w:val="00554611"/>
    <w:rsid w:val="005559E5"/>
    <w:rsid w:val="005565EE"/>
    <w:rsid w:val="0055765F"/>
    <w:rsid w:val="00557E24"/>
    <w:rsid w:val="00560593"/>
    <w:rsid w:val="00560E6F"/>
    <w:rsid w:val="0056163A"/>
    <w:rsid w:val="00562217"/>
    <w:rsid w:val="005632A4"/>
    <w:rsid w:val="00563BE5"/>
    <w:rsid w:val="005644EF"/>
    <w:rsid w:val="00564E17"/>
    <w:rsid w:val="0056570F"/>
    <w:rsid w:val="00567397"/>
    <w:rsid w:val="005702B7"/>
    <w:rsid w:val="0057057B"/>
    <w:rsid w:val="0057061D"/>
    <w:rsid w:val="00571DF6"/>
    <w:rsid w:val="005726FB"/>
    <w:rsid w:val="00574FBD"/>
    <w:rsid w:val="005767B2"/>
    <w:rsid w:val="005773BB"/>
    <w:rsid w:val="0058068B"/>
    <w:rsid w:val="00583CB2"/>
    <w:rsid w:val="00583E15"/>
    <w:rsid w:val="00585C83"/>
    <w:rsid w:val="00586604"/>
    <w:rsid w:val="00586E35"/>
    <w:rsid w:val="005910C8"/>
    <w:rsid w:val="00597C03"/>
    <w:rsid w:val="005A1F9D"/>
    <w:rsid w:val="005A21F6"/>
    <w:rsid w:val="005A2F5D"/>
    <w:rsid w:val="005A3157"/>
    <w:rsid w:val="005A3798"/>
    <w:rsid w:val="005A5726"/>
    <w:rsid w:val="005A67E5"/>
    <w:rsid w:val="005A6A1D"/>
    <w:rsid w:val="005A6FB8"/>
    <w:rsid w:val="005A7302"/>
    <w:rsid w:val="005A7C16"/>
    <w:rsid w:val="005B0327"/>
    <w:rsid w:val="005B0F9F"/>
    <w:rsid w:val="005B5BB4"/>
    <w:rsid w:val="005B7E32"/>
    <w:rsid w:val="005C2844"/>
    <w:rsid w:val="005C31D5"/>
    <w:rsid w:val="005C6D98"/>
    <w:rsid w:val="005C73FB"/>
    <w:rsid w:val="005C7752"/>
    <w:rsid w:val="005C7F3F"/>
    <w:rsid w:val="005D4792"/>
    <w:rsid w:val="005D4B08"/>
    <w:rsid w:val="005D5F67"/>
    <w:rsid w:val="005D6266"/>
    <w:rsid w:val="005D7360"/>
    <w:rsid w:val="005E14D9"/>
    <w:rsid w:val="005E189B"/>
    <w:rsid w:val="005E2187"/>
    <w:rsid w:val="005E2209"/>
    <w:rsid w:val="005E272E"/>
    <w:rsid w:val="005E4ABC"/>
    <w:rsid w:val="005E4FE9"/>
    <w:rsid w:val="005E5696"/>
    <w:rsid w:val="005F0019"/>
    <w:rsid w:val="005F19E0"/>
    <w:rsid w:val="005F57B5"/>
    <w:rsid w:val="005F5A76"/>
    <w:rsid w:val="005F5A84"/>
    <w:rsid w:val="005F63FF"/>
    <w:rsid w:val="005F6AFA"/>
    <w:rsid w:val="005F71EC"/>
    <w:rsid w:val="005F742E"/>
    <w:rsid w:val="005F7932"/>
    <w:rsid w:val="005F7AA1"/>
    <w:rsid w:val="006009E6"/>
    <w:rsid w:val="00601B26"/>
    <w:rsid w:val="00603818"/>
    <w:rsid w:val="006040B0"/>
    <w:rsid w:val="00604FAE"/>
    <w:rsid w:val="00607605"/>
    <w:rsid w:val="0061001E"/>
    <w:rsid w:val="00610B3C"/>
    <w:rsid w:val="00612869"/>
    <w:rsid w:val="006132A6"/>
    <w:rsid w:val="006146EE"/>
    <w:rsid w:val="006153A5"/>
    <w:rsid w:val="00616D20"/>
    <w:rsid w:val="00617AD5"/>
    <w:rsid w:val="006208A9"/>
    <w:rsid w:val="00622319"/>
    <w:rsid w:val="00622A39"/>
    <w:rsid w:val="00623394"/>
    <w:rsid w:val="0062416A"/>
    <w:rsid w:val="00624AC2"/>
    <w:rsid w:val="00624EFB"/>
    <w:rsid w:val="00625FB3"/>
    <w:rsid w:val="00626129"/>
    <w:rsid w:val="00632A52"/>
    <w:rsid w:val="00633BA1"/>
    <w:rsid w:val="00634414"/>
    <w:rsid w:val="00636012"/>
    <w:rsid w:val="00636987"/>
    <w:rsid w:val="006403DD"/>
    <w:rsid w:val="00640AE6"/>
    <w:rsid w:val="00640BB6"/>
    <w:rsid w:val="006415CC"/>
    <w:rsid w:val="00642FCD"/>
    <w:rsid w:val="006433B2"/>
    <w:rsid w:val="00643E1F"/>
    <w:rsid w:val="00646C25"/>
    <w:rsid w:val="00650CAA"/>
    <w:rsid w:val="00652691"/>
    <w:rsid w:val="00652DD9"/>
    <w:rsid w:val="00654145"/>
    <w:rsid w:val="006559C8"/>
    <w:rsid w:val="00657405"/>
    <w:rsid w:val="006605C2"/>
    <w:rsid w:val="00661864"/>
    <w:rsid w:val="00661F2B"/>
    <w:rsid w:val="00663201"/>
    <w:rsid w:val="00663837"/>
    <w:rsid w:val="00663A00"/>
    <w:rsid w:val="00663B07"/>
    <w:rsid w:val="00664FA6"/>
    <w:rsid w:val="0066579A"/>
    <w:rsid w:val="00665845"/>
    <w:rsid w:val="0066632E"/>
    <w:rsid w:val="006706DC"/>
    <w:rsid w:val="006713EF"/>
    <w:rsid w:val="00671BB1"/>
    <w:rsid w:val="006732B7"/>
    <w:rsid w:val="00674887"/>
    <w:rsid w:val="00680F85"/>
    <w:rsid w:val="00681E5C"/>
    <w:rsid w:val="00681F38"/>
    <w:rsid w:val="00682362"/>
    <w:rsid w:val="006832A4"/>
    <w:rsid w:val="0068391C"/>
    <w:rsid w:val="0068419D"/>
    <w:rsid w:val="006846E9"/>
    <w:rsid w:val="006861E4"/>
    <w:rsid w:val="00686886"/>
    <w:rsid w:val="006872DB"/>
    <w:rsid w:val="00687800"/>
    <w:rsid w:val="00687A8B"/>
    <w:rsid w:val="00691999"/>
    <w:rsid w:val="00692B73"/>
    <w:rsid w:val="00693249"/>
    <w:rsid w:val="00693624"/>
    <w:rsid w:val="006953C6"/>
    <w:rsid w:val="0069543D"/>
    <w:rsid w:val="00695ED2"/>
    <w:rsid w:val="0069784E"/>
    <w:rsid w:val="006A03E4"/>
    <w:rsid w:val="006A1022"/>
    <w:rsid w:val="006A1A83"/>
    <w:rsid w:val="006A2C4B"/>
    <w:rsid w:val="006A4819"/>
    <w:rsid w:val="006A541C"/>
    <w:rsid w:val="006A55D2"/>
    <w:rsid w:val="006A63D0"/>
    <w:rsid w:val="006A6945"/>
    <w:rsid w:val="006B0474"/>
    <w:rsid w:val="006B185D"/>
    <w:rsid w:val="006B2A2A"/>
    <w:rsid w:val="006B3BC0"/>
    <w:rsid w:val="006B42B8"/>
    <w:rsid w:val="006B50B9"/>
    <w:rsid w:val="006B6104"/>
    <w:rsid w:val="006B6E87"/>
    <w:rsid w:val="006B763D"/>
    <w:rsid w:val="006B77A6"/>
    <w:rsid w:val="006B7BC4"/>
    <w:rsid w:val="006B7EDD"/>
    <w:rsid w:val="006C09C1"/>
    <w:rsid w:val="006C1C28"/>
    <w:rsid w:val="006C1F6D"/>
    <w:rsid w:val="006C2F62"/>
    <w:rsid w:val="006C31AA"/>
    <w:rsid w:val="006C5E5C"/>
    <w:rsid w:val="006C6C12"/>
    <w:rsid w:val="006D0365"/>
    <w:rsid w:val="006D037D"/>
    <w:rsid w:val="006D18C0"/>
    <w:rsid w:val="006D2068"/>
    <w:rsid w:val="006D249D"/>
    <w:rsid w:val="006D3725"/>
    <w:rsid w:val="006D4AE1"/>
    <w:rsid w:val="006D52A7"/>
    <w:rsid w:val="006D52D8"/>
    <w:rsid w:val="006D54CD"/>
    <w:rsid w:val="006D5AAB"/>
    <w:rsid w:val="006D6F92"/>
    <w:rsid w:val="006D7A90"/>
    <w:rsid w:val="006E0111"/>
    <w:rsid w:val="006E08CC"/>
    <w:rsid w:val="006E3709"/>
    <w:rsid w:val="006E3C13"/>
    <w:rsid w:val="006E527D"/>
    <w:rsid w:val="006E58A5"/>
    <w:rsid w:val="006E5AB8"/>
    <w:rsid w:val="006F0139"/>
    <w:rsid w:val="006F0984"/>
    <w:rsid w:val="006F0BEF"/>
    <w:rsid w:val="006F214B"/>
    <w:rsid w:val="006F28C7"/>
    <w:rsid w:val="006F4D73"/>
    <w:rsid w:val="006F52ED"/>
    <w:rsid w:val="006F795C"/>
    <w:rsid w:val="006F7A9C"/>
    <w:rsid w:val="007001DD"/>
    <w:rsid w:val="00700F12"/>
    <w:rsid w:val="00702C3A"/>
    <w:rsid w:val="0070443C"/>
    <w:rsid w:val="007057D3"/>
    <w:rsid w:val="00705A0C"/>
    <w:rsid w:val="00706C40"/>
    <w:rsid w:val="00706CFB"/>
    <w:rsid w:val="00711407"/>
    <w:rsid w:val="00712407"/>
    <w:rsid w:val="00712477"/>
    <w:rsid w:val="007128AE"/>
    <w:rsid w:val="007139B2"/>
    <w:rsid w:val="00713B21"/>
    <w:rsid w:val="00713FA5"/>
    <w:rsid w:val="00716023"/>
    <w:rsid w:val="0071784F"/>
    <w:rsid w:val="00721A54"/>
    <w:rsid w:val="00721C75"/>
    <w:rsid w:val="007228DB"/>
    <w:rsid w:val="00722BFB"/>
    <w:rsid w:val="00723862"/>
    <w:rsid w:val="00725A77"/>
    <w:rsid w:val="00726D7C"/>
    <w:rsid w:val="0072705B"/>
    <w:rsid w:val="00731859"/>
    <w:rsid w:val="00732CD0"/>
    <w:rsid w:val="00733275"/>
    <w:rsid w:val="00735A4C"/>
    <w:rsid w:val="00735CB1"/>
    <w:rsid w:val="00735CF0"/>
    <w:rsid w:val="00736D00"/>
    <w:rsid w:val="007404E2"/>
    <w:rsid w:val="00740904"/>
    <w:rsid w:val="00741B0E"/>
    <w:rsid w:val="00741F74"/>
    <w:rsid w:val="00742672"/>
    <w:rsid w:val="00742E8A"/>
    <w:rsid w:val="007431B7"/>
    <w:rsid w:val="0074426D"/>
    <w:rsid w:val="00744555"/>
    <w:rsid w:val="0074519B"/>
    <w:rsid w:val="00745482"/>
    <w:rsid w:val="007459F5"/>
    <w:rsid w:val="0074670F"/>
    <w:rsid w:val="00746DDC"/>
    <w:rsid w:val="007475AA"/>
    <w:rsid w:val="00747C2C"/>
    <w:rsid w:val="0075061C"/>
    <w:rsid w:val="00751E67"/>
    <w:rsid w:val="00751FA3"/>
    <w:rsid w:val="00752B28"/>
    <w:rsid w:val="00754727"/>
    <w:rsid w:val="00754D25"/>
    <w:rsid w:val="00755961"/>
    <w:rsid w:val="00756A18"/>
    <w:rsid w:val="00757590"/>
    <w:rsid w:val="007652CE"/>
    <w:rsid w:val="0076572D"/>
    <w:rsid w:val="00765936"/>
    <w:rsid w:val="00766132"/>
    <w:rsid w:val="00766540"/>
    <w:rsid w:val="00766C83"/>
    <w:rsid w:val="0076733C"/>
    <w:rsid w:val="00767D6C"/>
    <w:rsid w:val="0077091B"/>
    <w:rsid w:val="00770A1E"/>
    <w:rsid w:val="007711CD"/>
    <w:rsid w:val="007735CF"/>
    <w:rsid w:val="0077416A"/>
    <w:rsid w:val="0077569C"/>
    <w:rsid w:val="00775A32"/>
    <w:rsid w:val="00776C05"/>
    <w:rsid w:val="007775FF"/>
    <w:rsid w:val="00777BE6"/>
    <w:rsid w:val="007800F1"/>
    <w:rsid w:val="007816ED"/>
    <w:rsid w:val="00781C13"/>
    <w:rsid w:val="007821CF"/>
    <w:rsid w:val="00782F23"/>
    <w:rsid w:val="00783DAC"/>
    <w:rsid w:val="00784500"/>
    <w:rsid w:val="00784DE3"/>
    <w:rsid w:val="00785112"/>
    <w:rsid w:val="00786700"/>
    <w:rsid w:val="00786D34"/>
    <w:rsid w:val="007878B9"/>
    <w:rsid w:val="00787C19"/>
    <w:rsid w:val="00787D07"/>
    <w:rsid w:val="00791125"/>
    <w:rsid w:val="007931BC"/>
    <w:rsid w:val="00793646"/>
    <w:rsid w:val="00794E75"/>
    <w:rsid w:val="0079521E"/>
    <w:rsid w:val="0079606B"/>
    <w:rsid w:val="00796071"/>
    <w:rsid w:val="00796D77"/>
    <w:rsid w:val="00797297"/>
    <w:rsid w:val="007A0CB6"/>
    <w:rsid w:val="007A0ED0"/>
    <w:rsid w:val="007A1510"/>
    <w:rsid w:val="007A290F"/>
    <w:rsid w:val="007A2A41"/>
    <w:rsid w:val="007A2B40"/>
    <w:rsid w:val="007A4D97"/>
    <w:rsid w:val="007A5289"/>
    <w:rsid w:val="007A5D2F"/>
    <w:rsid w:val="007A768C"/>
    <w:rsid w:val="007A7853"/>
    <w:rsid w:val="007A7EF5"/>
    <w:rsid w:val="007B19BE"/>
    <w:rsid w:val="007B2BAC"/>
    <w:rsid w:val="007B2CAC"/>
    <w:rsid w:val="007B2D41"/>
    <w:rsid w:val="007B44FB"/>
    <w:rsid w:val="007B4F0C"/>
    <w:rsid w:val="007B5A28"/>
    <w:rsid w:val="007B6DC5"/>
    <w:rsid w:val="007C0522"/>
    <w:rsid w:val="007C0E38"/>
    <w:rsid w:val="007C1421"/>
    <w:rsid w:val="007C18E3"/>
    <w:rsid w:val="007C1DEB"/>
    <w:rsid w:val="007C459A"/>
    <w:rsid w:val="007C4E08"/>
    <w:rsid w:val="007D18E6"/>
    <w:rsid w:val="007D2F4C"/>
    <w:rsid w:val="007D3DFF"/>
    <w:rsid w:val="007D3F38"/>
    <w:rsid w:val="007D4DB8"/>
    <w:rsid w:val="007E2197"/>
    <w:rsid w:val="007E233C"/>
    <w:rsid w:val="007E3304"/>
    <w:rsid w:val="007E4D1F"/>
    <w:rsid w:val="007E572A"/>
    <w:rsid w:val="007F0D45"/>
    <w:rsid w:val="007F14BA"/>
    <w:rsid w:val="007F1E48"/>
    <w:rsid w:val="007F3D79"/>
    <w:rsid w:val="007F40E3"/>
    <w:rsid w:val="007F4313"/>
    <w:rsid w:val="007F4605"/>
    <w:rsid w:val="007F6A6F"/>
    <w:rsid w:val="007F6C7D"/>
    <w:rsid w:val="008002D9"/>
    <w:rsid w:val="00800FE4"/>
    <w:rsid w:val="00801249"/>
    <w:rsid w:val="008026F6"/>
    <w:rsid w:val="00803652"/>
    <w:rsid w:val="00803F84"/>
    <w:rsid w:val="008043AC"/>
    <w:rsid w:val="00805B61"/>
    <w:rsid w:val="00806003"/>
    <w:rsid w:val="00806070"/>
    <w:rsid w:val="00806EE8"/>
    <w:rsid w:val="0081148F"/>
    <w:rsid w:val="00811D89"/>
    <w:rsid w:val="00812EE9"/>
    <w:rsid w:val="00813B9A"/>
    <w:rsid w:val="00814500"/>
    <w:rsid w:val="00814CC1"/>
    <w:rsid w:val="00816A19"/>
    <w:rsid w:val="008211DF"/>
    <w:rsid w:val="00822225"/>
    <w:rsid w:val="0082269A"/>
    <w:rsid w:val="00822CA7"/>
    <w:rsid w:val="00822F77"/>
    <w:rsid w:val="0082354A"/>
    <w:rsid w:val="008237CB"/>
    <w:rsid w:val="0082420B"/>
    <w:rsid w:val="008243AD"/>
    <w:rsid w:val="008255D2"/>
    <w:rsid w:val="00832ADC"/>
    <w:rsid w:val="00833AF7"/>
    <w:rsid w:val="00834023"/>
    <w:rsid w:val="008346D1"/>
    <w:rsid w:val="00835579"/>
    <w:rsid w:val="008361CE"/>
    <w:rsid w:val="00836F9B"/>
    <w:rsid w:val="00837487"/>
    <w:rsid w:val="00840D16"/>
    <w:rsid w:val="00840DCB"/>
    <w:rsid w:val="00843B20"/>
    <w:rsid w:val="00844106"/>
    <w:rsid w:val="00844B27"/>
    <w:rsid w:val="00844D29"/>
    <w:rsid w:val="00844EDF"/>
    <w:rsid w:val="00846195"/>
    <w:rsid w:val="00846FA0"/>
    <w:rsid w:val="008473DB"/>
    <w:rsid w:val="008479B6"/>
    <w:rsid w:val="008508EB"/>
    <w:rsid w:val="00851FAF"/>
    <w:rsid w:val="008523E5"/>
    <w:rsid w:val="00852E07"/>
    <w:rsid w:val="00852F42"/>
    <w:rsid w:val="00855AA5"/>
    <w:rsid w:val="00855C55"/>
    <w:rsid w:val="00856B02"/>
    <w:rsid w:val="00856B9B"/>
    <w:rsid w:val="00857671"/>
    <w:rsid w:val="0086002F"/>
    <w:rsid w:val="0086032D"/>
    <w:rsid w:val="00861906"/>
    <w:rsid w:val="00861B01"/>
    <w:rsid w:val="00863F9D"/>
    <w:rsid w:val="008645F9"/>
    <w:rsid w:val="0086628A"/>
    <w:rsid w:val="00871279"/>
    <w:rsid w:val="0087141F"/>
    <w:rsid w:val="008716A7"/>
    <w:rsid w:val="00872913"/>
    <w:rsid w:val="008734DD"/>
    <w:rsid w:val="00873F82"/>
    <w:rsid w:val="00874B7B"/>
    <w:rsid w:val="00874F25"/>
    <w:rsid w:val="00875B3F"/>
    <w:rsid w:val="00880754"/>
    <w:rsid w:val="00880CA5"/>
    <w:rsid w:val="008817B1"/>
    <w:rsid w:val="008832FA"/>
    <w:rsid w:val="008834BB"/>
    <w:rsid w:val="008840FA"/>
    <w:rsid w:val="008846D2"/>
    <w:rsid w:val="00884DF8"/>
    <w:rsid w:val="008862EB"/>
    <w:rsid w:val="00886761"/>
    <w:rsid w:val="00890F95"/>
    <w:rsid w:val="008910AC"/>
    <w:rsid w:val="00891BE3"/>
    <w:rsid w:val="0089311A"/>
    <w:rsid w:val="008935DA"/>
    <w:rsid w:val="0089384D"/>
    <w:rsid w:val="00893A0F"/>
    <w:rsid w:val="00893B17"/>
    <w:rsid w:val="008946C3"/>
    <w:rsid w:val="008948E0"/>
    <w:rsid w:val="0089528C"/>
    <w:rsid w:val="008A0089"/>
    <w:rsid w:val="008A266D"/>
    <w:rsid w:val="008A3B84"/>
    <w:rsid w:val="008A7C66"/>
    <w:rsid w:val="008B034D"/>
    <w:rsid w:val="008B0BBC"/>
    <w:rsid w:val="008B13FB"/>
    <w:rsid w:val="008B245C"/>
    <w:rsid w:val="008B4153"/>
    <w:rsid w:val="008B4F64"/>
    <w:rsid w:val="008B5356"/>
    <w:rsid w:val="008B609A"/>
    <w:rsid w:val="008B6E81"/>
    <w:rsid w:val="008B7927"/>
    <w:rsid w:val="008C43DA"/>
    <w:rsid w:val="008C4770"/>
    <w:rsid w:val="008C488C"/>
    <w:rsid w:val="008C6AD1"/>
    <w:rsid w:val="008C71B5"/>
    <w:rsid w:val="008C7466"/>
    <w:rsid w:val="008D0FE4"/>
    <w:rsid w:val="008D1399"/>
    <w:rsid w:val="008D3D2D"/>
    <w:rsid w:val="008D7999"/>
    <w:rsid w:val="008E1A4E"/>
    <w:rsid w:val="008E36B3"/>
    <w:rsid w:val="008E431F"/>
    <w:rsid w:val="008E5E12"/>
    <w:rsid w:val="008E5EE9"/>
    <w:rsid w:val="008E613B"/>
    <w:rsid w:val="008E69C1"/>
    <w:rsid w:val="008F0B4A"/>
    <w:rsid w:val="008F0D2A"/>
    <w:rsid w:val="008F12D4"/>
    <w:rsid w:val="008F161C"/>
    <w:rsid w:val="008F17A0"/>
    <w:rsid w:val="008F1809"/>
    <w:rsid w:val="008F1814"/>
    <w:rsid w:val="008F205F"/>
    <w:rsid w:val="008F23EF"/>
    <w:rsid w:val="008F386F"/>
    <w:rsid w:val="008F48E1"/>
    <w:rsid w:val="008F5A5D"/>
    <w:rsid w:val="008F5BD0"/>
    <w:rsid w:val="008F6A88"/>
    <w:rsid w:val="008F716F"/>
    <w:rsid w:val="008F7B36"/>
    <w:rsid w:val="009003FE"/>
    <w:rsid w:val="00901955"/>
    <w:rsid w:val="00903C95"/>
    <w:rsid w:val="00904272"/>
    <w:rsid w:val="009046D4"/>
    <w:rsid w:val="00904793"/>
    <w:rsid w:val="00904F60"/>
    <w:rsid w:val="009058DB"/>
    <w:rsid w:val="009075B6"/>
    <w:rsid w:val="00907E3E"/>
    <w:rsid w:val="0091026E"/>
    <w:rsid w:val="009104F7"/>
    <w:rsid w:val="0091058D"/>
    <w:rsid w:val="00911711"/>
    <w:rsid w:val="00911E3C"/>
    <w:rsid w:val="00913858"/>
    <w:rsid w:val="00913A0F"/>
    <w:rsid w:val="00914959"/>
    <w:rsid w:val="00914BBC"/>
    <w:rsid w:val="00914FD7"/>
    <w:rsid w:val="00915CE6"/>
    <w:rsid w:val="009162DA"/>
    <w:rsid w:val="009168A1"/>
    <w:rsid w:val="00917583"/>
    <w:rsid w:val="0092106C"/>
    <w:rsid w:val="00923BC4"/>
    <w:rsid w:val="00924681"/>
    <w:rsid w:val="009250AE"/>
    <w:rsid w:val="0092622E"/>
    <w:rsid w:val="00926605"/>
    <w:rsid w:val="00930877"/>
    <w:rsid w:val="00930D20"/>
    <w:rsid w:val="009314F2"/>
    <w:rsid w:val="0093290D"/>
    <w:rsid w:val="00933767"/>
    <w:rsid w:val="00934B22"/>
    <w:rsid w:val="00937012"/>
    <w:rsid w:val="0094003D"/>
    <w:rsid w:val="00942144"/>
    <w:rsid w:val="0094273F"/>
    <w:rsid w:val="009428A6"/>
    <w:rsid w:val="009439B0"/>
    <w:rsid w:val="00943ACC"/>
    <w:rsid w:val="0094403C"/>
    <w:rsid w:val="0094555E"/>
    <w:rsid w:val="00945C7C"/>
    <w:rsid w:val="00945CB0"/>
    <w:rsid w:val="0094654D"/>
    <w:rsid w:val="0094667E"/>
    <w:rsid w:val="00946A66"/>
    <w:rsid w:val="00946BD7"/>
    <w:rsid w:val="00950D79"/>
    <w:rsid w:val="00951188"/>
    <w:rsid w:val="00951AF4"/>
    <w:rsid w:val="0095234F"/>
    <w:rsid w:val="00952772"/>
    <w:rsid w:val="0095292D"/>
    <w:rsid w:val="00954294"/>
    <w:rsid w:val="00955CBA"/>
    <w:rsid w:val="00956A95"/>
    <w:rsid w:val="00957A47"/>
    <w:rsid w:val="00957C46"/>
    <w:rsid w:val="00960F2F"/>
    <w:rsid w:val="009634F6"/>
    <w:rsid w:val="00963B5E"/>
    <w:rsid w:val="00963FA0"/>
    <w:rsid w:val="0096491F"/>
    <w:rsid w:val="00964FCB"/>
    <w:rsid w:val="00970C80"/>
    <w:rsid w:val="00973F7C"/>
    <w:rsid w:val="009744E7"/>
    <w:rsid w:val="00974E95"/>
    <w:rsid w:val="00975F2D"/>
    <w:rsid w:val="00976962"/>
    <w:rsid w:val="00976985"/>
    <w:rsid w:val="00977BF5"/>
    <w:rsid w:val="00981DBA"/>
    <w:rsid w:val="00981F74"/>
    <w:rsid w:val="00982ADF"/>
    <w:rsid w:val="00982B9C"/>
    <w:rsid w:val="00982CCC"/>
    <w:rsid w:val="00982FEE"/>
    <w:rsid w:val="0098302D"/>
    <w:rsid w:val="009851AE"/>
    <w:rsid w:val="009869EB"/>
    <w:rsid w:val="00987608"/>
    <w:rsid w:val="00990A52"/>
    <w:rsid w:val="00991891"/>
    <w:rsid w:val="00993AE3"/>
    <w:rsid w:val="009943A0"/>
    <w:rsid w:val="009953BC"/>
    <w:rsid w:val="0099543E"/>
    <w:rsid w:val="009963D2"/>
    <w:rsid w:val="009A0568"/>
    <w:rsid w:val="009A0AF9"/>
    <w:rsid w:val="009A16BE"/>
    <w:rsid w:val="009A210C"/>
    <w:rsid w:val="009A2337"/>
    <w:rsid w:val="009A2E00"/>
    <w:rsid w:val="009A355A"/>
    <w:rsid w:val="009A3B09"/>
    <w:rsid w:val="009A3CDF"/>
    <w:rsid w:val="009A5369"/>
    <w:rsid w:val="009A557E"/>
    <w:rsid w:val="009A5CE8"/>
    <w:rsid w:val="009A5FBE"/>
    <w:rsid w:val="009A7074"/>
    <w:rsid w:val="009A72B0"/>
    <w:rsid w:val="009A7B5A"/>
    <w:rsid w:val="009A7F79"/>
    <w:rsid w:val="009B1119"/>
    <w:rsid w:val="009B16E0"/>
    <w:rsid w:val="009B2260"/>
    <w:rsid w:val="009B277A"/>
    <w:rsid w:val="009B2BDC"/>
    <w:rsid w:val="009B3C76"/>
    <w:rsid w:val="009B5F5D"/>
    <w:rsid w:val="009B6201"/>
    <w:rsid w:val="009B670F"/>
    <w:rsid w:val="009B6850"/>
    <w:rsid w:val="009B693C"/>
    <w:rsid w:val="009B723C"/>
    <w:rsid w:val="009B73BA"/>
    <w:rsid w:val="009B7F57"/>
    <w:rsid w:val="009C060B"/>
    <w:rsid w:val="009C0EEA"/>
    <w:rsid w:val="009C10D9"/>
    <w:rsid w:val="009C20A2"/>
    <w:rsid w:val="009C3703"/>
    <w:rsid w:val="009C425A"/>
    <w:rsid w:val="009C4F43"/>
    <w:rsid w:val="009C5CA7"/>
    <w:rsid w:val="009C7023"/>
    <w:rsid w:val="009D01D1"/>
    <w:rsid w:val="009D03F8"/>
    <w:rsid w:val="009D096F"/>
    <w:rsid w:val="009D1DF4"/>
    <w:rsid w:val="009D283C"/>
    <w:rsid w:val="009D3352"/>
    <w:rsid w:val="009D42DF"/>
    <w:rsid w:val="009D4361"/>
    <w:rsid w:val="009D49EA"/>
    <w:rsid w:val="009D7A24"/>
    <w:rsid w:val="009E00E4"/>
    <w:rsid w:val="009E0D20"/>
    <w:rsid w:val="009E0F6B"/>
    <w:rsid w:val="009E175A"/>
    <w:rsid w:val="009E1AE3"/>
    <w:rsid w:val="009E1DB3"/>
    <w:rsid w:val="009E22EA"/>
    <w:rsid w:val="009E2964"/>
    <w:rsid w:val="009E3EB3"/>
    <w:rsid w:val="009E423C"/>
    <w:rsid w:val="009E5D18"/>
    <w:rsid w:val="009E7AE4"/>
    <w:rsid w:val="009E7AFF"/>
    <w:rsid w:val="009E7DCD"/>
    <w:rsid w:val="009F47C3"/>
    <w:rsid w:val="009F55F9"/>
    <w:rsid w:val="009F5CC0"/>
    <w:rsid w:val="009F6842"/>
    <w:rsid w:val="009F6F8B"/>
    <w:rsid w:val="009F7164"/>
    <w:rsid w:val="00A00551"/>
    <w:rsid w:val="00A02F0A"/>
    <w:rsid w:val="00A05B2B"/>
    <w:rsid w:val="00A06A53"/>
    <w:rsid w:val="00A06A54"/>
    <w:rsid w:val="00A103A4"/>
    <w:rsid w:val="00A103E8"/>
    <w:rsid w:val="00A1074D"/>
    <w:rsid w:val="00A10863"/>
    <w:rsid w:val="00A10A2B"/>
    <w:rsid w:val="00A11172"/>
    <w:rsid w:val="00A127DD"/>
    <w:rsid w:val="00A12D4A"/>
    <w:rsid w:val="00A13263"/>
    <w:rsid w:val="00A14E6C"/>
    <w:rsid w:val="00A16482"/>
    <w:rsid w:val="00A167EC"/>
    <w:rsid w:val="00A16D01"/>
    <w:rsid w:val="00A172E6"/>
    <w:rsid w:val="00A17D1C"/>
    <w:rsid w:val="00A209A2"/>
    <w:rsid w:val="00A20CBF"/>
    <w:rsid w:val="00A22BA7"/>
    <w:rsid w:val="00A24C8D"/>
    <w:rsid w:val="00A2542A"/>
    <w:rsid w:val="00A25718"/>
    <w:rsid w:val="00A25D8F"/>
    <w:rsid w:val="00A2602B"/>
    <w:rsid w:val="00A26272"/>
    <w:rsid w:val="00A263A3"/>
    <w:rsid w:val="00A26F15"/>
    <w:rsid w:val="00A277D0"/>
    <w:rsid w:val="00A3048D"/>
    <w:rsid w:val="00A30E37"/>
    <w:rsid w:val="00A32930"/>
    <w:rsid w:val="00A34641"/>
    <w:rsid w:val="00A34674"/>
    <w:rsid w:val="00A3494F"/>
    <w:rsid w:val="00A35CD2"/>
    <w:rsid w:val="00A35CF8"/>
    <w:rsid w:val="00A35F44"/>
    <w:rsid w:val="00A360E7"/>
    <w:rsid w:val="00A36F2B"/>
    <w:rsid w:val="00A400FB"/>
    <w:rsid w:val="00A40825"/>
    <w:rsid w:val="00A414D7"/>
    <w:rsid w:val="00A43C4F"/>
    <w:rsid w:val="00A443D1"/>
    <w:rsid w:val="00A456B3"/>
    <w:rsid w:val="00A47023"/>
    <w:rsid w:val="00A47BFE"/>
    <w:rsid w:val="00A50642"/>
    <w:rsid w:val="00A50DBA"/>
    <w:rsid w:val="00A51621"/>
    <w:rsid w:val="00A51808"/>
    <w:rsid w:val="00A51D78"/>
    <w:rsid w:val="00A51EA8"/>
    <w:rsid w:val="00A53D5C"/>
    <w:rsid w:val="00A549C3"/>
    <w:rsid w:val="00A55E10"/>
    <w:rsid w:val="00A561A8"/>
    <w:rsid w:val="00A562A6"/>
    <w:rsid w:val="00A5688F"/>
    <w:rsid w:val="00A60011"/>
    <w:rsid w:val="00A60E6A"/>
    <w:rsid w:val="00A61B68"/>
    <w:rsid w:val="00A63635"/>
    <w:rsid w:val="00A64106"/>
    <w:rsid w:val="00A6703C"/>
    <w:rsid w:val="00A7007B"/>
    <w:rsid w:val="00A702FA"/>
    <w:rsid w:val="00A71623"/>
    <w:rsid w:val="00A73BD7"/>
    <w:rsid w:val="00A82768"/>
    <w:rsid w:val="00A82C4B"/>
    <w:rsid w:val="00A84B87"/>
    <w:rsid w:val="00A84D4B"/>
    <w:rsid w:val="00A84FD0"/>
    <w:rsid w:val="00A8592D"/>
    <w:rsid w:val="00A8629D"/>
    <w:rsid w:val="00A90D08"/>
    <w:rsid w:val="00A93FFF"/>
    <w:rsid w:val="00A95196"/>
    <w:rsid w:val="00A9572F"/>
    <w:rsid w:val="00A95746"/>
    <w:rsid w:val="00A96D45"/>
    <w:rsid w:val="00A97045"/>
    <w:rsid w:val="00A9717C"/>
    <w:rsid w:val="00A973EE"/>
    <w:rsid w:val="00AA18DD"/>
    <w:rsid w:val="00AA1F91"/>
    <w:rsid w:val="00AA3687"/>
    <w:rsid w:val="00AA3DDB"/>
    <w:rsid w:val="00AA4A07"/>
    <w:rsid w:val="00AA5CE1"/>
    <w:rsid w:val="00AA647A"/>
    <w:rsid w:val="00AA6C73"/>
    <w:rsid w:val="00AB09DC"/>
    <w:rsid w:val="00AB184B"/>
    <w:rsid w:val="00AB2D9E"/>
    <w:rsid w:val="00AB4404"/>
    <w:rsid w:val="00AB546E"/>
    <w:rsid w:val="00AB603C"/>
    <w:rsid w:val="00AC0375"/>
    <w:rsid w:val="00AC154C"/>
    <w:rsid w:val="00AC21EE"/>
    <w:rsid w:val="00AC2B02"/>
    <w:rsid w:val="00AC322F"/>
    <w:rsid w:val="00AC3B22"/>
    <w:rsid w:val="00AC4101"/>
    <w:rsid w:val="00AC5597"/>
    <w:rsid w:val="00AC71C4"/>
    <w:rsid w:val="00AD0116"/>
    <w:rsid w:val="00AD1352"/>
    <w:rsid w:val="00AD1AD4"/>
    <w:rsid w:val="00AD1B42"/>
    <w:rsid w:val="00AD2871"/>
    <w:rsid w:val="00AD322C"/>
    <w:rsid w:val="00AD4B84"/>
    <w:rsid w:val="00AD573D"/>
    <w:rsid w:val="00AD5D06"/>
    <w:rsid w:val="00AE0676"/>
    <w:rsid w:val="00AE23BE"/>
    <w:rsid w:val="00AE2EAC"/>
    <w:rsid w:val="00AE2EBA"/>
    <w:rsid w:val="00AE5772"/>
    <w:rsid w:val="00AF07E7"/>
    <w:rsid w:val="00AF0AC0"/>
    <w:rsid w:val="00AF16E0"/>
    <w:rsid w:val="00AF22E0"/>
    <w:rsid w:val="00AF4CA9"/>
    <w:rsid w:val="00AF50D9"/>
    <w:rsid w:val="00AF5B52"/>
    <w:rsid w:val="00AF5DCA"/>
    <w:rsid w:val="00AF7879"/>
    <w:rsid w:val="00B00818"/>
    <w:rsid w:val="00B008BF"/>
    <w:rsid w:val="00B0102E"/>
    <w:rsid w:val="00B0215F"/>
    <w:rsid w:val="00B03548"/>
    <w:rsid w:val="00B052BA"/>
    <w:rsid w:val="00B0701F"/>
    <w:rsid w:val="00B07460"/>
    <w:rsid w:val="00B1022B"/>
    <w:rsid w:val="00B10338"/>
    <w:rsid w:val="00B10C07"/>
    <w:rsid w:val="00B1151C"/>
    <w:rsid w:val="00B11E06"/>
    <w:rsid w:val="00B13099"/>
    <w:rsid w:val="00B1397D"/>
    <w:rsid w:val="00B16978"/>
    <w:rsid w:val="00B16BE4"/>
    <w:rsid w:val="00B17DC6"/>
    <w:rsid w:val="00B17EBB"/>
    <w:rsid w:val="00B23452"/>
    <w:rsid w:val="00B237C6"/>
    <w:rsid w:val="00B24A6F"/>
    <w:rsid w:val="00B260D9"/>
    <w:rsid w:val="00B278DB"/>
    <w:rsid w:val="00B30D4F"/>
    <w:rsid w:val="00B30D5C"/>
    <w:rsid w:val="00B311C1"/>
    <w:rsid w:val="00B3434E"/>
    <w:rsid w:val="00B34583"/>
    <w:rsid w:val="00B34A3E"/>
    <w:rsid w:val="00B351FD"/>
    <w:rsid w:val="00B35BFD"/>
    <w:rsid w:val="00B36614"/>
    <w:rsid w:val="00B36ECF"/>
    <w:rsid w:val="00B40B13"/>
    <w:rsid w:val="00B421F2"/>
    <w:rsid w:val="00B4264C"/>
    <w:rsid w:val="00B42822"/>
    <w:rsid w:val="00B42C54"/>
    <w:rsid w:val="00B4395A"/>
    <w:rsid w:val="00B43D79"/>
    <w:rsid w:val="00B4553E"/>
    <w:rsid w:val="00B45901"/>
    <w:rsid w:val="00B4610D"/>
    <w:rsid w:val="00B46773"/>
    <w:rsid w:val="00B47091"/>
    <w:rsid w:val="00B47E14"/>
    <w:rsid w:val="00B500F9"/>
    <w:rsid w:val="00B52BB4"/>
    <w:rsid w:val="00B54256"/>
    <w:rsid w:val="00B545F4"/>
    <w:rsid w:val="00B55940"/>
    <w:rsid w:val="00B56303"/>
    <w:rsid w:val="00B56D7B"/>
    <w:rsid w:val="00B573DA"/>
    <w:rsid w:val="00B57599"/>
    <w:rsid w:val="00B57FB2"/>
    <w:rsid w:val="00B607B6"/>
    <w:rsid w:val="00B61F2F"/>
    <w:rsid w:val="00B63199"/>
    <w:rsid w:val="00B64F62"/>
    <w:rsid w:val="00B65321"/>
    <w:rsid w:val="00B65D3A"/>
    <w:rsid w:val="00B663B5"/>
    <w:rsid w:val="00B66898"/>
    <w:rsid w:val="00B67AB6"/>
    <w:rsid w:val="00B7164C"/>
    <w:rsid w:val="00B71BA8"/>
    <w:rsid w:val="00B71BAD"/>
    <w:rsid w:val="00B72CBC"/>
    <w:rsid w:val="00B764D6"/>
    <w:rsid w:val="00B807AB"/>
    <w:rsid w:val="00B80F53"/>
    <w:rsid w:val="00B8152D"/>
    <w:rsid w:val="00B82E26"/>
    <w:rsid w:val="00B86AB2"/>
    <w:rsid w:val="00B910F3"/>
    <w:rsid w:val="00B91A7C"/>
    <w:rsid w:val="00B93792"/>
    <w:rsid w:val="00B93DB5"/>
    <w:rsid w:val="00B93F2D"/>
    <w:rsid w:val="00B95781"/>
    <w:rsid w:val="00B95AC6"/>
    <w:rsid w:val="00B95FBC"/>
    <w:rsid w:val="00B96C24"/>
    <w:rsid w:val="00B9723C"/>
    <w:rsid w:val="00B979F1"/>
    <w:rsid w:val="00B97C44"/>
    <w:rsid w:val="00BA05AE"/>
    <w:rsid w:val="00BA1159"/>
    <w:rsid w:val="00BA17BF"/>
    <w:rsid w:val="00BA1A39"/>
    <w:rsid w:val="00BA22F7"/>
    <w:rsid w:val="00BA2572"/>
    <w:rsid w:val="00BA2FA3"/>
    <w:rsid w:val="00BA46E0"/>
    <w:rsid w:val="00BA61D2"/>
    <w:rsid w:val="00BA6418"/>
    <w:rsid w:val="00BA6936"/>
    <w:rsid w:val="00BA7D18"/>
    <w:rsid w:val="00BB0704"/>
    <w:rsid w:val="00BB19E5"/>
    <w:rsid w:val="00BB291E"/>
    <w:rsid w:val="00BB3A8F"/>
    <w:rsid w:val="00BB4181"/>
    <w:rsid w:val="00BB4412"/>
    <w:rsid w:val="00BB5572"/>
    <w:rsid w:val="00BB6191"/>
    <w:rsid w:val="00BC1F15"/>
    <w:rsid w:val="00BC21A0"/>
    <w:rsid w:val="00BC2214"/>
    <w:rsid w:val="00BC2543"/>
    <w:rsid w:val="00BC2A83"/>
    <w:rsid w:val="00BC3599"/>
    <w:rsid w:val="00BC71C2"/>
    <w:rsid w:val="00BC7728"/>
    <w:rsid w:val="00BD0D15"/>
    <w:rsid w:val="00BD23A2"/>
    <w:rsid w:val="00BD31A1"/>
    <w:rsid w:val="00BD33EA"/>
    <w:rsid w:val="00BD4083"/>
    <w:rsid w:val="00BD5425"/>
    <w:rsid w:val="00BE06A4"/>
    <w:rsid w:val="00BE2B5B"/>
    <w:rsid w:val="00BE4396"/>
    <w:rsid w:val="00BE51F3"/>
    <w:rsid w:val="00BE5E8F"/>
    <w:rsid w:val="00BE7A9B"/>
    <w:rsid w:val="00BF0332"/>
    <w:rsid w:val="00BF2BFE"/>
    <w:rsid w:val="00BF50D8"/>
    <w:rsid w:val="00BF5849"/>
    <w:rsid w:val="00BF5F96"/>
    <w:rsid w:val="00BF5FB0"/>
    <w:rsid w:val="00BF5FCC"/>
    <w:rsid w:val="00BF614A"/>
    <w:rsid w:val="00C0244F"/>
    <w:rsid w:val="00C0256C"/>
    <w:rsid w:val="00C060C8"/>
    <w:rsid w:val="00C069A2"/>
    <w:rsid w:val="00C069EC"/>
    <w:rsid w:val="00C10056"/>
    <w:rsid w:val="00C1087A"/>
    <w:rsid w:val="00C1309F"/>
    <w:rsid w:val="00C151D0"/>
    <w:rsid w:val="00C1628E"/>
    <w:rsid w:val="00C17416"/>
    <w:rsid w:val="00C1748F"/>
    <w:rsid w:val="00C201F2"/>
    <w:rsid w:val="00C206DE"/>
    <w:rsid w:val="00C20A59"/>
    <w:rsid w:val="00C21125"/>
    <w:rsid w:val="00C21271"/>
    <w:rsid w:val="00C221D5"/>
    <w:rsid w:val="00C2280A"/>
    <w:rsid w:val="00C23D12"/>
    <w:rsid w:val="00C24543"/>
    <w:rsid w:val="00C2652B"/>
    <w:rsid w:val="00C278AB"/>
    <w:rsid w:val="00C27933"/>
    <w:rsid w:val="00C30598"/>
    <w:rsid w:val="00C343EA"/>
    <w:rsid w:val="00C362E3"/>
    <w:rsid w:val="00C3630E"/>
    <w:rsid w:val="00C37145"/>
    <w:rsid w:val="00C37B98"/>
    <w:rsid w:val="00C45360"/>
    <w:rsid w:val="00C45648"/>
    <w:rsid w:val="00C4596D"/>
    <w:rsid w:val="00C45C85"/>
    <w:rsid w:val="00C45D69"/>
    <w:rsid w:val="00C46744"/>
    <w:rsid w:val="00C50281"/>
    <w:rsid w:val="00C51198"/>
    <w:rsid w:val="00C51681"/>
    <w:rsid w:val="00C533E6"/>
    <w:rsid w:val="00C54DA2"/>
    <w:rsid w:val="00C55680"/>
    <w:rsid w:val="00C557A9"/>
    <w:rsid w:val="00C565D8"/>
    <w:rsid w:val="00C56730"/>
    <w:rsid w:val="00C6024F"/>
    <w:rsid w:val="00C60CE3"/>
    <w:rsid w:val="00C61FFE"/>
    <w:rsid w:val="00C627CC"/>
    <w:rsid w:val="00C634A0"/>
    <w:rsid w:val="00C63D95"/>
    <w:rsid w:val="00C64B94"/>
    <w:rsid w:val="00C650AE"/>
    <w:rsid w:val="00C7064F"/>
    <w:rsid w:val="00C7070C"/>
    <w:rsid w:val="00C70D93"/>
    <w:rsid w:val="00C71263"/>
    <w:rsid w:val="00C728C4"/>
    <w:rsid w:val="00C72DC1"/>
    <w:rsid w:val="00C73086"/>
    <w:rsid w:val="00C7380E"/>
    <w:rsid w:val="00C739BF"/>
    <w:rsid w:val="00C7647E"/>
    <w:rsid w:val="00C76C24"/>
    <w:rsid w:val="00C80E3F"/>
    <w:rsid w:val="00C81BD1"/>
    <w:rsid w:val="00C8399F"/>
    <w:rsid w:val="00C85C21"/>
    <w:rsid w:val="00C8756C"/>
    <w:rsid w:val="00C87EF3"/>
    <w:rsid w:val="00C90663"/>
    <w:rsid w:val="00C90CA6"/>
    <w:rsid w:val="00C90E2B"/>
    <w:rsid w:val="00C92E70"/>
    <w:rsid w:val="00C93DCA"/>
    <w:rsid w:val="00C93E64"/>
    <w:rsid w:val="00C97054"/>
    <w:rsid w:val="00CA071B"/>
    <w:rsid w:val="00CA0DD1"/>
    <w:rsid w:val="00CA1504"/>
    <w:rsid w:val="00CA15C7"/>
    <w:rsid w:val="00CA304C"/>
    <w:rsid w:val="00CA51A7"/>
    <w:rsid w:val="00CA5466"/>
    <w:rsid w:val="00CA5B98"/>
    <w:rsid w:val="00CA6228"/>
    <w:rsid w:val="00CA734B"/>
    <w:rsid w:val="00CA7A6C"/>
    <w:rsid w:val="00CB0475"/>
    <w:rsid w:val="00CB0C13"/>
    <w:rsid w:val="00CB1B1E"/>
    <w:rsid w:val="00CB1DB5"/>
    <w:rsid w:val="00CB28CF"/>
    <w:rsid w:val="00CB2C4F"/>
    <w:rsid w:val="00CB3583"/>
    <w:rsid w:val="00CB4218"/>
    <w:rsid w:val="00CB4540"/>
    <w:rsid w:val="00CB4608"/>
    <w:rsid w:val="00CB6A8C"/>
    <w:rsid w:val="00CC1AFB"/>
    <w:rsid w:val="00CC34FF"/>
    <w:rsid w:val="00CC44F0"/>
    <w:rsid w:val="00CC6DB2"/>
    <w:rsid w:val="00CC789A"/>
    <w:rsid w:val="00CD0E5B"/>
    <w:rsid w:val="00CD0FE9"/>
    <w:rsid w:val="00CD29E4"/>
    <w:rsid w:val="00CD396E"/>
    <w:rsid w:val="00CD3C38"/>
    <w:rsid w:val="00CD3FDA"/>
    <w:rsid w:val="00CD46F6"/>
    <w:rsid w:val="00CD5104"/>
    <w:rsid w:val="00CD6046"/>
    <w:rsid w:val="00CD60D3"/>
    <w:rsid w:val="00CE06A5"/>
    <w:rsid w:val="00CE0DF1"/>
    <w:rsid w:val="00CE202E"/>
    <w:rsid w:val="00CE2229"/>
    <w:rsid w:val="00CE28F2"/>
    <w:rsid w:val="00CE374E"/>
    <w:rsid w:val="00CE475A"/>
    <w:rsid w:val="00CF0534"/>
    <w:rsid w:val="00CF3FF0"/>
    <w:rsid w:val="00CF41AF"/>
    <w:rsid w:val="00CF4567"/>
    <w:rsid w:val="00CF48A4"/>
    <w:rsid w:val="00CF53AB"/>
    <w:rsid w:val="00CF6815"/>
    <w:rsid w:val="00CF7B6E"/>
    <w:rsid w:val="00D04520"/>
    <w:rsid w:val="00D04D3D"/>
    <w:rsid w:val="00D06C45"/>
    <w:rsid w:val="00D101C7"/>
    <w:rsid w:val="00D10E68"/>
    <w:rsid w:val="00D1143A"/>
    <w:rsid w:val="00D11B02"/>
    <w:rsid w:val="00D1202C"/>
    <w:rsid w:val="00D12433"/>
    <w:rsid w:val="00D12617"/>
    <w:rsid w:val="00D12681"/>
    <w:rsid w:val="00D12AFE"/>
    <w:rsid w:val="00D12DCF"/>
    <w:rsid w:val="00D14120"/>
    <w:rsid w:val="00D151D0"/>
    <w:rsid w:val="00D16DDF"/>
    <w:rsid w:val="00D16E24"/>
    <w:rsid w:val="00D171B6"/>
    <w:rsid w:val="00D17F75"/>
    <w:rsid w:val="00D20486"/>
    <w:rsid w:val="00D20948"/>
    <w:rsid w:val="00D211F3"/>
    <w:rsid w:val="00D228D8"/>
    <w:rsid w:val="00D247DD"/>
    <w:rsid w:val="00D25DEF"/>
    <w:rsid w:val="00D30318"/>
    <w:rsid w:val="00D31439"/>
    <w:rsid w:val="00D33677"/>
    <w:rsid w:val="00D35E03"/>
    <w:rsid w:val="00D36BDD"/>
    <w:rsid w:val="00D3706F"/>
    <w:rsid w:val="00D373EC"/>
    <w:rsid w:val="00D40729"/>
    <w:rsid w:val="00D412D8"/>
    <w:rsid w:val="00D4180D"/>
    <w:rsid w:val="00D41B01"/>
    <w:rsid w:val="00D42875"/>
    <w:rsid w:val="00D42B44"/>
    <w:rsid w:val="00D4390C"/>
    <w:rsid w:val="00D44A14"/>
    <w:rsid w:val="00D467CB"/>
    <w:rsid w:val="00D46E0B"/>
    <w:rsid w:val="00D47738"/>
    <w:rsid w:val="00D47A1A"/>
    <w:rsid w:val="00D47D36"/>
    <w:rsid w:val="00D502EB"/>
    <w:rsid w:val="00D51A9B"/>
    <w:rsid w:val="00D51D95"/>
    <w:rsid w:val="00D52446"/>
    <w:rsid w:val="00D53EC6"/>
    <w:rsid w:val="00D540EE"/>
    <w:rsid w:val="00D5545A"/>
    <w:rsid w:val="00D55A00"/>
    <w:rsid w:val="00D56548"/>
    <w:rsid w:val="00D56F77"/>
    <w:rsid w:val="00D600E0"/>
    <w:rsid w:val="00D60DB3"/>
    <w:rsid w:val="00D61E9F"/>
    <w:rsid w:val="00D62CC8"/>
    <w:rsid w:val="00D63232"/>
    <w:rsid w:val="00D63705"/>
    <w:rsid w:val="00D63E5C"/>
    <w:rsid w:val="00D6402F"/>
    <w:rsid w:val="00D641AE"/>
    <w:rsid w:val="00D64983"/>
    <w:rsid w:val="00D669F5"/>
    <w:rsid w:val="00D67BBE"/>
    <w:rsid w:val="00D7047A"/>
    <w:rsid w:val="00D719E9"/>
    <w:rsid w:val="00D72225"/>
    <w:rsid w:val="00D73550"/>
    <w:rsid w:val="00D838F7"/>
    <w:rsid w:val="00D845DA"/>
    <w:rsid w:val="00D8479E"/>
    <w:rsid w:val="00D84C25"/>
    <w:rsid w:val="00D868F1"/>
    <w:rsid w:val="00D87EFF"/>
    <w:rsid w:val="00D90F47"/>
    <w:rsid w:val="00D916FD"/>
    <w:rsid w:val="00D91AE6"/>
    <w:rsid w:val="00D93D13"/>
    <w:rsid w:val="00D941E0"/>
    <w:rsid w:val="00D95840"/>
    <w:rsid w:val="00DA1603"/>
    <w:rsid w:val="00DA2B67"/>
    <w:rsid w:val="00DA3C9A"/>
    <w:rsid w:val="00DA4C34"/>
    <w:rsid w:val="00DA554C"/>
    <w:rsid w:val="00DA589B"/>
    <w:rsid w:val="00DA5980"/>
    <w:rsid w:val="00DA5B14"/>
    <w:rsid w:val="00DA5BF6"/>
    <w:rsid w:val="00DA5F07"/>
    <w:rsid w:val="00DA6C19"/>
    <w:rsid w:val="00DB0EF6"/>
    <w:rsid w:val="00DB2668"/>
    <w:rsid w:val="00DB2CE5"/>
    <w:rsid w:val="00DB42FB"/>
    <w:rsid w:val="00DB520B"/>
    <w:rsid w:val="00DB7AEE"/>
    <w:rsid w:val="00DC04E4"/>
    <w:rsid w:val="00DC1187"/>
    <w:rsid w:val="00DC39C4"/>
    <w:rsid w:val="00DC4568"/>
    <w:rsid w:val="00DC46BA"/>
    <w:rsid w:val="00DC6AFC"/>
    <w:rsid w:val="00DC6D29"/>
    <w:rsid w:val="00DC7891"/>
    <w:rsid w:val="00DD0910"/>
    <w:rsid w:val="00DD0941"/>
    <w:rsid w:val="00DD0CC5"/>
    <w:rsid w:val="00DD12F1"/>
    <w:rsid w:val="00DD1C47"/>
    <w:rsid w:val="00DD1CB7"/>
    <w:rsid w:val="00DD2826"/>
    <w:rsid w:val="00DD355B"/>
    <w:rsid w:val="00DD3BCF"/>
    <w:rsid w:val="00DD48D8"/>
    <w:rsid w:val="00DD49FE"/>
    <w:rsid w:val="00DD5B20"/>
    <w:rsid w:val="00DD643B"/>
    <w:rsid w:val="00DD6B5E"/>
    <w:rsid w:val="00DD7BB6"/>
    <w:rsid w:val="00DE02D4"/>
    <w:rsid w:val="00DE0602"/>
    <w:rsid w:val="00DE0E3C"/>
    <w:rsid w:val="00DE13E8"/>
    <w:rsid w:val="00DE29A5"/>
    <w:rsid w:val="00DE4BF6"/>
    <w:rsid w:val="00DE52A5"/>
    <w:rsid w:val="00DE5325"/>
    <w:rsid w:val="00DE5D46"/>
    <w:rsid w:val="00DE5EF5"/>
    <w:rsid w:val="00DE69D0"/>
    <w:rsid w:val="00DE7070"/>
    <w:rsid w:val="00DE77A3"/>
    <w:rsid w:val="00DF02F6"/>
    <w:rsid w:val="00DF0993"/>
    <w:rsid w:val="00DF145B"/>
    <w:rsid w:val="00DF153C"/>
    <w:rsid w:val="00DF163F"/>
    <w:rsid w:val="00DF21B8"/>
    <w:rsid w:val="00DF284F"/>
    <w:rsid w:val="00DF31EE"/>
    <w:rsid w:val="00DF3395"/>
    <w:rsid w:val="00DF5752"/>
    <w:rsid w:val="00DF6547"/>
    <w:rsid w:val="00DF7681"/>
    <w:rsid w:val="00E00443"/>
    <w:rsid w:val="00E02C6E"/>
    <w:rsid w:val="00E02D36"/>
    <w:rsid w:val="00E03431"/>
    <w:rsid w:val="00E04625"/>
    <w:rsid w:val="00E04E43"/>
    <w:rsid w:val="00E05408"/>
    <w:rsid w:val="00E05E74"/>
    <w:rsid w:val="00E065D9"/>
    <w:rsid w:val="00E1050E"/>
    <w:rsid w:val="00E1241D"/>
    <w:rsid w:val="00E12498"/>
    <w:rsid w:val="00E13D0D"/>
    <w:rsid w:val="00E149CE"/>
    <w:rsid w:val="00E16AC4"/>
    <w:rsid w:val="00E17C58"/>
    <w:rsid w:val="00E20882"/>
    <w:rsid w:val="00E20E7B"/>
    <w:rsid w:val="00E20F5E"/>
    <w:rsid w:val="00E2178D"/>
    <w:rsid w:val="00E21F24"/>
    <w:rsid w:val="00E2263B"/>
    <w:rsid w:val="00E2282A"/>
    <w:rsid w:val="00E22DDE"/>
    <w:rsid w:val="00E23958"/>
    <w:rsid w:val="00E23AD4"/>
    <w:rsid w:val="00E23BEC"/>
    <w:rsid w:val="00E23EC3"/>
    <w:rsid w:val="00E24E4D"/>
    <w:rsid w:val="00E25D14"/>
    <w:rsid w:val="00E25F8C"/>
    <w:rsid w:val="00E25FF3"/>
    <w:rsid w:val="00E2618B"/>
    <w:rsid w:val="00E267F1"/>
    <w:rsid w:val="00E26938"/>
    <w:rsid w:val="00E27EDD"/>
    <w:rsid w:val="00E30DD4"/>
    <w:rsid w:val="00E3447D"/>
    <w:rsid w:val="00E3704F"/>
    <w:rsid w:val="00E3751B"/>
    <w:rsid w:val="00E41399"/>
    <w:rsid w:val="00E42772"/>
    <w:rsid w:val="00E44F08"/>
    <w:rsid w:val="00E528AF"/>
    <w:rsid w:val="00E53131"/>
    <w:rsid w:val="00E5420A"/>
    <w:rsid w:val="00E55167"/>
    <w:rsid w:val="00E5518E"/>
    <w:rsid w:val="00E56222"/>
    <w:rsid w:val="00E566D8"/>
    <w:rsid w:val="00E57743"/>
    <w:rsid w:val="00E577C9"/>
    <w:rsid w:val="00E57D50"/>
    <w:rsid w:val="00E620A2"/>
    <w:rsid w:val="00E62DD3"/>
    <w:rsid w:val="00E63380"/>
    <w:rsid w:val="00E64190"/>
    <w:rsid w:val="00E641D8"/>
    <w:rsid w:val="00E64B11"/>
    <w:rsid w:val="00E669B7"/>
    <w:rsid w:val="00E66D8F"/>
    <w:rsid w:val="00E6742D"/>
    <w:rsid w:val="00E703AA"/>
    <w:rsid w:val="00E7098E"/>
    <w:rsid w:val="00E71707"/>
    <w:rsid w:val="00E71EF1"/>
    <w:rsid w:val="00E72D01"/>
    <w:rsid w:val="00E73017"/>
    <w:rsid w:val="00E731C6"/>
    <w:rsid w:val="00E7398B"/>
    <w:rsid w:val="00E740C4"/>
    <w:rsid w:val="00E74686"/>
    <w:rsid w:val="00E74750"/>
    <w:rsid w:val="00E76045"/>
    <w:rsid w:val="00E76686"/>
    <w:rsid w:val="00E80520"/>
    <w:rsid w:val="00E80567"/>
    <w:rsid w:val="00E80AAC"/>
    <w:rsid w:val="00E818D4"/>
    <w:rsid w:val="00E81BD0"/>
    <w:rsid w:val="00E81D4A"/>
    <w:rsid w:val="00E8297B"/>
    <w:rsid w:val="00E83C98"/>
    <w:rsid w:val="00E840FE"/>
    <w:rsid w:val="00E847DC"/>
    <w:rsid w:val="00E84DBD"/>
    <w:rsid w:val="00E873A0"/>
    <w:rsid w:val="00E90A99"/>
    <w:rsid w:val="00E9124C"/>
    <w:rsid w:val="00E9128A"/>
    <w:rsid w:val="00E91BFD"/>
    <w:rsid w:val="00E91C15"/>
    <w:rsid w:val="00E920FD"/>
    <w:rsid w:val="00E93BF9"/>
    <w:rsid w:val="00E943E8"/>
    <w:rsid w:val="00E945CE"/>
    <w:rsid w:val="00E94FAF"/>
    <w:rsid w:val="00E96293"/>
    <w:rsid w:val="00E96E5C"/>
    <w:rsid w:val="00E97091"/>
    <w:rsid w:val="00E97604"/>
    <w:rsid w:val="00E9774E"/>
    <w:rsid w:val="00EA0340"/>
    <w:rsid w:val="00EA0528"/>
    <w:rsid w:val="00EA0B53"/>
    <w:rsid w:val="00EA0C10"/>
    <w:rsid w:val="00EA17FD"/>
    <w:rsid w:val="00EA2E68"/>
    <w:rsid w:val="00EA347E"/>
    <w:rsid w:val="00EA4E02"/>
    <w:rsid w:val="00EA6276"/>
    <w:rsid w:val="00EA6533"/>
    <w:rsid w:val="00EB048C"/>
    <w:rsid w:val="00EB1599"/>
    <w:rsid w:val="00EB2C67"/>
    <w:rsid w:val="00EB367C"/>
    <w:rsid w:val="00EB43BA"/>
    <w:rsid w:val="00EB46D0"/>
    <w:rsid w:val="00EB4700"/>
    <w:rsid w:val="00EB4927"/>
    <w:rsid w:val="00EB572D"/>
    <w:rsid w:val="00EB7A3A"/>
    <w:rsid w:val="00EB7CBB"/>
    <w:rsid w:val="00EB7F72"/>
    <w:rsid w:val="00EC080B"/>
    <w:rsid w:val="00EC4357"/>
    <w:rsid w:val="00EC4726"/>
    <w:rsid w:val="00EC49A4"/>
    <w:rsid w:val="00EC4B0D"/>
    <w:rsid w:val="00EC4EF3"/>
    <w:rsid w:val="00EC7B5B"/>
    <w:rsid w:val="00ED0639"/>
    <w:rsid w:val="00ED16C8"/>
    <w:rsid w:val="00ED20C9"/>
    <w:rsid w:val="00ED21EE"/>
    <w:rsid w:val="00ED37E1"/>
    <w:rsid w:val="00ED3B31"/>
    <w:rsid w:val="00ED4EC4"/>
    <w:rsid w:val="00ED6C04"/>
    <w:rsid w:val="00ED77BD"/>
    <w:rsid w:val="00EE04B4"/>
    <w:rsid w:val="00EE092E"/>
    <w:rsid w:val="00EE26AD"/>
    <w:rsid w:val="00EE3912"/>
    <w:rsid w:val="00EE4040"/>
    <w:rsid w:val="00EE4094"/>
    <w:rsid w:val="00EE453D"/>
    <w:rsid w:val="00EE4D57"/>
    <w:rsid w:val="00EE53FF"/>
    <w:rsid w:val="00EE5E83"/>
    <w:rsid w:val="00EE610F"/>
    <w:rsid w:val="00EE6954"/>
    <w:rsid w:val="00EE7092"/>
    <w:rsid w:val="00EE7FB1"/>
    <w:rsid w:val="00EF02BF"/>
    <w:rsid w:val="00EF1F92"/>
    <w:rsid w:val="00EF2F5C"/>
    <w:rsid w:val="00EF52E2"/>
    <w:rsid w:val="00EF7590"/>
    <w:rsid w:val="00F013FE"/>
    <w:rsid w:val="00F02000"/>
    <w:rsid w:val="00F0231D"/>
    <w:rsid w:val="00F024CA"/>
    <w:rsid w:val="00F027AA"/>
    <w:rsid w:val="00F0301B"/>
    <w:rsid w:val="00F03117"/>
    <w:rsid w:val="00F03373"/>
    <w:rsid w:val="00F033AD"/>
    <w:rsid w:val="00F0354F"/>
    <w:rsid w:val="00F06C92"/>
    <w:rsid w:val="00F07B0E"/>
    <w:rsid w:val="00F07B96"/>
    <w:rsid w:val="00F1013F"/>
    <w:rsid w:val="00F10368"/>
    <w:rsid w:val="00F10A99"/>
    <w:rsid w:val="00F12BF4"/>
    <w:rsid w:val="00F138A2"/>
    <w:rsid w:val="00F13C5A"/>
    <w:rsid w:val="00F14C80"/>
    <w:rsid w:val="00F154EB"/>
    <w:rsid w:val="00F16BFD"/>
    <w:rsid w:val="00F17575"/>
    <w:rsid w:val="00F1764E"/>
    <w:rsid w:val="00F20632"/>
    <w:rsid w:val="00F20E56"/>
    <w:rsid w:val="00F23738"/>
    <w:rsid w:val="00F30846"/>
    <w:rsid w:val="00F30CAB"/>
    <w:rsid w:val="00F32479"/>
    <w:rsid w:val="00F327DF"/>
    <w:rsid w:val="00F32E2C"/>
    <w:rsid w:val="00F33121"/>
    <w:rsid w:val="00F33769"/>
    <w:rsid w:val="00F33940"/>
    <w:rsid w:val="00F356D2"/>
    <w:rsid w:val="00F358DA"/>
    <w:rsid w:val="00F3608C"/>
    <w:rsid w:val="00F36736"/>
    <w:rsid w:val="00F36DEB"/>
    <w:rsid w:val="00F406FD"/>
    <w:rsid w:val="00F40D24"/>
    <w:rsid w:val="00F414D0"/>
    <w:rsid w:val="00F43059"/>
    <w:rsid w:val="00F4722B"/>
    <w:rsid w:val="00F47D9D"/>
    <w:rsid w:val="00F50558"/>
    <w:rsid w:val="00F50A8E"/>
    <w:rsid w:val="00F513F7"/>
    <w:rsid w:val="00F522A8"/>
    <w:rsid w:val="00F544D2"/>
    <w:rsid w:val="00F551C5"/>
    <w:rsid w:val="00F55847"/>
    <w:rsid w:val="00F57142"/>
    <w:rsid w:val="00F5756D"/>
    <w:rsid w:val="00F57F51"/>
    <w:rsid w:val="00F62D81"/>
    <w:rsid w:val="00F62F79"/>
    <w:rsid w:val="00F630A2"/>
    <w:rsid w:val="00F643B2"/>
    <w:rsid w:val="00F652AB"/>
    <w:rsid w:val="00F65942"/>
    <w:rsid w:val="00F65BE2"/>
    <w:rsid w:val="00F65E84"/>
    <w:rsid w:val="00F661FF"/>
    <w:rsid w:val="00F66BFD"/>
    <w:rsid w:val="00F67651"/>
    <w:rsid w:val="00F707F5"/>
    <w:rsid w:val="00F7225A"/>
    <w:rsid w:val="00F72AA0"/>
    <w:rsid w:val="00F7335F"/>
    <w:rsid w:val="00F761F7"/>
    <w:rsid w:val="00F76A40"/>
    <w:rsid w:val="00F77282"/>
    <w:rsid w:val="00F808C4"/>
    <w:rsid w:val="00F80C07"/>
    <w:rsid w:val="00F814BB"/>
    <w:rsid w:val="00F814F9"/>
    <w:rsid w:val="00F82224"/>
    <w:rsid w:val="00F85BC0"/>
    <w:rsid w:val="00F86796"/>
    <w:rsid w:val="00F870F9"/>
    <w:rsid w:val="00F87264"/>
    <w:rsid w:val="00F908E9"/>
    <w:rsid w:val="00F90A98"/>
    <w:rsid w:val="00F91722"/>
    <w:rsid w:val="00F96295"/>
    <w:rsid w:val="00F96B49"/>
    <w:rsid w:val="00F96D19"/>
    <w:rsid w:val="00FA56D6"/>
    <w:rsid w:val="00FA595F"/>
    <w:rsid w:val="00FA5F99"/>
    <w:rsid w:val="00FA6C24"/>
    <w:rsid w:val="00FB338F"/>
    <w:rsid w:val="00FB3BA5"/>
    <w:rsid w:val="00FB5298"/>
    <w:rsid w:val="00FB651A"/>
    <w:rsid w:val="00FB6E11"/>
    <w:rsid w:val="00FC0CB3"/>
    <w:rsid w:val="00FC1C09"/>
    <w:rsid w:val="00FC2999"/>
    <w:rsid w:val="00FC2A66"/>
    <w:rsid w:val="00FC4D6A"/>
    <w:rsid w:val="00FC5465"/>
    <w:rsid w:val="00FC58B2"/>
    <w:rsid w:val="00FC697F"/>
    <w:rsid w:val="00FC765F"/>
    <w:rsid w:val="00FD1861"/>
    <w:rsid w:val="00FD3DCC"/>
    <w:rsid w:val="00FD3F5C"/>
    <w:rsid w:val="00FD49E8"/>
    <w:rsid w:val="00FD5375"/>
    <w:rsid w:val="00FD5B82"/>
    <w:rsid w:val="00FD61A3"/>
    <w:rsid w:val="00FD66C9"/>
    <w:rsid w:val="00FD7446"/>
    <w:rsid w:val="00FD79F6"/>
    <w:rsid w:val="00FE0371"/>
    <w:rsid w:val="00FE1258"/>
    <w:rsid w:val="00FE2025"/>
    <w:rsid w:val="00FE31D0"/>
    <w:rsid w:val="00FE34BD"/>
    <w:rsid w:val="00FE3581"/>
    <w:rsid w:val="00FE7A3F"/>
    <w:rsid w:val="00FF10F6"/>
    <w:rsid w:val="00FF3716"/>
    <w:rsid w:val="00FF4E87"/>
    <w:rsid w:val="00FF5C5C"/>
    <w:rsid w:val="00FF77CE"/>
    <w:rsid w:val="3BB577AD"/>
    <w:rsid w:val="77FEB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9A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uiPriority="35" w:qFormat="1"/>
    <w:lsdException w:name="table of figures" w:uiPriority="99"/>
    <w:lsdException w:name="footnote reference"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473DB"/>
    <w:pPr>
      <w:keepNext/>
      <w:spacing w:before="240" w:after="60"/>
      <w:outlineLvl w:val="2"/>
    </w:pPr>
    <w:rPr>
      <w:rFonts w:ascii="Arial" w:hAnsi="Arial" w:cs="Arial"/>
      <w:b/>
      <w:bCs/>
      <w:szCs w:val="26"/>
    </w:rPr>
  </w:style>
  <w:style w:type="paragraph" w:styleId="Heading4">
    <w:name w:val="heading 4"/>
    <w:basedOn w:val="Normal"/>
    <w:next w:val="Normal"/>
    <w:link w:val="Heading4Char"/>
    <w:unhideWhenUsed/>
    <w:qFormat/>
    <w:rsid w:val="008473DB"/>
    <w:pPr>
      <w:keepNext/>
      <w:keepLines/>
      <w:spacing w:before="20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uiPriority w:val="35"/>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link w:val="CommentTextChar"/>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8473DB"/>
    <w:rPr>
      <w:rFonts w:asciiTheme="majorHAnsi" w:eastAsiaTheme="majorEastAsia" w:hAnsiTheme="majorHAnsi" w:cstheme="majorBidi"/>
      <w:b/>
      <w:bCs/>
      <w:i/>
      <w:iCs/>
      <w:sz w:val="24"/>
      <w:szCs w:val="24"/>
    </w:rPr>
  </w:style>
  <w:style w:type="paragraph" w:styleId="NoSpacing">
    <w:name w:val="No Spacing"/>
    <w:uiPriority w:val="1"/>
    <w:qFormat/>
    <w:rsid w:val="00103793"/>
    <w:rPr>
      <w:rFonts w:asciiTheme="minorHAnsi" w:eastAsiaTheme="minorHAnsi" w:hAnsiTheme="minorHAnsi" w:cstheme="minorBidi"/>
      <w:sz w:val="22"/>
      <w:szCs w:val="22"/>
    </w:rPr>
  </w:style>
  <w:style w:type="paragraph" w:styleId="Revision">
    <w:name w:val="Revision"/>
    <w:hidden/>
    <w:uiPriority w:val="99"/>
    <w:semiHidden/>
    <w:rsid w:val="00D84C25"/>
    <w:rPr>
      <w:sz w:val="24"/>
      <w:szCs w:val="24"/>
    </w:rPr>
  </w:style>
  <w:style w:type="character" w:customStyle="1" w:styleId="FootnoteTextChar">
    <w:name w:val="Footnote Text Char"/>
    <w:basedOn w:val="DefaultParagraphFont"/>
    <w:link w:val="FootnoteText"/>
    <w:uiPriority w:val="99"/>
    <w:semiHidden/>
    <w:rsid w:val="002A173B"/>
  </w:style>
  <w:style w:type="paragraph" w:styleId="BodyText">
    <w:name w:val="Body Text"/>
    <w:basedOn w:val="Normal"/>
    <w:link w:val="BodyTextChar"/>
    <w:uiPriority w:val="1"/>
    <w:qFormat/>
    <w:rsid w:val="001B4D7A"/>
    <w:pPr>
      <w:widowControl w:val="0"/>
      <w:autoSpaceDE w:val="0"/>
      <w:autoSpaceDN w:val="0"/>
    </w:pPr>
    <w:rPr>
      <w:rFonts w:ascii="Palatino Linotype" w:eastAsia="Palatino Linotype" w:hAnsi="Palatino Linotype" w:cs="Palatino Linotype"/>
      <w:sz w:val="22"/>
      <w:szCs w:val="22"/>
      <w:lang w:bidi="en-US"/>
    </w:rPr>
  </w:style>
  <w:style w:type="character" w:customStyle="1" w:styleId="BodyTextChar">
    <w:name w:val="Body Text Char"/>
    <w:basedOn w:val="DefaultParagraphFont"/>
    <w:link w:val="BodyText"/>
    <w:uiPriority w:val="1"/>
    <w:rsid w:val="001B4D7A"/>
    <w:rPr>
      <w:rFonts w:ascii="Palatino Linotype" w:eastAsia="Palatino Linotype" w:hAnsi="Palatino Linotype" w:cs="Palatino Linotype"/>
      <w:sz w:val="22"/>
      <w:szCs w:val="22"/>
      <w:lang w:bidi="en-US"/>
    </w:rPr>
  </w:style>
  <w:style w:type="character" w:customStyle="1" w:styleId="UnresolvedMention1">
    <w:name w:val="Unresolved Mention1"/>
    <w:basedOn w:val="DefaultParagraphFont"/>
    <w:uiPriority w:val="99"/>
    <w:semiHidden/>
    <w:unhideWhenUsed/>
    <w:rsid w:val="006F7A9C"/>
    <w:rPr>
      <w:color w:val="808080"/>
      <w:shd w:val="clear" w:color="auto" w:fill="E6E6E6"/>
    </w:rPr>
  </w:style>
  <w:style w:type="paragraph" w:customStyle="1" w:styleId="Default">
    <w:name w:val="Default"/>
    <w:rsid w:val="00DD7BB6"/>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rsid w:val="000973D9"/>
  </w:style>
  <w:style w:type="character" w:customStyle="1" w:styleId="Heading2Char">
    <w:name w:val="Heading 2 Char"/>
    <w:link w:val="Heading2"/>
    <w:rsid w:val="00766132"/>
    <w:rPr>
      <w:rFonts w:ascii="Arial" w:hAnsi="Arial" w:cs="Arial"/>
      <w:b/>
      <w:bCs/>
      <w:i/>
      <w:iCs/>
      <w:sz w:val="28"/>
      <w:szCs w:val="28"/>
    </w:rPr>
  </w:style>
  <w:style w:type="character" w:customStyle="1" w:styleId="UnresolvedMention2">
    <w:name w:val="Unresolved Mention2"/>
    <w:basedOn w:val="DefaultParagraphFont"/>
    <w:uiPriority w:val="99"/>
    <w:semiHidden/>
    <w:unhideWhenUsed/>
    <w:rsid w:val="001730CE"/>
    <w:rPr>
      <w:color w:val="808080"/>
      <w:shd w:val="clear" w:color="auto" w:fill="E6E6E6"/>
    </w:rPr>
  </w:style>
  <w:style w:type="character" w:styleId="Emphasis">
    <w:name w:val="Emphasis"/>
    <w:basedOn w:val="DefaultParagraphFont"/>
    <w:qFormat/>
    <w:rsid w:val="00103867"/>
    <w:rPr>
      <w:i/>
      <w:iCs/>
    </w:rPr>
  </w:style>
  <w:style w:type="paragraph" w:styleId="TOCHeading">
    <w:name w:val="TOC Heading"/>
    <w:basedOn w:val="Heading1"/>
    <w:next w:val="Normal"/>
    <w:uiPriority w:val="39"/>
    <w:unhideWhenUsed/>
    <w:qFormat/>
    <w:rsid w:val="000750C5"/>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uiPriority="35" w:qFormat="1"/>
    <w:lsdException w:name="table of figures" w:uiPriority="99"/>
    <w:lsdException w:name="footnote reference"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473DB"/>
    <w:pPr>
      <w:keepNext/>
      <w:spacing w:before="240" w:after="60"/>
      <w:outlineLvl w:val="2"/>
    </w:pPr>
    <w:rPr>
      <w:rFonts w:ascii="Arial" w:hAnsi="Arial" w:cs="Arial"/>
      <w:b/>
      <w:bCs/>
      <w:szCs w:val="26"/>
    </w:rPr>
  </w:style>
  <w:style w:type="paragraph" w:styleId="Heading4">
    <w:name w:val="heading 4"/>
    <w:basedOn w:val="Normal"/>
    <w:next w:val="Normal"/>
    <w:link w:val="Heading4Char"/>
    <w:unhideWhenUsed/>
    <w:qFormat/>
    <w:rsid w:val="008473DB"/>
    <w:pPr>
      <w:keepNext/>
      <w:keepLines/>
      <w:spacing w:before="20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uiPriority w:val="35"/>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link w:val="CommentTextChar"/>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8473DB"/>
    <w:rPr>
      <w:rFonts w:asciiTheme="majorHAnsi" w:eastAsiaTheme="majorEastAsia" w:hAnsiTheme="majorHAnsi" w:cstheme="majorBidi"/>
      <w:b/>
      <w:bCs/>
      <w:i/>
      <w:iCs/>
      <w:sz w:val="24"/>
      <w:szCs w:val="24"/>
    </w:rPr>
  </w:style>
  <w:style w:type="paragraph" w:styleId="NoSpacing">
    <w:name w:val="No Spacing"/>
    <w:uiPriority w:val="1"/>
    <w:qFormat/>
    <w:rsid w:val="00103793"/>
    <w:rPr>
      <w:rFonts w:asciiTheme="minorHAnsi" w:eastAsiaTheme="minorHAnsi" w:hAnsiTheme="minorHAnsi" w:cstheme="minorBidi"/>
      <w:sz w:val="22"/>
      <w:szCs w:val="22"/>
    </w:rPr>
  </w:style>
  <w:style w:type="paragraph" w:styleId="Revision">
    <w:name w:val="Revision"/>
    <w:hidden/>
    <w:uiPriority w:val="99"/>
    <w:semiHidden/>
    <w:rsid w:val="00D84C25"/>
    <w:rPr>
      <w:sz w:val="24"/>
      <w:szCs w:val="24"/>
    </w:rPr>
  </w:style>
  <w:style w:type="character" w:customStyle="1" w:styleId="FootnoteTextChar">
    <w:name w:val="Footnote Text Char"/>
    <w:basedOn w:val="DefaultParagraphFont"/>
    <w:link w:val="FootnoteText"/>
    <w:uiPriority w:val="99"/>
    <w:semiHidden/>
    <w:rsid w:val="002A173B"/>
  </w:style>
  <w:style w:type="paragraph" w:styleId="BodyText">
    <w:name w:val="Body Text"/>
    <w:basedOn w:val="Normal"/>
    <w:link w:val="BodyTextChar"/>
    <w:uiPriority w:val="1"/>
    <w:qFormat/>
    <w:rsid w:val="001B4D7A"/>
    <w:pPr>
      <w:widowControl w:val="0"/>
      <w:autoSpaceDE w:val="0"/>
      <w:autoSpaceDN w:val="0"/>
    </w:pPr>
    <w:rPr>
      <w:rFonts w:ascii="Palatino Linotype" w:eastAsia="Palatino Linotype" w:hAnsi="Palatino Linotype" w:cs="Palatino Linotype"/>
      <w:sz w:val="22"/>
      <w:szCs w:val="22"/>
      <w:lang w:bidi="en-US"/>
    </w:rPr>
  </w:style>
  <w:style w:type="character" w:customStyle="1" w:styleId="BodyTextChar">
    <w:name w:val="Body Text Char"/>
    <w:basedOn w:val="DefaultParagraphFont"/>
    <w:link w:val="BodyText"/>
    <w:uiPriority w:val="1"/>
    <w:rsid w:val="001B4D7A"/>
    <w:rPr>
      <w:rFonts w:ascii="Palatino Linotype" w:eastAsia="Palatino Linotype" w:hAnsi="Palatino Linotype" w:cs="Palatino Linotype"/>
      <w:sz w:val="22"/>
      <w:szCs w:val="22"/>
      <w:lang w:bidi="en-US"/>
    </w:rPr>
  </w:style>
  <w:style w:type="character" w:customStyle="1" w:styleId="UnresolvedMention1">
    <w:name w:val="Unresolved Mention1"/>
    <w:basedOn w:val="DefaultParagraphFont"/>
    <w:uiPriority w:val="99"/>
    <w:semiHidden/>
    <w:unhideWhenUsed/>
    <w:rsid w:val="006F7A9C"/>
    <w:rPr>
      <w:color w:val="808080"/>
      <w:shd w:val="clear" w:color="auto" w:fill="E6E6E6"/>
    </w:rPr>
  </w:style>
  <w:style w:type="paragraph" w:customStyle="1" w:styleId="Default">
    <w:name w:val="Default"/>
    <w:rsid w:val="00DD7BB6"/>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rsid w:val="000973D9"/>
  </w:style>
  <w:style w:type="character" w:customStyle="1" w:styleId="Heading2Char">
    <w:name w:val="Heading 2 Char"/>
    <w:link w:val="Heading2"/>
    <w:rsid w:val="00766132"/>
    <w:rPr>
      <w:rFonts w:ascii="Arial" w:hAnsi="Arial" w:cs="Arial"/>
      <w:b/>
      <w:bCs/>
      <w:i/>
      <w:iCs/>
      <w:sz w:val="28"/>
      <w:szCs w:val="28"/>
    </w:rPr>
  </w:style>
  <w:style w:type="character" w:customStyle="1" w:styleId="UnresolvedMention2">
    <w:name w:val="Unresolved Mention2"/>
    <w:basedOn w:val="DefaultParagraphFont"/>
    <w:uiPriority w:val="99"/>
    <w:semiHidden/>
    <w:unhideWhenUsed/>
    <w:rsid w:val="001730CE"/>
    <w:rPr>
      <w:color w:val="808080"/>
      <w:shd w:val="clear" w:color="auto" w:fill="E6E6E6"/>
    </w:rPr>
  </w:style>
  <w:style w:type="character" w:styleId="Emphasis">
    <w:name w:val="Emphasis"/>
    <w:basedOn w:val="DefaultParagraphFont"/>
    <w:qFormat/>
    <w:rsid w:val="00103867"/>
    <w:rPr>
      <w:i/>
      <w:iCs/>
    </w:rPr>
  </w:style>
  <w:style w:type="paragraph" w:styleId="TOCHeading">
    <w:name w:val="TOC Heading"/>
    <w:basedOn w:val="Heading1"/>
    <w:next w:val="Normal"/>
    <w:uiPriority w:val="39"/>
    <w:unhideWhenUsed/>
    <w:qFormat/>
    <w:rsid w:val="000750C5"/>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135">
      <w:bodyDiv w:val="1"/>
      <w:marLeft w:val="0"/>
      <w:marRight w:val="0"/>
      <w:marTop w:val="0"/>
      <w:marBottom w:val="0"/>
      <w:divBdr>
        <w:top w:val="none" w:sz="0" w:space="0" w:color="auto"/>
        <w:left w:val="none" w:sz="0" w:space="0" w:color="auto"/>
        <w:bottom w:val="none" w:sz="0" w:space="0" w:color="auto"/>
        <w:right w:val="none" w:sz="0" w:space="0" w:color="auto"/>
      </w:divBdr>
    </w:div>
    <w:div w:id="23950115">
      <w:bodyDiv w:val="1"/>
      <w:marLeft w:val="0"/>
      <w:marRight w:val="0"/>
      <w:marTop w:val="0"/>
      <w:marBottom w:val="0"/>
      <w:divBdr>
        <w:top w:val="none" w:sz="0" w:space="0" w:color="auto"/>
        <w:left w:val="none" w:sz="0" w:space="0" w:color="auto"/>
        <w:bottom w:val="none" w:sz="0" w:space="0" w:color="auto"/>
        <w:right w:val="none" w:sz="0" w:space="0" w:color="auto"/>
      </w:divBdr>
    </w:div>
    <w:div w:id="85659353">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90707435">
      <w:bodyDiv w:val="1"/>
      <w:marLeft w:val="0"/>
      <w:marRight w:val="0"/>
      <w:marTop w:val="0"/>
      <w:marBottom w:val="0"/>
      <w:divBdr>
        <w:top w:val="none" w:sz="0" w:space="0" w:color="auto"/>
        <w:left w:val="none" w:sz="0" w:space="0" w:color="auto"/>
        <w:bottom w:val="none" w:sz="0" w:space="0" w:color="auto"/>
        <w:right w:val="none" w:sz="0" w:space="0" w:color="auto"/>
      </w:divBdr>
    </w:div>
    <w:div w:id="95562014">
      <w:bodyDiv w:val="1"/>
      <w:marLeft w:val="0"/>
      <w:marRight w:val="0"/>
      <w:marTop w:val="0"/>
      <w:marBottom w:val="0"/>
      <w:divBdr>
        <w:top w:val="none" w:sz="0" w:space="0" w:color="auto"/>
        <w:left w:val="none" w:sz="0" w:space="0" w:color="auto"/>
        <w:bottom w:val="none" w:sz="0" w:space="0" w:color="auto"/>
        <w:right w:val="none" w:sz="0" w:space="0" w:color="auto"/>
      </w:divBdr>
    </w:div>
    <w:div w:id="97917201">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191068322">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543135">
      <w:bodyDiv w:val="1"/>
      <w:marLeft w:val="0"/>
      <w:marRight w:val="0"/>
      <w:marTop w:val="0"/>
      <w:marBottom w:val="0"/>
      <w:divBdr>
        <w:top w:val="none" w:sz="0" w:space="0" w:color="auto"/>
        <w:left w:val="none" w:sz="0" w:space="0" w:color="auto"/>
        <w:bottom w:val="none" w:sz="0" w:space="0" w:color="auto"/>
        <w:right w:val="none" w:sz="0" w:space="0" w:color="auto"/>
      </w:divBdr>
    </w:div>
    <w:div w:id="286670423">
      <w:bodyDiv w:val="1"/>
      <w:marLeft w:val="0"/>
      <w:marRight w:val="0"/>
      <w:marTop w:val="0"/>
      <w:marBottom w:val="0"/>
      <w:divBdr>
        <w:top w:val="none" w:sz="0" w:space="0" w:color="auto"/>
        <w:left w:val="none" w:sz="0" w:space="0" w:color="auto"/>
        <w:bottom w:val="none" w:sz="0" w:space="0" w:color="auto"/>
        <w:right w:val="none" w:sz="0" w:space="0" w:color="auto"/>
      </w:divBdr>
    </w:div>
    <w:div w:id="291130099">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05933131">
      <w:bodyDiv w:val="1"/>
      <w:marLeft w:val="0"/>
      <w:marRight w:val="0"/>
      <w:marTop w:val="0"/>
      <w:marBottom w:val="0"/>
      <w:divBdr>
        <w:top w:val="none" w:sz="0" w:space="0" w:color="auto"/>
        <w:left w:val="none" w:sz="0" w:space="0" w:color="auto"/>
        <w:bottom w:val="none" w:sz="0" w:space="0" w:color="auto"/>
        <w:right w:val="none" w:sz="0" w:space="0" w:color="auto"/>
      </w:divBdr>
    </w:div>
    <w:div w:id="37350070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19700932">
      <w:bodyDiv w:val="1"/>
      <w:marLeft w:val="0"/>
      <w:marRight w:val="0"/>
      <w:marTop w:val="0"/>
      <w:marBottom w:val="0"/>
      <w:divBdr>
        <w:top w:val="none" w:sz="0" w:space="0" w:color="auto"/>
        <w:left w:val="none" w:sz="0" w:space="0" w:color="auto"/>
        <w:bottom w:val="none" w:sz="0" w:space="0" w:color="auto"/>
        <w:right w:val="none" w:sz="0" w:space="0" w:color="auto"/>
      </w:divBdr>
    </w:div>
    <w:div w:id="56603950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692268986">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99561381">
      <w:bodyDiv w:val="1"/>
      <w:marLeft w:val="0"/>
      <w:marRight w:val="0"/>
      <w:marTop w:val="0"/>
      <w:marBottom w:val="0"/>
      <w:divBdr>
        <w:top w:val="none" w:sz="0" w:space="0" w:color="auto"/>
        <w:left w:val="none" w:sz="0" w:space="0" w:color="auto"/>
        <w:bottom w:val="none" w:sz="0" w:space="0" w:color="auto"/>
        <w:right w:val="none" w:sz="0" w:space="0" w:color="auto"/>
      </w:divBdr>
    </w:div>
    <w:div w:id="994575892">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62027457">
      <w:bodyDiv w:val="1"/>
      <w:marLeft w:val="0"/>
      <w:marRight w:val="0"/>
      <w:marTop w:val="0"/>
      <w:marBottom w:val="0"/>
      <w:divBdr>
        <w:top w:val="none" w:sz="0" w:space="0" w:color="auto"/>
        <w:left w:val="none" w:sz="0" w:space="0" w:color="auto"/>
        <w:bottom w:val="none" w:sz="0" w:space="0" w:color="auto"/>
        <w:right w:val="none" w:sz="0" w:space="0" w:color="auto"/>
      </w:divBdr>
    </w:div>
    <w:div w:id="1339307149">
      <w:bodyDiv w:val="1"/>
      <w:marLeft w:val="0"/>
      <w:marRight w:val="0"/>
      <w:marTop w:val="0"/>
      <w:marBottom w:val="0"/>
      <w:divBdr>
        <w:top w:val="none" w:sz="0" w:space="0" w:color="auto"/>
        <w:left w:val="none" w:sz="0" w:space="0" w:color="auto"/>
        <w:bottom w:val="none" w:sz="0" w:space="0" w:color="auto"/>
        <w:right w:val="none" w:sz="0" w:space="0" w:color="auto"/>
      </w:divBdr>
    </w:div>
    <w:div w:id="1363631282">
      <w:bodyDiv w:val="1"/>
      <w:marLeft w:val="0"/>
      <w:marRight w:val="0"/>
      <w:marTop w:val="0"/>
      <w:marBottom w:val="0"/>
      <w:divBdr>
        <w:top w:val="none" w:sz="0" w:space="0" w:color="auto"/>
        <w:left w:val="none" w:sz="0" w:space="0" w:color="auto"/>
        <w:bottom w:val="none" w:sz="0" w:space="0" w:color="auto"/>
        <w:right w:val="none" w:sz="0" w:space="0" w:color="auto"/>
      </w:divBdr>
    </w:div>
    <w:div w:id="1425028158">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47580298">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97777558">
      <w:bodyDiv w:val="1"/>
      <w:marLeft w:val="0"/>
      <w:marRight w:val="0"/>
      <w:marTop w:val="0"/>
      <w:marBottom w:val="0"/>
      <w:divBdr>
        <w:top w:val="none" w:sz="0" w:space="0" w:color="auto"/>
        <w:left w:val="none" w:sz="0" w:space="0" w:color="auto"/>
        <w:bottom w:val="none" w:sz="0" w:space="0" w:color="auto"/>
        <w:right w:val="none" w:sz="0" w:space="0" w:color="auto"/>
      </w:divBdr>
    </w:div>
    <w:div w:id="1747418591">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4513914">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15291891">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19512103">
      <w:bodyDiv w:val="1"/>
      <w:marLeft w:val="0"/>
      <w:marRight w:val="0"/>
      <w:marTop w:val="0"/>
      <w:marBottom w:val="0"/>
      <w:divBdr>
        <w:top w:val="none" w:sz="0" w:space="0" w:color="auto"/>
        <w:left w:val="none" w:sz="0" w:space="0" w:color="auto"/>
        <w:bottom w:val="none" w:sz="0" w:space="0" w:color="auto"/>
        <w:right w:val="none" w:sz="0" w:space="0" w:color="auto"/>
      </w:divBdr>
    </w:div>
    <w:div w:id="1939407491">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3262219">
      <w:bodyDiv w:val="1"/>
      <w:marLeft w:val="0"/>
      <w:marRight w:val="0"/>
      <w:marTop w:val="0"/>
      <w:marBottom w:val="0"/>
      <w:divBdr>
        <w:top w:val="none" w:sz="0" w:space="0" w:color="auto"/>
        <w:left w:val="none" w:sz="0" w:space="0" w:color="auto"/>
        <w:bottom w:val="none" w:sz="0" w:space="0" w:color="auto"/>
        <w:right w:val="none" w:sz="0" w:space="0" w:color="auto"/>
      </w:divBdr>
    </w:div>
    <w:div w:id="2001226619">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32875772">
      <w:bodyDiv w:val="1"/>
      <w:marLeft w:val="0"/>
      <w:marRight w:val="0"/>
      <w:marTop w:val="0"/>
      <w:marBottom w:val="0"/>
      <w:divBdr>
        <w:top w:val="none" w:sz="0" w:space="0" w:color="auto"/>
        <w:left w:val="none" w:sz="0" w:space="0" w:color="auto"/>
        <w:bottom w:val="none" w:sz="0" w:space="0" w:color="auto"/>
        <w:right w:val="none" w:sz="0" w:space="0" w:color="auto"/>
      </w:divBdr>
    </w:div>
    <w:div w:id="2080011593">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609483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microsoft.com/office/2016/09/relationships/commentsIds" Target="commentsIds.xml"/></Relationships>
</file>

<file path=word/_rels/endnotes.xml.rels><?xml version="1.0" encoding="UTF-8" standalone="yes"?>
<Relationships xmlns="http://schemas.openxmlformats.org/package/2006/relationships"><Relationship Id="rId8" Type="http://schemas.openxmlformats.org/officeDocument/2006/relationships/hyperlink" Target="http://www.calmac.org/publications/LED_Pricing_Analysis_Report_-_Revised_1.19.2018_Final.pdf" TargetMode="External"/><Relationship Id="rId13" Type="http://schemas.openxmlformats.org/officeDocument/2006/relationships/hyperlink" Target="http://www.rsmeans.com" TargetMode="External"/><Relationship Id="rId3" Type="http://schemas.openxmlformats.org/officeDocument/2006/relationships/hyperlink" Target="https://www.etcc-ca.com/sites/default/files/reports/ET11PGE3251%20LED%20Office%20Lighting%20With%20ALCS.pdf" TargetMode="External"/><Relationship Id="rId7" Type="http://schemas.openxmlformats.org/officeDocument/2006/relationships/hyperlink" Target="https://www.energy.ca.gov/2015publications/CEC-400-2015-037/CEC-400-2015-037-CMF.pdf" TargetMode="External"/><Relationship Id="rId12" Type="http://schemas.openxmlformats.org/officeDocument/2006/relationships/hyperlink" Target="https://www.energy.gov/sites/prod/files/2016/07/f33/snapshot2016_tleds.pdf" TargetMode="External"/><Relationship Id="rId2" Type="http://schemas.openxmlformats.org/officeDocument/2006/relationships/hyperlink" Target="http://energy-solution.com/wp-content/uploads/2015/01/A-Comprehensive-Store-Retrofit-to-LED-Lighting-in-Common-Lighting-Applications_ETCC-2014.pdf" TargetMode="External"/><Relationship Id="rId1" Type="http://schemas.openxmlformats.org/officeDocument/2006/relationships/hyperlink" Target="https://www.energy.gov/sites/prod/files/2017/12/f46/lmc2015_nov17.pdf" TargetMode="External"/><Relationship Id="rId6" Type="http://schemas.openxmlformats.org/officeDocument/2006/relationships/hyperlink" Target="http://www.gpo.gov/fdsys/pkg/FR-2011-11-14/pdf/2011-28451.pdf" TargetMode="External"/><Relationship Id="rId11" Type="http://schemas.openxmlformats.org/officeDocument/2006/relationships/hyperlink" Target="https://energy.gov/sites/prod/files/2016/12/f34/snapshot2016_troffers.pdf" TargetMode="External"/><Relationship Id="rId5" Type="http://schemas.openxmlformats.org/officeDocument/2006/relationships/hyperlink" Target="http://www1.eere.energy.gov/buildings/appliance_standards/product.aspx/productid/70" TargetMode="External"/><Relationship Id="rId10" Type="http://schemas.openxmlformats.org/officeDocument/2006/relationships/hyperlink" Target="https://www.bpa.gov/EE/Utility/research-archive/Documents/Momentum-Savings-Resources/2017_NonResidential_Lighting_Final_Report.pdf" TargetMode="External"/><Relationship Id="rId4" Type="http://schemas.openxmlformats.org/officeDocument/2006/relationships/hyperlink" Target="http://www.gpo.gov/fdsys/pkg/CFR-2012-title10-vol3/pdf/CFR-2012-title10-vol3-sec430-32.pdf" TargetMode="External"/><Relationship Id="rId9" Type="http://schemas.openxmlformats.org/officeDocument/2006/relationships/hyperlink" Target="https://www.nema.org/Intelligence/Indices/Pages/Linear-Fluorescent-Lamp-Indexes-Continue-to-Decline-in-Second-Quarter-2017-while-T-LED-Market-Penetration-Increase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Box%20Sync\WP%20File%20Transfer\High%20Bay\HB%20Fall%202018\HighLowBay_Savings_2018110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Figure 3: Impact of TLEDs on Incremental Measure Cost</a:t>
            </a:r>
          </a:p>
        </c:rich>
      </c:tx>
      <c:overlay val="0"/>
      <c:spPr>
        <a:noFill/>
        <a:ln>
          <a:noFill/>
        </a:ln>
        <a:effectLst/>
      </c:spPr>
    </c:title>
    <c:autoTitleDeleted val="0"/>
    <c:plotArea>
      <c:layout>
        <c:manualLayout>
          <c:layoutTarget val="inner"/>
          <c:xMode val="edge"/>
          <c:yMode val="edge"/>
          <c:x val="7.3220768024231761E-2"/>
          <c:y val="0.1133305456403722"/>
          <c:w val="0.90243805545188338"/>
          <c:h val="0.66649095218801802"/>
        </c:manualLayout>
      </c:layout>
      <c:barChart>
        <c:barDir val="col"/>
        <c:grouping val="clustered"/>
        <c:varyColors val="0"/>
        <c:ser>
          <c:idx val="0"/>
          <c:order val="0"/>
          <c:tx>
            <c:v>Without TLEDs</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'NR+AR'!$AA$36:$AF$36</c:f>
              <c:strCache>
                <c:ptCount val="6"/>
                <c:pt idx="0">
                  <c:v>LED Fixture Base Cost</c:v>
                </c:pt>
                <c:pt idx="1">
                  <c:v>Fluorescent Fixture Base Cost (20%)</c:v>
                </c:pt>
                <c:pt idx="2">
                  <c:v>TLED Base Cost </c:v>
                </c:pt>
                <c:pt idx="3">
                  <c:v>LED Fixture Measure Cost</c:v>
                </c:pt>
                <c:pt idx="4">
                  <c:v>Blended Base Cost</c:v>
                </c:pt>
                <c:pt idx="5">
                  <c:v>Incremental Measure Cost</c:v>
                </c:pt>
              </c:strCache>
            </c:strRef>
          </c:cat>
          <c:val>
            <c:numRef>
              <c:f>'NR+AR'!$AA$37:$AF$37</c:f>
              <c:numCache>
                <c:formatCode>"$"#,##0</c:formatCode>
                <c:ptCount val="6"/>
                <c:pt idx="0">
                  <c:v>126.10187643239104</c:v>
                </c:pt>
                <c:pt idx="1">
                  <c:v>30.509999999999998</c:v>
                </c:pt>
                <c:pt idx="2">
                  <c:v>25.05106523411855</c:v>
                </c:pt>
                <c:pt idx="3">
                  <c:v>128.23722222222219</c:v>
                </c:pt>
                <c:pt idx="4">
                  <c:v>106.41350114591283</c:v>
                </c:pt>
                <c:pt idx="5">
                  <c:v>21.823721076309354</c:v>
                </c:pt>
              </c:numCache>
            </c:numRef>
          </c:val>
          <c:extLst xmlns:c16r2="http://schemas.microsoft.com/office/drawing/2015/06/chart">
            <c:ext xmlns:c16="http://schemas.microsoft.com/office/drawing/2014/chart" uri="{C3380CC4-5D6E-409C-BE32-E72D297353CC}">
              <c16:uniqueId val="{00000000-1677-4A0A-88B8-2EFA07E74A7F}"/>
            </c:ext>
          </c:extLst>
        </c:ser>
        <c:ser>
          <c:idx val="1"/>
          <c:order val="1"/>
          <c:tx>
            <c:v>With 60% TLED Base Case</c:v>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'NR+AR'!$AA$36:$AF$36</c:f>
              <c:strCache>
                <c:ptCount val="6"/>
                <c:pt idx="0">
                  <c:v>LED Fixture Base Cost</c:v>
                </c:pt>
                <c:pt idx="1">
                  <c:v>Fluorescent Fixture Base Cost (20%)</c:v>
                </c:pt>
                <c:pt idx="2">
                  <c:v>TLED Base Cost </c:v>
                </c:pt>
                <c:pt idx="3">
                  <c:v>LED Fixture Measure Cost</c:v>
                </c:pt>
                <c:pt idx="4">
                  <c:v>Blended Base Cost</c:v>
                </c:pt>
                <c:pt idx="5">
                  <c:v>Incremental Measure Cost</c:v>
                </c:pt>
              </c:strCache>
            </c:strRef>
          </c:cat>
          <c:val>
            <c:numRef>
              <c:f>'NR+AR'!$AA$38:$AF$38</c:f>
              <c:numCache>
                <c:formatCode>General</c:formatCode>
                <c:ptCount val="6"/>
                <c:pt idx="4" formatCode="&quot;$&quot;#,##0">
                  <c:v>45.783014426949336</c:v>
                </c:pt>
                <c:pt idx="5" formatCode="&quot;$&quot;#,##0">
                  <c:v>82.45420779527285</c:v>
                </c:pt>
              </c:numCache>
            </c:numRef>
          </c:val>
          <c:extLst xmlns:c16r2="http://schemas.microsoft.com/office/drawing/2015/06/chart">
            <c:ext xmlns:c16="http://schemas.microsoft.com/office/drawing/2014/chart" uri="{C3380CC4-5D6E-409C-BE32-E72D297353CC}">
              <c16:uniqueId val="{00000001-1677-4A0A-88B8-2EFA07E74A7F}"/>
            </c:ext>
          </c:extLst>
        </c:ser>
        <c:dLbls>
          <c:showLegendKey val="0"/>
          <c:showVal val="0"/>
          <c:showCatName val="0"/>
          <c:showSerName val="0"/>
          <c:showPercent val="0"/>
          <c:showBubbleSize val="0"/>
        </c:dLbls>
        <c:gapWidth val="219"/>
        <c:overlap val="-27"/>
        <c:axId val="165977472"/>
        <c:axId val="165991552"/>
      </c:barChart>
      <c:catAx>
        <c:axId val="165977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5991552"/>
        <c:crosses val="autoZero"/>
        <c:auto val="1"/>
        <c:lblAlgn val="ctr"/>
        <c:lblOffset val="100"/>
        <c:noMultiLvlLbl val="0"/>
      </c:catAx>
      <c:valAx>
        <c:axId val="165991552"/>
        <c:scaling>
          <c:orientation val="minMax"/>
        </c:scaling>
        <c:delete val="0"/>
        <c:axPos val="l"/>
        <c:majorGridlines>
          <c:spPr>
            <a:ln w="9525" cap="flat" cmpd="sng" algn="ctr">
              <a:solidFill>
                <a:schemeClr val="tx1">
                  <a:lumMod val="15000"/>
                  <a:lumOff val="85000"/>
                </a:schemeClr>
              </a:solidFill>
              <a:round/>
            </a:ln>
            <a:effectLst/>
          </c:spPr>
        </c:majorGridlines>
        <c:numFmt formatCode="&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5977472"/>
        <c:crosses val="autoZero"/>
        <c:crossBetween val="between"/>
      </c:valAx>
      <c:spPr>
        <a:noFill/>
        <a:ln>
          <a:noFill/>
        </a:ln>
        <a:effectLst/>
      </c:spPr>
    </c:plotArea>
    <c:legend>
      <c:legendPos val="b"/>
      <c:layout>
        <c:manualLayout>
          <c:xMode val="edge"/>
          <c:yMode val="edge"/>
          <c:x val="0.69783766020832705"/>
          <c:y val="0.87659983581803724"/>
          <c:w val="0.2858776222521216"/>
          <c:h val="9.128507512816488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F92AB853-F709-468B-921B-6268EAFDD1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DDABF9-7B19-4F5A-950A-378B8B6A9214}">
  <ds:schemaRefs>
    <ds:schemaRef ds:uri="http://schemas.microsoft.com/sharepoint/v3/contenttype/forms"/>
  </ds:schemaRefs>
</ds:datastoreItem>
</file>

<file path=customXml/itemProps3.xml><?xml version="1.0" encoding="utf-8"?>
<ds:datastoreItem xmlns:ds="http://schemas.openxmlformats.org/officeDocument/2006/customXml" ds:itemID="{A577B248-CCF4-4603-A3E8-9B062820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69D633-8B29-4EEF-84FF-7C634F0A1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34</TotalTime>
  <Pages>28</Pages>
  <Words>9185</Words>
  <Characters>52355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PGECOLTGxxx</vt:lpstr>
    </vt:vector>
  </TitlesOfParts>
  <Company>PG&amp;E</Company>
  <LinksUpToDate>false</LinksUpToDate>
  <CharactersWithSpaces>61418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PGECOLTGxxx</dc:title>
  <dc:creator>Steven Blanc;Greg Barker</dc:creator>
  <cp:lastModifiedBy>Kwok, Randy</cp:lastModifiedBy>
  <cp:revision>7</cp:revision>
  <cp:lastPrinted>2018-12-20T23:16:00Z</cp:lastPrinted>
  <dcterms:created xsi:type="dcterms:W3CDTF">2019-03-07T02:53:00Z</dcterms:created>
  <dcterms:modified xsi:type="dcterms:W3CDTF">2019-03-07T07:50:00Z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