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693624">
        <w:rPr>
          <w:rFonts w:ascii="Arial" w:hAnsi="Arial" w:cs="Arial"/>
          <w:b/>
          <w:sz w:val="48"/>
          <w:szCs w:val="48"/>
        </w:rPr>
        <w:t>179</w:t>
      </w:r>
    </w:p>
    <w:p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94654D">
        <w:rPr>
          <w:rFonts w:ascii="Arial" w:hAnsi="Arial" w:cs="Arial"/>
          <w:b/>
          <w:sz w:val="48"/>
          <w:szCs w:val="48"/>
        </w:rPr>
        <w:t xml:space="preserve">Ambient </w:t>
      </w:r>
      <w:r w:rsidR="00B71BAD">
        <w:rPr>
          <w:rFonts w:ascii="Arial" w:hAnsi="Arial" w:cs="Arial"/>
          <w:b/>
          <w:sz w:val="48"/>
          <w:szCs w:val="48"/>
        </w:rPr>
        <w:t>Commercial</w:t>
      </w:r>
      <w:r w:rsidR="006953C6">
        <w:rPr>
          <w:rFonts w:ascii="Arial" w:hAnsi="Arial" w:cs="Arial"/>
          <w:b/>
          <w:sz w:val="48"/>
          <w:szCs w:val="48"/>
        </w:rPr>
        <w:t xml:space="preserve"> Fixtures</w:t>
      </w:r>
      <w:r w:rsidR="00402353">
        <w:rPr>
          <w:rFonts w:ascii="Arial" w:hAnsi="Arial" w:cs="Arial"/>
          <w:b/>
          <w:sz w:val="48"/>
          <w:szCs w:val="48"/>
        </w:rPr>
        <w:t xml:space="preserve"> and Retrofit Kits</w:t>
      </w:r>
    </w:p>
    <w:p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Revision #</w:t>
      </w:r>
      <w:bookmarkEnd w:id="1"/>
      <w:r w:rsidR="002F44AD">
        <w:rPr>
          <w:rFonts w:ascii="Arial" w:hAnsi="Arial" w:cs="Arial"/>
          <w:b/>
          <w:sz w:val="48"/>
          <w:szCs w:val="48"/>
        </w:rPr>
        <w:t xml:space="preserve"> 1</w:t>
      </w:r>
    </w:p>
    <w:p w:rsidR="003129E8" w:rsidRDefault="00B67AB6" w:rsidP="00B67AB6">
      <w:pPr>
        <w:tabs>
          <w:tab w:val="left" w:pos="5835"/>
        </w:tabs>
      </w:pPr>
      <w:r>
        <w:tab/>
      </w:r>
    </w:p>
    <w:p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324D0F" w:rsidRDefault="004464AA" w:rsidP="00A167EC">
      <w:pPr>
        <w:ind w:right="-720"/>
        <w:rPr>
          <w:rFonts w:ascii="Arial" w:hAnsi="Arial" w:cs="Arial"/>
          <w:b/>
        </w:rPr>
      </w:pPr>
      <w:r w:rsidRPr="004464AA">
        <w:rPr>
          <w:rFonts w:ascii="Arial" w:hAnsi="Arial" w:cs="Arial"/>
          <w:b/>
          <w:sz w:val="72"/>
          <w:szCs w:val="72"/>
        </w:rPr>
        <w:t xml:space="preserve">LED </w:t>
      </w:r>
      <w:r w:rsidR="00C27933">
        <w:rPr>
          <w:rFonts w:ascii="Arial" w:hAnsi="Arial" w:cs="Arial"/>
          <w:b/>
          <w:sz w:val="72"/>
          <w:szCs w:val="72"/>
        </w:rPr>
        <w:t xml:space="preserve">Ambient </w:t>
      </w:r>
      <w:r w:rsidR="00B71BAD">
        <w:rPr>
          <w:rFonts w:ascii="Arial" w:hAnsi="Arial" w:cs="Arial"/>
          <w:b/>
          <w:sz w:val="72"/>
          <w:szCs w:val="72"/>
        </w:rPr>
        <w:t xml:space="preserve">Commercial </w:t>
      </w:r>
      <w:r w:rsidR="00B71BAD" w:rsidRPr="00402353">
        <w:rPr>
          <w:rFonts w:ascii="Arial" w:hAnsi="Arial" w:cs="Arial"/>
          <w:b/>
          <w:sz w:val="72"/>
          <w:szCs w:val="72"/>
        </w:rPr>
        <w:t>Fixtures</w:t>
      </w:r>
      <w:r w:rsidR="00402353" w:rsidRPr="00402353">
        <w:rPr>
          <w:rFonts w:ascii="Arial" w:hAnsi="Arial" w:cs="Arial"/>
          <w:b/>
          <w:sz w:val="72"/>
          <w:szCs w:val="72"/>
        </w:rPr>
        <w:t xml:space="preserve"> and Retrofit Kits</w:t>
      </w:r>
    </w:p>
    <w:p w:rsidR="00CB3583" w:rsidRDefault="00A167EC" w:rsidP="008D3D2D">
      <w:pPr>
        <w:ind w:right="-720"/>
        <w:rPr>
          <w:rFonts w:ascii="Arial" w:hAnsi="Arial" w:cs="Arial"/>
          <w:b/>
          <w:highlight w:val="cyan"/>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w:t>
      </w:r>
      <w:r w:rsidR="00990A52">
        <w:rPr>
          <w:rFonts w:ascii="Arial" w:hAnsi="Arial" w:cs="Arial"/>
          <w:b/>
        </w:rPr>
        <w:t>T0</w:t>
      </w:r>
      <w:r w:rsidR="006F0984">
        <w:rPr>
          <w:rFonts w:ascii="Arial" w:hAnsi="Arial" w:cs="Arial"/>
          <w:b/>
        </w:rPr>
        <w:t>40</w:t>
      </w:r>
      <w:r w:rsidR="0016070B">
        <w:rPr>
          <w:rFonts w:ascii="Arial" w:hAnsi="Arial" w:cs="Arial"/>
          <w:b/>
        </w:rPr>
        <w:t xml:space="preserve"> – L</w:t>
      </w:r>
      <w:r w:rsidR="00990A52">
        <w:rPr>
          <w:rFonts w:ascii="Arial" w:hAnsi="Arial" w:cs="Arial"/>
          <w:b/>
        </w:rPr>
        <w:t>T0</w:t>
      </w:r>
      <w:r w:rsidR="006F0984">
        <w:rPr>
          <w:rFonts w:ascii="Arial" w:hAnsi="Arial" w:cs="Arial"/>
          <w:b/>
        </w:rPr>
        <w:t>63</w:t>
      </w:r>
    </w:p>
    <w:p w:rsidR="00E71EF1" w:rsidRDefault="00C93E64" w:rsidP="00E71EF1">
      <w:pPr>
        <w:pStyle w:val="Heading1"/>
      </w:pPr>
      <w:r>
        <w:br w:type="page"/>
      </w:r>
      <w:bookmarkStart w:id="2" w:name="_Toc438457169"/>
      <w:r w:rsidR="00E731C6">
        <w:t>At-</w:t>
      </w:r>
      <w:r w:rsidR="00E71EF1">
        <w:t>a</w:t>
      </w:r>
      <w:r w:rsidR="00E731C6">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8D3D2D" w:rsidRPr="00783DAC" w:rsidTr="00D4390C">
        <w:trPr>
          <w:trHeight w:val="465"/>
        </w:trPr>
        <w:tc>
          <w:tcPr>
            <w:tcW w:w="4161" w:type="dxa"/>
            <w:shd w:val="pct20" w:color="000000" w:fill="FFFFFF"/>
          </w:tcPr>
          <w:p w:rsidR="008D3D2D" w:rsidRPr="00F027AA" w:rsidRDefault="008D3D2D" w:rsidP="0028709C">
            <w:pPr>
              <w:rPr>
                <w:b/>
                <w:bCs/>
              </w:rPr>
            </w:pPr>
            <w:r w:rsidRPr="00F027AA">
              <w:rPr>
                <w:b/>
                <w:bCs/>
              </w:rPr>
              <w:t>Applicable Measure Codes:</w:t>
            </w:r>
          </w:p>
        </w:tc>
        <w:tc>
          <w:tcPr>
            <w:tcW w:w="5487" w:type="dxa"/>
            <w:shd w:val="pct20" w:color="000000" w:fill="FFFFFF"/>
          </w:tcPr>
          <w:p w:rsidR="008D3D2D" w:rsidRPr="003B2621" w:rsidRDefault="006F0984" w:rsidP="005C31D5">
            <w:pPr>
              <w:rPr>
                <w:bCs/>
                <w:sz w:val="20"/>
                <w:szCs w:val="20"/>
              </w:rPr>
            </w:pPr>
            <w:r>
              <w:rPr>
                <w:bCs/>
                <w:sz w:val="20"/>
                <w:szCs w:val="20"/>
              </w:rPr>
              <w:t>LT040 – LT063</w:t>
            </w:r>
          </w:p>
        </w:tc>
      </w:tr>
      <w:tr w:rsidR="008D3D2D" w:rsidRPr="00783DAC" w:rsidTr="00D4390C">
        <w:trPr>
          <w:trHeight w:val="465"/>
        </w:trPr>
        <w:tc>
          <w:tcPr>
            <w:tcW w:w="4161" w:type="dxa"/>
            <w:shd w:val="pct5" w:color="000000" w:fill="FFFFFF"/>
          </w:tcPr>
          <w:p w:rsidR="008D3D2D" w:rsidRPr="00F027AA" w:rsidRDefault="008D3D2D" w:rsidP="0028709C">
            <w:pPr>
              <w:rPr>
                <w:b/>
              </w:rPr>
            </w:pPr>
            <w:r w:rsidRPr="00F027AA">
              <w:rPr>
                <w:b/>
              </w:rPr>
              <w:t xml:space="preserve">Measure Description: </w:t>
            </w:r>
          </w:p>
        </w:tc>
        <w:tc>
          <w:tcPr>
            <w:tcW w:w="5487" w:type="dxa"/>
            <w:shd w:val="pct5" w:color="000000" w:fill="FFFFFF"/>
          </w:tcPr>
          <w:p w:rsidR="008D3D2D" w:rsidRPr="003B2621" w:rsidRDefault="00661F2B" w:rsidP="00661F2B">
            <w:pPr>
              <w:rPr>
                <w:bCs/>
                <w:sz w:val="20"/>
                <w:szCs w:val="20"/>
              </w:rPr>
            </w:pPr>
            <w:r w:rsidRPr="00661F2B">
              <w:rPr>
                <w:bCs/>
                <w:sz w:val="20"/>
                <w:szCs w:val="20"/>
              </w:rPr>
              <w:t>LED Luminaires/Retrofit Kits rated ≥85, Ambient Interior Commercial Spaces</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 xml:space="preserve">Energy Impact Common Units: </w:t>
            </w:r>
          </w:p>
        </w:tc>
        <w:tc>
          <w:tcPr>
            <w:tcW w:w="5487" w:type="dxa"/>
            <w:shd w:val="pct20" w:color="000000" w:fill="FFFFFF"/>
          </w:tcPr>
          <w:p w:rsidR="00735CF0" w:rsidRPr="003B2621" w:rsidRDefault="005C31D5" w:rsidP="008D3D2D">
            <w:pPr>
              <w:rPr>
                <w:bCs/>
                <w:sz w:val="20"/>
                <w:szCs w:val="20"/>
              </w:rPr>
            </w:pPr>
            <w:proofErr w:type="spellStart"/>
            <w:r w:rsidRPr="003B2621">
              <w:rPr>
                <w:bCs/>
                <w:sz w:val="20"/>
                <w:szCs w:val="20"/>
              </w:rPr>
              <w:t>Kilolumen</w:t>
            </w:r>
            <w:proofErr w:type="spellEnd"/>
            <w:r w:rsidRPr="003B2621">
              <w:rPr>
                <w:bCs/>
                <w:sz w:val="20"/>
                <w:szCs w:val="20"/>
              </w:rPr>
              <w:t xml:space="preserve"> of </w:t>
            </w:r>
            <w:r w:rsidR="0016070B" w:rsidRPr="003B2621">
              <w:rPr>
                <w:bCs/>
                <w:sz w:val="20"/>
                <w:szCs w:val="20"/>
              </w:rPr>
              <w:t xml:space="preserve">LED </w:t>
            </w:r>
            <w:r w:rsidRPr="003B2621">
              <w:rPr>
                <w:bCs/>
                <w:sz w:val="20"/>
                <w:szCs w:val="20"/>
              </w:rPr>
              <w:t>initial light output</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Base Case Description:</w:t>
            </w:r>
          </w:p>
        </w:tc>
        <w:tc>
          <w:tcPr>
            <w:tcW w:w="5487" w:type="dxa"/>
            <w:shd w:val="pct5" w:color="000000" w:fill="FFFFFF"/>
          </w:tcPr>
          <w:p w:rsidR="00735CF0" w:rsidRPr="003B2621" w:rsidRDefault="005C31D5" w:rsidP="0037707D">
            <w:pPr>
              <w:rPr>
                <w:bCs/>
                <w:sz w:val="20"/>
                <w:szCs w:val="20"/>
              </w:rPr>
            </w:pPr>
            <w:r w:rsidRPr="003B2621">
              <w:rPr>
                <w:bCs/>
                <w:sz w:val="20"/>
                <w:szCs w:val="20"/>
              </w:rPr>
              <w:t>Linear fluorescent recessed fixture or kit in 2x4, 2x2 or 1x4 size, with lamp and ballast meeting federal standard.</w:t>
            </w:r>
          </w:p>
          <w:p w:rsidR="00735CF0" w:rsidRPr="003B2621" w:rsidRDefault="00735CF0" w:rsidP="008D3D2D">
            <w:pPr>
              <w:rPr>
                <w:bCs/>
                <w:sz w:val="20"/>
                <w:szCs w:val="20"/>
              </w:rPr>
            </w:pPr>
            <w:r w:rsidRPr="003B2621">
              <w:rPr>
                <w:bCs/>
                <w:sz w:val="20"/>
                <w:szCs w:val="20"/>
              </w:rPr>
              <w:t>Source: PG&amp;E Calculations.</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 xml:space="preserve">Base Case Energy Consumption: </w:t>
            </w:r>
          </w:p>
        </w:tc>
        <w:tc>
          <w:tcPr>
            <w:tcW w:w="5487" w:type="dxa"/>
            <w:shd w:val="pct20"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8D3D2D">
            <w:pPr>
              <w:rPr>
                <w:bCs/>
                <w:sz w:val="20"/>
                <w:szCs w:val="20"/>
              </w:rPr>
            </w:pPr>
            <w:r w:rsidRPr="003B2621">
              <w:rPr>
                <w:bCs/>
                <w:sz w:val="20"/>
                <w:szCs w:val="20"/>
              </w:rPr>
              <w:t>Source: PG&amp;E Calculations.</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Measure Energy Consumption:</w:t>
            </w:r>
          </w:p>
          <w:p w:rsidR="00735CF0" w:rsidRPr="00F027AA" w:rsidRDefault="00735CF0" w:rsidP="0028709C">
            <w:pPr>
              <w:rPr>
                <w:rFonts w:ascii="Arial" w:hAnsi="Arial" w:cs="Arial"/>
                <w:b/>
                <w:sz w:val="20"/>
                <w:szCs w:val="20"/>
              </w:rPr>
            </w:pPr>
          </w:p>
        </w:tc>
        <w:tc>
          <w:tcPr>
            <w:tcW w:w="5487" w:type="dxa"/>
            <w:shd w:val="pct5"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8D3D2D">
            <w:pPr>
              <w:rPr>
                <w:bCs/>
                <w:sz w:val="20"/>
                <w:szCs w:val="20"/>
              </w:rPr>
            </w:pPr>
            <w:r w:rsidRPr="003B2621">
              <w:rPr>
                <w:bCs/>
                <w:sz w:val="20"/>
                <w:szCs w:val="20"/>
              </w:rPr>
              <w:t>Source: PG&amp;E Calculations.</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Energy Savings (Base Case – Measure)</w:t>
            </w:r>
            <w:r w:rsidR="00946BD7">
              <w:rPr>
                <w:b/>
              </w:rPr>
              <w:t>:</w:t>
            </w:r>
          </w:p>
        </w:tc>
        <w:tc>
          <w:tcPr>
            <w:tcW w:w="5487" w:type="dxa"/>
            <w:shd w:val="pct20"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37707D">
            <w:pPr>
              <w:rPr>
                <w:bCs/>
                <w:sz w:val="20"/>
                <w:szCs w:val="20"/>
              </w:rPr>
            </w:pPr>
            <w:r w:rsidRPr="003B2621">
              <w:rPr>
                <w:bCs/>
                <w:sz w:val="20"/>
                <w:szCs w:val="20"/>
              </w:rPr>
              <w:t>Source: PG&amp;E Calculations.</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 xml:space="preserve">Costs Common Units: </w:t>
            </w:r>
          </w:p>
        </w:tc>
        <w:tc>
          <w:tcPr>
            <w:tcW w:w="5487" w:type="dxa"/>
            <w:shd w:val="pct5" w:color="000000" w:fill="FFFFFF"/>
          </w:tcPr>
          <w:p w:rsidR="00735CF0" w:rsidRPr="003B2621" w:rsidRDefault="00735CF0" w:rsidP="005C31D5">
            <w:pPr>
              <w:pStyle w:val="EndnoteText"/>
              <w:rPr>
                <w:bCs/>
              </w:rPr>
            </w:pPr>
            <w:r w:rsidRPr="003B2621">
              <w:rPr>
                <w:bCs/>
              </w:rPr>
              <w:t xml:space="preserve">$ </w:t>
            </w:r>
            <w:proofErr w:type="gramStart"/>
            <w:r w:rsidRPr="003B2621">
              <w:rPr>
                <w:bCs/>
              </w:rPr>
              <w:t>per</w:t>
            </w:r>
            <w:proofErr w:type="gramEnd"/>
            <w:r w:rsidRPr="003B2621">
              <w:rPr>
                <w:bCs/>
              </w:rPr>
              <w:t xml:space="preserve"> </w:t>
            </w:r>
            <w:proofErr w:type="spellStart"/>
            <w:r w:rsidR="005C31D5" w:rsidRPr="003B2621">
              <w:rPr>
                <w:bCs/>
              </w:rPr>
              <w:t>kilolumen</w:t>
            </w:r>
            <w:proofErr w:type="spellEnd"/>
            <w:r w:rsidRPr="003B2621">
              <w:rPr>
                <w:bCs/>
              </w:rPr>
              <w:t>.</w:t>
            </w:r>
          </w:p>
        </w:tc>
      </w:tr>
      <w:tr w:rsidR="00735CF0" w:rsidRPr="00783DAC" w:rsidTr="00783DAC">
        <w:trPr>
          <w:trHeight w:val="465"/>
        </w:trPr>
        <w:tc>
          <w:tcPr>
            <w:tcW w:w="4161" w:type="dxa"/>
            <w:shd w:val="pct20" w:color="000000" w:fill="FFFFFF"/>
          </w:tcPr>
          <w:p w:rsidR="00735CF0" w:rsidRPr="00946BD7" w:rsidRDefault="00735CF0" w:rsidP="001D5155">
            <w:pPr>
              <w:rPr>
                <w:b/>
              </w:rPr>
            </w:pPr>
            <w:r w:rsidRPr="00F027AA">
              <w:rPr>
                <w:b/>
              </w:rPr>
              <w:t>Base Case Equipment Cost ($/</w:t>
            </w:r>
            <w:proofErr w:type="spellStart"/>
            <w:r w:rsidR="001D5155">
              <w:rPr>
                <w:b/>
              </w:rPr>
              <w:t>kilolumen</w:t>
            </w:r>
            <w:proofErr w:type="spellEnd"/>
            <w:r w:rsidRPr="00F027AA">
              <w:rPr>
                <w:b/>
              </w:rPr>
              <w:t>):</w:t>
            </w:r>
          </w:p>
        </w:tc>
        <w:tc>
          <w:tcPr>
            <w:tcW w:w="5487" w:type="dxa"/>
            <w:shd w:val="pct20"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r w:rsidR="00735CF0" w:rsidRPr="003B2621">
              <w:rPr>
                <w:bCs/>
                <w:sz w:val="20"/>
                <w:szCs w:val="20"/>
              </w:rPr>
              <w:t>.</w:t>
            </w:r>
          </w:p>
          <w:p w:rsidR="00735CF0" w:rsidRPr="003B2621" w:rsidRDefault="00735CF0" w:rsidP="005C31D5">
            <w:pPr>
              <w:rPr>
                <w:bCs/>
                <w:sz w:val="20"/>
                <w:szCs w:val="20"/>
              </w:rPr>
            </w:pPr>
            <w:r w:rsidRPr="003B2621">
              <w:rPr>
                <w:bCs/>
                <w:sz w:val="20"/>
                <w:szCs w:val="20"/>
              </w:rPr>
              <w:t xml:space="preserve">Source: </w:t>
            </w:r>
            <w:r w:rsidR="00946BD7" w:rsidRPr="003B2621">
              <w:rPr>
                <w:bCs/>
                <w:sz w:val="20"/>
                <w:szCs w:val="20"/>
              </w:rPr>
              <w:t xml:space="preserve">Distributor Quotations and </w:t>
            </w:r>
            <w:proofErr w:type="spellStart"/>
            <w:r w:rsidR="00946BD7" w:rsidRPr="003B2621">
              <w:rPr>
                <w:bCs/>
                <w:sz w:val="20"/>
                <w:szCs w:val="20"/>
              </w:rPr>
              <w:t>Weblinks</w:t>
            </w:r>
            <w:proofErr w:type="spellEnd"/>
          </w:p>
        </w:tc>
      </w:tr>
      <w:tr w:rsidR="00735CF0" w:rsidRPr="00783DAC" w:rsidTr="00783DAC">
        <w:trPr>
          <w:trHeight w:val="465"/>
        </w:trPr>
        <w:tc>
          <w:tcPr>
            <w:tcW w:w="4161" w:type="dxa"/>
            <w:shd w:val="pct5" w:color="000000" w:fill="FFFFFF"/>
          </w:tcPr>
          <w:p w:rsidR="00735CF0" w:rsidRPr="00F027AA" w:rsidRDefault="00735CF0" w:rsidP="001D5155">
            <w:pPr>
              <w:rPr>
                <w:b/>
              </w:rPr>
            </w:pPr>
            <w:r w:rsidRPr="00F027AA">
              <w:rPr>
                <w:b/>
              </w:rPr>
              <w:t>Measure Equipment Cost ($/</w:t>
            </w:r>
            <w:proofErr w:type="spellStart"/>
            <w:r w:rsidR="001D5155">
              <w:rPr>
                <w:b/>
              </w:rPr>
              <w:t>kilolumen</w:t>
            </w:r>
            <w:proofErr w:type="spellEnd"/>
            <w:r w:rsidRPr="00F027AA">
              <w:rPr>
                <w:b/>
              </w:rPr>
              <w:t xml:space="preserve">): </w:t>
            </w:r>
          </w:p>
        </w:tc>
        <w:tc>
          <w:tcPr>
            <w:tcW w:w="5487" w:type="dxa"/>
            <w:shd w:val="pct5"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37707D">
            <w:pPr>
              <w:rPr>
                <w:bCs/>
                <w:sz w:val="20"/>
                <w:szCs w:val="20"/>
              </w:rPr>
            </w:pPr>
            <w:r w:rsidRPr="003B2621">
              <w:rPr>
                <w:bCs/>
                <w:sz w:val="20"/>
                <w:szCs w:val="20"/>
              </w:rPr>
              <w:t>Source:</w:t>
            </w:r>
            <w:r w:rsidR="0082354A" w:rsidRPr="003B2621">
              <w:rPr>
                <w:bCs/>
                <w:sz w:val="20"/>
                <w:szCs w:val="20"/>
              </w:rPr>
              <w:t xml:space="preserve"> </w:t>
            </w:r>
            <w:r w:rsidR="005C31D5" w:rsidRPr="003B2621">
              <w:rPr>
                <w:bCs/>
                <w:sz w:val="20"/>
                <w:szCs w:val="20"/>
              </w:rPr>
              <w:t xml:space="preserve">Manufacturer Rep &amp; </w:t>
            </w:r>
            <w:r w:rsidR="00946BD7" w:rsidRPr="003B2621">
              <w:rPr>
                <w:bCs/>
                <w:sz w:val="20"/>
                <w:szCs w:val="20"/>
              </w:rPr>
              <w:t xml:space="preserve">Distributor Quotations and </w:t>
            </w:r>
            <w:proofErr w:type="spellStart"/>
            <w:r w:rsidR="00946BD7" w:rsidRPr="003B2621">
              <w:rPr>
                <w:bCs/>
                <w:sz w:val="20"/>
                <w:szCs w:val="20"/>
              </w:rPr>
              <w:t>Weblinks</w:t>
            </w:r>
            <w:proofErr w:type="spellEnd"/>
          </w:p>
        </w:tc>
      </w:tr>
      <w:tr w:rsidR="00735CF0" w:rsidRPr="00783DAC" w:rsidTr="00783DAC">
        <w:trPr>
          <w:trHeight w:val="465"/>
        </w:trPr>
        <w:tc>
          <w:tcPr>
            <w:tcW w:w="4161" w:type="dxa"/>
            <w:shd w:val="pct20" w:color="000000" w:fill="FFFFFF"/>
          </w:tcPr>
          <w:p w:rsidR="00735CF0" w:rsidRPr="00F027AA" w:rsidRDefault="00735CF0" w:rsidP="001D5155">
            <w:pPr>
              <w:rPr>
                <w:b/>
              </w:rPr>
            </w:pPr>
            <w:r w:rsidRPr="00F027AA">
              <w:rPr>
                <w:b/>
              </w:rPr>
              <w:t>Gross Measure Cost ($/</w:t>
            </w:r>
            <w:proofErr w:type="spellStart"/>
            <w:r w:rsidR="001D5155">
              <w:rPr>
                <w:b/>
              </w:rPr>
              <w:t>kilolumen</w:t>
            </w:r>
            <w:proofErr w:type="spellEnd"/>
            <w:r w:rsidRPr="00F027AA">
              <w:rPr>
                <w:b/>
              </w:rPr>
              <w:t>)</w:t>
            </w:r>
          </w:p>
        </w:tc>
        <w:tc>
          <w:tcPr>
            <w:tcW w:w="5487" w:type="dxa"/>
            <w:shd w:val="pct20" w:color="000000" w:fill="FFFFFF"/>
          </w:tcPr>
          <w:p w:rsidR="00735CF0" w:rsidRPr="003B2621" w:rsidRDefault="009B277A" w:rsidP="004464AA">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4464AA">
            <w:pPr>
              <w:rPr>
                <w:bCs/>
                <w:sz w:val="20"/>
                <w:szCs w:val="20"/>
              </w:rPr>
            </w:pPr>
            <w:r w:rsidRPr="003B2621">
              <w:rPr>
                <w:bCs/>
                <w:sz w:val="20"/>
                <w:szCs w:val="20"/>
              </w:rPr>
              <w:t xml:space="preserve">Source: </w:t>
            </w:r>
            <w:r w:rsidR="005C31D5" w:rsidRPr="003B2621">
              <w:rPr>
                <w:bCs/>
                <w:sz w:val="20"/>
                <w:szCs w:val="20"/>
              </w:rPr>
              <w:t xml:space="preserve">Manufacturer Rep &amp; </w:t>
            </w:r>
            <w:r w:rsidR="00946BD7" w:rsidRPr="003B2621">
              <w:rPr>
                <w:bCs/>
                <w:sz w:val="20"/>
                <w:szCs w:val="20"/>
              </w:rPr>
              <w:t xml:space="preserve">Distributor Quotations and </w:t>
            </w:r>
            <w:proofErr w:type="spellStart"/>
            <w:r w:rsidR="00946BD7" w:rsidRPr="003B2621">
              <w:rPr>
                <w:bCs/>
                <w:sz w:val="20"/>
                <w:szCs w:val="20"/>
              </w:rPr>
              <w:t>Weblinks</w:t>
            </w:r>
            <w:proofErr w:type="spellEnd"/>
          </w:p>
        </w:tc>
      </w:tr>
      <w:tr w:rsidR="00735CF0" w:rsidRPr="00783DAC" w:rsidTr="00783DAC">
        <w:trPr>
          <w:trHeight w:val="465"/>
        </w:trPr>
        <w:tc>
          <w:tcPr>
            <w:tcW w:w="4161" w:type="dxa"/>
            <w:shd w:val="pct20" w:color="000000" w:fill="FFFFFF"/>
          </w:tcPr>
          <w:p w:rsidR="00735CF0" w:rsidRPr="00F027AA" w:rsidRDefault="00735CF0" w:rsidP="001D5155">
            <w:pPr>
              <w:rPr>
                <w:b/>
              </w:rPr>
            </w:pPr>
            <w:bookmarkStart w:id="3" w:name="OLE_LINK1"/>
            <w:r w:rsidRPr="00F027AA">
              <w:rPr>
                <w:b/>
              </w:rPr>
              <w:t>Measure Incremental Cost ($/</w:t>
            </w:r>
            <w:proofErr w:type="spellStart"/>
            <w:r w:rsidR="001D5155">
              <w:rPr>
                <w:b/>
              </w:rPr>
              <w:t>kilolumen</w:t>
            </w:r>
            <w:proofErr w:type="spellEnd"/>
            <w:r w:rsidRPr="00F027AA">
              <w:rPr>
                <w:b/>
              </w:rPr>
              <w:t xml:space="preserve">): </w:t>
            </w:r>
            <w:bookmarkEnd w:id="3"/>
          </w:p>
        </w:tc>
        <w:tc>
          <w:tcPr>
            <w:tcW w:w="5487" w:type="dxa"/>
            <w:shd w:val="pct20"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5C31D5">
            <w:pPr>
              <w:rPr>
                <w:bCs/>
                <w:sz w:val="20"/>
                <w:szCs w:val="20"/>
              </w:rPr>
            </w:pPr>
            <w:r w:rsidRPr="003B2621">
              <w:rPr>
                <w:bCs/>
                <w:sz w:val="20"/>
                <w:szCs w:val="20"/>
              </w:rPr>
              <w:t xml:space="preserve">Source: </w:t>
            </w:r>
            <w:r w:rsidR="005C31D5" w:rsidRPr="003B2621">
              <w:rPr>
                <w:bCs/>
                <w:sz w:val="20"/>
                <w:szCs w:val="20"/>
              </w:rPr>
              <w:t>PG&amp;E Calculations</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 xml:space="preserve">Effective Useful Life (years): </w:t>
            </w:r>
          </w:p>
        </w:tc>
        <w:tc>
          <w:tcPr>
            <w:tcW w:w="5487" w:type="dxa"/>
            <w:shd w:val="pct5" w:color="000000" w:fill="FFFFFF"/>
          </w:tcPr>
          <w:p w:rsidR="00D93D13" w:rsidRPr="00D93D13" w:rsidRDefault="00D93D13" w:rsidP="0037707D">
            <w:pPr>
              <w:rPr>
                <w:sz w:val="20"/>
                <w:szCs w:val="20"/>
              </w:rPr>
            </w:pPr>
            <w:r w:rsidRPr="00D93D13">
              <w:rPr>
                <w:sz w:val="20"/>
                <w:szCs w:val="20"/>
              </w:rPr>
              <w:t xml:space="preserve">16 years, ILtg-Com-LED-50000hr+16yr </w:t>
            </w:r>
          </w:p>
          <w:p w:rsidR="00735CF0" w:rsidRPr="00D93D13" w:rsidRDefault="00D93D13" w:rsidP="0037707D">
            <w:pPr>
              <w:rPr>
                <w:bCs/>
                <w:sz w:val="20"/>
                <w:szCs w:val="20"/>
              </w:rPr>
            </w:pPr>
            <w:r w:rsidRPr="00D93D13">
              <w:rPr>
                <w:sz w:val="20"/>
                <w:szCs w:val="20"/>
              </w:rPr>
              <w:t>16 years, ILtg-Res-LED-50000hr+16yr</w:t>
            </w:r>
          </w:p>
          <w:p w:rsidR="00735CF0" w:rsidRPr="003B2621" w:rsidRDefault="00735CF0" w:rsidP="00D93D13">
            <w:pPr>
              <w:rPr>
                <w:bCs/>
                <w:sz w:val="20"/>
                <w:szCs w:val="20"/>
              </w:rPr>
            </w:pPr>
            <w:r w:rsidRPr="00D93D13">
              <w:rPr>
                <w:bCs/>
                <w:sz w:val="20"/>
                <w:szCs w:val="20"/>
              </w:rPr>
              <w:t xml:space="preserve">Source: </w:t>
            </w:r>
            <w:r w:rsidR="00D93D13" w:rsidRPr="00D93D13">
              <w:rPr>
                <w:bCs/>
                <w:sz w:val="20"/>
                <w:szCs w:val="20"/>
              </w:rPr>
              <w:t>DEER2016</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Program Type:</w:t>
            </w:r>
          </w:p>
        </w:tc>
        <w:tc>
          <w:tcPr>
            <w:tcW w:w="5487" w:type="dxa"/>
            <w:shd w:val="pct20" w:color="000000" w:fill="FFFFFF"/>
          </w:tcPr>
          <w:p w:rsidR="00735CF0" w:rsidRPr="003B2621" w:rsidRDefault="00735CF0" w:rsidP="009B2260">
            <w:pPr>
              <w:rPr>
                <w:bCs/>
                <w:sz w:val="20"/>
                <w:szCs w:val="20"/>
              </w:rPr>
            </w:pPr>
            <w:r w:rsidRPr="003B2621">
              <w:rPr>
                <w:bCs/>
                <w:sz w:val="20"/>
                <w:szCs w:val="20"/>
              </w:rPr>
              <w:t>ROB</w:t>
            </w:r>
            <w:r w:rsidR="009B2260">
              <w:rPr>
                <w:bCs/>
                <w:sz w:val="20"/>
                <w:szCs w:val="20"/>
              </w:rPr>
              <w:t xml:space="preserve">, </w:t>
            </w:r>
            <w:r w:rsidRPr="003B2621">
              <w:rPr>
                <w:bCs/>
                <w:sz w:val="20"/>
                <w:szCs w:val="20"/>
              </w:rPr>
              <w:t>NC.</w:t>
            </w:r>
          </w:p>
        </w:tc>
      </w:tr>
      <w:tr w:rsidR="00735CF0" w:rsidRPr="00783DAC" w:rsidTr="000D64B7">
        <w:trPr>
          <w:trHeight w:val="972"/>
        </w:trPr>
        <w:tc>
          <w:tcPr>
            <w:tcW w:w="4161" w:type="dxa"/>
            <w:shd w:val="pct5" w:color="000000" w:fill="FFFFFF"/>
          </w:tcPr>
          <w:p w:rsidR="00735CF0" w:rsidRPr="00F027AA" w:rsidRDefault="00735CF0" w:rsidP="0028709C">
            <w:pPr>
              <w:rPr>
                <w:b/>
              </w:rPr>
            </w:pPr>
            <w:r w:rsidRPr="00F027AA">
              <w:rPr>
                <w:b/>
              </w:rPr>
              <w:t xml:space="preserve">Net-to-Gross Ratios: </w:t>
            </w:r>
          </w:p>
        </w:tc>
        <w:tc>
          <w:tcPr>
            <w:tcW w:w="5487" w:type="dxa"/>
            <w:shd w:val="pct5" w:color="000000" w:fill="FFFFFF"/>
          </w:tcPr>
          <w:p w:rsidR="00735CF0" w:rsidRPr="00D93D13" w:rsidRDefault="00735CF0" w:rsidP="004464AA">
            <w:pPr>
              <w:rPr>
                <w:bCs/>
                <w:sz w:val="20"/>
                <w:szCs w:val="20"/>
              </w:rPr>
            </w:pPr>
            <w:r w:rsidRPr="00D93D13">
              <w:rPr>
                <w:bCs/>
                <w:sz w:val="20"/>
                <w:szCs w:val="20"/>
              </w:rPr>
              <w:t>NTG= 0.</w:t>
            </w:r>
            <w:r w:rsidR="00C87EF3" w:rsidRPr="00D93D13">
              <w:rPr>
                <w:bCs/>
                <w:sz w:val="20"/>
                <w:szCs w:val="20"/>
              </w:rPr>
              <w:t>85</w:t>
            </w:r>
            <w:r w:rsidRPr="00D93D13">
              <w:rPr>
                <w:bCs/>
                <w:sz w:val="20"/>
                <w:szCs w:val="20"/>
              </w:rPr>
              <w:t xml:space="preserve">,  </w:t>
            </w:r>
            <w:r w:rsidR="00D93D13" w:rsidRPr="00D93D13">
              <w:rPr>
                <w:sz w:val="20"/>
                <w:szCs w:val="20"/>
              </w:rPr>
              <w:t>ET-Default</w:t>
            </w:r>
            <w:r w:rsidR="00D93D13" w:rsidRPr="00D93D13">
              <w:rPr>
                <w:bCs/>
                <w:sz w:val="20"/>
                <w:szCs w:val="20"/>
              </w:rPr>
              <w:t xml:space="preserve"> Direct Install Only</w:t>
            </w:r>
          </w:p>
          <w:p w:rsidR="00D93D13" w:rsidRPr="00D93D13" w:rsidRDefault="00D93D13" w:rsidP="004464AA">
            <w:pPr>
              <w:rPr>
                <w:bCs/>
                <w:sz w:val="20"/>
                <w:szCs w:val="20"/>
              </w:rPr>
            </w:pPr>
            <w:r w:rsidRPr="00D93D13">
              <w:rPr>
                <w:bCs/>
                <w:sz w:val="20"/>
                <w:szCs w:val="20"/>
              </w:rPr>
              <w:t xml:space="preserve">NTG=0.7 All-Default&lt;=2yrs, </w:t>
            </w:r>
            <w:r w:rsidRPr="00D93D13">
              <w:rPr>
                <w:sz w:val="20"/>
                <w:szCs w:val="20"/>
              </w:rPr>
              <w:t>PreRebDown-2016</w:t>
            </w:r>
            <w:r>
              <w:rPr>
                <w:sz w:val="20"/>
                <w:szCs w:val="20"/>
              </w:rPr>
              <w:t>,</w:t>
            </w:r>
            <w:r w:rsidRPr="00D93D13">
              <w:rPr>
                <w:sz w:val="20"/>
                <w:szCs w:val="20"/>
              </w:rPr>
              <w:t xml:space="preserve"> PreRebUp-2016</w:t>
            </w:r>
          </w:p>
          <w:p w:rsidR="00735CF0" w:rsidRPr="003B2621" w:rsidRDefault="00735CF0" w:rsidP="002870E2">
            <w:pPr>
              <w:rPr>
                <w:bCs/>
                <w:sz w:val="20"/>
                <w:szCs w:val="20"/>
              </w:rPr>
            </w:pPr>
            <w:r w:rsidRPr="00D93D13">
              <w:rPr>
                <w:bCs/>
                <w:sz w:val="20"/>
                <w:szCs w:val="20"/>
              </w:rPr>
              <w:t xml:space="preserve">Source: </w:t>
            </w:r>
            <w:r w:rsidR="00DF6547" w:rsidRPr="002870E2">
              <w:rPr>
                <w:bCs/>
                <w:sz w:val="20"/>
                <w:szCs w:val="20"/>
              </w:rPr>
              <w:t>DEER 201</w:t>
            </w:r>
            <w:r w:rsidR="002870E2" w:rsidRPr="002870E2">
              <w:rPr>
                <w:bCs/>
                <w:sz w:val="20"/>
                <w:szCs w:val="20"/>
              </w:rPr>
              <w:t>4</w:t>
            </w:r>
          </w:p>
        </w:tc>
      </w:tr>
      <w:tr w:rsidR="00735CF0" w:rsidRPr="00783DAC" w:rsidTr="00783DAC">
        <w:trPr>
          <w:trHeight w:val="465"/>
        </w:trPr>
        <w:tc>
          <w:tcPr>
            <w:tcW w:w="4161" w:type="dxa"/>
            <w:shd w:val="pct20" w:color="000000" w:fill="FFFFFF"/>
          </w:tcPr>
          <w:p w:rsidR="00735CF0" w:rsidRPr="00783DAC" w:rsidRDefault="00735CF0" w:rsidP="0028709C">
            <w:pPr>
              <w:rPr>
                <w:b/>
              </w:rPr>
            </w:pPr>
            <w:r w:rsidRPr="00783DAC">
              <w:rPr>
                <w:b/>
              </w:rPr>
              <w:t>Important Comments:</w:t>
            </w:r>
          </w:p>
        </w:tc>
        <w:tc>
          <w:tcPr>
            <w:tcW w:w="5487" w:type="dxa"/>
            <w:shd w:val="pct20" w:color="000000" w:fill="FFFFFF"/>
          </w:tcPr>
          <w:p w:rsidR="00735CF0" w:rsidRPr="00B93DB5" w:rsidRDefault="00735CF0" w:rsidP="0028709C">
            <w:pPr>
              <w:rPr>
                <w:bCs/>
                <w:sz w:val="20"/>
                <w:szCs w:val="20"/>
              </w:rPr>
            </w:pPr>
          </w:p>
        </w:tc>
      </w:tr>
    </w:tbl>
    <w:p w:rsidR="005F19E0" w:rsidRPr="005F19E0" w:rsidRDefault="006F0139" w:rsidP="0006490F">
      <w:pPr>
        <w:rPr>
          <w:rFonts w:ascii="Arial" w:hAnsi="Arial" w:cs="Arial"/>
          <w:b/>
          <w:color w:val="FF0000"/>
          <w:sz w:val="20"/>
          <w:szCs w:val="20"/>
        </w:rPr>
        <w:sectPr w:rsidR="005F19E0" w:rsidRPr="005F19E0" w:rsidSect="002870E2">
          <w:headerReference w:type="default" r:id="rId9"/>
          <w:footerReference w:type="even" r:id="rId10"/>
          <w:footerReference w:type="default" r:id="rId11"/>
          <w:footerReference w:type="first" r:id="rId12"/>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rsidR="00E71EF1" w:rsidRDefault="00E71EF1" w:rsidP="00E71EF1">
      <w:pPr>
        <w:pStyle w:val="Heading1"/>
      </w:pPr>
      <w:bookmarkStart w:id="4" w:name="_Toc438457170"/>
      <w:r>
        <w:lastRenderedPageBreak/>
        <w:t>Document Revision History</w:t>
      </w:r>
      <w:bookmarkEnd w:id="4"/>
    </w:p>
    <w:p w:rsidR="00E91C15" w:rsidRDefault="004203DD" w:rsidP="001A573F">
      <w:r>
        <w:t xml:space="preserve"> </w:t>
      </w:r>
      <w:r w:rsidR="00E91C15">
        <w:tab/>
      </w:r>
      <w:r w:rsidR="00E91C15">
        <w:tab/>
      </w:r>
      <w:r w:rsidR="00E91C15">
        <w:tab/>
      </w:r>
      <w:r w:rsidR="00E91C15">
        <w:tab/>
      </w:r>
      <w:r>
        <w:t xml:space="preserve"> </w:t>
      </w:r>
      <w:r w:rsidR="00E91C15">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783DAC" w:rsidTr="005A3157">
        <w:trPr>
          <w:trHeight w:val="464"/>
        </w:trPr>
        <w:tc>
          <w:tcPr>
            <w:tcW w:w="870" w:type="pct"/>
            <w:tcBorders>
              <w:top w:val="nil"/>
              <w:bottom w:val="single" w:sz="18" w:space="0" w:color="FFFFFF"/>
            </w:tcBorders>
            <w:shd w:val="clear" w:color="auto" w:fill="BFBFBF"/>
          </w:tcPr>
          <w:p w:rsidR="000374A5" w:rsidRPr="000374A5" w:rsidRDefault="000374A5" w:rsidP="000374A5">
            <w:pPr>
              <w:jc w:val="center"/>
              <w:rPr>
                <w:b/>
                <w:bCs/>
              </w:rPr>
            </w:pPr>
            <w:r>
              <w:t>Revision #</w:t>
            </w:r>
            <w:r>
              <w:tab/>
            </w:r>
          </w:p>
        </w:tc>
        <w:tc>
          <w:tcPr>
            <w:tcW w:w="746" w:type="pct"/>
            <w:tcBorders>
              <w:top w:val="nil"/>
              <w:bottom w:val="single" w:sz="18" w:space="0" w:color="FFFFFF"/>
            </w:tcBorders>
            <w:shd w:val="clear" w:color="auto" w:fill="BFBFBF"/>
          </w:tcPr>
          <w:p w:rsidR="000374A5" w:rsidRPr="000374A5" w:rsidRDefault="000374A5" w:rsidP="000374A5">
            <w:pPr>
              <w:jc w:val="center"/>
              <w:rPr>
                <w:b/>
                <w:bCs/>
                <w:sz w:val="20"/>
                <w:szCs w:val="20"/>
              </w:rPr>
            </w:pPr>
            <w:r>
              <w:t>Date</w:t>
            </w:r>
            <w:r w:rsidRPr="00E91C15">
              <w:t xml:space="preserve"> </w:t>
            </w:r>
            <w:r>
              <w:tab/>
            </w:r>
          </w:p>
        </w:tc>
        <w:tc>
          <w:tcPr>
            <w:tcW w:w="1692" w:type="pct"/>
            <w:tcBorders>
              <w:top w:val="nil"/>
              <w:bottom w:val="single" w:sz="18" w:space="0" w:color="FFFFFF"/>
            </w:tcBorders>
            <w:shd w:val="clear" w:color="auto" w:fill="BFBFBF"/>
          </w:tcPr>
          <w:p w:rsidR="000374A5" w:rsidRPr="000374A5" w:rsidRDefault="000374A5" w:rsidP="000374A5">
            <w:pPr>
              <w:jc w:val="center"/>
              <w:rPr>
                <w:b/>
                <w:bCs/>
                <w:sz w:val="20"/>
                <w:szCs w:val="20"/>
              </w:rPr>
            </w:pPr>
            <w:r>
              <w:t>Section by Section Description of Revisions</w:t>
            </w:r>
          </w:p>
        </w:tc>
        <w:tc>
          <w:tcPr>
            <w:tcW w:w="1692" w:type="pct"/>
            <w:tcBorders>
              <w:top w:val="nil"/>
              <w:bottom w:val="single" w:sz="18" w:space="0" w:color="FFFFFF"/>
            </w:tcBorders>
            <w:shd w:val="clear" w:color="auto" w:fill="BFBFBF"/>
          </w:tcPr>
          <w:p w:rsidR="000374A5" w:rsidRPr="000374A5" w:rsidRDefault="000374A5" w:rsidP="000374A5">
            <w:pPr>
              <w:jc w:val="center"/>
              <w:rPr>
                <w:b/>
                <w:bCs/>
                <w:sz w:val="20"/>
                <w:szCs w:val="20"/>
              </w:rPr>
            </w:pPr>
            <w:r>
              <w:t>Author (Company)</w:t>
            </w:r>
          </w:p>
        </w:tc>
      </w:tr>
      <w:tr w:rsidR="0068419D" w:rsidRPr="00531AF8" w:rsidTr="0000411D">
        <w:trPr>
          <w:trHeight w:val="464"/>
        </w:trPr>
        <w:tc>
          <w:tcPr>
            <w:tcW w:w="870" w:type="pct"/>
            <w:tcBorders>
              <w:top w:val="single" w:sz="18" w:space="0" w:color="FFFFFF"/>
              <w:bottom w:val="single" w:sz="18" w:space="0" w:color="FFFFFF"/>
            </w:tcBorders>
            <w:shd w:val="clear" w:color="auto" w:fill="D9D9D9"/>
          </w:tcPr>
          <w:p w:rsidR="0068419D" w:rsidRPr="00531AF8" w:rsidRDefault="0068419D" w:rsidP="008948E0">
            <w:pPr>
              <w:rPr>
                <w:bCs/>
              </w:rPr>
            </w:pPr>
            <w:r w:rsidRPr="00531AF8">
              <w:rPr>
                <w:bCs/>
              </w:rPr>
              <w:t>Revision 0</w:t>
            </w:r>
          </w:p>
        </w:tc>
        <w:tc>
          <w:tcPr>
            <w:tcW w:w="746" w:type="pct"/>
            <w:tcBorders>
              <w:top w:val="single" w:sz="18" w:space="0" w:color="FFFFFF"/>
              <w:bottom w:val="single" w:sz="18" w:space="0" w:color="FFFFFF"/>
            </w:tcBorders>
            <w:shd w:val="clear" w:color="auto" w:fill="D9D9D9"/>
          </w:tcPr>
          <w:p w:rsidR="0068419D" w:rsidRPr="00531AF8" w:rsidRDefault="005C31D5" w:rsidP="005C31D5">
            <w:pPr>
              <w:rPr>
                <w:bCs/>
              </w:rPr>
            </w:pPr>
            <w:r>
              <w:rPr>
                <w:bCs/>
              </w:rPr>
              <w:t>2</w:t>
            </w:r>
            <w:r w:rsidR="00531AF8" w:rsidRPr="00531AF8">
              <w:rPr>
                <w:bCs/>
              </w:rPr>
              <w:t>/</w:t>
            </w:r>
            <w:r>
              <w:rPr>
                <w:bCs/>
              </w:rPr>
              <w:t>25</w:t>
            </w:r>
            <w:r w:rsidR="00531AF8" w:rsidRPr="00531AF8">
              <w:rPr>
                <w:bCs/>
              </w:rPr>
              <w:t>/201</w:t>
            </w:r>
            <w:r>
              <w:rPr>
                <w:bCs/>
              </w:rPr>
              <w:t>5</w:t>
            </w:r>
          </w:p>
        </w:tc>
        <w:tc>
          <w:tcPr>
            <w:tcW w:w="1692" w:type="pct"/>
            <w:tcBorders>
              <w:top w:val="single" w:sz="18" w:space="0" w:color="FFFFFF"/>
              <w:bottom w:val="single" w:sz="18" w:space="0" w:color="FFFFFF"/>
            </w:tcBorders>
            <w:shd w:val="clear" w:color="auto" w:fill="D9D9D9"/>
          </w:tcPr>
          <w:p w:rsidR="0068419D" w:rsidRPr="00531AF8" w:rsidRDefault="00DB2CE5" w:rsidP="00DF163F">
            <w:r w:rsidRPr="00531AF8">
              <w:t>PGECOLTG</w:t>
            </w:r>
            <w:r w:rsidR="00990A52">
              <w:t>179</w:t>
            </w:r>
            <w:r w:rsidR="0068419D" w:rsidRPr="00531AF8">
              <w:t xml:space="preserve"> R0 </w:t>
            </w:r>
            <w:r w:rsidR="00990A52">
              <w:t xml:space="preserve">LED </w:t>
            </w:r>
            <w:r w:rsidR="00C27933">
              <w:t xml:space="preserve">Ambient Commercial </w:t>
            </w:r>
            <w:r w:rsidR="005C31D5" w:rsidRPr="005C31D5">
              <w:t xml:space="preserve"> Fixtures and Retrofit Kits</w:t>
            </w:r>
            <w:r w:rsidR="0068419D" w:rsidRPr="00531AF8">
              <w:t>.doc</w:t>
            </w:r>
          </w:p>
          <w:p w:rsidR="0068419D" w:rsidRPr="00531AF8" w:rsidRDefault="00D3706F" w:rsidP="00DF163F">
            <w:r w:rsidRPr="00531AF8">
              <w:t xml:space="preserve">Original </w:t>
            </w:r>
            <w:proofErr w:type="spellStart"/>
            <w:r w:rsidRPr="00531AF8">
              <w:t>Workpaper</w:t>
            </w:r>
            <w:proofErr w:type="spellEnd"/>
          </w:p>
        </w:tc>
        <w:tc>
          <w:tcPr>
            <w:tcW w:w="1692" w:type="pct"/>
            <w:tcBorders>
              <w:top w:val="single" w:sz="18" w:space="0" w:color="FFFFFF"/>
              <w:bottom w:val="single" w:sz="18" w:space="0" w:color="FFFFFF"/>
            </w:tcBorders>
            <w:shd w:val="clear" w:color="auto" w:fill="D9D9D9"/>
          </w:tcPr>
          <w:p w:rsidR="00032F1B" w:rsidRDefault="00032F1B" w:rsidP="008948E0">
            <w:pPr>
              <w:rPr>
                <w:bCs/>
              </w:rPr>
            </w:pPr>
            <w:r>
              <w:rPr>
                <w:bCs/>
              </w:rPr>
              <w:t>Author: Greg Barker (Energy Solutions)</w:t>
            </w:r>
          </w:p>
          <w:p w:rsidR="0068419D" w:rsidRPr="00531AF8" w:rsidRDefault="00032F1B" w:rsidP="008948E0">
            <w:pPr>
              <w:rPr>
                <w:bCs/>
              </w:rPr>
            </w:pPr>
            <w:r>
              <w:rPr>
                <w:bCs/>
              </w:rPr>
              <w:t xml:space="preserve">Reviewer: </w:t>
            </w:r>
            <w:r w:rsidR="0068419D" w:rsidRPr="00531AF8">
              <w:rPr>
                <w:bCs/>
              </w:rPr>
              <w:t xml:space="preserve">Alina Zohrabian (PG&amp;E) </w:t>
            </w:r>
          </w:p>
        </w:tc>
      </w:tr>
      <w:tr w:rsidR="002870E2" w:rsidRPr="00531AF8" w:rsidTr="0000411D">
        <w:trPr>
          <w:trHeight w:val="464"/>
        </w:trPr>
        <w:tc>
          <w:tcPr>
            <w:tcW w:w="870" w:type="pct"/>
            <w:tcBorders>
              <w:top w:val="single" w:sz="18" w:space="0" w:color="FFFFFF"/>
              <w:bottom w:val="single" w:sz="18" w:space="0" w:color="FFFFFF"/>
            </w:tcBorders>
            <w:shd w:val="clear" w:color="auto" w:fill="D9D9D9"/>
          </w:tcPr>
          <w:p w:rsidR="002870E2" w:rsidRPr="00531AF8" w:rsidRDefault="002870E2" w:rsidP="006B6526">
            <w:pPr>
              <w:rPr>
                <w:bCs/>
              </w:rPr>
            </w:pPr>
            <w:r>
              <w:rPr>
                <w:bCs/>
              </w:rPr>
              <w:t>Revision 1</w:t>
            </w:r>
          </w:p>
        </w:tc>
        <w:tc>
          <w:tcPr>
            <w:tcW w:w="746" w:type="pct"/>
            <w:tcBorders>
              <w:top w:val="single" w:sz="18" w:space="0" w:color="FFFFFF"/>
              <w:bottom w:val="single" w:sz="18" w:space="0" w:color="FFFFFF"/>
            </w:tcBorders>
            <w:shd w:val="clear" w:color="auto" w:fill="D9D9D9"/>
          </w:tcPr>
          <w:p w:rsidR="002870E2" w:rsidRPr="00531AF8" w:rsidRDefault="002870E2" w:rsidP="006B6526">
            <w:pPr>
              <w:rPr>
                <w:bCs/>
              </w:rPr>
            </w:pPr>
            <w:r>
              <w:rPr>
                <w:bCs/>
              </w:rPr>
              <w:t>1/1/2016</w:t>
            </w:r>
          </w:p>
        </w:tc>
        <w:tc>
          <w:tcPr>
            <w:tcW w:w="1692" w:type="pct"/>
            <w:tcBorders>
              <w:top w:val="single" w:sz="18" w:space="0" w:color="FFFFFF"/>
              <w:bottom w:val="single" w:sz="18" w:space="0" w:color="FFFFFF"/>
            </w:tcBorders>
            <w:shd w:val="clear" w:color="auto" w:fill="D9D9D9"/>
          </w:tcPr>
          <w:p w:rsidR="002870E2" w:rsidRPr="00531AF8" w:rsidRDefault="002870E2" w:rsidP="00CA1504">
            <w:r>
              <w:t>Added upstream delivery channel.  Updated NTG</w:t>
            </w:r>
            <w:r w:rsidR="00CA1504">
              <w:t xml:space="preserve"> &amp;</w:t>
            </w:r>
            <w:r>
              <w:t xml:space="preserve"> EUL IDs per DEER2016.</w:t>
            </w:r>
          </w:p>
        </w:tc>
        <w:tc>
          <w:tcPr>
            <w:tcW w:w="1692" w:type="pct"/>
            <w:tcBorders>
              <w:top w:val="single" w:sz="18" w:space="0" w:color="FFFFFF"/>
              <w:bottom w:val="single" w:sz="18" w:space="0" w:color="FFFFFF"/>
            </w:tcBorders>
            <w:shd w:val="clear" w:color="auto" w:fill="D9D9D9"/>
          </w:tcPr>
          <w:p w:rsidR="002870E2" w:rsidRPr="00531AF8" w:rsidRDefault="002870E2" w:rsidP="006B6526">
            <w:pPr>
              <w:rPr>
                <w:bCs/>
              </w:rPr>
            </w:pPr>
            <w:r w:rsidRPr="00531AF8">
              <w:rPr>
                <w:bCs/>
              </w:rPr>
              <w:t xml:space="preserve">Alina </w:t>
            </w:r>
            <w:proofErr w:type="spellStart"/>
            <w:r w:rsidRPr="00531AF8">
              <w:rPr>
                <w:bCs/>
              </w:rPr>
              <w:t>Zohrabian</w:t>
            </w:r>
            <w:proofErr w:type="spellEnd"/>
            <w:r w:rsidRPr="00531AF8">
              <w:rPr>
                <w:bCs/>
              </w:rPr>
              <w:t xml:space="preserve"> (PG&amp;E) </w:t>
            </w:r>
          </w:p>
        </w:tc>
      </w:tr>
    </w:tbl>
    <w:p w:rsidR="00783DAC" w:rsidRPr="00783DAC" w:rsidRDefault="00783DAC" w:rsidP="00783DAC">
      <w:pPr>
        <w:rPr>
          <w:vanish/>
        </w:rPr>
      </w:pPr>
      <w:bookmarkStart w:id="5" w:name="_Toc186621650"/>
    </w:p>
    <w:p w:rsidR="00E71EF1" w:rsidRDefault="00E71EF1" w:rsidP="00F55847">
      <w:pPr>
        <w:pStyle w:val="Heading1"/>
      </w:pPr>
      <w:bookmarkStart w:id="6" w:name="_Toc304800197"/>
      <w:r w:rsidRPr="006832A4">
        <w:br w:type="page"/>
      </w:r>
      <w:bookmarkStart w:id="7" w:name="_Toc438457171"/>
      <w:r w:rsidR="001248A3">
        <w:lastRenderedPageBreak/>
        <w:t>Table</w:t>
      </w:r>
      <w:r w:rsidR="006559C8">
        <w:t xml:space="preserve"> of Contents</w:t>
      </w:r>
      <w:bookmarkEnd w:id="5"/>
      <w:bookmarkEnd w:id="6"/>
      <w:bookmarkEnd w:id="7"/>
    </w:p>
    <w:p w:rsidR="00CA1504" w:rsidRDefault="009F6F8B">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438457169" w:history="1">
        <w:r w:rsidR="00CA1504" w:rsidRPr="00E255E3">
          <w:rPr>
            <w:rStyle w:val="Hyperlink"/>
            <w:noProof/>
          </w:rPr>
          <w:t>At-a-Glance Summary</w:t>
        </w:r>
        <w:r w:rsidR="00CA1504">
          <w:rPr>
            <w:noProof/>
            <w:webHidden/>
          </w:rPr>
          <w:tab/>
        </w:r>
        <w:r w:rsidR="00CA1504">
          <w:rPr>
            <w:noProof/>
            <w:webHidden/>
          </w:rPr>
          <w:fldChar w:fldCharType="begin"/>
        </w:r>
        <w:r w:rsidR="00CA1504">
          <w:rPr>
            <w:noProof/>
            <w:webHidden/>
          </w:rPr>
          <w:instrText xml:space="preserve"> PAGEREF _Toc438457169 \h </w:instrText>
        </w:r>
        <w:r w:rsidR="00CA1504">
          <w:rPr>
            <w:noProof/>
            <w:webHidden/>
          </w:rPr>
        </w:r>
        <w:r w:rsidR="00CA1504">
          <w:rPr>
            <w:noProof/>
            <w:webHidden/>
          </w:rPr>
          <w:fldChar w:fldCharType="separate"/>
        </w:r>
        <w:r w:rsidR="00CA1504">
          <w:rPr>
            <w:noProof/>
            <w:webHidden/>
          </w:rPr>
          <w:t>ii</w:t>
        </w:r>
        <w:r w:rsidR="00CA1504">
          <w:rPr>
            <w:noProof/>
            <w:webHidden/>
          </w:rPr>
          <w:fldChar w:fldCharType="end"/>
        </w:r>
      </w:hyperlink>
    </w:p>
    <w:p w:rsidR="00CA1504" w:rsidRDefault="00CA1504">
      <w:pPr>
        <w:pStyle w:val="TOC1"/>
        <w:tabs>
          <w:tab w:val="right" w:leader="dot" w:pos="9350"/>
        </w:tabs>
        <w:rPr>
          <w:rFonts w:asciiTheme="minorHAnsi" w:eastAsiaTheme="minorEastAsia" w:hAnsiTheme="minorHAnsi" w:cstheme="minorBidi"/>
          <w:noProof/>
          <w:sz w:val="22"/>
          <w:szCs w:val="22"/>
        </w:rPr>
      </w:pPr>
      <w:hyperlink w:anchor="_Toc438457170" w:history="1">
        <w:r w:rsidRPr="00E255E3">
          <w:rPr>
            <w:rStyle w:val="Hyperlink"/>
            <w:noProof/>
          </w:rPr>
          <w:t>Document Revision History</w:t>
        </w:r>
        <w:r>
          <w:rPr>
            <w:noProof/>
            <w:webHidden/>
          </w:rPr>
          <w:tab/>
        </w:r>
        <w:r>
          <w:rPr>
            <w:noProof/>
            <w:webHidden/>
          </w:rPr>
          <w:fldChar w:fldCharType="begin"/>
        </w:r>
        <w:r>
          <w:rPr>
            <w:noProof/>
            <w:webHidden/>
          </w:rPr>
          <w:instrText xml:space="preserve"> PAGEREF _Toc438457170 \h </w:instrText>
        </w:r>
        <w:r>
          <w:rPr>
            <w:noProof/>
            <w:webHidden/>
          </w:rPr>
        </w:r>
        <w:r>
          <w:rPr>
            <w:noProof/>
            <w:webHidden/>
          </w:rPr>
          <w:fldChar w:fldCharType="separate"/>
        </w:r>
        <w:r>
          <w:rPr>
            <w:noProof/>
            <w:webHidden/>
          </w:rPr>
          <w:t>iii</w:t>
        </w:r>
        <w:r>
          <w:rPr>
            <w:noProof/>
            <w:webHidden/>
          </w:rPr>
          <w:fldChar w:fldCharType="end"/>
        </w:r>
      </w:hyperlink>
    </w:p>
    <w:p w:rsidR="00CA1504" w:rsidRDefault="00CA1504">
      <w:pPr>
        <w:pStyle w:val="TOC1"/>
        <w:tabs>
          <w:tab w:val="right" w:leader="dot" w:pos="9350"/>
        </w:tabs>
        <w:rPr>
          <w:rFonts w:asciiTheme="minorHAnsi" w:eastAsiaTheme="minorEastAsia" w:hAnsiTheme="minorHAnsi" w:cstheme="minorBidi"/>
          <w:noProof/>
          <w:sz w:val="22"/>
          <w:szCs w:val="22"/>
        </w:rPr>
      </w:pPr>
      <w:hyperlink w:anchor="_Toc438457171" w:history="1">
        <w:r w:rsidRPr="00E255E3">
          <w:rPr>
            <w:rStyle w:val="Hyperlink"/>
            <w:noProof/>
          </w:rPr>
          <w:t>Table of Contents</w:t>
        </w:r>
        <w:r>
          <w:rPr>
            <w:noProof/>
            <w:webHidden/>
          </w:rPr>
          <w:tab/>
        </w:r>
        <w:r>
          <w:rPr>
            <w:noProof/>
            <w:webHidden/>
          </w:rPr>
          <w:fldChar w:fldCharType="begin"/>
        </w:r>
        <w:r>
          <w:rPr>
            <w:noProof/>
            <w:webHidden/>
          </w:rPr>
          <w:instrText xml:space="preserve"> PAGEREF _Toc438457171 \h </w:instrText>
        </w:r>
        <w:r>
          <w:rPr>
            <w:noProof/>
            <w:webHidden/>
          </w:rPr>
        </w:r>
        <w:r>
          <w:rPr>
            <w:noProof/>
            <w:webHidden/>
          </w:rPr>
          <w:fldChar w:fldCharType="separate"/>
        </w:r>
        <w:r>
          <w:rPr>
            <w:noProof/>
            <w:webHidden/>
          </w:rPr>
          <w:t>iv</w:t>
        </w:r>
        <w:r>
          <w:rPr>
            <w:noProof/>
            <w:webHidden/>
          </w:rPr>
          <w:fldChar w:fldCharType="end"/>
        </w:r>
      </w:hyperlink>
    </w:p>
    <w:p w:rsidR="00CA1504" w:rsidRDefault="00CA1504">
      <w:pPr>
        <w:pStyle w:val="TOC1"/>
        <w:tabs>
          <w:tab w:val="right" w:leader="dot" w:pos="9350"/>
        </w:tabs>
        <w:rPr>
          <w:rFonts w:asciiTheme="minorHAnsi" w:eastAsiaTheme="minorEastAsia" w:hAnsiTheme="minorHAnsi" w:cstheme="minorBidi"/>
          <w:noProof/>
          <w:sz w:val="22"/>
          <w:szCs w:val="22"/>
        </w:rPr>
      </w:pPr>
      <w:hyperlink w:anchor="_Toc438457172" w:history="1">
        <w:r w:rsidRPr="00E255E3">
          <w:rPr>
            <w:rStyle w:val="Hyperlink"/>
            <w:noProof/>
          </w:rPr>
          <w:t>List of Tables</w:t>
        </w:r>
        <w:r>
          <w:rPr>
            <w:noProof/>
            <w:webHidden/>
          </w:rPr>
          <w:tab/>
        </w:r>
        <w:r>
          <w:rPr>
            <w:noProof/>
            <w:webHidden/>
          </w:rPr>
          <w:fldChar w:fldCharType="begin"/>
        </w:r>
        <w:r>
          <w:rPr>
            <w:noProof/>
            <w:webHidden/>
          </w:rPr>
          <w:instrText xml:space="preserve"> PAGEREF _Toc438457172 \h </w:instrText>
        </w:r>
        <w:r>
          <w:rPr>
            <w:noProof/>
            <w:webHidden/>
          </w:rPr>
        </w:r>
        <w:r>
          <w:rPr>
            <w:noProof/>
            <w:webHidden/>
          </w:rPr>
          <w:fldChar w:fldCharType="separate"/>
        </w:r>
        <w:r>
          <w:rPr>
            <w:noProof/>
            <w:webHidden/>
          </w:rPr>
          <w:t>v</w:t>
        </w:r>
        <w:r>
          <w:rPr>
            <w:noProof/>
            <w:webHidden/>
          </w:rPr>
          <w:fldChar w:fldCharType="end"/>
        </w:r>
      </w:hyperlink>
    </w:p>
    <w:p w:rsidR="00CA1504" w:rsidRDefault="00CA1504">
      <w:pPr>
        <w:pStyle w:val="TOC1"/>
        <w:tabs>
          <w:tab w:val="right" w:leader="dot" w:pos="9350"/>
        </w:tabs>
        <w:rPr>
          <w:rFonts w:asciiTheme="minorHAnsi" w:eastAsiaTheme="minorEastAsia" w:hAnsiTheme="minorHAnsi" w:cstheme="minorBidi"/>
          <w:noProof/>
          <w:sz w:val="22"/>
          <w:szCs w:val="22"/>
        </w:rPr>
      </w:pPr>
      <w:hyperlink w:anchor="_Toc438457173" w:history="1">
        <w:r w:rsidRPr="00E255E3">
          <w:rPr>
            <w:rStyle w:val="Hyperlink"/>
            <w:noProof/>
          </w:rPr>
          <w:t>Section 1. General Measure &amp; Baseline Data</w:t>
        </w:r>
        <w:r>
          <w:rPr>
            <w:noProof/>
            <w:webHidden/>
          </w:rPr>
          <w:tab/>
        </w:r>
        <w:r>
          <w:rPr>
            <w:noProof/>
            <w:webHidden/>
          </w:rPr>
          <w:fldChar w:fldCharType="begin"/>
        </w:r>
        <w:r>
          <w:rPr>
            <w:noProof/>
            <w:webHidden/>
          </w:rPr>
          <w:instrText xml:space="preserve"> PAGEREF _Toc438457173 \h </w:instrText>
        </w:r>
        <w:r>
          <w:rPr>
            <w:noProof/>
            <w:webHidden/>
          </w:rPr>
        </w:r>
        <w:r>
          <w:rPr>
            <w:noProof/>
            <w:webHidden/>
          </w:rPr>
          <w:fldChar w:fldCharType="separate"/>
        </w:r>
        <w:r>
          <w:rPr>
            <w:noProof/>
            <w:webHidden/>
          </w:rPr>
          <w:t>1</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74" w:history="1">
        <w:r w:rsidRPr="00E255E3">
          <w:rPr>
            <w:rStyle w:val="Hyperlink"/>
            <w:noProof/>
          </w:rPr>
          <w:t>1.1 Product Measure Description &amp; Background</w:t>
        </w:r>
        <w:r>
          <w:rPr>
            <w:noProof/>
            <w:webHidden/>
          </w:rPr>
          <w:tab/>
        </w:r>
        <w:r>
          <w:rPr>
            <w:noProof/>
            <w:webHidden/>
          </w:rPr>
          <w:fldChar w:fldCharType="begin"/>
        </w:r>
        <w:r>
          <w:rPr>
            <w:noProof/>
            <w:webHidden/>
          </w:rPr>
          <w:instrText xml:space="preserve"> PAGEREF _Toc438457174 \h </w:instrText>
        </w:r>
        <w:r>
          <w:rPr>
            <w:noProof/>
            <w:webHidden/>
          </w:rPr>
        </w:r>
        <w:r>
          <w:rPr>
            <w:noProof/>
            <w:webHidden/>
          </w:rPr>
          <w:fldChar w:fldCharType="separate"/>
        </w:r>
        <w:r>
          <w:rPr>
            <w:noProof/>
            <w:webHidden/>
          </w:rPr>
          <w:t>1</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75" w:history="1">
        <w:r w:rsidRPr="00E255E3">
          <w:rPr>
            <w:rStyle w:val="Hyperlink"/>
            <w:noProof/>
          </w:rPr>
          <w:t>1.2 Product Technical Description</w:t>
        </w:r>
        <w:r>
          <w:rPr>
            <w:noProof/>
            <w:webHidden/>
          </w:rPr>
          <w:tab/>
        </w:r>
        <w:r>
          <w:rPr>
            <w:noProof/>
            <w:webHidden/>
          </w:rPr>
          <w:fldChar w:fldCharType="begin"/>
        </w:r>
        <w:r>
          <w:rPr>
            <w:noProof/>
            <w:webHidden/>
          </w:rPr>
          <w:instrText xml:space="preserve"> PAGEREF _Toc438457175 \h </w:instrText>
        </w:r>
        <w:r>
          <w:rPr>
            <w:noProof/>
            <w:webHidden/>
          </w:rPr>
        </w:r>
        <w:r>
          <w:rPr>
            <w:noProof/>
            <w:webHidden/>
          </w:rPr>
          <w:fldChar w:fldCharType="separate"/>
        </w:r>
        <w:r>
          <w:rPr>
            <w:noProof/>
            <w:webHidden/>
          </w:rPr>
          <w:t>3</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76" w:history="1">
        <w:r w:rsidRPr="00E255E3">
          <w:rPr>
            <w:rStyle w:val="Hyperlink"/>
            <w:noProof/>
          </w:rPr>
          <w:t>1.3 Measure Application Type</w:t>
        </w:r>
        <w:r>
          <w:rPr>
            <w:noProof/>
            <w:webHidden/>
          </w:rPr>
          <w:tab/>
        </w:r>
        <w:r>
          <w:rPr>
            <w:noProof/>
            <w:webHidden/>
          </w:rPr>
          <w:fldChar w:fldCharType="begin"/>
        </w:r>
        <w:r>
          <w:rPr>
            <w:noProof/>
            <w:webHidden/>
          </w:rPr>
          <w:instrText xml:space="preserve"> PAGEREF _Toc438457176 \h </w:instrText>
        </w:r>
        <w:r>
          <w:rPr>
            <w:noProof/>
            <w:webHidden/>
          </w:rPr>
        </w:r>
        <w:r>
          <w:rPr>
            <w:noProof/>
            <w:webHidden/>
          </w:rPr>
          <w:fldChar w:fldCharType="separate"/>
        </w:r>
        <w:r>
          <w:rPr>
            <w:noProof/>
            <w:webHidden/>
          </w:rPr>
          <w:t>4</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77" w:history="1">
        <w:r w:rsidRPr="00E255E3">
          <w:rPr>
            <w:rStyle w:val="Hyperlink"/>
            <w:noProof/>
          </w:rPr>
          <w:t>1.4 Product Base Case and Measure Case Data</w:t>
        </w:r>
        <w:r>
          <w:rPr>
            <w:noProof/>
            <w:webHidden/>
          </w:rPr>
          <w:tab/>
        </w:r>
        <w:r>
          <w:rPr>
            <w:noProof/>
            <w:webHidden/>
          </w:rPr>
          <w:fldChar w:fldCharType="begin"/>
        </w:r>
        <w:r>
          <w:rPr>
            <w:noProof/>
            <w:webHidden/>
          </w:rPr>
          <w:instrText xml:space="preserve"> PAGEREF _Toc438457177 \h </w:instrText>
        </w:r>
        <w:r>
          <w:rPr>
            <w:noProof/>
            <w:webHidden/>
          </w:rPr>
        </w:r>
        <w:r>
          <w:rPr>
            <w:noProof/>
            <w:webHidden/>
          </w:rPr>
          <w:fldChar w:fldCharType="separate"/>
        </w:r>
        <w:r>
          <w:rPr>
            <w:noProof/>
            <w:webHidden/>
          </w:rPr>
          <w:t>4</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78" w:history="1">
        <w:r w:rsidRPr="00E255E3">
          <w:rPr>
            <w:rStyle w:val="Hyperlink"/>
            <w:noProof/>
          </w:rPr>
          <w:t>1.4.1 DEER Base Case and Measure Case Information</w:t>
        </w:r>
        <w:r>
          <w:rPr>
            <w:noProof/>
            <w:webHidden/>
          </w:rPr>
          <w:tab/>
        </w:r>
        <w:r>
          <w:rPr>
            <w:noProof/>
            <w:webHidden/>
          </w:rPr>
          <w:fldChar w:fldCharType="begin"/>
        </w:r>
        <w:r>
          <w:rPr>
            <w:noProof/>
            <w:webHidden/>
          </w:rPr>
          <w:instrText xml:space="preserve"> PAGEREF _Toc438457178 \h </w:instrText>
        </w:r>
        <w:r>
          <w:rPr>
            <w:noProof/>
            <w:webHidden/>
          </w:rPr>
        </w:r>
        <w:r>
          <w:rPr>
            <w:noProof/>
            <w:webHidden/>
          </w:rPr>
          <w:fldChar w:fldCharType="separate"/>
        </w:r>
        <w:r>
          <w:rPr>
            <w:noProof/>
            <w:webHidden/>
          </w:rPr>
          <w:t>5</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79" w:history="1">
        <w:r w:rsidRPr="00E255E3">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_Toc438457179 \h </w:instrText>
        </w:r>
        <w:r>
          <w:rPr>
            <w:noProof/>
            <w:webHidden/>
          </w:rPr>
        </w:r>
        <w:r>
          <w:rPr>
            <w:noProof/>
            <w:webHidden/>
          </w:rPr>
          <w:fldChar w:fldCharType="separate"/>
        </w:r>
        <w:r>
          <w:rPr>
            <w:noProof/>
            <w:webHidden/>
          </w:rPr>
          <w:t>6</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80" w:history="1">
        <w:r w:rsidRPr="00E255E3">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_Toc438457180 \h </w:instrText>
        </w:r>
        <w:r>
          <w:rPr>
            <w:noProof/>
            <w:webHidden/>
          </w:rPr>
        </w:r>
        <w:r>
          <w:rPr>
            <w:noProof/>
            <w:webHidden/>
          </w:rPr>
          <w:fldChar w:fldCharType="separate"/>
        </w:r>
        <w:r>
          <w:rPr>
            <w:noProof/>
            <w:webHidden/>
          </w:rPr>
          <w:t>6</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81" w:history="1">
        <w:r w:rsidRPr="00E255E3">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_Toc438457181 \h </w:instrText>
        </w:r>
        <w:r>
          <w:rPr>
            <w:noProof/>
            <w:webHidden/>
          </w:rPr>
        </w:r>
        <w:r>
          <w:rPr>
            <w:noProof/>
            <w:webHidden/>
          </w:rPr>
          <w:fldChar w:fldCharType="separate"/>
        </w:r>
        <w:r>
          <w:rPr>
            <w:noProof/>
            <w:webHidden/>
          </w:rPr>
          <w:t>7</w:t>
        </w:r>
        <w:r>
          <w:rPr>
            <w:noProof/>
            <w:webHidden/>
          </w:rPr>
          <w:fldChar w:fldCharType="end"/>
        </w:r>
      </w:hyperlink>
    </w:p>
    <w:p w:rsidR="00CA1504" w:rsidRDefault="00CA1504">
      <w:pPr>
        <w:pStyle w:val="TOC1"/>
        <w:tabs>
          <w:tab w:val="right" w:leader="dot" w:pos="9350"/>
        </w:tabs>
        <w:rPr>
          <w:rFonts w:asciiTheme="minorHAnsi" w:eastAsiaTheme="minorEastAsia" w:hAnsiTheme="minorHAnsi" w:cstheme="minorBidi"/>
          <w:noProof/>
          <w:sz w:val="22"/>
          <w:szCs w:val="22"/>
        </w:rPr>
      </w:pPr>
      <w:hyperlink w:anchor="_Toc438457182" w:history="1">
        <w:r w:rsidRPr="00E255E3">
          <w:rPr>
            <w:rStyle w:val="Hyperlink"/>
            <w:noProof/>
          </w:rPr>
          <w:t>Section 2. Calculation Methods</w:t>
        </w:r>
        <w:r>
          <w:rPr>
            <w:noProof/>
            <w:webHidden/>
          </w:rPr>
          <w:tab/>
        </w:r>
        <w:r>
          <w:rPr>
            <w:noProof/>
            <w:webHidden/>
          </w:rPr>
          <w:fldChar w:fldCharType="begin"/>
        </w:r>
        <w:r>
          <w:rPr>
            <w:noProof/>
            <w:webHidden/>
          </w:rPr>
          <w:instrText xml:space="preserve"> PAGEREF _Toc438457182 \h </w:instrText>
        </w:r>
        <w:r>
          <w:rPr>
            <w:noProof/>
            <w:webHidden/>
          </w:rPr>
        </w:r>
        <w:r>
          <w:rPr>
            <w:noProof/>
            <w:webHidden/>
          </w:rPr>
          <w:fldChar w:fldCharType="separate"/>
        </w:r>
        <w:r>
          <w:rPr>
            <w:noProof/>
            <w:webHidden/>
          </w:rPr>
          <w:t>9</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83" w:history="1">
        <w:r w:rsidRPr="00E255E3">
          <w:rPr>
            <w:rStyle w:val="Hyperlink"/>
            <w:noProof/>
          </w:rPr>
          <w:t>2.1 Electric Energy Savings Estimation Methodologies</w:t>
        </w:r>
        <w:r>
          <w:rPr>
            <w:noProof/>
            <w:webHidden/>
          </w:rPr>
          <w:tab/>
        </w:r>
        <w:r>
          <w:rPr>
            <w:noProof/>
            <w:webHidden/>
          </w:rPr>
          <w:fldChar w:fldCharType="begin"/>
        </w:r>
        <w:r>
          <w:rPr>
            <w:noProof/>
            <w:webHidden/>
          </w:rPr>
          <w:instrText xml:space="preserve"> PAGEREF _Toc438457183 \h </w:instrText>
        </w:r>
        <w:r>
          <w:rPr>
            <w:noProof/>
            <w:webHidden/>
          </w:rPr>
        </w:r>
        <w:r>
          <w:rPr>
            <w:noProof/>
            <w:webHidden/>
          </w:rPr>
          <w:fldChar w:fldCharType="separate"/>
        </w:r>
        <w:r>
          <w:rPr>
            <w:noProof/>
            <w:webHidden/>
          </w:rPr>
          <w:t>9</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84" w:history="1">
        <w:r w:rsidRPr="00E255E3">
          <w:rPr>
            <w:rStyle w:val="Hyperlink"/>
            <w:noProof/>
          </w:rPr>
          <w:t>2.2. Demand Reduction Estimation Methodologies</w:t>
        </w:r>
        <w:r>
          <w:rPr>
            <w:noProof/>
            <w:webHidden/>
          </w:rPr>
          <w:tab/>
        </w:r>
        <w:r>
          <w:rPr>
            <w:noProof/>
            <w:webHidden/>
          </w:rPr>
          <w:fldChar w:fldCharType="begin"/>
        </w:r>
        <w:r>
          <w:rPr>
            <w:noProof/>
            <w:webHidden/>
          </w:rPr>
          <w:instrText xml:space="preserve"> PAGEREF _Toc438457184 \h </w:instrText>
        </w:r>
        <w:r>
          <w:rPr>
            <w:noProof/>
            <w:webHidden/>
          </w:rPr>
        </w:r>
        <w:r>
          <w:rPr>
            <w:noProof/>
            <w:webHidden/>
          </w:rPr>
          <w:fldChar w:fldCharType="separate"/>
        </w:r>
        <w:r>
          <w:rPr>
            <w:noProof/>
            <w:webHidden/>
          </w:rPr>
          <w:t>9</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85" w:history="1">
        <w:r w:rsidRPr="00E255E3">
          <w:rPr>
            <w:rStyle w:val="Hyperlink"/>
            <w:noProof/>
          </w:rPr>
          <w:t>2.3. Gas Energy Savings Estimation Methodologies</w:t>
        </w:r>
        <w:r>
          <w:rPr>
            <w:noProof/>
            <w:webHidden/>
          </w:rPr>
          <w:tab/>
        </w:r>
        <w:r>
          <w:rPr>
            <w:noProof/>
            <w:webHidden/>
          </w:rPr>
          <w:fldChar w:fldCharType="begin"/>
        </w:r>
        <w:r>
          <w:rPr>
            <w:noProof/>
            <w:webHidden/>
          </w:rPr>
          <w:instrText xml:space="preserve"> PAGEREF _Toc438457185 \h </w:instrText>
        </w:r>
        <w:r>
          <w:rPr>
            <w:noProof/>
            <w:webHidden/>
          </w:rPr>
        </w:r>
        <w:r>
          <w:rPr>
            <w:noProof/>
            <w:webHidden/>
          </w:rPr>
          <w:fldChar w:fldCharType="separate"/>
        </w:r>
        <w:r>
          <w:rPr>
            <w:noProof/>
            <w:webHidden/>
          </w:rPr>
          <w:t>10</w:t>
        </w:r>
        <w:r>
          <w:rPr>
            <w:noProof/>
            <w:webHidden/>
          </w:rPr>
          <w:fldChar w:fldCharType="end"/>
        </w:r>
      </w:hyperlink>
    </w:p>
    <w:p w:rsidR="00CA1504" w:rsidRDefault="00CA1504">
      <w:pPr>
        <w:pStyle w:val="TOC1"/>
        <w:tabs>
          <w:tab w:val="right" w:leader="dot" w:pos="9350"/>
        </w:tabs>
        <w:rPr>
          <w:rFonts w:asciiTheme="minorHAnsi" w:eastAsiaTheme="minorEastAsia" w:hAnsiTheme="minorHAnsi" w:cstheme="minorBidi"/>
          <w:noProof/>
          <w:sz w:val="22"/>
          <w:szCs w:val="22"/>
        </w:rPr>
      </w:pPr>
      <w:hyperlink w:anchor="_Toc438457186" w:history="1">
        <w:r w:rsidRPr="00E255E3">
          <w:rPr>
            <w:rStyle w:val="Hyperlink"/>
            <w:noProof/>
          </w:rPr>
          <w:t>Section 3. Load Shapes</w:t>
        </w:r>
        <w:r>
          <w:rPr>
            <w:noProof/>
            <w:webHidden/>
          </w:rPr>
          <w:tab/>
        </w:r>
        <w:r>
          <w:rPr>
            <w:noProof/>
            <w:webHidden/>
          </w:rPr>
          <w:fldChar w:fldCharType="begin"/>
        </w:r>
        <w:r>
          <w:rPr>
            <w:noProof/>
            <w:webHidden/>
          </w:rPr>
          <w:instrText xml:space="preserve"> PAGEREF _Toc438457186 \h </w:instrText>
        </w:r>
        <w:r>
          <w:rPr>
            <w:noProof/>
            <w:webHidden/>
          </w:rPr>
        </w:r>
        <w:r>
          <w:rPr>
            <w:noProof/>
            <w:webHidden/>
          </w:rPr>
          <w:fldChar w:fldCharType="separate"/>
        </w:r>
        <w:r>
          <w:rPr>
            <w:noProof/>
            <w:webHidden/>
          </w:rPr>
          <w:t>10</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87" w:history="1">
        <w:r w:rsidRPr="00E255E3">
          <w:rPr>
            <w:rStyle w:val="Hyperlink"/>
            <w:noProof/>
          </w:rPr>
          <w:t>3.1 Base Case Load Shapes</w:t>
        </w:r>
        <w:r>
          <w:rPr>
            <w:noProof/>
            <w:webHidden/>
          </w:rPr>
          <w:tab/>
        </w:r>
        <w:r>
          <w:rPr>
            <w:noProof/>
            <w:webHidden/>
          </w:rPr>
          <w:fldChar w:fldCharType="begin"/>
        </w:r>
        <w:r>
          <w:rPr>
            <w:noProof/>
            <w:webHidden/>
          </w:rPr>
          <w:instrText xml:space="preserve"> PAGEREF _Toc438457187 \h </w:instrText>
        </w:r>
        <w:r>
          <w:rPr>
            <w:noProof/>
            <w:webHidden/>
          </w:rPr>
        </w:r>
        <w:r>
          <w:rPr>
            <w:noProof/>
            <w:webHidden/>
          </w:rPr>
          <w:fldChar w:fldCharType="separate"/>
        </w:r>
        <w:r>
          <w:rPr>
            <w:noProof/>
            <w:webHidden/>
          </w:rPr>
          <w:t>10</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88" w:history="1">
        <w:r w:rsidRPr="00E255E3">
          <w:rPr>
            <w:rStyle w:val="Hyperlink"/>
            <w:noProof/>
          </w:rPr>
          <w:t>3.2 Measure Load Shapes</w:t>
        </w:r>
        <w:r>
          <w:rPr>
            <w:noProof/>
            <w:webHidden/>
          </w:rPr>
          <w:tab/>
        </w:r>
        <w:r>
          <w:rPr>
            <w:noProof/>
            <w:webHidden/>
          </w:rPr>
          <w:fldChar w:fldCharType="begin"/>
        </w:r>
        <w:r>
          <w:rPr>
            <w:noProof/>
            <w:webHidden/>
          </w:rPr>
          <w:instrText xml:space="preserve"> PAGEREF _Toc438457188 \h </w:instrText>
        </w:r>
        <w:r>
          <w:rPr>
            <w:noProof/>
            <w:webHidden/>
          </w:rPr>
        </w:r>
        <w:r>
          <w:rPr>
            <w:noProof/>
            <w:webHidden/>
          </w:rPr>
          <w:fldChar w:fldCharType="separate"/>
        </w:r>
        <w:r>
          <w:rPr>
            <w:noProof/>
            <w:webHidden/>
          </w:rPr>
          <w:t>10</w:t>
        </w:r>
        <w:r>
          <w:rPr>
            <w:noProof/>
            <w:webHidden/>
          </w:rPr>
          <w:fldChar w:fldCharType="end"/>
        </w:r>
      </w:hyperlink>
    </w:p>
    <w:p w:rsidR="00CA1504" w:rsidRDefault="00CA1504">
      <w:pPr>
        <w:pStyle w:val="TOC1"/>
        <w:tabs>
          <w:tab w:val="right" w:leader="dot" w:pos="9350"/>
        </w:tabs>
        <w:rPr>
          <w:rFonts w:asciiTheme="minorHAnsi" w:eastAsiaTheme="minorEastAsia" w:hAnsiTheme="minorHAnsi" w:cstheme="minorBidi"/>
          <w:noProof/>
          <w:sz w:val="22"/>
          <w:szCs w:val="22"/>
        </w:rPr>
      </w:pPr>
      <w:hyperlink w:anchor="_Toc438457189" w:history="1">
        <w:r w:rsidRPr="00E255E3">
          <w:rPr>
            <w:rStyle w:val="Hyperlink"/>
            <w:noProof/>
          </w:rPr>
          <w:t>Section 4. Base Case &amp; Measure Costs</w:t>
        </w:r>
        <w:r>
          <w:rPr>
            <w:noProof/>
            <w:webHidden/>
          </w:rPr>
          <w:tab/>
        </w:r>
        <w:r>
          <w:rPr>
            <w:noProof/>
            <w:webHidden/>
          </w:rPr>
          <w:fldChar w:fldCharType="begin"/>
        </w:r>
        <w:r>
          <w:rPr>
            <w:noProof/>
            <w:webHidden/>
          </w:rPr>
          <w:instrText xml:space="preserve"> PAGEREF _Toc438457189 \h </w:instrText>
        </w:r>
        <w:r>
          <w:rPr>
            <w:noProof/>
            <w:webHidden/>
          </w:rPr>
        </w:r>
        <w:r>
          <w:rPr>
            <w:noProof/>
            <w:webHidden/>
          </w:rPr>
          <w:fldChar w:fldCharType="separate"/>
        </w:r>
        <w:r>
          <w:rPr>
            <w:noProof/>
            <w:webHidden/>
          </w:rPr>
          <w:t>11</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90" w:history="1">
        <w:r w:rsidRPr="00E255E3">
          <w:rPr>
            <w:rStyle w:val="Hyperlink"/>
            <w:noProof/>
          </w:rPr>
          <w:t>4.1 Base Case Costs</w:t>
        </w:r>
        <w:r>
          <w:rPr>
            <w:noProof/>
            <w:webHidden/>
          </w:rPr>
          <w:tab/>
        </w:r>
        <w:r>
          <w:rPr>
            <w:noProof/>
            <w:webHidden/>
          </w:rPr>
          <w:fldChar w:fldCharType="begin"/>
        </w:r>
        <w:r>
          <w:rPr>
            <w:noProof/>
            <w:webHidden/>
          </w:rPr>
          <w:instrText xml:space="preserve"> PAGEREF _Toc438457190 \h </w:instrText>
        </w:r>
        <w:r>
          <w:rPr>
            <w:noProof/>
            <w:webHidden/>
          </w:rPr>
        </w:r>
        <w:r>
          <w:rPr>
            <w:noProof/>
            <w:webHidden/>
          </w:rPr>
          <w:fldChar w:fldCharType="separate"/>
        </w:r>
        <w:r>
          <w:rPr>
            <w:noProof/>
            <w:webHidden/>
          </w:rPr>
          <w:t>11</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91" w:history="1">
        <w:r w:rsidRPr="00E255E3">
          <w:rPr>
            <w:rStyle w:val="Hyperlink"/>
            <w:noProof/>
          </w:rPr>
          <w:t>4.2 Measure Costs</w:t>
        </w:r>
        <w:r>
          <w:rPr>
            <w:noProof/>
            <w:webHidden/>
          </w:rPr>
          <w:tab/>
        </w:r>
        <w:r>
          <w:rPr>
            <w:noProof/>
            <w:webHidden/>
          </w:rPr>
          <w:fldChar w:fldCharType="begin"/>
        </w:r>
        <w:r>
          <w:rPr>
            <w:noProof/>
            <w:webHidden/>
          </w:rPr>
          <w:instrText xml:space="preserve"> PAGEREF _Toc438457191 \h </w:instrText>
        </w:r>
        <w:r>
          <w:rPr>
            <w:noProof/>
            <w:webHidden/>
          </w:rPr>
        </w:r>
        <w:r>
          <w:rPr>
            <w:noProof/>
            <w:webHidden/>
          </w:rPr>
          <w:fldChar w:fldCharType="separate"/>
        </w:r>
        <w:r>
          <w:rPr>
            <w:noProof/>
            <w:webHidden/>
          </w:rPr>
          <w:t>11</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92" w:history="1">
        <w:r w:rsidRPr="00E255E3">
          <w:rPr>
            <w:rStyle w:val="Hyperlink"/>
            <w:noProof/>
          </w:rPr>
          <w:t>4.3 Incremental &amp; Full Measure Costs</w:t>
        </w:r>
        <w:r>
          <w:rPr>
            <w:noProof/>
            <w:webHidden/>
          </w:rPr>
          <w:tab/>
        </w:r>
        <w:r>
          <w:rPr>
            <w:noProof/>
            <w:webHidden/>
          </w:rPr>
          <w:fldChar w:fldCharType="begin"/>
        </w:r>
        <w:r>
          <w:rPr>
            <w:noProof/>
            <w:webHidden/>
          </w:rPr>
          <w:instrText xml:space="preserve"> PAGEREF _Toc438457192 \h </w:instrText>
        </w:r>
        <w:r>
          <w:rPr>
            <w:noProof/>
            <w:webHidden/>
          </w:rPr>
        </w:r>
        <w:r>
          <w:rPr>
            <w:noProof/>
            <w:webHidden/>
          </w:rPr>
          <w:fldChar w:fldCharType="separate"/>
        </w:r>
        <w:r>
          <w:rPr>
            <w:noProof/>
            <w:webHidden/>
          </w:rPr>
          <w:t>11</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93" w:history="1">
        <w:r w:rsidRPr="00E255E3">
          <w:rPr>
            <w:rStyle w:val="Hyperlink"/>
            <w:noProof/>
          </w:rPr>
          <w:t>4.3.1 Full Measure Cost</w:t>
        </w:r>
        <w:r>
          <w:rPr>
            <w:noProof/>
            <w:webHidden/>
          </w:rPr>
          <w:tab/>
        </w:r>
        <w:r>
          <w:rPr>
            <w:noProof/>
            <w:webHidden/>
          </w:rPr>
          <w:fldChar w:fldCharType="begin"/>
        </w:r>
        <w:r>
          <w:rPr>
            <w:noProof/>
            <w:webHidden/>
          </w:rPr>
          <w:instrText xml:space="preserve"> PAGEREF _Toc438457193 \h </w:instrText>
        </w:r>
        <w:r>
          <w:rPr>
            <w:noProof/>
            <w:webHidden/>
          </w:rPr>
        </w:r>
        <w:r>
          <w:rPr>
            <w:noProof/>
            <w:webHidden/>
          </w:rPr>
          <w:fldChar w:fldCharType="separate"/>
        </w:r>
        <w:r>
          <w:rPr>
            <w:noProof/>
            <w:webHidden/>
          </w:rPr>
          <w:t>11</w:t>
        </w:r>
        <w:r>
          <w:rPr>
            <w:noProof/>
            <w:webHidden/>
          </w:rPr>
          <w:fldChar w:fldCharType="end"/>
        </w:r>
      </w:hyperlink>
    </w:p>
    <w:p w:rsidR="00CA1504" w:rsidRDefault="00CA1504">
      <w:pPr>
        <w:pStyle w:val="TOC2"/>
        <w:tabs>
          <w:tab w:val="right" w:leader="dot" w:pos="9350"/>
        </w:tabs>
        <w:rPr>
          <w:rFonts w:asciiTheme="minorHAnsi" w:eastAsiaTheme="minorEastAsia" w:hAnsiTheme="minorHAnsi" w:cstheme="minorBidi"/>
          <w:noProof/>
          <w:sz w:val="22"/>
          <w:szCs w:val="22"/>
        </w:rPr>
      </w:pPr>
      <w:hyperlink w:anchor="_Toc438457194" w:history="1">
        <w:r w:rsidRPr="00E255E3">
          <w:rPr>
            <w:rStyle w:val="Hyperlink"/>
            <w:noProof/>
          </w:rPr>
          <w:t>4.3.2 Incremental Measure Costs</w:t>
        </w:r>
        <w:r>
          <w:rPr>
            <w:noProof/>
            <w:webHidden/>
          </w:rPr>
          <w:tab/>
        </w:r>
        <w:r>
          <w:rPr>
            <w:noProof/>
            <w:webHidden/>
          </w:rPr>
          <w:fldChar w:fldCharType="begin"/>
        </w:r>
        <w:r>
          <w:rPr>
            <w:noProof/>
            <w:webHidden/>
          </w:rPr>
          <w:instrText xml:space="preserve"> PAGEREF _Toc438457194 \h </w:instrText>
        </w:r>
        <w:r>
          <w:rPr>
            <w:noProof/>
            <w:webHidden/>
          </w:rPr>
        </w:r>
        <w:r>
          <w:rPr>
            <w:noProof/>
            <w:webHidden/>
          </w:rPr>
          <w:fldChar w:fldCharType="separate"/>
        </w:r>
        <w:r>
          <w:rPr>
            <w:noProof/>
            <w:webHidden/>
          </w:rPr>
          <w:t>12</w:t>
        </w:r>
        <w:r>
          <w:rPr>
            <w:noProof/>
            <w:webHidden/>
          </w:rPr>
          <w:fldChar w:fldCharType="end"/>
        </w:r>
      </w:hyperlink>
    </w:p>
    <w:p w:rsidR="00CA1504" w:rsidRDefault="00CA1504">
      <w:pPr>
        <w:pStyle w:val="TOC1"/>
        <w:tabs>
          <w:tab w:val="right" w:leader="dot" w:pos="9350"/>
        </w:tabs>
        <w:rPr>
          <w:rFonts w:asciiTheme="minorHAnsi" w:eastAsiaTheme="minorEastAsia" w:hAnsiTheme="minorHAnsi" w:cstheme="minorBidi"/>
          <w:noProof/>
          <w:sz w:val="22"/>
          <w:szCs w:val="22"/>
        </w:rPr>
      </w:pPr>
      <w:hyperlink w:anchor="_Toc438457195" w:history="1">
        <w:r w:rsidRPr="00E255E3">
          <w:rPr>
            <w:rStyle w:val="Hyperlink"/>
            <w:noProof/>
          </w:rPr>
          <w:t>References:</w:t>
        </w:r>
        <w:r>
          <w:rPr>
            <w:noProof/>
            <w:webHidden/>
          </w:rPr>
          <w:tab/>
        </w:r>
        <w:r>
          <w:rPr>
            <w:noProof/>
            <w:webHidden/>
          </w:rPr>
          <w:fldChar w:fldCharType="begin"/>
        </w:r>
        <w:r>
          <w:rPr>
            <w:noProof/>
            <w:webHidden/>
          </w:rPr>
          <w:instrText xml:space="preserve"> PAGEREF _Toc438457195 \h </w:instrText>
        </w:r>
        <w:r>
          <w:rPr>
            <w:noProof/>
            <w:webHidden/>
          </w:rPr>
        </w:r>
        <w:r>
          <w:rPr>
            <w:noProof/>
            <w:webHidden/>
          </w:rPr>
          <w:fldChar w:fldCharType="separate"/>
        </w:r>
        <w:r>
          <w:rPr>
            <w:noProof/>
            <w:webHidden/>
          </w:rPr>
          <w:t>12</w:t>
        </w:r>
        <w:r>
          <w:rPr>
            <w:noProof/>
            <w:webHidden/>
          </w:rPr>
          <w:fldChar w:fldCharType="end"/>
        </w:r>
      </w:hyperlink>
    </w:p>
    <w:p w:rsidR="00ED21EE" w:rsidRDefault="009F6F8B" w:rsidP="00ED21EE">
      <w:pPr>
        <w:pStyle w:val="Heading1"/>
      </w:pPr>
      <w:r>
        <w:rPr>
          <w:rFonts w:ascii="Times New Roman" w:hAnsi="Times New Roman" w:cs="Times New Roman"/>
          <w:b w:val="0"/>
          <w:bCs w:val="0"/>
          <w:kern w:val="0"/>
          <w:sz w:val="24"/>
          <w:szCs w:val="24"/>
        </w:rPr>
        <w:fldChar w:fldCharType="end"/>
      </w:r>
      <w:r w:rsidR="006559C8">
        <w:br w:type="page"/>
      </w:r>
      <w:bookmarkStart w:id="8" w:name="_Toc172205729"/>
      <w:bookmarkStart w:id="9" w:name="_Toc438457172"/>
      <w:r w:rsidR="00ED21EE">
        <w:lastRenderedPageBreak/>
        <w:t>List of Tables</w:t>
      </w:r>
      <w:bookmarkEnd w:id="8"/>
      <w:bookmarkEnd w:id="9"/>
    </w:p>
    <w:p w:rsidR="00CA1504" w:rsidRDefault="00ED21EE">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38457208" w:history="1">
        <w:r w:rsidR="00CA1504" w:rsidRPr="002171E7">
          <w:rPr>
            <w:rStyle w:val="Hyperlink"/>
            <w:noProof/>
          </w:rPr>
          <w:t>Table 1 - LED Ambient Commercial Fixtures &amp; Retrofit Kits Minimum Measure Efficacies</w:t>
        </w:r>
        <w:r w:rsidR="00CA1504">
          <w:rPr>
            <w:noProof/>
            <w:webHidden/>
          </w:rPr>
          <w:tab/>
        </w:r>
        <w:r w:rsidR="00CA1504">
          <w:rPr>
            <w:noProof/>
            <w:webHidden/>
          </w:rPr>
          <w:fldChar w:fldCharType="begin"/>
        </w:r>
        <w:r w:rsidR="00CA1504">
          <w:rPr>
            <w:noProof/>
            <w:webHidden/>
          </w:rPr>
          <w:instrText xml:space="preserve"> PAGEREF _Toc438457208 \h </w:instrText>
        </w:r>
        <w:r w:rsidR="00CA1504">
          <w:rPr>
            <w:noProof/>
            <w:webHidden/>
          </w:rPr>
        </w:r>
        <w:r w:rsidR="00CA1504">
          <w:rPr>
            <w:noProof/>
            <w:webHidden/>
          </w:rPr>
          <w:fldChar w:fldCharType="separate"/>
        </w:r>
        <w:r w:rsidR="00CA1504">
          <w:rPr>
            <w:noProof/>
            <w:webHidden/>
          </w:rPr>
          <w:t>1</w:t>
        </w:r>
        <w:r w:rsidR="00CA1504">
          <w:rPr>
            <w:noProof/>
            <w:webHidden/>
          </w:rPr>
          <w:fldChar w:fldCharType="end"/>
        </w:r>
      </w:hyperlink>
    </w:p>
    <w:p w:rsidR="00CA1504" w:rsidRDefault="00CA1504">
      <w:pPr>
        <w:pStyle w:val="TableofFigures"/>
        <w:tabs>
          <w:tab w:val="right" w:leader="dot" w:pos="9350"/>
        </w:tabs>
        <w:rPr>
          <w:rFonts w:asciiTheme="minorHAnsi" w:eastAsiaTheme="minorEastAsia" w:hAnsiTheme="minorHAnsi" w:cstheme="minorBidi"/>
          <w:noProof/>
          <w:sz w:val="22"/>
          <w:szCs w:val="22"/>
        </w:rPr>
      </w:pPr>
      <w:hyperlink w:anchor="_Toc438457209" w:history="1">
        <w:r w:rsidRPr="002171E7">
          <w:rPr>
            <w:rStyle w:val="Hyperlink"/>
            <w:noProof/>
          </w:rPr>
          <w:t>Table 2 - Measure Application Type</w:t>
        </w:r>
        <w:r>
          <w:rPr>
            <w:noProof/>
            <w:webHidden/>
          </w:rPr>
          <w:tab/>
        </w:r>
        <w:r>
          <w:rPr>
            <w:noProof/>
            <w:webHidden/>
          </w:rPr>
          <w:fldChar w:fldCharType="begin"/>
        </w:r>
        <w:r>
          <w:rPr>
            <w:noProof/>
            <w:webHidden/>
          </w:rPr>
          <w:instrText xml:space="preserve"> PAGEREF _Toc438457209 \h </w:instrText>
        </w:r>
        <w:r>
          <w:rPr>
            <w:noProof/>
            <w:webHidden/>
          </w:rPr>
        </w:r>
        <w:r>
          <w:rPr>
            <w:noProof/>
            <w:webHidden/>
          </w:rPr>
          <w:fldChar w:fldCharType="separate"/>
        </w:r>
        <w:r>
          <w:rPr>
            <w:noProof/>
            <w:webHidden/>
          </w:rPr>
          <w:t>4</w:t>
        </w:r>
        <w:r>
          <w:rPr>
            <w:noProof/>
            <w:webHidden/>
          </w:rPr>
          <w:fldChar w:fldCharType="end"/>
        </w:r>
      </w:hyperlink>
    </w:p>
    <w:p w:rsidR="00CA1504" w:rsidRDefault="00CA1504">
      <w:pPr>
        <w:pStyle w:val="TableofFigures"/>
        <w:tabs>
          <w:tab w:val="right" w:leader="dot" w:pos="9350"/>
        </w:tabs>
        <w:rPr>
          <w:rFonts w:asciiTheme="minorHAnsi" w:eastAsiaTheme="minorEastAsia" w:hAnsiTheme="minorHAnsi" w:cstheme="minorBidi"/>
          <w:noProof/>
          <w:sz w:val="22"/>
          <w:szCs w:val="22"/>
        </w:rPr>
      </w:pPr>
      <w:hyperlink w:anchor="_Toc438457210" w:history="1">
        <w:r w:rsidRPr="002171E7">
          <w:rPr>
            <w:rStyle w:val="Hyperlink"/>
            <w:noProof/>
          </w:rPr>
          <w:t>Table 3 - LED Ambient Commercial Fixtures &amp; Retrofit Kits Base and Measure Wattages</w:t>
        </w:r>
        <w:r>
          <w:rPr>
            <w:noProof/>
            <w:webHidden/>
          </w:rPr>
          <w:tab/>
        </w:r>
        <w:r>
          <w:rPr>
            <w:noProof/>
            <w:webHidden/>
          </w:rPr>
          <w:fldChar w:fldCharType="begin"/>
        </w:r>
        <w:r>
          <w:rPr>
            <w:noProof/>
            <w:webHidden/>
          </w:rPr>
          <w:instrText xml:space="preserve"> PAGEREF _Toc438457210 \h </w:instrText>
        </w:r>
        <w:r>
          <w:rPr>
            <w:noProof/>
            <w:webHidden/>
          </w:rPr>
        </w:r>
        <w:r>
          <w:rPr>
            <w:noProof/>
            <w:webHidden/>
          </w:rPr>
          <w:fldChar w:fldCharType="separate"/>
        </w:r>
        <w:r>
          <w:rPr>
            <w:noProof/>
            <w:webHidden/>
          </w:rPr>
          <w:t>4</w:t>
        </w:r>
        <w:r>
          <w:rPr>
            <w:noProof/>
            <w:webHidden/>
          </w:rPr>
          <w:fldChar w:fldCharType="end"/>
        </w:r>
      </w:hyperlink>
    </w:p>
    <w:p w:rsidR="00CA1504" w:rsidRDefault="00CA1504">
      <w:pPr>
        <w:pStyle w:val="TableofFigures"/>
        <w:tabs>
          <w:tab w:val="right" w:leader="dot" w:pos="9350"/>
        </w:tabs>
        <w:rPr>
          <w:rFonts w:asciiTheme="minorHAnsi" w:eastAsiaTheme="minorEastAsia" w:hAnsiTheme="minorHAnsi" w:cstheme="minorBidi"/>
          <w:noProof/>
          <w:sz w:val="22"/>
          <w:szCs w:val="22"/>
        </w:rPr>
      </w:pPr>
      <w:hyperlink w:anchor="_Toc438457211" w:history="1">
        <w:r w:rsidRPr="002171E7">
          <w:rPr>
            <w:rStyle w:val="Hyperlink"/>
            <w:noProof/>
          </w:rPr>
          <w:t>Table 4 - Net-to-Gross Ratios</w:t>
        </w:r>
        <w:r>
          <w:rPr>
            <w:noProof/>
            <w:webHidden/>
          </w:rPr>
          <w:tab/>
        </w:r>
        <w:r>
          <w:rPr>
            <w:noProof/>
            <w:webHidden/>
          </w:rPr>
          <w:fldChar w:fldCharType="begin"/>
        </w:r>
        <w:r>
          <w:rPr>
            <w:noProof/>
            <w:webHidden/>
          </w:rPr>
          <w:instrText xml:space="preserve"> PAGEREF _Toc438457211 \h </w:instrText>
        </w:r>
        <w:r>
          <w:rPr>
            <w:noProof/>
            <w:webHidden/>
          </w:rPr>
        </w:r>
        <w:r>
          <w:rPr>
            <w:noProof/>
            <w:webHidden/>
          </w:rPr>
          <w:fldChar w:fldCharType="separate"/>
        </w:r>
        <w:r>
          <w:rPr>
            <w:noProof/>
            <w:webHidden/>
          </w:rPr>
          <w:t>5</w:t>
        </w:r>
        <w:r>
          <w:rPr>
            <w:noProof/>
            <w:webHidden/>
          </w:rPr>
          <w:fldChar w:fldCharType="end"/>
        </w:r>
      </w:hyperlink>
    </w:p>
    <w:p w:rsidR="00CA1504" w:rsidRDefault="00CA1504">
      <w:pPr>
        <w:pStyle w:val="TableofFigures"/>
        <w:tabs>
          <w:tab w:val="right" w:leader="dot" w:pos="9350"/>
        </w:tabs>
        <w:rPr>
          <w:rFonts w:asciiTheme="minorHAnsi" w:eastAsiaTheme="minorEastAsia" w:hAnsiTheme="minorHAnsi" w:cstheme="minorBidi"/>
          <w:noProof/>
          <w:sz w:val="22"/>
          <w:szCs w:val="22"/>
        </w:rPr>
      </w:pPr>
      <w:hyperlink w:anchor="_Toc438457212" w:history="1">
        <w:r w:rsidRPr="002171E7">
          <w:rPr>
            <w:rStyle w:val="Hyperlink"/>
            <w:noProof/>
          </w:rPr>
          <w:t>Table 5 - Installation Rate</w:t>
        </w:r>
        <w:r>
          <w:rPr>
            <w:noProof/>
            <w:webHidden/>
          </w:rPr>
          <w:tab/>
        </w:r>
        <w:r>
          <w:rPr>
            <w:noProof/>
            <w:webHidden/>
          </w:rPr>
          <w:fldChar w:fldCharType="begin"/>
        </w:r>
        <w:r>
          <w:rPr>
            <w:noProof/>
            <w:webHidden/>
          </w:rPr>
          <w:instrText xml:space="preserve"> PAGEREF _Toc438457212 \h </w:instrText>
        </w:r>
        <w:r>
          <w:rPr>
            <w:noProof/>
            <w:webHidden/>
          </w:rPr>
        </w:r>
        <w:r>
          <w:rPr>
            <w:noProof/>
            <w:webHidden/>
          </w:rPr>
          <w:fldChar w:fldCharType="separate"/>
        </w:r>
        <w:r>
          <w:rPr>
            <w:noProof/>
            <w:webHidden/>
          </w:rPr>
          <w:t>6</w:t>
        </w:r>
        <w:r>
          <w:rPr>
            <w:noProof/>
            <w:webHidden/>
          </w:rPr>
          <w:fldChar w:fldCharType="end"/>
        </w:r>
      </w:hyperlink>
    </w:p>
    <w:p w:rsidR="00CA1504" w:rsidRDefault="00CA1504">
      <w:pPr>
        <w:pStyle w:val="TableofFigures"/>
        <w:tabs>
          <w:tab w:val="right" w:leader="dot" w:pos="9350"/>
        </w:tabs>
        <w:rPr>
          <w:rFonts w:asciiTheme="minorHAnsi" w:eastAsiaTheme="minorEastAsia" w:hAnsiTheme="minorHAnsi" w:cstheme="minorBidi"/>
          <w:noProof/>
          <w:sz w:val="22"/>
          <w:szCs w:val="22"/>
        </w:rPr>
      </w:pPr>
      <w:hyperlink w:anchor="_Toc438457213" w:history="1">
        <w:r w:rsidRPr="002171E7">
          <w:rPr>
            <w:rStyle w:val="Hyperlink"/>
            <w:noProof/>
          </w:rPr>
          <w:t>Table 6 - LED Ambient Commercial Fixtures &amp; Retrofit Kits Base and Measure Wattages</w:t>
        </w:r>
        <w:r>
          <w:rPr>
            <w:noProof/>
            <w:webHidden/>
          </w:rPr>
          <w:tab/>
        </w:r>
        <w:r>
          <w:rPr>
            <w:noProof/>
            <w:webHidden/>
          </w:rPr>
          <w:fldChar w:fldCharType="begin"/>
        </w:r>
        <w:r>
          <w:rPr>
            <w:noProof/>
            <w:webHidden/>
          </w:rPr>
          <w:instrText xml:space="preserve"> PAGEREF _Toc438457213 \h </w:instrText>
        </w:r>
        <w:r>
          <w:rPr>
            <w:noProof/>
            <w:webHidden/>
          </w:rPr>
        </w:r>
        <w:r>
          <w:rPr>
            <w:noProof/>
            <w:webHidden/>
          </w:rPr>
          <w:fldChar w:fldCharType="separate"/>
        </w:r>
        <w:r>
          <w:rPr>
            <w:noProof/>
            <w:webHidden/>
          </w:rPr>
          <w:t>9</w:t>
        </w:r>
        <w:r>
          <w:rPr>
            <w:noProof/>
            <w:webHidden/>
          </w:rPr>
          <w:fldChar w:fldCharType="end"/>
        </w:r>
      </w:hyperlink>
    </w:p>
    <w:p w:rsidR="00CA1504" w:rsidRDefault="00CA1504">
      <w:pPr>
        <w:pStyle w:val="TableofFigures"/>
        <w:tabs>
          <w:tab w:val="right" w:leader="dot" w:pos="9350"/>
        </w:tabs>
        <w:rPr>
          <w:rFonts w:asciiTheme="minorHAnsi" w:eastAsiaTheme="minorEastAsia" w:hAnsiTheme="minorHAnsi" w:cstheme="minorBidi"/>
          <w:noProof/>
          <w:sz w:val="22"/>
          <w:szCs w:val="22"/>
        </w:rPr>
      </w:pPr>
      <w:hyperlink w:anchor="_Toc438457214" w:history="1">
        <w:r w:rsidRPr="002171E7">
          <w:rPr>
            <w:rStyle w:val="Hyperlink"/>
            <w:noProof/>
          </w:rPr>
          <w:t>Table 7 – LED Ambient Commercial Fixtures &amp; Retrofit Kits Base Case Cost Table</w:t>
        </w:r>
        <w:r>
          <w:rPr>
            <w:noProof/>
            <w:webHidden/>
          </w:rPr>
          <w:tab/>
        </w:r>
        <w:r>
          <w:rPr>
            <w:noProof/>
            <w:webHidden/>
          </w:rPr>
          <w:fldChar w:fldCharType="begin"/>
        </w:r>
        <w:r>
          <w:rPr>
            <w:noProof/>
            <w:webHidden/>
          </w:rPr>
          <w:instrText xml:space="preserve"> PAGEREF _Toc438457214 \h </w:instrText>
        </w:r>
        <w:r>
          <w:rPr>
            <w:noProof/>
            <w:webHidden/>
          </w:rPr>
        </w:r>
        <w:r>
          <w:rPr>
            <w:noProof/>
            <w:webHidden/>
          </w:rPr>
          <w:fldChar w:fldCharType="separate"/>
        </w:r>
        <w:r>
          <w:rPr>
            <w:noProof/>
            <w:webHidden/>
          </w:rPr>
          <w:t>11</w:t>
        </w:r>
        <w:r>
          <w:rPr>
            <w:noProof/>
            <w:webHidden/>
          </w:rPr>
          <w:fldChar w:fldCharType="end"/>
        </w:r>
      </w:hyperlink>
    </w:p>
    <w:p w:rsidR="00CA1504" w:rsidRDefault="00CA1504">
      <w:pPr>
        <w:pStyle w:val="TableofFigures"/>
        <w:tabs>
          <w:tab w:val="right" w:leader="dot" w:pos="9350"/>
        </w:tabs>
        <w:rPr>
          <w:rFonts w:asciiTheme="minorHAnsi" w:eastAsiaTheme="minorEastAsia" w:hAnsiTheme="minorHAnsi" w:cstheme="minorBidi"/>
          <w:noProof/>
          <w:sz w:val="22"/>
          <w:szCs w:val="22"/>
        </w:rPr>
      </w:pPr>
      <w:hyperlink w:anchor="_Toc438457215" w:history="1">
        <w:r w:rsidRPr="002171E7">
          <w:rPr>
            <w:rStyle w:val="Hyperlink"/>
            <w:noProof/>
          </w:rPr>
          <w:t>Table 8 - LED Ambient Commercial Fixtures &amp; Retrofit Kits Measure Cost Table</w:t>
        </w:r>
        <w:r>
          <w:rPr>
            <w:noProof/>
            <w:webHidden/>
          </w:rPr>
          <w:tab/>
        </w:r>
        <w:r>
          <w:rPr>
            <w:noProof/>
            <w:webHidden/>
          </w:rPr>
          <w:fldChar w:fldCharType="begin"/>
        </w:r>
        <w:r>
          <w:rPr>
            <w:noProof/>
            <w:webHidden/>
          </w:rPr>
          <w:instrText xml:space="preserve"> PAGEREF _Toc438457215 \h </w:instrText>
        </w:r>
        <w:r>
          <w:rPr>
            <w:noProof/>
            <w:webHidden/>
          </w:rPr>
        </w:r>
        <w:r>
          <w:rPr>
            <w:noProof/>
            <w:webHidden/>
          </w:rPr>
          <w:fldChar w:fldCharType="separate"/>
        </w:r>
        <w:r>
          <w:rPr>
            <w:noProof/>
            <w:webHidden/>
          </w:rPr>
          <w:t>11</w:t>
        </w:r>
        <w:r>
          <w:rPr>
            <w:noProof/>
            <w:webHidden/>
          </w:rPr>
          <w:fldChar w:fldCharType="end"/>
        </w:r>
      </w:hyperlink>
    </w:p>
    <w:p w:rsidR="00CA1504" w:rsidRDefault="00CA1504">
      <w:pPr>
        <w:pStyle w:val="TableofFigures"/>
        <w:tabs>
          <w:tab w:val="right" w:leader="dot" w:pos="9350"/>
        </w:tabs>
        <w:rPr>
          <w:rFonts w:asciiTheme="minorHAnsi" w:eastAsiaTheme="minorEastAsia" w:hAnsiTheme="minorHAnsi" w:cstheme="minorBidi"/>
          <w:noProof/>
          <w:sz w:val="22"/>
          <w:szCs w:val="22"/>
        </w:rPr>
      </w:pPr>
      <w:hyperlink w:anchor="_Toc438457216" w:history="1">
        <w:r w:rsidRPr="002171E7">
          <w:rPr>
            <w:rStyle w:val="Hyperlink"/>
            <w:noProof/>
          </w:rPr>
          <w:t>Table 9 - LED Ambient Commercial Fixtures &amp; Retrofit Kits Full Measure Cost</w:t>
        </w:r>
        <w:r>
          <w:rPr>
            <w:noProof/>
            <w:webHidden/>
          </w:rPr>
          <w:tab/>
        </w:r>
        <w:r>
          <w:rPr>
            <w:noProof/>
            <w:webHidden/>
          </w:rPr>
          <w:fldChar w:fldCharType="begin"/>
        </w:r>
        <w:r>
          <w:rPr>
            <w:noProof/>
            <w:webHidden/>
          </w:rPr>
          <w:instrText xml:space="preserve"> PAGEREF _Toc438457216 \h </w:instrText>
        </w:r>
        <w:r>
          <w:rPr>
            <w:noProof/>
            <w:webHidden/>
          </w:rPr>
        </w:r>
        <w:r>
          <w:rPr>
            <w:noProof/>
            <w:webHidden/>
          </w:rPr>
          <w:fldChar w:fldCharType="separate"/>
        </w:r>
        <w:r>
          <w:rPr>
            <w:noProof/>
            <w:webHidden/>
          </w:rPr>
          <w:t>12</w:t>
        </w:r>
        <w:r>
          <w:rPr>
            <w:noProof/>
            <w:webHidden/>
          </w:rPr>
          <w:fldChar w:fldCharType="end"/>
        </w:r>
      </w:hyperlink>
    </w:p>
    <w:p w:rsidR="00CA1504" w:rsidRDefault="00CA1504">
      <w:pPr>
        <w:pStyle w:val="TableofFigures"/>
        <w:tabs>
          <w:tab w:val="right" w:leader="dot" w:pos="9350"/>
        </w:tabs>
        <w:rPr>
          <w:rFonts w:asciiTheme="minorHAnsi" w:eastAsiaTheme="minorEastAsia" w:hAnsiTheme="minorHAnsi" w:cstheme="minorBidi"/>
          <w:noProof/>
          <w:sz w:val="22"/>
          <w:szCs w:val="22"/>
        </w:rPr>
      </w:pPr>
      <w:hyperlink w:anchor="_Toc438457217" w:history="1">
        <w:r w:rsidRPr="002171E7">
          <w:rPr>
            <w:rStyle w:val="Hyperlink"/>
            <w:noProof/>
          </w:rPr>
          <w:t>Table 10 - LED Ambient Commercial Fixtures &amp; Retrofit Kits Incremental Cost</w:t>
        </w:r>
        <w:r>
          <w:rPr>
            <w:noProof/>
            <w:webHidden/>
          </w:rPr>
          <w:tab/>
        </w:r>
        <w:r>
          <w:rPr>
            <w:noProof/>
            <w:webHidden/>
          </w:rPr>
          <w:fldChar w:fldCharType="begin"/>
        </w:r>
        <w:r>
          <w:rPr>
            <w:noProof/>
            <w:webHidden/>
          </w:rPr>
          <w:instrText xml:space="preserve"> PAGEREF _Toc438457217 \h </w:instrText>
        </w:r>
        <w:r>
          <w:rPr>
            <w:noProof/>
            <w:webHidden/>
          </w:rPr>
        </w:r>
        <w:r>
          <w:rPr>
            <w:noProof/>
            <w:webHidden/>
          </w:rPr>
          <w:fldChar w:fldCharType="separate"/>
        </w:r>
        <w:r>
          <w:rPr>
            <w:noProof/>
            <w:webHidden/>
          </w:rPr>
          <w:t>12</w:t>
        </w:r>
        <w:r>
          <w:rPr>
            <w:noProof/>
            <w:webHidden/>
          </w:rPr>
          <w:fldChar w:fldCharType="end"/>
        </w:r>
      </w:hyperlink>
    </w:p>
    <w:p w:rsidR="005A1F9D" w:rsidRDefault="00ED21EE" w:rsidP="005A1F9D">
      <w:r>
        <w:fldChar w:fldCharType="end"/>
      </w:r>
      <w:r w:rsidR="005A1F9D" w:rsidRPr="005A1F9D">
        <w:t xml:space="preserve"> </w:t>
      </w:r>
    </w:p>
    <w:p w:rsidR="00851FAF" w:rsidRDefault="00851FAF" w:rsidP="00ED21EE">
      <w:pPr>
        <w:pStyle w:val="Heading1"/>
        <w:sectPr w:rsidR="00851FAF" w:rsidSect="00262365">
          <w:endnotePr>
            <w:numFmt w:val="decimal"/>
          </w:endnotePr>
          <w:pgSz w:w="12240" w:h="15840"/>
          <w:pgMar w:top="1440" w:right="1440" w:bottom="1440" w:left="1440" w:header="720" w:footer="720" w:gutter="0"/>
          <w:pgNumType w:fmt="lowerRoman" w:chapStyle="1"/>
          <w:cols w:space="720"/>
          <w:docGrid w:linePitch="360"/>
        </w:sectPr>
      </w:pPr>
      <w:bookmarkStart w:id="10" w:name="_Toc172205732"/>
      <w:bookmarkStart w:id="11" w:name="_GoBack"/>
      <w:bookmarkEnd w:id="11"/>
    </w:p>
    <w:p w:rsidR="00ED21EE" w:rsidRDefault="00ED21EE" w:rsidP="00ED21EE">
      <w:pPr>
        <w:pStyle w:val="Heading1"/>
      </w:pPr>
      <w:bookmarkStart w:id="12" w:name="_Toc438457173"/>
      <w:proofErr w:type="gramStart"/>
      <w:r>
        <w:lastRenderedPageBreak/>
        <w:t>Section 1.</w:t>
      </w:r>
      <w:proofErr w:type="gramEnd"/>
      <w:r>
        <w:t xml:space="preserve"> General Measure &amp; Baseline Data</w:t>
      </w:r>
      <w:bookmarkEnd w:id="12"/>
    </w:p>
    <w:p w:rsidR="00E71EF1" w:rsidRDefault="001248A3" w:rsidP="001248A3">
      <w:pPr>
        <w:pStyle w:val="Heading2"/>
      </w:pPr>
      <w:bookmarkStart w:id="13" w:name="_Toc438457174"/>
      <w:bookmarkEnd w:id="10"/>
      <w:r>
        <w:t xml:space="preserve">1.1 </w:t>
      </w:r>
      <w:r w:rsidR="008C6AD1">
        <w:t xml:space="preserve">Product </w:t>
      </w:r>
      <w:r w:rsidR="00E71EF1" w:rsidRPr="001248A3">
        <w:t>Measure Description &amp; Background</w:t>
      </w:r>
      <w:bookmarkEnd w:id="13"/>
    </w:p>
    <w:p w:rsidR="0037707D" w:rsidRDefault="00521920" w:rsidP="00872913">
      <w:pPr>
        <w:rPr>
          <w:rFonts w:ascii="Arial" w:hAnsi="Arial" w:cs="Arial"/>
          <w:b/>
          <w:i/>
        </w:rPr>
      </w:pPr>
      <w:r w:rsidRPr="00521920">
        <w:rPr>
          <w:rFonts w:ascii="Arial" w:hAnsi="Arial" w:cs="Arial"/>
          <w:b/>
          <w:i/>
        </w:rPr>
        <w:t>Catalog Description</w:t>
      </w:r>
      <w:r w:rsidR="00476B67">
        <w:rPr>
          <w:rFonts w:ascii="Arial" w:hAnsi="Arial" w:cs="Arial"/>
          <w:b/>
          <w:i/>
        </w:rPr>
        <w:t xml:space="preserve"> </w:t>
      </w:r>
    </w:p>
    <w:p w:rsidR="0037707D" w:rsidRDefault="005460ED" w:rsidP="00872913">
      <w:pPr>
        <w:rPr>
          <w:rFonts w:ascii="Arial" w:hAnsi="Arial" w:cs="Arial"/>
          <w:sz w:val="20"/>
        </w:rPr>
      </w:pPr>
      <w:r w:rsidRPr="0008537D">
        <w:rPr>
          <w:rFonts w:ascii="Arial" w:hAnsi="Arial" w:cs="Arial"/>
          <w:sz w:val="20"/>
        </w:rPr>
        <w:t xml:space="preserve">Light Emitting Diode (LED) </w:t>
      </w:r>
      <w:r>
        <w:rPr>
          <w:rFonts w:ascii="Arial" w:hAnsi="Arial" w:cs="Arial"/>
          <w:sz w:val="20"/>
        </w:rPr>
        <w:t xml:space="preserve">Ambient Commercial </w:t>
      </w:r>
      <w:r w:rsidRPr="005C31D5">
        <w:rPr>
          <w:rFonts w:ascii="Arial" w:hAnsi="Arial" w:cs="Arial"/>
          <w:sz w:val="20"/>
        </w:rPr>
        <w:t>Fixtures and Retrofit Kits</w:t>
      </w:r>
    </w:p>
    <w:p w:rsidR="005460ED" w:rsidRDefault="005460ED" w:rsidP="00872913">
      <w:pPr>
        <w:rPr>
          <w:rFonts w:ascii="Arial" w:hAnsi="Arial" w:cs="Arial"/>
          <w:sz w:val="20"/>
        </w:rPr>
      </w:pPr>
    </w:p>
    <w:p w:rsidR="005B5BB4" w:rsidRPr="005B5BB4" w:rsidRDefault="005B5BB4" w:rsidP="005B5BB4">
      <w:pPr>
        <w:widowControl w:val="0"/>
        <w:autoSpaceDE w:val="0"/>
        <w:autoSpaceDN w:val="0"/>
        <w:adjustRightInd w:val="0"/>
        <w:spacing w:line="360" w:lineRule="auto"/>
        <w:rPr>
          <w:rFonts w:ascii="Arial" w:hAnsi="Arial" w:cs="Arial"/>
          <w:b/>
          <w:color w:val="000000"/>
        </w:rPr>
      </w:pPr>
      <w:r w:rsidRPr="005B5BB4">
        <w:rPr>
          <w:rFonts w:ascii="Arial" w:hAnsi="Arial" w:cs="Arial"/>
          <w:b/>
          <w:color w:val="000000"/>
        </w:rPr>
        <w:t>Requirements:</w:t>
      </w:r>
    </w:p>
    <w:p w:rsidR="0037707D" w:rsidRDefault="00452CA5" w:rsidP="00D12AFE">
      <w:pPr>
        <w:widowControl w:val="0"/>
        <w:numPr>
          <w:ilvl w:val="0"/>
          <w:numId w:val="18"/>
        </w:numPr>
        <w:autoSpaceDE w:val="0"/>
        <w:autoSpaceDN w:val="0"/>
        <w:adjustRightInd w:val="0"/>
        <w:spacing w:line="360" w:lineRule="auto"/>
        <w:rPr>
          <w:rFonts w:ascii="Arial" w:hAnsi="Arial" w:cs="Arial"/>
          <w:color w:val="000000"/>
          <w:sz w:val="20"/>
        </w:rPr>
      </w:pPr>
      <w:r w:rsidRPr="00EB572D">
        <w:rPr>
          <w:rFonts w:ascii="Arial" w:hAnsi="Arial" w:cs="Arial"/>
          <w:color w:val="000000"/>
          <w:sz w:val="20"/>
        </w:rPr>
        <w:t>Must be a one for one replacement</w:t>
      </w:r>
      <w:r w:rsidR="00EB572D">
        <w:rPr>
          <w:rFonts w:ascii="Arial" w:hAnsi="Arial" w:cs="Arial"/>
          <w:color w:val="000000"/>
          <w:sz w:val="20"/>
        </w:rPr>
        <w:t xml:space="preserve"> for a</w:t>
      </w:r>
      <w:r w:rsidR="00D12AFE" w:rsidRPr="00EB572D">
        <w:rPr>
          <w:rFonts w:ascii="Arial" w:hAnsi="Arial" w:cs="Arial"/>
          <w:color w:val="000000"/>
          <w:sz w:val="20"/>
        </w:rPr>
        <w:t xml:space="preserve"> </w:t>
      </w:r>
      <w:r w:rsidR="00EA17FD" w:rsidRPr="00EB572D">
        <w:rPr>
          <w:rFonts w:ascii="Arial" w:hAnsi="Arial" w:cs="Arial"/>
          <w:color w:val="000000"/>
          <w:sz w:val="20"/>
        </w:rPr>
        <w:t xml:space="preserve">Linear Fluorescent Fixture with </w:t>
      </w:r>
      <w:r w:rsidR="00EB572D" w:rsidRPr="00EB572D">
        <w:rPr>
          <w:rFonts w:ascii="Arial" w:hAnsi="Arial" w:cs="Arial"/>
          <w:color w:val="000000"/>
          <w:sz w:val="20"/>
        </w:rPr>
        <w:t xml:space="preserve">T8 or T5 </w:t>
      </w:r>
      <w:r w:rsidR="00286B3C" w:rsidRPr="00EB572D">
        <w:rPr>
          <w:rFonts w:ascii="Arial" w:hAnsi="Arial" w:cs="Arial"/>
          <w:color w:val="000000"/>
          <w:sz w:val="20"/>
        </w:rPr>
        <w:t>lamp</w:t>
      </w:r>
      <w:r w:rsidR="00EB572D" w:rsidRPr="00EB572D">
        <w:rPr>
          <w:rFonts w:ascii="Arial" w:hAnsi="Arial" w:cs="Arial"/>
          <w:color w:val="000000"/>
          <w:sz w:val="20"/>
        </w:rPr>
        <w:t>s</w:t>
      </w:r>
      <w:r w:rsidR="00286B3C" w:rsidRPr="00EB572D">
        <w:rPr>
          <w:rFonts w:ascii="Arial" w:hAnsi="Arial" w:cs="Arial"/>
          <w:color w:val="000000"/>
          <w:sz w:val="20"/>
        </w:rPr>
        <w:t xml:space="preserve"> </w:t>
      </w:r>
    </w:p>
    <w:p w:rsidR="001D5155" w:rsidRDefault="001D5155" w:rsidP="001D5155">
      <w:pPr>
        <w:numPr>
          <w:ilvl w:val="0"/>
          <w:numId w:val="18"/>
        </w:numPr>
        <w:autoSpaceDE w:val="0"/>
        <w:autoSpaceDN w:val="0"/>
        <w:spacing w:line="360" w:lineRule="auto"/>
        <w:rPr>
          <w:rFonts w:ascii="Arial" w:hAnsi="Arial" w:cs="Arial"/>
          <w:color w:val="000000"/>
          <w:sz w:val="20"/>
          <w:szCs w:val="20"/>
        </w:rPr>
      </w:pPr>
      <w:r>
        <w:rPr>
          <w:rFonts w:ascii="Arial" w:hAnsi="Arial" w:cs="Arial"/>
          <w:color w:val="000000"/>
          <w:sz w:val="20"/>
          <w:szCs w:val="20"/>
        </w:rPr>
        <w:t xml:space="preserve">Must be </w:t>
      </w:r>
      <w:r w:rsidR="00077C32">
        <w:rPr>
          <w:rFonts w:ascii="Arial" w:hAnsi="Arial" w:cs="Arial"/>
          <w:color w:val="000000"/>
          <w:sz w:val="20"/>
          <w:szCs w:val="20"/>
        </w:rPr>
        <w:t>a</w:t>
      </w:r>
      <w:r>
        <w:rPr>
          <w:rFonts w:ascii="Arial" w:hAnsi="Arial" w:cs="Arial"/>
          <w:color w:val="000000"/>
          <w:sz w:val="20"/>
          <w:szCs w:val="20"/>
        </w:rPr>
        <w:t xml:space="preserve"> Design Lights Consortium (DLC) </w:t>
      </w:r>
      <w:r w:rsidR="00077C32">
        <w:rPr>
          <w:rFonts w:ascii="Arial" w:hAnsi="Arial" w:cs="Arial"/>
          <w:color w:val="000000"/>
          <w:sz w:val="20"/>
          <w:szCs w:val="20"/>
        </w:rPr>
        <w:t>approved N</w:t>
      </w:r>
      <w:r>
        <w:rPr>
          <w:rFonts w:ascii="Arial" w:hAnsi="Arial" w:cs="Arial"/>
          <w:color w:val="000000"/>
          <w:sz w:val="20"/>
          <w:szCs w:val="20"/>
        </w:rPr>
        <w:t xml:space="preserve">ew Luminaire or </w:t>
      </w:r>
      <w:r w:rsidR="000B03C9">
        <w:rPr>
          <w:rFonts w:ascii="Arial" w:hAnsi="Arial" w:cs="Arial"/>
          <w:color w:val="000000"/>
          <w:sz w:val="20"/>
          <w:szCs w:val="20"/>
        </w:rPr>
        <w:t>a</w:t>
      </w:r>
      <w:r w:rsidR="006F0984">
        <w:rPr>
          <w:rFonts w:ascii="Arial" w:hAnsi="Arial" w:cs="Arial"/>
          <w:color w:val="000000"/>
          <w:sz w:val="20"/>
          <w:szCs w:val="20"/>
        </w:rPr>
        <w:t>n Integrated</w:t>
      </w:r>
      <w:r w:rsidR="000B03C9">
        <w:rPr>
          <w:rFonts w:ascii="Arial" w:hAnsi="Arial" w:cs="Arial"/>
          <w:color w:val="000000"/>
          <w:sz w:val="20"/>
          <w:szCs w:val="20"/>
        </w:rPr>
        <w:t xml:space="preserve"> </w:t>
      </w:r>
      <w:r>
        <w:rPr>
          <w:rFonts w:ascii="Arial" w:hAnsi="Arial" w:cs="Arial"/>
          <w:color w:val="000000"/>
          <w:sz w:val="20"/>
          <w:szCs w:val="20"/>
        </w:rPr>
        <w:t>Retrofit Kit</w:t>
      </w:r>
      <w:r w:rsidR="00077C32">
        <w:rPr>
          <w:rFonts w:ascii="Arial" w:hAnsi="Arial" w:cs="Arial"/>
          <w:color w:val="000000"/>
          <w:sz w:val="20"/>
          <w:szCs w:val="20"/>
        </w:rPr>
        <w:t>, listed on the PG&amp;E qualified product list as</w:t>
      </w:r>
      <w:r>
        <w:rPr>
          <w:rFonts w:ascii="Arial" w:hAnsi="Arial" w:cs="Arial"/>
          <w:color w:val="000000"/>
          <w:sz w:val="20"/>
          <w:szCs w:val="20"/>
        </w:rPr>
        <w:t xml:space="preserve"> </w:t>
      </w:r>
      <w:r w:rsidR="00077C32">
        <w:rPr>
          <w:rFonts w:ascii="Arial" w:hAnsi="Arial" w:cs="Arial"/>
          <w:color w:val="000000"/>
          <w:sz w:val="20"/>
          <w:szCs w:val="20"/>
        </w:rPr>
        <w:t>Luminaires/</w:t>
      </w:r>
      <w:r w:rsidR="006F0984">
        <w:rPr>
          <w:rFonts w:ascii="Arial" w:hAnsi="Arial" w:cs="Arial"/>
          <w:color w:val="000000"/>
          <w:sz w:val="20"/>
          <w:szCs w:val="20"/>
        </w:rPr>
        <w:t xml:space="preserve">Integrated </w:t>
      </w:r>
      <w:r w:rsidR="00077C32">
        <w:rPr>
          <w:rFonts w:ascii="Arial" w:hAnsi="Arial" w:cs="Arial"/>
          <w:color w:val="000000"/>
          <w:sz w:val="20"/>
          <w:szCs w:val="20"/>
        </w:rPr>
        <w:t xml:space="preserve">Retrofit Kits for </w:t>
      </w:r>
      <w:r>
        <w:rPr>
          <w:rFonts w:ascii="Arial" w:hAnsi="Arial" w:cs="Arial"/>
          <w:color w:val="000000"/>
          <w:sz w:val="20"/>
          <w:szCs w:val="20"/>
        </w:rPr>
        <w:t>Ambient Lighting of Interior Commercial Spaces in one of the following sizes: 2x4, 2x2, 1x4</w:t>
      </w:r>
    </w:p>
    <w:p w:rsidR="00EB572D" w:rsidRDefault="00EB572D" w:rsidP="00EB572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DLC-listed ini</w:t>
      </w:r>
      <w:r w:rsidR="008F5A5D">
        <w:rPr>
          <w:rFonts w:ascii="Arial" w:hAnsi="Arial" w:cs="Arial"/>
          <w:color w:val="000000"/>
          <w:sz w:val="20"/>
        </w:rPr>
        <w:t xml:space="preserve">tial light output must be ≥ </w:t>
      </w:r>
      <w:r>
        <w:rPr>
          <w:rFonts w:ascii="Arial" w:hAnsi="Arial" w:cs="Arial"/>
          <w:color w:val="000000"/>
          <w:sz w:val="20"/>
        </w:rPr>
        <w:t>2</w:t>
      </w:r>
      <w:r w:rsidR="008F5A5D">
        <w:rPr>
          <w:rFonts w:ascii="Arial" w:hAnsi="Arial" w:cs="Arial"/>
          <w:color w:val="000000"/>
          <w:sz w:val="20"/>
        </w:rPr>
        <w:t>200</w:t>
      </w:r>
      <w:r>
        <w:rPr>
          <w:rFonts w:ascii="Arial" w:hAnsi="Arial" w:cs="Arial"/>
          <w:color w:val="000000"/>
          <w:sz w:val="20"/>
        </w:rPr>
        <w:t xml:space="preserve"> </w:t>
      </w:r>
      <w:r w:rsidR="008F5A5D">
        <w:rPr>
          <w:rFonts w:ascii="Arial" w:hAnsi="Arial" w:cs="Arial"/>
          <w:color w:val="000000"/>
          <w:sz w:val="20"/>
        </w:rPr>
        <w:t>lm and ≤</w:t>
      </w:r>
      <w:r>
        <w:rPr>
          <w:rFonts w:ascii="Arial" w:hAnsi="Arial" w:cs="Arial"/>
          <w:color w:val="000000"/>
          <w:sz w:val="20"/>
        </w:rPr>
        <w:t xml:space="preserve"> 650</w:t>
      </w:r>
      <w:r w:rsidR="008F5A5D">
        <w:rPr>
          <w:rFonts w:ascii="Arial" w:hAnsi="Arial" w:cs="Arial"/>
          <w:color w:val="000000"/>
          <w:sz w:val="20"/>
        </w:rPr>
        <w:t>0</w:t>
      </w:r>
      <w:r>
        <w:rPr>
          <w:rFonts w:ascii="Arial" w:hAnsi="Arial" w:cs="Arial"/>
          <w:color w:val="000000"/>
          <w:sz w:val="20"/>
        </w:rPr>
        <w:t xml:space="preserve"> lm</w:t>
      </w:r>
    </w:p>
    <w:p w:rsidR="00EB572D" w:rsidRDefault="00077C32" w:rsidP="0037707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Linear</w:t>
      </w:r>
      <w:r w:rsidR="00EB572D">
        <w:rPr>
          <w:rFonts w:ascii="Arial" w:hAnsi="Arial" w:cs="Arial"/>
          <w:color w:val="000000"/>
          <w:sz w:val="20"/>
        </w:rPr>
        <w:t xml:space="preserve"> LED </w:t>
      </w:r>
      <w:r>
        <w:rPr>
          <w:rFonts w:ascii="Arial" w:hAnsi="Arial" w:cs="Arial"/>
          <w:color w:val="000000"/>
          <w:sz w:val="20"/>
        </w:rPr>
        <w:t>replacement lamps</w:t>
      </w:r>
      <w:r w:rsidR="00EB572D">
        <w:rPr>
          <w:rFonts w:ascii="Arial" w:hAnsi="Arial" w:cs="Arial"/>
          <w:color w:val="000000"/>
          <w:sz w:val="20"/>
        </w:rPr>
        <w:t xml:space="preserve"> do not qualify</w:t>
      </w:r>
    </w:p>
    <w:p w:rsidR="007A7EF5" w:rsidRPr="009A72B0" w:rsidRDefault="007A7EF5" w:rsidP="0037707D">
      <w:pPr>
        <w:widowControl w:val="0"/>
        <w:numPr>
          <w:ilvl w:val="0"/>
          <w:numId w:val="18"/>
        </w:numPr>
        <w:autoSpaceDE w:val="0"/>
        <w:autoSpaceDN w:val="0"/>
        <w:adjustRightInd w:val="0"/>
        <w:spacing w:line="360" w:lineRule="auto"/>
        <w:rPr>
          <w:rFonts w:ascii="Arial" w:hAnsi="Arial" w:cs="Arial"/>
          <w:sz w:val="20"/>
        </w:rPr>
      </w:pPr>
      <w:r w:rsidRPr="009A72B0">
        <w:rPr>
          <w:rFonts w:ascii="Arial" w:hAnsi="Arial" w:cs="Arial"/>
          <w:sz w:val="20"/>
        </w:rPr>
        <w:t>LED Linear Retrofit kits on the PG&amp;E QPL do not qualify.</w:t>
      </w:r>
    </w:p>
    <w:p w:rsidR="00EB572D" w:rsidRPr="00EB572D" w:rsidRDefault="00077C32" w:rsidP="00EB572D">
      <w:pPr>
        <w:widowControl w:val="0"/>
        <w:numPr>
          <w:ilvl w:val="0"/>
          <w:numId w:val="18"/>
        </w:numPr>
        <w:autoSpaceDE w:val="0"/>
        <w:autoSpaceDN w:val="0"/>
        <w:adjustRightInd w:val="0"/>
        <w:spacing w:line="360" w:lineRule="auto"/>
        <w:rPr>
          <w:rFonts w:ascii="Arial" w:hAnsi="Arial" w:cs="Arial"/>
          <w:color w:val="000000"/>
          <w:sz w:val="20"/>
        </w:rPr>
      </w:pPr>
      <w:r w:rsidRPr="009A72B0">
        <w:rPr>
          <w:rFonts w:ascii="Arial" w:hAnsi="Arial" w:cs="Arial"/>
          <w:sz w:val="20"/>
        </w:rPr>
        <w:t xml:space="preserve">Only </w:t>
      </w:r>
      <w:r w:rsidR="00EB572D" w:rsidRPr="009A72B0">
        <w:rPr>
          <w:rFonts w:ascii="Arial" w:hAnsi="Arial" w:cs="Arial"/>
          <w:sz w:val="20"/>
        </w:rPr>
        <w:t xml:space="preserve">Fixtures and </w:t>
      </w:r>
      <w:r w:rsidRPr="009A72B0">
        <w:rPr>
          <w:rFonts w:ascii="Arial" w:hAnsi="Arial" w:cs="Arial"/>
          <w:sz w:val="20"/>
        </w:rPr>
        <w:t xml:space="preserve">Retrofit </w:t>
      </w:r>
      <w:r w:rsidR="00EB572D" w:rsidRPr="009A72B0">
        <w:rPr>
          <w:rFonts w:ascii="Arial" w:hAnsi="Arial" w:cs="Arial"/>
          <w:sz w:val="20"/>
        </w:rPr>
        <w:t>kits that</w:t>
      </w:r>
      <w:r w:rsidR="009A72B0">
        <w:rPr>
          <w:rFonts w:ascii="Arial" w:hAnsi="Arial" w:cs="Arial"/>
          <w:sz w:val="20"/>
        </w:rPr>
        <w:t xml:space="preserve"> </w:t>
      </w:r>
      <w:r w:rsidR="007A7EF5" w:rsidRPr="009A72B0">
        <w:rPr>
          <w:rFonts w:ascii="Arial" w:hAnsi="Arial" w:cs="Arial"/>
          <w:sz w:val="20"/>
        </w:rPr>
        <w:t>include new</w:t>
      </w:r>
      <w:r w:rsidR="007A7EF5" w:rsidRPr="007A7EF5">
        <w:rPr>
          <w:rFonts w:ascii="Arial" w:hAnsi="Arial" w:cs="Arial"/>
          <w:color w:val="FF0000"/>
          <w:sz w:val="20"/>
        </w:rPr>
        <w:t xml:space="preserve"> </w:t>
      </w:r>
      <w:r w:rsidR="00EB572D" w:rsidRPr="00EB572D">
        <w:rPr>
          <w:rFonts w:ascii="Arial" w:hAnsi="Arial" w:cs="Arial"/>
          <w:color w:val="000000"/>
          <w:sz w:val="20"/>
        </w:rPr>
        <w:t>lenses between the LED package and the viewer qualify.</w:t>
      </w:r>
    </w:p>
    <w:p w:rsidR="0037707D" w:rsidRDefault="0044620E" w:rsidP="0037707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sz w:val="20"/>
          <w:szCs w:val="20"/>
        </w:rPr>
        <w:t xml:space="preserve">Self-ballasted </w:t>
      </w:r>
      <w:r w:rsidR="00EB572D">
        <w:rPr>
          <w:rFonts w:ascii="Arial" w:hAnsi="Arial" w:cs="Arial"/>
          <w:sz w:val="20"/>
          <w:szCs w:val="20"/>
        </w:rPr>
        <w:t xml:space="preserve">or </w:t>
      </w:r>
      <w:r>
        <w:rPr>
          <w:rFonts w:ascii="Arial" w:hAnsi="Arial" w:cs="Arial"/>
          <w:sz w:val="20"/>
          <w:szCs w:val="20"/>
        </w:rPr>
        <w:t>screw-based lamps do not qualify.</w:t>
      </w:r>
      <w:r w:rsidR="00D12AFE">
        <w:rPr>
          <w:rFonts w:ascii="Arial" w:hAnsi="Arial" w:cs="Arial"/>
          <w:color w:val="000000"/>
          <w:sz w:val="20"/>
        </w:rPr>
        <w:t xml:space="preserve"> </w:t>
      </w:r>
    </w:p>
    <w:p w:rsidR="00EB572D" w:rsidRPr="00EB572D" w:rsidRDefault="00EB572D" w:rsidP="00EB572D">
      <w:pPr>
        <w:widowControl w:val="0"/>
        <w:numPr>
          <w:ilvl w:val="0"/>
          <w:numId w:val="18"/>
        </w:numPr>
        <w:autoSpaceDE w:val="0"/>
        <w:autoSpaceDN w:val="0"/>
        <w:adjustRightInd w:val="0"/>
        <w:spacing w:line="360" w:lineRule="auto"/>
        <w:rPr>
          <w:rFonts w:ascii="Arial" w:hAnsi="Arial" w:cs="Arial"/>
          <w:color w:val="000000"/>
          <w:sz w:val="20"/>
        </w:rPr>
      </w:pPr>
      <w:r w:rsidRPr="00EB572D">
        <w:rPr>
          <w:rFonts w:ascii="Arial" w:hAnsi="Arial" w:cs="Arial"/>
          <w:color w:val="000000"/>
          <w:sz w:val="20"/>
        </w:rPr>
        <w:t>5-year warranty minimum</w:t>
      </w:r>
    </w:p>
    <w:p w:rsidR="00EB572D" w:rsidRDefault="00F36736" w:rsidP="00F36736">
      <w:pPr>
        <w:widowControl w:val="0"/>
        <w:numPr>
          <w:ilvl w:val="0"/>
          <w:numId w:val="18"/>
        </w:numPr>
        <w:autoSpaceDE w:val="0"/>
        <w:autoSpaceDN w:val="0"/>
        <w:adjustRightInd w:val="0"/>
        <w:spacing w:line="360" w:lineRule="auto"/>
        <w:rPr>
          <w:rFonts w:ascii="Arial" w:hAnsi="Arial" w:cs="Arial"/>
          <w:color w:val="000000"/>
          <w:sz w:val="20"/>
        </w:rPr>
      </w:pPr>
      <w:r w:rsidRPr="00F36736">
        <w:rPr>
          <w:rFonts w:ascii="Arial" w:hAnsi="Arial" w:cs="Arial"/>
          <w:color w:val="000000"/>
          <w:sz w:val="20"/>
        </w:rPr>
        <w:t>Must meet the minimum efficacy requirements listed in Table 1.</w:t>
      </w:r>
    </w:p>
    <w:p w:rsidR="00D151D0" w:rsidRDefault="00D151D0" w:rsidP="00381702">
      <w:pPr>
        <w:pStyle w:val="Caption"/>
        <w:ind w:left="216"/>
        <w:jc w:val="center"/>
      </w:pPr>
    </w:p>
    <w:p w:rsidR="00BF5F96" w:rsidRDefault="00BF5F96" w:rsidP="00381702">
      <w:pPr>
        <w:pStyle w:val="Caption"/>
        <w:ind w:left="216"/>
        <w:jc w:val="center"/>
      </w:pPr>
      <w:bookmarkStart w:id="14" w:name="_Toc438457208"/>
      <w:r>
        <w:t xml:space="preserve">Table </w:t>
      </w:r>
      <w:fldSimple w:instr=" SEQ Table \* ARABIC ">
        <w:r w:rsidR="00CA1504">
          <w:rPr>
            <w:noProof/>
          </w:rPr>
          <w:t>1</w:t>
        </w:r>
      </w:fldSimple>
      <w:r>
        <w:t xml:space="preserve"> -</w:t>
      </w:r>
      <w:r w:rsidRPr="00E97091">
        <w:t xml:space="preserve"> </w:t>
      </w:r>
      <w:r>
        <w:t>LED Ambient Commercial Fixtures &amp; Retrofit Kits Minimum Measure Efficacies</w:t>
      </w:r>
      <w:bookmarkEnd w:id="14"/>
    </w:p>
    <w:tbl>
      <w:tblPr>
        <w:tblW w:w="8100" w:type="dxa"/>
        <w:jc w:val="center"/>
        <w:tblInd w:w="378" w:type="dxa"/>
        <w:tblLook w:val="04A0" w:firstRow="1" w:lastRow="0" w:firstColumn="1" w:lastColumn="0" w:noHBand="0" w:noVBand="1"/>
      </w:tblPr>
      <w:tblGrid>
        <w:gridCol w:w="960"/>
        <w:gridCol w:w="7140"/>
      </w:tblGrid>
      <w:tr w:rsidR="009A72B0" w:rsidTr="002870E2">
        <w:trPr>
          <w:trHeight w:val="230"/>
          <w:jc w:val="center"/>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LT040</w:t>
            </w:r>
          </w:p>
        </w:tc>
        <w:tc>
          <w:tcPr>
            <w:tcW w:w="7140" w:type="dxa"/>
            <w:tcBorders>
              <w:top w:val="single" w:sz="4" w:space="0" w:color="auto"/>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new Luminaire rated ≥85 and &lt;95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LT041</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new Luminaire rated ≥95 and &lt;110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LT042</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new Luminaire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LT043</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new Luminaire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LT044</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new Luminaire rated ≥85 and &lt;95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LT045</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new Luminaire rated ≥95 and &lt;110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LT046</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new Luminaire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LT047</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new Luminaire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LT048</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new Luminaire rated ≥85 and &lt;95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LT049</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new Luminaire rated ≥95 and &lt;110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LT050</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new Luminaire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LT051</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new Luminaire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LT052</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Integrated retrofit kit rated ≥85 and &lt;95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LT053</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Integrated retrofit kit rated ≥95 and &lt;110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LT054</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Integrated retrofit kit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LT055</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Integrated retrofit kit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LT056</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Integrated retrofit kit rated ≥85 and &lt;95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LT057</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Integrated retrofit kit rated ≥95 and &lt;110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LT058</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Integrated retrofit kit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LT059</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Integrated retrofit kit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LT060</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Integrated retrofit kit rated ≥85 and &lt;95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LT061</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Integrated retrofit kit rated ≥95 and &lt;110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LT062</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Integrated retrofit kit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LT063</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Integrated retrofit kit rated ≥125 LPW, Ambient Interior Commercial Spaces</w:t>
            </w:r>
          </w:p>
        </w:tc>
      </w:tr>
    </w:tbl>
    <w:p w:rsidR="00BF5F96" w:rsidRPr="007A7EF5" w:rsidRDefault="00BF5F96" w:rsidP="00BF5F96">
      <w:pPr>
        <w:widowControl w:val="0"/>
        <w:autoSpaceDE w:val="0"/>
        <w:autoSpaceDN w:val="0"/>
        <w:adjustRightInd w:val="0"/>
        <w:spacing w:line="360" w:lineRule="auto"/>
        <w:rPr>
          <w:rFonts w:ascii="Arial" w:hAnsi="Arial" w:cs="Arial"/>
          <w:color w:val="FF0000"/>
          <w:sz w:val="20"/>
        </w:rPr>
      </w:pPr>
    </w:p>
    <w:p w:rsidR="00521920" w:rsidRDefault="00521920" w:rsidP="00872913">
      <w:pPr>
        <w:rPr>
          <w:rFonts w:ascii="Arial" w:hAnsi="Arial" w:cs="Arial"/>
          <w:b/>
          <w:i/>
        </w:rPr>
      </w:pPr>
      <w:r>
        <w:rPr>
          <w:rFonts w:ascii="Arial" w:hAnsi="Arial" w:cs="Arial"/>
          <w:b/>
          <w:i/>
        </w:rPr>
        <w:lastRenderedPageBreak/>
        <w:t>Program Restrictions and Guidelines</w:t>
      </w:r>
    </w:p>
    <w:p w:rsidR="00C50281" w:rsidRDefault="005B5BB4" w:rsidP="00C50281">
      <w:pPr>
        <w:rPr>
          <w:rFonts w:ascii="Arial" w:hAnsi="Arial" w:cs="Arial"/>
          <w:sz w:val="20"/>
        </w:rPr>
      </w:pPr>
      <w:r w:rsidRPr="0008537D">
        <w:rPr>
          <w:rFonts w:ascii="Arial" w:hAnsi="Arial" w:cs="Arial"/>
          <w:sz w:val="20"/>
        </w:rPr>
        <w:t xml:space="preserve">This </w:t>
      </w:r>
      <w:proofErr w:type="spellStart"/>
      <w:r w:rsidRPr="0008537D">
        <w:rPr>
          <w:rFonts w:ascii="Arial" w:hAnsi="Arial" w:cs="Arial"/>
          <w:sz w:val="20"/>
        </w:rPr>
        <w:t>workpaper</w:t>
      </w:r>
      <w:proofErr w:type="spellEnd"/>
      <w:r w:rsidRPr="0008537D">
        <w:rPr>
          <w:rFonts w:ascii="Arial" w:hAnsi="Arial" w:cs="Arial"/>
          <w:sz w:val="20"/>
        </w:rPr>
        <w:t xml:space="preserve"> details the replacement of </w:t>
      </w:r>
      <w:r w:rsidR="00E04625">
        <w:rPr>
          <w:rFonts w:ascii="Arial" w:hAnsi="Arial" w:cs="Arial"/>
          <w:sz w:val="20"/>
        </w:rPr>
        <w:t>l</w:t>
      </w:r>
      <w:r w:rsidR="00B67AB6">
        <w:rPr>
          <w:rFonts w:ascii="Arial" w:hAnsi="Arial" w:cs="Arial"/>
          <w:sz w:val="20"/>
        </w:rPr>
        <w:t>inear fluorescent</w:t>
      </w:r>
      <w:r w:rsidR="00822225">
        <w:rPr>
          <w:rFonts w:ascii="Arial" w:hAnsi="Arial" w:cs="Arial"/>
          <w:sz w:val="20"/>
        </w:rPr>
        <w:t xml:space="preserve"> fixtures</w:t>
      </w:r>
      <w:r w:rsidRPr="0008537D">
        <w:rPr>
          <w:rFonts w:ascii="Arial" w:hAnsi="Arial" w:cs="Arial"/>
          <w:sz w:val="20"/>
        </w:rPr>
        <w:t xml:space="preserve"> with LED </w:t>
      </w:r>
      <w:r w:rsidR="00C27933">
        <w:rPr>
          <w:rFonts w:ascii="Arial" w:hAnsi="Arial" w:cs="Arial"/>
          <w:sz w:val="20"/>
        </w:rPr>
        <w:t>Ambient Commercial</w:t>
      </w:r>
      <w:r w:rsidR="002E6C39" w:rsidRPr="002E6C39">
        <w:rPr>
          <w:rFonts w:ascii="Arial" w:hAnsi="Arial" w:cs="Arial"/>
          <w:sz w:val="20"/>
        </w:rPr>
        <w:t xml:space="preserve"> Fixtures &amp;</w:t>
      </w:r>
      <w:r w:rsidR="006F0984">
        <w:rPr>
          <w:rFonts w:ascii="Arial" w:hAnsi="Arial" w:cs="Arial"/>
          <w:sz w:val="20"/>
        </w:rPr>
        <w:t xml:space="preserve"> Integrated</w:t>
      </w:r>
      <w:r w:rsidR="002E6C39" w:rsidRPr="002E6C39">
        <w:rPr>
          <w:rFonts w:ascii="Arial" w:hAnsi="Arial" w:cs="Arial"/>
          <w:sz w:val="20"/>
        </w:rPr>
        <w:t xml:space="preserve"> Retrofit Kits</w:t>
      </w:r>
      <w:r w:rsidRPr="0008537D">
        <w:rPr>
          <w:rFonts w:ascii="Arial" w:hAnsi="Arial" w:cs="Arial"/>
          <w:sz w:val="20"/>
        </w:rPr>
        <w:t>.</w:t>
      </w:r>
      <w:r w:rsidR="009A3B09" w:rsidRPr="009A3B09">
        <w:t xml:space="preserve"> </w:t>
      </w:r>
      <w:r w:rsidR="00CB4218" w:rsidRPr="00670AC3">
        <w:rPr>
          <w:rFonts w:ascii="Arial" w:hAnsi="Arial" w:cs="Arial"/>
          <w:sz w:val="20"/>
        </w:rPr>
        <w:t xml:space="preserve">The </w:t>
      </w:r>
      <w:proofErr w:type="spellStart"/>
      <w:r w:rsidR="009B2260">
        <w:rPr>
          <w:rFonts w:ascii="Arial" w:hAnsi="Arial" w:cs="Arial"/>
          <w:sz w:val="20"/>
        </w:rPr>
        <w:t>workpaper</w:t>
      </w:r>
      <w:proofErr w:type="spellEnd"/>
      <w:r w:rsidR="009B2260">
        <w:rPr>
          <w:rFonts w:ascii="Arial" w:hAnsi="Arial" w:cs="Arial"/>
          <w:sz w:val="20"/>
        </w:rPr>
        <w:t xml:space="preserve"> </w:t>
      </w:r>
      <w:r w:rsidR="00E55167">
        <w:rPr>
          <w:rFonts w:ascii="Arial" w:hAnsi="Arial" w:cs="Arial"/>
          <w:sz w:val="20"/>
        </w:rPr>
        <w:t>offers</w:t>
      </w:r>
      <w:r w:rsidR="004337F8">
        <w:rPr>
          <w:rFonts w:ascii="Arial" w:hAnsi="Arial" w:cs="Arial"/>
          <w:sz w:val="20"/>
        </w:rPr>
        <w:t xml:space="preserve"> deliv</w:t>
      </w:r>
      <w:r w:rsidR="00E55167">
        <w:rPr>
          <w:rFonts w:ascii="Arial" w:hAnsi="Arial" w:cs="Arial"/>
          <w:sz w:val="20"/>
        </w:rPr>
        <w:t xml:space="preserve">ery methods for non-residential </w:t>
      </w:r>
      <w:r w:rsidR="009B2260">
        <w:rPr>
          <w:rFonts w:ascii="Arial" w:hAnsi="Arial" w:cs="Arial"/>
          <w:sz w:val="20"/>
        </w:rPr>
        <w:t>customers</w:t>
      </w:r>
      <w:r w:rsidR="00D12433">
        <w:rPr>
          <w:rFonts w:ascii="Arial" w:hAnsi="Arial" w:cs="Arial"/>
          <w:sz w:val="20"/>
        </w:rPr>
        <w:t xml:space="preserve"> through </w:t>
      </w:r>
      <w:r w:rsidR="00E55167">
        <w:rPr>
          <w:rFonts w:ascii="Arial" w:hAnsi="Arial" w:cs="Arial"/>
          <w:sz w:val="20"/>
        </w:rPr>
        <w:t>Upstream</w:t>
      </w:r>
      <w:r w:rsidR="00D93D13">
        <w:rPr>
          <w:rFonts w:ascii="Arial" w:hAnsi="Arial" w:cs="Arial"/>
          <w:sz w:val="20"/>
        </w:rPr>
        <w:t>/Midstream</w:t>
      </w:r>
      <w:r w:rsidR="00E55167">
        <w:rPr>
          <w:rFonts w:ascii="Arial" w:hAnsi="Arial" w:cs="Arial"/>
          <w:sz w:val="20"/>
        </w:rPr>
        <w:t xml:space="preserve">, </w:t>
      </w:r>
      <w:r w:rsidR="00D46E0B">
        <w:rPr>
          <w:rFonts w:ascii="Arial" w:hAnsi="Arial" w:cs="Arial"/>
          <w:sz w:val="20"/>
        </w:rPr>
        <w:t>Downstream</w:t>
      </w:r>
      <w:r w:rsidR="00D93D13">
        <w:rPr>
          <w:rFonts w:ascii="Arial" w:hAnsi="Arial" w:cs="Arial"/>
          <w:sz w:val="20"/>
        </w:rPr>
        <w:t>,</w:t>
      </w:r>
      <w:r w:rsidR="00CB4218" w:rsidRPr="00670AC3">
        <w:rPr>
          <w:rFonts w:ascii="Arial" w:hAnsi="Arial" w:cs="Arial"/>
          <w:sz w:val="20"/>
        </w:rPr>
        <w:t xml:space="preserve"> </w:t>
      </w:r>
      <w:r w:rsidR="009B2260">
        <w:rPr>
          <w:rFonts w:ascii="Arial" w:hAnsi="Arial" w:cs="Arial"/>
          <w:sz w:val="20"/>
        </w:rPr>
        <w:t>or Direct Install</w:t>
      </w:r>
      <w:r w:rsidR="00D12433">
        <w:rPr>
          <w:rFonts w:ascii="Arial" w:hAnsi="Arial" w:cs="Arial"/>
          <w:sz w:val="20"/>
        </w:rPr>
        <w:t xml:space="preserve"> Deemed programs.</w:t>
      </w:r>
    </w:p>
    <w:p w:rsidR="00C50281" w:rsidRDefault="00C50281" w:rsidP="00C50281">
      <w:pPr>
        <w:rPr>
          <w:rFonts w:ascii="Arial" w:hAnsi="Arial" w:cs="Arial"/>
          <w:sz w:val="20"/>
        </w:rPr>
      </w:pPr>
    </w:p>
    <w:p w:rsidR="00C50281" w:rsidRPr="00C50281" w:rsidRDefault="00C50281" w:rsidP="00C50281">
      <w:pPr>
        <w:rPr>
          <w:rFonts w:ascii="Arial" w:hAnsi="Arial" w:cs="Arial"/>
          <w:sz w:val="20"/>
        </w:rPr>
      </w:pPr>
      <w:r w:rsidRPr="009A72B0">
        <w:rPr>
          <w:rFonts w:ascii="Arial" w:hAnsi="Arial" w:cs="Arial"/>
          <w:sz w:val="20"/>
          <w:szCs w:val="20"/>
        </w:rPr>
        <w:t xml:space="preserve">The LED fixture or </w:t>
      </w:r>
      <w:r w:rsidR="007A7EF5" w:rsidRPr="009A72B0">
        <w:rPr>
          <w:rFonts w:ascii="Arial" w:hAnsi="Arial" w:cs="Arial"/>
          <w:sz w:val="20"/>
          <w:szCs w:val="20"/>
        </w:rPr>
        <w:t xml:space="preserve">integrated </w:t>
      </w:r>
      <w:r w:rsidRPr="009A72B0">
        <w:rPr>
          <w:rFonts w:ascii="Arial" w:hAnsi="Arial" w:cs="Arial"/>
          <w:sz w:val="20"/>
          <w:szCs w:val="20"/>
        </w:rPr>
        <w:t>retrofit kit must replace</w:t>
      </w:r>
      <w:r w:rsidR="007A7EF5" w:rsidRPr="009A72B0">
        <w:rPr>
          <w:rFonts w:ascii="Arial" w:hAnsi="Arial" w:cs="Arial"/>
          <w:sz w:val="20"/>
          <w:szCs w:val="20"/>
        </w:rPr>
        <w:t xml:space="preserve"> a</w:t>
      </w:r>
      <w:r w:rsidRPr="009A72B0">
        <w:rPr>
          <w:rFonts w:ascii="Arial" w:hAnsi="Arial" w:cs="Arial"/>
          <w:sz w:val="20"/>
          <w:szCs w:val="20"/>
        </w:rPr>
        <w:t xml:space="preserve"> linear fluorescent </w:t>
      </w:r>
      <w:r w:rsidR="00705A0C" w:rsidRPr="009A72B0">
        <w:rPr>
          <w:rFonts w:ascii="Arial" w:hAnsi="Arial" w:cs="Arial"/>
          <w:sz w:val="20"/>
          <w:szCs w:val="20"/>
        </w:rPr>
        <w:t>fixture on a 1-for-1 basis.</w:t>
      </w:r>
    </w:p>
    <w:p w:rsidR="00C8399F" w:rsidRDefault="00C8399F" w:rsidP="00CB4218">
      <w:pPr>
        <w:rPr>
          <w:rFonts w:ascii="Arial" w:hAnsi="Arial" w:cs="Arial"/>
          <w:sz w:val="20"/>
        </w:rPr>
      </w:pPr>
    </w:p>
    <w:p w:rsidR="00C8399F" w:rsidRPr="00C10056" w:rsidRDefault="00C8399F" w:rsidP="00CB4218">
      <w:pPr>
        <w:rPr>
          <w:rFonts w:ascii="Arial" w:hAnsi="Arial" w:cs="Arial"/>
          <w:sz w:val="20"/>
        </w:rPr>
      </w:pPr>
      <w:r w:rsidRPr="00C10056">
        <w:rPr>
          <w:rFonts w:ascii="Arial" w:hAnsi="Arial" w:cs="Arial"/>
          <w:sz w:val="20"/>
        </w:rPr>
        <w:t xml:space="preserve">DLC requirements for </w:t>
      </w:r>
      <w:r w:rsidR="006F0984">
        <w:rPr>
          <w:rFonts w:ascii="Arial" w:hAnsi="Arial" w:cs="Arial"/>
          <w:sz w:val="20"/>
        </w:rPr>
        <w:t xml:space="preserve">Integrated </w:t>
      </w:r>
      <w:r w:rsidR="00705A0C">
        <w:rPr>
          <w:rFonts w:ascii="Arial" w:hAnsi="Arial" w:cs="Arial"/>
          <w:sz w:val="20"/>
        </w:rPr>
        <w:t xml:space="preserve">Retrofit Kits and </w:t>
      </w:r>
      <w:r w:rsidR="00705A0C" w:rsidRPr="00705A0C">
        <w:rPr>
          <w:rFonts w:ascii="Arial" w:hAnsi="Arial" w:cs="Arial"/>
          <w:sz w:val="20"/>
        </w:rPr>
        <w:t>Luminaires for Ambient Lighting of Interior Commercial Spaces</w:t>
      </w:r>
      <w:r w:rsidRPr="00C10056">
        <w:rPr>
          <w:rFonts w:ascii="Arial" w:hAnsi="Arial" w:cs="Arial"/>
          <w:sz w:val="20"/>
        </w:rPr>
        <w:t xml:space="preserve"> include:</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5-year warranty</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5</w:t>
      </w:r>
      <w:r w:rsidR="00705A0C">
        <w:rPr>
          <w:rFonts w:ascii="Arial" w:hAnsi="Arial" w:cs="Arial"/>
          <w:sz w:val="20"/>
        </w:rPr>
        <w:t>0</w:t>
      </w:r>
      <w:r w:rsidRPr="00C10056">
        <w:rPr>
          <w:rFonts w:ascii="Arial" w:hAnsi="Arial" w:cs="Arial"/>
          <w:sz w:val="20"/>
        </w:rPr>
        <w:t>,000 hour L70 Lumen Maintenance</w:t>
      </w:r>
    </w:p>
    <w:p w:rsidR="00C8399F" w:rsidRPr="00C10056" w:rsidRDefault="00705A0C" w:rsidP="00C8399F">
      <w:pPr>
        <w:pStyle w:val="ListParagraph"/>
        <w:numPr>
          <w:ilvl w:val="0"/>
          <w:numId w:val="24"/>
        </w:numPr>
        <w:rPr>
          <w:rFonts w:ascii="Arial" w:hAnsi="Arial" w:cs="Arial"/>
          <w:sz w:val="20"/>
        </w:rPr>
      </w:pPr>
      <w:r>
        <w:rPr>
          <w:rFonts w:ascii="Arial" w:hAnsi="Arial" w:cs="Arial"/>
          <w:sz w:val="20"/>
        </w:rPr>
        <w:t>≥ 8</w:t>
      </w:r>
      <w:r w:rsidR="00C8399F" w:rsidRPr="00C10056">
        <w:rPr>
          <w:rFonts w:ascii="Arial" w:hAnsi="Arial" w:cs="Arial"/>
          <w:sz w:val="20"/>
        </w:rPr>
        <w:t>0 Color Rendering Index (CRI)</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 8</w:t>
      </w:r>
      <w:r w:rsidR="00705A0C">
        <w:rPr>
          <w:rFonts w:ascii="Arial" w:hAnsi="Arial" w:cs="Arial"/>
          <w:sz w:val="20"/>
        </w:rPr>
        <w:t>5</w:t>
      </w:r>
      <w:r w:rsidRPr="00C10056">
        <w:rPr>
          <w:rFonts w:ascii="Arial" w:hAnsi="Arial" w:cs="Arial"/>
          <w:sz w:val="20"/>
        </w:rPr>
        <w:t xml:space="preserve"> lumens / Watt</w:t>
      </w:r>
    </w:p>
    <w:p w:rsidR="00C8399F" w:rsidRPr="00C10056" w:rsidRDefault="00705A0C" w:rsidP="00C8399F">
      <w:pPr>
        <w:pStyle w:val="ListParagraph"/>
        <w:numPr>
          <w:ilvl w:val="0"/>
          <w:numId w:val="24"/>
        </w:numPr>
        <w:rPr>
          <w:rFonts w:ascii="Arial" w:hAnsi="Arial" w:cs="Arial"/>
          <w:sz w:val="20"/>
        </w:rPr>
      </w:pPr>
      <w:r>
        <w:rPr>
          <w:rFonts w:ascii="Arial" w:hAnsi="Arial" w:cs="Arial"/>
          <w:sz w:val="20"/>
        </w:rPr>
        <w:t>≤ 50</w:t>
      </w:r>
      <w:r w:rsidR="00C8399F" w:rsidRPr="00C10056">
        <w:rPr>
          <w:rFonts w:ascii="Arial" w:hAnsi="Arial" w:cs="Arial"/>
          <w:sz w:val="20"/>
        </w:rPr>
        <w:t>00 Kelvin Correlated Color Temperature (CCT)</w:t>
      </w:r>
    </w:p>
    <w:p w:rsidR="00705A0C" w:rsidRPr="00705A0C" w:rsidRDefault="00705A0C" w:rsidP="00705A0C">
      <w:pPr>
        <w:pStyle w:val="ListParagraph"/>
        <w:numPr>
          <w:ilvl w:val="0"/>
          <w:numId w:val="24"/>
        </w:numPr>
        <w:rPr>
          <w:rFonts w:ascii="Arial" w:hAnsi="Arial" w:cs="Arial"/>
          <w:sz w:val="20"/>
        </w:rPr>
      </w:pPr>
      <w:r w:rsidRPr="00705A0C">
        <w:rPr>
          <w:rFonts w:ascii="Arial" w:hAnsi="Arial" w:cs="Arial"/>
          <w:sz w:val="20"/>
        </w:rPr>
        <w:t xml:space="preserve">Spacing Criteria from 1.0 to 2.0 in both the 0-180° and </w:t>
      </w:r>
      <w:r>
        <w:rPr>
          <w:rFonts w:ascii="Arial" w:hAnsi="Arial" w:cs="Arial"/>
          <w:sz w:val="20"/>
        </w:rPr>
        <w:t>90-270° directions</w:t>
      </w:r>
    </w:p>
    <w:p w:rsidR="00C8399F" w:rsidRPr="00C10056" w:rsidRDefault="00705A0C" w:rsidP="00705A0C">
      <w:pPr>
        <w:pStyle w:val="ListParagraph"/>
        <w:numPr>
          <w:ilvl w:val="0"/>
          <w:numId w:val="24"/>
        </w:numPr>
        <w:rPr>
          <w:rFonts w:ascii="Arial" w:hAnsi="Arial" w:cs="Arial"/>
          <w:sz w:val="20"/>
        </w:rPr>
      </w:pPr>
      <w:r w:rsidRPr="00705A0C">
        <w:rPr>
          <w:rFonts w:ascii="Arial" w:hAnsi="Arial" w:cs="Arial"/>
          <w:sz w:val="20"/>
        </w:rPr>
        <w:t>≥75%</w:t>
      </w:r>
      <w:r>
        <w:rPr>
          <w:rFonts w:ascii="Arial" w:hAnsi="Arial" w:cs="Arial"/>
          <w:sz w:val="20"/>
        </w:rPr>
        <w:t xml:space="preserve"> of Lumen Output in the</w:t>
      </w:r>
      <w:r w:rsidRPr="00705A0C">
        <w:rPr>
          <w:rFonts w:ascii="Arial" w:hAnsi="Arial" w:cs="Arial"/>
          <w:sz w:val="20"/>
        </w:rPr>
        <w:t xml:space="preserve"> 0-60°</w:t>
      </w:r>
      <w:r>
        <w:rPr>
          <w:rFonts w:ascii="Arial" w:hAnsi="Arial" w:cs="Arial"/>
          <w:sz w:val="20"/>
        </w:rPr>
        <w:t xml:space="preserve"> zone</w:t>
      </w:r>
    </w:p>
    <w:p w:rsidR="00CB4218" w:rsidRPr="00C10056" w:rsidRDefault="00CB4218" w:rsidP="00CB4218">
      <w:pPr>
        <w:rPr>
          <w:rFonts w:ascii="Arial" w:hAnsi="Arial" w:cs="Arial"/>
          <w:sz w:val="20"/>
        </w:rPr>
      </w:pPr>
    </w:p>
    <w:tbl>
      <w:tblPr>
        <w:tblW w:w="6232" w:type="dxa"/>
        <w:jc w:val="center"/>
        <w:tblInd w:w="-3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tblGrid>
      <w:tr w:rsidR="00822225" w:rsidRPr="00C10056" w:rsidTr="00822225">
        <w:trPr>
          <w:trHeight w:val="305"/>
          <w:jc w:val="center"/>
        </w:trPr>
        <w:tc>
          <w:tcPr>
            <w:tcW w:w="6232" w:type="dxa"/>
            <w:shd w:val="clear" w:color="auto" w:fill="auto"/>
            <w:vAlign w:val="bottom"/>
          </w:tcPr>
          <w:p w:rsidR="00822225" w:rsidRPr="00C10056" w:rsidRDefault="009B2260" w:rsidP="00A95196">
            <w:pPr>
              <w:jc w:val="center"/>
              <w:rPr>
                <w:rFonts w:ascii="Arial" w:hAnsi="Arial" w:cs="Arial"/>
                <w:b/>
                <w:sz w:val="20"/>
              </w:rPr>
            </w:pPr>
            <w:r>
              <w:rPr>
                <w:rFonts w:ascii="Arial" w:hAnsi="Arial" w:cs="Arial"/>
                <w:b/>
                <w:sz w:val="20"/>
              </w:rPr>
              <w:t xml:space="preserve">DLC Categories Eligible under this </w:t>
            </w:r>
            <w:proofErr w:type="spellStart"/>
            <w:r>
              <w:rPr>
                <w:rFonts w:ascii="Arial" w:hAnsi="Arial" w:cs="Arial"/>
                <w:b/>
                <w:sz w:val="20"/>
              </w:rPr>
              <w:t>Workpaper</w:t>
            </w:r>
            <w:proofErr w:type="spellEnd"/>
            <w:r>
              <w:rPr>
                <w:rFonts w:ascii="Arial" w:hAnsi="Arial" w:cs="Arial"/>
                <w:b/>
                <w:sz w:val="20"/>
              </w:rPr>
              <w:t>:</w:t>
            </w:r>
          </w:p>
        </w:tc>
      </w:tr>
      <w:tr w:rsidR="00822225" w:rsidRPr="00C10056" w:rsidTr="00822225">
        <w:trPr>
          <w:jc w:val="center"/>
        </w:trPr>
        <w:tc>
          <w:tcPr>
            <w:tcW w:w="6232" w:type="dxa"/>
            <w:shd w:val="clear" w:color="auto" w:fill="auto"/>
            <w:vAlign w:val="center"/>
          </w:tcPr>
          <w:p w:rsidR="00822225" w:rsidRPr="00C10056" w:rsidRDefault="00822225" w:rsidP="00D12AFE">
            <w:pPr>
              <w:numPr>
                <w:ilvl w:val="0"/>
                <w:numId w:val="22"/>
              </w:numPr>
              <w:rPr>
                <w:rFonts w:ascii="Arial" w:hAnsi="Arial" w:cs="Arial"/>
                <w:sz w:val="20"/>
              </w:rPr>
            </w:pPr>
            <w:r w:rsidRPr="00C10056">
              <w:rPr>
                <w:rFonts w:ascii="Arial" w:hAnsi="Arial" w:cs="Arial"/>
                <w:sz w:val="20"/>
              </w:rPr>
              <w:t xml:space="preserve">Must be on </w:t>
            </w:r>
            <w:r w:rsidR="0042647B">
              <w:rPr>
                <w:rFonts w:ascii="Arial" w:hAnsi="Arial" w:cs="Arial"/>
                <w:sz w:val="20"/>
              </w:rPr>
              <w:t>PG&amp;E</w:t>
            </w:r>
            <w:r w:rsidRPr="00C10056">
              <w:rPr>
                <w:rFonts w:ascii="Arial" w:hAnsi="Arial" w:cs="Arial"/>
                <w:sz w:val="20"/>
              </w:rPr>
              <w:t xml:space="preserve"> Qualified Products List</w:t>
            </w:r>
            <w:r w:rsidR="0049390F">
              <w:rPr>
                <w:rFonts w:ascii="Arial" w:hAnsi="Arial" w:cs="Arial"/>
                <w:sz w:val="20"/>
              </w:rPr>
              <w:t>, in one</w:t>
            </w:r>
            <w:r w:rsidR="0049390F" w:rsidRPr="00E20F5E">
              <w:rPr>
                <w:rFonts w:ascii="Arial" w:hAnsi="Arial" w:cs="Arial"/>
                <w:sz w:val="20"/>
              </w:rPr>
              <w:t xml:space="preserve"> of 6</w:t>
            </w:r>
            <w:r w:rsidRPr="00E20F5E">
              <w:rPr>
                <w:rFonts w:ascii="Arial" w:hAnsi="Arial" w:cs="Arial"/>
                <w:sz w:val="20"/>
              </w:rPr>
              <w:t xml:space="preserve"> </w:t>
            </w:r>
            <w:r w:rsidR="007A7EF5" w:rsidRPr="00E20F5E">
              <w:rPr>
                <w:rFonts w:ascii="Arial" w:hAnsi="Arial" w:cs="Arial"/>
                <w:sz w:val="20"/>
              </w:rPr>
              <w:t xml:space="preserve">DLC </w:t>
            </w:r>
            <w:r w:rsidRPr="00C10056">
              <w:rPr>
                <w:rFonts w:ascii="Arial" w:hAnsi="Arial" w:cs="Arial"/>
                <w:sz w:val="20"/>
              </w:rPr>
              <w:t>categories:</w:t>
            </w:r>
          </w:p>
          <w:p w:rsidR="0049390F" w:rsidRDefault="0049390F" w:rsidP="0049390F">
            <w:pPr>
              <w:numPr>
                <w:ilvl w:val="1"/>
                <w:numId w:val="22"/>
              </w:numPr>
              <w:rPr>
                <w:rFonts w:ascii="Arial" w:hAnsi="Arial" w:cs="Arial"/>
                <w:sz w:val="20"/>
              </w:rPr>
            </w:pPr>
            <w:r w:rsidRPr="0049390F">
              <w:rPr>
                <w:rFonts w:ascii="Arial" w:hAnsi="Arial" w:cs="Arial"/>
                <w:sz w:val="20"/>
              </w:rPr>
              <w:t>2x2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rsid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2x2 Luminaires for Ambient Lighting of Interior Commercial Spaces</w:t>
            </w:r>
            <w:r>
              <w:rPr>
                <w:rFonts w:ascii="Arial" w:hAnsi="Arial" w:cs="Arial"/>
                <w:sz w:val="20"/>
              </w:rPr>
              <w:tab/>
            </w:r>
            <w:r>
              <w:rPr>
                <w:rFonts w:ascii="Arial" w:hAnsi="Arial" w:cs="Arial"/>
                <w:sz w:val="20"/>
              </w:rPr>
              <w:tab/>
            </w:r>
          </w:p>
          <w:p w:rsidR="0049390F" w:rsidRDefault="0049390F" w:rsidP="0049390F">
            <w:pPr>
              <w:numPr>
                <w:ilvl w:val="1"/>
                <w:numId w:val="22"/>
              </w:numPr>
              <w:rPr>
                <w:rFonts w:ascii="Arial" w:hAnsi="Arial" w:cs="Arial"/>
                <w:sz w:val="20"/>
              </w:rPr>
            </w:pPr>
            <w:r w:rsidRPr="0049390F">
              <w:rPr>
                <w:rFonts w:ascii="Arial" w:hAnsi="Arial" w:cs="Arial"/>
                <w:sz w:val="20"/>
              </w:rPr>
              <w:t>1x4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rsid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1x4 Luminaires for Ambient Lighting of Interior Commercial Spaces</w:t>
            </w:r>
            <w:r>
              <w:rPr>
                <w:rFonts w:ascii="Arial" w:hAnsi="Arial" w:cs="Arial"/>
                <w:sz w:val="20"/>
              </w:rPr>
              <w:tab/>
            </w:r>
            <w:r>
              <w:rPr>
                <w:rFonts w:ascii="Arial" w:hAnsi="Arial" w:cs="Arial"/>
                <w:sz w:val="20"/>
              </w:rPr>
              <w:tab/>
            </w:r>
          </w:p>
          <w:p w:rsidR="0049390F" w:rsidRDefault="0049390F" w:rsidP="0049390F">
            <w:pPr>
              <w:numPr>
                <w:ilvl w:val="1"/>
                <w:numId w:val="22"/>
              </w:numPr>
              <w:rPr>
                <w:rFonts w:ascii="Arial" w:hAnsi="Arial" w:cs="Arial"/>
                <w:sz w:val="20"/>
              </w:rPr>
            </w:pPr>
            <w:r w:rsidRPr="0049390F">
              <w:rPr>
                <w:rFonts w:ascii="Arial" w:hAnsi="Arial" w:cs="Arial"/>
                <w:sz w:val="20"/>
              </w:rPr>
              <w:t>2x4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rsidR="00822225" w:rsidRP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2x4 Luminaires for Ambient Lighting of Interior Commercial Spaces</w:t>
            </w:r>
            <w:r w:rsidR="0049390F" w:rsidRPr="0049390F">
              <w:rPr>
                <w:rFonts w:ascii="Arial" w:hAnsi="Arial" w:cs="Arial"/>
                <w:sz w:val="20"/>
              </w:rPr>
              <w:tab/>
            </w:r>
            <w:r w:rsidR="0049390F" w:rsidRPr="0049390F">
              <w:rPr>
                <w:rFonts w:ascii="Arial" w:hAnsi="Arial" w:cs="Arial"/>
                <w:sz w:val="20"/>
              </w:rPr>
              <w:tab/>
            </w:r>
          </w:p>
        </w:tc>
      </w:tr>
    </w:tbl>
    <w:p w:rsidR="00CB4218" w:rsidRPr="00C10056" w:rsidRDefault="00CB4218" w:rsidP="00CB4218">
      <w:pPr>
        <w:rPr>
          <w:rFonts w:ascii="Arial" w:hAnsi="Arial" w:cs="Arial"/>
          <w:sz w:val="20"/>
        </w:rPr>
      </w:pPr>
    </w:p>
    <w:p w:rsidR="00787D07" w:rsidRDefault="00787D07" w:rsidP="006F0984">
      <w:pPr>
        <w:rPr>
          <w:rFonts w:ascii="Arial" w:hAnsi="Arial" w:cs="Arial"/>
          <w:sz w:val="20"/>
          <w:szCs w:val="20"/>
        </w:rPr>
      </w:pPr>
      <w:r w:rsidRPr="006F0984">
        <w:rPr>
          <w:rFonts w:ascii="Arial" w:hAnsi="Arial" w:cs="Arial"/>
          <w:sz w:val="20"/>
          <w:szCs w:val="20"/>
        </w:rPr>
        <w:t>Products must meet exact technical require</w:t>
      </w:r>
      <w:r w:rsidRPr="00E20F5E">
        <w:rPr>
          <w:rFonts w:ascii="Arial" w:hAnsi="Arial" w:cs="Arial"/>
          <w:sz w:val="20"/>
          <w:szCs w:val="20"/>
        </w:rPr>
        <w:t>ments listed on DLC fo</w:t>
      </w:r>
      <w:r w:rsidRPr="006F0984">
        <w:rPr>
          <w:rFonts w:ascii="Arial" w:hAnsi="Arial" w:cs="Arial"/>
          <w:sz w:val="20"/>
          <w:szCs w:val="20"/>
        </w:rPr>
        <w:t>r these product categories stated above.</w:t>
      </w:r>
    </w:p>
    <w:p w:rsidR="00787D07" w:rsidRDefault="00787D07" w:rsidP="006F0984">
      <w:pPr>
        <w:rPr>
          <w:rFonts w:ascii="Arial" w:hAnsi="Arial" w:cs="Arial"/>
          <w:sz w:val="20"/>
          <w:szCs w:val="20"/>
        </w:rPr>
      </w:pPr>
    </w:p>
    <w:p w:rsidR="006F0984" w:rsidRPr="006F0984" w:rsidRDefault="006F0984" w:rsidP="006F0984">
      <w:r w:rsidRPr="006F0984">
        <w:rPr>
          <w:rFonts w:ascii="Arial" w:hAnsi="Arial" w:cs="Arial"/>
          <w:sz w:val="20"/>
          <w:szCs w:val="20"/>
        </w:rPr>
        <w:t>Furthermore, we will eliminate tolerances outside of the DLC defined technical requirements for the following performance metrics</w:t>
      </w:r>
      <w:r w:rsidR="007A7EF5">
        <w:rPr>
          <w:rFonts w:ascii="Arial" w:hAnsi="Arial" w:cs="Arial"/>
          <w:sz w:val="20"/>
          <w:szCs w:val="20"/>
        </w:rPr>
        <w:t>:</w:t>
      </w:r>
    </w:p>
    <w:p w:rsidR="006F0984" w:rsidRPr="006F0984" w:rsidRDefault="006F0984" w:rsidP="006F0984">
      <w:pPr>
        <w:pStyle w:val="ListParagraph"/>
        <w:numPr>
          <w:ilvl w:val="0"/>
          <w:numId w:val="28"/>
        </w:numPr>
      </w:pPr>
      <w:r w:rsidRPr="006F0984">
        <w:rPr>
          <w:rFonts w:ascii="Arial" w:hAnsi="Arial" w:cs="Arial"/>
          <w:sz w:val="20"/>
          <w:szCs w:val="20"/>
        </w:rPr>
        <w:t>Light output</w:t>
      </w:r>
    </w:p>
    <w:p w:rsidR="006F0984" w:rsidRPr="006F0984" w:rsidRDefault="006F0984" w:rsidP="006F0984">
      <w:pPr>
        <w:pStyle w:val="ListParagraph"/>
        <w:numPr>
          <w:ilvl w:val="0"/>
          <w:numId w:val="28"/>
        </w:numPr>
      </w:pPr>
      <w:r w:rsidRPr="006F0984">
        <w:rPr>
          <w:rFonts w:ascii="Arial" w:hAnsi="Arial" w:cs="Arial"/>
          <w:sz w:val="20"/>
          <w:szCs w:val="20"/>
        </w:rPr>
        <w:t>Luminaire efficacy</w:t>
      </w:r>
    </w:p>
    <w:p w:rsidR="006F0984" w:rsidRPr="00210E47" w:rsidRDefault="006F0984" w:rsidP="006F0984">
      <w:pPr>
        <w:pStyle w:val="ListParagraph"/>
        <w:numPr>
          <w:ilvl w:val="0"/>
          <w:numId w:val="28"/>
        </w:numPr>
      </w:pPr>
      <w:r w:rsidRPr="00210E47">
        <w:rPr>
          <w:rFonts w:ascii="Arial" w:hAnsi="Arial" w:cs="Arial"/>
          <w:sz w:val="20"/>
          <w:szCs w:val="20"/>
        </w:rPr>
        <w:t>Allowable CCT</w:t>
      </w:r>
    </w:p>
    <w:p w:rsidR="006F0984" w:rsidRPr="006F0984" w:rsidRDefault="006F0984" w:rsidP="006F0984">
      <w:pPr>
        <w:pStyle w:val="ListParagraph"/>
        <w:numPr>
          <w:ilvl w:val="0"/>
          <w:numId w:val="28"/>
        </w:numPr>
      </w:pPr>
      <w:r w:rsidRPr="006F0984">
        <w:rPr>
          <w:rFonts w:ascii="Arial" w:hAnsi="Arial" w:cs="Arial"/>
          <w:sz w:val="20"/>
          <w:szCs w:val="20"/>
        </w:rPr>
        <w:t>CRI</w:t>
      </w:r>
    </w:p>
    <w:p w:rsidR="006F0984" w:rsidRPr="006F0984" w:rsidRDefault="006F0984" w:rsidP="00BB4181">
      <w:pPr>
        <w:pStyle w:val="ListParagraph"/>
        <w:numPr>
          <w:ilvl w:val="0"/>
          <w:numId w:val="28"/>
        </w:numPr>
        <w:tabs>
          <w:tab w:val="left" w:pos="720"/>
        </w:tabs>
      </w:pPr>
      <w:r w:rsidRPr="006F0984">
        <w:rPr>
          <w:rFonts w:ascii="Arial" w:hAnsi="Arial" w:cs="Arial"/>
          <w:sz w:val="20"/>
          <w:szCs w:val="20"/>
        </w:rPr>
        <w:t>Power Factor</w:t>
      </w:r>
    </w:p>
    <w:p w:rsidR="006F0984" w:rsidRPr="00BB4181" w:rsidRDefault="006F0984" w:rsidP="00787D07">
      <w:pPr>
        <w:pStyle w:val="ListParagraph"/>
        <w:numPr>
          <w:ilvl w:val="0"/>
          <w:numId w:val="28"/>
        </w:numPr>
      </w:pPr>
      <w:r w:rsidRPr="006F0984">
        <w:rPr>
          <w:rFonts w:ascii="Arial" w:hAnsi="Arial" w:cs="Arial"/>
          <w:sz w:val="20"/>
          <w:szCs w:val="20"/>
        </w:rPr>
        <w:t>Total Harmonic Distortion</w:t>
      </w:r>
    </w:p>
    <w:p w:rsidR="00BB4181" w:rsidRPr="00787D07" w:rsidRDefault="00BB4181" w:rsidP="00BB4181">
      <w:pPr>
        <w:pStyle w:val="ListParagraph"/>
        <w:ind w:left="360"/>
      </w:pPr>
    </w:p>
    <w:tbl>
      <w:tblPr>
        <w:tblW w:w="8619" w:type="dxa"/>
        <w:tblInd w:w="373" w:type="dxa"/>
        <w:tblCellMar>
          <w:left w:w="0" w:type="dxa"/>
          <w:right w:w="0" w:type="dxa"/>
        </w:tblCellMar>
        <w:tblLook w:val="04A0" w:firstRow="1" w:lastRow="0" w:firstColumn="1" w:lastColumn="0" w:noHBand="0" w:noVBand="1"/>
      </w:tblPr>
      <w:tblGrid>
        <w:gridCol w:w="2019"/>
        <w:gridCol w:w="1804"/>
        <w:gridCol w:w="1833"/>
        <w:gridCol w:w="2963"/>
      </w:tblGrid>
      <w:tr w:rsidR="00E20F5E" w:rsidRPr="006F0984" w:rsidTr="00BB4181">
        <w:tc>
          <w:tcPr>
            <w:tcW w:w="20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20F5E" w:rsidRPr="006F0984" w:rsidRDefault="006F0984">
            <w:pPr>
              <w:rPr>
                <w:rFonts w:ascii="Calibri" w:eastAsiaTheme="minorHAnsi" w:hAnsi="Calibri"/>
                <w:sz w:val="22"/>
                <w:szCs w:val="22"/>
              </w:rPr>
            </w:pPr>
            <w:r w:rsidRPr="006F0984">
              <w:rPr>
                <w:rFonts w:ascii="Arial" w:hAnsi="Arial" w:cs="Arial"/>
                <w:sz w:val="20"/>
                <w:szCs w:val="20"/>
              </w:rPr>
              <w:t> </w:t>
            </w:r>
            <w:r w:rsidR="00E20F5E" w:rsidRPr="006F0984">
              <w:rPr>
                <w:rFonts w:ascii="Arial" w:hAnsi="Arial" w:cs="Arial"/>
                <w:b/>
                <w:bCs/>
                <w:sz w:val="20"/>
                <w:szCs w:val="20"/>
              </w:rPr>
              <w:t>Performance Metric</w:t>
            </w:r>
          </w:p>
        </w:tc>
        <w:tc>
          <w:tcPr>
            <w:tcW w:w="18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0F5E" w:rsidRPr="006F0984" w:rsidRDefault="00E20F5E">
            <w:pPr>
              <w:rPr>
                <w:rFonts w:ascii="Calibri" w:eastAsiaTheme="minorHAnsi" w:hAnsi="Calibri"/>
                <w:sz w:val="22"/>
                <w:szCs w:val="22"/>
              </w:rPr>
            </w:pPr>
            <w:r w:rsidRPr="006F0984">
              <w:rPr>
                <w:rFonts w:ascii="Arial" w:hAnsi="Arial" w:cs="Arial"/>
                <w:b/>
                <w:bCs/>
                <w:sz w:val="20"/>
                <w:szCs w:val="20"/>
              </w:rPr>
              <w:t>DLC Requirement</w:t>
            </w:r>
          </w:p>
        </w:tc>
        <w:tc>
          <w:tcPr>
            <w:tcW w:w="18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0F5E" w:rsidRPr="006F0984" w:rsidRDefault="00E20F5E">
            <w:pPr>
              <w:rPr>
                <w:rFonts w:ascii="Calibri" w:eastAsiaTheme="minorHAnsi" w:hAnsi="Calibri"/>
                <w:sz w:val="22"/>
                <w:szCs w:val="22"/>
              </w:rPr>
            </w:pPr>
            <w:r w:rsidRPr="006F0984">
              <w:rPr>
                <w:rFonts w:ascii="Arial" w:hAnsi="Arial" w:cs="Arial"/>
                <w:b/>
                <w:bCs/>
                <w:sz w:val="20"/>
                <w:szCs w:val="20"/>
              </w:rPr>
              <w:t>DLC Tolerance</w:t>
            </w:r>
          </w:p>
        </w:tc>
        <w:tc>
          <w:tcPr>
            <w:tcW w:w="2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0F5E" w:rsidRPr="006F0984" w:rsidRDefault="00E20F5E">
            <w:pPr>
              <w:rPr>
                <w:rFonts w:ascii="Calibri" w:eastAsiaTheme="minorHAnsi" w:hAnsi="Calibri"/>
                <w:sz w:val="22"/>
                <w:szCs w:val="22"/>
              </w:rPr>
            </w:pPr>
            <w:r w:rsidRPr="006F0984">
              <w:rPr>
                <w:rFonts w:ascii="Arial" w:hAnsi="Arial" w:cs="Arial"/>
                <w:b/>
                <w:bCs/>
                <w:sz w:val="20"/>
                <w:szCs w:val="20"/>
              </w:rPr>
              <w:t>PG&amp;E Program Requirement (</w:t>
            </w:r>
            <w:r w:rsidRPr="006F0984">
              <w:rPr>
                <w:rFonts w:ascii="Arial" w:hAnsi="Arial" w:cs="Arial"/>
                <w:b/>
                <w:bCs/>
                <w:i/>
                <w:iCs/>
                <w:sz w:val="20"/>
                <w:szCs w:val="20"/>
              </w:rPr>
              <w:t>1</w:t>
            </w:r>
            <w:r w:rsidRPr="006F0984">
              <w:rPr>
                <w:rFonts w:ascii="Arial" w:hAnsi="Arial" w:cs="Arial"/>
                <w:b/>
                <w:bCs/>
                <w:i/>
                <w:iCs/>
                <w:sz w:val="20"/>
                <w:szCs w:val="20"/>
                <w:vertAlign w:val="superscript"/>
              </w:rPr>
              <w:t>st</w:t>
            </w:r>
            <w:r w:rsidRPr="006F0984">
              <w:rPr>
                <w:rFonts w:ascii="Arial" w:hAnsi="Arial" w:cs="Arial"/>
                <w:b/>
                <w:bCs/>
                <w:i/>
                <w:iCs/>
                <w:sz w:val="20"/>
                <w:szCs w:val="20"/>
              </w:rPr>
              <w:t xml:space="preserve"> 6 months)</w:t>
            </w:r>
          </w:p>
        </w:tc>
      </w:tr>
      <w:tr w:rsidR="00E20F5E" w:rsidRPr="006F0984" w:rsidTr="00BB4181">
        <w:tc>
          <w:tcPr>
            <w:tcW w:w="20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Total Light Output</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≥1,500 lumens</w:t>
            </w:r>
          </w:p>
        </w:tc>
        <w:tc>
          <w:tcPr>
            <w:tcW w:w="183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 xml:space="preserve">-10% </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≥2,200 lumens ≤6,500 lumens</w:t>
            </w:r>
          </w:p>
        </w:tc>
      </w:tr>
      <w:tr w:rsidR="00E20F5E" w:rsidRPr="006F0984" w:rsidTr="00BB4181">
        <w:tc>
          <w:tcPr>
            <w:tcW w:w="20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Luminaire Efficacy</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≥85 LPW</w:t>
            </w:r>
          </w:p>
        </w:tc>
        <w:tc>
          <w:tcPr>
            <w:tcW w:w="183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-3%</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≥85 LPW</w:t>
            </w:r>
          </w:p>
        </w:tc>
      </w:tr>
      <w:tr w:rsidR="00E20F5E" w:rsidRPr="006F0984" w:rsidTr="00BB4181">
        <w:tc>
          <w:tcPr>
            <w:tcW w:w="20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CRI</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≥80</w:t>
            </w:r>
          </w:p>
        </w:tc>
        <w:tc>
          <w:tcPr>
            <w:tcW w:w="183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-2 points</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≥80</w:t>
            </w:r>
          </w:p>
        </w:tc>
      </w:tr>
      <w:tr w:rsidR="00E20F5E" w:rsidRPr="006F0984" w:rsidTr="00BB4181">
        <w:tc>
          <w:tcPr>
            <w:tcW w:w="20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CCT</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 5,000K</w:t>
            </w:r>
          </w:p>
        </w:tc>
        <w:tc>
          <w:tcPr>
            <w:tcW w:w="183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N/A</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 5,000K</w:t>
            </w:r>
          </w:p>
        </w:tc>
      </w:tr>
      <w:tr w:rsidR="00E20F5E" w:rsidRPr="006F0984" w:rsidTr="00BB4181">
        <w:tc>
          <w:tcPr>
            <w:tcW w:w="20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Power Factor</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≥0.9</w:t>
            </w:r>
          </w:p>
        </w:tc>
        <w:tc>
          <w:tcPr>
            <w:tcW w:w="183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Style w:val="CommentReference"/>
                <w:rFonts w:ascii="Arial" w:hAnsi="Arial" w:cs="Arial"/>
              </w:rPr>
              <w:t>-3%</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≥0.9</w:t>
            </w:r>
          </w:p>
        </w:tc>
      </w:tr>
      <w:tr w:rsidR="00E20F5E" w:rsidRPr="006F0984" w:rsidTr="00BB4181">
        <w:tc>
          <w:tcPr>
            <w:tcW w:w="20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Total Harmonic Distortion</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≤20%</w:t>
            </w:r>
          </w:p>
        </w:tc>
        <w:tc>
          <w:tcPr>
            <w:tcW w:w="183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Style w:val="CommentReference"/>
                <w:rFonts w:ascii="Arial" w:hAnsi="Arial" w:cs="Arial"/>
              </w:rPr>
              <w:t>+5%</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rsidR="00E20F5E" w:rsidRPr="00BB4181" w:rsidRDefault="00E20F5E">
            <w:pPr>
              <w:rPr>
                <w:rFonts w:ascii="Calibri" w:eastAsiaTheme="minorHAnsi" w:hAnsi="Calibri"/>
                <w:sz w:val="16"/>
                <w:szCs w:val="16"/>
              </w:rPr>
            </w:pPr>
            <w:r w:rsidRPr="00BB4181">
              <w:rPr>
                <w:rFonts w:ascii="Arial" w:hAnsi="Arial" w:cs="Arial"/>
                <w:sz w:val="16"/>
                <w:szCs w:val="16"/>
              </w:rPr>
              <w:t>≤20%</w:t>
            </w:r>
          </w:p>
        </w:tc>
      </w:tr>
    </w:tbl>
    <w:p w:rsidR="00CB4218" w:rsidRPr="00C10056" w:rsidRDefault="00CB4218" w:rsidP="00CB4218">
      <w:pPr>
        <w:ind w:left="360"/>
        <w:rPr>
          <w:rFonts w:ascii="Arial" w:hAnsi="Arial" w:cs="Arial"/>
          <w:b/>
          <w:sz w:val="20"/>
        </w:rPr>
      </w:pPr>
      <w:r w:rsidRPr="00C10056">
        <w:rPr>
          <w:rFonts w:ascii="Arial" w:hAnsi="Arial" w:cs="Arial"/>
          <w:b/>
          <w:sz w:val="20"/>
        </w:rPr>
        <w:lastRenderedPageBreak/>
        <w:t xml:space="preserve">Terms and Conditions: </w:t>
      </w:r>
    </w:p>
    <w:p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PG&amp;E electric customer. </w:t>
      </w:r>
    </w:p>
    <w:p w:rsidR="00D46E0B" w:rsidRPr="00C10056" w:rsidRDefault="00D46E0B" w:rsidP="00CB4218">
      <w:pPr>
        <w:ind w:left="360"/>
        <w:rPr>
          <w:rFonts w:ascii="Arial" w:hAnsi="Arial" w:cs="Arial"/>
          <w:sz w:val="20"/>
        </w:rPr>
      </w:pPr>
    </w:p>
    <w:p w:rsidR="00CB4218" w:rsidRPr="00C10056" w:rsidRDefault="00CB4218" w:rsidP="00CB4218">
      <w:pPr>
        <w:ind w:left="360"/>
        <w:rPr>
          <w:rFonts w:ascii="Arial" w:hAnsi="Arial" w:cs="Arial"/>
          <w:b/>
          <w:sz w:val="20"/>
        </w:rPr>
      </w:pPr>
      <w:r w:rsidRPr="00C10056">
        <w:rPr>
          <w:rFonts w:ascii="Arial" w:hAnsi="Arial" w:cs="Arial"/>
          <w:b/>
          <w:sz w:val="20"/>
        </w:rPr>
        <w:t xml:space="preserve">Market Applicability: </w:t>
      </w:r>
    </w:p>
    <w:p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w:t>
      </w:r>
      <w:r w:rsidR="00D46E0B" w:rsidRPr="00C10056">
        <w:rPr>
          <w:rFonts w:ascii="Arial" w:hAnsi="Arial" w:cs="Arial"/>
          <w:sz w:val="20"/>
        </w:rPr>
        <w:t>PG&amp;E electric customer.</w:t>
      </w:r>
    </w:p>
    <w:p w:rsidR="00CB4218" w:rsidRPr="00C10056" w:rsidRDefault="00CB4218" w:rsidP="00CB4218">
      <w:pPr>
        <w:ind w:left="360"/>
        <w:rPr>
          <w:rFonts w:ascii="Arial" w:hAnsi="Arial" w:cs="Arial"/>
          <w:sz w:val="20"/>
        </w:rPr>
      </w:pPr>
    </w:p>
    <w:p w:rsidR="00CB4218" w:rsidRPr="00C10056" w:rsidRDefault="00CB4218" w:rsidP="00CB4218">
      <w:pPr>
        <w:ind w:left="360"/>
        <w:rPr>
          <w:rFonts w:ascii="Arial" w:hAnsi="Arial" w:cs="Arial"/>
          <w:b/>
          <w:sz w:val="20"/>
        </w:rPr>
      </w:pPr>
      <w:r w:rsidRPr="00C10056">
        <w:rPr>
          <w:rFonts w:ascii="Arial" w:hAnsi="Arial" w:cs="Arial"/>
          <w:b/>
          <w:sz w:val="20"/>
        </w:rPr>
        <w:t xml:space="preserve">Type of Transaction: </w:t>
      </w:r>
    </w:p>
    <w:p w:rsidR="00CB4218" w:rsidRDefault="00CB4218" w:rsidP="00CB4218">
      <w:pPr>
        <w:ind w:left="360"/>
        <w:rPr>
          <w:rFonts w:ascii="Arial" w:hAnsi="Arial" w:cs="Arial"/>
          <w:sz w:val="20"/>
          <w:szCs w:val="20"/>
        </w:rPr>
      </w:pPr>
      <w:r w:rsidRPr="00C10056">
        <w:rPr>
          <w:rFonts w:ascii="Arial" w:hAnsi="Arial" w:cs="Arial"/>
          <w:sz w:val="20"/>
        </w:rPr>
        <w:t>The applicable types of transactions include Replace on Burnout</w:t>
      </w:r>
      <w:r w:rsidR="008C43DA">
        <w:rPr>
          <w:rFonts w:ascii="Arial" w:hAnsi="Arial" w:cs="Arial"/>
          <w:sz w:val="20"/>
        </w:rPr>
        <w:t xml:space="preserve"> or New Construction</w:t>
      </w:r>
      <w:r w:rsidRPr="00C10056">
        <w:rPr>
          <w:rFonts w:ascii="Arial" w:hAnsi="Arial" w:cs="Arial"/>
          <w:sz w:val="20"/>
        </w:rPr>
        <w:t>.</w:t>
      </w:r>
      <w:r w:rsidRPr="00C10056">
        <w:rPr>
          <w:rFonts w:ascii="Arial" w:hAnsi="Arial" w:cs="Arial"/>
          <w:sz w:val="20"/>
          <w:szCs w:val="20"/>
        </w:rPr>
        <w:t xml:space="preserve"> The rebate incentivizes the choice of energy efficient equipment over the base case </w:t>
      </w:r>
      <w:r w:rsidR="00D46E0B" w:rsidRPr="00C10056">
        <w:rPr>
          <w:rFonts w:ascii="Arial" w:hAnsi="Arial" w:cs="Arial"/>
          <w:sz w:val="20"/>
          <w:szCs w:val="20"/>
        </w:rPr>
        <w:t xml:space="preserve">equipment, which </w:t>
      </w:r>
      <w:r w:rsidR="00AE2EBA" w:rsidRPr="00C10056">
        <w:rPr>
          <w:rFonts w:ascii="Arial" w:hAnsi="Arial" w:cs="Arial"/>
          <w:sz w:val="20"/>
          <w:szCs w:val="20"/>
        </w:rPr>
        <w:t xml:space="preserve">is </w:t>
      </w:r>
      <w:r w:rsidR="00D46E0B" w:rsidRPr="00C10056">
        <w:rPr>
          <w:rFonts w:ascii="Arial" w:hAnsi="Arial" w:cs="Arial"/>
          <w:sz w:val="20"/>
          <w:szCs w:val="20"/>
        </w:rPr>
        <w:t xml:space="preserve">a </w:t>
      </w:r>
      <w:r w:rsidR="0049390F">
        <w:rPr>
          <w:rFonts w:ascii="Arial" w:hAnsi="Arial" w:cs="Arial"/>
          <w:sz w:val="20"/>
          <w:szCs w:val="20"/>
        </w:rPr>
        <w:t>Linear Fluorescent</w:t>
      </w:r>
      <w:r w:rsidR="00AE2EBA" w:rsidRPr="00C10056">
        <w:rPr>
          <w:rFonts w:ascii="Arial" w:hAnsi="Arial" w:cs="Arial"/>
          <w:sz w:val="20"/>
          <w:szCs w:val="20"/>
        </w:rPr>
        <w:t xml:space="preserve"> T8 </w:t>
      </w:r>
      <w:r w:rsidR="0049390F">
        <w:rPr>
          <w:rFonts w:ascii="Arial" w:hAnsi="Arial" w:cs="Arial"/>
          <w:sz w:val="20"/>
          <w:szCs w:val="20"/>
        </w:rPr>
        <w:t>fixture or retrofit kit.</w:t>
      </w:r>
    </w:p>
    <w:p w:rsidR="0057057B" w:rsidRDefault="0057057B" w:rsidP="00CB4218">
      <w:pPr>
        <w:ind w:left="360"/>
        <w:rPr>
          <w:rFonts w:ascii="Arial" w:hAnsi="Arial" w:cs="Arial"/>
          <w:sz w:val="20"/>
          <w:szCs w:val="20"/>
        </w:rPr>
      </w:pPr>
    </w:p>
    <w:p w:rsidR="00521920" w:rsidRDefault="00806070" w:rsidP="00C8399F">
      <w:pPr>
        <w:pStyle w:val="Heading2"/>
      </w:pPr>
      <w:bookmarkStart w:id="15" w:name="_Toc438457175"/>
      <w:r w:rsidRPr="00C10056">
        <w:t xml:space="preserve">1.2 Product </w:t>
      </w:r>
      <w:r w:rsidR="00521920" w:rsidRPr="00C10056">
        <w:t>Technical Description</w:t>
      </w:r>
      <w:bookmarkEnd w:id="15"/>
    </w:p>
    <w:p w:rsidR="0014799F" w:rsidRDefault="0014799F" w:rsidP="0014799F"/>
    <w:p w:rsidR="001F2CDE" w:rsidRDefault="001F2CDE" w:rsidP="0014799F">
      <w:pPr>
        <w:rPr>
          <w:rFonts w:ascii="Arial" w:hAnsi="Arial" w:cs="Arial"/>
          <w:sz w:val="20"/>
        </w:rPr>
      </w:pPr>
      <w:r w:rsidRPr="00C10056">
        <w:rPr>
          <w:rFonts w:ascii="Arial" w:hAnsi="Arial" w:cs="Arial"/>
          <w:sz w:val="20"/>
        </w:rPr>
        <w:t xml:space="preserve">Light emitting diode (LED) sources have improved over the past decade making them an efficient and reliable lighting technology. Many LED products </w:t>
      </w:r>
      <w:r w:rsidRPr="00A36F2B">
        <w:rPr>
          <w:rFonts w:ascii="Arial" w:hAnsi="Arial" w:cs="Arial"/>
          <w:sz w:val="20"/>
        </w:rPr>
        <w:t>have successfully replaced</w:t>
      </w:r>
      <w:r w:rsidRPr="00C10056">
        <w:rPr>
          <w:rFonts w:ascii="Arial" w:hAnsi="Arial" w:cs="Arial"/>
          <w:sz w:val="20"/>
        </w:rPr>
        <w:t xml:space="preserve"> other lighting sources</w:t>
      </w:r>
      <w:r w:rsidR="00051043">
        <w:rPr>
          <w:rFonts w:ascii="Arial" w:hAnsi="Arial" w:cs="Arial"/>
          <w:sz w:val="20"/>
        </w:rPr>
        <w:t xml:space="preserve"> in some applications</w:t>
      </w:r>
      <w:r w:rsidRPr="00C10056">
        <w:rPr>
          <w:rFonts w:ascii="Arial" w:hAnsi="Arial" w:cs="Arial"/>
          <w:sz w:val="20"/>
        </w:rPr>
        <w:t xml:space="preserve"> and made their way into the market through continuous improvement and compete with more established sources across many applications.</w:t>
      </w:r>
    </w:p>
    <w:p w:rsidR="001F2CDE" w:rsidRDefault="001F2CDE" w:rsidP="0014799F">
      <w:pPr>
        <w:rPr>
          <w:rFonts w:ascii="Arial" w:hAnsi="Arial" w:cs="Arial"/>
          <w:sz w:val="20"/>
        </w:rPr>
      </w:pPr>
    </w:p>
    <w:p w:rsidR="001F2CDE" w:rsidRDefault="001F2CDE" w:rsidP="0014799F">
      <w:pPr>
        <w:rPr>
          <w:rFonts w:ascii="Arial" w:hAnsi="Arial" w:cs="Arial"/>
          <w:sz w:val="20"/>
        </w:rPr>
      </w:pPr>
      <w:r w:rsidRPr="004B14B6">
        <w:rPr>
          <w:rFonts w:ascii="Arial" w:hAnsi="Arial" w:cs="Arial"/>
          <w:sz w:val="20"/>
        </w:rPr>
        <w:t>Recessed</w:t>
      </w:r>
      <w:r w:rsidR="004B14B6" w:rsidRPr="00E20F5E">
        <w:rPr>
          <w:rFonts w:ascii="Arial" w:hAnsi="Arial" w:cs="Arial"/>
          <w:sz w:val="20"/>
        </w:rPr>
        <w:t xml:space="preserve"> rectangular light</w:t>
      </w:r>
      <w:r w:rsidRPr="00E20F5E">
        <w:rPr>
          <w:rFonts w:ascii="Arial" w:hAnsi="Arial" w:cs="Arial"/>
          <w:sz w:val="20"/>
        </w:rPr>
        <w:t xml:space="preserve"> fixtur</w:t>
      </w:r>
      <w:r w:rsidRPr="00C10056">
        <w:rPr>
          <w:rFonts w:ascii="Arial" w:hAnsi="Arial" w:cs="Arial"/>
          <w:sz w:val="20"/>
        </w:rPr>
        <w:t>es</w:t>
      </w:r>
      <w:r>
        <w:rPr>
          <w:rFonts w:ascii="Arial" w:hAnsi="Arial" w:cs="Arial"/>
          <w:sz w:val="20"/>
        </w:rPr>
        <w:t>, sometimes known as troffers,</w:t>
      </w:r>
      <w:r w:rsidRPr="00C10056">
        <w:rPr>
          <w:rFonts w:ascii="Arial" w:hAnsi="Arial" w:cs="Arial"/>
          <w:sz w:val="20"/>
        </w:rPr>
        <w:t xml:space="preserve"> have traditionally used </w:t>
      </w:r>
      <w:r>
        <w:rPr>
          <w:rFonts w:ascii="Arial" w:hAnsi="Arial" w:cs="Arial"/>
          <w:sz w:val="20"/>
        </w:rPr>
        <w:t>linear fluorescent light sources: T8 lamps predominate currently, with small T5 market share and a diminishing T12 presence in non-residential building stock. Similar fixture shapes are in use for much less common surface mountings in non-residential buildings, for spaces where recessed ceiling space is unavailable but ease of maintenance dictates a common lamp type. 4 foot lamps predominate, with 2 foot or U-bent 4 foot lamps also common.</w:t>
      </w:r>
    </w:p>
    <w:p w:rsidR="001F2CDE" w:rsidRDefault="001F2CDE" w:rsidP="0014799F">
      <w:pPr>
        <w:rPr>
          <w:rFonts w:ascii="Arial" w:hAnsi="Arial" w:cs="Arial"/>
          <w:sz w:val="20"/>
          <w:highlight w:val="yellow"/>
        </w:rPr>
      </w:pPr>
    </w:p>
    <w:p w:rsidR="0014799F" w:rsidRPr="0014799F" w:rsidRDefault="001F2CDE" w:rsidP="0014799F">
      <w:pPr>
        <w:rPr>
          <w:rFonts w:ascii="Arial" w:hAnsi="Arial" w:cs="Arial"/>
          <w:sz w:val="20"/>
          <w:highlight w:val="yellow"/>
        </w:rPr>
      </w:pPr>
      <w:r w:rsidRPr="001F2CDE">
        <w:rPr>
          <w:rFonts w:ascii="Arial" w:hAnsi="Arial" w:cs="Arial"/>
          <w:sz w:val="20"/>
        </w:rPr>
        <w:t>LED</w:t>
      </w:r>
      <w:r w:rsidR="0014799F" w:rsidRPr="001F2CDE">
        <w:rPr>
          <w:rFonts w:ascii="Arial" w:hAnsi="Arial" w:cs="Arial"/>
          <w:sz w:val="20"/>
        </w:rPr>
        <w:t xml:space="preserve"> products offer advantages over linear fluorescent products for the general commercial fixture market. LED chip efficacies now routinely surpass the best fluorescent lamp-and-ballast system efficacies, and the superior directional light control of LEDs allows even greater fixture efficacy improvements. LED products reduce maintenance costs relative to linear fluorescent products that require re</w:t>
      </w:r>
      <w:r w:rsidRPr="001F2CDE">
        <w:rPr>
          <w:rFonts w:ascii="Arial" w:hAnsi="Arial" w:cs="Arial"/>
          <w:sz w:val="20"/>
        </w:rPr>
        <w:t>-</w:t>
      </w:r>
      <w:r w:rsidR="0014799F" w:rsidRPr="001F2CDE">
        <w:rPr>
          <w:rFonts w:ascii="Arial" w:hAnsi="Arial" w:cs="Arial"/>
          <w:sz w:val="20"/>
        </w:rPr>
        <w:t>lamping.</w:t>
      </w:r>
      <w:r w:rsidR="0014799F" w:rsidRPr="001F2CDE">
        <w:rPr>
          <w:rFonts w:ascii="Arial" w:hAnsi="Arial" w:cs="Arial"/>
          <w:sz w:val="20"/>
          <w:szCs w:val="20"/>
        </w:rPr>
        <w:t xml:space="preserve"> Linear fluorescent lighting represents 72% of energy use in the commercial lighting sector and 80% of all commercial light fixtures, and therefore represents an enormous opportunity for potential LED savings.</w:t>
      </w:r>
      <w:r w:rsidR="00E41399">
        <w:rPr>
          <w:rStyle w:val="EndnoteReference"/>
          <w:rFonts w:ascii="Arial" w:hAnsi="Arial" w:cs="Arial"/>
          <w:sz w:val="20"/>
          <w:szCs w:val="20"/>
        </w:rPr>
        <w:endnoteReference w:id="1"/>
      </w:r>
    </w:p>
    <w:p w:rsidR="0014799F" w:rsidRPr="0014799F" w:rsidRDefault="0014799F" w:rsidP="0014799F">
      <w:pPr>
        <w:rPr>
          <w:rFonts w:ascii="Arial" w:hAnsi="Arial" w:cs="Arial"/>
          <w:sz w:val="20"/>
          <w:highlight w:val="yellow"/>
        </w:rPr>
      </w:pPr>
    </w:p>
    <w:p w:rsidR="0014799F" w:rsidRDefault="0014799F" w:rsidP="0014799F">
      <w:pPr>
        <w:rPr>
          <w:rFonts w:ascii="Arial" w:hAnsi="Arial" w:cs="Arial"/>
          <w:sz w:val="20"/>
        </w:rPr>
      </w:pPr>
      <w:r w:rsidRPr="001F2CDE">
        <w:rPr>
          <w:rFonts w:ascii="Arial" w:hAnsi="Arial" w:cs="Arial"/>
          <w:sz w:val="20"/>
        </w:rPr>
        <w:t xml:space="preserve">LED Ambient </w:t>
      </w:r>
      <w:r w:rsidR="001F2CDE" w:rsidRPr="001F2CDE">
        <w:rPr>
          <w:rFonts w:ascii="Arial" w:hAnsi="Arial" w:cs="Arial"/>
          <w:sz w:val="20"/>
        </w:rPr>
        <w:t>Commercial products</w:t>
      </w:r>
      <w:r w:rsidRPr="001F2CDE">
        <w:rPr>
          <w:rFonts w:ascii="Arial" w:hAnsi="Arial" w:cs="Arial"/>
          <w:sz w:val="20"/>
        </w:rPr>
        <w:t xml:space="preserve">, which are most commonly used in recessed ceilings but may also be surface-mounted or suspended, are available both as complete new fixtures (a.k.a. luminaires) and as </w:t>
      </w:r>
      <w:r w:rsidR="00F013FE" w:rsidRPr="009E22EA">
        <w:rPr>
          <w:rFonts w:ascii="Arial" w:hAnsi="Arial" w:cs="Arial"/>
          <w:sz w:val="20"/>
        </w:rPr>
        <w:t xml:space="preserve">integrated </w:t>
      </w:r>
      <w:r w:rsidRPr="009E22EA">
        <w:rPr>
          <w:rFonts w:ascii="Arial" w:hAnsi="Arial" w:cs="Arial"/>
          <w:sz w:val="20"/>
        </w:rPr>
        <w:t xml:space="preserve">retrofit </w:t>
      </w:r>
      <w:r w:rsidRPr="001F2CDE">
        <w:rPr>
          <w:rFonts w:ascii="Arial" w:hAnsi="Arial" w:cs="Arial"/>
          <w:sz w:val="20"/>
        </w:rPr>
        <w:t>kits. Both options include new LED chips, an LED driver or power supply, and optical control or lenses.  Retrofit kits allow these components to be fit into existing linear fluorescent metal housing, whereas new LED luminaires are sold complete with a new metal housing.</w:t>
      </w:r>
    </w:p>
    <w:p w:rsidR="0014799F" w:rsidRPr="0014799F" w:rsidRDefault="0014799F" w:rsidP="0014799F"/>
    <w:p w:rsidR="00F7335F" w:rsidRPr="00F7335F" w:rsidRDefault="00F7335F" w:rsidP="00917583">
      <w:pPr>
        <w:autoSpaceDE w:val="0"/>
        <w:autoSpaceDN w:val="0"/>
        <w:adjustRightInd w:val="0"/>
        <w:rPr>
          <w:rFonts w:ascii="Arial" w:hAnsi="Arial" w:cs="Arial"/>
          <w:sz w:val="20"/>
          <w:vertAlign w:val="superscript"/>
        </w:rPr>
      </w:pPr>
      <w:r>
        <w:rPr>
          <w:rFonts w:ascii="Arial" w:hAnsi="Arial" w:cs="Arial"/>
          <w:sz w:val="20"/>
        </w:rPr>
        <w:t xml:space="preserve">Two Emerging Technology reports commissioned by PG&amp;E’s ET Program have demonstrated savings potential from these measures and allowed PG&amp;E to refine the requirements and specifications for these measures: </w:t>
      </w:r>
      <w:r w:rsidRPr="00976985">
        <w:rPr>
          <w:rFonts w:ascii="Arial" w:hAnsi="Arial" w:cs="Arial"/>
          <w:sz w:val="20"/>
          <w:szCs w:val="20"/>
        </w:rPr>
        <w:t>ET12PGE1481</w:t>
      </w:r>
      <w:r>
        <w:rPr>
          <w:rFonts w:ascii="Arial" w:hAnsi="Arial" w:cs="Arial"/>
          <w:sz w:val="20"/>
          <w:szCs w:val="20"/>
        </w:rPr>
        <w:t xml:space="preserve"> and </w:t>
      </w:r>
      <w:r w:rsidRPr="00976985">
        <w:rPr>
          <w:rFonts w:ascii="Arial" w:hAnsi="Arial" w:cs="Arial"/>
          <w:sz w:val="20"/>
          <w:szCs w:val="20"/>
        </w:rPr>
        <w:t>ET11PGE3251</w:t>
      </w:r>
      <w:r>
        <w:rPr>
          <w:rFonts w:ascii="Arial" w:hAnsi="Arial" w:cs="Arial"/>
          <w:sz w:val="20"/>
          <w:szCs w:val="20"/>
        </w:rPr>
        <w:t>.</w:t>
      </w:r>
      <w:r w:rsidRPr="00F7335F">
        <w:rPr>
          <w:rFonts w:ascii="Arial" w:hAnsi="Arial" w:cs="Arial"/>
          <w:sz w:val="20"/>
          <w:szCs w:val="20"/>
          <w:vertAlign w:val="superscript"/>
        </w:rPr>
        <w:fldChar w:fldCharType="begin"/>
      </w:r>
      <w:r w:rsidRPr="00F7335F">
        <w:rPr>
          <w:rFonts w:ascii="Arial" w:hAnsi="Arial" w:cs="Arial"/>
          <w:sz w:val="20"/>
          <w:szCs w:val="20"/>
          <w:vertAlign w:val="superscript"/>
        </w:rPr>
        <w:instrText xml:space="preserve"> NOTEREF _Ref416193131 \h </w:instrText>
      </w:r>
      <w:r>
        <w:rPr>
          <w:rFonts w:ascii="Arial" w:hAnsi="Arial" w:cs="Arial"/>
          <w:sz w:val="20"/>
          <w:szCs w:val="20"/>
          <w:vertAlign w:val="superscript"/>
        </w:rPr>
        <w:instrText xml:space="preserve"> \* MERGEFORMAT </w:instrText>
      </w:r>
      <w:r w:rsidRPr="00F7335F">
        <w:rPr>
          <w:rFonts w:ascii="Arial" w:hAnsi="Arial" w:cs="Arial"/>
          <w:sz w:val="20"/>
          <w:szCs w:val="20"/>
          <w:vertAlign w:val="superscript"/>
        </w:rPr>
      </w:r>
      <w:r w:rsidRPr="00F7335F">
        <w:rPr>
          <w:rFonts w:ascii="Arial" w:hAnsi="Arial" w:cs="Arial"/>
          <w:sz w:val="20"/>
          <w:szCs w:val="20"/>
          <w:vertAlign w:val="superscript"/>
        </w:rPr>
        <w:fldChar w:fldCharType="separate"/>
      </w:r>
      <w:r w:rsidR="00486679">
        <w:rPr>
          <w:rFonts w:ascii="Arial" w:hAnsi="Arial" w:cs="Arial"/>
          <w:sz w:val="20"/>
          <w:szCs w:val="20"/>
          <w:vertAlign w:val="superscript"/>
        </w:rPr>
        <w:t>3</w:t>
      </w:r>
      <w:r w:rsidRPr="00F7335F">
        <w:rPr>
          <w:rFonts w:ascii="Arial" w:hAnsi="Arial" w:cs="Arial"/>
          <w:sz w:val="20"/>
          <w:szCs w:val="20"/>
          <w:vertAlign w:val="superscript"/>
        </w:rPr>
        <w:fldChar w:fldCharType="end"/>
      </w:r>
      <w:proofErr w:type="gramStart"/>
      <w:r w:rsidRPr="00F7335F">
        <w:rPr>
          <w:rFonts w:ascii="Arial" w:hAnsi="Arial" w:cs="Arial"/>
          <w:sz w:val="20"/>
          <w:szCs w:val="20"/>
          <w:vertAlign w:val="superscript"/>
        </w:rPr>
        <w:t>,</w:t>
      </w:r>
      <w:proofErr w:type="gramEnd"/>
      <w:r w:rsidRPr="00F7335F">
        <w:rPr>
          <w:rFonts w:ascii="Arial" w:hAnsi="Arial" w:cs="Arial"/>
          <w:sz w:val="20"/>
          <w:szCs w:val="20"/>
          <w:vertAlign w:val="superscript"/>
        </w:rPr>
        <w:fldChar w:fldCharType="begin"/>
      </w:r>
      <w:r w:rsidRPr="00F7335F">
        <w:rPr>
          <w:rFonts w:ascii="Arial" w:hAnsi="Arial" w:cs="Arial"/>
          <w:sz w:val="20"/>
          <w:szCs w:val="20"/>
          <w:vertAlign w:val="superscript"/>
        </w:rPr>
        <w:instrText xml:space="preserve"> NOTEREF _Ref416193138 \h </w:instrText>
      </w:r>
      <w:r>
        <w:rPr>
          <w:rFonts w:ascii="Arial" w:hAnsi="Arial" w:cs="Arial"/>
          <w:sz w:val="20"/>
          <w:szCs w:val="20"/>
          <w:vertAlign w:val="superscript"/>
        </w:rPr>
        <w:instrText xml:space="preserve"> \* MERGEFORMAT </w:instrText>
      </w:r>
      <w:r w:rsidRPr="00F7335F">
        <w:rPr>
          <w:rFonts w:ascii="Arial" w:hAnsi="Arial" w:cs="Arial"/>
          <w:sz w:val="20"/>
          <w:szCs w:val="20"/>
          <w:vertAlign w:val="superscript"/>
        </w:rPr>
      </w:r>
      <w:r w:rsidRPr="00F7335F">
        <w:rPr>
          <w:rFonts w:ascii="Arial" w:hAnsi="Arial" w:cs="Arial"/>
          <w:sz w:val="20"/>
          <w:szCs w:val="20"/>
          <w:vertAlign w:val="superscript"/>
        </w:rPr>
        <w:fldChar w:fldCharType="separate"/>
      </w:r>
      <w:r w:rsidR="00486679">
        <w:rPr>
          <w:rFonts w:ascii="Arial" w:hAnsi="Arial" w:cs="Arial"/>
          <w:sz w:val="20"/>
          <w:szCs w:val="20"/>
          <w:vertAlign w:val="superscript"/>
        </w:rPr>
        <w:t>4</w:t>
      </w:r>
      <w:r w:rsidRPr="00F7335F">
        <w:rPr>
          <w:rFonts w:ascii="Arial" w:hAnsi="Arial" w:cs="Arial"/>
          <w:sz w:val="20"/>
          <w:szCs w:val="20"/>
          <w:vertAlign w:val="superscript"/>
        </w:rPr>
        <w:fldChar w:fldCharType="end"/>
      </w:r>
    </w:p>
    <w:p w:rsidR="002A22A4" w:rsidRDefault="002A22A4" w:rsidP="00917583">
      <w:pPr>
        <w:autoSpaceDE w:val="0"/>
        <w:autoSpaceDN w:val="0"/>
        <w:adjustRightInd w:val="0"/>
        <w:rPr>
          <w:rFonts w:ascii="Arial" w:hAnsi="Arial" w:cs="Arial"/>
          <w:sz w:val="20"/>
        </w:rPr>
      </w:pPr>
    </w:p>
    <w:p w:rsidR="002A22A4" w:rsidRDefault="002A22A4" w:rsidP="00917583">
      <w:pPr>
        <w:autoSpaceDE w:val="0"/>
        <w:autoSpaceDN w:val="0"/>
        <w:adjustRightInd w:val="0"/>
        <w:rPr>
          <w:rFonts w:ascii="Arial" w:hAnsi="Arial" w:cs="Arial"/>
          <w:sz w:val="20"/>
        </w:rPr>
      </w:pPr>
      <w:r>
        <w:rPr>
          <w:rFonts w:ascii="Arial" w:hAnsi="Arial" w:cs="Arial"/>
          <w:sz w:val="20"/>
        </w:rPr>
        <w:t xml:space="preserve">Improvements in LED technology, particularly </w:t>
      </w:r>
      <w:r w:rsidR="008F5A5D">
        <w:rPr>
          <w:rFonts w:ascii="Arial" w:hAnsi="Arial" w:cs="Arial"/>
          <w:sz w:val="20"/>
        </w:rPr>
        <w:t>improving efficacies able to compete with and exceed the best T8 lamp-and-ballast systems producing over 95 lumens per Watt</w:t>
      </w:r>
      <w:r>
        <w:rPr>
          <w:rFonts w:ascii="Arial" w:hAnsi="Arial" w:cs="Arial"/>
          <w:sz w:val="20"/>
        </w:rPr>
        <w:t xml:space="preserve">, have made </w:t>
      </w:r>
      <w:r w:rsidR="00332E5C">
        <w:rPr>
          <w:rFonts w:ascii="Arial" w:hAnsi="Arial" w:cs="Arial"/>
          <w:sz w:val="20"/>
        </w:rPr>
        <w:t xml:space="preserve">LED </w:t>
      </w:r>
      <w:r w:rsidR="008F5A5D">
        <w:rPr>
          <w:rFonts w:ascii="Arial" w:hAnsi="Arial" w:cs="Arial"/>
          <w:sz w:val="20"/>
        </w:rPr>
        <w:t xml:space="preserve">panel </w:t>
      </w:r>
      <w:r w:rsidR="00332E5C">
        <w:rPr>
          <w:rFonts w:ascii="Arial" w:hAnsi="Arial" w:cs="Arial"/>
          <w:sz w:val="20"/>
        </w:rPr>
        <w:t>fixtures feasible. These are fixt</w:t>
      </w:r>
      <w:r w:rsidR="008F5A5D">
        <w:rPr>
          <w:rFonts w:ascii="Arial" w:hAnsi="Arial" w:cs="Arial"/>
          <w:sz w:val="20"/>
        </w:rPr>
        <w:t>ures with output of at least 1,500 lumens.  Currently DLC requires</w:t>
      </w:r>
      <w:r w:rsidR="00332E5C">
        <w:rPr>
          <w:rFonts w:ascii="Arial" w:hAnsi="Arial" w:cs="Arial"/>
          <w:sz w:val="20"/>
        </w:rPr>
        <w:t xml:space="preserve"> LED </w:t>
      </w:r>
      <w:r w:rsidR="008F5A5D">
        <w:rPr>
          <w:rFonts w:ascii="Arial" w:hAnsi="Arial" w:cs="Arial"/>
          <w:sz w:val="20"/>
        </w:rPr>
        <w:t>panels and kits</w:t>
      </w:r>
      <w:r w:rsidR="00332E5C">
        <w:rPr>
          <w:rFonts w:ascii="Arial" w:hAnsi="Arial" w:cs="Arial"/>
          <w:sz w:val="20"/>
        </w:rPr>
        <w:t xml:space="preserve"> achieve output</w:t>
      </w:r>
      <w:r w:rsidR="008F5A5D">
        <w:rPr>
          <w:rFonts w:ascii="Arial" w:hAnsi="Arial" w:cs="Arial"/>
          <w:sz w:val="20"/>
        </w:rPr>
        <w:t xml:space="preserve"> of at least 1,500 lumens.  Panels eligible for these measure codes shall have initial light output rated between </w:t>
      </w:r>
      <w:r w:rsidR="008F5A5D">
        <w:rPr>
          <w:rFonts w:ascii="Arial" w:hAnsi="Arial" w:cs="Arial"/>
          <w:color w:val="000000"/>
          <w:sz w:val="20"/>
        </w:rPr>
        <w:t>2</w:t>
      </w:r>
      <w:r w:rsidR="00F013FE">
        <w:rPr>
          <w:rFonts w:ascii="Arial" w:hAnsi="Arial" w:cs="Arial"/>
          <w:color w:val="FF0000"/>
          <w:sz w:val="20"/>
        </w:rPr>
        <w:t>,</w:t>
      </w:r>
      <w:r w:rsidR="008F5A5D">
        <w:rPr>
          <w:rFonts w:ascii="Arial" w:hAnsi="Arial" w:cs="Arial"/>
          <w:color w:val="000000"/>
          <w:sz w:val="20"/>
        </w:rPr>
        <w:t>200 lumens and 6</w:t>
      </w:r>
      <w:r w:rsidR="00F013FE">
        <w:rPr>
          <w:rFonts w:ascii="Arial" w:hAnsi="Arial" w:cs="Arial"/>
          <w:color w:val="FF0000"/>
          <w:sz w:val="20"/>
        </w:rPr>
        <w:t>,</w:t>
      </w:r>
      <w:r w:rsidR="008F5A5D">
        <w:rPr>
          <w:rFonts w:ascii="Arial" w:hAnsi="Arial" w:cs="Arial"/>
          <w:color w:val="000000"/>
          <w:sz w:val="20"/>
        </w:rPr>
        <w:t xml:space="preserve">500 </w:t>
      </w:r>
      <w:r w:rsidR="00332E5C">
        <w:rPr>
          <w:rFonts w:ascii="Arial" w:hAnsi="Arial" w:cs="Arial"/>
          <w:sz w:val="20"/>
        </w:rPr>
        <w:t>lumens.</w:t>
      </w:r>
    </w:p>
    <w:p w:rsidR="00332E5C" w:rsidRDefault="00332E5C" w:rsidP="00917583">
      <w:pPr>
        <w:autoSpaceDE w:val="0"/>
        <w:autoSpaceDN w:val="0"/>
        <w:adjustRightInd w:val="0"/>
        <w:rPr>
          <w:rFonts w:ascii="Arial" w:hAnsi="Arial" w:cs="Arial"/>
          <w:sz w:val="20"/>
        </w:rPr>
      </w:pPr>
    </w:p>
    <w:p w:rsidR="00332E5C" w:rsidRDefault="00332E5C" w:rsidP="00917583">
      <w:pPr>
        <w:autoSpaceDE w:val="0"/>
        <w:autoSpaceDN w:val="0"/>
        <w:adjustRightInd w:val="0"/>
        <w:rPr>
          <w:rFonts w:ascii="Arial" w:hAnsi="Arial" w:cs="Arial"/>
          <w:sz w:val="20"/>
        </w:rPr>
      </w:pPr>
      <w:r w:rsidRPr="009E22EA">
        <w:rPr>
          <w:rFonts w:ascii="Arial" w:hAnsi="Arial" w:cs="Arial"/>
          <w:sz w:val="20"/>
        </w:rPr>
        <w:t xml:space="preserve">LED fixtures under this </w:t>
      </w:r>
      <w:proofErr w:type="spellStart"/>
      <w:r w:rsidRPr="009E22EA">
        <w:rPr>
          <w:rFonts w:ascii="Arial" w:hAnsi="Arial" w:cs="Arial"/>
          <w:sz w:val="20"/>
        </w:rPr>
        <w:t>workpaper</w:t>
      </w:r>
      <w:proofErr w:type="spellEnd"/>
      <w:r w:rsidRPr="009E22EA">
        <w:rPr>
          <w:rFonts w:ascii="Arial" w:hAnsi="Arial" w:cs="Arial"/>
          <w:sz w:val="20"/>
        </w:rPr>
        <w:t xml:space="preserve"> are assigned a measure code according to </w:t>
      </w:r>
      <w:r w:rsidR="008F5A5D" w:rsidRPr="009E22EA">
        <w:rPr>
          <w:rFonts w:ascii="Arial" w:hAnsi="Arial" w:cs="Arial"/>
          <w:sz w:val="20"/>
        </w:rPr>
        <w:t>efficacy</w:t>
      </w:r>
      <w:r w:rsidR="00F013FE" w:rsidRPr="009E22EA">
        <w:rPr>
          <w:rFonts w:ascii="Arial" w:hAnsi="Arial" w:cs="Arial"/>
          <w:sz w:val="20"/>
        </w:rPr>
        <w:t>, fixture type, and fixture size</w:t>
      </w:r>
      <w:r w:rsidRPr="009E22EA">
        <w:rPr>
          <w:rFonts w:ascii="Arial" w:hAnsi="Arial" w:cs="Arial"/>
          <w:sz w:val="20"/>
        </w:rPr>
        <w:t>.</w:t>
      </w:r>
      <w:r w:rsidR="008F5A5D" w:rsidRPr="009E22EA">
        <w:rPr>
          <w:rFonts w:ascii="Arial" w:hAnsi="Arial" w:cs="Arial"/>
          <w:sz w:val="20"/>
        </w:rPr>
        <w:t xml:space="preserve"> </w:t>
      </w:r>
      <w:r w:rsidR="008F5A5D">
        <w:rPr>
          <w:rFonts w:ascii="Arial" w:hAnsi="Arial" w:cs="Arial"/>
          <w:sz w:val="20"/>
        </w:rPr>
        <w:t xml:space="preserve">The energy impact common unit is the </w:t>
      </w:r>
      <w:proofErr w:type="spellStart"/>
      <w:r w:rsidR="008F5A5D">
        <w:rPr>
          <w:rFonts w:ascii="Arial" w:hAnsi="Arial" w:cs="Arial"/>
          <w:sz w:val="20"/>
        </w:rPr>
        <w:t>kilolumen</w:t>
      </w:r>
      <w:proofErr w:type="spellEnd"/>
      <w:r w:rsidR="008F5A5D">
        <w:rPr>
          <w:rFonts w:ascii="Arial" w:hAnsi="Arial" w:cs="Arial"/>
          <w:sz w:val="20"/>
        </w:rPr>
        <w:t xml:space="preserve"> of initial rated light output for the LED fixture, according to the DLC</w:t>
      </w:r>
      <w:r w:rsidR="007B2D41">
        <w:rPr>
          <w:rFonts w:ascii="Arial" w:hAnsi="Arial" w:cs="Arial"/>
          <w:sz w:val="20"/>
        </w:rPr>
        <w:t xml:space="preserve"> listing. </w:t>
      </w:r>
    </w:p>
    <w:p w:rsidR="00EE3912" w:rsidRDefault="00EE3912" w:rsidP="00917583">
      <w:pPr>
        <w:autoSpaceDE w:val="0"/>
        <w:autoSpaceDN w:val="0"/>
        <w:adjustRightInd w:val="0"/>
        <w:rPr>
          <w:rFonts w:ascii="Arial" w:hAnsi="Arial" w:cs="Arial"/>
          <w:sz w:val="20"/>
        </w:rPr>
      </w:pPr>
    </w:p>
    <w:p w:rsidR="00C7064F" w:rsidRDefault="00917583" w:rsidP="00332E5C">
      <w:pPr>
        <w:autoSpaceDE w:val="0"/>
        <w:autoSpaceDN w:val="0"/>
        <w:adjustRightInd w:val="0"/>
      </w:pPr>
      <w:r w:rsidRPr="0008537D">
        <w:rPr>
          <w:rFonts w:ascii="Arial" w:hAnsi="Arial" w:cs="Arial"/>
          <w:sz w:val="20"/>
        </w:rPr>
        <w:t xml:space="preserve">This </w:t>
      </w:r>
      <w:proofErr w:type="spellStart"/>
      <w:r w:rsidRPr="0008537D">
        <w:rPr>
          <w:rFonts w:ascii="Arial" w:hAnsi="Arial" w:cs="Arial"/>
          <w:sz w:val="20"/>
        </w:rPr>
        <w:t>workpaper</w:t>
      </w:r>
      <w:proofErr w:type="spellEnd"/>
      <w:r w:rsidRPr="0008537D">
        <w:rPr>
          <w:rFonts w:ascii="Arial" w:hAnsi="Arial" w:cs="Arial"/>
          <w:sz w:val="20"/>
        </w:rPr>
        <w:t xml:space="preserve"> describes the energy savings associated with </w:t>
      </w:r>
      <w:r w:rsidR="009E22EA" w:rsidRPr="009E22EA">
        <w:rPr>
          <w:rFonts w:ascii="Arial" w:hAnsi="Arial" w:cs="Arial"/>
          <w:sz w:val="20"/>
        </w:rPr>
        <w:t>the</w:t>
      </w:r>
      <w:r w:rsidRPr="0008537D">
        <w:rPr>
          <w:rFonts w:ascii="Arial" w:hAnsi="Arial" w:cs="Arial"/>
          <w:sz w:val="20"/>
        </w:rPr>
        <w:t xml:space="preserve"> replacement of </w:t>
      </w:r>
      <w:r w:rsidR="00B67AB6">
        <w:rPr>
          <w:rFonts w:ascii="Arial" w:hAnsi="Arial" w:cs="Arial"/>
          <w:sz w:val="20"/>
        </w:rPr>
        <w:t>linear fluorescent</w:t>
      </w:r>
      <w:r w:rsidR="00332E5C">
        <w:rPr>
          <w:rFonts w:ascii="Arial" w:hAnsi="Arial" w:cs="Arial"/>
          <w:sz w:val="20"/>
        </w:rPr>
        <w:t xml:space="preserve"> fixtures</w:t>
      </w:r>
      <w:r w:rsidRPr="0008537D">
        <w:rPr>
          <w:rFonts w:ascii="Arial" w:hAnsi="Arial" w:cs="Arial"/>
          <w:sz w:val="20"/>
        </w:rPr>
        <w:t>.</w:t>
      </w:r>
      <w:r w:rsidRPr="0008537D">
        <w:rPr>
          <w:sz w:val="20"/>
        </w:rPr>
        <w:t xml:space="preserve"> </w:t>
      </w:r>
    </w:p>
    <w:p w:rsidR="00FA5F99" w:rsidRPr="00746B00" w:rsidRDefault="009C5CA7" w:rsidP="00FA5F99">
      <w:pPr>
        <w:pStyle w:val="Heading2"/>
      </w:pPr>
      <w:bookmarkStart w:id="16" w:name="_Toc438457176"/>
      <w:r>
        <w:lastRenderedPageBreak/>
        <w:t>1.</w:t>
      </w:r>
      <w:r w:rsidR="00806070">
        <w:t>3</w:t>
      </w:r>
      <w:r>
        <w:t xml:space="preserve"> </w:t>
      </w:r>
      <w:r w:rsidR="00FA5F99" w:rsidRPr="00746B00">
        <w:t>Measure Application Type</w:t>
      </w:r>
      <w:bookmarkEnd w:id="16"/>
    </w:p>
    <w:p w:rsidR="00FA5F99" w:rsidRPr="00502494" w:rsidRDefault="00FA5F99" w:rsidP="00FA5F99">
      <w:pPr>
        <w:rPr>
          <w:rFonts w:ascii="Arial" w:hAnsi="Arial" w:cs="Arial"/>
          <w:sz w:val="20"/>
          <w:szCs w:val="20"/>
        </w:rPr>
      </w:pPr>
      <w:r w:rsidRPr="00502494">
        <w:rPr>
          <w:rFonts w:ascii="Arial" w:hAnsi="Arial" w:cs="Arial"/>
          <w:sz w:val="20"/>
          <w:szCs w:val="20"/>
        </w:rPr>
        <w:t xml:space="preserve">The DEER Measure Cost Data Users Guide found on </w:t>
      </w:r>
      <w:hyperlink r:id="rId13"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rsidR="00FA5F99" w:rsidRPr="00746B00" w:rsidRDefault="00FA5F99" w:rsidP="00FA5F99">
      <w:pPr>
        <w:rPr>
          <w:rFonts w:ascii="Arial" w:hAnsi="Arial" w:cs="Arial"/>
          <w:i/>
        </w:rPr>
      </w:pPr>
    </w:p>
    <w:p w:rsidR="00FA5F99" w:rsidRPr="002E6C39" w:rsidRDefault="00FA5F99" w:rsidP="00FA5F99">
      <w:pPr>
        <w:pStyle w:val="Caption"/>
        <w:keepNext/>
        <w:rPr>
          <w:sz w:val="26"/>
          <w:szCs w:val="26"/>
        </w:rPr>
      </w:pPr>
      <w:bookmarkStart w:id="17" w:name="_Toc324427642"/>
      <w:bookmarkStart w:id="18" w:name="_Toc383697824"/>
      <w:bookmarkStart w:id="19" w:name="_Toc438457209"/>
      <w:r w:rsidRPr="002E6C39">
        <w:t xml:space="preserve">Table </w:t>
      </w:r>
      <w:fldSimple w:instr=" SEQ Table \* ARABIC ">
        <w:r w:rsidR="00CA1504">
          <w:rPr>
            <w:noProof/>
          </w:rPr>
          <w:t>2</w:t>
        </w:r>
      </w:fldSimple>
      <w:bookmarkStart w:id="20" w:name="RANGE!B222"/>
      <w:r w:rsidRPr="002E6C39">
        <w:rPr>
          <w:sz w:val="26"/>
          <w:szCs w:val="26"/>
        </w:rPr>
        <w:t xml:space="preserve"> </w:t>
      </w:r>
      <w:r w:rsidR="009F47C3">
        <w:rPr>
          <w:sz w:val="26"/>
          <w:szCs w:val="26"/>
        </w:rPr>
        <w:t xml:space="preserve">- </w:t>
      </w:r>
      <w:r w:rsidRPr="002E6C39">
        <w:t>Measure Application Type</w:t>
      </w:r>
      <w:bookmarkEnd w:id="17"/>
      <w:bookmarkEnd w:id="20"/>
      <w:r w:rsidRPr="002E6C39">
        <w:rPr>
          <w:rStyle w:val="EndnoteReference"/>
        </w:rPr>
        <w:endnoteReference w:id="2"/>
      </w:r>
      <w:bookmarkEnd w:id="18"/>
      <w:bookmarkEnd w:id="19"/>
    </w:p>
    <w:p w:rsidR="00FA5F99" w:rsidRDefault="00FA5F99" w:rsidP="00FA5F99">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r w:rsidR="009E22EA" w:rsidRPr="0019745A">
        <w:rPr>
          <w:rFonts w:ascii="Arial" w:hAnsi="Arial" w:cs="Arial"/>
          <w:sz w:val="20"/>
          <w:szCs w:val="20"/>
        </w:rPr>
        <w:t>Implementation</w:t>
      </w:r>
      <w:r w:rsidRPr="0019745A">
        <w:rPr>
          <w:rFonts w:ascii="Arial" w:hAnsi="Arial" w:cs="Arial"/>
          <w:sz w:val="20"/>
          <w:szCs w:val="20"/>
        </w:rPr>
        <w:t xml:space="preserve"> table in DEER2011.</w:t>
      </w:r>
      <w:proofErr w:type="gramEnd"/>
    </w:p>
    <w:p w:rsidR="00FA5F99" w:rsidRPr="00746B00" w:rsidRDefault="00FA5F99" w:rsidP="00FA5F99">
      <w:pPr>
        <w:keepNext/>
        <w:rPr>
          <w:rFonts w:ascii="Arial" w:hAnsi="Arial" w:cs="Arial"/>
        </w:rPr>
      </w:pPr>
    </w:p>
    <w:tbl>
      <w:tblPr>
        <w:tblW w:w="9090" w:type="dxa"/>
        <w:tblInd w:w="108" w:type="dxa"/>
        <w:tblLook w:val="04A0" w:firstRow="1" w:lastRow="0" w:firstColumn="1" w:lastColumn="0" w:noHBand="0" w:noVBand="1"/>
      </w:tblPr>
      <w:tblGrid>
        <w:gridCol w:w="900"/>
        <w:gridCol w:w="2610"/>
        <w:gridCol w:w="5580"/>
      </w:tblGrid>
      <w:tr w:rsidR="00FA5F99" w:rsidRPr="00746B00" w:rsidTr="005C31D5">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FA5F99" w:rsidRPr="00746B00" w:rsidRDefault="00FA5F99" w:rsidP="005C31D5">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FA5F99" w:rsidRPr="00746B00" w:rsidRDefault="00FA5F99" w:rsidP="005C31D5">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FA5F99" w:rsidRPr="00746B00" w:rsidRDefault="00FA5F99" w:rsidP="005C31D5">
            <w:pPr>
              <w:keepNext/>
              <w:rPr>
                <w:rFonts w:ascii="Arial" w:hAnsi="Arial" w:cs="Arial"/>
                <w:b/>
                <w:color w:val="000000"/>
                <w:szCs w:val="22"/>
              </w:rPr>
            </w:pPr>
            <w:r w:rsidRPr="00746B00">
              <w:rPr>
                <w:rFonts w:ascii="Arial" w:hAnsi="Arial" w:cs="Arial"/>
                <w:b/>
                <w:color w:val="000000"/>
                <w:szCs w:val="22"/>
              </w:rPr>
              <w:t>Comment</w:t>
            </w:r>
          </w:p>
        </w:tc>
      </w:tr>
      <w:tr w:rsidR="00FA5F99" w:rsidRPr="00746B00" w:rsidTr="005C31D5">
        <w:trPr>
          <w:trHeight w:val="600"/>
        </w:trPr>
        <w:tc>
          <w:tcPr>
            <w:tcW w:w="900" w:type="dxa"/>
            <w:tcBorders>
              <w:top w:val="nil"/>
              <w:left w:val="single" w:sz="4" w:space="0" w:color="auto"/>
              <w:bottom w:val="nil"/>
              <w:right w:val="nil"/>
            </w:tcBorders>
            <w:shd w:val="clear" w:color="auto" w:fill="auto"/>
            <w:noWrap/>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FA5F99" w:rsidRPr="00746B00" w:rsidTr="005C31D5">
        <w:trPr>
          <w:trHeight w:val="600"/>
        </w:trPr>
        <w:tc>
          <w:tcPr>
            <w:tcW w:w="900" w:type="dxa"/>
            <w:tcBorders>
              <w:top w:val="nil"/>
              <w:left w:val="single" w:sz="4" w:space="0" w:color="auto"/>
              <w:bottom w:val="nil"/>
              <w:right w:val="nil"/>
            </w:tcBorders>
            <w:shd w:val="clear" w:color="auto" w:fill="auto"/>
            <w:noWrap/>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FA5F99" w:rsidRPr="00746B00" w:rsidTr="005C31D5">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FA5F99" w:rsidRPr="0019745A" w:rsidRDefault="00FA5F99" w:rsidP="005C31D5">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FA5F99" w:rsidRPr="0019745A" w:rsidRDefault="00FA5F99" w:rsidP="005C31D5">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FA5F99" w:rsidRPr="0019745A" w:rsidRDefault="00FA5F99" w:rsidP="005C31D5">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9B2260" w:rsidRDefault="009B2260" w:rsidP="00FA5F99">
      <w:pPr>
        <w:rPr>
          <w:rFonts w:ascii="Arial" w:hAnsi="Arial" w:cs="Arial"/>
          <w:sz w:val="20"/>
          <w:szCs w:val="20"/>
        </w:rPr>
      </w:pPr>
    </w:p>
    <w:p w:rsidR="00FA5F99" w:rsidRPr="00D42B26" w:rsidRDefault="00FA5F99" w:rsidP="00FA5F99">
      <w:pPr>
        <w:rPr>
          <w:rFonts w:ascii="Arial" w:hAnsi="Arial" w:cs="Arial"/>
        </w:rPr>
      </w:pPr>
      <w:r w:rsidRPr="0019745A">
        <w:rPr>
          <w:rFonts w:ascii="Arial" w:hAnsi="Arial" w:cs="Arial"/>
          <w:sz w:val="20"/>
          <w:szCs w:val="20"/>
        </w:rPr>
        <w:t xml:space="preserve">All the measures within this </w:t>
      </w:r>
      <w:proofErr w:type="spellStart"/>
      <w:r w:rsidRPr="0019745A">
        <w:rPr>
          <w:rFonts w:ascii="Arial" w:hAnsi="Arial" w:cs="Arial"/>
          <w:sz w:val="20"/>
          <w:szCs w:val="20"/>
        </w:rPr>
        <w:t>workpaper</w:t>
      </w:r>
      <w:proofErr w:type="spellEnd"/>
      <w:r w:rsidRPr="0019745A">
        <w:rPr>
          <w:rFonts w:ascii="Arial" w:hAnsi="Arial" w:cs="Arial"/>
          <w:sz w:val="20"/>
          <w:szCs w:val="20"/>
        </w:rPr>
        <w:t xml:space="preserve"> are </w:t>
      </w:r>
      <w:r w:rsidR="009B2260">
        <w:rPr>
          <w:rFonts w:ascii="Arial" w:hAnsi="Arial" w:cs="Arial"/>
          <w:sz w:val="20"/>
          <w:szCs w:val="20"/>
        </w:rPr>
        <w:t xml:space="preserve">calculated for both </w:t>
      </w:r>
      <w:r w:rsidRPr="0019745A">
        <w:rPr>
          <w:rFonts w:ascii="Arial" w:hAnsi="Arial" w:cs="Arial"/>
          <w:sz w:val="20"/>
          <w:szCs w:val="20"/>
        </w:rPr>
        <w:t>ROB</w:t>
      </w:r>
      <w:r w:rsidR="009B2260">
        <w:rPr>
          <w:rFonts w:ascii="Arial" w:hAnsi="Arial" w:cs="Arial"/>
          <w:sz w:val="20"/>
          <w:szCs w:val="20"/>
        </w:rPr>
        <w:t xml:space="preserve"> and NC</w:t>
      </w:r>
      <w:r w:rsidRPr="0019745A">
        <w:rPr>
          <w:rFonts w:ascii="Arial" w:hAnsi="Arial" w:cs="Arial"/>
          <w:sz w:val="20"/>
          <w:szCs w:val="20"/>
        </w:rPr>
        <w:t xml:space="preserve">. </w:t>
      </w:r>
    </w:p>
    <w:p w:rsidR="00806070" w:rsidRDefault="005B5BB4" w:rsidP="00FA5F99">
      <w:pPr>
        <w:pStyle w:val="Heading2"/>
        <w:keepNext w:val="0"/>
      </w:pPr>
      <w:r>
        <w:rPr>
          <w:sz w:val="20"/>
          <w:szCs w:val="20"/>
        </w:rPr>
        <w:t xml:space="preserve"> </w:t>
      </w:r>
      <w:bookmarkStart w:id="21" w:name="_Toc438457177"/>
      <w:r w:rsidR="00806070">
        <w:t>1.4 Product Base Case and Measure Case Data</w:t>
      </w:r>
      <w:bookmarkEnd w:id="21"/>
    </w:p>
    <w:p w:rsidR="00BF50D8" w:rsidRDefault="00BF50D8" w:rsidP="005702B7">
      <w:pPr>
        <w:rPr>
          <w:rFonts w:ascii="Arial" w:hAnsi="Arial" w:cs="Arial"/>
          <w:sz w:val="20"/>
          <w:szCs w:val="20"/>
        </w:rPr>
      </w:pPr>
      <w:r w:rsidRPr="003B2621">
        <w:rPr>
          <w:rFonts w:ascii="Arial" w:hAnsi="Arial" w:cs="Arial"/>
          <w:sz w:val="20"/>
          <w:szCs w:val="20"/>
        </w:rPr>
        <w:t>Eligible</w:t>
      </w:r>
      <w:r w:rsidR="007B2D41" w:rsidRPr="003B2621">
        <w:rPr>
          <w:rFonts w:ascii="Arial" w:hAnsi="Arial" w:cs="Arial"/>
          <w:sz w:val="20"/>
          <w:szCs w:val="20"/>
        </w:rPr>
        <w:t xml:space="preserve"> </w:t>
      </w:r>
      <w:r w:rsidRPr="003B2621">
        <w:rPr>
          <w:rFonts w:ascii="Arial" w:hAnsi="Arial" w:cs="Arial"/>
          <w:sz w:val="20"/>
          <w:szCs w:val="20"/>
        </w:rPr>
        <w:t>m</w:t>
      </w:r>
      <w:r w:rsidR="007B2D41" w:rsidRPr="003B2621">
        <w:rPr>
          <w:rFonts w:ascii="Arial" w:hAnsi="Arial" w:cs="Arial"/>
          <w:sz w:val="20"/>
          <w:szCs w:val="20"/>
        </w:rPr>
        <w:t xml:space="preserve">easure </w:t>
      </w:r>
      <w:r w:rsidRPr="003B2621">
        <w:rPr>
          <w:rFonts w:ascii="Arial" w:hAnsi="Arial" w:cs="Arial"/>
          <w:sz w:val="20"/>
          <w:szCs w:val="20"/>
        </w:rPr>
        <w:t>c</w:t>
      </w:r>
      <w:r w:rsidR="007B2D41" w:rsidRPr="003B2621">
        <w:rPr>
          <w:rFonts w:ascii="Arial" w:hAnsi="Arial" w:cs="Arial"/>
          <w:sz w:val="20"/>
          <w:szCs w:val="20"/>
        </w:rPr>
        <w:t>ase fixtures for these measure codes are</w:t>
      </w:r>
      <w:r w:rsidRPr="003B2621">
        <w:rPr>
          <w:rFonts w:ascii="Arial" w:hAnsi="Arial" w:cs="Arial"/>
          <w:sz w:val="20"/>
          <w:szCs w:val="20"/>
        </w:rPr>
        <w:t xml:space="preserve"> LED</w:t>
      </w:r>
      <w:r w:rsidR="007B2D41" w:rsidRPr="003B2621">
        <w:rPr>
          <w:rFonts w:ascii="Arial" w:hAnsi="Arial" w:cs="Arial"/>
          <w:sz w:val="20"/>
          <w:szCs w:val="20"/>
        </w:rPr>
        <w:t xml:space="preserve"> pa</w:t>
      </w:r>
      <w:r w:rsidRPr="003B2621">
        <w:rPr>
          <w:rFonts w:ascii="Arial" w:hAnsi="Arial" w:cs="Arial"/>
          <w:sz w:val="20"/>
          <w:szCs w:val="20"/>
        </w:rPr>
        <w:t xml:space="preserve">nels </w:t>
      </w:r>
      <w:r w:rsidR="007B2D41" w:rsidRPr="003B2621">
        <w:rPr>
          <w:rFonts w:ascii="Arial" w:hAnsi="Arial" w:cs="Arial"/>
          <w:sz w:val="20"/>
          <w:szCs w:val="20"/>
        </w:rPr>
        <w:t>with initial light output between 2</w:t>
      </w:r>
      <w:r w:rsidR="00F013FE">
        <w:rPr>
          <w:rFonts w:ascii="Arial" w:hAnsi="Arial" w:cs="Arial"/>
          <w:color w:val="FF0000"/>
          <w:sz w:val="20"/>
          <w:szCs w:val="20"/>
        </w:rPr>
        <w:t>,</w:t>
      </w:r>
      <w:r w:rsidRPr="003B2621">
        <w:rPr>
          <w:rFonts w:ascii="Arial" w:hAnsi="Arial" w:cs="Arial"/>
          <w:sz w:val="20"/>
          <w:szCs w:val="20"/>
        </w:rPr>
        <w:t>200 and 6</w:t>
      </w:r>
      <w:r w:rsidR="00F013FE">
        <w:rPr>
          <w:rFonts w:ascii="Arial" w:hAnsi="Arial" w:cs="Arial"/>
          <w:color w:val="FF0000"/>
          <w:sz w:val="20"/>
          <w:szCs w:val="20"/>
        </w:rPr>
        <w:t>,</w:t>
      </w:r>
      <w:r w:rsidRPr="003B2621">
        <w:rPr>
          <w:rFonts w:ascii="Arial" w:hAnsi="Arial" w:cs="Arial"/>
          <w:sz w:val="20"/>
          <w:szCs w:val="20"/>
        </w:rPr>
        <w:t>500 lumens. Appropriate base case fixtures are linear fluorescent fixtures that will have equivalent maintained illuminance to those LEDs at th</w:t>
      </w:r>
      <w:r w:rsidR="00CA15C7">
        <w:rPr>
          <w:rFonts w:ascii="Arial" w:hAnsi="Arial" w:cs="Arial"/>
          <w:sz w:val="20"/>
          <w:szCs w:val="20"/>
        </w:rPr>
        <w:t>e end of effective useful life. The Effective Useful Life is 50,000 hours based on the DLC-minimum rated hours, except where this value exceeds the DEER run hours for a given building type over the</w:t>
      </w:r>
      <w:r w:rsidRPr="003B2621">
        <w:rPr>
          <w:rFonts w:ascii="Arial" w:hAnsi="Arial" w:cs="Arial"/>
          <w:sz w:val="20"/>
          <w:szCs w:val="20"/>
        </w:rPr>
        <w:t xml:space="preserve"> </w:t>
      </w:r>
      <w:r w:rsidR="00C87EF3">
        <w:rPr>
          <w:rFonts w:ascii="Arial" w:hAnsi="Arial" w:cs="Arial"/>
          <w:sz w:val="20"/>
          <w:szCs w:val="20"/>
        </w:rPr>
        <w:t>16</w:t>
      </w:r>
      <w:r w:rsidR="00CA15C7">
        <w:rPr>
          <w:rFonts w:ascii="Arial" w:hAnsi="Arial" w:cs="Arial"/>
          <w:sz w:val="20"/>
          <w:szCs w:val="20"/>
        </w:rPr>
        <w:t xml:space="preserve"> year </w:t>
      </w:r>
      <w:r w:rsidR="00F36736">
        <w:rPr>
          <w:rFonts w:ascii="Arial" w:hAnsi="Arial" w:cs="Arial"/>
          <w:sz w:val="20"/>
          <w:szCs w:val="20"/>
        </w:rPr>
        <w:t>DEER measure</w:t>
      </w:r>
      <w:r w:rsidR="00CA15C7">
        <w:rPr>
          <w:rFonts w:ascii="Arial" w:hAnsi="Arial" w:cs="Arial"/>
          <w:sz w:val="20"/>
          <w:szCs w:val="20"/>
        </w:rPr>
        <w:t xml:space="preserve"> maximum life, in which case the effective useful life is </w:t>
      </w:r>
      <w:r w:rsidR="00C87EF3">
        <w:rPr>
          <w:rFonts w:ascii="Arial" w:hAnsi="Arial" w:cs="Arial"/>
          <w:sz w:val="20"/>
          <w:szCs w:val="20"/>
        </w:rPr>
        <w:t>16</w:t>
      </w:r>
      <w:r w:rsidR="00CA15C7">
        <w:rPr>
          <w:rFonts w:ascii="Arial" w:hAnsi="Arial" w:cs="Arial"/>
          <w:sz w:val="20"/>
          <w:szCs w:val="20"/>
        </w:rPr>
        <w:t xml:space="preserve"> years</w:t>
      </w:r>
      <w:r w:rsidRPr="003B2621">
        <w:rPr>
          <w:rFonts w:ascii="Arial" w:hAnsi="Arial" w:cs="Arial"/>
          <w:sz w:val="20"/>
          <w:szCs w:val="20"/>
        </w:rPr>
        <w:t xml:space="preserve">. </w:t>
      </w:r>
      <w:r w:rsidR="007B2D41" w:rsidRPr="003B2621">
        <w:rPr>
          <w:rFonts w:ascii="Arial" w:hAnsi="Arial" w:cs="Arial"/>
          <w:sz w:val="20"/>
          <w:szCs w:val="20"/>
        </w:rPr>
        <w:t xml:space="preserve">Given the </w:t>
      </w:r>
      <w:r w:rsidRPr="003B2621">
        <w:rPr>
          <w:rFonts w:ascii="Arial" w:hAnsi="Arial" w:cs="Arial"/>
          <w:sz w:val="20"/>
          <w:szCs w:val="20"/>
        </w:rPr>
        <w:t xml:space="preserve">great number of variations on linear fluorescent lamp and ballast configurations and resultant light outputs, and that groupings made by wattage as in previous custom do not accurately reflect illumination between LED and linear fluorescent fixtures, the efficacy and wattages of both base case and measure case fixtures are not grouped by lamp and ballast configuration but characterized in units of </w:t>
      </w:r>
      <w:proofErr w:type="spellStart"/>
      <w:r w:rsidRPr="003B2621">
        <w:rPr>
          <w:rFonts w:ascii="Arial" w:hAnsi="Arial" w:cs="Arial"/>
          <w:sz w:val="20"/>
          <w:szCs w:val="20"/>
        </w:rPr>
        <w:t>kilolumens</w:t>
      </w:r>
      <w:proofErr w:type="spellEnd"/>
      <w:r w:rsidRPr="003B2621">
        <w:rPr>
          <w:rFonts w:ascii="Arial" w:hAnsi="Arial" w:cs="Arial"/>
          <w:sz w:val="20"/>
          <w:szCs w:val="20"/>
        </w:rPr>
        <w:t xml:space="preserve"> of initial  LED light output with energy impacts scaling with these </w:t>
      </w:r>
      <w:proofErr w:type="spellStart"/>
      <w:r w:rsidRPr="003B2621">
        <w:rPr>
          <w:rFonts w:ascii="Arial" w:hAnsi="Arial" w:cs="Arial"/>
          <w:sz w:val="20"/>
          <w:szCs w:val="20"/>
        </w:rPr>
        <w:t>kilolumen</w:t>
      </w:r>
      <w:proofErr w:type="spellEnd"/>
      <w:r w:rsidRPr="003B2621">
        <w:rPr>
          <w:rFonts w:ascii="Arial" w:hAnsi="Arial" w:cs="Arial"/>
          <w:sz w:val="20"/>
          <w:szCs w:val="20"/>
        </w:rPr>
        <w:t xml:space="preserve"> units.</w:t>
      </w:r>
      <w:r w:rsidR="00B36614" w:rsidRPr="003B2621">
        <w:rPr>
          <w:rFonts w:ascii="Arial" w:hAnsi="Arial" w:cs="Arial"/>
          <w:sz w:val="20"/>
          <w:szCs w:val="20"/>
        </w:rPr>
        <w:t xml:space="preserve"> Cost, wattage and savings are all in units of </w:t>
      </w:r>
      <w:proofErr w:type="spellStart"/>
      <w:r w:rsidR="00B36614" w:rsidRPr="003B2621">
        <w:rPr>
          <w:rFonts w:ascii="Arial" w:hAnsi="Arial" w:cs="Arial"/>
          <w:sz w:val="20"/>
          <w:szCs w:val="20"/>
        </w:rPr>
        <w:t>kilolumen</w:t>
      </w:r>
      <w:proofErr w:type="spellEnd"/>
      <w:r w:rsidR="00B36614" w:rsidRPr="003B2621">
        <w:rPr>
          <w:rFonts w:ascii="Arial" w:hAnsi="Arial" w:cs="Arial"/>
          <w:sz w:val="20"/>
          <w:szCs w:val="20"/>
        </w:rPr>
        <w:t>.</w:t>
      </w:r>
    </w:p>
    <w:p w:rsidR="00085333" w:rsidRDefault="00085333" w:rsidP="005702B7">
      <w:pPr>
        <w:rPr>
          <w:rFonts w:ascii="Arial" w:hAnsi="Arial" w:cs="Arial"/>
          <w:sz w:val="20"/>
          <w:szCs w:val="20"/>
        </w:rPr>
      </w:pPr>
    </w:p>
    <w:p w:rsidR="00085333" w:rsidRPr="00DD12F1" w:rsidRDefault="00085333" w:rsidP="00085333">
      <w:pPr>
        <w:pStyle w:val="Caption"/>
        <w:ind w:left="288"/>
        <w:jc w:val="center"/>
      </w:pPr>
      <w:bookmarkStart w:id="22" w:name="_Toc438457210"/>
      <w:r>
        <w:t xml:space="preserve">Table </w:t>
      </w:r>
      <w:fldSimple w:instr=" SEQ Table \* ARABIC ">
        <w:r w:rsidR="00CA1504">
          <w:rPr>
            <w:noProof/>
          </w:rPr>
          <w:t>3</w:t>
        </w:r>
      </w:fldSimple>
      <w:r>
        <w:t xml:space="preserve"> -</w:t>
      </w:r>
      <w:r w:rsidRPr="00E97091">
        <w:t xml:space="preserve"> </w:t>
      </w:r>
      <w:r>
        <w:t>LED Ambient Commercial Fixtures &amp; Retrofit Kits Base and Measure Wattages</w:t>
      </w:r>
      <w:bookmarkEnd w:id="22"/>
    </w:p>
    <w:tbl>
      <w:tblPr>
        <w:tblW w:w="9121" w:type="dxa"/>
        <w:jc w:val="center"/>
        <w:tblInd w:w="-814" w:type="dxa"/>
        <w:tblLayout w:type="fixed"/>
        <w:tblLook w:val="04A0" w:firstRow="1" w:lastRow="0" w:firstColumn="1" w:lastColumn="0" w:noHBand="0" w:noVBand="1"/>
      </w:tblPr>
      <w:tblGrid>
        <w:gridCol w:w="1552"/>
        <w:gridCol w:w="3099"/>
        <w:gridCol w:w="1350"/>
        <w:gridCol w:w="1350"/>
        <w:gridCol w:w="1770"/>
      </w:tblGrid>
      <w:tr w:rsidR="00085333" w:rsidTr="0009430D">
        <w:trPr>
          <w:trHeight w:val="862"/>
          <w:jc w:val="center"/>
        </w:trPr>
        <w:tc>
          <w:tcPr>
            <w:tcW w:w="1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Measure Code</w:t>
            </w:r>
          </w:p>
        </w:tc>
        <w:tc>
          <w:tcPr>
            <w:tcW w:w="3099" w:type="dxa"/>
            <w:tcBorders>
              <w:top w:val="single" w:sz="4" w:space="0" w:color="auto"/>
              <w:left w:val="nil"/>
              <w:bottom w:val="single" w:sz="4" w:space="0" w:color="auto"/>
              <w:right w:val="single" w:sz="4" w:space="0" w:color="auto"/>
            </w:tcBorders>
            <w:shd w:val="clear" w:color="auto" w:fill="auto"/>
            <w:vAlign w:val="center"/>
            <w:hideMark/>
          </w:tcPr>
          <w:p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Measure Description</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Base Case system wattage</w:t>
            </w:r>
          </w:p>
          <w:p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 xml:space="preserve">per </w:t>
            </w:r>
            <w:proofErr w:type="spellStart"/>
            <w:r>
              <w:rPr>
                <w:rFonts w:ascii="Arial" w:hAnsi="Arial" w:cs="Arial"/>
                <w:b/>
                <w:bCs/>
                <w:color w:val="000000"/>
                <w:sz w:val="20"/>
                <w:szCs w:val="20"/>
              </w:rPr>
              <w:t>kilolumen</w:t>
            </w:r>
            <w:proofErr w:type="spellEnd"/>
            <w:r>
              <w:rPr>
                <w:rFonts w:ascii="Arial" w:hAnsi="Arial" w:cs="Arial"/>
                <w:b/>
                <w:bCs/>
                <w:color w:val="000000"/>
                <w:sz w:val="20"/>
                <w:szCs w:val="20"/>
              </w:rPr>
              <w:t xml:space="preserve"> (COM)</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085333" w:rsidRPr="00705A0C" w:rsidRDefault="00085333" w:rsidP="006F0984">
            <w:pPr>
              <w:jc w:val="center"/>
              <w:rPr>
                <w:rFonts w:ascii="Arial" w:hAnsi="Arial" w:cs="Arial"/>
                <w:b/>
                <w:sz w:val="22"/>
                <w:szCs w:val="22"/>
              </w:rPr>
            </w:pPr>
            <w:r w:rsidRPr="00705A0C">
              <w:rPr>
                <w:rFonts w:ascii="Arial" w:hAnsi="Arial" w:cs="Arial"/>
                <w:b/>
                <w:sz w:val="22"/>
                <w:szCs w:val="22"/>
              </w:rPr>
              <w:t xml:space="preserve">LED Watts per </w:t>
            </w:r>
            <w:proofErr w:type="spellStart"/>
            <w:r>
              <w:rPr>
                <w:rFonts w:ascii="Arial" w:hAnsi="Arial" w:cs="Arial"/>
                <w:b/>
                <w:sz w:val="22"/>
                <w:szCs w:val="22"/>
              </w:rPr>
              <w:t>kilo</w:t>
            </w:r>
            <w:r w:rsidRPr="00705A0C">
              <w:rPr>
                <w:rFonts w:ascii="Arial" w:hAnsi="Arial" w:cs="Arial"/>
                <w:b/>
                <w:sz w:val="22"/>
                <w:szCs w:val="22"/>
              </w:rPr>
              <w:t>lumen</w:t>
            </w:r>
            <w:proofErr w:type="spellEnd"/>
          </w:p>
        </w:tc>
        <w:tc>
          <w:tcPr>
            <w:tcW w:w="1770" w:type="dxa"/>
            <w:tcBorders>
              <w:top w:val="single" w:sz="4" w:space="0" w:color="auto"/>
              <w:left w:val="nil"/>
              <w:bottom w:val="single" w:sz="4" w:space="0" w:color="auto"/>
              <w:right w:val="single" w:sz="4" w:space="0" w:color="auto"/>
            </w:tcBorders>
            <w:shd w:val="clear" w:color="auto" w:fill="auto"/>
            <w:vAlign w:val="center"/>
            <w:hideMark/>
          </w:tcPr>
          <w:p w:rsidR="00085333" w:rsidRDefault="00085333" w:rsidP="006F0984">
            <w:pPr>
              <w:jc w:val="center"/>
              <w:rPr>
                <w:rFonts w:ascii="Arial" w:hAnsi="Arial" w:cs="Arial"/>
                <w:b/>
                <w:sz w:val="22"/>
                <w:szCs w:val="22"/>
              </w:rPr>
            </w:pPr>
            <w:r w:rsidRPr="00705A0C">
              <w:rPr>
                <w:rFonts w:ascii="Arial" w:hAnsi="Arial" w:cs="Arial"/>
                <w:b/>
                <w:sz w:val="22"/>
                <w:szCs w:val="22"/>
              </w:rPr>
              <w:t xml:space="preserve">Delta Watts per </w:t>
            </w:r>
            <w:proofErr w:type="spellStart"/>
            <w:r>
              <w:rPr>
                <w:rFonts w:ascii="Arial" w:hAnsi="Arial" w:cs="Arial"/>
                <w:b/>
                <w:sz w:val="22"/>
                <w:szCs w:val="22"/>
              </w:rPr>
              <w:t>kilolumen</w:t>
            </w:r>
            <w:proofErr w:type="spellEnd"/>
          </w:p>
          <w:p w:rsidR="00085333" w:rsidRPr="00705A0C" w:rsidRDefault="00085333" w:rsidP="006F0984">
            <w:pPr>
              <w:jc w:val="center"/>
              <w:rPr>
                <w:rFonts w:ascii="Arial" w:hAnsi="Arial" w:cs="Arial"/>
                <w:b/>
                <w:sz w:val="22"/>
                <w:szCs w:val="22"/>
              </w:rPr>
            </w:pPr>
            <w:r>
              <w:rPr>
                <w:rFonts w:ascii="Arial" w:hAnsi="Arial" w:cs="Arial"/>
                <w:b/>
                <w:sz w:val="22"/>
                <w:szCs w:val="22"/>
              </w:rPr>
              <w:t>(</w:t>
            </w:r>
            <w:r w:rsidRPr="00705A0C">
              <w:rPr>
                <w:rFonts w:ascii="Arial" w:hAnsi="Arial" w:cs="Arial"/>
                <w:b/>
                <w:sz w:val="22"/>
                <w:szCs w:val="22"/>
              </w:rPr>
              <w:t>COM)</w:t>
            </w:r>
          </w:p>
        </w:tc>
      </w:tr>
      <w:tr w:rsidR="00AC2B02" w:rsidRPr="009B2260" w:rsidTr="0009430D">
        <w:trPr>
          <w:trHeight w:val="250"/>
          <w:jc w:val="center"/>
        </w:trPr>
        <w:tc>
          <w:tcPr>
            <w:tcW w:w="1552" w:type="dxa"/>
            <w:tcBorders>
              <w:top w:val="nil"/>
              <w:left w:val="single" w:sz="4" w:space="0" w:color="auto"/>
              <w:bottom w:val="single" w:sz="4" w:space="0" w:color="auto"/>
              <w:right w:val="single" w:sz="4" w:space="0" w:color="auto"/>
            </w:tcBorders>
            <w:shd w:val="clear" w:color="auto" w:fill="auto"/>
            <w:noWrap/>
            <w:vAlign w:val="center"/>
            <w:hideMark/>
          </w:tcPr>
          <w:p w:rsidR="00AC2B02" w:rsidRDefault="00AC2B02" w:rsidP="007A7EF5">
            <w:pPr>
              <w:jc w:val="center"/>
              <w:rPr>
                <w:rFonts w:ascii="Arial" w:hAnsi="Arial" w:cs="Arial"/>
                <w:color w:val="000000"/>
                <w:sz w:val="20"/>
                <w:szCs w:val="20"/>
              </w:rPr>
            </w:pPr>
            <w:r w:rsidRPr="009B2260">
              <w:rPr>
                <w:rFonts w:ascii="Arial" w:hAnsi="Arial" w:cs="Arial"/>
                <w:color w:val="000000"/>
                <w:sz w:val="20"/>
                <w:szCs w:val="20"/>
              </w:rPr>
              <w:t>LT0</w:t>
            </w:r>
            <w:r>
              <w:rPr>
                <w:rFonts w:ascii="Arial" w:hAnsi="Arial" w:cs="Arial"/>
                <w:color w:val="000000"/>
                <w:sz w:val="20"/>
                <w:szCs w:val="20"/>
              </w:rPr>
              <w:t>40, LT044, LT048, LT052,</w:t>
            </w:r>
          </w:p>
          <w:p w:rsidR="00AC2B02" w:rsidRPr="009B2260" w:rsidRDefault="00AC2B02" w:rsidP="007A7EF5">
            <w:pPr>
              <w:jc w:val="center"/>
              <w:rPr>
                <w:rFonts w:ascii="Arial" w:hAnsi="Arial" w:cs="Arial"/>
                <w:color w:val="000000"/>
                <w:sz w:val="20"/>
                <w:szCs w:val="20"/>
              </w:rPr>
            </w:pPr>
            <w:r>
              <w:rPr>
                <w:rFonts w:ascii="Arial" w:hAnsi="Arial" w:cs="Arial"/>
                <w:color w:val="000000"/>
                <w:sz w:val="20"/>
                <w:szCs w:val="20"/>
              </w:rPr>
              <w:t>LT056, LT060</w:t>
            </w:r>
          </w:p>
        </w:tc>
        <w:tc>
          <w:tcPr>
            <w:tcW w:w="3099"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rPr>
                <w:rFonts w:ascii="Arial" w:hAnsi="Arial" w:cs="Arial"/>
                <w:color w:val="000000"/>
                <w:sz w:val="18"/>
                <w:szCs w:val="20"/>
              </w:rPr>
            </w:pPr>
            <w:r w:rsidRPr="009B2260">
              <w:rPr>
                <w:rFonts w:ascii="Arial" w:hAnsi="Arial" w:cs="Arial"/>
                <w:color w:val="000000"/>
                <w:sz w:val="18"/>
                <w:szCs w:val="20"/>
              </w:rPr>
              <w:t>LED Luminaires/Retrofit Kits rated ≥85 and &lt;95 LPW, Ambient Interior Commercial Spaces</w:t>
            </w:r>
          </w:p>
        </w:tc>
        <w:tc>
          <w:tcPr>
            <w:tcW w:w="135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14.8</w:t>
            </w:r>
          </w:p>
        </w:tc>
        <w:tc>
          <w:tcPr>
            <w:tcW w:w="135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11.8</w:t>
            </w:r>
          </w:p>
        </w:tc>
        <w:tc>
          <w:tcPr>
            <w:tcW w:w="177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3.0</w:t>
            </w:r>
          </w:p>
        </w:tc>
      </w:tr>
      <w:tr w:rsidR="00AC2B02" w:rsidRPr="009B2260" w:rsidTr="0009430D">
        <w:trPr>
          <w:trHeight w:val="250"/>
          <w:jc w:val="center"/>
        </w:trPr>
        <w:tc>
          <w:tcPr>
            <w:tcW w:w="1552" w:type="dxa"/>
            <w:tcBorders>
              <w:top w:val="nil"/>
              <w:left w:val="single" w:sz="4" w:space="0" w:color="auto"/>
              <w:bottom w:val="single" w:sz="4" w:space="0" w:color="auto"/>
              <w:right w:val="single" w:sz="4" w:space="0" w:color="auto"/>
            </w:tcBorders>
            <w:shd w:val="clear" w:color="auto" w:fill="auto"/>
            <w:noWrap/>
            <w:vAlign w:val="center"/>
            <w:hideMark/>
          </w:tcPr>
          <w:p w:rsidR="00AC2B02" w:rsidRPr="009B2260" w:rsidRDefault="00AC2B02" w:rsidP="007A7EF5">
            <w:pPr>
              <w:jc w:val="center"/>
              <w:rPr>
                <w:rFonts w:ascii="Arial" w:hAnsi="Arial" w:cs="Arial"/>
                <w:color w:val="000000"/>
                <w:sz w:val="20"/>
                <w:szCs w:val="20"/>
              </w:rPr>
            </w:pPr>
            <w:r>
              <w:rPr>
                <w:rFonts w:ascii="Arial" w:hAnsi="Arial" w:cs="Arial"/>
                <w:color w:val="000000"/>
                <w:sz w:val="20"/>
                <w:szCs w:val="20"/>
              </w:rPr>
              <w:t>LT041, LT045, LT049, LT053, LT057, LT061</w:t>
            </w:r>
          </w:p>
        </w:tc>
        <w:tc>
          <w:tcPr>
            <w:tcW w:w="3099"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rPr>
                <w:rFonts w:ascii="Arial" w:hAnsi="Arial" w:cs="Arial"/>
                <w:color w:val="000000"/>
                <w:sz w:val="18"/>
                <w:szCs w:val="20"/>
              </w:rPr>
            </w:pPr>
            <w:r w:rsidRPr="009B2260">
              <w:rPr>
                <w:rFonts w:ascii="Arial" w:hAnsi="Arial" w:cs="Arial"/>
                <w:color w:val="000000"/>
                <w:sz w:val="18"/>
                <w:szCs w:val="20"/>
              </w:rPr>
              <w:t>LED Luminaires/Retrofit Kits rated ≥95 and &lt;110 LPW, Ambient Interior Commercial Spaces</w:t>
            </w:r>
          </w:p>
        </w:tc>
        <w:tc>
          <w:tcPr>
            <w:tcW w:w="135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14.8</w:t>
            </w:r>
          </w:p>
        </w:tc>
        <w:tc>
          <w:tcPr>
            <w:tcW w:w="135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10.5</w:t>
            </w:r>
          </w:p>
        </w:tc>
        <w:tc>
          <w:tcPr>
            <w:tcW w:w="177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4.3</w:t>
            </w:r>
          </w:p>
        </w:tc>
      </w:tr>
      <w:tr w:rsidR="00AC2B02" w:rsidRPr="009B2260" w:rsidTr="0009430D">
        <w:trPr>
          <w:trHeight w:val="250"/>
          <w:jc w:val="center"/>
        </w:trPr>
        <w:tc>
          <w:tcPr>
            <w:tcW w:w="1552" w:type="dxa"/>
            <w:tcBorders>
              <w:top w:val="nil"/>
              <w:left w:val="single" w:sz="4" w:space="0" w:color="auto"/>
              <w:bottom w:val="single" w:sz="4" w:space="0" w:color="auto"/>
              <w:right w:val="single" w:sz="4" w:space="0" w:color="auto"/>
            </w:tcBorders>
            <w:shd w:val="clear" w:color="auto" w:fill="auto"/>
            <w:noWrap/>
            <w:vAlign w:val="center"/>
          </w:tcPr>
          <w:p w:rsidR="00AC2B02" w:rsidRPr="009B2260" w:rsidRDefault="00AC2B02" w:rsidP="007A7EF5">
            <w:pPr>
              <w:jc w:val="center"/>
              <w:rPr>
                <w:rFonts w:ascii="Arial" w:hAnsi="Arial" w:cs="Arial"/>
                <w:color w:val="000000"/>
                <w:sz w:val="20"/>
                <w:szCs w:val="20"/>
              </w:rPr>
            </w:pPr>
            <w:r w:rsidRPr="009B2260">
              <w:rPr>
                <w:rFonts w:ascii="Arial" w:hAnsi="Arial" w:cs="Arial"/>
                <w:color w:val="000000"/>
                <w:sz w:val="20"/>
                <w:szCs w:val="20"/>
              </w:rPr>
              <w:t>LT0</w:t>
            </w:r>
            <w:r>
              <w:rPr>
                <w:rFonts w:ascii="Arial" w:hAnsi="Arial" w:cs="Arial"/>
                <w:color w:val="000000"/>
                <w:sz w:val="20"/>
                <w:szCs w:val="20"/>
              </w:rPr>
              <w:t>42, LT046, LT050, LT054, LT058, LT062</w:t>
            </w:r>
          </w:p>
        </w:tc>
        <w:tc>
          <w:tcPr>
            <w:tcW w:w="3099" w:type="dxa"/>
            <w:tcBorders>
              <w:top w:val="nil"/>
              <w:left w:val="nil"/>
              <w:bottom w:val="single" w:sz="4" w:space="0" w:color="auto"/>
              <w:right w:val="single" w:sz="4" w:space="0" w:color="auto"/>
            </w:tcBorders>
            <w:shd w:val="clear" w:color="auto" w:fill="auto"/>
            <w:noWrap/>
            <w:vAlign w:val="center"/>
          </w:tcPr>
          <w:p w:rsidR="00AC2B02" w:rsidRPr="009B2260" w:rsidRDefault="00AC2B02" w:rsidP="006F0984">
            <w:pPr>
              <w:rPr>
                <w:rFonts w:ascii="Arial" w:hAnsi="Arial" w:cs="Arial"/>
                <w:color w:val="000000"/>
                <w:sz w:val="18"/>
                <w:szCs w:val="20"/>
              </w:rPr>
            </w:pPr>
            <w:r w:rsidRPr="009B2260">
              <w:rPr>
                <w:rFonts w:ascii="Arial" w:hAnsi="Arial" w:cs="Arial"/>
                <w:color w:val="000000"/>
                <w:sz w:val="18"/>
                <w:szCs w:val="20"/>
              </w:rPr>
              <w:t>LED Luminaires/Retrofit Kits rated ≥110 and &lt;125 LPW, Ambient Interior Commercial Spaces</w:t>
            </w:r>
          </w:p>
        </w:tc>
        <w:tc>
          <w:tcPr>
            <w:tcW w:w="1350" w:type="dxa"/>
            <w:tcBorders>
              <w:top w:val="nil"/>
              <w:left w:val="nil"/>
              <w:bottom w:val="single" w:sz="4" w:space="0" w:color="auto"/>
              <w:right w:val="single" w:sz="4" w:space="0" w:color="auto"/>
            </w:tcBorders>
            <w:shd w:val="clear" w:color="auto" w:fill="auto"/>
            <w:noWrap/>
            <w:vAlign w:val="center"/>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14.8</w:t>
            </w:r>
          </w:p>
        </w:tc>
        <w:tc>
          <w:tcPr>
            <w:tcW w:w="1350" w:type="dxa"/>
            <w:tcBorders>
              <w:top w:val="nil"/>
              <w:left w:val="nil"/>
              <w:bottom w:val="single" w:sz="4" w:space="0" w:color="auto"/>
              <w:right w:val="single" w:sz="4" w:space="0" w:color="auto"/>
            </w:tcBorders>
            <w:shd w:val="clear" w:color="auto" w:fill="auto"/>
            <w:noWrap/>
            <w:vAlign w:val="center"/>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9.1</w:t>
            </w:r>
          </w:p>
        </w:tc>
        <w:tc>
          <w:tcPr>
            <w:tcW w:w="1770" w:type="dxa"/>
            <w:tcBorders>
              <w:top w:val="nil"/>
              <w:left w:val="nil"/>
              <w:bottom w:val="single" w:sz="4" w:space="0" w:color="auto"/>
              <w:right w:val="single" w:sz="4" w:space="0" w:color="auto"/>
            </w:tcBorders>
            <w:shd w:val="clear" w:color="auto" w:fill="auto"/>
            <w:noWrap/>
            <w:vAlign w:val="center"/>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5.7</w:t>
            </w:r>
          </w:p>
        </w:tc>
      </w:tr>
      <w:tr w:rsidR="00AC2B02" w:rsidRPr="009B2260" w:rsidTr="0009430D">
        <w:trPr>
          <w:trHeight w:val="250"/>
          <w:jc w:val="center"/>
        </w:trPr>
        <w:tc>
          <w:tcPr>
            <w:tcW w:w="1552" w:type="dxa"/>
            <w:tcBorders>
              <w:top w:val="nil"/>
              <w:left w:val="single" w:sz="4" w:space="0" w:color="auto"/>
              <w:bottom w:val="single" w:sz="4" w:space="0" w:color="auto"/>
              <w:right w:val="single" w:sz="4" w:space="0" w:color="auto"/>
            </w:tcBorders>
            <w:shd w:val="clear" w:color="auto" w:fill="auto"/>
            <w:noWrap/>
            <w:vAlign w:val="center"/>
            <w:hideMark/>
          </w:tcPr>
          <w:p w:rsidR="00AC2B02" w:rsidRPr="009B2260" w:rsidRDefault="00AC2B02" w:rsidP="007A7EF5">
            <w:pPr>
              <w:jc w:val="center"/>
              <w:rPr>
                <w:rFonts w:ascii="Arial" w:hAnsi="Arial" w:cs="Arial"/>
                <w:color w:val="000000"/>
                <w:sz w:val="20"/>
                <w:szCs w:val="20"/>
              </w:rPr>
            </w:pPr>
            <w:r w:rsidRPr="009B2260">
              <w:rPr>
                <w:rFonts w:ascii="Arial" w:hAnsi="Arial" w:cs="Arial"/>
                <w:color w:val="000000"/>
                <w:sz w:val="20"/>
                <w:szCs w:val="20"/>
              </w:rPr>
              <w:t>LT0</w:t>
            </w:r>
            <w:r>
              <w:rPr>
                <w:rFonts w:ascii="Arial" w:hAnsi="Arial" w:cs="Arial"/>
                <w:color w:val="000000"/>
                <w:sz w:val="20"/>
                <w:szCs w:val="20"/>
              </w:rPr>
              <w:t>43, LT047, LT051, LT055, LT059, LT063</w:t>
            </w:r>
          </w:p>
        </w:tc>
        <w:tc>
          <w:tcPr>
            <w:tcW w:w="3099"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rPr>
                <w:rFonts w:ascii="Arial" w:hAnsi="Arial" w:cs="Arial"/>
                <w:color w:val="000000"/>
                <w:sz w:val="18"/>
                <w:szCs w:val="20"/>
              </w:rPr>
            </w:pPr>
            <w:r w:rsidRPr="009B2260">
              <w:rPr>
                <w:rFonts w:ascii="Arial" w:hAnsi="Arial" w:cs="Arial"/>
                <w:color w:val="000000"/>
                <w:sz w:val="18"/>
                <w:szCs w:val="20"/>
              </w:rPr>
              <w:t>LED Luminaires/Retrofit Kits rated ≥125 LPW, Ambient Interior Commercial Spaces</w:t>
            </w:r>
          </w:p>
        </w:tc>
        <w:tc>
          <w:tcPr>
            <w:tcW w:w="135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14.8</w:t>
            </w:r>
          </w:p>
        </w:tc>
        <w:tc>
          <w:tcPr>
            <w:tcW w:w="135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8.0</w:t>
            </w:r>
          </w:p>
        </w:tc>
        <w:tc>
          <w:tcPr>
            <w:tcW w:w="177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6.8</w:t>
            </w:r>
          </w:p>
        </w:tc>
      </w:tr>
    </w:tbl>
    <w:p w:rsidR="00085333" w:rsidRPr="003B2621" w:rsidRDefault="00085333" w:rsidP="005702B7">
      <w:pPr>
        <w:rPr>
          <w:rFonts w:ascii="Arial" w:hAnsi="Arial" w:cs="Arial"/>
          <w:sz w:val="20"/>
          <w:szCs w:val="20"/>
        </w:rPr>
      </w:pPr>
    </w:p>
    <w:p w:rsidR="00E71EF1" w:rsidRDefault="001248A3" w:rsidP="00F96295">
      <w:pPr>
        <w:pStyle w:val="Heading2"/>
        <w:ind w:right="-180"/>
      </w:pPr>
      <w:bookmarkStart w:id="23" w:name="_Toc438457178"/>
      <w:r>
        <w:lastRenderedPageBreak/>
        <w:t>1.</w:t>
      </w:r>
      <w:r w:rsidR="00806070">
        <w:t>4.1</w:t>
      </w:r>
      <w:r w:rsidR="00FA595F">
        <w:t xml:space="preserve"> </w:t>
      </w:r>
      <w:r w:rsidR="00C069A2" w:rsidRPr="001248A3">
        <w:t xml:space="preserve">DEER </w:t>
      </w:r>
      <w:r w:rsidR="008C6AD1">
        <w:t>Base Case and Measure Case Information</w:t>
      </w:r>
      <w:bookmarkEnd w:id="23"/>
      <w:r w:rsidR="008C6AD1">
        <w:t xml:space="preserve"> </w:t>
      </w:r>
    </w:p>
    <w:p w:rsidR="00476B67" w:rsidRDefault="00AE2EAC" w:rsidP="009C5CA7">
      <w:pPr>
        <w:rPr>
          <w:rFonts w:ascii="Arial" w:hAnsi="Arial" w:cs="Arial"/>
          <w:sz w:val="20"/>
          <w:szCs w:val="20"/>
        </w:rPr>
      </w:pPr>
      <w:r w:rsidRPr="002574CF">
        <w:rPr>
          <w:rFonts w:ascii="Arial" w:hAnsi="Arial" w:cs="Arial"/>
          <w:sz w:val="20"/>
          <w:szCs w:val="20"/>
        </w:rPr>
        <w:t xml:space="preserve">The Database </w:t>
      </w:r>
      <w:r w:rsidR="00FC697F">
        <w:rPr>
          <w:rFonts w:ascii="Arial" w:hAnsi="Arial" w:cs="Arial"/>
          <w:sz w:val="20"/>
          <w:szCs w:val="20"/>
        </w:rPr>
        <w:t>for Energy Efficient Resources (</w:t>
      </w:r>
      <w:r w:rsidRPr="002574CF">
        <w:rPr>
          <w:rFonts w:ascii="Arial" w:hAnsi="Arial" w:cs="Arial"/>
          <w:sz w:val="20"/>
          <w:szCs w:val="20"/>
        </w:rPr>
        <w:t>DEER</w:t>
      </w:r>
      <w:r w:rsidR="00FC697F">
        <w:rPr>
          <w:rFonts w:ascii="Arial" w:hAnsi="Arial" w:cs="Arial"/>
          <w:sz w:val="20"/>
          <w:szCs w:val="20"/>
        </w:rPr>
        <w:t>)</w:t>
      </w:r>
      <w:r w:rsidR="00DC04E4">
        <w:rPr>
          <w:rFonts w:ascii="Arial" w:hAnsi="Arial" w:cs="Arial"/>
          <w:sz w:val="20"/>
          <w:szCs w:val="20"/>
        </w:rPr>
        <w:t xml:space="preserve"> 201</w:t>
      </w:r>
      <w:r w:rsidR="002870E2">
        <w:rPr>
          <w:rFonts w:ascii="Arial" w:hAnsi="Arial" w:cs="Arial"/>
          <w:sz w:val="20"/>
          <w:szCs w:val="20"/>
        </w:rPr>
        <w:t>6</w:t>
      </w:r>
      <w:r w:rsidR="00C54DA2">
        <w:rPr>
          <w:rFonts w:ascii="Arial" w:hAnsi="Arial" w:cs="Arial"/>
          <w:sz w:val="20"/>
          <w:szCs w:val="20"/>
        </w:rPr>
        <w:t xml:space="preserve"> </w:t>
      </w:r>
      <w:r w:rsidRPr="002574CF">
        <w:rPr>
          <w:rFonts w:ascii="Arial" w:hAnsi="Arial" w:cs="Arial"/>
          <w:sz w:val="20"/>
          <w:szCs w:val="20"/>
        </w:rPr>
        <w:t>does not address LED savings</w:t>
      </w:r>
      <w:r w:rsidR="00901955">
        <w:rPr>
          <w:rFonts w:ascii="Arial" w:hAnsi="Arial" w:cs="Arial"/>
          <w:sz w:val="20"/>
          <w:szCs w:val="20"/>
        </w:rPr>
        <w:t xml:space="preserve"> for </w:t>
      </w:r>
      <w:r w:rsidR="00B36614">
        <w:rPr>
          <w:rFonts w:ascii="Arial" w:hAnsi="Arial" w:cs="Arial"/>
          <w:sz w:val="20"/>
          <w:szCs w:val="20"/>
        </w:rPr>
        <w:t>panel fixtures and kits</w:t>
      </w:r>
      <w:r w:rsidRPr="002574CF">
        <w:rPr>
          <w:rFonts w:ascii="Arial" w:hAnsi="Arial" w:cs="Arial"/>
          <w:sz w:val="20"/>
          <w:szCs w:val="20"/>
        </w:rPr>
        <w:t>.</w:t>
      </w:r>
    </w:p>
    <w:p w:rsidR="002574CF" w:rsidRPr="002574CF" w:rsidRDefault="002574CF" w:rsidP="009C5CA7">
      <w:pPr>
        <w:rPr>
          <w:rFonts w:ascii="Arial" w:hAnsi="Arial" w:cs="Arial"/>
          <w:sz w:val="20"/>
          <w:szCs w:val="20"/>
        </w:rPr>
      </w:pPr>
    </w:p>
    <w:p w:rsidR="009C5CA7" w:rsidRPr="00D63232" w:rsidRDefault="009C5CA7" w:rsidP="007A5D2F">
      <w:r w:rsidRPr="00D63232">
        <w:rPr>
          <w:b/>
        </w:rPr>
        <w:t>Net-to-Gross Assumption:</w:t>
      </w:r>
      <w:r w:rsidR="00476B67" w:rsidRPr="009B1119">
        <w:rPr>
          <w:b/>
        </w:rPr>
        <w:t xml:space="preserve"> </w:t>
      </w:r>
    </w:p>
    <w:p w:rsidR="00F62D81" w:rsidRDefault="00B52BB4" w:rsidP="00F62D81">
      <w:pPr>
        <w:rPr>
          <w:rFonts w:ascii="Arial" w:hAnsi="Arial" w:cs="Arial"/>
          <w:sz w:val="20"/>
          <w:szCs w:val="20"/>
        </w:rPr>
      </w:pPr>
      <w:r w:rsidRPr="00DD2826">
        <w:rPr>
          <w:rFonts w:ascii="Arial" w:hAnsi="Arial" w:cs="Arial"/>
          <w:sz w:val="20"/>
          <w:szCs w:val="20"/>
        </w:rPr>
        <w:t>The NTG</w:t>
      </w:r>
      <w:r w:rsidR="00123C51">
        <w:rPr>
          <w:rFonts w:ascii="Arial" w:hAnsi="Arial" w:cs="Arial"/>
          <w:sz w:val="20"/>
          <w:szCs w:val="20"/>
        </w:rPr>
        <w:t>R</w:t>
      </w:r>
      <w:r w:rsidRPr="00DD2826">
        <w:rPr>
          <w:rFonts w:ascii="Arial" w:hAnsi="Arial" w:cs="Arial"/>
          <w:sz w:val="20"/>
          <w:szCs w:val="20"/>
        </w:rPr>
        <w:t xml:space="preserve"> value </w:t>
      </w:r>
      <w:r w:rsidR="00123C51">
        <w:rPr>
          <w:rFonts w:ascii="Arial" w:hAnsi="Arial" w:cs="Arial"/>
          <w:sz w:val="20"/>
          <w:szCs w:val="20"/>
        </w:rPr>
        <w:t xml:space="preserve">is </w:t>
      </w:r>
      <w:r w:rsidRPr="00DD2826">
        <w:rPr>
          <w:rFonts w:ascii="Arial" w:hAnsi="Arial" w:cs="Arial"/>
          <w:sz w:val="20"/>
          <w:szCs w:val="20"/>
        </w:rPr>
        <w:t>from DEER 201</w:t>
      </w:r>
      <w:r w:rsidR="00CA1504">
        <w:rPr>
          <w:rFonts w:ascii="Arial" w:hAnsi="Arial" w:cs="Arial"/>
          <w:sz w:val="20"/>
          <w:szCs w:val="20"/>
        </w:rPr>
        <w:t>4</w:t>
      </w:r>
      <w:r w:rsidRPr="00BD33EA">
        <w:rPr>
          <w:rFonts w:ascii="Arial" w:hAnsi="Arial" w:cs="Arial"/>
          <w:sz w:val="20"/>
          <w:szCs w:val="20"/>
          <w:vertAlign w:val="superscript"/>
        </w:rPr>
        <w:endnoteReference w:id="3"/>
      </w:r>
      <w:r w:rsidRPr="00DD2826">
        <w:rPr>
          <w:rFonts w:ascii="Arial" w:hAnsi="Arial" w:cs="Arial"/>
          <w:sz w:val="20"/>
          <w:szCs w:val="20"/>
        </w:rPr>
        <w:t xml:space="preserve">. </w:t>
      </w:r>
      <w:r w:rsidR="00CA1504" w:rsidRPr="00CA1504">
        <w:rPr>
          <w:rFonts w:ascii="Arial" w:hAnsi="Arial" w:cs="Arial"/>
          <w:sz w:val="20"/>
          <w:szCs w:val="20"/>
        </w:rPr>
        <w:fldChar w:fldCharType="begin"/>
      </w:r>
      <w:r w:rsidR="00CA1504" w:rsidRPr="00CA1504">
        <w:rPr>
          <w:rFonts w:ascii="Arial" w:hAnsi="Arial" w:cs="Arial"/>
          <w:sz w:val="20"/>
          <w:szCs w:val="20"/>
        </w:rPr>
        <w:instrText xml:space="preserve"> REF _Ref438456728 \h </w:instrText>
      </w:r>
      <w:r w:rsidR="00CA1504" w:rsidRPr="00CA1504">
        <w:rPr>
          <w:rFonts w:ascii="Arial" w:hAnsi="Arial" w:cs="Arial"/>
          <w:sz w:val="20"/>
          <w:szCs w:val="20"/>
        </w:rPr>
      </w:r>
      <w:r w:rsidR="00CA1504" w:rsidRPr="00CA1504">
        <w:rPr>
          <w:rFonts w:ascii="Arial" w:hAnsi="Arial" w:cs="Arial"/>
          <w:sz w:val="20"/>
          <w:szCs w:val="20"/>
        </w:rPr>
        <w:instrText xml:space="preserve"> \* MERGEFORMAT </w:instrText>
      </w:r>
      <w:r w:rsidR="00CA1504" w:rsidRPr="00CA1504">
        <w:rPr>
          <w:rFonts w:ascii="Arial" w:hAnsi="Arial" w:cs="Arial"/>
          <w:sz w:val="20"/>
          <w:szCs w:val="20"/>
        </w:rPr>
        <w:fldChar w:fldCharType="separate"/>
      </w:r>
      <w:r w:rsidR="00CA1504" w:rsidRPr="00CA1504">
        <w:rPr>
          <w:rFonts w:ascii="Arial" w:hAnsi="Arial" w:cs="Arial"/>
          <w:sz w:val="20"/>
          <w:szCs w:val="20"/>
        </w:rPr>
        <w:t xml:space="preserve">Table </w:t>
      </w:r>
      <w:r w:rsidR="00CA1504" w:rsidRPr="00CA1504">
        <w:rPr>
          <w:rFonts w:ascii="Arial" w:hAnsi="Arial" w:cs="Arial"/>
          <w:noProof/>
          <w:sz w:val="20"/>
          <w:szCs w:val="20"/>
        </w:rPr>
        <w:t>4</w:t>
      </w:r>
      <w:r w:rsidR="00CA1504" w:rsidRPr="00CA1504">
        <w:rPr>
          <w:rFonts w:ascii="Arial" w:hAnsi="Arial" w:cs="Arial"/>
          <w:sz w:val="20"/>
          <w:szCs w:val="20"/>
        </w:rPr>
        <w:fldChar w:fldCharType="end"/>
      </w:r>
      <w:r w:rsidRPr="00CA1504">
        <w:rPr>
          <w:rFonts w:ascii="Arial" w:hAnsi="Arial" w:cs="Arial"/>
          <w:sz w:val="20"/>
          <w:szCs w:val="20"/>
        </w:rPr>
        <w:t xml:space="preserve"> be</w:t>
      </w:r>
      <w:r w:rsidRPr="00DD2826">
        <w:rPr>
          <w:rFonts w:ascii="Arial" w:hAnsi="Arial" w:cs="Arial"/>
          <w:sz w:val="20"/>
          <w:szCs w:val="20"/>
        </w:rPr>
        <w:t>low summarizes all applicable Net-to-Gross ratios for programs that may be used by this measure.</w:t>
      </w:r>
    </w:p>
    <w:p w:rsidR="00B0102E" w:rsidRDefault="00B0102E" w:rsidP="00F62D81">
      <w:pPr>
        <w:rPr>
          <w:rFonts w:ascii="Arial" w:hAnsi="Arial" w:cs="Arial"/>
          <w:sz w:val="20"/>
          <w:szCs w:val="20"/>
        </w:rPr>
      </w:pPr>
    </w:p>
    <w:p w:rsidR="00B0102E" w:rsidRDefault="00B0102E" w:rsidP="00F62D81">
      <w:pPr>
        <w:rPr>
          <w:rFonts w:ascii="Arial" w:hAnsi="Arial" w:cs="Arial"/>
          <w:sz w:val="20"/>
          <w:szCs w:val="20"/>
        </w:rPr>
      </w:pPr>
      <w:r w:rsidRPr="00F707F5">
        <w:rPr>
          <w:rFonts w:ascii="Arial" w:hAnsi="Arial" w:cs="Arial"/>
          <w:sz w:val="20"/>
          <w:szCs w:val="20"/>
        </w:rPr>
        <w:t>The LED commercial lighting fixtures (troffer) product category is rapidly evolving as product quality continues to improve and price continues to come down. However, high initial cost and product quality variability are still enough of market barriers that a utility incentive program could help to address these barriers by providing incentives to reduce initial cost, coupled with product qualification standards. This will allow utilities to accelerate market adoption of high quality products. The long lifetime of LED products means that retrofits will occur far less frequently than before, increasing the importance of selecting high quality products and ensuring customer satisfaction.</w:t>
      </w:r>
    </w:p>
    <w:p w:rsidR="00F707F5" w:rsidRDefault="00F707F5" w:rsidP="00F62D81">
      <w:pPr>
        <w:rPr>
          <w:rFonts w:ascii="Arial" w:hAnsi="Arial" w:cs="Arial"/>
          <w:sz w:val="20"/>
          <w:szCs w:val="20"/>
        </w:rPr>
      </w:pPr>
    </w:p>
    <w:p w:rsidR="00B0102E" w:rsidRPr="00B0102E" w:rsidRDefault="00B0102E" w:rsidP="00B0102E">
      <w:pPr>
        <w:rPr>
          <w:rFonts w:ascii="Arial" w:hAnsi="Arial" w:cs="Arial"/>
          <w:b/>
          <w:i/>
        </w:rPr>
      </w:pPr>
      <w:r w:rsidRPr="00B0102E">
        <w:rPr>
          <w:rFonts w:ascii="Arial" w:hAnsi="Arial" w:cs="Arial"/>
          <w:b/>
          <w:i/>
        </w:rPr>
        <w:t>Emerging Technology Study for this Measure</w:t>
      </w:r>
    </w:p>
    <w:p w:rsidR="00B0102E" w:rsidRPr="00B0102E" w:rsidRDefault="00B0102E" w:rsidP="00B0102E">
      <w:pPr>
        <w:rPr>
          <w:rFonts w:ascii="Arial" w:hAnsi="Arial" w:cs="Arial"/>
          <w:sz w:val="20"/>
          <w:szCs w:val="20"/>
        </w:rPr>
      </w:pPr>
      <w:r w:rsidRPr="00B0102E">
        <w:rPr>
          <w:rFonts w:ascii="Arial" w:hAnsi="Arial" w:cs="Arial"/>
          <w:sz w:val="20"/>
          <w:szCs w:val="20"/>
        </w:rPr>
        <w:t xml:space="preserve">The LED commercial lighting fixtures (troffer) product category is rapidly evolving as product quality continues to improve and price continues to come down. However, high initial cost and product quality variability are significant concerns in this product segment. PG&amp;E commissioned two Emerging Technology (ET) studies to examine these products thoroughly before launching a deemed measure. </w:t>
      </w:r>
    </w:p>
    <w:p w:rsidR="00B0102E" w:rsidRPr="00B0102E" w:rsidRDefault="00B0102E" w:rsidP="00B0102E">
      <w:pPr>
        <w:rPr>
          <w:rFonts w:ascii="Arial" w:hAnsi="Arial" w:cs="Arial"/>
          <w:sz w:val="20"/>
          <w:szCs w:val="20"/>
        </w:rPr>
      </w:pPr>
    </w:p>
    <w:p w:rsidR="00B0102E" w:rsidRPr="00B0102E" w:rsidRDefault="00B0102E" w:rsidP="00B0102E">
      <w:pPr>
        <w:rPr>
          <w:rFonts w:ascii="Arial" w:hAnsi="Arial" w:cs="Arial"/>
          <w:sz w:val="20"/>
          <w:szCs w:val="20"/>
        </w:rPr>
      </w:pPr>
      <w:r w:rsidRPr="00B0102E">
        <w:rPr>
          <w:rFonts w:ascii="Arial" w:hAnsi="Arial" w:cs="Arial"/>
          <w:sz w:val="20"/>
          <w:szCs w:val="20"/>
        </w:rPr>
        <w:t>The goals of these studies included: evaluating product quality, developing information to address product cost concerns, determining the appropriate timing for launching a commercial deemed measure, and understanding customer satisfaction issues.</w:t>
      </w:r>
    </w:p>
    <w:p w:rsidR="00B0102E" w:rsidRPr="00B0102E" w:rsidRDefault="00B0102E" w:rsidP="00B0102E">
      <w:pPr>
        <w:rPr>
          <w:rFonts w:ascii="Arial" w:hAnsi="Arial" w:cs="Arial"/>
          <w:sz w:val="20"/>
          <w:szCs w:val="20"/>
        </w:rPr>
      </w:pPr>
    </w:p>
    <w:p w:rsidR="00B0102E" w:rsidRPr="00B0102E" w:rsidRDefault="00B0102E" w:rsidP="00B0102E">
      <w:pPr>
        <w:rPr>
          <w:rFonts w:ascii="Arial" w:hAnsi="Arial" w:cs="Arial"/>
          <w:sz w:val="20"/>
          <w:szCs w:val="20"/>
        </w:rPr>
      </w:pPr>
      <w:r w:rsidRPr="00B0102E">
        <w:rPr>
          <w:rFonts w:ascii="Arial" w:hAnsi="Arial" w:cs="Arial"/>
          <w:sz w:val="20"/>
          <w:szCs w:val="20"/>
        </w:rPr>
        <w:t>PG&amp;E’s ET Program initiated ET projects in 2011 and 2012 to study these measures.</w:t>
      </w:r>
    </w:p>
    <w:p w:rsidR="00B0102E" w:rsidRPr="00B0102E" w:rsidRDefault="00B0102E" w:rsidP="00B0102E">
      <w:pPr>
        <w:rPr>
          <w:rFonts w:ascii="Arial" w:hAnsi="Arial" w:cs="Arial"/>
          <w:sz w:val="20"/>
          <w:szCs w:val="20"/>
        </w:rPr>
      </w:pPr>
    </w:p>
    <w:p w:rsidR="00B0102E" w:rsidRPr="00B0102E" w:rsidRDefault="00B0102E" w:rsidP="00B0102E">
      <w:pPr>
        <w:rPr>
          <w:rFonts w:ascii="Arial" w:hAnsi="Arial" w:cs="Arial"/>
          <w:sz w:val="20"/>
          <w:szCs w:val="20"/>
        </w:rPr>
      </w:pPr>
      <w:r w:rsidRPr="00B0102E">
        <w:rPr>
          <w:rFonts w:ascii="Arial" w:hAnsi="Arial" w:cs="Arial"/>
          <w:sz w:val="20"/>
          <w:szCs w:val="20"/>
        </w:rPr>
        <w:t>Project ET12PGE1481 conducted a comprehensive LED retrofit in a retail store environment with multiple fixture and lamp types. It confirmed that completing a store-wide</w:t>
      </w:r>
      <w:r w:rsidR="001E727A">
        <w:rPr>
          <w:rFonts w:ascii="Arial" w:hAnsi="Arial" w:cs="Arial"/>
          <w:sz w:val="20"/>
          <w:szCs w:val="20"/>
        </w:rPr>
        <w:t xml:space="preserve">, comprehensive LED retrofit is </w:t>
      </w:r>
      <w:r w:rsidRPr="00B0102E">
        <w:rPr>
          <w:rFonts w:ascii="Arial" w:hAnsi="Arial" w:cs="Arial"/>
          <w:sz w:val="20"/>
          <w:szCs w:val="20"/>
        </w:rPr>
        <w:t>feasible. Overall, the project achieved a 58% reduction in energy use for LEDA eligible products, and 47% on a store-wide basis. The study participant was very satisfied with the energy savings, projected maintenance savings, and lighting quality provided by the LED products that were installed.</w:t>
      </w:r>
      <w:bookmarkStart w:id="24" w:name="_Ref416193131"/>
      <w:r w:rsidRPr="00B0102E">
        <w:rPr>
          <w:rStyle w:val="EndnoteReference"/>
          <w:rFonts w:ascii="Arial" w:hAnsi="Arial" w:cs="Arial"/>
          <w:sz w:val="20"/>
          <w:szCs w:val="20"/>
        </w:rPr>
        <w:endnoteReference w:id="4"/>
      </w:r>
      <w:bookmarkEnd w:id="24"/>
    </w:p>
    <w:p w:rsidR="00B0102E" w:rsidRPr="00B0102E" w:rsidRDefault="00B0102E" w:rsidP="00B0102E">
      <w:pPr>
        <w:rPr>
          <w:rFonts w:ascii="Arial" w:hAnsi="Arial" w:cs="Arial"/>
          <w:sz w:val="20"/>
          <w:szCs w:val="20"/>
        </w:rPr>
      </w:pPr>
    </w:p>
    <w:p w:rsidR="00B0102E" w:rsidRPr="00B0102E" w:rsidRDefault="00B0102E" w:rsidP="00B0102E">
      <w:pPr>
        <w:rPr>
          <w:rFonts w:ascii="Arial" w:hAnsi="Arial" w:cs="Arial"/>
          <w:sz w:val="20"/>
          <w:szCs w:val="20"/>
        </w:rPr>
      </w:pPr>
      <w:r w:rsidRPr="00B0102E">
        <w:rPr>
          <w:rFonts w:ascii="Arial" w:hAnsi="Arial" w:cs="Arial"/>
          <w:sz w:val="20"/>
          <w:szCs w:val="20"/>
        </w:rPr>
        <w:t xml:space="preserve">Project ET11PGE3251 demonstrated LED panel fixtures in an office lighting application with an Advanced Lighting Control System (ALCS). It demonstrated that it is easier to integrate controls with the latest LED products in the market which </w:t>
      </w:r>
      <w:r w:rsidR="00E25FF3">
        <w:rPr>
          <w:rFonts w:ascii="Arial" w:hAnsi="Arial" w:cs="Arial"/>
          <w:sz w:val="20"/>
          <w:szCs w:val="20"/>
        </w:rPr>
        <w:t>increases the potential for</w:t>
      </w:r>
      <w:r w:rsidRPr="00B0102E">
        <w:rPr>
          <w:rFonts w:ascii="Arial" w:hAnsi="Arial" w:cs="Arial"/>
          <w:sz w:val="20"/>
          <w:szCs w:val="20"/>
        </w:rPr>
        <w:t xml:space="preserve"> even deeper savings. An initial energy savings of 21% resulted from replacing fluorescent lighting with LED lighting in an office. A further energy savings of 41% resulted from adding the ALCS.</w:t>
      </w:r>
      <w:bookmarkStart w:id="25" w:name="_Ref416193138"/>
      <w:r w:rsidRPr="00B0102E">
        <w:rPr>
          <w:rStyle w:val="EndnoteReference"/>
          <w:rFonts w:ascii="Arial" w:hAnsi="Arial" w:cs="Arial"/>
          <w:sz w:val="20"/>
          <w:szCs w:val="20"/>
        </w:rPr>
        <w:endnoteReference w:id="5"/>
      </w:r>
      <w:bookmarkEnd w:id="25"/>
    </w:p>
    <w:p w:rsidR="00B0102E" w:rsidRPr="00B0102E" w:rsidRDefault="00B0102E" w:rsidP="00B0102E">
      <w:pPr>
        <w:rPr>
          <w:rFonts w:ascii="Arial" w:hAnsi="Arial" w:cs="Arial"/>
          <w:sz w:val="20"/>
          <w:szCs w:val="20"/>
        </w:rPr>
      </w:pPr>
      <w:r w:rsidRPr="00B0102E">
        <w:rPr>
          <w:rFonts w:ascii="Arial" w:hAnsi="Arial" w:cs="Arial"/>
          <w:sz w:val="20"/>
          <w:szCs w:val="20"/>
        </w:rPr>
        <w:t xml:space="preserve"> </w:t>
      </w:r>
    </w:p>
    <w:p w:rsidR="00B0102E" w:rsidRDefault="00B0102E" w:rsidP="00B0102E">
      <w:pPr>
        <w:rPr>
          <w:rFonts w:ascii="Arial" w:hAnsi="Arial" w:cs="Arial"/>
          <w:sz w:val="20"/>
          <w:szCs w:val="20"/>
        </w:rPr>
      </w:pPr>
      <w:r w:rsidRPr="00B0102E">
        <w:rPr>
          <w:rFonts w:ascii="Arial" w:hAnsi="Arial" w:cs="Arial"/>
          <w:sz w:val="20"/>
          <w:szCs w:val="20"/>
        </w:rPr>
        <w:t>These two ET projects together outlined the path forward for these projects in non-residential deemed programs.  The results suggested that a utility incentive program could help to address market barriers by providing incentives to reduce initial cost, coupled with rigorous product qualification standards. This will allow utilities to accelerate market adoption of high-quality products. The long lifetime of LED products means that retrofits will occur far less frequently than before, increasing the importance of selecting high-quality products and ensuring customer satisfaction.</w:t>
      </w:r>
    </w:p>
    <w:p w:rsidR="00B0102E" w:rsidRDefault="00B0102E" w:rsidP="00F62D81">
      <w:pPr>
        <w:rPr>
          <w:rFonts w:ascii="Arial" w:hAnsi="Arial" w:cs="Arial"/>
          <w:sz w:val="20"/>
          <w:szCs w:val="20"/>
        </w:rPr>
      </w:pPr>
    </w:p>
    <w:p w:rsidR="001F21BD" w:rsidRDefault="001F21BD" w:rsidP="00F62D81">
      <w:pPr>
        <w:rPr>
          <w:rFonts w:ascii="Arial" w:hAnsi="Arial" w:cs="Arial"/>
          <w:sz w:val="20"/>
          <w:szCs w:val="20"/>
        </w:rPr>
      </w:pPr>
      <w:r>
        <w:rPr>
          <w:rFonts w:ascii="Arial" w:hAnsi="Arial" w:cs="Arial"/>
          <w:sz w:val="20"/>
          <w:szCs w:val="20"/>
        </w:rPr>
        <w:t>Based on the August 23, 2015 disposition, we will be using 0.85 NTG only in direct install delivery channel. The upstream and downstream channels will use the 0.7 NTG as noted in the disposition.</w:t>
      </w:r>
    </w:p>
    <w:p w:rsidR="00D719E9" w:rsidRPr="008F48E1" w:rsidRDefault="00D719E9" w:rsidP="00C81BD1">
      <w:pPr>
        <w:pStyle w:val="Caption"/>
        <w:jc w:val="center"/>
        <w:rPr>
          <w:rFonts w:ascii="Arial" w:hAnsi="Arial" w:cs="Arial"/>
        </w:rPr>
      </w:pPr>
      <w:bookmarkStart w:id="26" w:name="_Ref438456728"/>
      <w:bookmarkStart w:id="27" w:name="_Toc438457211"/>
      <w:r w:rsidRPr="00C81BD1">
        <w:t>Table</w:t>
      </w:r>
      <w:r w:rsidR="00DD12F1">
        <w:t xml:space="preserve"> </w:t>
      </w:r>
      <w:fldSimple w:instr=" SEQ Table \* ARABIC \s 1 ">
        <w:r w:rsidR="00CA1504">
          <w:rPr>
            <w:noProof/>
          </w:rPr>
          <w:t>4</w:t>
        </w:r>
      </w:fldSimple>
      <w:bookmarkEnd w:id="26"/>
      <w:r w:rsidR="00476B67" w:rsidRPr="00C81BD1">
        <w:t xml:space="preserve"> </w:t>
      </w:r>
      <w:r w:rsidR="00DD12F1">
        <w:t xml:space="preserve">- </w:t>
      </w:r>
      <w:r w:rsidR="00B61F2F" w:rsidRPr="00C81BD1">
        <w:t xml:space="preserve">Net-to-Gross </w:t>
      </w:r>
      <w:r w:rsidRPr="00C81BD1">
        <w:t>Ratios</w:t>
      </w:r>
      <w:bookmarkEnd w:id="27"/>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983"/>
        <w:gridCol w:w="4371"/>
        <w:gridCol w:w="1132"/>
      </w:tblGrid>
      <w:tr w:rsidR="00A00551" w:rsidRPr="00CA1504" w:rsidTr="00A00551">
        <w:tc>
          <w:tcPr>
            <w:tcW w:w="1047" w:type="pct"/>
            <w:shd w:val="pct20" w:color="000000" w:fill="FFFFFF"/>
          </w:tcPr>
          <w:p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Delivery Type</w:t>
            </w:r>
          </w:p>
        </w:tc>
        <w:tc>
          <w:tcPr>
            <w:tcW w:w="1047" w:type="pct"/>
            <w:shd w:val="pct20" w:color="000000" w:fill="FFFFFF"/>
          </w:tcPr>
          <w:p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NTGR_ID</w:t>
            </w:r>
          </w:p>
        </w:tc>
        <w:tc>
          <w:tcPr>
            <w:tcW w:w="2308" w:type="pct"/>
            <w:shd w:val="pct20" w:color="000000" w:fill="FFFFFF"/>
          </w:tcPr>
          <w:p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Description</w:t>
            </w:r>
          </w:p>
        </w:tc>
        <w:tc>
          <w:tcPr>
            <w:tcW w:w="598" w:type="pct"/>
            <w:shd w:val="pct20" w:color="000000" w:fill="FFFFFF"/>
          </w:tcPr>
          <w:p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NTG</w:t>
            </w:r>
          </w:p>
        </w:tc>
      </w:tr>
      <w:tr w:rsidR="00A00551" w:rsidRPr="00196D7C" w:rsidTr="00A00551">
        <w:tc>
          <w:tcPr>
            <w:tcW w:w="1047" w:type="pct"/>
            <w:shd w:val="pct5" w:color="000000" w:fill="FFFFFF"/>
          </w:tcPr>
          <w:p w:rsidR="00A00551" w:rsidRPr="00CA1504" w:rsidRDefault="00216409" w:rsidP="001F21BD">
            <w:pPr>
              <w:rPr>
                <w:rFonts w:ascii="Arial" w:hAnsi="Arial" w:cs="Arial"/>
                <w:sz w:val="18"/>
                <w:szCs w:val="18"/>
              </w:rPr>
            </w:pPr>
            <w:r w:rsidRPr="00CA1504">
              <w:rPr>
                <w:rFonts w:ascii="Arial" w:hAnsi="Arial" w:cs="Arial"/>
                <w:sz w:val="18"/>
                <w:szCs w:val="18"/>
              </w:rPr>
              <w:t>PreRebDown</w:t>
            </w:r>
            <w:r w:rsidR="00AD573D" w:rsidRPr="00CA1504">
              <w:rPr>
                <w:rFonts w:ascii="Arial" w:hAnsi="Arial" w:cs="Arial"/>
                <w:sz w:val="18"/>
                <w:szCs w:val="18"/>
              </w:rPr>
              <w:t>-201</w:t>
            </w:r>
            <w:r w:rsidR="001F21BD" w:rsidRPr="00CA1504">
              <w:rPr>
                <w:rFonts w:ascii="Arial" w:hAnsi="Arial" w:cs="Arial"/>
                <w:sz w:val="18"/>
                <w:szCs w:val="18"/>
              </w:rPr>
              <w:t>6</w:t>
            </w:r>
          </w:p>
        </w:tc>
        <w:tc>
          <w:tcPr>
            <w:tcW w:w="1047" w:type="pct"/>
            <w:shd w:val="pct5" w:color="000000" w:fill="FFFFFF"/>
          </w:tcPr>
          <w:p w:rsidR="00A00551" w:rsidRPr="00CA1504" w:rsidRDefault="001F21BD" w:rsidP="005F63FF">
            <w:pPr>
              <w:rPr>
                <w:rFonts w:ascii="Arial" w:hAnsi="Arial" w:cs="Arial"/>
                <w:sz w:val="18"/>
                <w:szCs w:val="18"/>
              </w:rPr>
            </w:pPr>
            <w:r w:rsidRPr="00CA1504">
              <w:rPr>
                <w:rFonts w:ascii="Arial" w:hAnsi="Arial" w:cs="Arial"/>
                <w:sz w:val="18"/>
                <w:szCs w:val="18"/>
              </w:rPr>
              <w:t>All-Default&lt;=2yrs</w:t>
            </w:r>
          </w:p>
        </w:tc>
        <w:tc>
          <w:tcPr>
            <w:tcW w:w="2308" w:type="pct"/>
            <w:shd w:val="pct5" w:color="000000" w:fill="FFFFFF"/>
          </w:tcPr>
          <w:p w:rsidR="00A00551" w:rsidRPr="00CA1504" w:rsidRDefault="001F21BD" w:rsidP="00C21125">
            <w:pPr>
              <w:rPr>
                <w:rFonts w:ascii="Arial" w:hAnsi="Arial" w:cs="Arial"/>
                <w:sz w:val="18"/>
                <w:szCs w:val="18"/>
              </w:rPr>
            </w:pPr>
            <w:r w:rsidRPr="00CA1504">
              <w:rPr>
                <w:rFonts w:ascii="Arial" w:hAnsi="Arial" w:cs="Arial"/>
                <w:sz w:val="18"/>
                <w:szCs w:val="18"/>
              </w:rPr>
              <w:t>All other EEM with no evaluated NTGR; new technology in program for 2 or fewer years</w:t>
            </w:r>
          </w:p>
        </w:tc>
        <w:tc>
          <w:tcPr>
            <w:tcW w:w="598" w:type="pct"/>
            <w:shd w:val="pct5" w:color="000000" w:fill="FFFFFF"/>
          </w:tcPr>
          <w:p w:rsidR="00A00551" w:rsidRPr="00CA1504" w:rsidRDefault="001F21BD" w:rsidP="005F63FF">
            <w:pPr>
              <w:jc w:val="center"/>
              <w:rPr>
                <w:rFonts w:ascii="Arial" w:hAnsi="Arial" w:cs="Arial"/>
                <w:sz w:val="18"/>
                <w:szCs w:val="18"/>
              </w:rPr>
            </w:pPr>
            <w:r w:rsidRPr="00CA1504">
              <w:rPr>
                <w:rFonts w:ascii="Arial" w:hAnsi="Arial" w:cs="Arial"/>
                <w:sz w:val="18"/>
                <w:szCs w:val="18"/>
              </w:rPr>
              <w:t>0.7</w:t>
            </w:r>
          </w:p>
        </w:tc>
      </w:tr>
      <w:tr w:rsidR="00A00551" w:rsidRPr="00196D7C" w:rsidTr="00A00551">
        <w:tc>
          <w:tcPr>
            <w:tcW w:w="1047" w:type="pct"/>
            <w:shd w:val="pct5" w:color="000000" w:fill="FFFFFF"/>
          </w:tcPr>
          <w:p w:rsidR="00A00551" w:rsidRPr="00CA1504" w:rsidRDefault="00216409" w:rsidP="0066579A">
            <w:pPr>
              <w:rPr>
                <w:rFonts w:ascii="Arial" w:hAnsi="Arial" w:cs="Arial"/>
                <w:sz w:val="18"/>
                <w:szCs w:val="18"/>
              </w:rPr>
            </w:pPr>
            <w:proofErr w:type="spellStart"/>
            <w:r w:rsidRPr="00CA1504">
              <w:rPr>
                <w:rFonts w:ascii="Arial" w:hAnsi="Arial" w:cs="Arial"/>
                <w:sz w:val="18"/>
                <w:szCs w:val="18"/>
              </w:rPr>
              <w:t>DirInstall</w:t>
            </w:r>
            <w:proofErr w:type="spellEnd"/>
          </w:p>
        </w:tc>
        <w:tc>
          <w:tcPr>
            <w:tcW w:w="1047" w:type="pct"/>
            <w:shd w:val="pct5" w:color="000000" w:fill="FFFFFF"/>
          </w:tcPr>
          <w:p w:rsidR="00A00551" w:rsidRPr="00CA1504" w:rsidRDefault="00A00551" w:rsidP="009F47C3">
            <w:pPr>
              <w:rPr>
                <w:rFonts w:ascii="Arial" w:hAnsi="Arial" w:cs="Arial"/>
                <w:sz w:val="18"/>
                <w:szCs w:val="18"/>
              </w:rPr>
            </w:pPr>
            <w:r w:rsidRPr="00CA1504">
              <w:rPr>
                <w:rFonts w:ascii="Arial" w:hAnsi="Arial" w:cs="Arial"/>
                <w:sz w:val="18"/>
                <w:szCs w:val="18"/>
              </w:rPr>
              <w:t>ET-Default</w:t>
            </w:r>
          </w:p>
        </w:tc>
        <w:tc>
          <w:tcPr>
            <w:tcW w:w="2308" w:type="pct"/>
            <w:shd w:val="pct5" w:color="000000" w:fill="FFFFFF"/>
          </w:tcPr>
          <w:p w:rsidR="00A00551" w:rsidRPr="00CA1504" w:rsidRDefault="00A00551" w:rsidP="009F47C3">
            <w:pPr>
              <w:rPr>
                <w:rFonts w:ascii="Arial" w:hAnsi="Arial" w:cs="Arial"/>
                <w:sz w:val="18"/>
                <w:szCs w:val="18"/>
              </w:rPr>
            </w:pPr>
            <w:r w:rsidRPr="00CA1504">
              <w:rPr>
                <w:rFonts w:ascii="Arial" w:hAnsi="Arial" w:cs="Arial"/>
                <w:sz w:val="18"/>
                <w:szCs w:val="18"/>
              </w:rPr>
              <w:t>Emerging Technologies approved by ED through work paper review</w:t>
            </w:r>
          </w:p>
        </w:tc>
        <w:tc>
          <w:tcPr>
            <w:tcW w:w="598" w:type="pct"/>
            <w:shd w:val="pct5" w:color="000000" w:fill="FFFFFF"/>
          </w:tcPr>
          <w:p w:rsidR="00A00551" w:rsidRPr="00CA1504" w:rsidRDefault="00A00551" w:rsidP="009F47C3">
            <w:pPr>
              <w:jc w:val="center"/>
              <w:rPr>
                <w:rFonts w:ascii="Arial" w:hAnsi="Arial" w:cs="Arial"/>
                <w:sz w:val="18"/>
                <w:szCs w:val="18"/>
              </w:rPr>
            </w:pPr>
            <w:r w:rsidRPr="00CA1504">
              <w:rPr>
                <w:rFonts w:ascii="Arial" w:hAnsi="Arial" w:cs="Arial"/>
                <w:sz w:val="18"/>
                <w:szCs w:val="18"/>
              </w:rPr>
              <w:t>0.85</w:t>
            </w:r>
          </w:p>
        </w:tc>
      </w:tr>
      <w:tr w:rsidR="00AD573D" w:rsidRPr="003B2621" w:rsidTr="00AD573D">
        <w:tc>
          <w:tcPr>
            <w:tcW w:w="1047" w:type="pct"/>
            <w:tcBorders>
              <w:top w:val="single" w:sz="4" w:space="0" w:color="auto"/>
              <w:left w:val="single" w:sz="4" w:space="0" w:color="auto"/>
              <w:bottom w:val="single" w:sz="4" w:space="0" w:color="auto"/>
              <w:right w:val="single" w:sz="4" w:space="0" w:color="auto"/>
            </w:tcBorders>
            <w:shd w:val="pct5" w:color="000000" w:fill="FFFFFF"/>
          </w:tcPr>
          <w:p w:rsidR="00AD573D" w:rsidRPr="00CA1504" w:rsidRDefault="001F21BD" w:rsidP="00D93D13">
            <w:pPr>
              <w:rPr>
                <w:rFonts w:ascii="Arial" w:hAnsi="Arial" w:cs="Arial"/>
                <w:sz w:val="18"/>
                <w:szCs w:val="18"/>
              </w:rPr>
            </w:pPr>
            <w:r w:rsidRPr="00CA1504">
              <w:rPr>
                <w:rFonts w:ascii="Arial" w:hAnsi="Arial" w:cs="Arial"/>
                <w:sz w:val="18"/>
                <w:szCs w:val="18"/>
              </w:rPr>
              <w:lastRenderedPageBreak/>
              <w:t>PreRebUp</w:t>
            </w:r>
            <w:r w:rsidR="00AD573D" w:rsidRPr="00CA1504">
              <w:rPr>
                <w:rFonts w:ascii="Arial" w:hAnsi="Arial" w:cs="Arial"/>
                <w:sz w:val="18"/>
                <w:szCs w:val="18"/>
              </w:rPr>
              <w:t>-2016</w:t>
            </w:r>
          </w:p>
        </w:tc>
        <w:tc>
          <w:tcPr>
            <w:tcW w:w="1047" w:type="pct"/>
            <w:tcBorders>
              <w:top w:val="single" w:sz="4" w:space="0" w:color="auto"/>
              <w:left w:val="single" w:sz="4" w:space="0" w:color="auto"/>
              <w:bottom w:val="single" w:sz="4" w:space="0" w:color="auto"/>
              <w:right w:val="single" w:sz="4" w:space="0" w:color="auto"/>
            </w:tcBorders>
            <w:shd w:val="pct5" w:color="000000" w:fill="FFFFFF"/>
          </w:tcPr>
          <w:p w:rsidR="00AD573D" w:rsidRPr="00CA1504" w:rsidRDefault="00AD573D" w:rsidP="00D93D13">
            <w:pPr>
              <w:rPr>
                <w:rFonts w:ascii="Arial" w:hAnsi="Arial" w:cs="Arial"/>
                <w:sz w:val="18"/>
                <w:szCs w:val="18"/>
              </w:rPr>
            </w:pPr>
            <w:r w:rsidRPr="00CA1504">
              <w:rPr>
                <w:rFonts w:ascii="Arial" w:hAnsi="Arial" w:cs="Arial"/>
                <w:sz w:val="18"/>
                <w:szCs w:val="18"/>
              </w:rPr>
              <w:t>All-Default&lt;=2yrs</w:t>
            </w:r>
          </w:p>
        </w:tc>
        <w:tc>
          <w:tcPr>
            <w:tcW w:w="2308" w:type="pct"/>
            <w:tcBorders>
              <w:top w:val="single" w:sz="4" w:space="0" w:color="auto"/>
              <w:left w:val="single" w:sz="4" w:space="0" w:color="auto"/>
              <w:bottom w:val="single" w:sz="4" w:space="0" w:color="auto"/>
              <w:right w:val="single" w:sz="4" w:space="0" w:color="auto"/>
            </w:tcBorders>
            <w:shd w:val="pct5" w:color="000000" w:fill="FFFFFF"/>
          </w:tcPr>
          <w:p w:rsidR="00AD573D" w:rsidRPr="00CA1504" w:rsidRDefault="00933767" w:rsidP="00D93D13">
            <w:pPr>
              <w:rPr>
                <w:rFonts w:ascii="Arial" w:hAnsi="Arial" w:cs="Arial"/>
                <w:sz w:val="18"/>
                <w:szCs w:val="18"/>
              </w:rPr>
            </w:pPr>
            <w:r w:rsidRPr="00CA1504">
              <w:rPr>
                <w:rFonts w:ascii="Arial" w:hAnsi="Arial" w:cs="Arial"/>
                <w:sz w:val="18"/>
                <w:szCs w:val="18"/>
              </w:rPr>
              <w:t xml:space="preserve">All other EEM with no evaluated NTGR; new technology in program for 2 or fewer years </w:t>
            </w:r>
          </w:p>
        </w:tc>
        <w:tc>
          <w:tcPr>
            <w:tcW w:w="598" w:type="pct"/>
            <w:tcBorders>
              <w:top w:val="single" w:sz="4" w:space="0" w:color="auto"/>
              <w:left w:val="single" w:sz="4" w:space="0" w:color="auto"/>
              <w:bottom w:val="single" w:sz="4" w:space="0" w:color="auto"/>
              <w:right w:val="single" w:sz="4" w:space="0" w:color="auto"/>
            </w:tcBorders>
            <w:shd w:val="pct5" w:color="000000" w:fill="FFFFFF"/>
          </w:tcPr>
          <w:p w:rsidR="00AD573D" w:rsidRPr="00CA1504" w:rsidRDefault="00AD573D" w:rsidP="00D93D13">
            <w:pPr>
              <w:jc w:val="center"/>
              <w:rPr>
                <w:rFonts w:ascii="Arial" w:hAnsi="Arial" w:cs="Arial"/>
                <w:sz w:val="18"/>
                <w:szCs w:val="18"/>
              </w:rPr>
            </w:pPr>
            <w:r w:rsidRPr="00CA1504">
              <w:rPr>
                <w:rFonts w:ascii="Arial" w:hAnsi="Arial" w:cs="Arial"/>
                <w:sz w:val="18"/>
                <w:szCs w:val="18"/>
              </w:rPr>
              <w:t>0.7</w:t>
            </w:r>
          </w:p>
        </w:tc>
      </w:tr>
    </w:tbl>
    <w:p w:rsidR="008F48E1" w:rsidRDefault="008F48E1" w:rsidP="00435C34">
      <w:pPr>
        <w:ind w:left="720"/>
        <w:rPr>
          <w:rFonts w:ascii="Arial" w:hAnsi="Arial" w:cs="Arial"/>
          <w:sz w:val="20"/>
          <w:szCs w:val="20"/>
        </w:rPr>
      </w:pPr>
    </w:p>
    <w:p w:rsidR="00CA1504" w:rsidRDefault="00CA1504" w:rsidP="00CA1504">
      <w:pPr>
        <w:tabs>
          <w:tab w:val="left" w:pos="6435"/>
        </w:tabs>
        <w:rPr>
          <w:rFonts w:ascii="Arial" w:hAnsi="Arial" w:cs="Arial"/>
          <w:b/>
          <w:sz w:val="20"/>
          <w:szCs w:val="20"/>
          <w:u w:val="single"/>
        </w:rPr>
      </w:pPr>
      <w:r>
        <w:rPr>
          <w:rFonts w:ascii="Arial" w:hAnsi="Arial" w:cs="Arial"/>
          <w:b/>
          <w:sz w:val="20"/>
          <w:szCs w:val="20"/>
          <w:u w:val="single"/>
        </w:rPr>
        <w:t>Installation Rate</w:t>
      </w:r>
    </w:p>
    <w:p w:rsidR="00CA1504" w:rsidRPr="00CA1504" w:rsidRDefault="00CA1504" w:rsidP="00CA1504">
      <w:pPr>
        <w:rPr>
          <w:rFonts w:ascii="Arial" w:hAnsi="Arial" w:cs="Arial"/>
          <w:sz w:val="20"/>
          <w:szCs w:val="20"/>
        </w:rPr>
      </w:pPr>
      <w:r w:rsidRPr="00CA1504">
        <w:rPr>
          <w:rFonts w:ascii="Arial" w:hAnsi="Arial" w:cs="Arial"/>
          <w:sz w:val="20"/>
          <w:szCs w:val="20"/>
        </w:rPr>
        <w:t>The IR value</w:t>
      </w:r>
      <w:r>
        <w:rPr>
          <w:rFonts w:ascii="Arial" w:hAnsi="Arial" w:cs="Arial"/>
          <w:sz w:val="20"/>
          <w:szCs w:val="20"/>
        </w:rPr>
        <w:t xml:space="preserve"> was </w:t>
      </w:r>
      <w:r w:rsidRPr="00CA1504">
        <w:rPr>
          <w:rFonts w:ascii="Arial" w:hAnsi="Arial" w:cs="Arial"/>
          <w:sz w:val="20"/>
          <w:szCs w:val="20"/>
        </w:rPr>
        <w:t xml:space="preserve">obtained using the DEER READI tool. The relevant IR value for the measures in this work paper </w:t>
      </w:r>
      <w:r>
        <w:rPr>
          <w:rFonts w:ascii="Arial" w:hAnsi="Arial" w:cs="Arial"/>
          <w:sz w:val="20"/>
          <w:szCs w:val="20"/>
        </w:rPr>
        <w:t>is</w:t>
      </w:r>
      <w:r w:rsidRPr="00CA1504">
        <w:rPr>
          <w:rFonts w:ascii="Arial" w:hAnsi="Arial" w:cs="Arial"/>
          <w:sz w:val="20"/>
          <w:szCs w:val="20"/>
        </w:rPr>
        <w:t xml:space="preserve"> in the table below.</w:t>
      </w:r>
    </w:p>
    <w:p w:rsidR="00CA1504" w:rsidRDefault="00CA1504" w:rsidP="00CA1504">
      <w:pPr>
        <w:pStyle w:val="Caption"/>
        <w:keepNext/>
        <w:jc w:val="center"/>
      </w:pPr>
      <w:bookmarkStart w:id="28" w:name="_Toc438457212"/>
      <w:r>
        <w:t xml:space="preserve">Table </w:t>
      </w:r>
      <w:fldSimple w:instr=" SEQ Table \* ARABIC ">
        <w:r>
          <w:rPr>
            <w:noProof/>
          </w:rPr>
          <w:t>5</w:t>
        </w:r>
      </w:fldSimple>
      <w:r>
        <w:t xml:space="preserve"> - Installation Rate</w:t>
      </w:r>
      <w:bookmarkEnd w:id="28"/>
    </w:p>
    <w:tbl>
      <w:tblPr>
        <w:tblStyle w:val="TableGrid1"/>
        <w:tblW w:w="5000" w:type="pct"/>
        <w:tblLook w:val="01E0" w:firstRow="1" w:lastRow="1" w:firstColumn="1" w:lastColumn="1" w:noHBand="0" w:noVBand="0"/>
      </w:tblPr>
      <w:tblGrid>
        <w:gridCol w:w="1355"/>
        <w:gridCol w:w="2663"/>
        <w:gridCol w:w="1292"/>
        <w:gridCol w:w="1616"/>
        <w:gridCol w:w="1390"/>
        <w:gridCol w:w="1260"/>
      </w:tblGrid>
      <w:tr w:rsidR="00CA1504" w:rsidRPr="00CA1504" w:rsidTr="00CA1504">
        <w:tc>
          <w:tcPr>
            <w:tcW w:w="707" w:type="pct"/>
            <w:shd w:val="clear" w:color="auto" w:fill="D9D9D9" w:themeFill="background1" w:themeFillShade="D9"/>
          </w:tcPr>
          <w:p w:rsidR="00CA1504" w:rsidRPr="00CA1504" w:rsidRDefault="00CA1504" w:rsidP="006B6526">
            <w:pPr>
              <w:rPr>
                <w:rFonts w:ascii="Arial" w:hAnsi="Arial" w:cs="Arial"/>
                <w:b/>
                <w:sz w:val="20"/>
                <w:szCs w:val="20"/>
              </w:rPr>
            </w:pPr>
            <w:r w:rsidRPr="00CA1504">
              <w:rPr>
                <w:rFonts w:ascii="Arial" w:hAnsi="Arial" w:cs="Arial"/>
                <w:b/>
                <w:sz w:val="20"/>
                <w:szCs w:val="20"/>
              </w:rPr>
              <w:t>GSIA ID</w:t>
            </w:r>
          </w:p>
        </w:tc>
        <w:tc>
          <w:tcPr>
            <w:tcW w:w="1390" w:type="pct"/>
            <w:shd w:val="clear" w:color="auto" w:fill="D9D9D9" w:themeFill="background1" w:themeFillShade="D9"/>
          </w:tcPr>
          <w:p w:rsidR="00CA1504" w:rsidRPr="00CA1504" w:rsidRDefault="00CA1504" w:rsidP="006B6526">
            <w:pPr>
              <w:rPr>
                <w:rFonts w:ascii="Arial" w:hAnsi="Arial" w:cs="Arial"/>
                <w:b/>
                <w:sz w:val="20"/>
                <w:szCs w:val="20"/>
              </w:rPr>
            </w:pPr>
            <w:r w:rsidRPr="00CA1504">
              <w:rPr>
                <w:rFonts w:ascii="Arial" w:hAnsi="Arial" w:cs="Arial"/>
                <w:b/>
                <w:sz w:val="20"/>
                <w:szCs w:val="20"/>
              </w:rPr>
              <w:t>Description</w:t>
            </w:r>
          </w:p>
        </w:tc>
        <w:tc>
          <w:tcPr>
            <w:tcW w:w="674" w:type="pct"/>
            <w:shd w:val="clear" w:color="auto" w:fill="D9D9D9" w:themeFill="background1" w:themeFillShade="D9"/>
          </w:tcPr>
          <w:p w:rsidR="00CA1504" w:rsidRPr="00CA1504" w:rsidRDefault="00CA1504" w:rsidP="006B6526">
            <w:pPr>
              <w:rPr>
                <w:rFonts w:ascii="Arial" w:hAnsi="Arial" w:cs="Arial"/>
                <w:b/>
                <w:sz w:val="20"/>
                <w:szCs w:val="20"/>
              </w:rPr>
            </w:pPr>
            <w:r w:rsidRPr="00CA1504">
              <w:rPr>
                <w:rFonts w:ascii="Arial" w:hAnsi="Arial" w:cs="Arial"/>
                <w:b/>
                <w:sz w:val="20"/>
                <w:szCs w:val="20"/>
              </w:rPr>
              <w:t>Sector</w:t>
            </w:r>
          </w:p>
        </w:tc>
        <w:tc>
          <w:tcPr>
            <w:tcW w:w="844" w:type="pct"/>
            <w:shd w:val="clear" w:color="auto" w:fill="D9D9D9" w:themeFill="background1" w:themeFillShade="D9"/>
          </w:tcPr>
          <w:p w:rsidR="00CA1504" w:rsidRPr="00CA1504" w:rsidRDefault="00CA1504" w:rsidP="006B6526">
            <w:pPr>
              <w:rPr>
                <w:rFonts w:ascii="Arial" w:hAnsi="Arial" w:cs="Arial"/>
                <w:b/>
                <w:sz w:val="20"/>
                <w:szCs w:val="20"/>
              </w:rPr>
            </w:pPr>
            <w:proofErr w:type="spellStart"/>
            <w:r w:rsidRPr="00CA1504">
              <w:rPr>
                <w:rFonts w:ascii="Arial" w:hAnsi="Arial" w:cs="Arial"/>
                <w:b/>
                <w:sz w:val="20"/>
                <w:szCs w:val="20"/>
              </w:rPr>
              <w:t>BldgType</w:t>
            </w:r>
            <w:proofErr w:type="spellEnd"/>
          </w:p>
        </w:tc>
        <w:tc>
          <w:tcPr>
            <w:tcW w:w="726" w:type="pct"/>
            <w:shd w:val="clear" w:color="auto" w:fill="D9D9D9" w:themeFill="background1" w:themeFillShade="D9"/>
          </w:tcPr>
          <w:p w:rsidR="00CA1504" w:rsidRPr="00CA1504" w:rsidRDefault="00CA1504" w:rsidP="006B6526">
            <w:pPr>
              <w:rPr>
                <w:rFonts w:ascii="Arial" w:hAnsi="Arial" w:cs="Arial"/>
                <w:b/>
                <w:sz w:val="20"/>
                <w:szCs w:val="20"/>
              </w:rPr>
            </w:pPr>
            <w:proofErr w:type="spellStart"/>
            <w:r w:rsidRPr="00CA1504">
              <w:rPr>
                <w:rFonts w:ascii="Arial" w:hAnsi="Arial" w:cs="Arial"/>
                <w:b/>
                <w:sz w:val="20"/>
                <w:szCs w:val="20"/>
              </w:rPr>
              <w:t>ProgDelivID</w:t>
            </w:r>
            <w:proofErr w:type="spellEnd"/>
          </w:p>
        </w:tc>
        <w:tc>
          <w:tcPr>
            <w:tcW w:w="658" w:type="pct"/>
            <w:shd w:val="clear" w:color="auto" w:fill="D9D9D9" w:themeFill="background1" w:themeFillShade="D9"/>
          </w:tcPr>
          <w:p w:rsidR="00CA1504" w:rsidRPr="00CA1504" w:rsidRDefault="00CA1504" w:rsidP="006B6526">
            <w:pPr>
              <w:rPr>
                <w:rFonts w:ascii="Arial" w:hAnsi="Arial" w:cs="Arial"/>
                <w:b/>
                <w:sz w:val="20"/>
                <w:szCs w:val="20"/>
              </w:rPr>
            </w:pPr>
            <w:proofErr w:type="spellStart"/>
            <w:r w:rsidRPr="00CA1504">
              <w:rPr>
                <w:rFonts w:ascii="Arial" w:hAnsi="Arial" w:cs="Arial"/>
                <w:b/>
                <w:sz w:val="20"/>
                <w:szCs w:val="20"/>
              </w:rPr>
              <w:t>GSIAValue</w:t>
            </w:r>
            <w:proofErr w:type="spellEnd"/>
          </w:p>
        </w:tc>
      </w:tr>
      <w:tr w:rsidR="00CA1504" w:rsidRPr="00CA1504" w:rsidTr="00CA1504">
        <w:tc>
          <w:tcPr>
            <w:tcW w:w="707" w:type="pct"/>
          </w:tcPr>
          <w:p w:rsidR="00CA1504" w:rsidRPr="00CA1504" w:rsidRDefault="00CA1504" w:rsidP="006B6526">
            <w:pPr>
              <w:rPr>
                <w:rFonts w:ascii="Arial" w:hAnsi="Arial" w:cs="Arial"/>
                <w:sz w:val="18"/>
                <w:szCs w:val="18"/>
              </w:rPr>
            </w:pPr>
            <w:proofErr w:type="spellStart"/>
            <w:r w:rsidRPr="00CA1504">
              <w:rPr>
                <w:rFonts w:ascii="Arial" w:hAnsi="Arial" w:cs="Arial"/>
                <w:sz w:val="18"/>
                <w:szCs w:val="18"/>
              </w:rPr>
              <w:t>Def</w:t>
            </w:r>
            <w:proofErr w:type="spellEnd"/>
            <w:r w:rsidRPr="00CA1504">
              <w:rPr>
                <w:rFonts w:ascii="Arial" w:hAnsi="Arial" w:cs="Arial"/>
                <w:sz w:val="18"/>
                <w:szCs w:val="18"/>
              </w:rPr>
              <w:t>-GSIA</w:t>
            </w:r>
          </w:p>
        </w:tc>
        <w:tc>
          <w:tcPr>
            <w:tcW w:w="1390" w:type="pct"/>
          </w:tcPr>
          <w:p w:rsidR="00CA1504" w:rsidRPr="00CA1504" w:rsidRDefault="00CA1504" w:rsidP="006B6526">
            <w:pPr>
              <w:rPr>
                <w:rFonts w:ascii="Arial" w:hAnsi="Arial" w:cs="Arial"/>
                <w:sz w:val="18"/>
                <w:szCs w:val="18"/>
              </w:rPr>
            </w:pPr>
            <w:r w:rsidRPr="00CA1504">
              <w:rPr>
                <w:rFonts w:ascii="Arial" w:hAnsi="Arial" w:cs="Arial"/>
                <w:sz w:val="18"/>
                <w:szCs w:val="18"/>
              </w:rPr>
              <w:t>Default GSIA values</w:t>
            </w:r>
          </w:p>
        </w:tc>
        <w:tc>
          <w:tcPr>
            <w:tcW w:w="674" w:type="pct"/>
          </w:tcPr>
          <w:p w:rsidR="00CA1504" w:rsidRPr="00CA1504" w:rsidRDefault="00CA1504" w:rsidP="006B6526">
            <w:pPr>
              <w:rPr>
                <w:rFonts w:ascii="Arial" w:hAnsi="Arial" w:cs="Arial"/>
                <w:sz w:val="18"/>
                <w:szCs w:val="18"/>
              </w:rPr>
            </w:pPr>
            <w:r w:rsidRPr="00CA1504">
              <w:rPr>
                <w:rFonts w:ascii="Arial" w:hAnsi="Arial" w:cs="Arial"/>
                <w:sz w:val="18"/>
                <w:szCs w:val="18"/>
              </w:rPr>
              <w:t>Any</w:t>
            </w:r>
          </w:p>
        </w:tc>
        <w:tc>
          <w:tcPr>
            <w:tcW w:w="844" w:type="pct"/>
          </w:tcPr>
          <w:p w:rsidR="00CA1504" w:rsidRPr="00CA1504" w:rsidRDefault="00CA1504" w:rsidP="006B6526">
            <w:pPr>
              <w:rPr>
                <w:rFonts w:ascii="Arial" w:hAnsi="Arial" w:cs="Arial"/>
                <w:sz w:val="18"/>
                <w:szCs w:val="18"/>
              </w:rPr>
            </w:pPr>
            <w:r w:rsidRPr="00CA1504">
              <w:rPr>
                <w:rFonts w:ascii="Arial" w:hAnsi="Arial" w:cs="Arial"/>
                <w:sz w:val="18"/>
                <w:szCs w:val="18"/>
              </w:rPr>
              <w:t>Any</w:t>
            </w:r>
          </w:p>
        </w:tc>
        <w:tc>
          <w:tcPr>
            <w:tcW w:w="726" w:type="pct"/>
          </w:tcPr>
          <w:p w:rsidR="00CA1504" w:rsidRPr="00CA1504" w:rsidRDefault="00CA1504" w:rsidP="006B6526">
            <w:pPr>
              <w:rPr>
                <w:rFonts w:ascii="Arial" w:hAnsi="Arial" w:cs="Arial"/>
                <w:sz w:val="18"/>
                <w:szCs w:val="18"/>
              </w:rPr>
            </w:pPr>
            <w:r w:rsidRPr="00CA1504">
              <w:rPr>
                <w:rFonts w:ascii="Arial" w:hAnsi="Arial" w:cs="Arial"/>
                <w:sz w:val="18"/>
                <w:szCs w:val="18"/>
              </w:rPr>
              <w:t>Any</w:t>
            </w:r>
          </w:p>
        </w:tc>
        <w:tc>
          <w:tcPr>
            <w:tcW w:w="658" w:type="pct"/>
          </w:tcPr>
          <w:p w:rsidR="00CA1504" w:rsidRPr="00CA1504" w:rsidRDefault="00CA1504" w:rsidP="006B6526">
            <w:pPr>
              <w:rPr>
                <w:rFonts w:ascii="Arial" w:hAnsi="Arial" w:cs="Arial"/>
                <w:sz w:val="18"/>
                <w:szCs w:val="18"/>
              </w:rPr>
            </w:pPr>
            <w:r w:rsidRPr="00CA1504">
              <w:rPr>
                <w:rFonts w:ascii="Arial" w:hAnsi="Arial" w:cs="Arial"/>
                <w:sz w:val="18"/>
                <w:szCs w:val="18"/>
              </w:rPr>
              <w:t>1</w:t>
            </w:r>
          </w:p>
        </w:tc>
      </w:tr>
    </w:tbl>
    <w:p w:rsidR="00CA1504" w:rsidRPr="00C61FFE" w:rsidRDefault="00CA1504" w:rsidP="00CA1504">
      <w:pPr>
        <w:rPr>
          <w:rFonts w:ascii="Arial" w:hAnsi="Arial" w:cs="Arial"/>
          <w:sz w:val="20"/>
          <w:szCs w:val="20"/>
        </w:rPr>
      </w:pPr>
    </w:p>
    <w:p w:rsidR="00CA1504" w:rsidRDefault="00CA1504" w:rsidP="009B1119">
      <w:pPr>
        <w:tabs>
          <w:tab w:val="left" w:pos="6435"/>
        </w:tabs>
        <w:rPr>
          <w:rFonts w:ascii="Arial" w:hAnsi="Arial" w:cs="Arial"/>
          <w:b/>
          <w:sz w:val="20"/>
          <w:szCs w:val="20"/>
          <w:u w:val="single"/>
        </w:rPr>
      </w:pPr>
    </w:p>
    <w:p w:rsidR="00DD2826" w:rsidRDefault="00DD2826" w:rsidP="009B1119">
      <w:pPr>
        <w:tabs>
          <w:tab w:val="left" w:pos="6435"/>
        </w:tabs>
        <w:rPr>
          <w:rFonts w:ascii="Arial" w:hAnsi="Arial" w:cs="Arial"/>
          <w:b/>
          <w:sz w:val="20"/>
          <w:szCs w:val="20"/>
          <w:u w:val="single"/>
        </w:rPr>
      </w:pPr>
      <w:r w:rsidRPr="009B1119">
        <w:rPr>
          <w:rFonts w:ascii="Arial" w:hAnsi="Arial" w:cs="Arial"/>
          <w:b/>
          <w:sz w:val="20"/>
          <w:szCs w:val="20"/>
          <w:u w:val="single"/>
        </w:rPr>
        <w:t>Effective Useful Life / Remaining Useful Life</w:t>
      </w:r>
    </w:p>
    <w:p w:rsidR="00F36736" w:rsidRPr="00D93D13" w:rsidRDefault="00FD7446" w:rsidP="00DD2826">
      <w:r>
        <w:rPr>
          <w:rFonts w:ascii="Arial" w:hAnsi="Arial" w:cs="Arial"/>
          <w:sz w:val="20"/>
          <w:szCs w:val="20"/>
        </w:rPr>
        <w:t>The rated life for t</w:t>
      </w:r>
      <w:r w:rsidR="00333996">
        <w:rPr>
          <w:rFonts w:ascii="Arial" w:hAnsi="Arial" w:cs="Arial"/>
          <w:sz w:val="20"/>
          <w:szCs w:val="20"/>
        </w:rPr>
        <w:t xml:space="preserve">hese products is assumed to be </w:t>
      </w:r>
      <w:r>
        <w:rPr>
          <w:rFonts w:ascii="Arial" w:hAnsi="Arial" w:cs="Arial"/>
          <w:sz w:val="20"/>
          <w:szCs w:val="20"/>
        </w:rPr>
        <w:t>5</w:t>
      </w:r>
      <w:r w:rsidR="00333996">
        <w:rPr>
          <w:rFonts w:ascii="Arial" w:hAnsi="Arial" w:cs="Arial"/>
          <w:sz w:val="20"/>
          <w:szCs w:val="20"/>
        </w:rPr>
        <w:t>0</w:t>
      </w:r>
      <w:r>
        <w:rPr>
          <w:rFonts w:ascii="Arial" w:hAnsi="Arial" w:cs="Arial"/>
          <w:sz w:val="20"/>
          <w:szCs w:val="20"/>
        </w:rPr>
        <w:t>,000 hours, the minimum DLC specification</w:t>
      </w:r>
      <w:r w:rsidR="00DD2826" w:rsidRPr="00DD2826">
        <w:rPr>
          <w:rFonts w:ascii="Arial" w:hAnsi="Arial" w:cs="Arial"/>
          <w:sz w:val="20"/>
          <w:szCs w:val="20"/>
        </w:rPr>
        <w:t xml:space="preserve">. </w:t>
      </w:r>
      <w:r>
        <w:rPr>
          <w:rFonts w:ascii="Arial" w:hAnsi="Arial" w:cs="Arial"/>
          <w:sz w:val="20"/>
          <w:szCs w:val="20"/>
        </w:rPr>
        <w:t>Rated life for DLC-</w:t>
      </w:r>
      <w:r w:rsidR="00015851">
        <w:rPr>
          <w:rFonts w:ascii="Arial" w:hAnsi="Arial" w:cs="Arial"/>
          <w:sz w:val="20"/>
          <w:szCs w:val="20"/>
        </w:rPr>
        <w:t xml:space="preserve">listed products varies between </w:t>
      </w:r>
      <w:r>
        <w:rPr>
          <w:rFonts w:ascii="Arial" w:hAnsi="Arial" w:cs="Arial"/>
          <w:sz w:val="20"/>
          <w:szCs w:val="20"/>
        </w:rPr>
        <w:t>5</w:t>
      </w:r>
      <w:r w:rsidR="00015851">
        <w:rPr>
          <w:rFonts w:ascii="Arial" w:hAnsi="Arial" w:cs="Arial"/>
          <w:sz w:val="20"/>
          <w:szCs w:val="20"/>
        </w:rPr>
        <w:t>0</w:t>
      </w:r>
      <w:r>
        <w:rPr>
          <w:rFonts w:ascii="Arial" w:hAnsi="Arial" w:cs="Arial"/>
          <w:sz w:val="20"/>
          <w:szCs w:val="20"/>
        </w:rPr>
        <w:t xml:space="preserve">,000 hours and </w:t>
      </w:r>
      <w:r w:rsidR="00333996">
        <w:rPr>
          <w:rFonts w:ascii="Arial" w:hAnsi="Arial" w:cs="Arial"/>
          <w:sz w:val="20"/>
          <w:szCs w:val="20"/>
        </w:rPr>
        <w:t>500</w:t>
      </w:r>
      <w:r>
        <w:rPr>
          <w:rFonts w:ascii="Arial" w:hAnsi="Arial" w:cs="Arial"/>
          <w:sz w:val="20"/>
          <w:szCs w:val="20"/>
        </w:rPr>
        <w:t>,000 hours</w:t>
      </w:r>
      <w:r w:rsidR="00F62F79">
        <w:rPr>
          <w:rFonts w:ascii="Arial" w:hAnsi="Arial" w:cs="Arial"/>
          <w:sz w:val="20"/>
          <w:szCs w:val="20"/>
        </w:rPr>
        <w:t xml:space="preserve">. </w:t>
      </w:r>
      <w:r w:rsidR="00DD2826" w:rsidRPr="00DD2826">
        <w:rPr>
          <w:rFonts w:ascii="Arial" w:hAnsi="Arial" w:cs="Arial"/>
          <w:sz w:val="20"/>
          <w:szCs w:val="20"/>
        </w:rPr>
        <w:t xml:space="preserve">Since the EUL is dependent on the </w:t>
      </w:r>
      <w:r w:rsidR="00333996">
        <w:rPr>
          <w:rFonts w:ascii="Arial" w:hAnsi="Arial" w:cs="Arial"/>
          <w:sz w:val="20"/>
          <w:szCs w:val="20"/>
        </w:rPr>
        <w:t xml:space="preserve">DEER </w:t>
      </w:r>
      <w:r w:rsidR="00DD2826" w:rsidRPr="00DD2826">
        <w:rPr>
          <w:rFonts w:ascii="Arial" w:hAnsi="Arial" w:cs="Arial"/>
          <w:sz w:val="20"/>
          <w:szCs w:val="20"/>
        </w:rPr>
        <w:t xml:space="preserve">hours of operation, the EUL </w:t>
      </w:r>
      <w:r w:rsidR="00CA15C7">
        <w:rPr>
          <w:rFonts w:ascii="Arial" w:hAnsi="Arial" w:cs="Arial"/>
          <w:sz w:val="20"/>
          <w:szCs w:val="20"/>
        </w:rPr>
        <w:t xml:space="preserve">expressed in years </w:t>
      </w:r>
      <w:r w:rsidR="00DD2826" w:rsidRPr="00DD2826">
        <w:rPr>
          <w:rFonts w:ascii="Arial" w:hAnsi="Arial" w:cs="Arial"/>
          <w:sz w:val="20"/>
          <w:szCs w:val="20"/>
        </w:rPr>
        <w:t xml:space="preserve">varies by building type. </w:t>
      </w:r>
      <w:r w:rsidR="00C27933">
        <w:rPr>
          <w:rFonts w:ascii="Arial" w:hAnsi="Arial" w:cs="Arial"/>
          <w:sz w:val="20"/>
          <w:szCs w:val="20"/>
        </w:rPr>
        <w:t>D</w:t>
      </w:r>
      <w:r w:rsidR="00F36736">
        <w:rPr>
          <w:rFonts w:ascii="Arial" w:hAnsi="Arial" w:cs="Arial"/>
          <w:sz w:val="20"/>
          <w:szCs w:val="20"/>
        </w:rPr>
        <w:t xml:space="preserve">EER </w:t>
      </w:r>
      <w:r w:rsidR="00C27933">
        <w:rPr>
          <w:rFonts w:ascii="Arial" w:hAnsi="Arial" w:cs="Arial"/>
          <w:sz w:val="20"/>
          <w:szCs w:val="20"/>
        </w:rPr>
        <w:t xml:space="preserve">sets an EUL </w:t>
      </w:r>
      <w:r w:rsidR="00F36736">
        <w:rPr>
          <w:rFonts w:ascii="Arial" w:hAnsi="Arial" w:cs="Arial"/>
          <w:sz w:val="20"/>
          <w:szCs w:val="20"/>
        </w:rPr>
        <w:t xml:space="preserve">maximum of </w:t>
      </w:r>
      <w:r w:rsidR="00C87EF3">
        <w:rPr>
          <w:rFonts w:ascii="Arial" w:hAnsi="Arial" w:cs="Arial"/>
          <w:sz w:val="20"/>
          <w:szCs w:val="20"/>
        </w:rPr>
        <w:t>16</w:t>
      </w:r>
      <w:r w:rsidR="00CA15C7">
        <w:rPr>
          <w:rFonts w:ascii="Arial" w:hAnsi="Arial" w:cs="Arial"/>
          <w:sz w:val="20"/>
          <w:szCs w:val="20"/>
        </w:rPr>
        <w:t xml:space="preserve"> years</w:t>
      </w:r>
      <w:r w:rsidR="00C27933">
        <w:rPr>
          <w:rFonts w:ascii="Arial" w:hAnsi="Arial" w:cs="Arial"/>
          <w:sz w:val="20"/>
          <w:szCs w:val="20"/>
        </w:rPr>
        <w:t xml:space="preserve"> for Interior Linear Fluorescent Fixtures, which this </w:t>
      </w:r>
      <w:proofErr w:type="spellStart"/>
      <w:r w:rsidR="00C27933">
        <w:rPr>
          <w:rFonts w:ascii="Arial" w:hAnsi="Arial" w:cs="Arial"/>
          <w:sz w:val="20"/>
          <w:szCs w:val="20"/>
        </w:rPr>
        <w:t>workpaper</w:t>
      </w:r>
      <w:proofErr w:type="spellEnd"/>
      <w:r w:rsidR="00C27933">
        <w:rPr>
          <w:rFonts w:ascii="Arial" w:hAnsi="Arial" w:cs="Arial"/>
          <w:sz w:val="20"/>
          <w:szCs w:val="20"/>
        </w:rPr>
        <w:t xml:space="preserve"> proposes applying to these LED fixtures and retrofit kits (16 year EUL maximum, equivalent of </w:t>
      </w:r>
      <w:r w:rsidR="00C27933" w:rsidRPr="00C27933">
        <w:rPr>
          <w:rFonts w:ascii="Arial" w:hAnsi="Arial" w:cs="Arial"/>
          <w:sz w:val="20"/>
          <w:szCs w:val="20"/>
        </w:rPr>
        <w:t>equiv</w:t>
      </w:r>
      <w:r w:rsidR="00C27933">
        <w:rPr>
          <w:rFonts w:ascii="Arial" w:hAnsi="Arial" w:cs="Arial"/>
          <w:sz w:val="20"/>
          <w:szCs w:val="20"/>
        </w:rPr>
        <w:t>alent o</w:t>
      </w:r>
      <w:r w:rsidR="00C27933" w:rsidRPr="00D93D13">
        <w:rPr>
          <w:rFonts w:ascii="Arial" w:hAnsi="Arial" w:cs="Arial"/>
          <w:sz w:val="20"/>
          <w:szCs w:val="20"/>
        </w:rPr>
        <w:t xml:space="preserve">f </w:t>
      </w:r>
      <w:r w:rsidR="00D93D13" w:rsidRPr="00D93D13">
        <w:rPr>
          <w:rFonts w:ascii="Arial" w:hAnsi="Arial" w:cs="Arial"/>
          <w:sz w:val="20"/>
          <w:szCs w:val="20"/>
        </w:rPr>
        <w:t>ILtg-Com-LED-50000hr+16yr and ILtg-Res-LED-50000hr+16yr, DEER2016</w:t>
      </w:r>
      <w:r w:rsidR="00C27933" w:rsidRPr="00D93D13">
        <w:rPr>
          <w:rFonts w:ascii="Arial" w:hAnsi="Arial" w:cs="Arial"/>
          <w:sz w:val="20"/>
          <w:szCs w:val="20"/>
        </w:rPr>
        <w:t>).</w:t>
      </w:r>
    </w:p>
    <w:p w:rsidR="00DD2826" w:rsidRPr="00DD2826" w:rsidRDefault="00CA15C7" w:rsidP="00DD2826">
      <w:pPr>
        <w:rPr>
          <w:rFonts w:ascii="Arial" w:hAnsi="Arial" w:cs="Arial"/>
          <w:sz w:val="20"/>
          <w:szCs w:val="20"/>
        </w:rPr>
      </w:pPr>
      <w:r>
        <w:rPr>
          <w:rFonts w:ascii="Arial" w:hAnsi="Arial" w:cs="Arial"/>
          <w:sz w:val="20"/>
          <w:szCs w:val="20"/>
        </w:rPr>
        <w:t xml:space="preserve"> </w:t>
      </w:r>
    </w:p>
    <w:p w:rsidR="00DD2826" w:rsidRPr="00DD2826" w:rsidRDefault="00DD2826" w:rsidP="00DD2826">
      <w:pPr>
        <w:rPr>
          <w:rFonts w:ascii="Arial" w:hAnsi="Arial" w:cs="Arial"/>
          <w:sz w:val="20"/>
          <w:szCs w:val="20"/>
        </w:rPr>
      </w:pPr>
      <w:r w:rsidRPr="00DD2826">
        <w:rPr>
          <w:rFonts w:ascii="Arial" w:hAnsi="Arial" w:cs="Arial"/>
          <w:sz w:val="20"/>
          <w:szCs w:val="20"/>
        </w:rPr>
        <w:t xml:space="preserve">The EUL is based on </w:t>
      </w:r>
      <w:r w:rsidR="006C2F62">
        <w:rPr>
          <w:rFonts w:ascii="Arial" w:hAnsi="Arial" w:cs="Arial"/>
          <w:sz w:val="20"/>
          <w:szCs w:val="20"/>
        </w:rPr>
        <w:t>5</w:t>
      </w:r>
      <w:r w:rsidR="00015851">
        <w:rPr>
          <w:rFonts w:ascii="Arial" w:hAnsi="Arial" w:cs="Arial"/>
          <w:sz w:val="20"/>
          <w:szCs w:val="20"/>
        </w:rPr>
        <w:t>0</w:t>
      </w:r>
      <w:r w:rsidR="006C2F62">
        <w:rPr>
          <w:rFonts w:ascii="Arial" w:hAnsi="Arial" w:cs="Arial"/>
          <w:sz w:val="20"/>
          <w:szCs w:val="20"/>
        </w:rPr>
        <w:t>,000</w:t>
      </w:r>
      <w:r w:rsidR="00FD7446">
        <w:rPr>
          <w:rFonts w:ascii="Arial" w:hAnsi="Arial" w:cs="Arial"/>
          <w:sz w:val="20"/>
          <w:szCs w:val="20"/>
        </w:rPr>
        <w:t xml:space="preserve"> hours rated fixture</w:t>
      </w:r>
      <w:r w:rsidRPr="00DD2826">
        <w:rPr>
          <w:rFonts w:ascii="Arial" w:hAnsi="Arial" w:cs="Arial"/>
          <w:sz w:val="20"/>
          <w:szCs w:val="20"/>
        </w:rPr>
        <w:t xml:space="preserve"> life divided by average annual hours of o</w:t>
      </w:r>
      <w:r w:rsidR="00015851">
        <w:rPr>
          <w:rFonts w:ascii="Arial" w:hAnsi="Arial" w:cs="Arial"/>
          <w:sz w:val="20"/>
          <w:szCs w:val="20"/>
        </w:rPr>
        <w:t xml:space="preserve">peration for each building type, with a maximum of </w:t>
      </w:r>
      <w:r w:rsidR="00C87EF3">
        <w:rPr>
          <w:rFonts w:ascii="Arial" w:hAnsi="Arial" w:cs="Arial"/>
          <w:sz w:val="20"/>
          <w:szCs w:val="20"/>
        </w:rPr>
        <w:t>16</w:t>
      </w:r>
      <w:r w:rsidR="00015851">
        <w:rPr>
          <w:rFonts w:ascii="Arial" w:hAnsi="Arial" w:cs="Arial"/>
          <w:sz w:val="20"/>
          <w:szCs w:val="20"/>
        </w:rPr>
        <w:t xml:space="preserve"> years</w:t>
      </w:r>
      <w:r w:rsidR="003B2621">
        <w:rPr>
          <w:rFonts w:ascii="Arial" w:hAnsi="Arial" w:cs="Arial"/>
          <w:sz w:val="20"/>
          <w:szCs w:val="20"/>
        </w:rPr>
        <w:t>:</w:t>
      </w:r>
    </w:p>
    <w:p w:rsidR="00DD2826" w:rsidRPr="00DD2826" w:rsidRDefault="00DD2826" w:rsidP="00DD2826">
      <w:pPr>
        <w:rPr>
          <w:rFonts w:ascii="Arial" w:hAnsi="Arial" w:cs="Arial"/>
          <w:sz w:val="20"/>
          <w:szCs w:val="20"/>
        </w:rPr>
      </w:pPr>
    </w:p>
    <w:p w:rsidR="00DD2826" w:rsidRPr="00C61FFE" w:rsidRDefault="00DD2826" w:rsidP="00DD2826">
      <w:pPr>
        <w:rPr>
          <w:rFonts w:ascii="Arial" w:hAnsi="Arial" w:cs="Arial"/>
          <w:sz w:val="20"/>
          <w:szCs w:val="20"/>
        </w:rPr>
      </w:pPr>
      <w:r w:rsidRPr="00DD2826">
        <w:rPr>
          <w:rFonts w:ascii="Arial" w:hAnsi="Arial" w:cs="Arial"/>
          <w:sz w:val="20"/>
          <w:szCs w:val="20"/>
        </w:rPr>
        <w:tab/>
        <w:t>EUL = (</w:t>
      </w:r>
      <w:r w:rsidR="00DD12F1">
        <w:rPr>
          <w:rFonts w:ascii="Arial" w:hAnsi="Arial" w:cs="Arial"/>
          <w:sz w:val="20"/>
          <w:szCs w:val="20"/>
        </w:rPr>
        <w:t>DLC-Minimum Fixture</w:t>
      </w:r>
      <w:r w:rsidRPr="00DD2826">
        <w:rPr>
          <w:rFonts w:ascii="Arial" w:hAnsi="Arial" w:cs="Arial"/>
          <w:sz w:val="20"/>
          <w:szCs w:val="20"/>
        </w:rPr>
        <w:t xml:space="preserve"> Life (hours)) / (Average Operating Hours </w:t>
      </w:r>
      <w:proofErr w:type="gramStart"/>
      <w:r w:rsidRPr="00DD2826">
        <w:rPr>
          <w:rFonts w:ascii="Arial" w:hAnsi="Arial" w:cs="Arial"/>
          <w:sz w:val="20"/>
          <w:szCs w:val="20"/>
        </w:rPr>
        <w:t>Per</w:t>
      </w:r>
      <w:proofErr w:type="gramEnd"/>
      <w:r w:rsidRPr="00DD2826">
        <w:rPr>
          <w:rFonts w:ascii="Arial" w:hAnsi="Arial" w:cs="Arial"/>
          <w:sz w:val="20"/>
          <w:szCs w:val="20"/>
        </w:rPr>
        <w:t xml:space="preserve"> Year)</w:t>
      </w:r>
    </w:p>
    <w:p w:rsidR="00DD2826" w:rsidRPr="00FD605E" w:rsidRDefault="00DD2826" w:rsidP="00DD2826"/>
    <w:p w:rsidR="002E0043" w:rsidRPr="002E0043" w:rsidRDefault="001248A3" w:rsidP="002E0043">
      <w:pPr>
        <w:pStyle w:val="Heading2"/>
      </w:pPr>
      <w:bookmarkStart w:id="29" w:name="_Toc438457179"/>
      <w:r>
        <w:t>1.</w:t>
      </w:r>
      <w:r w:rsidR="00FA595F">
        <w:t>4</w:t>
      </w:r>
      <w:r w:rsidR="00793646">
        <w:t>.2</w:t>
      </w:r>
      <w:r w:rsidR="00FA595F">
        <w:t xml:space="preserve"> </w:t>
      </w:r>
      <w:r w:rsidR="00E71EF1" w:rsidRPr="001248A3">
        <w:t xml:space="preserve">Codes &amp; Standards Requirements </w:t>
      </w:r>
      <w:r w:rsidR="009C5CA7">
        <w:t>Base Case and Measure Information</w:t>
      </w:r>
      <w:bookmarkEnd w:id="29"/>
    </w:p>
    <w:p w:rsidR="00640BB6" w:rsidRPr="00B13099" w:rsidRDefault="00EE53FF" w:rsidP="00B13099">
      <w:pPr>
        <w:rPr>
          <w:rFonts w:ascii="Arial" w:hAnsi="Arial" w:cs="Arial"/>
          <w:i/>
          <w:sz w:val="20"/>
          <w:szCs w:val="20"/>
        </w:rPr>
      </w:pPr>
      <w:r w:rsidRPr="00B13099">
        <w:rPr>
          <w:rFonts w:ascii="Arial" w:hAnsi="Arial" w:cs="Arial"/>
          <w:b/>
          <w:i/>
        </w:rPr>
        <w:t>Title 20:</w:t>
      </w:r>
      <w:r w:rsidRPr="00B13099">
        <w:rPr>
          <w:rFonts w:ascii="Arial" w:hAnsi="Arial" w:cs="Arial"/>
        </w:rPr>
        <w:t xml:space="preserve"> </w:t>
      </w:r>
      <w:r w:rsidR="00B13099" w:rsidRPr="00B13099">
        <w:rPr>
          <w:rFonts w:ascii="Arial" w:hAnsi="Arial" w:cs="Arial"/>
          <w:sz w:val="20"/>
          <w:szCs w:val="20"/>
        </w:rPr>
        <w:t>Th</w:t>
      </w:r>
      <w:r w:rsidRPr="00B13099">
        <w:rPr>
          <w:rFonts w:ascii="Arial" w:hAnsi="Arial" w:cs="Arial"/>
          <w:sz w:val="20"/>
          <w:szCs w:val="20"/>
        </w:rPr>
        <w:t>ese measures do not fall under Title 20</w:t>
      </w:r>
      <w:r w:rsidR="00CA1504">
        <w:rPr>
          <w:rFonts w:ascii="Arial" w:hAnsi="Arial" w:cs="Arial"/>
          <w:sz w:val="20"/>
          <w:szCs w:val="20"/>
        </w:rPr>
        <w:t xml:space="preserve"> [2015]</w:t>
      </w:r>
      <w:r w:rsidRPr="00B13099">
        <w:rPr>
          <w:rFonts w:ascii="Arial" w:hAnsi="Arial" w:cs="Arial"/>
          <w:sz w:val="20"/>
          <w:szCs w:val="20"/>
        </w:rPr>
        <w:t xml:space="preserve"> of the California Energy Regulations.</w:t>
      </w:r>
      <w:r w:rsidR="00476B67">
        <w:rPr>
          <w:rFonts w:ascii="Arial" w:hAnsi="Arial" w:cs="Arial"/>
          <w:sz w:val="20"/>
          <w:szCs w:val="20"/>
        </w:rPr>
        <w:t xml:space="preserve"> </w:t>
      </w:r>
    </w:p>
    <w:p w:rsidR="00EE53FF" w:rsidRPr="00B13099" w:rsidRDefault="00EE53FF" w:rsidP="00B13099">
      <w:pPr>
        <w:rPr>
          <w:i/>
        </w:rPr>
      </w:pPr>
      <w:r w:rsidRPr="00B13099">
        <w:rPr>
          <w:rFonts w:ascii="Arial" w:hAnsi="Arial" w:cs="Arial"/>
          <w:b/>
          <w:i/>
        </w:rPr>
        <w:t>Title 24:</w:t>
      </w:r>
      <w:r w:rsidRPr="00B13099">
        <w:t xml:space="preserve"> </w:t>
      </w:r>
      <w:r w:rsidR="00B13099" w:rsidRPr="00B13099">
        <w:rPr>
          <w:rFonts w:ascii="Arial" w:hAnsi="Arial" w:cs="Arial"/>
          <w:sz w:val="20"/>
          <w:szCs w:val="20"/>
        </w:rPr>
        <w:t xml:space="preserve">These measures do not fall </w:t>
      </w:r>
      <w:r w:rsidRPr="00B13099">
        <w:rPr>
          <w:rFonts w:ascii="Arial" w:hAnsi="Arial" w:cs="Arial"/>
          <w:sz w:val="20"/>
          <w:szCs w:val="20"/>
        </w:rPr>
        <w:t xml:space="preserve">under Title 24 </w:t>
      </w:r>
      <w:r w:rsidR="00CA1504">
        <w:rPr>
          <w:rFonts w:ascii="Arial" w:hAnsi="Arial" w:cs="Arial"/>
          <w:sz w:val="20"/>
          <w:szCs w:val="20"/>
        </w:rPr>
        <w:t xml:space="preserve">[2013] </w:t>
      </w:r>
      <w:r w:rsidRPr="00B13099">
        <w:rPr>
          <w:rFonts w:ascii="Arial" w:hAnsi="Arial" w:cs="Arial"/>
          <w:sz w:val="20"/>
          <w:szCs w:val="20"/>
        </w:rPr>
        <w:t>of th</w:t>
      </w:r>
      <w:r w:rsidR="00015851">
        <w:rPr>
          <w:rFonts w:ascii="Arial" w:hAnsi="Arial" w:cs="Arial"/>
          <w:sz w:val="20"/>
          <w:szCs w:val="20"/>
        </w:rPr>
        <w:t>e California Energy Regulations. The Lighting Power Densities of both measure and base case are capped by Title 24, but both measure and base cases are configured so as to be compliant with Title 24, with the measure capturing savings above Title 24 minimums.</w:t>
      </w:r>
    </w:p>
    <w:p w:rsidR="00DF145B" w:rsidRDefault="00EE53FF" w:rsidP="00DF145B">
      <w:pPr>
        <w:rPr>
          <w:rFonts w:ascii="Arial" w:hAnsi="Arial" w:cs="Arial"/>
          <w:sz w:val="20"/>
          <w:szCs w:val="20"/>
        </w:rPr>
      </w:pPr>
      <w:r w:rsidRPr="00B13099">
        <w:rPr>
          <w:rFonts w:ascii="Arial" w:hAnsi="Arial" w:cs="Arial"/>
          <w:b/>
          <w:i/>
        </w:rPr>
        <w:t>Federal Standards:</w:t>
      </w:r>
      <w:r w:rsidRPr="00B13099">
        <w:t xml:space="preserve"> </w:t>
      </w:r>
      <w:r w:rsidR="00B13099" w:rsidRPr="00B13099">
        <w:rPr>
          <w:rFonts w:ascii="Arial" w:hAnsi="Arial" w:cs="Arial"/>
          <w:sz w:val="20"/>
          <w:szCs w:val="20"/>
        </w:rPr>
        <w:t>These measure</w:t>
      </w:r>
      <w:r w:rsidR="001231EA">
        <w:rPr>
          <w:rFonts w:ascii="Arial" w:hAnsi="Arial" w:cs="Arial"/>
          <w:sz w:val="20"/>
          <w:szCs w:val="20"/>
        </w:rPr>
        <w:t xml:space="preserve"> case fixture</w:t>
      </w:r>
      <w:r w:rsidR="00B13099" w:rsidRPr="00B13099">
        <w:rPr>
          <w:rFonts w:ascii="Arial" w:hAnsi="Arial" w:cs="Arial"/>
          <w:sz w:val="20"/>
          <w:szCs w:val="20"/>
        </w:rPr>
        <w:t xml:space="preserve">s do not fall </w:t>
      </w:r>
      <w:r w:rsidRPr="00B13099">
        <w:rPr>
          <w:rFonts w:ascii="Arial" w:hAnsi="Arial" w:cs="Arial"/>
          <w:sz w:val="20"/>
          <w:szCs w:val="20"/>
        </w:rPr>
        <w:t>under Federal DOE or EPA Energy Regulations.</w:t>
      </w:r>
      <w:r w:rsidR="001231EA" w:rsidRPr="001231EA">
        <w:rPr>
          <w:rFonts w:ascii="Arial" w:hAnsi="Arial" w:cs="Arial"/>
          <w:sz w:val="20"/>
          <w:szCs w:val="20"/>
        </w:rPr>
        <w:t xml:space="preserve"> Both </w:t>
      </w:r>
      <w:r w:rsidR="00DF145B">
        <w:rPr>
          <w:rFonts w:ascii="Arial" w:hAnsi="Arial" w:cs="Arial"/>
          <w:sz w:val="20"/>
          <w:szCs w:val="20"/>
        </w:rPr>
        <w:t>General Service Fluorescent</w:t>
      </w:r>
      <w:r w:rsidR="001231EA" w:rsidRPr="001231EA">
        <w:rPr>
          <w:rFonts w:ascii="Arial" w:hAnsi="Arial" w:cs="Arial"/>
          <w:sz w:val="20"/>
          <w:szCs w:val="20"/>
        </w:rPr>
        <w:t xml:space="preserve"> lamps and ballasts are energy-using components of </w:t>
      </w:r>
      <w:r w:rsidR="00DF145B">
        <w:rPr>
          <w:rFonts w:ascii="Arial" w:hAnsi="Arial" w:cs="Arial"/>
          <w:sz w:val="20"/>
          <w:szCs w:val="20"/>
        </w:rPr>
        <w:t>linear fluorescent</w:t>
      </w:r>
      <w:r w:rsidR="001231EA" w:rsidRPr="001231EA">
        <w:rPr>
          <w:rFonts w:ascii="Arial" w:hAnsi="Arial" w:cs="Arial"/>
          <w:sz w:val="20"/>
          <w:szCs w:val="20"/>
        </w:rPr>
        <w:t xml:space="preserve"> fixtures</w:t>
      </w:r>
      <w:r w:rsidR="00DF145B">
        <w:rPr>
          <w:rFonts w:ascii="Arial" w:hAnsi="Arial" w:cs="Arial"/>
          <w:sz w:val="20"/>
          <w:szCs w:val="20"/>
        </w:rPr>
        <w:t xml:space="preserve"> and are regulated by Federal Standards.</w:t>
      </w:r>
    </w:p>
    <w:p w:rsidR="00DF145B" w:rsidRDefault="00DF145B" w:rsidP="00DF145B">
      <w:pPr>
        <w:rPr>
          <w:rFonts w:ascii="Arial" w:hAnsi="Arial" w:cs="Arial"/>
          <w:sz w:val="20"/>
          <w:szCs w:val="20"/>
        </w:rPr>
      </w:pPr>
    </w:p>
    <w:p w:rsidR="001231EA" w:rsidRDefault="00DF145B" w:rsidP="001231EA">
      <w:pPr>
        <w:pStyle w:val="ListParagraph"/>
        <w:numPr>
          <w:ilvl w:val="0"/>
          <w:numId w:val="25"/>
        </w:numPr>
        <w:rPr>
          <w:rFonts w:ascii="Arial" w:hAnsi="Arial" w:cs="Arial"/>
          <w:sz w:val="20"/>
          <w:szCs w:val="20"/>
        </w:rPr>
      </w:pPr>
      <w:r>
        <w:rPr>
          <w:rFonts w:ascii="Arial" w:hAnsi="Arial" w:cs="Arial"/>
          <w:sz w:val="20"/>
          <w:szCs w:val="20"/>
        </w:rPr>
        <w:t>4-foot medium bi-pin lamps ≤4500K are required to meet 89 LPW (2,848 lm per 32 Watt lamp)</w:t>
      </w:r>
      <w:r>
        <w:rPr>
          <w:rStyle w:val="EndnoteReference"/>
          <w:rFonts w:ascii="Arial" w:hAnsi="Arial" w:cs="Arial"/>
          <w:sz w:val="20"/>
          <w:szCs w:val="20"/>
        </w:rPr>
        <w:endnoteReference w:id="6"/>
      </w:r>
    </w:p>
    <w:p w:rsidR="00DF145B" w:rsidRDefault="008523E5" w:rsidP="008523E5">
      <w:pPr>
        <w:pStyle w:val="ListParagraph"/>
        <w:numPr>
          <w:ilvl w:val="0"/>
          <w:numId w:val="25"/>
        </w:numPr>
        <w:rPr>
          <w:rFonts w:ascii="Arial" w:hAnsi="Arial" w:cs="Arial"/>
          <w:sz w:val="20"/>
          <w:szCs w:val="20"/>
        </w:rPr>
      </w:pPr>
      <w:r>
        <w:rPr>
          <w:rFonts w:ascii="Arial" w:hAnsi="Arial" w:cs="Arial"/>
          <w:sz w:val="20"/>
          <w:szCs w:val="20"/>
        </w:rPr>
        <w:t>Ballasts for 4-foot medium bi-pin lamps are required by EPCA’s 2011 amendment to have a luminous efficacy no less than 0.993</w:t>
      </w:r>
      <w:r w:rsidRPr="008523E5">
        <w:rPr>
          <w:rFonts w:ascii="Arial" w:hAnsi="Arial" w:cs="Arial"/>
          <w:sz w:val="20"/>
          <w:szCs w:val="20"/>
        </w:rPr>
        <w:t xml:space="preserve">/(1 + </w:t>
      </w:r>
      <w:r>
        <w:rPr>
          <w:rFonts w:ascii="Arial" w:hAnsi="Arial" w:cs="Arial"/>
          <w:sz w:val="20"/>
          <w:szCs w:val="20"/>
        </w:rPr>
        <w:t xml:space="preserve">0.27  ͯ </w:t>
      </w:r>
      <w:r w:rsidRPr="008523E5">
        <w:rPr>
          <w:rFonts w:ascii="Arial" w:hAnsi="Arial" w:cs="Arial"/>
          <w:sz w:val="20"/>
          <w:szCs w:val="20"/>
        </w:rPr>
        <w:t xml:space="preserve"> total lamp arc power</w:t>
      </w:r>
      <w:r>
        <w:rPr>
          <w:rFonts w:ascii="Arial" w:hAnsi="Arial" w:cs="Arial"/>
          <w:sz w:val="20"/>
          <w:szCs w:val="20"/>
        </w:rPr>
        <w:t xml:space="preserve"> - 0.25</w:t>
      </w:r>
      <w:r w:rsidRPr="008523E5">
        <w:rPr>
          <w:rFonts w:ascii="Arial" w:hAnsi="Arial" w:cs="Arial"/>
          <w:sz w:val="20"/>
          <w:szCs w:val="20"/>
        </w:rPr>
        <w:t>)</w:t>
      </w:r>
      <w:r>
        <w:rPr>
          <w:rStyle w:val="EndnoteReference"/>
          <w:rFonts w:ascii="Arial" w:hAnsi="Arial" w:cs="Arial"/>
          <w:sz w:val="20"/>
          <w:szCs w:val="20"/>
        </w:rPr>
        <w:endnoteReference w:id="7"/>
      </w:r>
    </w:p>
    <w:p w:rsidR="002E0043" w:rsidRDefault="001248A3" w:rsidP="002E0043">
      <w:pPr>
        <w:pStyle w:val="Heading2"/>
        <w:keepNext w:val="0"/>
      </w:pPr>
      <w:bookmarkStart w:id="30" w:name="_Toc438457180"/>
      <w:r w:rsidRPr="00F7225A">
        <w:t>1.4</w:t>
      </w:r>
      <w:r w:rsidR="00264B03" w:rsidRPr="00F7225A">
        <w:t>.3</w:t>
      </w:r>
      <w:r w:rsidR="00A02F0A" w:rsidRPr="00F7225A">
        <w:t xml:space="preserve"> </w:t>
      </w:r>
      <w:r w:rsidR="00C069A2" w:rsidRPr="00F7225A">
        <w:t>EM&amp;V</w:t>
      </w:r>
      <w:r w:rsidR="00755961" w:rsidRPr="00F7225A">
        <w:t xml:space="preserve">, Market </w:t>
      </w:r>
      <w:r w:rsidR="00755961">
        <w:t>Potential,</w:t>
      </w:r>
      <w:r w:rsidR="00C069A2" w:rsidRPr="001248A3">
        <w:t xml:space="preserve"> </w:t>
      </w:r>
      <w:r w:rsidR="0044337C">
        <w:t xml:space="preserve">and Other </w:t>
      </w:r>
      <w:r w:rsidR="00C069A2" w:rsidRPr="001248A3">
        <w:t>Studies</w:t>
      </w:r>
      <w:r w:rsidR="009C5CA7">
        <w:t xml:space="preserve"> – Base Case and Measure Case Information</w:t>
      </w:r>
      <w:bookmarkEnd w:id="30"/>
    </w:p>
    <w:p w:rsidR="009E2964" w:rsidRPr="00597C03" w:rsidRDefault="001E37BA" w:rsidP="00A35CF8">
      <w:pPr>
        <w:rPr>
          <w:rFonts w:ascii="Arial" w:hAnsi="Arial" w:cs="Arial"/>
          <w:b/>
          <w:i/>
        </w:rPr>
      </w:pPr>
      <w:r>
        <w:rPr>
          <w:rFonts w:ascii="Arial" w:hAnsi="Arial" w:cs="Arial"/>
          <w:b/>
          <w:i/>
        </w:rPr>
        <w:t xml:space="preserve">1.4.3.1 </w:t>
      </w:r>
      <w:proofErr w:type="spellStart"/>
      <w:r>
        <w:rPr>
          <w:rFonts w:ascii="Arial" w:hAnsi="Arial" w:cs="Arial"/>
          <w:b/>
          <w:i/>
        </w:rPr>
        <w:t>CALiPER</w:t>
      </w:r>
      <w:proofErr w:type="spellEnd"/>
      <w:r>
        <w:rPr>
          <w:rFonts w:ascii="Arial" w:hAnsi="Arial" w:cs="Arial"/>
          <w:b/>
          <w:i/>
        </w:rPr>
        <w:t xml:space="preserve"> Application Summary Report 1</w:t>
      </w:r>
      <w:r w:rsidR="008523E5">
        <w:rPr>
          <w:rFonts w:ascii="Arial" w:hAnsi="Arial" w:cs="Arial"/>
          <w:b/>
          <w:i/>
        </w:rPr>
        <w:t>3</w:t>
      </w:r>
      <w:r w:rsidR="003B2621">
        <w:rPr>
          <w:rFonts w:ascii="Arial" w:hAnsi="Arial" w:cs="Arial"/>
          <w:b/>
          <w:i/>
        </w:rPr>
        <w:t>:</w:t>
      </w:r>
      <w:r w:rsidR="00262365">
        <w:rPr>
          <w:rStyle w:val="EndnoteReference"/>
          <w:rFonts w:ascii="Arial" w:hAnsi="Arial" w:cs="Arial"/>
          <w:b/>
          <w:i/>
        </w:rPr>
        <w:endnoteReference w:id="8"/>
      </w:r>
    </w:p>
    <w:p w:rsidR="00736D00" w:rsidRDefault="00B00818" w:rsidP="00A35CF8">
      <w:pPr>
        <w:rPr>
          <w:rFonts w:ascii="Arial" w:hAnsi="Arial" w:cs="Arial"/>
          <w:sz w:val="20"/>
          <w:szCs w:val="20"/>
        </w:rPr>
      </w:pPr>
      <w:r w:rsidRPr="00B00818">
        <w:rPr>
          <w:rFonts w:ascii="Arial" w:hAnsi="Arial" w:cs="Arial"/>
          <w:sz w:val="20"/>
          <w:szCs w:val="20"/>
        </w:rPr>
        <w:t xml:space="preserve">A few of the conclusions that </w:t>
      </w:r>
      <w:proofErr w:type="spellStart"/>
      <w:r w:rsidRPr="00B00818">
        <w:rPr>
          <w:rFonts w:ascii="Arial" w:hAnsi="Arial" w:cs="Arial"/>
          <w:sz w:val="20"/>
          <w:szCs w:val="20"/>
        </w:rPr>
        <w:t>CALiPER</w:t>
      </w:r>
      <w:proofErr w:type="spellEnd"/>
      <w:r w:rsidRPr="00B00818">
        <w:rPr>
          <w:rFonts w:ascii="Arial" w:hAnsi="Arial" w:cs="Arial"/>
          <w:sz w:val="20"/>
          <w:szCs w:val="20"/>
        </w:rPr>
        <w:t xml:space="preserve"> reported </w:t>
      </w:r>
      <w:r w:rsidR="00C37145">
        <w:rPr>
          <w:rFonts w:ascii="Arial" w:hAnsi="Arial" w:cs="Arial"/>
          <w:sz w:val="20"/>
          <w:szCs w:val="20"/>
        </w:rPr>
        <w:t xml:space="preserve">in </w:t>
      </w:r>
      <w:r w:rsidR="008523E5">
        <w:rPr>
          <w:rFonts w:ascii="Arial" w:hAnsi="Arial" w:cs="Arial"/>
          <w:sz w:val="20"/>
          <w:szCs w:val="20"/>
        </w:rPr>
        <w:t>its</w:t>
      </w:r>
      <w:r w:rsidR="00C37145">
        <w:rPr>
          <w:rFonts w:ascii="Arial" w:hAnsi="Arial" w:cs="Arial"/>
          <w:sz w:val="20"/>
          <w:szCs w:val="20"/>
        </w:rPr>
        <w:t xml:space="preserve"> most recent application summary report </w:t>
      </w:r>
      <w:r w:rsidR="008523E5">
        <w:rPr>
          <w:rFonts w:ascii="Arial" w:hAnsi="Arial" w:cs="Arial"/>
          <w:sz w:val="20"/>
          <w:szCs w:val="20"/>
        </w:rPr>
        <w:t xml:space="preserve">on LED </w:t>
      </w:r>
      <w:r w:rsidR="004A5BE3">
        <w:rPr>
          <w:rFonts w:ascii="Arial" w:hAnsi="Arial" w:cs="Arial"/>
          <w:sz w:val="20"/>
          <w:szCs w:val="20"/>
        </w:rPr>
        <w:t>Panels</w:t>
      </w:r>
      <w:r w:rsidR="008523E5">
        <w:rPr>
          <w:rFonts w:ascii="Arial" w:hAnsi="Arial" w:cs="Arial"/>
          <w:sz w:val="20"/>
          <w:szCs w:val="20"/>
        </w:rPr>
        <w:t xml:space="preserve"> </w:t>
      </w:r>
      <w:r w:rsidR="004A5BE3">
        <w:rPr>
          <w:rFonts w:ascii="Arial" w:hAnsi="Arial" w:cs="Arial"/>
          <w:sz w:val="20"/>
          <w:szCs w:val="20"/>
        </w:rPr>
        <w:t>(#13</w:t>
      </w:r>
      <w:r w:rsidR="008523E5">
        <w:rPr>
          <w:rFonts w:ascii="Arial" w:hAnsi="Arial" w:cs="Arial"/>
          <w:sz w:val="20"/>
          <w:szCs w:val="20"/>
        </w:rPr>
        <w:t xml:space="preserve"> from 2011</w:t>
      </w:r>
      <w:r w:rsidR="00C37145">
        <w:rPr>
          <w:rFonts w:ascii="Arial" w:hAnsi="Arial" w:cs="Arial"/>
          <w:sz w:val="20"/>
          <w:szCs w:val="20"/>
        </w:rPr>
        <w:t xml:space="preserve">) from tests of </w:t>
      </w:r>
      <w:r w:rsidR="008523E5">
        <w:rPr>
          <w:rFonts w:ascii="Arial" w:hAnsi="Arial" w:cs="Arial"/>
          <w:sz w:val="20"/>
          <w:szCs w:val="20"/>
        </w:rPr>
        <w:t>6</w:t>
      </w:r>
      <w:r w:rsidR="00C37145">
        <w:rPr>
          <w:rFonts w:ascii="Arial" w:hAnsi="Arial" w:cs="Arial"/>
          <w:sz w:val="20"/>
          <w:szCs w:val="20"/>
        </w:rPr>
        <w:t xml:space="preserve"> LED </w:t>
      </w:r>
      <w:r w:rsidR="004A5BE3">
        <w:rPr>
          <w:rFonts w:ascii="Arial" w:hAnsi="Arial" w:cs="Arial"/>
          <w:sz w:val="20"/>
          <w:szCs w:val="20"/>
        </w:rPr>
        <w:t xml:space="preserve">2x2 </w:t>
      </w:r>
      <w:r w:rsidR="008523E5">
        <w:rPr>
          <w:rFonts w:ascii="Arial" w:hAnsi="Arial" w:cs="Arial"/>
          <w:sz w:val="20"/>
          <w:szCs w:val="20"/>
        </w:rPr>
        <w:t>troffer</w:t>
      </w:r>
      <w:r w:rsidR="00C37145">
        <w:rPr>
          <w:rFonts w:ascii="Arial" w:hAnsi="Arial" w:cs="Arial"/>
          <w:sz w:val="20"/>
          <w:szCs w:val="20"/>
        </w:rPr>
        <w:t xml:space="preserve"> fixtures</w:t>
      </w:r>
      <w:r w:rsidRPr="00B00818">
        <w:rPr>
          <w:rFonts w:ascii="Arial" w:hAnsi="Arial" w:cs="Arial"/>
          <w:sz w:val="20"/>
          <w:szCs w:val="20"/>
        </w:rPr>
        <w:t>:</w:t>
      </w:r>
    </w:p>
    <w:p w:rsidR="00C37145" w:rsidRDefault="00C37145" w:rsidP="00A35CF8">
      <w:pPr>
        <w:rPr>
          <w:rFonts w:ascii="Arial" w:hAnsi="Arial" w:cs="Arial"/>
          <w:sz w:val="20"/>
          <w:szCs w:val="20"/>
        </w:rPr>
      </w:pPr>
    </w:p>
    <w:p w:rsidR="00391C77" w:rsidRPr="00422D1A" w:rsidRDefault="004A5BE3" w:rsidP="00391C77">
      <w:pPr>
        <w:numPr>
          <w:ilvl w:val="0"/>
          <w:numId w:val="20"/>
        </w:numPr>
        <w:rPr>
          <w:rFonts w:ascii="Arial" w:hAnsi="Arial" w:cs="Arial"/>
          <w:sz w:val="20"/>
          <w:szCs w:val="20"/>
        </w:rPr>
      </w:pPr>
      <w:r>
        <w:rPr>
          <w:rFonts w:ascii="Arial" w:hAnsi="Arial" w:cs="Arial"/>
          <w:sz w:val="20"/>
          <w:szCs w:val="20"/>
        </w:rPr>
        <w:t>LED</w:t>
      </w:r>
      <w:r w:rsidR="003F7A9C" w:rsidRPr="00422D1A">
        <w:rPr>
          <w:rFonts w:ascii="Arial" w:hAnsi="Arial" w:cs="Arial"/>
          <w:sz w:val="20"/>
          <w:szCs w:val="20"/>
        </w:rPr>
        <w:t xml:space="preserve"> products tested </w:t>
      </w:r>
      <w:r>
        <w:rPr>
          <w:rFonts w:ascii="Arial" w:hAnsi="Arial" w:cs="Arial"/>
          <w:sz w:val="20"/>
          <w:szCs w:val="20"/>
        </w:rPr>
        <w:t>were more efficacious and produced more light output that some, but not all, of</w:t>
      </w:r>
      <w:r w:rsidR="003F7A9C" w:rsidRPr="00422D1A">
        <w:rPr>
          <w:rFonts w:ascii="Arial" w:hAnsi="Arial" w:cs="Arial"/>
          <w:sz w:val="20"/>
          <w:szCs w:val="20"/>
        </w:rPr>
        <w:t xml:space="preserve"> the</w:t>
      </w:r>
      <w:r>
        <w:rPr>
          <w:rFonts w:ascii="Arial" w:hAnsi="Arial" w:cs="Arial"/>
          <w:sz w:val="20"/>
          <w:szCs w:val="20"/>
        </w:rPr>
        <w:t xml:space="preserve"> fluorescent benchmark products</w:t>
      </w:r>
    </w:p>
    <w:p w:rsidR="003F7A9C" w:rsidRPr="00422D1A" w:rsidRDefault="004A5BE3" w:rsidP="00391C77">
      <w:pPr>
        <w:numPr>
          <w:ilvl w:val="0"/>
          <w:numId w:val="20"/>
        </w:numPr>
        <w:rPr>
          <w:rFonts w:ascii="Arial" w:hAnsi="Arial" w:cs="Arial"/>
          <w:sz w:val="20"/>
          <w:szCs w:val="20"/>
        </w:rPr>
      </w:pPr>
      <w:r>
        <w:rPr>
          <w:rFonts w:ascii="Arial" w:hAnsi="Arial" w:cs="Arial"/>
          <w:sz w:val="20"/>
          <w:szCs w:val="20"/>
        </w:rPr>
        <w:t>5 of 6</w:t>
      </w:r>
      <w:r w:rsidR="003F7A9C" w:rsidRPr="00422D1A">
        <w:rPr>
          <w:rFonts w:ascii="Arial" w:hAnsi="Arial" w:cs="Arial"/>
          <w:sz w:val="20"/>
          <w:szCs w:val="20"/>
        </w:rPr>
        <w:t xml:space="preserve"> products performed as claimed in product literature</w:t>
      </w:r>
      <w:r>
        <w:rPr>
          <w:rFonts w:ascii="Arial" w:hAnsi="Arial" w:cs="Arial"/>
          <w:sz w:val="20"/>
          <w:szCs w:val="20"/>
        </w:rPr>
        <w:t>, and one significantly underperformed</w:t>
      </w:r>
    </w:p>
    <w:p w:rsidR="00B00818" w:rsidRDefault="00B00818" w:rsidP="00A35CF8">
      <w:pPr>
        <w:rPr>
          <w:rFonts w:ascii="Arial" w:hAnsi="Arial" w:cs="Arial"/>
          <w:sz w:val="20"/>
          <w:szCs w:val="20"/>
          <w:highlight w:val="cyan"/>
        </w:rPr>
      </w:pPr>
    </w:p>
    <w:p w:rsidR="008523E5" w:rsidRDefault="008523E5" w:rsidP="00A35CF8">
      <w:pPr>
        <w:rPr>
          <w:rFonts w:ascii="Arial" w:hAnsi="Arial" w:cs="Arial"/>
          <w:sz w:val="20"/>
          <w:szCs w:val="20"/>
        </w:rPr>
      </w:pPr>
      <w:r w:rsidRPr="004A5BE3">
        <w:rPr>
          <w:rFonts w:ascii="Arial" w:hAnsi="Arial" w:cs="Arial"/>
          <w:sz w:val="20"/>
          <w:szCs w:val="20"/>
        </w:rPr>
        <w:t xml:space="preserve">5 LED troffers had been tested in a few previous </w:t>
      </w:r>
      <w:proofErr w:type="spellStart"/>
      <w:r w:rsidRPr="004A5BE3">
        <w:rPr>
          <w:rFonts w:ascii="Arial" w:hAnsi="Arial" w:cs="Arial"/>
          <w:sz w:val="20"/>
          <w:szCs w:val="20"/>
        </w:rPr>
        <w:t>CALiPER</w:t>
      </w:r>
      <w:proofErr w:type="spellEnd"/>
      <w:r w:rsidRPr="004A5BE3">
        <w:rPr>
          <w:rFonts w:ascii="Arial" w:hAnsi="Arial" w:cs="Arial"/>
          <w:sz w:val="20"/>
          <w:szCs w:val="20"/>
        </w:rPr>
        <w:t xml:space="preserve"> reports</w:t>
      </w:r>
      <w:r w:rsidR="003B2621">
        <w:rPr>
          <w:rFonts w:ascii="Arial" w:hAnsi="Arial" w:cs="Arial"/>
          <w:sz w:val="20"/>
          <w:szCs w:val="20"/>
        </w:rPr>
        <w:t xml:space="preserve"> in 2009 or earlier</w:t>
      </w:r>
      <w:r w:rsidRPr="004A5BE3">
        <w:rPr>
          <w:rFonts w:ascii="Arial" w:hAnsi="Arial" w:cs="Arial"/>
          <w:sz w:val="20"/>
          <w:szCs w:val="20"/>
        </w:rPr>
        <w:t xml:space="preserve">, with 4 of the 5 having efficacies similar to </w:t>
      </w:r>
      <w:r w:rsidR="004A5BE3" w:rsidRPr="004A5BE3">
        <w:rPr>
          <w:rFonts w:ascii="Arial" w:hAnsi="Arial" w:cs="Arial"/>
          <w:sz w:val="20"/>
          <w:szCs w:val="20"/>
        </w:rPr>
        <w:t>fluorescent benchmarks, and with t</w:t>
      </w:r>
      <w:r w:rsidR="003B2621">
        <w:rPr>
          <w:rFonts w:ascii="Arial" w:hAnsi="Arial" w:cs="Arial"/>
          <w:sz w:val="20"/>
          <w:szCs w:val="20"/>
        </w:rPr>
        <w:t>ypically lower spacing criteria.</w:t>
      </w:r>
    </w:p>
    <w:p w:rsidR="0014799F" w:rsidRDefault="0014799F" w:rsidP="00A35CF8">
      <w:pPr>
        <w:rPr>
          <w:rFonts w:ascii="Arial" w:hAnsi="Arial" w:cs="Arial"/>
          <w:sz w:val="20"/>
          <w:szCs w:val="20"/>
        </w:rPr>
      </w:pPr>
    </w:p>
    <w:p w:rsidR="00BF5F96" w:rsidRPr="00597C03" w:rsidRDefault="00BF5F96" w:rsidP="00BF5F96">
      <w:pPr>
        <w:rPr>
          <w:rFonts w:ascii="Arial" w:hAnsi="Arial" w:cs="Arial"/>
          <w:b/>
          <w:i/>
        </w:rPr>
      </w:pPr>
      <w:r>
        <w:rPr>
          <w:rFonts w:ascii="Arial" w:hAnsi="Arial" w:cs="Arial"/>
          <w:b/>
          <w:i/>
        </w:rPr>
        <w:t>1.4.3.2 PG&amp;E Emerging Technology Studies:</w:t>
      </w:r>
    </w:p>
    <w:p w:rsidR="00BF5F96" w:rsidRDefault="00BF5F96" w:rsidP="00BF5F96">
      <w:pPr>
        <w:rPr>
          <w:rFonts w:ascii="Arial" w:hAnsi="Arial" w:cs="Arial"/>
          <w:sz w:val="20"/>
          <w:szCs w:val="20"/>
        </w:rPr>
      </w:pPr>
      <w:r>
        <w:rPr>
          <w:rFonts w:ascii="Arial" w:hAnsi="Arial" w:cs="Arial"/>
          <w:sz w:val="20"/>
          <w:szCs w:val="20"/>
        </w:rPr>
        <w:t>PG&amp;E commissioned two Emerging Technology studies in recent years to identify and develop information on interior commercial applications.</w:t>
      </w:r>
    </w:p>
    <w:p w:rsidR="00BF5F96" w:rsidRDefault="00BF5F96" w:rsidP="00BF5F96">
      <w:pPr>
        <w:rPr>
          <w:rFonts w:ascii="Arial" w:hAnsi="Arial" w:cs="Arial"/>
          <w:sz w:val="20"/>
          <w:szCs w:val="20"/>
        </w:rPr>
      </w:pPr>
    </w:p>
    <w:p w:rsidR="00C70D93" w:rsidRPr="00976985" w:rsidRDefault="00C70D93" w:rsidP="00C70D93">
      <w:pPr>
        <w:rPr>
          <w:rFonts w:ascii="Arial" w:hAnsi="Arial" w:cs="Arial"/>
          <w:sz w:val="20"/>
          <w:szCs w:val="20"/>
        </w:rPr>
      </w:pPr>
      <w:r>
        <w:rPr>
          <w:rFonts w:ascii="Arial" w:hAnsi="Arial" w:cs="Arial"/>
          <w:sz w:val="20"/>
          <w:szCs w:val="20"/>
        </w:rPr>
        <w:t>P</w:t>
      </w:r>
      <w:r w:rsidRPr="00976985">
        <w:rPr>
          <w:rFonts w:ascii="Arial" w:hAnsi="Arial" w:cs="Arial"/>
          <w:sz w:val="20"/>
          <w:szCs w:val="20"/>
        </w:rPr>
        <w:t>roject ET12PGE1481</w:t>
      </w:r>
      <w:r>
        <w:rPr>
          <w:rFonts w:ascii="Arial" w:hAnsi="Arial" w:cs="Arial"/>
          <w:sz w:val="20"/>
          <w:szCs w:val="20"/>
        </w:rPr>
        <w:t xml:space="preserve"> conducted a comprehensive LED retrofit in a retail store environment with multiple fixture and lamp types. It</w:t>
      </w:r>
      <w:r w:rsidRPr="00976985">
        <w:rPr>
          <w:rFonts w:ascii="Arial" w:hAnsi="Arial" w:cs="Arial"/>
          <w:sz w:val="20"/>
          <w:szCs w:val="20"/>
        </w:rPr>
        <w:t xml:space="preserve"> confirmed that completing a store-wide, comprehensive LED retrofit is not only feasible, but cost-effective as well. Overall, the project achieved a 58% reduction in energy use for LEDA eligible products, and 47% on a store-wide basis. The study participant was very satisfied with the energy </w:t>
      </w:r>
      <w:r w:rsidRPr="00976985">
        <w:rPr>
          <w:rFonts w:ascii="Arial" w:hAnsi="Arial" w:cs="Arial"/>
          <w:sz w:val="20"/>
          <w:szCs w:val="20"/>
        </w:rPr>
        <w:lastRenderedPageBreak/>
        <w:t>savings, projected maintenance savings, and lighting quality provided by the LED products that were installed.</w:t>
      </w:r>
      <w:r w:rsidRPr="00C70D93">
        <w:rPr>
          <w:rFonts w:ascii="Arial" w:hAnsi="Arial" w:cs="Arial"/>
          <w:sz w:val="20"/>
          <w:szCs w:val="20"/>
          <w:vertAlign w:val="superscript"/>
        </w:rPr>
        <w:fldChar w:fldCharType="begin"/>
      </w:r>
      <w:r w:rsidRPr="00C70D93">
        <w:rPr>
          <w:rFonts w:ascii="Arial" w:hAnsi="Arial" w:cs="Arial"/>
          <w:sz w:val="20"/>
          <w:szCs w:val="20"/>
          <w:vertAlign w:val="superscript"/>
        </w:rPr>
        <w:instrText xml:space="preserve"> NOTEREF _Ref416193131 \h </w:instrText>
      </w:r>
      <w:r>
        <w:rPr>
          <w:rFonts w:ascii="Arial" w:hAnsi="Arial" w:cs="Arial"/>
          <w:sz w:val="20"/>
          <w:szCs w:val="20"/>
          <w:vertAlign w:val="superscript"/>
        </w:rPr>
        <w:instrText xml:space="preserve"> \* MERGEFORMAT </w:instrText>
      </w:r>
      <w:r w:rsidRPr="00C70D93">
        <w:rPr>
          <w:rFonts w:ascii="Arial" w:hAnsi="Arial" w:cs="Arial"/>
          <w:sz w:val="20"/>
          <w:szCs w:val="20"/>
          <w:vertAlign w:val="superscript"/>
        </w:rPr>
      </w:r>
      <w:r w:rsidRPr="00C70D93">
        <w:rPr>
          <w:rFonts w:ascii="Arial" w:hAnsi="Arial" w:cs="Arial"/>
          <w:sz w:val="20"/>
          <w:szCs w:val="20"/>
          <w:vertAlign w:val="superscript"/>
        </w:rPr>
        <w:fldChar w:fldCharType="separate"/>
      </w:r>
      <w:r w:rsidR="00486679">
        <w:rPr>
          <w:rFonts w:ascii="Arial" w:hAnsi="Arial" w:cs="Arial"/>
          <w:sz w:val="20"/>
          <w:szCs w:val="20"/>
          <w:vertAlign w:val="superscript"/>
        </w:rPr>
        <w:t>3</w:t>
      </w:r>
      <w:r w:rsidRPr="00C70D93">
        <w:rPr>
          <w:rFonts w:ascii="Arial" w:hAnsi="Arial" w:cs="Arial"/>
          <w:sz w:val="20"/>
          <w:szCs w:val="20"/>
          <w:vertAlign w:val="superscript"/>
        </w:rPr>
        <w:fldChar w:fldCharType="end"/>
      </w:r>
    </w:p>
    <w:p w:rsidR="00C70D93" w:rsidRPr="00976985" w:rsidRDefault="00C70D93" w:rsidP="00C70D93">
      <w:pPr>
        <w:rPr>
          <w:rFonts w:ascii="Arial" w:hAnsi="Arial" w:cs="Arial"/>
          <w:sz w:val="20"/>
          <w:szCs w:val="20"/>
        </w:rPr>
      </w:pPr>
    </w:p>
    <w:p w:rsidR="00381702" w:rsidRDefault="00381702" w:rsidP="00C70D93">
      <w:pPr>
        <w:rPr>
          <w:rFonts w:ascii="Arial" w:hAnsi="Arial" w:cs="Arial"/>
          <w:sz w:val="20"/>
          <w:szCs w:val="20"/>
        </w:rPr>
      </w:pPr>
      <w:r>
        <w:rPr>
          <w:rFonts w:ascii="Arial" w:hAnsi="Arial" w:cs="Arial"/>
          <w:sz w:val="20"/>
          <w:szCs w:val="20"/>
        </w:rPr>
        <w:t xml:space="preserve">This project evaluated six different lighting applications in eight store study areas, evaluating energy consumption and lighting performance in each area. Interior applications included A-lamp shape, Directional, MR16, Decorative, </w:t>
      </w:r>
      <w:proofErr w:type="spellStart"/>
      <w:r>
        <w:rPr>
          <w:rFonts w:ascii="Arial" w:hAnsi="Arial" w:cs="Arial"/>
          <w:sz w:val="20"/>
          <w:szCs w:val="20"/>
        </w:rPr>
        <w:t>Downlight</w:t>
      </w:r>
      <w:proofErr w:type="spellEnd"/>
      <w:r>
        <w:rPr>
          <w:rFonts w:ascii="Arial" w:hAnsi="Arial" w:cs="Arial"/>
          <w:sz w:val="20"/>
          <w:szCs w:val="20"/>
        </w:rPr>
        <w:t>, Troffer, and High-bay. The projects found cost-effective retrofit options store-wide, including a return-on-investment of 17.3% for measures eligible for the LEDA advanced incentive program.</w:t>
      </w:r>
    </w:p>
    <w:p w:rsidR="00381702" w:rsidRDefault="00381702" w:rsidP="00C70D93">
      <w:pPr>
        <w:rPr>
          <w:rFonts w:ascii="Arial" w:hAnsi="Arial" w:cs="Arial"/>
          <w:sz w:val="20"/>
          <w:szCs w:val="20"/>
        </w:rPr>
      </w:pPr>
    </w:p>
    <w:p w:rsidR="00C70D93" w:rsidRDefault="00C70D93" w:rsidP="00C70D93">
      <w:pPr>
        <w:rPr>
          <w:rFonts w:ascii="Arial" w:hAnsi="Arial" w:cs="Arial"/>
          <w:sz w:val="20"/>
          <w:szCs w:val="20"/>
        </w:rPr>
      </w:pPr>
      <w:r>
        <w:rPr>
          <w:rFonts w:ascii="Arial" w:hAnsi="Arial" w:cs="Arial"/>
          <w:sz w:val="20"/>
          <w:szCs w:val="20"/>
        </w:rPr>
        <w:t>Project</w:t>
      </w:r>
      <w:r w:rsidRPr="00976985">
        <w:rPr>
          <w:rFonts w:ascii="Arial" w:hAnsi="Arial" w:cs="Arial"/>
          <w:sz w:val="20"/>
          <w:szCs w:val="20"/>
        </w:rPr>
        <w:t xml:space="preserve"> ET11PGE3251</w:t>
      </w:r>
      <w:r>
        <w:rPr>
          <w:rFonts w:ascii="Arial" w:hAnsi="Arial" w:cs="Arial"/>
          <w:sz w:val="20"/>
          <w:szCs w:val="20"/>
        </w:rPr>
        <w:t xml:space="preserve"> demonstrated LED panel fixtures in an office lighting application with an Advanced Lighting Control System (ALCS). It demonstrated that it is </w:t>
      </w:r>
      <w:r w:rsidRPr="00976985">
        <w:rPr>
          <w:rFonts w:ascii="Arial" w:hAnsi="Arial" w:cs="Arial"/>
          <w:sz w:val="20"/>
          <w:szCs w:val="20"/>
        </w:rPr>
        <w:t xml:space="preserve">easier to integrate controls with the latest LED products in the market which can help achieve even deeper savings. An initial energy savings of 21% resulted from replacing fluorescent lighting with LED lighting in an office. A further energy savings of 41% resulted from adding </w:t>
      </w:r>
      <w:r>
        <w:rPr>
          <w:rFonts w:ascii="Arial" w:hAnsi="Arial" w:cs="Arial"/>
          <w:sz w:val="20"/>
          <w:szCs w:val="20"/>
        </w:rPr>
        <w:t xml:space="preserve">the </w:t>
      </w:r>
      <w:r w:rsidRPr="00976985">
        <w:rPr>
          <w:rFonts w:ascii="Arial" w:hAnsi="Arial" w:cs="Arial"/>
          <w:sz w:val="20"/>
          <w:szCs w:val="20"/>
        </w:rPr>
        <w:t>ALCS.</w:t>
      </w:r>
      <w:r w:rsidRPr="00C70D93">
        <w:rPr>
          <w:rFonts w:ascii="Arial" w:hAnsi="Arial" w:cs="Arial"/>
          <w:sz w:val="20"/>
          <w:szCs w:val="20"/>
          <w:vertAlign w:val="superscript"/>
        </w:rPr>
        <w:fldChar w:fldCharType="begin"/>
      </w:r>
      <w:r w:rsidRPr="00C70D93">
        <w:rPr>
          <w:rFonts w:ascii="Arial" w:hAnsi="Arial" w:cs="Arial"/>
          <w:sz w:val="20"/>
          <w:szCs w:val="20"/>
          <w:vertAlign w:val="superscript"/>
        </w:rPr>
        <w:instrText xml:space="preserve"> NOTEREF _Ref416193138 \h </w:instrText>
      </w:r>
      <w:r>
        <w:rPr>
          <w:rFonts w:ascii="Arial" w:hAnsi="Arial" w:cs="Arial"/>
          <w:sz w:val="20"/>
          <w:szCs w:val="20"/>
          <w:vertAlign w:val="superscript"/>
        </w:rPr>
        <w:instrText xml:space="preserve"> \* MERGEFORMAT </w:instrText>
      </w:r>
      <w:r w:rsidRPr="00C70D93">
        <w:rPr>
          <w:rFonts w:ascii="Arial" w:hAnsi="Arial" w:cs="Arial"/>
          <w:sz w:val="20"/>
          <w:szCs w:val="20"/>
          <w:vertAlign w:val="superscript"/>
        </w:rPr>
      </w:r>
      <w:r w:rsidRPr="00C70D93">
        <w:rPr>
          <w:rFonts w:ascii="Arial" w:hAnsi="Arial" w:cs="Arial"/>
          <w:sz w:val="20"/>
          <w:szCs w:val="20"/>
          <w:vertAlign w:val="superscript"/>
        </w:rPr>
        <w:fldChar w:fldCharType="separate"/>
      </w:r>
      <w:r w:rsidR="00486679">
        <w:rPr>
          <w:rFonts w:ascii="Arial" w:hAnsi="Arial" w:cs="Arial"/>
          <w:sz w:val="20"/>
          <w:szCs w:val="20"/>
          <w:vertAlign w:val="superscript"/>
        </w:rPr>
        <w:t>4</w:t>
      </w:r>
      <w:r w:rsidRPr="00C70D93">
        <w:rPr>
          <w:rFonts w:ascii="Arial" w:hAnsi="Arial" w:cs="Arial"/>
          <w:sz w:val="20"/>
          <w:szCs w:val="20"/>
          <w:vertAlign w:val="superscript"/>
        </w:rPr>
        <w:fldChar w:fldCharType="end"/>
      </w:r>
    </w:p>
    <w:p w:rsidR="00C70D93" w:rsidRDefault="00C70D93" w:rsidP="00C70D93">
      <w:pPr>
        <w:rPr>
          <w:rFonts w:ascii="Arial" w:hAnsi="Arial" w:cs="Arial"/>
          <w:sz w:val="20"/>
          <w:szCs w:val="20"/>
        </w:rPr>
      </w:pPr>
    </w:p>
    <w:p w:rsidR="00C70D93" w:rsidRDefault="00C70D93" w:rsidP="00C70D93">
      <w:pPr>
        <w:rPr>
          <w:rFonts w:ascii="Arial" w:hAnsi="Arial" w:cs="Arial"/>
          <w:sz w:val="20"/>
          <w:szCs w:val="20"/>
        </w:rPr>
      </w:pPr>
      <w:r>
        <w:rPr>
          <w:rFonts w:ascii="Arial" w:hAnsi="Arial" w:cs="Arial"/>
          <w:sz w:val="20"/>
          <w:szCs w:val="20"/>
        </w:rPr>
        <w:t xml:space="preserve">This study focused on a Class A commercial office space, and used a phased approach to study different levels of control (task-tuning, occupancy-sensing, daylight-sensing, individual dimming) in conjunction with LED fixtures.  The LED luminaires were found to be highly configurable for these multiple control strategies, making them attractive to customers at the leading edge of technology adoption in both the workplace data and lighting product segments. Customers </w:t>
      </w:r>
      <w:r w:rsidRPr="00C70D93">
        <w:rPr>
          <w:rFonts w:ascii="Arial" w:hAnsi="Arial" w:cs="Arial"/>
          <w:sz w:val="20"/>
          <w:szCs w:val="20"/>
        </w:rPr>
        <w:t>who have interest in</w:t>
      </w:r>
      <w:r>
        <w:rPr>
          <w:rFonts w:ascii="Arial" w:hAnsi="Arial" w:cs="Arial"/>
          <w:sz w:val="20"/>
          <w:szCs w:val="20"/>
        </w:rPr>
        <w:t xml:space="preserve"> </w:t>
      </w:r>
      <w:r w:rsidRPr="00C70D93">
        <w:rPr>
          <w:rFonts w:ascii="Arial" w:hAnsi="Arial" w:cs="Arial"/>
          <w:sz w:val="20"/>
          <w:szCs w:val="20"/>
        </w:rPr>
        <w:t>maximizing both individualized distributed environmental control and sustainable energy</w:t>
      </w:r>
      <w:r>
        <w:rPr>
          <w:rFonts w:ascii="Arial" w:hAnsi="Arial" w:cs="Arial"/>
          <w:sz w:val="20"/>
          <w:szCs w:val="20"/>
        </w:rPr>
        <w:t xml:space="preserve"> saving practices will be particularly attracted to these options. The payback on the combined luminaire and controls retrofit was very high (generally &gt; 50 years), but customers looking for workplace data benefits or already planning fixture replacement will see a lower incremental cost. The study recommended LED sources for this application based on several benefits: “</w:t>
      </w:r>
      <w:r w:rsidRPr="00C70D93">
        <w:rPr>
          <w:rFonts w:ascii="Arial" w:hAnsi="Arial" w:cs="Arial"/>
          <w:sz w:val="20"/>
          <w:szCs w:val="20"/>
        </w:rPr>
        <w:t>lighting</w:t>
      </w:r>
      <w:r>
        <w:rPr>
          <w:rFonts w:ascii="Arial" w:hAnsi="Arial" w:cs="Arial"/>
          <w:sz w:val="20"/>
          <w:szCs w:val="20"/>
        </w:rPr>
        <w:t xml:space="preserve"> </w:t>
      </w:r>
      <w:r w:rsidRPr="00C70D93">
        <w:rPr>
          <w:rFonts w:ascii="Arial" w:hAnsi="Arial" w:cs="Arial"/>
          <w:sz w:val="20"/>
          <w:szCs w:val="20"/>
        </w:rPr>
        <w:t>distribution, color rendering, and color temperature which are comparable to or better than</w:t>
      </w:r>
      <w:r>
        <w:rPr>
          <w:rFonts w:ascii="Arial" w:hAnsi="Arial" w:cs="Arial"/>
          <w:sz w:val="20"/>
          <w:szCs w:val="20"/>
        </w:rPr>
        <w:t xml:space="preserve"> </w:t>
      </w:r>
      <w:r w:rsidRPr="00C70D93">
        <w:rPr>
          <w:rFonts w:ascii="Arial" w:hAnsi="Arial" w:cs="Arial"/>
          <w:sz w:val="20"/>
          <w:szCs w:val="20"/>
        </w:rPr>
        <w:t>fluorescent sources</w:t>
      </w:r>
      <w:r>
        <w:rPr>
          <w:rFonts w:ascii="Arial" w:hAnsi="Arial" w:cs="Arial"/>
          <w:sz w:val="20"/>
          <w:szCs w:val="20"/>
        </w:rPr>
        <w:t>.”</w:t>
      </w:r>
    </w:p>
    <w:p w:rsidR="00B0102E" w:rsidRDefault="00B0102E" w:rsidP="00C70D93">
      <w:pPr>
        <w:rPr>
          <w:rFonts w:ascii="Arial" w:hAnsi="Arial" w:cs="Arial"/>
          <w:sz w:val="20"/>
          <w:szCs w:val="20"/>
        </w:rPr>
      </w:pPr>
    </w:p>
    <w:p w:rsidR="00B0102E" w:rsidRPr="00976985" w:rsidRDefault="00B0102E" w:rsidP="00C70D93">
      <w:pPr>
        <w:rPr>
          <w:rFonts w:ascii="Arial" w:hAnsi="Arial" w:cs="Arial"/>
          <w:sz w:val="20"/>
          <w:szCs w:val="20"/>
        </w:rPr>
      </w:pPr>
      <w:r w:rsidRPr="00F707F5">
        <w:rPr>
          <w:rFonts w:ascii="Arial" w:hAnsi="Arial" w:cs="Arial"/>
          <w:sz w:val="20"/>
          <w:szCs w:val="20"/>
        </w:rPr>
        <w:t>Linear fluorescent lighting represents 72% of energy use in the commercial lighting sector and 80% of all commercial light fixtures, and therefore represents an enormous opportunity for potential LED savings. Due to the high efficacy of linear fluorescent lamps, there have only recently been suitable LED replacements for traditionally linear fluorescent applications, such as general purpose commercial lighting.</w:t>
      </w:r>
    </w:p>
    <w:p w:rsidR="009C5CA7" w:rsidRDefault="001248A3" w:rsidP="002E0043">
      <w:pPr>
        <w:pStyle w:val="Heading2"/>
        <w:keepNext w:val="0"/>
      </w:pPr>
      <w:bookmarkStart w:id="31" w:name="_Toc438457181"/>
      <w:r w:rsidRPr="007F4313">
        <w:t>1.</w:t>
      </w:r>
      <w:r w:rsidR="00264B03" w:rsidRPr="007F4313">
        <w:t xml:space="preserve">4.4 </w:t>
      </w:r>
      <w:r w:rsidR="009C5CA7" w:rsidRPr="007F4313">
        <w:t xml:space="preserve">Assumptions and </w:t>
      </w:r>
      <w:r w:rsidR="00264B03" w:rsidRPr="007F4313">
        <w:t>Calculations from other sources—Base and Measure Cases</w:t>
      </w:r>
      <w:bookmarkEnd w:id="31"/>
    </w:p>
    <w:p w:rsidR="000A1ADB" w:rsidRDefault="00262365" w:rsidP="007E4D1F">
      <w:pPr>
        <w:rPr>
          <w:rFonts w:ascii="Arial" w:hAnsi="Arial" w:cs="Arial"/>
          <w:sz w:val="20"/>
          <w:szCs w:val="20"/>
        </w:rPr>
      </w:pPr>
      <w:r>
        <w:rPr>
          <w:rFonts w:ascii="Arial" w:hAnsi="Arial" w:cs="Arial"/>
          <w:sz w:val="20"/>
          <w:szCs w:val="20"/>
        </w:rPr>
        <w:t xml:space="preserve">The fixture performance </w:t>
      </w:r>
      <w:r w:rsidR="002E6C39">
        <w:rPr>
          <w:rFonts w:ascii="Arial" w:hAnsi="Arial" w:cs="Arial"/>
          <w:sz w:val="20"/>
          <w:szCs w:val="20"/>
        </w:rPr>
        <w:t xml:space="preserve">in the applicable categories of the DLC list—LED </w:t>
      </w:r>
      <w:r w:rsidR="002E6C39" w:rsidRPr="002E6C39">
        <w:rPr>
          <w:rFonts w:ascii="Arial" w:hAnsi="Arial" w:cs="Arial"/>
          <w:sz w:val="20"/>
          <w:szCs w:val="20"/>
        </w:rPr>
        <w:t xml:space="preserve">Luminaires </w:t>
      </w:r>
      <w:r w:rsidR="002E6C39">
        <w:rPr>
          <w:rFonts w:ascii="Arial" w:hAnsi="Arial" w:cs="Arial"/>
          <w:sz w:val="20"/>
          <w:szCs w:val="20"/>
        </w:rPr>
        <w:t xml:space="preserve">and Retrofit Kits </w:t>
      </w:r>
      <w:r w:rsidR="002E6C39" w:rsidRPr="002E6C39">
        <w:rPr>
          <w:rFonts w:ascii="Arial" w:hAnsi="Arial" w:cs="Arial"/>
          <w:sz w:val="20"/>
          <w:szCs w:val="20"/>
        </w:rPr>
        <w:t>for Ambient Lighting of Interior Commercial Spaces</w:t>
      </w:r>
      <w:r w:rsidR="002E6C39">
        <w:rPr>
          <w:rFonts w:ascii="Arial" w:hAnsi="Arial" w:cs="Arial"/>
          <w:sz w:val="20"/>
          <w:szCs w:val="20"/>
        </w:rPr>
        <w:t xml:space="preserve">—was </w:t>
      </w:r>
      <w:r>
        <w:rPr>
          <w:rFonts w:ascii="Arial" w:hAnsi="Arial" w:cs="Arial"/>
          <w:sz w:val="20"/>
          <w:szCs w:val="20"/>
        </w:rPr>
        <w:t xml:space="preserve">analyzed to justify the </w:t>
      </w:r>
      <w:r w:rsidR="004A5BE3">
        <w:rPr>
          <w:rFonts w:ascii="Arial" w:hAnsi="Arial" w:cs="Arial"/>
          <w:sz w:val="20"/>
          <w:szCs w:val="20"/>
        </w:rPr>
        <w:t>light output</w:t>
      </w:r>
      <w:r>
        <w:rPr>
          <w:rFonts w:ascii="Arial" w:hAnsi="Arial" w:cs="Arial"/>
          <w:sz w:val="20"/>
          <w:szCs w:val="20"/>
        </w:rPr>
        <w:t xml:space="preserve"> equivalency assumptions.</w:t>
      </w:r>
      <w:r w:rsidR="000D22E1">
        <w:rPr>
          <w:rFonts w:ascii="Arial" w:hAnsi="Arial" w:cs="Arial"/>
          <w:sz w:val="20"/>
          <w:szCs w:val="20"/>
        </w:rPr>
        <w:t xml:space="preserve"> The </w:t>
      </w:r>
      <w:r w:rsidR="004A5BE3">
        <w:rPr>
          <w:rFonts w:ascii="Arial" w:hAnsi="Arial" w:cs="Arial"/>
          <w:sz w:val="20"/>
          <w:szCs w:val="20"/>
        </w:rPr>
        <w:t>6,840</w:t>
      </w:r>
      <w:r w:rsidR="000D22E1">
        <w:rPr>
          <w:rFonts w:ascii="Arial" w:hAnsi="Arial" w:cs="Arial"/>
          <w:sz w:val="20"/>
          <w:szCs w:val="20"/>
        </w:rPr>
        <w:t xml:space="preserve"> fixtures in these categories were analyzed for </w:t>
      </w:r>
      <w:r w:rsidR="004A5BE3">
        <w:rPr>
          <w:rFonts w:ascii="Arial" w:hAnsi="Arial" w:cs="Arial"/>
          <w:sz w:val="20"/>
          <w:szCs w:val="20"/>
        </w:rPr>
        <w:t>luminaire efficacy.</w:t>
      </w:r>
    </w:p>
    <w:p w:rsidR="000D22E1" w:rsidRDefault="000D22E1" w:rsidP="007E4D1F">
      <w:pPr>
        <w:rPr>
          <w:rFonts w:ascii="Arial" w:hAnsi="Arial" w:cs="Arial"/>
          <w:sz w:val="20"/>
          <w:szCs w:val="20"/>
        </w:rPr>
      </w:pPr>
    </w:p>
    <w:p w:rsidR="004A5BE3" w:rsidRPr="002574CF" w:rsidRDefault="004A5BE3" w:rsidP="004A5BE3">
      <w:pPr>
        <w:rPr>
          <w:rFonts w:ascii="Arial" w:hAnsi="Arial" w:cs="Arial"/>
          <w:sz w:val="20"/>
          <w:szCs w:val="20"/>
        </w:rPr>
      </w:pPr>
      <w:r w:rsidRPr="002574CF">
        <w:rPr>
          <w:b/>
        </w:rPr>
        <w:t>Delta Wattage Assumption (ΔW)</w:t>
      </w:r>
    </w:p>
    <w:p w:rsidR="004A5BE3" w:rsidRDefault="004A5BE3" w:rsidP="004A5BE3">
      <w:pPr>
        <w:rPr>
          <w:rFonts w:ascii="Arial" w:hAnsi="Arial" w:cs="Arial"/>
          <w:sz w:val="20"/>
          <w:szCs w:val="20"/>
        </w:rPr>
      </w:pPr>
      <w:r>
        <w:rPr>
          <w:rFonts w:ascii="Arial" w:hAnsi="Arial" w:cs="Arial"/>
          <w:sz w:val="20"/>
          <w:szCs w:val="20"/>
        </w:rPr>
        <w:t>The base case linear fluorescent fixtures were modeled across the DLC light output range according to the most common fixture type in a configuration meeting appropriate Federal lamp standards, Federal ballast standards, and California Title 24 (T24) interior commercial lumen power density (LPD) requirements. Rather than assume a single base case lamp-and-ballast-and-fixture combination as a base case, the efficacy of a standards-compliant base case fixture in terms of lumens per Watt (LPW) is used to calculate savings.</w:t>
      </w:r>
    </w:p>
    <w:p w:rsidR="004A5BE3" w:rsidRDefault="004A5BE3" w:rsidP="004A5BE3">
      <w:pPr>
        <w:rPr>
          <w:rFonts w:ascii="Arial" w:hAnsi="Arial" w:cs="Arial"/>
          <w:sz w:val="20"/>
          <w:szCs w:val="20"/>
        </w:rPr>
      </w:pPr>
    </w:p>
    <w:p w:rsidR="004A5BE3" w:rsidRDefault="004A5BE3" w:rsidP="004A5BE3">
      <w:pPr>
        <w:rPr>
          <w:rFonts w:ascii="Arial" w:hAnsi="Arial" w:cs="Arial"/>
          <w:sz w:val="20"/>
          <w:szCs w:val="20"/>
        </w:rPr>
      </w:pPr>
      <w:r>
        <w:rPr>
          <w:rFonts w:ascii="Arial" w:hAnsi="Arial" w:cs="Arial"/>
          <w:sz w:val="20"/>
          <w:szCs w:val="20"/>
        </w:rPr>
        <w:t>The code-compliant base case fixture model used is from the 2011 Codes and Standards Enhancement (CASE) Report for Indoor Lighting Controls.</w:t>
      </w:r>
      <w:r>
        <w:rPr>
          <w:rStyle w:val="EndnoteReference"/>
          <w:rFonts w:ascii="Arial" w:hAnsi="Arial" w:cs="Arial"/>
          <w:sz w:val="20"/>
          <w:szCs w:val="20"/>
        </w:rPr>
        <w:endnoteReference w:id="9"/>
      </w:r>
      <w:r>
        <w:rPr>
          <w:rFonts w:ascii="Arial" w:hAnsi="Arial" w:cs="Arial"/>
          <w:sz w:val="20"/>
          <w:szCs w:val="20"/>
        </w:rPr>
        <w:t xml:space="preserve"> This report developed the most thorough commercial interior lighting model available in California standards proceedings. The model used by </w:t>
      </w:r>
      <w:r w:rsidR="003B2621">
        <w:rPr>
          <w:rFonts w:ascii="Arial" w:hAnsi="Arial" w:cs="Arial"/>
          <w:sz w:val="20"/>
          <w:szCs w:val="20"/>
        </w:rPr>
        <w:t xml:space="preserve">CASE author </w:t>
      </w:r>
      <w:r>
        <w:rPr>
          <w:rFonts w:ascii="Arial" w:hAnsi="Arial" w:cs="Arial"/>
          <w:sz w:val="20"/>
          <w:szCs w:val="20"/>
        </w:rPr>
        <w:t xml:space="preserve">offers a </w:t>
      </w:r>
      <w:r w:rsidR="003B2621">
        <w:rPr>
          <w:rFonts w:ascii="Arial" w:hAnsi="Arial" w:cs="Arial"/>
          <w:sz w:val="20"/>
          <w:szCs w:val="20"/>
        </w:rPr>
        <w:t>combination</w:t>
      </w:r>
      <w:r>
        <w:rPr>
          <w:rFonts w:ascii="Arial" w:hAnsi="Arial" w:cs="Arial"/>
          <w:sz w:val="20"/>
          <w:szCs w:val="20"/>
        </w:rPr>
        <w:t xml:space="preserve"> of interior spaces: large open-plan areas as found in many offices, as well as small spaces typical of private offices or meeting rooms. The panel fixtures modeled are 2x4 3-lamp T8 parabolic fixtures, matching a typical parabolic luminaire with 74.7% fixture efficacy.</w:t>
      </w:r>
      <w:r>
        <w:rPr>
          <w:rStyle w:val="EndnoteReference"/>
          <w:rFonts w:ascii="Arial" w:hAnsi="Arial" w:cs="Arial"/>
          <w:sz w:val="20"/>
          <w:szCs w:val="20"/>
        </w:rPr>
        <w:endnoteReference w:id="10"/>
      </w:r>
    </w:p>
    <w:p w:rsidR="004A5BE3" w:rsidRDefault="004A5BE3" w:rsidP="004A5BE3">
      <w:pPr>
        <w:rPr>
          <w:rFonts w:ascii="Arial" w:hAnsi="Arial" w:cs="Arial"/>
          <w:sz w:val="20"/>
          <w:szCs w:val="20"/>
        </w:rPr>
      </w:pPr>
    </w:p>
    <w:p w:rsidR="004A5BE3" w:rsidRDefault="004A5BE3" w:rsidP="004A5BE3">
      <w:pPr>
        <w:rPr>
          <w:rFonts w:ascii="Arial" w:hAnsi="Arial" w:cs="Arial"/>
          <w:sz w:val="20"/>
          <w:szCs w:val="20"/>
        </w:rPr>
      </w:pPr>
      <w:r>
        <w:rPr>
          <w:rFonts w:ascii="Arial" w:hAnsi="Arial" w:cs="Arial"/>
          <w:sz w:val="20"/>
          <w:szCs w:val="20"/>
        </w:rPr>
        <w:lastRenderedPageBreak/>
        <w:t>The model was updated to 2013-T24 LPD specifications, which reduce LPDs for Office</w:t>
      </w:r>
      <w:r w:rsidR="005F63FF">
        <w:rPr>
          <w:rFonts w:ascii="Arial" w:hAnsi="Arial" w:cs="Arial"/>
          <w:sz w:val="20"/>
          <w:szCs w:val="20"/>
        </w:rPr>
        <w:t xml:space="preserve"> Building</w:t>
      </w:r>
      <w:r>
        <w:rPr>
          <w:rFonts w:ascii="Arial" w:hAnsi="Arial" w:cs="Arial"/>
          <w:sz w:val="20"/>
          <w:szCs w:val="20"/>
        </w:rPr>
        <w:t>s via the Complete Building Method from 0.9 W/sf to 0.8 W/sf.</w:t>
      </w:r>
      <w:r>
        <w:rPr>
          <w:rStyle w:val="EndnoteReference"/>
          <w:rFonts w:ascii="Arial" w:hAnsi="Arial" w:cs="Arial"/>
          <w:sz w:val="20"/>
          <w:szCs w:val="20"/>
        </w:rPr>
        <w:endnoteReference w:id="11"/>
      </w:r>
      <w:r>
        <w:rPr>
          <w:rFonts w:ascii="Arial" w:hAnsi="Arial" w:cs="Arial"/>
          <w:sz w:val="20"/>
          <w:szCs w:val="20"/>
        </w:rPr>
        <w:t xml:space="preserve"> </w:t>
      </w:r>
      <w:r w:rsidR="005F63FF">
        <w:rPr>
          <w:rFonts w:ascii="Arial" w:hAnsi="Arial" w:cs="Arial"/>
          <w:sz w:val="20"/>
          <w:szCs w:val="20"/>
        </w:rPr>
        <w:t>The 0.8 W/</w:t>
      </w:r>
      <w:proofErr w:type="spellStart"/>
      <w:r w:rsidR="005F63FF">
        <w:rPr>
          <w:rFonts w:ascii="Arial" w:hAnsi="Arial" w:cs="Arial"/>
          <w:sz w:val="20"/>
          <w:szCs w:val="20"/>
        </w:rPr>
        <w:t>s.f.</w:t>
      </w:r>
      <w:proofErr w:type="spellEnd"/>
      <w:r w:rsidR="005F63FF">
        <w:rPr>
          <w:rFonts w:ascii="Arial" w:hAnsi="Arial" w:cs="Arial"/>
          <w:sz w:val="20"/>
          <w:szCs w:val="20"/>
        </w:rPr>
        <w:t xml:space="preserve"> value used is </w:t>
      </w:r>
      <w:r w:rsidR="009C3703">
        <w:rPr>
          <w:rFonts w:ascii="Arial" w:hAnsi="Arial" w:cs="Arial"/>
          <w:sz w:val="20"/>
          <w:szCs w:val="20"/>
        </w:rPr>
        <w:t>lower than other applicable building types in Table 140.6-B of 2013-T24: 1.0 W/</w:t>
      </w:r>
      <w:proofErr w:type="spellStart"/>
      <w:r w:rsidR="009C3703">
        <w:rPr>
          <w:rFonts w:ascii="Arial" w:hAnsi="Arial" w:cs="Arial"/>
          <w:sz w:val="20"/>
          <w:szCs w:val="20"/>
        </w:rPr>
        <w:t>s.f.</w:t>
      </w:r>
      <w:proofErr w:type="spellEnd"/>
      <w:r w:rsidR="009C3703">
        <w:rPr>
          <w:rFonts w:ascii="Arial" w:hAnsi="Arial" w:cs="Arial"/>
          <w:sz w:val="20"/>
          <w:szCs w:val="20"/>
        </w:rPr>
        <w:t xml:space="preserve"> for General Commercial/Industrial Work Buildings, 1.2 W/</w:t>
      </w:r>
      <w:proofErr w:type="spellStart"/>
      <w:r w:rsidR="009C3703">
        <w:rPr>
          <w:rFonts w:ascii="Arial" w:hAnsi="Arial" w:cs="Arial"/>
          <w:sz w:val="20"/>
          <w:szCs w:val="20"/>
        </w:rPr>
        <w:t>s.f.</w:t>
      </w:r>
      <w:proofErr w:type="spellEnd"/>
      <w:r w:rsidR="009C3703">
        <w:rPr>
          <w:rFonts w:ascii="Arial" w:hAnsi="Arial" w:cs="Arial"/>
          <w:sz w:val="20"/>
          <w:szCs w:val="20"/>
        </w:rPr>
        <w:t xml:space="preserve"> for Restaurant Buildings, and 1.0 W/</w:t>
      </w:r>
      <w:proofErr w:type="spellStart"/>
      <w:r w:rsidR="009C3703">
        <w:rPr>
          <w:rFonts w:ascii="Arial" w:hAnsi="Arial" w:cs="Arial"/>
          <w:sz w:val="20"/>
          <w:szCs w:val="20"/>
        </w:rPr>
        <w:t>s.f.</w:t>
      </w:r>
      <w:proofErr w:type="spellEnd"/>
      <w:r w:rsidR="009C3703">
        <w:rPr>
          <w:rFonts w:ascii="Arial" w:hAnsi="Arial" w:cs="Arial"/>
          <w:sz w:val="20"/>
          <w:szCs w:val="20"/>
        </w:rPr>
        <w:t xml:space="preserve"> for School Buildings. </w:t>
      </w:r>
      <w:r>
        <w:rPr>
          <w:rFonts w:ascii="Arial" w:hAnsi="Arial" w:cs="Arial"/>
          <w:sz w:val="20"/>
          <w:szCs w:val="20"/>
        </w:rPr>
        <w:t xml:space="preserve">The model was changed to reflect Federal fluorescent lamp minimum standards with a 2950-lumen lamp, but the ballast was unchanged as it reflected </w:t>
      </w:r>
      <w:proofErr w:type="gramStart"/>
      <w:r>
        <w:rPr>
          <w:rFonts w:ascii="Arial" w:hAnsi="Arial" w:cs="Arial"/>
          <w:sz w:val="20"/>
          <w:szCs w:val="20"/>
        </w:rPr>
        <w:t>a premium</w:t>
      </w:r>
      <w:proofErr w:type="gramEnd"/>
      <w:r>
        <w:rPr>
          <w:rFonts w:ascii="Arial" w:hAnsi="Arial" w:cs="Arial"/>
          <w:sz w:val="20"/>
          <w:szCs w:val="20"/>
        </w:rPr>
        <w:t xml:space="preserve"> electronic ballast listed by the Consortium for Energy Efficiency’s HPT8 standard and the National Electrical Manufacturers Association’s NEMA Premium listing. The CASE Report model’s assumption for Light Loss of 9.7% was used. The model suggests that illumination from recessed fluorescent fixtures compliant with current code can be obtained at maintained fixture efficacy of 58.8 LPW. This </w:t>
      </w:r>
      <w:r w:rsidR="00FE34BD">
        <w:rPr>
          <w:rFonts w:ascii="Arial" w:hAnsi="Arial" w:cs="Arial"/>
          <w:sz w:val="20"/>
          <w:szCs w:val="20"/>
        </w:rPr>
        <w:t xml:space="preserve">figure is higher, accounting for 9.7% lumen depreciation, than the 5 fluorescent benchmark troffer fixtures tested in </w:t>
      </w:r>
      <w:proofErr w:type="spellStart"/>
      <w:r w:rsidR="00FE34BD">
        <w:rPr>
          <w:rFonts w:ascii="Arial" w:hAnsi="Arial" w:cs="Arial"/>
          <w:sz w:val="20"/>
          <w:szCs w:val="20"/>
        </w:rPr>
        <w:t>CALiPER</w:t>
      </w:r>
      <w:proofErr w:type="spellEnd"/>
      <w:r w:rsidR="00FE34BD">
        <w:rPr>
          <w:rFonts w:ascii="Arial" w:hAnsi="Arial" w:cs="Arial"/>
          <w:sz w:val="20"/>
          <w:szCs w:val="20"/>
        </w:rPr>
        <w:t xml:space="preserve"> Rounds 9 and 13 (all of which were 2x2 fixtures).</w:t>
      </w:r>
      <w:r w:rsidR="00FE34BD">
        <w:rPr>
          <w:rStyle w:val="EndnoteReference"/>
          <w:rFonts w:ascii="Arial" w:hAnsi="Arial" w:cs="Arial"/>
          <w:sz w:val="20"/>
          <w:szCs w:val="20"/>
        </w:rPr>
        <w:endnoteReference w:id="12"/>
      </w:r>
    </w:p>
    <w:p w:rsidR="004A5BE3" w:rsidRPr="002574CF" w:rsidRDefault="004A5BE3" w:rsidP="004A5BE3">
      <w:pPr>
        <w:rPr>
          <w:rFonts w:ascii="Arial" w:hAnsi="Arial" w:cs="Arial"/>
          <w:sz w:val="20"/>
          <w:szCs w:val="20"/>
        </w:rPr>
      </w:pPr>
    </w:p>
    <w:p w:rsidR="004A5BE3" w:rsidRDefault="004A5BE3" w:rsidP="004A5BE3">
      <w:pPr>
        <w:rPr>
          <w:rFonts w:ascii="Arial" w:hAnsi="Arial" w:cs="Arial"/>
          <w:sz w:val="20"/>
          <w:szCs w:val="20"/>
        </w:rPr>
      </w:pPr>
      <w:r>
        <w:rPr>
          <w:rFonts w:ascii="Arial" w:hAnsi="Arial" w:cs="Arial"/>
          <w:sz w:val="20"/>
          <w:szCs w:val="20"/>
        </w:rPr>
        <w:t>The</w:t>
      </w:r>
      <w:r w:rsidRPr="002574CF">
        <w:rPr>
          <w:rFonts w:ascii="Arial" w:hAnsi="Arial" w:cs="Arial"/>
          <w:sz w:val="20"/>
          <w:szCs w:val="20"/>
        </w:rPr>
        <w:t xml:space="preserve"> </w:t>
      </w:r>
      <w:bookmarkStart w:id="32" w:name="OLE_LINK8"/>
      <w:bookmarkStart w:id="33" w:name="OLE_LINK9"/>
      <w:r w:rsidRPr="002574CF">
        <w:rPr>
          <w:rFonts w:ascii="Arial" w:hAnsi="Arial" w:cs="Arial"/>
          <w:sz w:val="20"/>
          <w:szCs w:val="20"/>
        </w:rPr>
        <w:t xml:space="preserve">DOE Solid-State Lighting </w:t>
      </w:r>
      <w:proofErr w:type="spellStart"/>
      <w:r w:rsidRPr="002574CF">
        <w:rPr>
          <w:rFonts w:ascii="Arial" w:hAnsi="Arial" w:cs="Arial"/>
          <w:sz w:val="20"/>
          <w:szCs w:val="20"/>
        </w:rPr>
        <w:t>CALiPER</w:t>
      </w:r>
      <w:proofErr w:type="spellEnd"/>
      <w:r w:rsidRPr="002574CF">
        <w:rPr>
          <w:rFonts w:ascii="Arial" w:hAnsi="Arial" w:cs="Arial"/>
          <w:sz w:val="20"/>
          <w:szCs w:val="20"/>
        </w:rPr>
        <w:t xml:space="preserve"> </w:t>
      </w:r>
      <w:r>
        <w:rPr>
          <w:rFonts w:ascii="Arial" w:hAnsi="Arial" w:cs="Arial"/>
          <w:sz w:val="20"/>
          <w:szCs w:val="20"/>
        </w:rPr>
        <w:t xml:space="preserve">Reports have examined 12 LED panel fixtures combined in application summary reports 1, 5, 7, 9 and 13, but none of these tests are dated more recently than September of 2011, making them of limited relevance for a </w:t>
      </w:r>
      <w:proofErr w:type="spellStart"/>
      <w:r>
        <w:rPr>
          <w:rFonts w:ascii="Arial" w:hAnsi="Arial" w:cs="Arial"/>
          <w:sz w:val="20"/>
          <w:szCs w:val="20"/>
        </w:rPr>
        <w:t>workpaper</w:t>
      </w:r>
      <w:proofErr w:type="spellEnd"/>
      <w:r>
        <w:rPr>
          <w:rFonts w:ascii="Arial" w:hAnsi="Arial" w:cs="Arial"/>
          <w:sz w:val="20"/>
          <w:szCs w:val="20"/>
        </w:rPr>
        <w:t xml:space="preserve"> in 2015 given LED improvements.</w:t>
      </w:r>
      <w:bookmarkEnd w:id="32"/>
      <w:bookmarkEnd w:id="33"/>
      <w:r>
        <w:rPr>
          <w:rFonts w:ascii="Arial" w:hAnsi="Arial" w:cs="Arial"/>
          <w:sz w:val="20"/>
          <w:szCs w:val="20"/>
        </w:rPr>
        <w:t xml:space="preserve"> Given their age, </w:t>
      </w:r>
      <w:proofErr w:type="spellStart"/>
      <w:r>
        <w:rPr>
          <w:rFonts w:ascii="Arial" w:hAnsi="Arial" w:cs="Arial"/>
          <w:sz w:val="20"/>
          <w:szCs w:val="20"/>
        </w:rPr>
        <w:t>CALiPER</w:t>
      </w:r>
      <w:proofErr w:type="spellEnd"/>
      <w:r>
        <w:rPr>
          <w:rFonts w:ascii="Arial" w:hAnsi="Arial" w:cs="Arial"/>
          <w:sz w:val="20"/>
          <w:szCs w:val="20"/>
        </w:rPr>
        <w:t xml:space="preserve"> reports were not used for determining equivalency.  </w:t>
      </w:r>
    </w:p>
    <w:p w:rsidR="004A5BE3" w:rsidRDefault="004A5BE3" w:rsidP="004A5BE3">
      <w:pPr>
        <w:rPr>
          <w:rFonts w:ascii="Arial" w:hAnsi="Arial" w:cs="Arial"/>
          <w:sz w:val="20"/>
          <w:szCs w:val="20"/>
        </w:rPr>
      </w:pPr>
    </w:p>
    <w:p w:rsidR="00FE34BD" w:rsidRDefault="00FE34BD" w:rsidP="004A5BE3">
      <w:pPr>
        <w:rPr>
          <w:rFonts w:ascii="Arial" w:hAnsi="Arial" w:cs="Arial"/>
          <w:sz w:val="20"/>
          <w:szCs w:val="20"/>
        </w:rPr>
      </w:pPr>
      <w:r>
        <w:rPr>
          <w:rFonts w:ascii="Arial" w:hAnsi="Arial" w:cs="Arial"/>
          <w:sz w:val="20"/>
          <w:szCs w:val="20"/>
        </w:rPr>
        <w:t xml:space="preserve">Initial LED lumen efficacy assumptions are set by the measure code minimum requirements, starting with 85 LPW for the lowest-efficacy measure code corresponding with DLC’s minimum efficacy.  Calculating the wattage corresponding to this efficacy for a unit of one </w:t>
      </w:r>
      <w:proofErr w:type="spellStart"/>
      <w:r>
        <w:rPr>
          <w:rFonts w:ascii="Arial" w:hAnsi="Arial" w:cs="Arial"/>
          <w:sz w:val="20"/>
          <w:szCs w:val="20"/>
        </w:rPr>
        <w:t>kilolumen</w:t>
      </w:r>
      <w:proofErr w:type="spellEnd"/>
      <w:r>
        <w:rPr>
          <w:rFonts w:ascii="Arial" w:hAnsi="Arial" w:cs="Arial"/>
          <w:sz w:val="20"/>
          <w:szCs w:val="20"/>
        </w:rPr>
        <w:t xml:space="preserve"> can be accomplished by dividing 1000 lumens by 85 lumens per watt, resulting in 11.8 Watts per </w:t>
      </w:r>
      <w:proofErr w:type="spellStart"/>
      <w:r>
        <w:rPr>
          <w:rFonts w:ascii="Arial" w:hAnsi="Arial" w:cs="Arial"/>
          <w:sz w:val="20"/>
          <w:szCs w:val="20"/>
        </w:rPr>
        <w:t>kilolumen</w:t>
      </w:r>
      <w:proofErr w:type="spellEnd"/>
      <w:r>
        <w:rPr>
          <w:rFonts w:ascii="Arial" w:hAnsi="Arial" w:cs="Arial"/>
          <w:sz w:val="20"/>
          <w:szCs w:val="20"/>
        </w:rPr>
        <w:t xml:space="preserve"> for the measure case.</w:t>
      </w:r>
      <w:r w:rsidR="00C55680">
        <w:rPr>
          <w:rFonts w:ascii="Arial" w:hAnsi="Arial" w:cs="Arial"/>
          <w:sz w:val="20"/>
          <w:szCs w:val="20"/>
        </w:rPr>
        <w:t xml:space="preserve"> The LED fixture performance calculation relies on the fact that test lamp performance for LED fixtures is measured via absolute photometry, compared to the relative photometry which is the standard for linear fluorescent fixtures. The practical implication of this is that the LED product efficacies found in the DLC listing, 85 LPW and higher, already reflect the light losses inside the fixture, giving an 85-LPW LED fixture a significant advantage in supplying illumination over a fluorescent fixture with an 85 LPW lamp-and-ballast system.</w:t>
      </w:r>
    </w:p>
    <w:p w:rsidR="00FE34BD" w:rsidRDefault="00FE34BD" w:rsidP="004A5BE3">
      <w:pPr>
        <w:rPr>
          <w:rFonts w:ascii="Arial" w:hAnsi="Arial" w:cs="Arial"/>
          <w:sz w:val="20"/>
          <w:szCs w:val="20"/>
        </w:rPr>
      </w:pPr>
    </w:p>
    <w:p w:rsidR="00205B34" w:rsidRDefault="004A5BE3" w:rsidP="004A5BE3">
      <w:pPr>
        <w:rPr>
          <w:rFonts w:ascii="Arial" w:hAnsi="Arial" w:cs="Arial"/>
          <w:sz w:val="20"/>
          <w:szCs w:val="20"/>
        </w:rPr>
      </w:pPr>
      <w:r>
        <w:rPr>
          <w:rFonts w:ascii="Arial" w:hAnsi="Arial" w:cs="Arial"/>
          <w:sz w:val="20"/>
          <w:szCs w:val="20"/>
        </w:rPr>
        <w:t xml:space="preserve">Maintained lumen output equivalency was based on the full list of DLC products and on LED lumen maintenance data from the Lighting Facts database. All 156 Lighting Facts fixtures with lumen maintenance information were considered as a full dataset, as well as the subset of 20 fixtures that were both DLC-listed and available with </w:t>
      </w:r>
      <w:r w:rsidR="00205B34">
        <w:rPr>
          <w:rFonts w:ascii="Arial" w:hAnsi="Arial" w:cs="Arial"/>
          <w:sz w:val="20"/>
          <w:szCs w:val="20"/>
        </w:rPr>
        <w:t xml:space="preserve">lumen maintenance values for the </w:t>
      </w:r>
      <w:r>
        <w:rPr>
          <w:rFonts w:ascii="Arial" w:hAnsi="Arial" w:cs="Arial"/>
          <w:sz w:val="20"/>
          <w:szCs w:val="20"/>
        </w:rPr>
        <w:t>25,000-hour</w:t>
      </w:r>
      <w:r w:rsidR="00205B34">
        <w:rPr>
          <w:rFonts w:ascii="Arial" w:hAnsi="Arial" w:cs="Arial"/>
          <w:sz w:val="20"/>
          <w:szCs w:val="20"/>
        </w:rPr>
        <w:t xml:space="preserve"> mark, the mid-point of the 50,000 DLC specification minimum</w:t>
      </w:r>
      <w:r>
        <w:rPr>
          <w:rFonts w:ascii="Arial" w:hAnsi="Arial" w:cs="Arial"/>
          <w:sz w:val="20"/>
          <w:szCs w:val="20"/>
        </w:rPr>
        <w:t xml:space="preserve">. The full dataset is provided in the calculations file for this </w:t>
      </w:r>
      <w:proofErr w:type="spellStart"/>
      <w:r>
        <w:rPr>
          <w:rFonts w:ascii="Arial" w:hAnsi="Arial" w:cs="Arial"/>
          <w:sz w:val="20"/>
          <w:szCs w:val="20"/>
        </w:rPr>
        <w:t>workpaper</w:t>
      </w:r>
      <w:proofErr w:type="spellEnd"/>
      <w:r>
        <w:rPr>
          <w:rFonts w:ascii="Arial" w:hAnsi="Arial" w:cs="Arial"/>
          <w:sz w:val="20"/>
          <w:szCs w:val="20"/>
        </w:rPr>
        <w:t>. Analysis of both the full set and subset, in accordance with the LED lumen output extrapolation formula published in Federal rulemaking,</w:t>
      </w:r>
      <w:r>
        <w:rPr>
          <w:rStyle w:val="EndnoteReference"/>
          <w:rFonts w:ascii="Arial" w:hAnsi="Arial" w:cs="Arial"/>
          <w:sz w:val="20"/>
          <w:szCs w:val="20"/>
        </w:rPr>
        <w:endnoteReference w:id="13"/>
      </w:r>
      <w:r>
        <w:rPr>
          <w:rFonts w:ascii="Arial" w:hAnsi="Arial" w:cs="Arial"/>
          <w:sz w:val="20"/>
          <w:szCs w:val="20"/>
        </w:rPr>
        <w:t xml:space="preserve"> suggests LED fixture lumen maintenance at EUL of 8</w:t>
      </w:r>
      <w:r w:rsidR="00C87EF3">
        <w:rPr>
          <w:rFonts w:ascii="Arial" w:hAnsi="Arial" w:cs="Arial"/>
          <w:sz w:val="20"/>
          <w:szCs w:val="20"/>
        </w:rPr>
        <w:t>7</w:t>
      </w:r>
      <w:r>
        <w:rPr>
          <w:rFonts w:ascii="Arial" w:hAnsi="Arial" w:cs="Arial"/>
          <w:sz w:val="20"/>
          <w:szCs w:val="20"/>
        </w:rPr>
        <w:t>.</w:t>
      </w:r>
      <w:r w:rsidR="00C87EF3">
        <w:rPr>
          <w:rFonts w:ascii="Arial" w:hAnsi="Arial" w:cs="Arial"/>
          <w:sz w:val="20"/>
          <w:szCs w:val="20"/>
        </w:rPr>
        <w:t>0</w:t>
      </w:r>
      <w:r>
        <w:rPr>
          <w:rFonts w:ascii="Arial" w:hAnsi="Arial" w:cs="Arial"/>
          <w:sz w:val="20"/>
          <w:szCs w:val="20"/>
        </w:rPr>
        <w:t xml:space="preserve">% for the blended Commercial building type with </w:t>
      </w:r>
      <w:r w:rsidR="00205B34">
        <w:rPr>
          <w:rFonts w:ascii="Arial" w:hAnsi="Arial" w:cs="Arial"/>
          <w:sz w:val="20"/>
          <w:szCs w:val="20"/>
        </w:rPr>
        <w:t>3077.9</w:t>
      </w:r>
      <w:r>
        <w:rPr>
          <w:rFonts w:ascii="Arial" w:hAnsi="Arial" w:cs="Arial"/>
          <w:sz w:val="20"/>
          <w:szCs w:val="20"/>
        </w:rPr>
        <w:t xml:space="preserve"> DEER </w:t>
      </w:r>
      <w:r w:rsidR="00205B34">
        <w:rPr>
          <w:rFonts w:ascii="Arial" w:hAnsi="Arial" w:cs="Arial"/>
          <w:sz w:val="20"/>
          <w:szCs w:val="20"/>
        </w:rPr>
        <w:t xml:space="preserve">Measure </w:t>
      </w:r>
      <w:r>
        <w:rPr>
          <w:rFonts w:ascii="Arial" w:hAnsi="Arial" w:cs="Arial"/>
          <w:sz w:val="20"/>
          <w:szCs w:val="20"/>
        </w:rPr>
        <w:t>hours per year for</w:t>
      </w:r>
      <w:r w:rsidR="00205B34">
        <w:rPr>
          <w:rFonts w:ascii="Arial" w:hAnsi="Arial" w:cs="Arial"/>
          <w:sz w:val="20"/>
          <w:szCs w:val="20"/>
        </w:rPr>
        <w:t xml:space="preserve"> </w:t>
      </w:r>
      <w:r w:rsidR="00C87EF3">
        <w:rPr>
          <w:rFonts w:ascii="Arial" w:hAnsi="Arial" w:cs="Arial"/>
          <w:sz w:val="20"/>
          <w:szCs w:val="20"/>
        </w:rPr>
        <w:t>16</w:t>
      </w:r>
      <w:r w:rsidR="00205B34">
        <w:rPr>
          <w:rFonts w:ascii="Arial" w:hAnsi="Arial" w:cs="Arial"/>
          <w:sz w:val="20"/>
          <w:szCs w:val="20"/>
        </w:rPr>
        <w:t xml:space="preserve"> years, based on the following calculation:</w:t>
      </w:r>
    </w:p>
    <w:p w:rsidR="00205B34" w:rsidRDefault="00205B34" w:rsidP="004A5BE3">
      <w:pPr>
        <w:rPr>
          <w:rFonts w:ascii="Arial" w:hAnsi="Arial" w:cs="Arial"/>
          <w:sz w:val="20"/>
          <w:szCs w:val="20"/>
        </w:rPr>
      </w:pPr>
    </w:p>
    <w:p w:rsidR="00FE34BD" w:rsidRDefault="00205B34" w:rsidP="004A5BE3">
      <w:pPr>
        <w:rPr>
          <w:rFonts w:ascii="Arial" w:hAnsi="Arial" w:cs="Arial"/>
          <w:sz w:val="20"/>
          <w:szCs w:val="20"/>
        </w:rPr>
      </w:pPr>
      <w:r>
        <w:rPr>
          <w:rFonts w:ascii="Arial" w:hAnsi="Arial" w:cs="Arial"/>
          <w:sz w:val="20"/>
          <w:szCs w:val="20"/>
        </w:rPr>
        <w:tab/>
      </w:r>
      <w:r w:rsidR="004A5BE3">
        <w:rPr>
          <w:rFonts w:ascii="Arial" w:hAnsi="Arial" w:cs="Arial"/>
          <w:sz w:val="20"/>
          <w:szCs w:val="20"/>
        </w:rPr>
        <w:t xml:space="preserve"> </w:t>
      </w:r>
      <w:r w:rsidR="007E233C">
        <w:rPr>
          <w:rFonts w:ascii="Arial" w:hAnsi="Arial" w:cs="Arial"/>
          <w:sz w:val="20"/>
          <w:szCs w:val="20"/>
        </w:rPr>
        <w:t>C</w:t>
      </w:r>
      <w:r w:rsidR="00EE7FB1">
        <w:rPr>
          <w:rFonts w:ascii="Arial" w:hAnsi="Arial" w:cs="Arial"/>
          <w:sz w:val="20"/>
          <w:szCs w:val="20"/>
        </w:rPr>
        <w:t>om</w:t>
      </w:r>
      <w:r w:rsidR="007E233C">
        <w:rPr>
          <w:rFonts w:ascii="Arial" w:hAnsi="Arial" w:cs="Arial"/>
          <w:sz w:val="20"/>
          <w:szCs w:val="20"/>
        </w:rPr>
        <w:t xml:space="preserve"> </w:t>
      </w:r>
      <w:r>
        <w:rPr>
          <w:rFonts w:ascii="Arial" w:hAnsi="Arial" w:cs="Arial"/>
          <w:sz w:val="20"/>
          <w:szCs w:val="20"/>
        </w:rPr>
        <w:t>EUL hours per DEER</w:t>
      </w:r>
      <w:r>
        <w:rPr>
          <w:rFonts w:ascii="Arial" w:hAnsi="Arial" w:cs="Arial"/>
          <w:sz w:val="20"/>
          <w:szCs w:val="20"/>
        </w:rPr>
        <w:tab/>
        <w:t xml:space="preserve">= DEER Annual Measure </w:t>
      </w:r>
      <w:proofErr w:type="spellStart"/>
      <w:proofErr w:type="gramStart"/>
      <w:r>
        <w:rPr>
          <w:rFonts w:ascii="Arial" w:hAnsi="Arial" w:cs="Arial"/>
          <w:sz w:val="20"/>
          <w:szCs w:val="20"/>
        </w:rPr>
        <w:t>HOU</w:t>
      </w:r>
      <w:r w:rsidRPr="00EE7FB1">
        <w:rPr>
          <w:rFonts w:ascii="Arial" w:hAnsi="Arial" w:cs="Arial"/>
          <w:sz w:val="20"/>
          <w:szCs w:val="20"/>
          <w:vertAlign w:val="subscript"/>
        </w:rPr>
        <w:t>std</w:t>
      </w:r>
      <w:proofErr w:type="spellEnd"/>
      <w:r>
        <w:rPr>
          <w:rFonts w:ascii="Arial" w:hAnsi="Arial" w:cs="Arial"/>
          <w:sz w:val="20"/>
          <w:szCs w:val="20"/>
        </w:rPr>
        <w:t xml:space="preserve">  ͯ</w:t>
      </w:r>
      <w:proofErr w:type="gramEnd"/>
      <w:r>
        <w:rPr>
          <w:rFonts w:ascii="Arial" w:hAnsi="Arial" w:cs="Arial"/>
          <w:sz w:val="20"/>
          <w:szCs w:val="20"/>
        </w:rPr>
        <w:t xml:space="preserve">  EUL fixture maximum</w:t>
      </w:r>
    </w:p>
    <w:p w:rsidR="00205B34" w:rsidRDefault="00205B34" w:rsidP="004A5BE3">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E233C">
        <w:rPr>
          <w:rFonts w:ascii="Arial" w:hAnsi="Arial" w:cs="Arial"/>
          <w:sz w:val="20"/>
          <w:szCs w:val="20"/>
        </w:rPr>
        <w:tab/>
      </w:r>
      <w:r w:rsidR="00C87EF3">
        <w:rPr>
          <w:rFonts w:ascii="Arial" w:hAnsi="Arial" w:cs="Arial"/>
          <w:sz w:val="20"/>
          <w:szCs w:val="20"/>
        </w:rPr>
        <w:t>= 3077.9 hours/</w:t>
      </w:r>
      <w:proofErr w:type="gramStart"/>
      <w:r w:rsidR="00C87EF3">
        <w:rPr>
          <w:rFonts w:ascii="Arial" w:hAnsi="Arial" w:cs="Arial"/>
          <w:sz w:val="20"/>
          <w:szCs w:val="20"/>
        </w:rPr>
        <w:t>year  ͯ</w:t>
      </w:r>
      <w:proofErr w:type="gramEnd"/>
      <w:r w:rsidR="00C87EF3">
        <w:rPr>
          <w:rFonts w:ascii="Arial" w:hAnsi="Arial" w:cs="Arial"/>
          <w:sz w:val="20"/>
          <w:szCs w:val="20"/>
        </w:rPr>
        <w:t xml:space="preserve">  16</w:t>
      </w:r>
      <w:r>
        <w:rPr>
          <w:rFonts w:ascii="Arial" w:hAnsi="Arial" w:cs="Arial"/>
          <w:sz w:val="20"/>
          <w:szCs w:val="20"/>
        </w:rPr>
        <w:t xml:space="preserve"> year maximum EUL</w:t>
      </w:r>
      <w:r w:rsidR="00C71263">
        <w:rPr>
          <w:rFonts w:ascii="Arial" w:hAnsi="Arial" w:cs="Arial"/>
          <w:sz w:val="20"/>
          <w:szCs w:val="20"/>
        </w:rPr>
        <w:t xml:space="preserve"> </w:t>
      </w:r>
    </w:p>
    <w:p w:rsidR="00C87EF3" w:rsidRDefault="007E233C" w:rsidP="004A5BE3">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C87EF3">
        <w:rPr>
          <w:rFonts w:ascii="Arial" w:hAnsi="Arial" w:cs="Arial"/>
          <w:sz w:val="20"/>
          <w:szCs w:val="20"/>
        </w:rPr>
        <w:t>49,246</w:t>
      </w:r>
      <w:r>
        <w:rPr>
          <w:rFonts w:ascii="Arial" w:hAnsi="Arial" w:cs="Arial"/>
          <w:sz w:val="20"/>
          <w:szCs w:val="20"/>
        </w:rPr>
        <w:t>.</w:t>
      </w:r>
      <w:r w:rsidR="00C87EF3">
        <w:rPr>
          <w:rFonts w:ascii="Arial" w:hAnsi="Arial" w:cs="Arial"/>
          <w:sz w:val="20"/>
          <w:szCs w:val="20"/>
        </w:rPr>
        <w:t>4</w:t>
      </w:r>
      <w:r>
        <w:rPr>
          <w:rFonts w:ascii="Arial" w:hAnsi="Arial" w:cs="Arial"/>
          <w:sz w:val="20"/>
          <w:szCs w:val="20"/>
        </w:rPr>
        <w:t xml:space="preserve"> hours</w:t>
      </w:r>
      <w:r w:rsidR="00C71263">
        <w:rPr>
          <w:rFonts w:ascii="Arial" w:hAnsi="Arial" w:cs="Arial"/>
          <w:sz w:val="20"/>
          <w:szCs w:val="20"/>
        </w:rPr>
        <w:t xml:space="preserve"> </w:t>
      </w:r>
    </w:p>
    <w:p w:rsidR="00C71263" w:rsidRDefault="00C87EF3" w:rsidP="00C87EF3">
      <w:pPr>
        <w:ind w:left="1440" w:firstLine="720"/>
        <w:rPr>
          <w:rFonts w:ascii="Arial" w:hAnsi="Arial" w:cs="Arial"/>
          <w:sz w:val="20"/>
          <w:szCs w:val="20"/>
        </w:rPr>
      </w:pPr>
      <w:r>
        <w:rPr>
          <w:rFonts w:ascii="Arial" w:hAnsi="Arial" w:cs="Arial"/>
          <w:sz w:val="20"/>
          <w:szCs w:val="20"/>
        </w:rPr>
        <w:t>This is less</w:t>
      </w:r>
      <w:r w:rsidR="00C71263">
        <w:rPr>
          <w:rFonts w:ascii="Arial" w:hAnsi="Arial" w:cs="Arial"/>
          <w:sz w:val="20"/>
          <w:szCs w:val="20"/>
        </w:rPr>
        <w:t xml:space="preserve"> than 50,000</w:t>
      </w:r>
      <w:r>
        <w:rPr>
          <w:rFonts w:ascii="Arial" w:hAnsi="Arial" w:cs="Arial"/>
          <w:sz w:val="20"/>
          <w:szCs w:val="20"/>
        </w:rPr>
        <w:t>, so 49,246</w:t>
      </w:r>
      <w:r w:rsidR="00C71263">
        <w:rPr>
          <w:rFonts w:ascii="Arial" w:hAnsi="Arial" w:cs="Arial"/>
          <w:sz w:val="20"/>
          <w:szCs w:val="20"/>
        </w:rPr>
        <w:t xml:space="preserve"> hour EUL is used for Com building type</w:t>
      </w:r>
    </w:p>
    <w:p w:rsidR="004A5BE3" w:rsidRDefault="004A5BE3" w:rsidP="004A5BE3">
      <w:pPr>
        <w:rPr>
          <w:rFonts w:ascii="Arial" w:hAnsi="Arial" w:cs="Arial"/>
          <w:sz w:val="20"/>
          <w:szCs w:val="20"/>
        </w:rPr>
      </w:pPr>
    </w:p>
    <w:p w:rsidR="004A5BE3" w:rsidRDefault="004A5BE3" w:rsidP="004A5BE3">
      <w:pPr>
        <w:rPr>
          <w:rFonts w:ascii="Arial" w:hAnsi="Arial" w:cs="Arial"/>
          <w:sz w:val="20"/>
          <w:szCs w:val="20"/>
        </w:rPr>
      </w:pPr>
      <w:r>
        <w:rPr>
          <w:rFonts w:ascii="Arial" w:hAnsi="Arial" w:cs="Arial"/>
          <w:sz w:val="20"/>
          <w:szCs w:val="20"/>
        </w:rPr>
        <w:t>LED lumen maintenance varies by building type due to differing DEER run hours. Motel annual run hours of 15</w:t>
      </w:r>
      <w:r w:rsidR="00747C2C">
        <w:rPr>
          <w:rFonts w:ascii="Arial" w:hAnsi="Arial" w:cs="Arial"/>
          <w:sz w:val="20"/>
          <w:szCs w:val="20"/>
        </w:rPr>
        <w:t>00</w:t>
      </w:r>
      <w:r>
        <w:rPr>
          <w:rFonts w:ascii="Arial" w:hAnsi="Arial" w:cs="Arial"/>
          <w:sz w:val="20"/>
          <w:szCs w:val="20"/>
        </w:rPr>
        <w:t xml:space="preserve"> result in </w:t>
      </w:r>
      <w:r w:rsidR="00C87EF3">
        <w:rPr>
          <w:rFonts w:ascii="Arial" w:hAnsi="Arial" w:cs="Arial"/>
          <w:sz w:val="20"/>
          <w:szCs w:val="20"/>
        </w:rPr>
        <w:t>24</w:t>
      </w:r>
      <w:r>
        <w:rPr>
          <w:rFonts w:ascii="Arial" w:hAnsi="Arial" w:cs="Arial"/>
          <w:sz w:val="20"/>
          <w:szCs w:val="20"/>
        </w:rPr>
        <w:t>,</w:t>
      </w:r>
      <w:r w:rsidR="00747C2C">
        <w:rPr>
          <w:rFonts w:ascii="Arial" w:hAnsi="Arial" w:cs="Arial"/>
          <w:sz w:val="20"/>
          <w:szCs w:val="20"/>
        </w:rPr>
        <w:t>00</w:t>
      </w:r>
      <w:r>
        <w:rPr>
          <w:rFonts w:ascii="Arial" w:hAnsi="Arial" w:cs="Arial"/>
          <w:sz w:val="20"/>
          <w:szCs w:val="20"/>
        </w:rPr>
        <w:t xml:space="preserve">0 run hours over </w:t>
      </w:r>
      <w:r w:rsidR="00C87EF3">
        <w:rPr>
          <w:rFonts w:ascii="Arial" w:hAnsi="Arial" w:cs="Arial"/>
          <w:sz w:val="20"/>
          <w:szCs w:val="20"/>
        </w:rPr>
        <w:t>16</w:t>
      </w:r>
      <w:r>
        <w:rPr>
          <w:rFonts w:ascii="Arial" w:hAnsi="Arial" w:cs="Arial"/>
          <w:sz w:val="20"/>
          <w:szCs w:val="20"/>
        </w:rPr>
        <w:t xml:space="preserve"> year </w:t>
      </w:r>
      <w:proofErr w:type="gramStart"/>
      <w:r>
        <w:rPr>
          <w:rFonts w:ascii="Arial" w:hAnsi="Arial" w:cs="Arial"/>
          <w:sz w:val="20"/>
          <w:szCs w:val="20"/>
        </w:rPr>
        <w:t>EUL,</w:t>
      </w:r>
      <w:proofErr w:type="gramEnd"/>
      <w:r>
        <w:rPr>
          <w:rFonts w:ascii="Arial" w:hAnsi="Arial" w:cs="Arial"/>
          <w:sz w:val="20"/>
          <w:szCs w:val="20"/>
        </w:rPr>
        <w:t xml:space="preserve"> and thus 9</w:t>
      </w:r>
      <w:r w:rsidR="00C87EF3">
        <w:rPr>
          <w:rFonts w:ascii="Arial" w:hAnsi="Arial" w:cs="Arial"/>
          <w:sz w:val="20"/>
          <w:szCs w:val="20"/>
        </w:rPr>
        <w:t>3</w:t>
      </w:r>
      <w:r w:rsidR="00F36736">
        <w:rPr>
          <w:rFonts w:ascii="Arial" w:hAnsi="Arial" w:cs="Arial"/>
          <w:sz w:val="20"/>
          <w:szCs w:val="20"/>
        </w:rPr>
        <w:t>.</w:t>
      </w:r>
      <w:r w:rsidR="00C87EF3">
        <w:rPr>
          <w:rFonts w:ascii="Arial" w:hAnsi="Arial" w:cs="Arial"/>
          <w:sz w:val="20"/>
          <w:szCs w:val="20"/>
        </w:rPr>
        <w:t>4</w:t>
      </w:r>
      <w:r>
        <w:rPr>
          <w:rFonts w:ascii="Arial" w:hAnsi="Arial" w:cs="Arial"/>
          <w:sz w:val="20"/>
          <w:szCs w:val="20"/>
        </w:rPr>
        <w:t xml:space="preserve">% lumen maintenance. DEER annual run hours in </w:t>
      </w:r>
      <w:r w:rsidR="00C71263">
        <w:rPr>
          <w:rFonts w:ascii="Arial" w:hAnsi="Arial" w:cs="Arial"/>
          <w:sz w:val="20"/>
          <w:szCs w:val="20"/>
        </w:rPr>
        <w:t xml:space="preserve">half of the DEER building types, including </w:t>
      </w:r>
      <w:r>
        <w:rPr>
          <w:rFonts w:ascii="Arial" w:hAnsi="Arial" w:cs="Arial"/>
          <w:sz w:val="20"/>
          <w:szCs w:val="20"/>
        </w:rPr>
        <w:t>the Large Retail, Resta</w:t>
      </w:r>
      <w:r w:rsidR="00C71263">
        <w:rPr>
          <w:rFonts w:ascii="Arial" w:hAnsi="Arial" w:cs="Arial"/>
          <w:sz w:val="20"/>
          <w:szCs w:val="20"/>
        </w:rPr>
        <w:t xml:space="preserve">urant and Grocery, over </w:t>
      </w:r>
      <w:r w:rsidR="00C87EF3">
        <w:rPr>
          <w:rFonts w:ascii="Arial" w:hAnsi="Arial" w:cs="Arial"/>
          <w:sz w:val="20"/>
          <w:szCs w:val="20"/>
        </w:rPr>
        <w:t>16</w:t>
      </w:r>
      <w:r>
        <w:rPr>
          <w:rFonts w:ascii="Arial" w:hAnsi="Arial" w:cs="Arial"/>
          <w:sz w:val="20"/>
          <w:szCs w:val="20"/>
        </w:rPr>
        <w:t xml:space="preserve"> years will exceed 50,000 hours, so the 50,000 DLC-minimum rated life fix</w:t>
      </w:r>
      <w:r w:rsidR="00AC2B02">
        <w:rPr>
          <w:rFonts w:ascii="Arial" w:hAnsi="Arial" w:cs="Arial"/>
          <w:sz w:val="20"/>
          <w:szCs w:val="20"/>
        </w:rPr>
        <w:t>ture is used, along with an 87.0</w:t>
      </w:r>
      <w:r>
        <w:rPr>
          <w:rFonts w:ascii="Arial" w:hAnsi="Arial" w:cs="Arial"/>
          <w:sz w:val="20"/>
          <w:szCs w:val="20"/>
        </w:rPr>
        <w:t>% lumen maintenance figure.</w:t>
      </w:r>
      <w:r w:rsidR="007E233C">
        <w:rPr>
          <w:rFonts w:ascii="Arial" w:hAnsi="Arial" w:cs="Arial"/>
          <w:sz w:val="20"/>
          <w:szCs w:val="20"/>
        </w:rPr>
        <w:t xml:space="preserve"> The calculation, based on the Federal extrapolation formula, is </w:t>
      </w:r>
      <w:r w:rsidR="000361B6">
        <w:rPr>
          <w:rFonts w:ascii="Arial" w:hAnsi="Arial" w:cs="Arial"/>
          <w:sz w:val="20"/>
          <w:szCs w:val="20"/>
        </w:rPr>
        <w:t xml:space="preserve">taken across all 20 DLC-listed fixtures with 25,000-hour Lighting Facts data available, </w:t>
      </w:r>
      <w:r w:rsidR="007E233C">
        <w:rPr>
          <w:rFonts w:ascii="Arial" w:hAnsi="Arial" w:cs="Arial"/>
          <w:sz w:val="20"/>
          <w:szCs w:val="20"/>
        </w:rPr>
        <w:t>as follows:</w:t>
      </w:r>
    </w:p>
    <w:p w:rsidR="007E233C" w:rsidRDefault="007E233C" w:rsidP="004A5BE3">
      <w:pPr>
        <w:rPr>
          <w:rFonts w:ascii="Arial" w:hAnsi="Arial" w:cs="Arial"/>
          <w:sz w:val="20"/>
          <w:szCs w:val="20"/>
        </w:rPr>
      </w:pPr>
    </w:p>
    <w:p w:rsidR="000361B6" w:rsidRDefault="007E233C" w:rsidP="004A5BE3">
      <w:pPr>
        <w:rPr>
          <w:rFonts w:ascii="Arial" w:hAnsi="Arial" w:cs="Arial"/>
          <w:sz w:val="20"/>
          <w:szCs w:val="20"/>
        </w:rPr>
      </w:pPr>
      <w:r>
        <w:rPr>
          <w:rFonts w:ascii="Arial" w:hAnsi="Arial" w:cs="Arial"/>
          <w:sz w:val="20"/>
          <w:szCs w:val="20"/>
        </w:rPr>
        <w:t>Lumen Main</w:t>
      </w:r>
      <w:r w:rsidR="00EE7FB1">
        <w:rPr>
          <w:rFonts w:ascii="Arial" w:hAnsi="Arial" w:cs="Arial"/>
          <w:sz w:val="20"/>
          <w:szCs w:val="20"/>
        </w:rPr>
        <w:t>tenance at Com</w:t>
      </w:r>
      <w:r>
        <w:rPr>
          <w:rFonts w:ascii="Arial" w:hAnsi="Arial" w:cs="Arial"/>
          <w:sz w:val="20"/>
          <w:szCs w:val="20"/>
        </w:rPr>
        <w:t xml:space="preserve"> EUL =</w:t>
      </w:r>
      <m:oMath>
        <m:r>
          <m:rPr>
            <m:sty m:val="p"/>
          </m:rPr>
          <w:rPr>
            <w:rFonts w:ascii="Cambria Math" w:hAnsi="Cambria Math" w:cs="Arial"/>
            <w:sz w:val="20"/>
            <w:szCs w:val="20"/>
          </w:rPr>
          <w:br/>
        </m:r>
      </m:oMath>
      <m:oMathPara>
        <m:oMath>
          <m:sSup>
            <m:sSupPr>
              <m:ctrlPr>
                <w:rPr>
                  <w:rFonts w:ascii="Cambria Math" w:hAnsi="Cambria Math" w:cs="Arial"/>
                  <w:i/>
                  <w:sz w:val="20"/>
                  <w:szCs w:val="20"/>
                </w:rPr>
              </m:ctrlPr>
            </m:sSupPr>
            <m:e>
              <m:r>
                <w:rPr>
                  <w:rFonts w:ascii="Cambria Math" w:hAnsi="Cambria Math" w:cs="Arial"/>
                  <w:sz w:val="20"/>
                  <w:szCs w:val="20"/>
                </w:rPr>
                <m:t>e</m:t>
              </m:r>
            </m:e>
            <m:sup>
              <m:r>
                <w:rPr>
                  <w:rFonts w:ascii="Cambria Math" w:hAnsi="Cambria Math" w:cs="Arial"/>
                  <w:sz w:val="20"/>
                  <w:szCs w:val="20"/>
                </w:rPr>
                <m:t>ComEUL hours×</m:t>
              </m:r>
              <m:func>
                <m:funcPr>
                  <m:ctrlPr>
                    <w:rPr>
                      <w:rFonts w:ascii="Cambria Math" w:hAnsi="Cambria Math" w:cs="Arial"/>
                      <w:i/>
                      <w:sz w:val="20"/>
                      <w:szCs w:val="20"/>
                    </w:rPr>
                  </m:ctrlPr>
                </m:funcPr>
                <m:fName>
                  <m:r>
                    <m:rPr>
                      <m:sty m:val="p"/>
                    </m:rPr>
                    <w:rPr>
                      <w:rFonts w:ascii="Cambria Math" w:hAnsi="Cambria Math" w:cs="Arial"/>
                      <w:sz w:val="20"/>
                      <w:szCs w:val="20"/>
                    </w:rPr>
                    <m:t>ln</m:t>
                  </m:r>
                </m:fName>
                <m:e>
                  <m:r>
                    <w:rPr>
                      <w:rFonts w:ascii="Cambria Math" w:hAnsi="Cambria Math" w:cs="Arial"/>
                      <w:sz w:val="20"/>
                      <w:szCs w:val="20"/>
                    </w:rPr>
                    <m:t xml:space="preserve">Lumen Maintenance % @ 25,000 </m:t>
                  </m:r>
                  <m:r>
                    <w:rPr>
                      <w:rFonts w:ascii="Cambria Math" w:hAnsi="Cambria Math" w:cs="Arial"/>
                      <w:sz w:val="20"/>
                      <w:szCs w:val="20"/>
                    </w:rPr>
                    <m:t>hours</m:t>
                  </m:r>
                </m:e>
              </m:func>
              <m:r>
                <w:rPr>
                  <w:rFonts w:ascii="Cambria Math" w:hAnsi="Cambria Math" w:cs="Arial"/>
                  <w:sz w:val="20"/>
                  <w:szCs w:val="20"/>
                </w:rPr>
                <m:t xml:space="preserve">÷25,000 </m:t>
              </m:r>
              <m:r>
                <w:rPr>
                  <w:rFonts w:ascii="Cambria Math" w:hAnsi="Cambria Math" w:cs="Arial"/>
                  <w:sz w:val="20"/>
                  <w:szCs w:val="20"/>
                </w:rPr>
                <m:t xml:space="preserve">hours </m:t>
              </m:r>
            </m:sup>
          </m:sSup>
        </m:oMath>
      </m:oMathPara>
    </w:p>
    <w:p w:rsidR="000361B6" w:rsidRPr="000361B6" w:rsidRDefault="000361B6" w:rsidP="000361B6">
      <w:pPr>
        <w:ind w:left="2160"/>
        <w:rPr>
          <w:rFonts w:ascii="Arial" w:hAnsi="Arial" w:cs="Arial"/>
          <w:sz w:val="20"/>
          <w:szCs w:val="20"/>
        </w:rPr>
      </w:pPr>
      <w:r>
        <w:rPr>
          <w:rFonts w:ascii="Arial" w:hAnsi="Arial" w:cs="Arial"/>
          <w:sz w:val="20"/>
          <w:szCs w:val="20"/>
        </w:rPr>
        <w:t>=</w:t>
      </w:r>
      <m:oMath>
        <m:sSup>
          <m:sSupPr>
            <m:ctrlPr>
              <w:rPr>
                <w:rFonts w:ascii="Cambria Math" w:hAnsi="Cambria Math" w:cs="Arial"/>
                <w:i/>
                <w:sz w:val="20"/>
                <w:szCs w:val="20"/>
              </w:rPr>
            </m:ctrlPr>
          </m:sSupPr>
          <m:e>
            <m:r>
              <w:rPr>
                <w:rFonts w:ascii="Cambria Math" w:hAnsi="Cambria Math" w:cs="Arial"/>
                <w:sz w:val="20"/>
                <w:szCs w:val="20"/>
              </w:rPr>
              <m:t>e</m:t>
            </m:r>
          </m:e>
          <m:sup>
            <m:r>
              <w:rPr>
                <w:rFonts w:ascii="Cambria Math" w:hAnsi="Cambria Math" w:cs="Arial"/>
                <w:sz w:val="20"/>
                <w:szCs w:val="20"/>
              </w:rPr>
              <m:t>49,246×</m:t>
            </m:r>
            <m:func>
              <m:funcPr>
                <m:ctrlPr>
                  <w:rPr>
                    <w:rFonts w:ascii="Cambria Math" w:hAnsi="Cambria Math" w:cs="Arial"/>
                    <w:i/>
                    <w:sz w:val="20"/>
                    <w:szCs w:val="20"/>
                  </w:rPr>
                </m:ctrlPr>
              </m:funcPr>
              <m:fName>
                <m:r>
                  <m:rPr>
                    <m:sty m:val="p"/>
                  </m:rPr>
                  <w:rPr>
                    <w:rFonts w:ascii="Cambria Math" w:hAnsi="Cambria Math" w:cs="Arial"/>
                    <w:sz w:val="20"/>
                    <w:szCs w:val="20"/>
                  </w:rPr>
                  <m:t>ln</m:t>
                </m:r>
              </m:fName>
              <m:e>
                <m:r>
                  <w:rPr>
                    <w:rFonts w:ascii="Cambria Math" w:hAnsi="Cambria Math" w:cs="Arial"/>
                    <w:sz w:val="20"/>
                    <w:szCs w:val="20"/>
                  </w:rPr>
                  <m:t xml:space="preserve">93.16 </m:t>
                </m:r>
              </m:e>
            </m:func>
            <m:r>
              <w:rPr>
                <w:rFonts w:ascii="Cambria Math" w:hAnsi="Cambria Math" w:cs="Arial"/>
                <w:sz w:val="20"/>
                <w:szCs w:val="20"/>
              </w:rPr>
              <m:t>÷25,000</m:t>
            </m:r>
          </m:sup>
        </m:sSup>
      </m:oMath>
    </w:p>
    <w:p w:rsidR="00747C2C" w:rsidRPr="000361B6" w:rsidRDefault="00AC2B02" w:rsidP="000361B6">
      <w:pPr>
        <w:ind w:left="2160"/>
        <w:rPr>
          <w:rFonts w:ascii="Arial" w:hAnsi="Arial" w:cs="Arial"/>
          <w:sz w:val="20"/>
          <w:szCs w:val="20"/>
        </w:rPr>
      </w:pPr>
      <w:r>
        <w:rPr>
          <w:rFonts w:ascii="Arial" w:hAnsi="Arial" w:cs="Arial"/>
          <w:sz w:val="20"/>
          <w:szCs w:val="20"/>
        </w:rPr>
        <w:t>=87</w:t>
      </w:r>
      <w:r w:rsidR="000361B6">
        <w:rPr>
          <w:rFonts w:ascii="Arial" w:hAnsi="Arial" w:cs="Arial"/>
          <w:sz w:val="20"/>
          <w:szCs w:val="20"/>
        </w:rPr>
        <w:t>.</w:t>
      </w:r>
      <w:r>
        <w:rPr>
          <w:rFonts w:ascii="Arial" w:hAnsi="Arial" w:cs="Arial"/>
          <w:sz w:val="20"/>
          <w:szCs w:val="20"/>
        </w:rPr>
        <w:t>0</w:t>
      </w:r>
      <w:r w:rsidR="000361B6">
        <w:rPr>
          <w:rFonts w:ascii="Arial" w:hAnsi="Arial" w:cs="Arial"/>
          <w:sz w:val="20"/>
          <w:szCs w:val="20"/>
        </w:rPr>
        <w:t>% lumen maintenance</w:t>
      </w:r>
      <m:oMath>
        <m:r>
          <m:rPr>
            <m:sty m:val="p"/>
          </m:rPr>
          <w:rPr>
            <w:rFonts w:ascii="Cambria Math" w:hAnsi="Cambria Math" w:cs="Arial"/>
            <w:sz w:val="20"/>
            <w:szCs w:val="20"/>
          </w:rPr>
          <w:br/>
        </m:r>
      </m:oMath>
    </w:p>
    <w:p w:rsidR="00C069A2" w:rsidRDefault="00CF3FF0" w:rsidP="00D211F3">
      <w:pPr>
        <w:pStyle w:val="Heading1"/>
      </w:pPr>
      <w:bookmarkStart w:id="34" w:name="_Toc438457182"/>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34"/>
    </w:p>
    <w:p w:rsidR="008832FA" w:rsidRDefault="007C1DEB" w:rsidP="001A3026">
      <w:pPr>
        <w:rPr>
          <w:rFonts w:ascii="Arial" w:hAnsi="Arial" w:cs="Arial"/>
          <w:sz w:val="20"/>
          <w:szCs w:val="20"/>
        </w:rPr>
      </w:pPr>
      <w:r>
        <w:rPr>
          <w:rFonts w:ascii="Arial" w:hAnsi="Arial" w:cs="Arial"/>
          <w:sz w:val="20"/>
          <w:szCs w:val="20"/>
        </w:rPr>
        <w:t xml:space="preserve">This </w:t>
      </w:r>
      <w:proofErr w:type="spellStart"/>
      <w:r>
        <w:rPr>
          <w:rFonts w:ascii="Arial" w:hAnsi="Arial" w:cs="Arial"/>
          <w:sz w:val="20"/>
          <w:szCs w:val="20"/>
        </w:rPr>
        <w:t>workpaper</w:t>
      </w:r>
      <w:proofErr w:type="spellEnd"/>
      <w:r>
        <w:rPr>
          <w:rFonts w:ascii="Arial" w:hAnsi="Arial" w:cs="Arial"/>
          <w:sz w:val="20"/>
          <w:szCs w:val="20"/>
        </w:rPr>
        <w:t xml:space="preserve"> </w:t>
      </w:r>
      <w:r w:rsidR="00FE34BD">
        <w:rPr>
          <w:rFonts w:ascii="Arial" w:hAnsi="Arial" w:cs="Arial"/>
          <w:sz w:val="20"/>
          <w:szCs w:val="20"/>
        </w:rPr>
        <w:t xml:space="preserve">does not group </w:t>
      </w:r>
      <w:r>
        <w:rPr>
          <w:rFonts w:ascii="Arial" w:hAnsi="Arial" w:cs="Arial"/>
          <w:sz w:val="20"/>
          <w:szCs w:val="20"/>
        </w:rPr>
        <w:t>base and measure case</w:t>
      </w:r>
      <w:r w:rsidR="00FE34BD">
        <w:rPr>
          <w:rFonts w:ascii="Arial" w:hAnsi="Arial" w:cs="Arial"/>
          <w:sz w:val="20"/>
          <w:szCs w:val="20"/>
        </w:rPr>
        <w:t xml:space="preserve"> fixtures by</w:t>
      </w:r>
      <w:r>
        <w:rPr>
          <w:rFonts w:ascii="Arial" w:hAnsi="Arial" w:cs="Arial"/>
          <w:sz w:val="20"/>
          <w:szCs w:val="20"/>
        </w:rPr>
        <w:t xml:space="preserve"> wattages.</w:t>
      </w:r>
      <w:r w:rsidR="00322FB9">
        <w:rPr>
          <w:rFonts w:ascii="Arial" w:hAnsi="Arial" w:cs="Arial"/>
          <w:sz w:val="20"/>
          <w:szCs w:val="20"/>
        </w:rPr>
        <w:t xml:space="preserve"> The base case </w:t>
      </w:r>
      <w:r w:rsidR="00FE34BD">
        <w:rPr>
          <w:rFonts w:ascii="Arial" w:hAnsi="Arial" w:cs="Arial"/>
          <w:sz w:val="20"/>
          <w:szCs w:val="20"/>
        </w:rPr>
        <w:t xml:space="preserve">and measure </w:t>
      </w:r>
      <w:r w:rsidR="00322FB9">
        <w:rPr>
          <w:rFonts w:ascii="Arial" w:hAnsi="Arial" w:cs="Arial"/>
          <w:sz w:val="20"/>
          <w:szCs w:val="20"/>
        </w:rPr>
        <w:t xml:space="preserve">wattages </w:t>
      </w:r>
      <w:r w:rsidR="00FE34BD">
        <w:rPr>
          <w:rFonts w:ascii="Arial" w:hAnsi="Arial" w:cs="Arial"/>
          <w:sz w:val="20"/>
          <w:szCs w:val="20"/>
        </w:rPr>
        <w:t xml:space="preserve">are determined by the methods described in section 1.4.4. </w:t>
      </w:r>
    </w:p>
    <w:p w:rsidR="00FE34BD" w:rsidRDefault="00FE34BD" w:rsidP="001A3026">
      <w:pPr>
        <w:rPr>
          <w:rFonts w:ascii="Arial" w:hAnsi="Arial" w:cs="Arial"/>
          <w:sz w:val="20"/>
          <w:szCs w:val="20"/>
        </w:rPr>
      </w:pPr>
    </w:p>
    <w:p w:rsidR="003B44BB" w:rsidRDefault="003B44BB" w:rsidP="001A3026">
      <w:pPr>
        <w:rPr>
          <w:rFonts w:ascii="Arial" w:hAnsi="Arial" w:cs="Arial"/>
          <w:sz w:val="20"/>
          <w:szCs w:val="20"/>
        </w:rPr>
      </w:pPr>
    </w:p>
    <w:p w:rsidR="003B44BB" w:rsidRDefault="003B44BB" w:rsidP="003B44BB">
      <w:pPr>
        <w:pStyle w:val="Caption"/>
        <w:jc w:val="center"/>
      </w:pPr>
      <w:bookmarkStart w:id="35" w:name="_Toc438457213"/>
      <w:r>
        <w:t>Table</w:t>
      </w:r>
      <w:r w:rsidR="00DD12F1">
        <w:t xml:space="preserve"> </w:t>
      </w:r>
      <w:fldSimple w:instr=" SEQ Table \* ARABIC ">
        <w:r w:rsidR="00CA1504">
          <w:rPr>
            <w:noProof/>
          </w:rPr>
          <w:t>6</w:t>
        </w:r>
      </w:fldSimple>
      <w:r w:rsidR="00DD12F1">
        <w:t xml:space="preserve"> </w:t>
      </w:r>
      <w:r>
        <w:t>-</w:t>
      </w:r>
      <w:r w:rsidRPr="00E97091">
        <w:t xml:space="preserve"> </w:t>
      </w:r>
      <w:r w:rsidR="00322FB9">
        <w:t xml:space="preserve">LED </w:t>
      </w:r>
      <w:r w:rsidR="00C27933">
        <w:t>Ambient Commercial</w:t>
      </w:r>
      <w:r w:rsidR="002E6C39">
        <w:t xml:space="preserve"> Fixtures &amp; Retrofit Kits</w:t>
      </w:r>
      <w:r w:rsidR="00FD3F5C">
        <w:t xml:space="preserve"> </w:t>
      </w:r>
      <w:r>
        <w:t>Base and Measure Wattages</w:t>
      </w:r>
      <w:bookmarkEnd w:id="35"/>
    </w:p>
    <w:tbl>
      <w:tblPr>
        <w:tblStyle w:val="TableGrid"/>
        <w:tblW w:w="9468" w:type="dxa"/>
        <w:tblLook w:val="04A0" w:firstRow="1" w:lastRow="0" w:firstColumn="1" w:lastColumn="0" w:noHBand="0" w:noVBand="1"/>
      </w:tblPr>
      <w:tblGrid>
        <w:gridCol w:w="3979"/>
        <w:gridCol w:w="1439"/>
        <w:gridCol w:w="1920"/>
        <w:gridCol w:w="2130"/>
      </w:tblGrid>
      <w:tr w:rsidR="00BF5FB0" w:rsidTr="00230617">
        <w:tc>
          <w:tcPr>
            <w:tcW w:w="3979" w:type="dxa"/>
            <w:vAlign w:val="bottom"/>
          </w:tcPr>
          <w:p w:rsidR="00BF5FB0" w:rsidRPr="00422D1A" w:rsidRDefault="00BF5FB0" w:rsidP="00C45648">
            <w:pPr>
              <w:jc w:val="center"/>
              <w:rPr>
                <w:rFonts w:ascii="Arial" w:hAnsi="Arial" w:cs="Arial"/>
                <w:b/>
                <w:bCs/>
                <w:color w:val="000000"/>
                <w:sz w:val="20"/>
                <w:szCs w:val="20"/>
              </w:rPr>
            </w:pPr>
            <w:r w:rsidRPr="00422D1A">
              <w:rPr>
                <w:rFonts w:ascii="Arial" w:hAnsi="Arial" w:cs="Arial"/>
                <w:b/>
                <w:bCs/>
                <w:color w:val="000000"/>
                <w:sz w:val="20"/>
                <w:szCs w:val="20"/>
              </w:rPr>
              <w:t>Base Case</w:t>
            </w:r>
          </w:p>
        </w:tc>
        <w:tc>
          <w:tcPr>
            <w:tcW w:w="1439" w:type="dxa"/>
            <w:vAlign w:val="bottom"/>
          </w:tcPr>
          <w:p w:rsidR="00BF5FB0" w:rsidRPr="00422D1A" w:rsidRDefault="00BF5FB0" w:rsidP="00C45648">
            <w:pPr>
              <w:jc w:val="center"/>
              <w:rPr>
                <w:rFonts w:ascii="Arial" w:hAnsi="Arial" w:cs="Arial"/>
                <w:b/>
                <w:sz w:val="20"/>
                <w:szCs w:val="20"/>
              </w:rPr>
            </w:pPr>
            <w:r w:rsidRPr="00422D1A">
              <w:rPr>
                <w:rFonts w:ascii="Arial" w:hAnsi="Arial" w:cs="Arial"/>
                <w:b/>
                <w:sz w:val="20"/>
                <w:szCs w:val="20"/>
              </w:rPr>
              <w:t>Base Case Wattage</w:t>
            </w:r>
          </w:p>
        </w:tc>
        <w:tc>
          <w:tcPr>
            <w:tcW w:w="1920" w:type="dxa"/>
            <w:vAlign w:val="bottom"/>
          </w:tcPr>
          <w:p w:rsidR="00BF5FB0" w:rsidRPr="00422D1A" w:rsidRDefault="00BF5FB0" w:rsidP="00BF5FB0">
            <w:pPr>
              <w:jc w:val="center"/>
              <w:rPr>
                <w:rFonts w:ascii="Arial" w:hAnsi="Arial" w:cs="Arial"/>
                <w:b/>
                <w:sz w:val="20"/>
                <w:szCs w:val="20"/>
              </w:rPr>
            </w:pPr>
            <w:r w:rsidRPr="00422D1A">
              <w:rPr>
                <w:rFonts w:ascii="Arial" w:hAnsi="Arial" w:cs="Arial"/>
                <w:b/>
                <w:sz w:val="20"/>
                <w:szCs w:val="20"/>
              </w:rPr>
              <w:t>Measure Case Wattage</w:t>
            </w:r>
          </w:p>
        </w:tc>
        <w:tc>
          <w:tcPr>
            <w:tcW w:w="2130" w:type="dxa"/>
            <w:vAlign w:val="bottom"/>
          </w:tcPr>
          <w:p w:rsidR="00BF5FB0" w:rsidRPr="00422D1A" w:rsidRDefault="00BF5FB0" w:rsidP="00C45648">
            <w:pPr>
              <w:jc w:val="center"/>
              <w:rPr>
                <w:rFonts w:ascii="Arial" w:hAnsi="Arial" w:cs="Arial"/>
                <w:b/>
                <w:sz w:val="20"/>
                <w:szCs w:val="20"/>
              </w:rPr>
            </w:pPr>
            <w:r w:rsidRPr="00422D1A">
              <w:rPr>
                <w:rFonts w:ascii="Arial" w:hAnsi="Arial" w:cs="Arial"/>
                <w:b/>
                <w:sz w:val="20"/>
                <w:szCs w:val="20"/>
              </w:rPr>
              <w:t>Delta Wattage</w:t>
            </w:r>
          </w:p>
        </w:tc>
      </w:tr>
      <w:tr w:rsidR="00661F2B" w:rsidRPr="00C27933" w:rsidTr="006F0984">
        <w:tc>
          <w:tcPr>
            <w:tcW w:w="3979" w:type="dxa"/>
            <w:vAlign w:val="center"/>
          </w:tcPr>
          <w:p w:rsidR="00661F2B" w:rsidRPr="00C27933" w:rsidRDefault="00661F2B">
            <w:pPr>
              <w:rPr>
                <w:rFonts w:ascii="Arial" w:hAnsi="Arial" w:cs="Arial"/>
                <w:color w:val="000000"/>
                <w:sz w:val="20"/>
                <w:szCs w:val="22"/>
              </w:rPr>
            </w:pPr>
            <w:r w:rsidRPr="00C27933">
              <w:rPr>
                <w:rFonts w:ascii="Arial" w:hAnsi="Arial" w:cs="Arial"/>
                <w:color w:val="000000"/>
                <w:sz w:val="20"/>
                <w:szCs w:val="22"/>
              </w:rPr>
              <w:t>LED Luminaires/Retrofit Kits rated ≥85 and &lt;95 LPW, Ambient Interior Commercial Spaces</w:t>
            </w:r>
          </w:p>
        </w:tc>
        <w:tc>
          <w:tcPr>
            <w:tcW w:w="1439" w:type="dxa"/>
            <w:vAlign w:val="center"/>
          </w:tcPr>
          <w:p w:rsidR="00661F2B" w:rsidRPr="00C27933" w:rsidRDefault="00661F2B" w:rsidP="00C55680">
            <w:pPr>
              <w:jc w:val="center"/>
              <w:rPr>
                <w:rFonts w:ascii="Arial" w:hAnsi="Arial" w:cs="Arial"/>
                <w:color w:val="000000"/>
                <w:sz w:val="20"/>
                <w:szCs w:val="22"/>
              </w:rPr>
            </w:pPr>
            <w:r w:rsidRPr="00C27933">
              <w:rPr>
                <w:rFonts w:ascii="Arial" w:hAnsi="Arial" w:cs="Arial"/>
                <w:color w:val="000000"/>
                <w:sz w:val="20"/>
                <w:szCs w:val="22"/>
              </w:rPr>
              <w:t>14.8 – 15.9</w:t>
            </w:r>
          </w:p>
        </w:tc>
        <w:tc>
          <w:tcPr>
            <w:tcW w:w="1920" w:type="dxa"/>
            <w:vAlign w:val="center"/>
          </w:tcPr>
          <w:p w:rsidR="00661F2B" w:rsidRPr="00C27933" w:rsidRDefault="00661F2B">
            <w:pPr>
              <w:jc w:val="center"/>
              <w:rPr>
                <w:rFonts w:ascii="Arial" w:hAnsi="Arial" w:cs="Arial"/>
                <w:color w:val="000000"/>
                <w:sz w:val="20"/>
                <w:szCs w:val="22"/>
              </w:rPr>
            </w:pPr>
            <w:r w:rsidRPr="00C27933">
              <w:rPr>
                <w:rFonts w:ascii="Arial" w:hAnsi="Arial" w:cs="Arial"/>
                <w:color w:val="000000"/>
                <w:sz w:val="20"/>
                <w:szCs w:val="22"/>
              </w:rPr>
              <w:t>11.8</w:t>
            </w:r>
          </w:p>
        </w:tc>
        <w:tc>
          <w:tcPr>
            <w:tcW w:w="2130" w:type="dxa"/>
            <w:vAlign w:val="center"/>
          </w:tcPr>
          <w:p w:rsidR="00661F2B" w:rsidRPr="00C27933" w:rsidRDefault="00661F2B" w:rsidP="00C55680">
            <w:pPr>
              <w:jc w:val="center"/>
              <w:rPr>
                <w:rFonts w:ascii="Arial" w:hAnsi="Arial" w:cs="Arial"/>
                <w:sz w:val="20"/>
                <w:szCs w:val="22"/>
              </w:rPr>
            </w:pPr>
            <w:r w:rsidRPr="00C27933">
              <w:rPr>
                <w:rFonts w:ascii="Arial" w:hAnsi="Arial" w:cs="Arial"/>
                <w:sz w:val="20"/>
                <w:szCs w:val="22"/>
              </w:rPr>
              <w:t>3.0 – 4.1</w:t>
            </w:r>
          </w:p>
        </w:tc>
      </w:tr>
      <w:tr w:rsidR="00661F2B" w:rsidRPr="00C27933" w:rsidTr="006F0984">
        <w:tc>
          <w:tcPr>
            <w:tcW w:w="3979" w:type="dxa"/>
            <w:vAlign w:val="center"/>
          </w:tcPr>
          <w:p w:rsidR="00661F2B" w:rsidRPr="00C27933" w:rsidRDefault="00661F2B">
            <w:pPr>
              <w:rPr>
                <w:rFonts w:ascii="Arial" w:hAnsi="Arial" w:cs="Arial"/>
                <w:color w:val="000000"/>
                <w:sz w:val="20"/>
                <w:szCs w:val="22"/>
              </w:rPr>
            </w:pPr>
            <w:r w:rsidRPr="00C27933">
              <w:rPr>
                <w:rFonts w:ascii="Arial" w:hAnsi="Arial" w:cs="Arial"/>
                <w:color w:val="000000"/>
                <w:sz w:val="20"/>
                <w:szCs w:val="22"/>
              </w:rPr>
              <w:t>LED Luminaires/Retrofit Kits rated ≥95 and &lt;110 LPW, Ambient Interior Commercial Spaces</w:t>
            </w:r>
          </w:p>
        </w:tc>
        <w:tc>
          <w:tcPr>
            <w:tcW w:w="1439" w:type="dxa"/>
            <w:vAlign w:val="center"/>
          </w:tcPr>
          <w:p w:rsidR="00661F2B" w:rsidRPr="00C27933" w:rsidRDefault="00661F2B" w:rsidP="00C55680">
            <w:pPr>
              <w:jc w:val="center"/>
              <w:rPr>
                <w:rFonts w:ascii="Arial" w:hAnsi="Arial" w:cs="Arial"/>
                <w:color w:val="000000"/>
                <w:sz w:val="20"/>
                <w:szCs w:val="22"/>
              </w:rPr>
            </w:pPr>
            <w:r w:rsidRPr="00C27933">
              <w:rPr>
                <w:rFonts w:ascii="Arial" w:hAnsi="Arial" w:cs="Arial"/>
                <w:color w:val="000000"/>
                <w:sz w:val="20"/>
                <w:szCs w:val="22"/>
              </w:rPr>
              <w:t>14.8 – 15.9</w:t>
            </w:r>
          </w:p>
        </w:tc>
        <w:tc>
          <w:tcPr>
            <w:tcW w:w="1920" w:type="dxa"/>
            <w:vAlign w:val="center"/>
          </w:tcPr>
          <w:p w:rsidR="00661F2B" w:rsidRPr="00C27933" w:rsidRDefault="00661F2B">
            <w:pPr>
              <w:jc w:val="center"/>
              <w:rPr>
                <w:rFonts w:ascii="Arial" w:hAnsi="Arial" w:cs="Arial"/>
                <w:color w:val="000000"/>
                <w:sz w:val="20"/>
                <w:szCs w:val="22"/>
              </w:rPr>
            </w:pPr>
            <w:r w:rsidRPr="00C27933">
              <w:rPr>
                <w:rFonts w:ascii="Arial" w:hAnsi="Arial" w:cs="Arial"/>
                <w:color w:val="000000"/>
                <w:sz w:val="20"/>
                <w:szCs w:val="22"/>
              </w:rPr>
              <w:t>10.5</w:t>
            </w:r>
          </w:p>
        </w:tc>
        <w:tc>
          <w:tcPr>
            <w:tcW w:w="2130" w:type="dxa"/>
            <w:vAlign w:val="center"/>
          </w:tcPr>
          <w:p w:rsidR="00661F2B" w:rsidRPr="00C27933" w:rsidRDefault="00661F2B" w:rsidP="00C060C8">
            <w:pPr>
              <w:jc w:val="center"/>
              <w:rPr>
                <w:rFonts w:ascii="Arial" w:hAnsi="Arial" w:cs="Arial"/>
                <w:sz w:val="20"/>
                <w:szCs w:val="22"/>
              </w:rPr>
            </w:pPr>
            <w:r w:rsidRPr="00C27933">
              <w:rPr>
                <w:rFonts w:ascii="Arial" w:hAnsi="Arial" w:cs="Arial"/>
                <w:sz w:val="20"/>
                <w:szCs w:val="22"/>
              </w:rPr>
              <w:t>4.3 – 5.3</w:t>
            </w:r>
          </w:p>
        </w:tc>
      </w:tr>
      <w:tr w:rsidR="00661F2B" w:rsidRPr="00C27933" w:rsidTr="006F0984">
        <w:tc>
          <w:tcPr>
            <w:tcW w:w="3979" w:type="dxa"/>
            <w:vAlign w:val="center"/>
          </w:tcPr>
          <w:p w:rsidR="00661F2B" w:rsidRPr="00C27933" w:rsidRDefault="00661F2B">
            <w:pPr>
              <w:rPr>
                <w:rFonts w:ascii="Arial" w:hAnsi="Arial" w:cs="Arial"/>
                <w:color w:val="000000"/>
                <w:sz w:val="20"/>
                <w:szCs w:val="22"/>
              </w:rPr>
            </w:pPr>
            <w:r w:rsidRPr="00C27933">
              <w:rPr>
                <w:rFonts w:ascii="Arial" w:hAnsi="Arial" w:cs="Arial"/>
                <w:color w:val="000000"/>
                <w:sz w:val="20"/>
                <w:szCs w:val="22"/>
              </w:rPr>
              <w:t>LED Luminaires/Retrofit Kits rated ≥110 and &lt;125 LPW, Ambient Interior Commercial Spaces</w:t>
            </w:r>
          </w:p>
        </w:tc>
        <w:tc>
          <w:tcPr>
            <w:tcW w:w="1439" w:type="dxa"/>
            <w:vAlign w:val="center"/>
          </w:tcPr>
          <w:p w:rsidR="00661F2B" w:rsidRPr="00C27933" w:rsidRDefault="00661F2B" w:rsidP="00C060C8">
            <w:pPr>
              <w:jc w:val="center"/>
              <w:rPr>
                <w:rFonts w:ascii="Arial" w:hAnsi="Arial" w:cs="Arial"/>
                <w:color w:val="000000"/>
                <w:sz w:val="20"/>
                <w:szCs w:val="22"/>
              </w:rPr>
            </w:pPr>
            <w:r w:rsidRPr="00C27933">
              <w:rPr>
                <w:rFonts w:ascii="Arial" w:hAnsi="Arial" w:cs="Arial"/>
                <w:color w:val="000000"/>
                <w:sz w:val="20"/>
                <w:szCs w:val="22"/>
              </w:rPr>
              <w:t>14.8 – 15.9</w:t>
            </w:r>
          </w:p>
        </w:tc>
        <w:tc>
          <w:tcPr>
            <w:tcW w:w="1920" w:type="dxa"/>
            <w:vAlign w:val="center"/>
          </w:tcPr>
          <w:p w:rsidR="00661F2B" w:rsidRPr="00C27933" w:rsidRDefault="00661F2B">
            <w:pPr>
              <w:jc w:val="center"/>
              <w:rPr>
                <w:rFonts w:ascii="Arial" w:hAnsi="Arial" w:cs="Arial"/>
                <w:color w:val="000000"/>
                <w:sz w:val="20"/>
                <w:szCs w:val="22"/>
              </w:rPr>
            </w:pPr>
            <w:r w:rsidRPr="00C27933">
              <w:rPr>
                <w:rFonts w:ascii="Arial" w:hAnsi="Arial" w:cs="Arial"/>
                <w:color w:val="000000"/>
                <w:sz w:val="20"/>
                <w:szCs w:val="22"/>
              </w:rPr>
              <w:t>9.1</w:t>
            </w:r>
          </w:p>
        </w:tc>
        <w:tc>
          <w:tcPr>
            <w:tcW w:w="2130" w:type="dxa"/>
            <w:vAlign w:val="center"/>
          </w:tcPr>
          <w:p w:rsidR="00661F2B" w:rsidRPr="00C27933" w:rsidRDefault="00661F2B" w:rsidP="00661F2B">
            <w:pPr>
              <w:jc w:val="center"/>
              <w:rPr>
                <w:rFonts w:ascii="Arial" w:hAnsi="Arial" w:cs="Arial"/>
                <w:sz w:val="20"/>
                <w:szCs w:val="22"/>
              </w:rPr>
            </w:pPr>
            <w:r w:rsidRPr="00C27933">
              <w:rPr>
                <w:rFonts w:ascii="Arial" w:hAnsi="Arial" w:cs="Arial"/>
                <w:sz w:val="20"/>
                <w:szCs w:val="22"/>
              </w:rPr>
              <w:t>5.7 – 6.8</w:t>
            </w:r>
          </w:p>
        </w:tc>
      </w:tr>
      <w:tr w:rsidR="00661F2B" w:rsidRPr="00C27933" w:rsidTr="006F0984">
        <w:tc>
          <w:tcPr>
            <w:tcW w:w="3979" w:type="dxa"/>
            <w:vAlign w:val="center"/>
          </w:tcPr>
          <w:p w:rsidR="00661F2B" w:rsidRPr="00C27933" w:rsidRDefault="00661F2B">
            <w:pPr>
              <w:rPr>
                <w:rFonts w:ascii="Arial" w:hAnsi="Arial" w:cs="Arial"/>
                <w:color w:val="000000"/>
                <w:sz w:val="20"/>
                <w:szCs w:val="22"/>
              </w:rPr>
            </w:pPr>
            <w:r w:rsidRPr="00C27933">
              <w:rPr>
                <w:rFonts w:ascii="Arial" w:hAnsi="Arial" w:cs="Arial"/>
                <w:color w:val="000000"/>
                <w:sz w:val="20"/>
                <w:szCs w:val="22"/>
              </w:rPr>
              <w:t>LED Luminaires/Retrofit Kits rated ≥125 LPW, Ambient Interior Commercial Spaces</w:t>
            </w:r>
          </w:p>
        </w:tc>
        <w:tc>
          <w:tcPr>
            <w:tcW w:w="1439" w:type="dxa"/>
            <w:vAlign w:val="center"/>
          </w:tcPr>
          <w:p w:rsidR="00661F2B" w:rsidRPr="00C27933" w:rsidRDefault="00661F2B" w:rsidP="006F0984">
            <w:pPr>
              <w:jc w:val="center"/>
              <w:rPr>
                <w:rFonts w:ascii="Arial" w:hAnsi="Arial" w:cs="Arial"/>
                <w:color w:val="000000"/>
                <w:sz w:val="20"/>
                <w:szCs w:val="22"/>
              </w:rPr>
            </w:pPr>
            <w:r w:rsidRPr="00C27933">
              <w:rPr>
                <w:rFonts w:ascii="Arial" w:hAnsi="Arial" w:cs="Arial"/>
                <w:color w:val="000000"/>
                <w:sz w:val="20"/>
                <w:szCs w:val="22"/>
              </w:rPr>
              <w:t>14.8 – 15.9</w:t>
            </w:r>
          </w:p>
        </w:tc>
        <w:tc>
          <w:tcPr>
            <w:tcW w:w="1920" w:type="dxa"/>
            <w:vAlign w:val="center"/>
          </w:tcPr>
          <w:p w:rsidR="00661F2B" w:rsidRPr="00C27933" w:rsidRDefault="00661F2B">
            <w:pPr>
              <w:jc w:val="center"/>
              <w:rPr>
                <w:rFonts w:ascii="Arial" w:hAnsi="Arial" w:cs="Arial"/>
                <w:color w:val="000000"/>
                <w:sz w:val="20"/>
                <w:szCs w:val="22"/>
              </w:rPr>
            </w:pPr>
            <w:r w:rsidRPr="00C27933">
              <w:rPr>
                <w:rFonts w:ascii="Arial" w:hAnsi="Arial" w:cs="Arial"/>
                <w:color w:val="000000"/>
                <w:sz w:val="20"/>
                <w:szCs w:val="22"/>
              </w:rPr>
              <w:t>8.0</w:t>
            </w:r>
          </w:p>
        </w:tc>
        <w:tc>
          <w:tcPr>
            <w:tcW w:w="2130" w:type="dxa"/>
            <w:vAlign w:val="center"/>
          </w:tcPr>
          <w:p w:rsidR="00661F2B" w:rsidRPr="00C27933" w:rsidRDefault="00661F2B" w:rsidP="00C060C8">
            <w:pPr>
              <w:jc w:val="center"/>
              <w:rPr>
                <w:rFonts w:ascii="Arial" w:hAnsi="Arial" w:cs="Arial"/>
                <w:sz w:val="20"/>
                <w:szCs w:val="22"/>
              </w:rPr>
            </w:pPr>
            <w:r w:rsidRPr="00C27933">
              <w:rPr>
                <w:rFonts w:ascii="Arial" w:hAnsi="Arial" w:cs="Arial"/>
                <w:sz w:val="20"/>
                <w:szCs w:val="22"/>
              </w:rPr>
              <w:t>6.8 – 7.9</w:t>
            </w:r>
          </w:p>
        </w:tc>
      </w:tr>
      <w:tr w:rsidR="00661F2B" w:rsidTr="009D49EA">
        <w:tc>
          <w:tcPr>
            <w:tcW w:w="9468" w:type="dxa"/>
            <w:gridSpan w:val="4"/>
            <w:vAlign w:val="bottom"/>
          </w:tcPr>
          <w:p w:rsidR="00661F2B" w:rsidRDefault="00661F2B" w:rsidP="00C060C8">
            <w:pPr>
              <w:jc w:val="center"/>
              <w:rPr>
                <w:rFonts w:ascii="Arial" w:hAnsi="Arial" w:cs="Arial"/>
                <w:sz w:val="20"/>
                <w:szCs w:val="20"/>
              </w:rPr>
            </w:pPr>
            <w:r>
              <w:rPr>
                <w:rFonts w:ascii="Arial" w:hAnsi="Arial" w:cs="Arial"/>
                <w:sz w:val="20"/>
                <w:szCs w:val="20"/>
              </w:rPr>
              <w:t>Base case wattage varies by building type</w:t>
            </w:r>
          </w:p>
        </w:tc>
      </w:tr>
    </w:tbl>
    <w:p w:rsidR="003B44BB" w:rsidRDefault="003B44BB" w:rsidP="001A3026">
      <w:pPr>
        <w:rPr>
          <w:rFonts w:ascii="Arial" w:hAnsi="Arial" w:cs="Arial"/>
          <w:b/>
          <w:i/>
          <w:sz w:val="28"/>
          <w:szCs w:val="28"/>
        </w:rPr>
      </w:pPr>
    </w:p>
    <w:p w:rsidR="00C069A2" w:rsidRDefault="00C069A2" w:rsidP="00D20486">
      <w:pPr>
        <w:pStyle w:val="Heading2"/>
      </w:pPr>
      <w:bookmarkStart w:id="36" w:name="_Toc438457183"/>
      <w:r>
        <w:t xml:space="preserve">2.1 </w:t>
      </w:r>
      <w:r w:rsidR="007878B9">
        <w:t xml:space="preserve">Electric </w:t>
      </w:r>
      <w:r>
        <w:t>Energy Savings Estimation Methodologies</w:t>
      </w:r>
      <w:bookmarkEnd w:id="36"/>
      <w:r w:rsidR="007C1DEB">
        <w:t xml:space="preserve"> </w:t>
      </w:r>
    </w:p>
    <w:p w:rsidR="00E97091" w:rsidRDefault="00F65E84" w:rsidP="00F65E84">
      <w:pPr>
        <w:rPr>
          <w:rFonts w:ascii="Arial" w:hAnsi="Arial" w:cs="Arial"/>
        </w:rPr>
      </w:pPr>
      <w:r w:rsidRPr="00F65E84">
        <w:rPr>
          <w:rFonts w:ascii="Arial" w:hAnsi="Arial" w:cs="Arial"/>
          <w:sz w:val="20"/>
          <w:szCs w:val="20"/>
        </w:rPr>
        <w:t xml:space="preserve">The lighting wattage difference (Watts per unit) is the difference between the electric demand of the base </w:t>
      </w:r>
      <w:r w:rsidR="00DB520B">
        <w:rPr>
          <w:rFonts w:ascii="Arial" w:hAnsi="Arial" w:cs="Arial"/>
          <w:sz w:val="20"/>
          <w:szCs w:val="20"/>
        </w:rPr>
        <w:t xml:space="preserve">case </w:t>
      </w:r>
      <w:r w:rsidRPr="00F65E84">
        <w:rPr>
          <w:rFonts w:ascii="Arial" w:hAnsi="Arial" w:cs="Arial"/>
          <w:sz w:val="20"/>
          <w:szCs w:val="20"/>
        </w:rPr>
        <w:t xml:space="preserve">unit and the electric demand of the </w:t>
      </w:r>
      <w:r w:rsidR="00DB520B">
        <w:rPr>
          <w:rFonts w:ascii="Arial" w:hAnsi="Arial" w:cs="Arial"/>
          <w:sz w:val="20"/>
          <w:szCs w:val="20"/>
        </w:rPr>
        <w:t>measure case</w:t>
      </w:r>
      <w:r w:rsidRPr="00F65E84">
        <w:rPr>
          <w:rFonts w:ascii="Arial" w:hAnsi="Arial" w:cs="Arial"/>
          <w:sz w:val="20"/>
          <w:szCs w:val="20"/>
        </w:rPr>
        <w:t xml:space="preserve"> unit. </w:t>
      </w:r>
      <w:r w:rsidR="003C5915">
        <w:rPr>
          <w:rFonts w:ascii="Arial" w:hAnsi="Arial" w:cs="Arial"/>
          <w:sz w:val="20"/>
          <w:szCs w:val="20"/>
        </w:rPr>
        <w:t xml:space="preserve">The hours of operation and interactive effects are from </w:t>
      </w:r>
      <w:r w:rsidR="00DF6547">
        <w:rPr>
          <w:rFonts w:ascii="Arial" w:hAnsi="Arial" w:cs="Arial"/>
          <w:sz w:val="20"/>
          <w:szCs w:val="20"/>
        </w:rPr>
        <w:t xml:space="preserve">DEER </w:t>
      </w:r>
      <w:r w:rsidR="00505D2B">
        <w:rPr>
          <w:rFonts w:ascii="Arial" w:hAnsi="Arial" w:cs="Arial"/>
          <w:sz w:val="20"/>
          <w:szCs w:val="20"/>
        </w:rPr>
        <w:t>2014</w:t>
      </w:r>
      <w:r w:rsidR="003C5915">
        <w:rPr>
          <w:rFonts w:ascii="Arial" w:hAnsi="Arial" w:cs="Arial"/>
          <w:sz w:val="20"/>
          <w:szCs w:val="20"/>
        </w:rPr>
        <w:t xml:space="preserve">. </w:t>
      </w:r>
    </w:p>
    <w:p w:rsidR="00E97091" w:rsidRDefault="00E97091" w:rsidP="00BC2543">
      <w:pPr>
        <w:rPr>
          <w:rFonts w:ascii="Arial" w:hAnsi="Arial" w:cs="Arial"/>
          <w:sz w:val="20"/>
          <w:szCs w:val="20"/>
        </w:rPr>
      </w:pPr>
    </w:p>
    <w:p w:rsidR="00126A4E" w:rsidRPr="001A3026" w:rsidRDefault="00126A4E" w:rsidP="00CF3FF0">
      <w:pPr>
        <w:rPr>
          <w:rFonts w:ascii="Arial" w:hAnsi="Arial" w:cs="Arial"/>
          <w:sz w:val="20"/>
          <w:szCs w:val="20"/>
        </w:rPr>
      </w:pPr>
      <w:r w:rsidRPr="00CF3FF0">
        <w:rPr>
          <w:rFonts w:ascii="Arial" w:hAnsi="Arial" w:cs="Arial"/>
          <w:b/>
          <w:sz w:val="20"/>
          <w:szCs w:val="20"/>
        </w:rPr>
        <w:t>∆Watts/</w:t>
      </w:r>
      <w:proofErr w:type="spellStart"/>
      <w:r w:rsidR="00230617">
        <w:rPr>
          <w:rFonts w:ascii="Arial" w:hAnsi="Arial" w:cs="Arial"/>
          <w:b/>
          <w:sz w:val="20"/>
          <w:szCs w:val="20"/>
        </w:rPr>
        <w:t>kilolumen</w:t>
      </w:r>
      <w:proofErr w:type="spellEnd"/>
      <w:r w:rsidRPr="00CF3FF0">
        <w:rPr>
          <w:rFonts w:ascii="Arial" w:hAnsi="Arial" w:cs="Arial"/>
          <w:b/>
          <w:sz w:val="20"/>
          <w:szCs w:val="20"/>
        </w:rPr>
        <w:t>:</w:t>
      </w:r>
      <w:r w:rsidR="00CF3FF0" w:rsidRPr="00CF3FF0" w:rsidDel="00CF3FF0">
        <w:rPr>
          <w:rFonts w:ascii="Arial" w:hAnsi="Arial" w:cs="Arial"/>
          <w:b/>
          <w:sz w:val="20"/>
          <w:szCs w:val="20"/>
        </w:rPr>
        <w:t xml:space="preserve"> </w:t>
      </w:r>
      <w:r w:rsidRPr="001A3026">
        <w:rPr>
          <w:rFonts w:ascii="Arial" w:hAnsi="Arial" w:cs="Arial"/>
          <w:sz w:val="20"/>
          <w:szCs w:val="20"/>
        </w:rPr>
        <w:t xml:space="preserve">The demand difference (watts per </w:t>
      </w:r>
      <w:proofErr w:type="spellStart"/>
      <w:r w:rsidR="00230617">
        <w:rPr>
          <w:rFonts w:ascii="Arial" w:hAnsi="Arial" w:cs="Arial"/>
          <w:sz w:val="20"/>
          <w:szCs w:val="20"/>
        </w:rPr>
        <w:t>kilolumen</w:t>
      </w:r>
      <w:proofErr w:type="spellEnd"/>
      <w:r w:rsidRPr="001A3026">
        <w:rPr>
          <w:rFonts w:ascii="Arial" w:hAnsi="Arial" w:cs="Arial"/>
          <w:sz w:val="20"/>
          <w:szCs w:val="20"/>
        </w:rPr>
        <w:t xml:space="preserve">) is simply the difference between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the</w:t>
      </w:r>
      <w:r w:rsidRPr="001A3026">
        <w:rPr>
          <w:rFonts w:ascii="Arial" w:hAnsi="Arial" w:cs="Arial"/>
          <w:sz w:val="20"/>
          <w:szCs w:val="20"/>
        </w:rPr>
        <w:t xml:space="preserve"> base </w:t>
      </w:r>
      <w:r w:rsidR="00DB520B">
        <w:rPr>
          <w:rFonts w:ascii="Arial" w:hAnsi="Arial" w:cs="Arial"/>
          <w:sz w:val="20"/>
          <w:szCs w:val="20"/>
        </w:rPr>
        <w:t xml:space="preserve">case </w:t>
      </w:r>
      <w:r w:rsidR="00230617">
        <w:rPr>
          <w:rFonts w:ascii="Arial" w:hAnsi="Arial" w:cs="Arial"/>
          <w:sz w:val="20"/>
          <w:szCs w:val="20"/>
        </w:rPr>
        <w:t>fixture</w:t>
      </w:r>
      <w:r w:rsidR="004F12E7" w:rsidRPr="001A3026">
        <w:rPr>
          <w:rFonts w:ascii="Arial" w:hAnsi="Arial" w:cs="Arial"/>
          <w:sz w:val="20"/>
          <w:szCs w:val="20"/>
        </w:rPr>
        <w:t xml:space="preserve"> </w:t>
      </w:r>
      <w:r w:rsidRPr="001A3026">
        <w:rPr>
          <w:rFonts w:ascii="Arial" w:hAnsi="Arial" w:cs="Arial"/>
          <w:sz w:val="20"/>
          <w:szCs w:val="20"/>
        </w:rPr>
        <w:t xml:space="preserve">and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w:t>
      </w:r>
      <w:r w:rsidRPr="001A3026">
        <w:rPr>
          <w:rFonts w:ascii="Arial" w:hAnsi="Arial" w:cs="Arial"/>
          <w:sz w:val="20"/>
          <w:szCs w:val="20"/>
        </w:rPr>
        <w:t xml:space="preserve">the </w:t>
      </w:r>
      <w:r w:rsidR="00DB520B">
        <w:rPr>
          <w:rFonts w:ascii="Arial" w:hAnsi="Arial" w:cs="Arial"/>
          <w:sz w:val="20"/>
          <w:szCs w:val="20"/>
        </w:rPr>
        <w:t>measure case</w:t>
      </w:r>
      <w:r w:rsidRPr="001A3026">
        <w:rPr>
          <w:rFonts w:ascii="Arial" w:hAnsi="Arial" w:cs="Arial"/>
          <w:sz w:val="20"/>
          <w:szCs w:val="20"/>
        </w:rPr>
        <w:t xml:space="preserve"> </w:t>
      </w:r>
      <w:r w:rsidR="00C45648">
        <w:rPr>
          <w:rFonts w:ascii="Arial" w:hAnsi="Arial" w:cs="Arial"/>
          <w:sz w:val="20"/>
          <w:szCs w:val="20"/>
        </w:rPr>
        <w:t>fixture</w:t>
      </w:r>
      <w:r w:rsidRPr="001A3026">
        <w:rPr>
          <w:rFonts w:ascii="Arial" w:hAnsi="Arial" w:cs="Arial"/>
          <w:sz w:val="20"/>
          <w:szCs w:val="20"/>
        </w:rPr>
        <w:t>.</w:t>
      </w:r>
    </w:p>
    <w:p w:rsidR="00126A4E" w:rsidRPr="00446895" w:rsidRDefault="00126A4E" w:rsidP="00CC34FF">
      <w:pPr>
        <w:ind w:left="720"/>
        <w:rPr>
          <w:rFonts w:ascii="Arial" w:hAnsi="Arial" w:cs="Arial"/>
          <w:sz w:val="20"/>
          <w:szCs w:val="20"/>
        </w:rPr>
      </w:pPr>
      <w:r w:rsidRPr="00446895">
        <w:rPr>
          <w:rFonts w:ascii="Arial" w:hAnsi="Arial" w:cs="Arial"/>
          <w:sz w:val="20"/>
          <w:szCs w:val="20"/>
        </w:rPr>
        <w:t>∆Watts/</w:t>
      </w:r>
      <w:proofErr w:type="spellStart"/>
      <w:r w:rsidR="00230617">
        <w:rPr>
          <w:rFonts w:ascii="Arial" w:hAnsi="Arial" w:cs="Arial"/>
          <w:sz w:val="20"/>
          <w:szCs w:val="20"/>
        </w:rPr>
        <w:t>kilolumen</w:t>
      </w:r>
      <w:proofErr w:type="spellEnd"/>
      <w:r w:rsidR="00794E75" w:rsidRPr="00446895">
        <w:rPr>
          <w:rFonts w:ascii="Arial" w:hAnsi="Arial" w:cs="Arial"/>
          <w:sz w:val="20"/>
          <w:szCs w:val="20"/>
        </w:rPr>
        <w:t xml:space="preserve"> </w:t>
      </w:r>
      <w:r w:rsidRPr="00446895">
        <w:rPr>
          <w:rFonts w:ascii="Arial" w:hAnsi="Arial" w:cs="Arial"/>
          <w:sz w:val="20"/>
          <w:szCs w:val="20"/>
        </w:rPr>
        <w:t>= Base</w:t>
      </w:r>
      <w:r w:rsidR="001A3026" w:rsidRPr="00446895">
        <w:rPr>
          <w:rFonts w:ascii="Arial" w:hAnsi="Arial" w:cs="Arial"/>
          <w:sz w:val="20"/>
          <w:szCs w:val="20"/>
        </w:rPr>
        <w:t xml:space="preserve"> Case</w:t>
      </w:r>
      <w:r w:rsidRPr="00446895">
        <w:rPr>
          <w:rFonts w:ascii="Arial" w:hAnsi="Arial" w:cs="Arial"/>
          <w:sz w:val="20"/>
          <w:szCs w:val="20"/>
        </w:rPr>
        <w:t xml:space="preserve"> Watts/</w:t>
      </w:r>
      <w:proofErr w:type="spellStart"/>
      <w:r w:rsidR="00230617">
        <w:rPr>
          <w:rFonts w:ascii="Arial" w:hAnsi="Arial" w:cs="Arial"/>
          <w:sz w:val="20"/>
          <w:szCs w:val="20"/>
        </w:rPr>
        <w:t>kilolumen</w:t>
      </w:r>
      <w:proofErr w:type="spellEnd"/>
      <w:r w:rsidR="00BB4412" w:rsidRPr="00446895">
        <w:rPr>
          <w:rFonts w:ascii="Arial" w:hAnsi="Arial" w:cs="Arial"/>
          <w:sz w:val="20"/>
          <w:szCs w:val="20"/>
        </w:rPr>
        <w:t xml:space="preserve"> </w:t>
      </w:r>
      <w:r w:rsidRPr="00446895">
        <w:rPr>
          <w:rFonts w:ascii="Arial" w:hAnsi="Arial" w:cs="Arial"/>
          <w:sz w:val="20"/>
          <w:szCs w:val="20"/>
        </w:rPr>
        <w:t>-</w:t>
      </w:r>
      <w:r w:rsidR="00476B67" w:rsidRPr="00446895">
        <w:rPr>
          <w:rFonts w:ascii="Arial" w:hAnsi="Arial" w:cs="Arial"/>
          <w:sz w:val="20"/>
          <w:szCs w:val="20"/>
        </w:rPr>
        <w:t xml:space="preserve"> </w:t>
      </w:r>
      <w:r w:rsidR="001A3026" w:rsidRPr="00446895">
        <w:rPr>
          <w:rFonts w:ascii="Arial" w:hAnsi="Arial" w:cs="Arial"/>
          <w:sz w:val="20"/>
          <w:szCs w:val="20"/>
        </w:rPr>
        <w:t xml:space="preserve">Measure Case </w:t>
      </w:r>
      <w:r w:rsidRPr="00446895">
        <w:rPr>
          <w:rFonts w:ascii="Arial" w:hAnsi="Arial" w:cs="Arial"/>
          <w:sz w:val="20"/>
          <w:szCs w:val="20"/>
        </w:rPr>
        <w:t>Watts</w:t>
      </w:r>
      <w:r w:rsidR="00AD322C" w:rsidRPr="00446895">
        <w:rPr>
          <w:rFonts w:ascii="Arial" w:hAnsi="Arial" w:cs="Arial"/>
          <w:sz w:val="20"/>
          <w:szCs w:val="20"/>
        </w:rPr>
        <w:t>/</w:t>
      </w:r>
      <w:proofErr w:type="spellStart"/>
      <w:r w:rsidR="00230617">
        <w:rPr>
          <w:rFonts w:ascii="Arial" w:hAnsi="Arial" w:cs="Arial"/>
          <w:sz w:val="20"/>
          <w:szCs w:val="20"/>
        </w:rPr>
        <w:t>kilolumen</w:t>
      </w:r>
      <w:proofErr w:type="spellEnd"/>
    </w:p>
    <w:p w:rsidR="00126A4E" w:rsidRPr="00446895" w:rsidRDefault="00126A4E" w:rsidP="00126A4E">
      <w:pPr>
        <w:rPr>
          <w:rFonts w:ascii="Arial" w:hAnsi="Arial" w:cs="Arial"/>
          <w:sz w:val="20"/>
          <w:szCs w:val="20"/>
        </w:rPr>
      </w:pPr>
    </w:p>
    <w:p w:rsidR="00CC6DB2" w:rsidRPr="00446895" w:rsidRDefault="00CC6DB2" w:rsidP="00CC6DB2">
      <w:pPr>
        <w:rPr>
          <w:rFonts w:ascii="Arial" w:hAnsi="Arial" w:cs="Arial"/>
          <w:b/>
          <w:sz w:val="20"/>
          <w:szCs w:val="20"/>
        </w:rPr>
      </w:pPr>
      <w:r w:rsidRPr="00446895">
        <w:rPr>
          <w:rFonts w:ascii="Arial" w:hAnsi="Arial" w:cs="Arial"/>
          <w:b/>
          <w:sz w:val="20"/>
          <w:szCs w:val="20"/>
        </w:rPr>
        <w:t>Example:</w:t>
      </w:r>
    </w:p>
    <w:p w:rsidR="00CC6DB2" w:rsidRPr="00446895" w:rsidRDefault="00CC6DB2" w:rsidP="00CC6DB2">
      <w:pPr>
        <w:ind w:firstLine="720"/>
        <w:rPr>
          <w:rFonts w:ascii="Arial" w:hAnsi="Arial" w:cs="Arial"/>
          <w:sz w:val="20"/>
          <w:szCs w:val="20"/>
        </w:rPr>
      </w:pPr>
      <w:r w:rsidRPr="00446895">
        <w:rPr>
          <w:rFonts w:ascii="Arial" w:hAnsi="Arial" w:cs="Arial"/>
          <w:sz w:val="20"/>
          <w:szCs w:val="20"/>
        </w:rPr>
        <w:t>∆Watts/</w:t>
      </w:r>
      <w:proofErr w:type="spellStart"/>
      <w:r w:rsidR="00230617">
        <w:rPr>
          <w:rFonts w:ascii="Arial" w:hAnsi="Arial" w:cs="Arial"/>
          <w:sz w:val="20"/>
          <w:szCs w:val="20"/>
        </w:rPr>
        <w:t>kilolumen</w:t>
      </w:r>
      <w:proofErr w:type="spellEnd"/>
      <w:r w:rsidRPr="00446895">
        <w:rPr>
          <w:rFonts w:ascii="Arial" w:hAnsi="Arial" w:cs="Arial"/>
          <w:sz w:val="20"/>
          <w:szCs w:val="20"/>
        </w:rPr>
        <w:t xml:space="preserve"> = </w:t>
      </w:r>
      <w:r w:rsidR="003B2621">
        <w:rPr>
          <w:rFonts w:ascii="Arial" w:hAnsi="Arial" w:cs="Arial"/>
          <w:sz w:val="20"/>
          <w:szCs w:val="20"/>
        </w:rPr>
        <w:t>1</w:t>
      </w:r>
      <w:r w:rsidR="00C71263">
        <w:rPr>
          <w:rFonts w:ascii="Arial" w:hAnsi="Arial" w:cs="Arial"/>
          <w:sz w:val="20"/>
          <w:szCs w:val="20"/>
        </w:rPr>
        <w:t>4.8</w:t>
      </w:r>
      <w:r w:rsidRPr="00446895">
        <w:rPr>
          <w:rFonts w:ascii="Arial" w:hAnsi="Arial" w:cs="Arial"/>
          <w:sz w:val="20"/>
          <w:szCs w:val="20"/>
        </w:rPr>
        <w:t xml:space="preserve"> W –</w:t>
      </w:r>
      <w:r w:rsidR="00C45648">
        <w:rPr>
          <w:rFonts w:ascii="Arial" w:hAnsi="Arial" w:cs="Arial"/>
          <w:sz w:val="20"/>
          <w:szCs w:val="20"/>
        </w:rPr>
        <w:t xml:space="preserve"> </w:t>
      </w:r>
      <w:r w:rsidR="003B2621">
        <w:rPr>
          <w:rFonts w:ascii="Arial" w:hAnsi="Arial" w:cs="Arial"/>
          <w:sz w:val="20"/>
          <w:szCs w:val="20"/>
        </w:rPr>
        <w:t>11.8</w:t>
      </w:r>
      <w:r w:rsidR="00923BC4" w:rsidRPr="00446895">
        <w:rPr>
          <w:rFonts w:ascii="Arial" w:hAnsi="Arial" w:cs="Arial"/>
          <w:sz w:val="20"/>
          <w:szCs w:val="20"/>
        </w:rPr>
        <w:t xml:space="preserve"> </w:t>
      </w:r>
      <w:r w:rsidRPr="00446895">
        <w:rPr>
          <w:rFonts w:ascii="Arial" w:hAnsi="Arial" w:cs="Arial"/>
          <w:sz w:val="20"/>
          <w:szCs w:val="20"/>
        </w:rPr>
        <w:t xml:space="preserve">W = </w:t>
      </w:r>
      <w:r w:rsidR="003B2621">
        <w:rPr>
          <w:rFonts w:ascii="Arial" w:hAnsi="Arial" w:cs="Arial"/>
          <w:sz w:val="20"/>
          <w:szCs w:val="20"/>
        </w:rPr>
        <w:t>3.</w:t>
      </w:r>
      <w:r w:rsidR="00C71263">
        <w:rPr>
          <w:rFonts w:ascii="Arial" w:hAnsi="Arial" w:cs="Arial"/>
          <w:sz w:val="20"/>
          <w:szCs w:val="20"/>
        </w:rPr>
        <w:t>0</w:t>
      </w:r>
      <w:r w:rsidRPr="00446895">
        <w:rPr>
          <w:rFonts w:ascii="Arial" w:hAnsi="Arial" w:cs="Arial"/>
          <w:sz w:val="20"/>
          <w:szCs w:val="20"/>
        </w:rPr>
        <w:t xml:space="preserve"> ∆Watts/</w:t>
      </w:r>
      <w:proofErr w:type="spellStart"/>
      <w:r w:rsidR="00230617">
        <w:rPr>
          <w:rFonts w:ascii="Arial" w:hAnsi="Arial" w:cs="Arial"/>
          <w:sz w:val="20"/>
          <w:szCs w:val="20"/>
        </w:rPr>
        <w:t>kilolumen</w:t>
      </w:r>
      <w:proofErr w:type="spellEnd"/>
      <w:r w:rsidRPr="00446895">
        <w:rPr>
          <w:rFonts w:ascii="Arial" w:hAnsi="Arial" w:cs="Arial"/>
          <w:sz w:val="20"/>
          <w:szCs w:val="20"/>
        </w:rPr>
        <w:t xml:space="preserve"> </w:t>
      </w:r>
    </w:p>
    <w:p w:rsidR="00CC6DB2" w:rsidRPr="00446895" w:rsidRDefault="00CC6DB2" w:rsidP="00CC6DB2">
      <w:pPr>
        <w:rPr>
          <w:rFonts w:ascii="Arial" w:hAnsi="Arial" w:cs="Arial"/>
          <w:sz w:val="20"/>
          <w:szCs w:val="20"/>
        </w:rPr>
      </w:pPr>
    </w:p>
    <w:p w:rsidR="00126A4E" w:rsidRPr="00446895" w:rsidRDefault="00B42822" w:rsidP="00CC6DB2">
      <w:pPr>
        <w:rPr>
          <w:rFonts w:ascii="Arial" w:hAnsi="Arial" w:cs="Arial"/>
          <w:b/>
          <w:sz w:val="20"/>
          <w:szCs w:val="20"/>
        </w:rPr>
      </w:pPr>
      <w:r w:rsidRPr="00446895">
        <w:rPr>
          <w:rFonts w:ascii="Arial" w:hAnsi="Arial" w:cs="Arial"/>
          <w:b/>
          <w:sz w:val="20"/>
          <w:szCs w:val="20"/>
        </w:rPr>
        <w:t>Annual Electric</w:t>
      </w:r>
      <w:r w:rsidR="00126A4E" w:rsidRPr="00446895">
        <w:rPr>
          <w:rFonts w:ascii="Arial" w:hAnsi="Arial" w:cs="Arial"/>
          <w:b/>
          <w:sz w:val="20"/>
          <w:szCs w:val="20"/>
        </w:rPr>
        <w:t xml:space="preserve"> Savings:</w:t>
      </w:r>
    </w:p>
    <w:p w:rsidR="00126A4E" w:rsidRPr="00446895" w:rsidRDefault="004203DD" w:rsidP="004F12E7">
      <w:pPr>
        <w:ind w:left="720"/>
        <w:rPr>
          <w:rFonts w:ascii="Arial" w:hAnsi="Arial" w:cs="Arial"/>
          <w:sz w:val="20"/>
          <w:szCs w:val="20"/>
        </w:rPr>
      </w:pPr>
      <w:r w:rsidRPr="00446895">
        <w:rPr>
          <w:rFonts w:ascii="Arial" w:hAnsi="Arial" w:cs="Arial"/>
          <w:sz w:val="20"/>
          <w:szCs w:val="20"/>
        </w:rPr>
        <w:t xml:space="preserve">Annual </w:t>
      </w:r>
      <w:r w:rsidR="00126A4E" w:rsidRPr="00446895">
        <w:rPr>
          <w:rFonts w:ascii="Arial" w:hAnsi="Arial" w:cs="Arial"/>
          <w:sz w:val="20"/>
          <w:szCs w:val="20"/>
        </w:rPr>
        <w:t>Energy Savings [kWh/</w:t>
      </w:r>
      <w:proofErr w:type="spellStart"/>
      <w:r w:rsidR="00230617">
        <w:rPr>
          <w:rFonts w:ascii="Arial" w:hAnsi="Arial" w:cs="Arial"/>
          <w:sz w:val="20"/>
          <w:szCs w:val="20"/>
        </w:rPr>
        <w:t>kilolumen</w:t>
      </w:r>
      <w:proofErr w:type="spellEnd"/>
      <w:r w:rsidR="00126A4E" w:rsidRPr="00446895">
        <w:rPr>
          <w:rFonts w:ascii="Arial" w:hAnsi="Arial" w:cs="Arial"/>
          <w:sz w:val="20"/>
          <w:szCs w:val="20"/>
        </w:rPr>
        <w:t>] = (∆Watts/</w:t>
      </w:r>
      <w:proofErr w:type="spellStart"/>
      <w:r w:rsidR="00230617">
        <w:rPr>
          <w:rFonts w:ascii="Arial" w:hAnsi="Arial" w:cs="Arial"/>
          <w:sz w:val="20"/>
          <w:szCs w:val="20"/>
        </w:rPr>
        <w:t>kilolumen</w:t>
      </w:r>
      <w:proofErr w:type="spellEnd"/>
      <w:r w:rsidR="00126A4E" w:rsidRPr="00446895">
        <w:rPr>
          <w:rFonts w:ascii="Arial" w:hAnsi="Arial" w:cs="Arial"/>
          <w:sz w:val="20"/>
          <w:szCs w:val="20"/>
        </w:rPr>
        <w:t>) x (</w:t>
      </w:r>
      <w:r w:rsidR="007F14BA" w:rsidRPr="00446895">
        <w:rPr>
          <w:rFonts w:ascii="Arial" w:hAnsi="Arial" w:cs="Arial"/>
          <w:sz w:val="20"/>
          <w:szCs w:val="20"/>
        </w:rPr>
        <w:t>A</w:t>
      </w:r>
      <w:r w:rsidR="00AD322C" w:rsidRPr="00446895">
        <w:rPr>
          <w:rFonts w:ascii="Arial" w:hAnsi="Arial" w:cs="Arial"/>
          <w:sz w:val="20"/>
          <w:szCs w:val="20"/>
        </w:rPr>
        <w:t xml:space="preserve">nnual </w:t>
      </w:r>
      <w:r w:rsidR="007F14BA" w:rsidRPr="00446895">
        <w:rPr>
          <w:rFonts w:ascii="Arial" w:hAnsi="Arial" w:cs="Arial"/>
          <w:sz w:val="20"/>
          <w:szCs w:val="20"/>
        </w:rPr>
        <w:t>H</w:t>
      </w:r>
      <w:r w:rsidR="00AD322C" w:rsidRPr="00446895">
        <w:rPr>
          <w:rFonts w:ascii="Arial" w:hAnsi="Arial" w:cs="Arial"/>
          <w:sz w:val="20"/>
          <w:szCs w:val="20"/>
        </w:rPr>
        <w:t xml:space="preserve">ours of </w:t>
      </w:r>
      <w:r w:rsidR="007F14BA" w:rsidRPr="00446895">
        <w:rPr>
          <w:rFonts w:ascii="Arial" w:hAnsi="Arial" w:cs="Arial"/>
          <w:sz w:val="20"/>
          <w:szCs w:val="20"/>
        </w:rPr>
        <w:t>O</w:t>
      </w:r>
      <w:r w:rsidR="00AD322C" w:rsidRPr="00446895">
        <w:rPr>
          <w:rFonts w:ascii="Arial" w:hAnsi="Arial" w:cs="Arial"/>
          <w:sz w:val="20"/>
          <w:szCs w:val="20"/>
        </w:rPr>
        <w:t>peration</w:t>
      </w:r>
      <w:r w:rsidR="00CC34FF" w:rsidRPr="00446895">
        <w:rPr>
          <w:rFonts w:ascii="Arial" w:hAnsi="Arial" w:cs="Arial"/>
          <w:sz w:val="20"/>
          <w:szCs w:val="20"/>
        </w:rPr>
        <w:t>)</w:t>
      </w:r>
      <w:r w:rsidR="00AD322C" w:rsidRPr="00446895">
        <w:rPr>
          <w:rFonts w:ascii="Arial" w:hAnsi="Arial" w:cs="Arial"/>
          <w:sz w:val="20"/>
          <w:szCs w:val="20"/>
        </w:rPr>
        <w:t xml:space="preserve"> x (Energy Interactive Effects) </w:t>
      </w:r>
      <w:r w:rsidR="007F14BA" w:rsidRPr="00446895">
        <w:rPr>
          <w:rFonts w:ascii="Arial" w:hAnsi="Arial" w:cs="Arial"/>
          <w:sz w:val="20"/>
          <w:szCs w:val="20"/>
        </w:rPr>
        <w:t>/ (</w:t>
      </w:r>
      <w:r w:rsidR="00126A4E" w:rsidRPr="00446895">
        <w:rPr>
          <w:rFonts w:ascii="Arial" w:hAnsi="Arial" w:cs="Arial"/>
          <w:sz w:val="20"/>
          <w:szCs w:val="20"/>
        </w:rPr>
        <w:t>1,000 Watts / kW</w:t>
      </w:r>
      <w:r w:rsidR="007F14BA" w:rsidRPr="00446895">
        <w:rPr>
          <w:rFonts w:ascii="Arial" w:hAnsi="Arial" w:cs="Arial"/>
          <w:sz w:val="20"/>
          <w:szCs w:val="20"/>
        </w:rPr>
        <w:t>)</w:t>
      </w:r>
    </w:p>
    <w:p w:rsidR="00DF284F" w:rsidRDefault="00DF284F" w:rsidP="00CC6DB2">
      <w:pPr>
        <w:ind w:left="720"/>
        <w:rPr>
          <w:rFonts w:ascii="Arial" w:hAnsi="Arial" w:cs="Arial"/>
          <w:b/>
          <w:sz w:val="20"/>
          <w:szCs w:val="20"/>
          <w:highlight w:val="cyan"/>
        </w:rPr>
      </w:pPr>
    </w:p>
    <w:p w:rsidR="00C069A2" w:rsidRDefault="0030550A" w:rsidP="002E0043">
      <w:pPr>
        <w:pStyle w:val="Heading2"/>
        <w:keepNext w:val="0"/>
      </w:pPr>
      <w:bookmarkStart w:id="37" w:name="_Toc438457184"/>
      <w:r>
        <w:t>2.2. Demand R</w:t>
      </w:r>
      <w:r w:rsidR="00C069A2">
        <w:t>eduction Estimation Methodologies</w:t>
      </w:r>
      <w:bookmarkEnd w:id="37"/>
    </w:p>
    <w:p w:rsidR="00A95746" w:rsidRPr="00A209A2" w:rsidRDefault="00801249" w:rsidP="00801249">
      <w:pPr>
        <w:rPr>
          <w:rFonts w:ascii="Arial" w:hAnsi="Arial" w:cs="Arial"/>
          <w:i/>
          <w:sz w:val="20"/>
          <w:szCs w:val="20"/>
        </w:rPr>
      </w:pPr>
      <w:r w:rsidRPr="00801249">
        <w:rPr>
          <w:rFonts w:ascii="Arial" w:hAnsi="Arial" w:cs="Arial"/>
          <w:sz w:val="20"/>
          <w:szCs w:val="20"/>
        </w:rPr>
        <w:t>This measure includes HVAC interactive effects savings. This measure is not an Early Retirement measure.</w:t>
      </w:r>
    </w:p>
    <w:p w:rsidR="00044570" w:rsidRDefault="00044570" w:rsidP="00EB46D0">
      <w:pPr>
        <w:rPr>
          <w:rFonts w:ascii="Arial" w:hAnsi="Arial" w:cs="Arial"/>
          <w:i/>
          <w:sz w:val="20"/>
          <w:szCs w:val="20"/>
        </w:rPr>
      </w:pPr>
    </w:p>
    <w:p w:rsidR="00EB46D0" w:rsidRPr="00CF3FF0" w:rsidRDefault="00EB46D0" w:rsidP="00CF3FF0">
      <w:pPr>
        <w:rPr>
          <w:rFonts w:ascii="Arial" w:hAnsi="Arial" w:cs="Arial"/>
          <w:sz w:val="20"/>
          <w:szCs w:val="20"/>
        </w:rPr>
      </w:pPr>
      <w:r w:rsidRPr="00CF3FF0">
        <w:rPr>
          <w:rFonts w:ascii="Arial" w:hAnsi="Arial" w:cs="Arial"/>
          <w:b/>
          <w:sz w:val="20"/>
          <w:szCs w:val="20"/>
        </w:rPr>
        <w:t>∆Watts/</w:t>
      </w:r>
      <w:proofErr w:type="spellStart"/>
      <w:r w:rsidR="00230617">
        <w:rPr>
          <w:rFonts w:ascii="Arial" w:hAnsi="Arial" w:cs="Arial"/>
          <w:b/>
          <w:sz w:val="20"/>
          <w:szCs w:val="20"/>
        </w:rPr>
        <w:t>kilolumen</w:t>
      </w:r>
      <w:proofErr w:type="spellEnd"/>
      <w:r w:rsidRPr="00CF3FF0">
        <w:rPr>
          <w:rFonts w:ascii="Arial" w:hAnsi="Arial" w:cs="Arial"/>
          <w:b/>
          <w:sz w:val="20"/>
          <w:szCs w:val="20"/>
        </w:rPr>
        <w:t>:</w:t>
      </w:r>
      <w:r w:rsidR="00CF3FF0">
        <w:rPr>
          <w:rFonts w:ascii="Arial" w:hAnsi="Arial" w:cs="Arial"/>
          <w:b/>
          <w:sz w:val="20"/>
          <w:szCs w:val="20"/>
        </w:rPr>
        <w:t xml:space="preserve"> </w:t>
      </w:r>
      <w:r w:rsidRPr="00CF3FF0">
        <w:rPr>
          <w:rFonts w:ascii="Arial" w:hAnsi="Arial" w:cs="Arial"/>
          <w:sz w:val="20"/>
          <w:szCs w:val="20"/>
        </w:rPr>
        <w:t xml:space="preserve">The demand difference (watts per </w:t>
      </w:r>
      <w:proofErr w:type="spellStart"/>
      <w:r w:rsidR="00230617">
        <w:rPr>
          <w:rFonts w:ascii="Arial" w:hAnsi="Arial" w:cs="Arial"/>
          <w:sz w:val="20"/>
          <w:szCs w:val="20"/>
        </w:rPr>
        <w:t>kilolumen</w:t>
      </w:r>
      <w:proofErr w:type="spellEnd"/>
      <w:r w:rsidRPr="00CF3FF0">
        <w:rPr>
          <w:rFonts w:ascii="Arial" w:hAnsi="Arial" w:cs="Arial"/>
          <w:sz w:val="20"/>
          <w:szCs w:val="20"/>
        </w:rPr>
        <w:t xml:space="preserve">) is simply the difference between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w:t>
      </w:r>
      <w:r w:rsidRPr="00CF3FF0">
        <w:rPr>
          <w:rFonts w:ascii="Arial" w:hAnsi="Arial" w:cs="Arial"/>
          <w:sz w:val="20"/>
          <w:szCs w:val="20"/>
        </w:rPr>
        <w:t xml:space="preserve">the base </w:t>
      </w:r>
      <w:r w:rsidR="00C45648">
        <w:rPr>
          <w:rFonts w:ascii="Arial" w:hAnsi="Arial" w:cs="Arial"/>
          <w:sz w:val="20"/>
          <w:szCs w:val="20"/>
        </w:rPr>
        <w:t>fixture</w:t>
      </w:r>
      <w:r w:rsidR="004F12E7" w:rsidRPr="00CF3FF0">
        <w:rPr>
          <w:rFonts w:ascii="Arial" w:hAnsi="Arial" w:cs="Arial"/>
          <w:sz w:val="20"/>
          <w:szCs w:val="20"/>
        </w:rPr>
        <w:t xml:space="preserve"> </w:t>
      </w:r>
      <w:r w:rsidRPr="00CF3FF0">
        <w:rPr>
          <w:rFonts w:ascii="Arial" w:hAnsi="Arial" w:cs="Arial"/>
          <w:sz w:val="20"/>
          <w:szCs w:val="20"/>
        </w:rPr>
        <w:t xml:space="preserve">and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w:t>
      </w:r>
      <w:r w:rsidRPr="00CF3FF0">
        <w:rPr>
          <w:rFonts w:ascii="Arial" w:hAnsi="Arial" w:cs="Arial"/>
          <w:sz w:val="20"/>
          <w:szCs w:val="20"/>
        </w:rPr>
        <w:t xml:space="preserve">the energy efficient </w:t>
      </w:r>
      <w:r w:rsidR="00C45648">
        <w:rPr>
          <w:rFonts w:ascii="Arial" w:hAnsi="Arial" w:cs="Arial"/>
          <w:sz w:val="20"/>
          <w:szCs w:val="20"/>
        </w:rPr>
        <w:t>fixture</w:t>
      </w:r>
      <w:r w:rsidRPr="00CF3FF0">
        <w:rPr>
          <w:rFonts w:ascii="Arial" w:hAnsi="Arial" w:cs="Arial"/>
          <w:sz w:val="20"/>
          <w:szCs w:val="20"/>
        </w:rPr>
        <w:t>.</w:t>
      </w:r>
    </w:p>
    <w:p w:rsidR="00EB46D0" w:rsidRPr="00CF3FF0" w:rsidRDefault="00EB46D0" w:rsidP="00EB46D0">
      <w:pPr>
        <w:ind w:left="720"/>
        <w:rPr>
          <w:rFonts w:ascii="Arial" w:hAnsi="Arial" w:cs="Arial"/>
          <w:i/>
          <w:sz w:val="20"/>
          <w:szCs w:val="20"/>
        </w:rPr>
      </w:pPr>
    </w:p>
    <w:p w:rsidR="00EB46D0" w:rsidRDefault="00EB46D0" w:rsidP="00CC34FF">
      <w:pPr>
        <w:ind w:left="720"/>
        <w:rPr>
          <w:rFonts w:ascii="Arial" w:hAnsi="Arial" w:cs="Arial"/>
          <w:b/>
          <w:sz w:val="20"/>
          <w:szCs w:val="20"/>
        </w:rPr>
      </w:pPr>
      <w:r w:rsidRPr="00EA0340">
        <w:rPr>
          <w:rFonts w:ascii="Arial" w:hAnsi="Arial" w:cs="Arial"/>
          <w:b/>
          <w:sz w:val="20"/>
          <w:szCs w:val="20"/>
        </w:rPr>
        <w:t>∆Watts/</w:t>
      </w:r>
      <w:proofErr w:type="spellStart"/>
      <w:r w:rsidR="00230617">
        <w:rPr>
          <w:rFonts w:ascii="Arial" w:hAnsi="Arial" w:cs="Arial"/>
          <w:b/>
          <w:sz w:val="20"/>
          <w:szCs w:val="20"/>
        </w:rPr>
        <w:t>kilolumen</w:t>
      </w:r>
      <w:proofErr w:type="spellEnd"/>
      <w:r w:rsidR="00794E75">
        <w:rPr>
          <w:rFonts w:ascii="Arial" w:hAnsi="Arial" w:cs="Arial"/>
          <w:b/>
          <w:sz w:val="20"/>
          <w:szCs w:val="20"/>
        </w:rPr>
        <w:t xml:space="preserve"> </w:t>
      </w:r>
      <w:r w:rsidRPr="00CF3FF0">
        <w:rPr>
          <w:rFonts w:ascii="Arial" w:hAnsi="Arial" w:cs="Arial"/>
          <w:b/>
          <w:sz w:val="20"/>
          <w:szCs w:val="20"/>
        </w:rPr>
        <w:t>= Base Watts/</w:t>
      </w:r>
      <w:proofErr w:type="spellStart"/>
      <w:r w:rsidR="00230617">
        <w:rPr>
          <w:rFonts w:ascii="Arial" w:hAnsi="Arial" w:cs="Arial"/>
          <w:b/>
          <w:sz w:val="20"/>
          <w:szCs w:val="20"/>
        </w:rPr>
        <w:t>kilolumen</w:t>
      </w:r>
      <w:proofErr w:type="spellEnd"/>
      <w:r w:rsidR="00BB4412">
        <w:rPr>
          <w:rFonts w:ascii="Arial" w:hAnsi="Arial" w:cs="Arial"/>
          <w:b/>
          <w:sz w:val="20"/>
          <w:szCs w:val="20"/>
        </w:rPr>
        <w:t xml:space="preserve"> </w:t>
      </w:r>
      <w:r w:rsidRPr="00CF3FF0">
        <w:rPr>
          <w:rFonts w:ascii="Arial" w:hAnsi="Arial" w:cs="Arial"/>
          <w:b/>
          <w:sz w:val="20"/>
          <w:szCs w:val="20"/>
        </w:rPr>
        <w:t>-</w:t>
      </w:r>
      <w:r w:rsidR="00476B67">
        <w:rPr>
          <w:rFonts w:ascii="Arial" w:hAnsi="Arial" w:cs="Arial"/>
          <w:b/>
          <w:sz w:val="20"/>
          <w:szCs w:val="20"/>
        </w:rPr>
        <w:t xml:space="preserve"> </w:t>
      </w:r>
      <w:r w:rsidRPr="00CF3FF0">
        <w:rPr>
          <w:rFonts w:ascii="Arial" w:hAnsi="Arial" w:cs="Arial"/>
          <w:b/>
          <w:sz w:val="20"/>
          <w:szCs w:val="20"/>
        </w:rPr>
        <w:t>Energy Efficient Watts</w:t>
      </w:r>
      <w:r w:rsidR="00AD322C">
        <w:rPr>
          <w:rFonts w:ascii="Arial" w:hAnsi="Arial" w:cs="Arial"/>
          <w:b/>
          <w:sz w:val="20"/>
          <w:szCs w:val="20"/>
        </w:rPr>
        <w:t>/</w:t>
      </w:r>
      <w:proofErr w:type="spellStart"/>
      <w:r w:rsidR="00230617">
        <w:rPr>
          <w:rFonts w:ascii="Arial" w:hAnsi="Arial" w:cs="Arial"/>
          <w:b/>
          <w:sz w:val="20"/>
          <w:szCs w:val="20"/>
        </w:rPr>
        <w:t>kilolumen</w:t>
      </w:r>
      <w:proofErr w:type="spellEnd"/>
    </w:p>
    <w:p w:rsidR="00E23EC3" w:rsidRDefault="00E23EC3" w:rsidP="00CC34FF">
      <w:pPr>
        <w:ind w:left="720"/>
        <w:rPr>
          <w:rFonts w:ascii="Arial" w:hAnsi="Arial" w:cs="Arial"/>
          <w:b/>
          <w:sz w:val="20"/>
          <w:szCs w:val="20"/>
          <w:u w:val="single"/>
        </w:rPr>
      </w:pPr>
    </w:p>
    <w:p w:rsidR="00E23EC3" w:rsidRPr="00EA0340" w:rsidRDefault="00E23EC3" w:rsidP="00E23EC3">
      <w:pPr>
        <w:rPr>
          <w:rFonts w:ascii="Arial" w:hAnsi="Arial" w:cs="Arial"/>
          <w:b/>
          <w:sz w:val="20"/>
          <w:szCs w:val="20"/>
        </w:rPr>
      </w:pPr>
      <w:r w:rsidRPr="00EA0340">
        <w:rPr>
          <w:rFonts w:ascii="Arial" w:hAnsi="Arial" w:cs="Arial"/>
          <w:b/>
          <w:sz w:val="20"/>
          <w:szCs w:val="20"/>
        </w:rPr>
        <w:t>Where:</w:t>
      </w:r>
    </w:p>
    <w:p w:rsidR="00E23EC3" w:rsidRPr="004F12E7" w:rsidRDefault="00E23EC3" w:rsidP="00E23EC3">
      <w:pPr>
        <w:rPr>
          <w:rFonts w:ascii="Arial" w:hAnsi="Arial" w:cs="Arial"/>
          <w:b/>
          <w:sz w:val="20"/>
          <w:szCs w:val="20"/>
        </w:rPr>
      </w:pPr>
      <w:r>
        <w:rPr>
          <w:rFonts w:ascii="Arial" w:hAnsi="Arial" w:cs="Arial"/>
          <w:sz w:val="20"/>
          <w:szCs w:val="20"/>
        </w:rPr>
        <w:lastRenderedPageBreak/>
        <w:tab/>
      </w:r>
      <w:r w:rsidR="003F3419" w:rsidRPr="003F3419">
        <w:rPr>
          <w:rFonts w:ascii="Arial" w:hAnsi="Arial" w:cs="Arial"/>
          <w:sz w:val="20"/>
          <w:szCs w:val="20"/>
        </w:rPr>
        <w:t>Base Case Watts/</w:t>
      </w:r>
      <w:proofErr w:type="spellStart"/>
      <w:r w:rsidR="00230617">
        <w:rPr>
          <w:rFonts w:ascii="Arial" w:hAnsi="Arial" w:cs="Arial"/>
          <w:sz w:val="20"/>
          <w:szCs w:val="20"/>
        </w:rPr>
        <w:t>Kilolumen</w:t>
      </w:r>
      <w:proofErr w:type="spellEnd"/>
      <w:r w:rsidR="003F3419" w:rsidRPr="003F3419">
        <w:rPr>
          <w:rFonts w:ascii="Arial" w:hAnsi="Arial" w:cs="Arial"/>
          <w:sz w:val="20"/>
          <w:szCs w:val="20"/>
        </w:rPr>
        <w:t xml:space="preserve"> represents code/industry standard base unit demand.</w:t>
      </w:r>
    </w:p>
    <w:p w:rsidR="00EB46D0" w:rsidRPr="00CF3FF0" w:rsidRDefault="00EB46D0" w:rsidP="00EB46D0">
      <w:pPr>
        <w:rPr>
          <w:rFonts w:ascii="Arial" w:hAnsi="Arial" w:cs="Arial"/>
          <w:i/>
          <w:sz w:val="20"/>
          <w:szCs w:val="20"/>
        </w:rPr>
      </w:pPr>
    </w:p>
    <w:p w:rsidR="003F3DED" w:rsidRPr="00CF3FF0" w:rsidRDefault="003F3DED" w:rsidP="003F3DED">
      <w:pPr>
        <w:rPr>
          <w:rFonts w:ascii="Arial" w:hAnsi="Arial" w:cs="Arial"/>
          <w:b/>
          <w:sz w:val="20"/>
          <w:szCs w:val="20"/>
        </w:rPr>
      </w:pPr>
      <w:r w:rsidRPr="00CF3FF0">
        <w:rPr>
          <w:rFonts w:ascii="Arial" w:hAnsi="Arial" w:cs="Arial"/>
          <w:b/>
          <w:sz w:val="20"/>
          <w:szCs w:val="20"/>
        </w:rPr>
        <w:t>Demand Reduction:</w:t>
      </w:r>
    </w:p>
    <w:p w:rsidR="003F3DED" w:rsidRPr="00F03117" w:rsidRDefault="003F3DED" w:rsidP="003F3DED">
      <w:pPr>
        <w:ind w:left="720"/>
        <w:rPr>
          <w:rFonts w:ascii="Arial" w:hAnsi="Arial" w:cs="Arial"/>
          <w:sz w:val="20"/>
          <w:szCs w:val="20"/>
        </w:rPr>
      </w:pPr>
      <w:r w:rsidRPr="00F03117">
        <w:rPr>
          <w:rFonts w:ascii="Arial" w:hAnsi="Arial" w:cs="Arial"/>
          <w:sz w:val="20"/>
          <w:szCs w:val="20"/>
        </w:rPr>
        <w:t>Demand Reduction [kW/</w:t>
      </w:r>
      <w:proofErr w:type="spellStart"/>
      <w:r w:rsidR="00230617">
        <w:rPr>
          <w:rFonts w:ascii="Arial" w:hAnsi="Arial" w:cs="Arial"/>
          <w:sz w:val="20"/>
          <w:szCs w:val="20"/>
        </w:rPr>
        <w:t>kilolumen</w:t>
      </w:r>
      <w:proofErr w:type="spellEnd"/>
      <w:r w:rsidRPr="00F03117">
        <w:rPr>
          <w:rFonts w:ascii="Arial" w:hAnsi="Arial" w:cs="Arial"/>
          <w:sz w:val="20"/>
          <w:szCs w:val="20"/>
        </w:rPr>
        <w:t>] = (</w:t>
      </w:r>
      <w:r w:rsidR="00CC34FF" w:rsidRPr="00F03117">
        <w:rPr>
          <w:rFonts w:ascii="Arial" w:hAnsi="Arial" w:cs="Arial"/>
          <w:sz w:val="20"/>
          <w:szCs w:val="20"/>
        </w:rPr>
        <w:t>∆Watts/</w:t>
      </w:r>
      <w:proofErr w:type="spellStart"/>
      <w:r w:rsidR="00230617">
        <w:rPr>
          <w:rFonts w:ascii="Arial" w:hAnsi="Arial" w:cs="Arial"/>
          <w:sz w:val="20"/>
          <w:szCs w:val="20"/>
        </w:rPr>
        <w:t>kilolumen</w:t>
      </w:r>
      <w:proofErr w:type="spellEnd"/>
      <w:r w:rsidR="00CC34FF" w:rsidRPr="00F03117">
        <w:rPr>
          <w:rFonts w:ascii="Arial" w:hAnsi="Arial" w:cs="Arial"/>
          <w:sz w:val="20"/>
          <w:szCs w:val="20"/>
        </w:rPr>
        <w:t>) x</w:t>
      </w:r>
      <w:r w:rsidRPr="00F03117">
        <w:rPr>
          <w:rFonts w:ascii="Arial" w:hAnsi="Arial" w:cs="Arial"/>
          <w:sz w:val="20"/>
          <w:szCs w:val="20"/>
        </w:rPr>
        <w:t xml:space="preserve"> (</w:t>
      </w:r>
      <w:r w:rsidR="00BB4412" w:rsidRPr="00F03117">
        <w:rPr>
          <w:rFonts w:ascii="Arial" w:hAnsi="Arial" w:cs="Arial"/>
          <w:sz w:val="20"/>
          <w:szCs w:val="20"/>
        </w:rPr>
        <w:t>L</w:t>
      </w:r>
      <w:r w:rsidR="00AD322C" w:rsidRPr="00F03117">
        <w:rPr>
          <w:rFonts w:ascii="Arial" w:hAnsi="Arial" w:cs="Arial"/>
          <w:sz w:val="20"/>
          <w:szCs w:val="20"/>
        </w:rPr>
        <w:t xml:space="preserve">ighting </w:t>
      </w:r>
      <w:r w:rsidR="00BB4412" w:rsidRPr="00F03117">
        <w:rPr>
          <w:rFonts w:ascii="Arial" w:hAnsi="Arial" w:cs="Arial"/>
          <w:sz w:val="20"/>
          <w:szCs w:val="20"/>
        </w:rPr>
        <w:t>C</w:t>
      </w:r>
      <w:r w:rsidR="00AD322C" w:rsidRPr="00F03117">
        <w:rPr>
          <w:rFonts w:ascii="Arial" w:hAnsi="Arial" w:cs="Arial"/>
          <w:sz w:val="20"/>
          <w:szCs w:val="20"/>
        </w:rPr>
        <w:t xml:space="preserve">oincident </w:t>
      </w:r>
      <w:r w:rsidR="00BB4412" w:rsidRPr="00F03117">
        <w:rPr>
          <w:rFonts w:ascii="Arial" w:hAnsi="Arial" w:cs="Arial"/>
          <w:sz w:val="20"/>
          <w:szCs w:val="20"/>
        </w:rPr>
        <w:t>D</w:t>
      </w:r>
      <w:r w:rsidR="00AD322C" w:rsidRPr="00F03117">
        <w:rPr>
          <w:rFonts w:ascii="Arial" w:hAnsi="Arial" w:cs="Arial"/>
          <w:sz w:val="20"/>
          <w:szCs w:val="20"/>
        </w:rPr>
        <w:t>emand</w:t>
      </w:r>
      <w:r w:rsidR="00BB4412" w:rsidRPr="00F03117">
        <w:rPr>
          <w:rFonts w:ascii="Arial" w:hAnsi="Arial" w:cs="Arial"/>
          <w:sz w:val="20"/>
          <w:szCs w:val="20"/>
        </w:rPr>
        <w:t>)</w:t>
      </w:r>
      <w:r w:rsidR="00AD322C" w:rsidRPr="00F03117">
        <w:rPr>
          <w:rFonts w:ascii="Arial" w:hAnsi="Arial" w:cs="Arial"/>
          <w:sz w:val="20"/>
          <w:szCs w:val="20"/>
        </w:rPr>
        <w:t xml:space="preserve"> x </w:t>
      </w:r>
      <w:r w:rsidR="00BB4412" w:rsidRPr="00F03117">
        <w:rPr>
          <w:rFonts w:ascii="Arial" w:hAnsi="Arial" w:cs="Arial"/>
          <w:sz w:val="20"/>
          <w:szCs w:val="20"/>
        </w:rPr>
        <w:t>(D</w:t>
      </w:r>
      <w:r w:rsidR="00AD322C" w:rsidRPr="00F03117">
        <w:rPr>
          <w:rFonts w:ascii="Arial" w:hAnsi="Arial" w:cs="Arial"/>
          <w:sz w:val="20"/>
          <w:szCs w:val="20"/>
        </w:rPr>
        <w:t xml:space="preserve">emand </w:t>
      </w:r>
      <w:r w:rsidR="00BB4412" w:rsidRPr="00F03117">
        <w:rPr>
          <w:rFonts w:ascii="Arial" w:hAnsi="Arial" w:cs="Arial"/>
          <w:sz w:val="20"/>
          <w:szCs w:val="20"/>
        </w:rPr>
        <w:t>I</w:t>
      </w:r>
      <w:r w:rsidR="00AD322C" w:rsidRPr="00F03117">
        <w:rPr>
          <w:rFonts w:ascii="Arial" w:hAnsi="Arial" w:cs="Arial"/>
          <w:sz w:val="20"/>
          <w:szCs w:val="20"/>
        </w:rPr>
        <w:t xml:space="preserve">nteractive </w:t>
      </w:r>
      <w:r w:rsidR="00BB4412" w:rsidRPr="00F03117">
        <w:rPr>
          <w:rFonts w:ascii="Arial" w:hAnsi="Arial" w:cs="Arial"/>
          <w:sz w:val="20"/>
          <w:szCs w:val="20"/>
        </w:rPr>
        <w:t>E</w:t>
      </w:r>
      <w:r w:rsidR="00AD322C" w:rsidRPr="00F03117">
        <w:rPr>
          <w:rFonts w:ascii="Arial" w:hAnsi="Arial" w:cs="Arial"/>
          <w:sz w:val="20"/>
          <w:szCs w:val="20"/>
        </w:rPr>
        <w:t>ffects</w:t>
      </w:r>
      <w:r w:rsidR="00794E75" w:rsidRPr="00F03117">
        <w:rPr>
          <w:rFonts w:ascii="Arial" w:hAnsi="Arial" w:cs="Arial"/>
          <w:sz w:val="20"/>
          <w:szCs w:val="20"/>
        </w:rPr>
        <w:t>) /</w:t>
      </w:r>
      <w:r w:rsidRPr="00F03117">
        <w:rPr>
          <w:rFonts w:ascii="Arial" w:hAnsi="Arial" w:cs="Arial"/>
          <w:sz w:val="20"/>
          <w:szCs w:val="20"/>
        </w:rPr>
        <w:t xml:space="preserve"> </w:t>
      </w:r>
      <w:r w:rsidR="00794E75" w:rsidRPr="00F03117">
        <w:rPr>
          <w:rFonts w:ascii="Arial" w:hAnsi="Arial" w:cs="Arial"/>
          <w:sz w:val="20"/>
          <w:szCs w:val="20"/>
        </w:rPr>
        <w:t>(</w:t>
      </w:r>
      <w:r w:rsidRPr="00F03117">
        <w:rPr>
          <w:rFonts w:ascii="Arial" w:hAnsi="Arial" w:cs="Arial"/>
          <w:sz w:val="20"/>
          <w:szCs w:val="20"/>
        </w:rPr>
        <w:t>1,000 Watts/kW</w:t>
      </w:r>
      <w:r w:rsidR="00794E75" w:rsidRPr="00F03117">
        <w:rPr>
          <w:rFonts w:ascii="Arial" w:hAnsi="Arial" w:cs="Arial"/>
          <w:sz w:val="20"/>
          <w:szCs w:val="20"/>
        </w:rPr>
        <w:t>)</w:t>
      </w:r>
    </w:p>
    <w:p w:rsidR="00DF284F" w:rsidRDefault="00DF284F" w:rsidP="003F3DED">
      <w:pPr>
        <w:ind w:left="720"/>
        <w:rPr>
          <w:rFonts w:ascii="Arial" w:hAnsi="Arial" w:cs="Arial"/>
          <w:b/>
          <w:sz w:val="20"/>
          <w:szCs w:val="20"/>
        </w:rPr>
      </w:pPr>
    </w:p>
    <w:p w:rsidR="007878B9" w:rsidRPr="00BF0332" w:rsidRDefault="00276ED1" w:rsidP="00BF0332">
      <w:pPr>
        <w:pStyle w:val="Heading2"/>
      </w:pPr>
      <w:bookmarkStart w:id="38" w:name="_Toc438457185"/>
      <w:r w:rsidRPr="00BF0332">
        <w:t xml:space="preserve">2.3. </w:t>
      </w:r>
      <w:r w:rsidR="007878B9" w:rsidRPr="00BF0332">
        <w:t>Gas Energy Savings Estimation Methodologies</w:t>
      </w:r>
      <w:bookmarkEnd w:id="38"/>
    </w:p>
    <w:p w:rsidR="00AD322C" w:rsidRDefault="00840D16" w:rsidP="00840D16">
      <w:pPr>
        <w:rPr>
          <w:rFonts w:ascii="Arial" w:hAnsi="Arial" w:cs="Arial"/>
          <w:i/>
          <w:sz w:val="20"/>
          <w:szCs w:val="20"/>
        </w:rPr>
      </w:pPr>
      <w:r w:rsidRPr="00840D16">
        <w:rPr>
          <w:rFonts w:ascii="Arial" w:hAnsi="Arial" w:cs="Arial"/>
          <w:sz w:val="20"/>
          <w:szCs w:val="20"/>
        </w:rPr>
        <w:t xml:space="preserve">Gas estimates are entirely based on the estimated increased gas use through calculated interactive effects. This measure includes HVAC interactive effects </w:t>
      </w:r>
      <w:r w:rsidR="00B30D5C">
        <w:rPr>
          <w:rFonts w:ascii="Arial" w:hAnsi="Arial" w:cs="Arial"/>
          <w:sz w:val="20"/>
          <w:szCs w:val="20"/>
        </w:rPr>
        <w:t>impacts</w:t>
      </w:r>
      <w:r w:rsidRPr="00840D16">
        <w:rPr>
          <w:rFonts w:ascii="Arial" w:hAnsi="Arial" w:cs="Arial"/>
          <w:sz w:val="20"/>
          <w:szCs w:val="20"/>
        </w:rPr>
        <w:t>. This measure is not an Early Retirement measure.</w:t>
      </w:r>
    </w:p>
    <w:p w:rsidR="00AD322C" w:rsidRDefault="00AD322C" w:rsidP="00AD322C">
      <w:pPr>
        <w:rPr>
          <w:rFonts w:ascii="Arial" w:hAnsi="Arial" w:cs="Arial"/>
          <w:i/>
          <w:sz w:val="20"/>
          <w:szCs w:val="20"/>
        </w:rPr>
      </w:pPr>
    </w:p>
    <w:p w:rsidR="004203DD" w:rsidRPr="00CF3FF0" w:rsidRDefault="004203DD" w:rsidP="004203DD">
      <w:pPr>
        <w:rPr>
          <w:rFonts w:ascii="Arial" w:hAnsi="Arial" w:cs="Arial"/>
          <w:sz w:val="20"/>
          <w:szCs w:val="20"/>
        </w:rPr>
      </w:pPr>
      <w:r w:rsidRPr="00CF3FF0">
        <w:rPr>
          <w:rFonts w:ascii="Arial" w:hAnsi="Arial" w:cs="Arial"/>
          <w:b/>
          <w:sz w:val="20"/>
          <w:szCs w:val="20"/>
        </w:rPr>
        <w:t>∆Watts/</w:t>
      </w:r>
      <w:proofErr w:type="spellStart"/>
      <w:r w:rsidR="00230617">
        <w:rPr>
          <w:rFonts w:ascii="Arial" w:hAnsi="Arial" w:cs="Arial"/>
          <w:b/>
          <w:sz w:val="20"/>
          <w:szCs w:val="20"/>
        </w:rPr>
        <w:t>kilolumen</w:t>
      </w:r>
      <w:proofErr w:type="spellEnd"/>
      <w:r w:rsidRPr="00CF3FF0">
        <w:rPr>
          <w:rFonts w:ascii="Arial" w:hAnsi="Arial" w:cs="Arial"/>
          <w:b/>
          <w:sz w:val="20"/>
          <w:szCs w:val="20"/>
        </w:rPr>
        <w:t>:</w:t>
      </w:r>
      <w:r>
        <w:rPr>
          <w:rFonts w:ascii="Arial" w:hAnsi="Arial" w:cs="Arial"/>
          <w:b/>
          <w:sz w:val="20"/>
          <w:szCs w:val="20"/>
        </w:rPr>
        <w:t xml:space="preserve"> </w:t>
      </w:r>
      <w:r w:rsidRPr="00CF3FF0">
        <w:rPr>
          <w:rFonts w:ascii="Arial" w:hAnsi="Arial" w:cs="Arial"/>
          <w:sz w:val="20"/>
          <w:szCs w:val="20"/>
        </w:rPr>
        <w:t xml:space="preserve">The demand difference (watts per </w:t>
      </w:r>
      <w:proofErr w:type="spellStart"/>
      <w:r w:rsidR="00230617">
        <w:rPr>
          <w:rFonts w:ascii="Arial" w:hAnsi="Arial" w:cs="Arial"/>
          <w:sz w:val="20"/>
          <w:szCs w:val="20"/>
        </w:rPr>
        <w:t>kilolumen</w:t>
      </w:r>
      <w:proofErr w:type="spellEnd"/>
      <w:r w:rsidRPr="00CF3FF0">
        <w:rPr>
          <w:rFonts w:ascii="Arial" w:hAnsi="Arial" w:cs="Arial"/>
          <w:sz w:val="20"/>
          <w:szCs w:val="20"/>
        </w:rPr>
        <w:t>) is simply the difference between the electric demand of</w:t>
      </w:r>
      <w:r w:rsidR="00230617" w:rsidRPr="00230617">
        <w:rPr>
          <w:rFonts w:ascii="Arial" w:hAnsi="Arial" w:cs="Arial"/>
          <w:sz w:val="20"/>
          <w:szCs w:val="20"/>
        </w:rPr>
        <w:t xml:space="preserve">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w:t>
      </w:r>
      <w:r w:rsidRPr="00CF3FF0">
        <w:rPr>
          <w:rFonts w:ascii="Arial" w:hAnsi="Arial" w:cs="Arial"/>
          <w:sz w:val="20"/>
          <w:szCs w:val="20"/>
        </w:rPr>
        <w:t xml:space="preserve"> the base </w:t>
      </w:r>
      <w:r w:rsidR="00C45648">
        <w:rPr>
          <w:rFonts w:ascii="Arial" w:hAnsi="Arial" w:cs="Arial"/>
          <w:sz w:val="20"/>
          <w:szCs w:val="20"/>
        </w:rPr>
        <w:t>fixture</w:t>
      </w:r>
      <w:r w:rsidRPr="00CF3FF0">
        <w:rPr>
          <w:rFonts w:ascii="Arial" w:hAnsi="Arial" w:cs="Arial"/>
          <w:sz w:val="20"/>
          <w:szCs w:val="20"/>
        </w:rPr>
        <w:t xml:space="preserve"> and the electric demand of</w:t>
      </w:r>
      <w:r w:rsidR="00230617" w:rsidRPr="00230617">
        <w:rPr>
          <w:rFonts w:ascii="Arial" w:hAnsi="Arial" w:cs="Arial"/>
          <w:sz w:val="20"/>
          <w:szCs w:val="20"/>
        </w:rPr>
        <w:t xml:space="preserve">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w:t>
      </w:r>
      <w:r w:rsidRPr="00CF3FF0">
        <w:rPr>
          <w:rFonts w:ascii="Arial" w:hAnsi="Arial" w:cs="Arial"/>
          <w:sz w:val="20"/>
          <w:szCs w:val="20"/>
        </w:rPr>
        <w:t xml:space="preserve"> the energy efficient </w:t>
      </w:r>
      <w:r w:rsidR="00C45648">
        <w:rPr>
          <w:rFonts w:ascii="Arial" w:hAnsi="Arial" w:cs="Arial"/>
          <w:sz w:val="20"/>
          <w:szCs w:val="20"/>
        </w:rPr>
        <w:t>fixture</w:t>
      </w:r>
      <w:r w:rsidRPr="00CF3FF0">
        <w:rPr>
          <w:rFonts w:ascii="Arial" w:hAnsi="Arial" w:cs="Arial"/>
          <w:sz w:val="20"/>
          <w:szCs w:val="20"/>
        </w:rPr>
        <w:t>.</w:t>
      </w:r>
    </w:p>
    <w:p w:rsidR="004203DD" w:rsidRPr="00CF3FF0" w:rsidRDefault="004203DD" w:rsidP="004203DD">
      <w:pPr>
        <w:ind w:left="720"/>
        <w:rPr>
          <w:rFonts w:ascii="Arial" w:hAnsi="Arial" w:cs="Arial"/>
          <w:i/>
          <w:sz w:val="20"/>
          <w:szCs w:val="20"/>
        </w:rPr>
      </w:pPr>
    </w:p>
    <w:p w:rsidR="004203DD" w:rsidRDefault="004203DD" w:rsidP="004203DD">
      <w:pPr>
        <w:ind w:left="720"/>
        <w:rPr>
          <w:rFonts w:ascii="Arial" w:hAnsi="Arial" w:cs="Arial"/>
          <w:b/>
          <w:sz w:val="20"/>
          <w:szCs w:val="20"/>
        </w:rPr>
      </w:pPr>
      <w:r w:rsidRPr="00EA0340">
        <w:rPr>
          <w:rFonts w:ascii="Arial" w:hAnsi="Arial" w:cs="Arial"/>
          <w:b/>
          <w:sz w:val="20"/>
          <w:szCs w:val="20"/>
        </w:rPr>
        <w:t>∆Watts/</w:t>
      </w:r>
      <w:proofErr w:type="spellStart"/>
      <w:r w:rsidR="00230617">
        <w:rPr>
          <w:rFonts w:ascii="Arial" w:hAnsi="Arial" w:cs="Arial"/>
          <w:b/>
          <w:sz w:val="20"/>
          <w:szCs w:val="20"/>
        </w:rPr>
        <w:t>kilolumen</w:t>
      </w:r>
      <w:proofErr w:type="spellEnd"/>
      <w:r>
        <w:rPr>
          <w:rFonts w:ascii="Arial" w:hAnsi="Arial" w:cs="Arial"/>
          <w:b/>
          <w:sz w:val="20"/>
          <w:szCs w:val="20"/>
        </w:rPr>
        <w:t xml:space="preserve"> </w:t>
      </w:r>
      <w:r w:rsidRPr="00CF3FF0">
        <w:rPr>
          <w:rFonts w:ascii="Arial" w:hAnsi="Arial" w:cs="Arial"/>
          <w:b/>
          <w:sz w:val="20"/>
          <w:szCs w:val="20"/>
        </w:rPr>
        <w:t>= Base Watts/</w:t>
      </w:r>
      <w:proofErr w:type="spellStart"/>
      <w:r w:rsidR="00230617">
        <w:rPr>
          <w:rFonts w:ascii="Arial" w:hAnsi="Arial" w:cs="Arial"/>
          <w:b/>
          <w:sz w:val="20"/>
          <w:szCs w:val="20"/>
        </w:rPr>
        <w:t>kilolumen</w:t>
      </w:r>
      <w:proofErr w:type="spellEnd"/>
      <w:r>
        <w:rPr>
          <w:rFonts w:ascii="Arial" w:hAnsi="Arial" w:cs="Arial"/>
          <w:b/>
          <w:sz w:val="20"/>
          <w:szCs w:val="20"/>
        </w:rPr>
        <w:t xml:space="preserve"> </w:t>
      </w:r>
      <w:r w:rsidRPr="00CF3FF0">
        <w:rPr>
          <w:rFonts w:ascii="Arial" w:hAnsi="Arial" w:cs="Arial"/>
          <w:b/>
          <w:sz w:val="20"/>
          <w:szCs w:val="20"/>
        </w:rPr>
        <w:t>-</w:t>
      </w:r>
      <w:r>
        <w:rPr>
          <w:rFonts w:ascii="Arial" w:hAnsi="Arial" w:cs="Arial"/>
          <w:b/>
          <w:sz w:val="20"/>
          <w:szCs w:val="20"/>
        </w:rPr>
        <w:t xml:space="preserve"> </w:t>
      </w:r>
      <w:r w:rsidRPr="00CF3FF0">
        <w:rPr>
          <w:rFonts w:ascii="Arial" w:hAnsi="Arial" w:cs="Arial"/>
          <w:b/>
          <w:sz w:val="20"/>
          <w:szCs w:val="20"/>
        </w:rPr>
        <w:t>Energy Efficient Watts</w:t>
      </w:r>
      <w:r>
        <w:rPr>
          <w:rFonts w:ascii="Arial" w:hAnsi="Arial" w:cs="Arial"/>
          <w:b/>
          <w:sz w:val="20"/>
          <w:szCs w:val="20"/>
        </w:rPr>
        <w:t>/</w:t>
      </w:r>
      <w:proofErr w:type="spellStart"/>
      <w:r w:rsidR="00230617">
        <w:rPr>
          <w:rFonts w:ascii="Arial" w:hAnsi="Arial" w:cs="Arial"/>
          <w:b/>
          <w:sz w:val="20"/>
          <w:szCs w:val="20"/>
        </w:rPr>
        <w:t>kilolumen</w:t>
      </w:r>
      <w:proofErr w:type="spellEnd"/>
    </w:p>
    <w:p w:rsidR="004203DD" w:rsidRDefault="004203DD" w:rsidP="004203DD">
      <w:pPr>
        <w:ind w:left="720"/>
        <w:rPr>
          <w:rFonts w:ascii="Arial" w:hAnsi="Arial" w:cs="Arial"/>
          <w:b/>
          <w:sz w:val="20"/>
          <w:szCs w:val="20"/>
          <w:u w:val="single"/>
        </w:rPr>
      </w:pPr>
    </w:p>
    <w:p w:rsidR="00AD322C" w:rsidRPr="00CF3FF0" w:rsidRDefault="00547480" w:rsidP="00AD322C">
      <w:pPr>
        <w:rPr>
          <w:rFonts w:ascii="Arial" w:hAnsi="Arial" w:cs="Arial"/>
          <w:b/>
          <w:sz w:val="20"/>
          <w:szCs w:val="20"/>
        </w:rPr>
      </w:pPr>
      <w:r>
        <w:rPr>
          <w:rFonts w:ascii="Arial" w:hAnsi="Arial" w:cs="Arial"/>
          <w:b/>
          <w:sz w:val="20"/>
          <w:szCs w:val="20"/>
        </w:rPr>
        <w:t>Annual Gas Savings</w:t>
      </w:r>
      <w:r w:rsidR="00AD322C" w:rsidRPr="00CF3FF0">
        <w:rPr>
          <w:rFonts w:ascii="Arial" w:hAnsi="Arial" w:cs="Arial"/>
          <w:b/>
          <w:sz w:val="20"/>
          <w:szCs w:val="20"/>
        </w:rPr>
        <w:t>:</w:t>
      </w:r>
    </w:p>
    <w:p w:rsidR="00AD322C" w:rsidRPr="001A5C3F" w:rsidRDefault="004203DD" w:rsidP="00AD322C">
      <w:pPr>
        <w:rPr>
          <w:rFonts w:ascii="Arial" w:hAnsi="Arial" w:cs="Arial"/>
          <w:sz w:val="20"/>
          <w:szCs w:val="20"/>
        </w:rPr>
      </w:pPr>
      <w:r w:rsidRPr="001A5C3F">
        <w:rPr>
          <w:rFonts w:ascii="Arial" w:hAnsi="Arial" w:cs="Arial"/>
          <w:sz w:val="20"/>
          <w:szCs w:val="20"/>
        </w:rPr>
        <w:t xml:space="preserve">Annual </w:t>
      </w:r>
      <w:r w:rsidR="003C0071" w:rsidRPr="001A5C3F">
        <w:rPr>
          <w:rFonts w:ascii="Arial" w:hAnsi="Arial" w:cs="Arial"/>
          <w:sz w:val="20"/>
          <w:szCs w:val="20"/>
        </w:rPr>
        <w:t xml:space="preserve">Gas Savings </w:t>
      </w:r>
      <w:r w:rsidR="00AD322C" w:rsidRPr="001A5C3F">
        <w:rPr>
          <w:rFonts w:ascii="Arial" w:hAnsi="Arial" w:cs="Arial"/>
          <w:sz w:val="20"/>
          <w:szCs w:val="20"/>
        </w:rPr>
        <w:t>[</w:t>
      </w:r>
      <w:r w:rsidR="00547480" w:rsidRPr="001A5C3F">
        <w:rPr>
          <w:rFonts w:ascii="Arial" w:hAnsi="Arial" w:cs="Arial"/>
          <w:sz w:val="20"/>
          <w:szCs w:val="20"/>
        </w:rPr>
        <w:t>∆</w:t>
      </w:r>
      <w:proofErr w:type="spellStart"/>
      <w:r w:rsidR="00547480" w:rsidRPr="001A5C3F">
        <w:rPr>
          <w:rFonts w:ascii="Arial" w:hAnsi="Arial" w:cs="Arial"/>
          <w:sz w:val="20"/>
          <w:szCs w:val="20"/>
        </w:rPr>
        <w:t>Therms</w:t>
      </w:r>
      <w:proofErr w:type="spellEnd"/>
      <w:r w:rsidR="00547480" w:rsidRPr="001A5C3F">
        <w:rPr>
          <w:rFonts w:ascii="Arial" w:hAnsi="Arial" w:cs="Arial"/>
          <w:sz w:val="20"/>
          <w:szCs w:val="20"/>
        </w:rPr>
        <w:t>/</w:t>
      </w:r>
      <w:proofErr w:type="spellStart"/>
      <w:r w:rsidR="00230617">
        <w:rPr>
          <w:rFonts w:ascii="Arial" w:hAnsi="Arial" w:cs="Arial"/>
          <w:sz w:val="20"/>
          <w:szCs w:val="20"/>
        </w:rPr>
        <w:t>kilolumen</w:t>
      </w:r>
      <w:proofErr w:type="spellEnd"/>
      <w:r w:rsidR="00AD322C" w:rsidRPr="001A5C3F">
        <w:rPr>
          <w:rFonts w:ascii="Arial" w:hAnsi="Arial" w:cs="Arial"/>
          <w:sz w:val="20"/>
          <w:szCs w:val="20"/>
        </w:rPr>
        <w:t>] = (∆Watts/</w:t>
      </w:r>
      <w:proofErr w:type="spellStart"/>
      <w:r w:rsidR="00230617">
        <w:rPr>
          <w:rFonts w:ascii="Arial" w:hAnsi="Arial" w:cs="Arial"/>
          <w:sz w:val="20"/>
          <w:szCs w:val="20"/>
        </w:rPr>
        <w:t>kilolumen</w:t>
      </w:r>
      <w:proofErr w:type="spellEnd"/>
      <w:r w:rsidR="00AD322C" w:rsidRPr="001A5C3F">
        <w:rPr>
          <w:rFonts w:ascii="Arial" w:hAnsi="Arial" w:cs="Arial"/>
          <w:sz w:val="20"/>
          <w:szCs w:val="20"/>
        </w:rPr>
        <w:t>) x (</w:t>
      </w:r>
      <w:r w:rsidR="00547480" w:rsidRPr="001A5C3F">
        <w:rPr>
          <w:rFonts w:ascii="Arial" w:hAnsi="Arial" w:cs="Arial"/>
          <w:sz w:val="20"/>
          <w:szCs w:val="20"/>
        </w:rPr>
        <w:t>Annual Hours of Operation)</w:t>
      </w:r>
      <w:r w:rsidR="00AD322C" w:rsidRPr="001A5C3F">
        <w:rPr>
          <w:rFonts w:ascii="Arial" w:hAnsi="Arial" w:cs="Arial"/>
          <w:sz w:val="20"/>
          <w:szCs w:val="20"/>
        </w:rPr>
        <w:t xml:space="preserve"> x </w:t>
      </w:r>
      <w:r w:rsidR="00547480" w:rsidRPr="001A5C3F">
        <w:rPr>
          <w:rFonts w:ascii="Arial" w:hAnsi="Arial" w:cs="Arial"/>
          <w:sz w:val="20"/>
          <w:szCs w:val="20"/>
        </w:rPr>
        <w:t>(Gas</w:t>
      </w:r>
      <w:r w:rsidR="00AD322C" w:rsidRPr="001A5C3F">
        <w:rPr>
          <w:rFonts w:ascii="Arial" w:hAnsi="Arial" w:cs="Arial"/>
          <w:sz w:val="20"/>
          <w:szCs w:val="20"/>
        </w:rPr>
        <w:t xml:space="preserve"> </w:t>
      </w:r>
      <w:r w:rsidR="00547480" w:rsidRPr="001A5C3F">
        <w:rPr>
          <w:rFonts w:ascii="Arial" w:hAnsi="Arial" w:cs="Arial"/>
          <w:sz w:val="20"/>
          <w:szCs w:val="20"/>
        </w:rPr>
        <w:t>I</w:t>
      </w:r>
      <w:r w:rsidR="00AD322C" w:rsidRPr="001A5C3F">
        <w:rPr>
          <w:rFonts w:ascii="Arial" w:hAnsi="Arial" w:cs="Arial"/>
          <w:sz w:val="20"/>
          <w:szCs w:val="20"/>
        </w:rPr>
        <w:t xml:space="preserve">nteractive </w:t>
      </w:r>
      <w:r w:rsidR="00547480" w:rsidRPr="001A5C3F">
        <w:rPr>
          <w:rFonts w:ascii="Arial" w:hAnsi="Arial" w:cs="Arial"/>
          <w:sz w:val="20"/>
          <w:szCs w:val="20"/>
        </w:rPr>
        <w:t>E</w:t>
      </w:r>
      <w:r w:rsidR="00AD322C" w:rsidRPr="001A5C3F">
        <w:rPr>
          <w:rFonts w:ascii="Arial" w:hAnsi="Arial" w:cs="Arial"/>
          <w:sz w:val="20"/>
          <w:szCs w:val="20"/>
        </w:rPr>
        <w:t>ffects)</w:t>
      </w:r>
      <w:r w:rsidR="00547480" w:rsidRPr="001A5C3F">
        <w:rPr>
          <w:rFonts w:ascii="Arial" w:hAnsi="Arial" w:cs="Arial"/>
          <w:sz w:val="20"/>
          <w:szCs w:val="20"/>
        </w:rPr>
        <w:t xml:space="preserve"> / 1</w:t>
      </w:r>
      <w:r w:rsidR="00AD322C" w:rsidRPr="001A5C3F">
        <w:rPr>
          <w:rFonts w:ascii="Arial" w:hAnsi="Arial" w:cs="Arial"/>
          <w:sz w:val="20"/>
          <w:szCs w:val="20"/>
        </w:rPr>
        <w:t>,000 Watts/kW</w:t>
      </w:r>
    </w:p>
    <w:p w:rsidR="00DF284F" w:rsidRPr="001A5C3F" w:rsidRDefault="001C6C57" w:rsidP="00DF284F">
      <w:pPr>
        <w:ind w:left="720"/>
        <w:rPr>
          <w:rFonts w:ascii="Arial" w:hAnsi="Arial" w:cs="Arial"/>
          <w:sz w:val="20"/>
          <w:szCs w:val="20"/>
          <w:highlight w:val="cyan"/>
        </w:rPr>
      </w:pPr>
      <w:r>
        <w:rPr>
          <w:rFonts w:ascii="Arial" w:hAnsi="Arial" w:cs="Arial"/>
          <w:sz w:val="20"/>
          <w:szCs w:val="20"/>
        </w:rPr>
        <w:t xml:space="preserve"> </w:t>
      </w:r>
    </w:p>
    <w:p w:rsidR="00B7164C" w:rsidRPr="003F7A9C" w:rsidRDefault="00C069A2" w:rsidP="00D20486">
      <w:pPr>
        <w:pStyle w:val="Heading1"/>
        <w:rPr>
          <w:sz w:val="28"/>
          <w:szCs w:val="28"/>
        </w:rPr>
      </w:pPr>
      <w:bookmarkStart w:id="39" w:name="_Toc438457186"/>
      <w:proofErr w:type="gramStart"/>
      <w:r w:rsidRPr="003F7A9C">
        <w:rPr>
          <w:sz w:val="28"/>
          <w:szCs w:val="28"/>
        </w:rPr>
        <w:t>Section 3</w:t>
      </w:r>
      <w:r w:rsidR="003129E8" w:rsidRPr="003F7A9C">
        <w:rPr>
          <w:sz w:val="28"/>
          <w:szCs w:val="28"/>
        </w:rPr>
        <w:t>.</w:t>
      </w:r>
      <w:proofErr w:type="gramEnd"/>
      <w:r w:rsidRPr="003F7A9C">
        <w:rPr>
          <w:sz w:val="28"/>
          <w:szCs w:val="28"/>
        </w:rPr>
        <w:t xml:space="preserve"> Load Shapes</w:t>
      </w:r>
      <w:bookmarkEnd w:id="39"/>
      <w:r w:rsidR="00844B27" w:rsidRPr="003F7A9C">
        <w:rPr>
          <w:sz w:val="28"/>
          <w:szCs w:val="28"/>
        </w:rPr>
        <w:t xml:space="preserve"> </w:t>
      </w:r>
    </w:p>
    <w:p w:rsidR="00A06A54" w:rsidRPr="0008537D" w:rsidRDefault="00A06A54" w:rsidP="00A06A54">
      <w:pPr>
        <w:autoSpaceDE w:val="0"/>
        <w:autoSpaceDN w:val="0"/>
        <w:adjustRightInd w:val="0"/>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rsidR="00B7164C" w:rsidRPr="007A4D97" w:rsidRDefault="00BF0332" w:rsidP="00B7164C">
      <w:pPr>
        <w:pStyle w:val="Heading2"/>
        <w:keepNext w:val="0"/>
      </w:pPr>
      <w:bookmarkStart w:id="40" w:name="_Toc173742996"/>
      <w:bookmarkStart w:id="41" w:name="_Toc438457187"/>
      <w:r w:rsidRPr="007A4D97">
        <w:t>3.1 Base Case</w:t>
      </w:r>
      <w:r w:rsidR="00B7164C" w:rsidRPr="007A4D97">
        <w:t xml:space="preserve"> Load Shapes</w:t>
      </w:r>
      <w:bookmarkEnd w:id="40"/>
      <w:bookmarkEnd w:id="41"/>
    </w:p>
    <w:bookmarkStart w:id="42" w:name="_Toc173742997"/>
    <w:p w:rsidR="008840FA" w:rsidRPr="00A209A2" w:rsidRDefault="008840FA" w:rsidP="008840FA">
      <w:pPr>
        <w:rPr>
          <w:rFonts w:ascii="Arial" w:hAnsi="Arial" w:cs="Arial"/>
          <w:sz w:val="20"/>
          <w:szCs w:val="20"/>
        </w:rPr>
      </w:pPr>
      <w:r w:rsidRPr="00A209A2">
        <w:rPr>
          <w:rFonts w:ascii="Arial" w:hAnsi="Arial" w:cs="Arial"/>
          <w:sz w:val="20"/>
          <w:szCs w:val="20"/>
        </w:rPr>
        <w:fldChar w:fldCharType="begin"/>
      </w:r>
      <w:r w:rsidRPr="00A209A2">
        <w:rPr>
          <w:rFonts w:ascii="Arial" w:hAnsi="Arial" w:cs="Arial"/>
          <w:sz w:val="20"/>
          <w:szCs w:val="20"/>
        </w:rPr>
        <w:instrText xml:space="preserve"> XE "load shape" </w:instrText>
      </w:r>
      <w:r w:rsidRPr="00A209A2">
        <w:rPr>
          <w:rFonts w:ascii="Arial" w:hAnsi="Arial" w:cs="Arial"/>
          <w:sz w:val="20"/>
          <w:szCs w:val="20"/>
        </w:rPr>
        <w:fldChar w:fldCharType="end"/>
      </w:r>
      <w:r w:rsidR="00B66898" w:rsidRPr="00A209A2">
        <w:rPr>
          <w:rFonts w:ascii="Arial" w:hAnsi="Arial" w:cs="Arial"/>
          <w:sz w:val="20"/>
          <w:szCs w:val="20"/>
        </w:rPr>
        <w:t>T</w:t>
      </w:r>
      <w:r w:rsidRPr="00A209A2">
        <w:rPr>
          <w:rFonts w:ascii="Arial" w:hAnsi="Arial" w:cs="Arial"/>
          <w:sz w:val="20"/>
          <w:szCs w:val="20"/>
        </w:rPr>
        <w:t xml:space="preserve">he closest load shape chosen for this measure is the </w:t>
      </w:r>
      <w:r w:rsidR="00501673">
        <w:rPr>
          <w:rFonts w:ascii="Arial" w:hAnsi="Arial" w:cs="Arial"/>
          <w:sz w:val="20"/>
          <w:szCs w:val="20"/>
        </w:rPr>
        <w:t>“</w:t>
      </w:r>
      <w:proofErr w:type="spellStart"/>
      <w:r w:rsidRPr="00A209A2">
        <w:rPr>
          <w:rFonts w:ascii="Arial" w:hAnsi="Arial" w:cs="Arial"/>
          <w:sz w:val="20"/>
          <w:szCs w:val="20"/>
        </w:rPr>
        <w:t>DEER</w:t>
      </w:r>
      <w:proofErr w:type="gramStart"/>
      <w:r w:rsidRPr="00A209A2">
        <w:rPr>
          <w:rFonts w:ascii="Arial" w:hAnsi="Arial" w:cs="Arial"/>
          <w:sz w:val="20"/>
          <w:szCs w:val="20"/>
        </w:rPr>
        <w:t>:Indoor</w:t>
      </w:r>
      <w:proofErr w:type="gramEnd"/>
      <w:r w:rsidRPr="00A209A2">
        <w:rPr>
          <w:rFonts w:ascii="Arial" w:hAnsi="Arial" w:cs="Arial"/>
          <w:sz w:val="20"/>
          <w:szCs w:val="20"/>
        </w:rPr>
        <w:t>_</w:t>
      </w:r>
      <w:r w:rsidR="0079606B">
        <w:rPr>
          <w:rFonts w:ascii="Arial" w:hAnsi="Arial" w:cs="Arial"/>
          <w:sz w:val="20"/>
          <w:szCs w:val="20"/>
        </w:rPr>
        <w:t>Non-</w:t>
      </w:r>
      <w:r w:rsidRPr="00A209A2">
        <w:rPr>
          <w:rFonts w:ascii="Arial" w:hAnsi="Arial" w:cs="Arial"/>
          <w:sz w:val="20"/>
          <w:szCs w:val="20"/>
        </w:rPr>
        <w:t>CFL_Ltg</w:t>
      </w:r>
      <w:proofErr w:type="spellEnd"/>
      <w:r w:rsidR="00501673">
        <w:rPr>
          <w:rFonts w:ascii="Arial" w:hAnsi="Arial" w:cs="Arial"/>
          <w:sz w:val="20"/>
          <w:szCs w:val="20"/>
        </w:rPr>
        <w:t>”</w:t>
      </w:r>
      <w:r w:rsidRPr="00A209A2">
        <w:rPr>
          <w:rFonts w:ascii="Arial" w:hAnsi="Arial" w:cs="Arial"/>
          <w:sz w:val="20"/>
          <w:szCs w:val="20"/>
        </w:rPr>
        <w:t xml:space="preserve"> load shape.</w:t>
      </w:r>
      <w:r w:rsidR="00476B67" w:rsidRPr="00A209A2">
        <w:rPr>
          <w:rFonts w:ascii="Arial" w:hAnsi="Arial" w:cs="Arial"/>
          <w:sz w:val="20"/>
          <w:szCs w:val="20"/>
        </w:rPr>
        <w:t xml:space="preserve"> </w:t>
      </w:r>
    </w:p>
    <w:p w:rsidR="00B66898" w:rsidRPr="00A209A2" w:rsidRDefault="00B66898" w:rsidP="008840FA">
      <w:pPr>
        <w:pStyle w:val="Caption"/>
        <w:jc w:val="center"/>
        <w:rPr>
          <w:rFonts w:ascii="Arial" w:hAnsi="Arial" w:cs="Arial"/>
        </w:rPr>
      </w:pPr>
    </w:p>
    <w:p w:rsidR="00B7164C" w:rsidRPr="00A209A2" w:rsidRDefault="00B7164C" w:rsidP="00D20486">
      <w:pPr>
        <w:pStyle w:val="Heading2"/>
        <w:keepNext w:val="0"/>
      </w:pPr>
      <w:bookmarkStart w:id="43" w:name="_Toc438457188"/>
      <w:r w:rsidRPr="00A209A2">
        <w:t>3.2 Measure Load Shapes</w:t>
      </w:r>
      <w:bookmarkEnd w:id="42"/>
      <w:bookmarkEnd w:id="43"/>
    </w:p>
    <w:p w:rsidR="00B66898" w:rsidRPr="00A209A2" w:rsidRDefault="009B6201" w:rsidP="003C6DFA">
      <w:pPr>
        <w:rPr>
          <w:rFonts w:ascii="Arial" w:hAnsi="Arial" w:cs="Arial"/>
          <w:sz w:val="20"/>
          <w:szCs w:val="20"/>
        </w:rPr>
      </w:pPr>
      <w:r w:rsidRPr="00A209A2">
        <w:rPr>
          <w:rFonts w:ascii="Arial" w:hAnsi="Arial" w:cs="Arial"/>
          <w:sz w:val="20"/>
          <w:szCs w:val="20"/>
        </w:rPr>
        <w:t xml:space="preserve">The </w:t>
      </w:r>
      <w:r w:rsidR="00F47D9D" w:rsidRPr="00A209A2">
        <w:rPr>
          <w:rFonts w:ascii="Arial" w:hAnsi="Arial" w:cs="Arial"/>
          <w:sz w:val="20"/>
          <w:szCs w:val="20"/>
        </w:rPr>
        <w:t>measure load shape for this measure is</w:t>
      </w:r>
      <w:r w:rsidR="00AB2D9E" w:rsidRPr="00A209A2">
        <w:rPr>
          <w:rFonts w:ascii="Arial" w:hAnsi="Arial" w:cs="Arial"/>
          <w:sz w:val="20"/>
          <w:szCs w:val="20"/>
        </w:rPr>
        <w:t xml:space="preserve"> determined based o</w:t>
      </w:r>
      <w:r w:rsidR="00F47D9D" w:rsidRPr="00A209A2">
        <w:rPr>
          <w:rFonts w:ascii="Arial" w:hAnsi="Arial" w:cs="Arial"/>
          <w:sz w:val="20"/>
          <w:szCs w:val="20"/>
        </w:rPr>
        <w:t>n</w:t>
      </w:r>
      <w:r w:rsidR="00AB2D9E" w:rsidRPr="00A209A2">
        <w:rPr>
          <w:rFonts w:ascii="Arial" w:hAnsi="Arial" w:cs="Arial"/>
          <w:sz w:val="20"/>
          <w:szCs w:val="20"/>
        </w:rPr>
        <w:t xml:space="preserve"> the applicable </w:t>
      </w:r>
      <w:r w:rsidR="0079606B">
        <w:rPr>
          <w:rFonts w:ascii="Arial" w:hAnsi="Arial" w:cs="Arial"/>
          <w:sz w:val="20"/>
          <w:szCs w:val="20"/>
        </w:rPr>
        <w:t xml:space="preserve">non-residential </w:t>
      </w:r>
      <w:r w:rsidR="00AB2D9E" w:rsidRPr="00A209A2">
        <w:rPr>
          <w:rFonts w:ascii="Arial" w:hAnsi="Arial" w:cs="Arial"/>
          <w:sz w:val="20"/>
          <w:szCs w:val="20"/>
        </w:rPr>
        <w:t>market sector</w:t>
      </w:r>
      <w:r w:rsidR="00F47D9D" w:rsidRPr="00A209A2">
        <w:rPr>
          <w:rFonts w:ascii="Arial" w:hAnsi="Arial" w:cs="Arial"/>
          <w:sz w:val="20"/>
          <w:szCs w:val="20"/>
        </w:rPr>
        <w:t xml:space="preserve"> and the </w:t>
      </w:r>
      <w:r w:rsidR="00A209A2" w:rsidRPr="00A209A2">
        <w:rPr>
          <w:rFonts w:ascii="Arial" w:hAnsi="Arial" w:cs="Arial"/>
          <w:sz w:val="20"/>
          <w:szCs w:val="20"/>
        </w:rPr>
        <w:t>lighting</w:t>
      </w:r>
      <w:r w:rsidR="00F47D9D" w:rsidRPr="00A209A2">
        <w:rPr>
          <w:rFonts w:ascii="Arial" w:hAnsi="Arial" w:cs="Arial"/>
          <w:sz w:val="20"/>
          <w:szCs w:val="20"/>
        </w:rPr>
        <w:t xml:space="preserve"> end-use.</w:t>
      </w:r>
      <w:r w:rsidR="00476B67" w:rsidRPr="00A209A2">
        <w:rPr>
          <w:rFonts w:ascii="Arial" w:hAnsi="Arial" w:cs="Arial"/>
          <w:sz w:val="20"/>
          <w:szCs w:val="20"/>
        </w:rPr>
        <w:t xml:space="preserve"> </w:t>
      </w:r>
    </w:p>
    <w:p w:rsidR="00DF3395" w:rsidRPr="00A209A2" w:rsidRDefault="00B66898" w:rsidP="003C6DFA">
      <w:pPr>
        <w:rPr>
          <w:rFonts w:ascii="Arial" w:hAnsi="Arial" w:cs="Arial"/>
          <w:sz w:val="20"/>
          <w:szCs w:val="20"/>
        </w:rPr>
      </w:pPr>
      <w:r w:rsidRPr="00A209A2">
        <w:rPr>
          <w:rFonts w:ascii="Arial" w:hAnsi="Arial" w:cs="Arial"/>
          <w:sz w:val="20"/>
          <w:szCs w:val="20"/>
        </w:rPr>
        <w:t xml:space="preserve"> </w:t>
      </w:r>
    </w:p>
    <w:p w:rsidR="00D87EFF" w:rsidRDefault="00B66898" w:rsidP="00D87EFF">
      <w:pPr>
        <w:rPr>
          <w:rFonts w:ascii="Arial" w:hAnsi="Arial" w:cs="Arial"/>
          <w:sz w:val="20"/>
          <w:szCs w:val="20"/>
        </w:rPr>
      </w:pPr>
      <w:r w:rsidRPr="00A209A2">
        <w:rPr>
          <w:rFonts w:ascii="Arial" w:hAnsi="Arial" w:cs="Arial"/>
          <w:sz w:val="20"/>
          <w:szCs w:val="20"/>
        </w:rPr>
        <w:t>T</w:t>
      </w:r>
      <w:r w:rsidR="00D87EFF" w:rsidRPr="00A209A2">
        <w:rPr>
          <w:rFonts w:ascii="Arial" w:hAnsi="Arial" w:cs="Arial"/>
          <w:sz w:val="20"/>
          <w:szCs w:val="20"/>
        </w:rPr>
        <w:t xml:space="preserve">he closest load shape chosen for this measure is the </w:t>
      </w:r>
      <w:proofErr w:type="spellStart"/>
      <w:r w:rsidR="00D87EFF" w:rsidRPr="00A209A2">
        <w:rPr>
          <w:rFonts w:ascii="Arial" w:hAnsi="Arial" w:cs="Arial"/>
          <w:sz w:val="20"/>
          <w:szCs w:val="20"/>
        </w:rPr>
        <w:t>DEER</w:t>
      </w:r>
      <w:proofErr w:type="gramStart"/>
      <w:r w:rsidR="00D87EFF" w:rsidRPr="00A209A2">
        <w:rPr>
          <w:rFonts w:ascii="Arial" w:hAnsi="Arial" w:cs="Arial"/>
          <w:sz w:val="20"/>
          <w:szCs w:val="20"/>
        </w:rPr>
        <w:t>:Indoor</w:t>
      </w:r>
      <w:proofErr w:type="gramEnd"/>
      <w:r w:rsidR="00D87EFF" w:rsidRPr="00A209A2">
        <w:rPr>
          <w:rFonts w:ascii="Arial" w:hAnsi="Arial" w:cs="Arial"/>
          <w:sz w:val="20"/>
          <w:szCs w:val="20"/>
        </w:rPr>
        <w:t>_</w:t>
      </w:r>
      <w:r w:rsidR="0079606B">
        <w:rPr>
          <w:rFonts w:ascii="Arial" w:hAnsi="Arial" w:cs="Arial"/>
          <w:sz w:val="20"/>
          <w:szCs w:val="20"/>
        </w:rPr>
        <w:t>Non-</w:t>
      </w:r>
      <w:r w:rsidR="00D87EFF" w:rsidRPr="00A209A2">
        <w:rPr>
          <w:rFonts w:ascii="Arial" w:hAnsi="Arial" w:cs="Arial"/>
          <w:sz w:val="20"/>
          <w:szCs w:val="20"/>
        </w:rPr>
        <w:t>CFL_Ltg</w:t>
      </w:r>
      <w:proofErr w:type="spellEnd"/>
      <w:r w:rsidR="00D87EFF" w:rsidRPr="00A209A2">
        <w:rPr>
          <w:rFonts w:ascii="Arial" w:hAnsi="Arial" w:cs="Arial"/>
          <w:sz w:val="20"/>
          <w:szCs w:val="20"/>
        </w:rPr>
        <w:t xml:space="preserve"> load shape.</w:t>
      </w:r>
      <w:r w:rsidR="00476B67" w:rsidRPr="00A209A2">
        <w:rPr>
          <w:rFonts w:ascii="Arial" w:hAnsi="Arial" w:cs="Arial"/>
          <w:sz w:val="20"/>
          <w:szCs w:val="20"/>
        </w:rPr>
        <w:t xml:space="preserve"> </w:t>
      </w:r>
      <w:r w:rsidR="00D87EFF" w:rsidRPr="00A209A2">
        <w:rPr>
          <w:rFonts w:ascii="Arial" w:hAnsi="Arial" w:cs="Arial"/>
          <w:sz w:val="20"/>
          <w:szCs w:val="20"/>
        </w:rPr>
        <w:t>See the KEMA report [31] for a more thorough discussion regarding the load shapes for this measure.</w:t>
      </w:r>
    </w:p>
    <w:p w:rsidR="0091058D" w:rsidRPr="0076572D" w:rsidRDefault="00C069A2" w:rsidP="006C1C28">
      <w:pPr>
        <w:pStyle w:val="Heading1"/>
        <w:keepLines/>
      </w:pPr>
      <w:bookmarkStart w:id="44" w:name="_Toc438457189"/>
      <w:proofErr w:type="gramStart"/>
      <w:r w:rsidRPr="0076572D">
        <w:t>Section 4</w:t>
      </w:r>
      <w:r w:rsidR="003129E8" w:rsidRPr="0076572D">
        <w:t>.</w:t>
      </w:r>
      <w:proofErr w:type="gramEnd"/>
      <w:r w:rsidRPr="0076572D">
        <w:t xml:space="preserve"> Base Case &amp; Measure Costs</w:t>
      </w:r>
      <w:bookmarkEnd w:id="44"/>
    </w:p>
    <w:p w:rsidR="0094555E" w:rsidRPr="00EC4B0D" w:rsidRDefault="00505D2B" w:rsidP="0094555E">
      <w:pPr>
        <w:rPr>
          <w:rFonts w:ascii="Arial" w:hAnsi="Arial" w:cs="Arial"/>
          <w:sz w:val="20"/>
          <w:szCs w:val="20"/>
        </w:rPr>
      </w:pPr>
      <w:r>
        <w:rPr>
          <w:rFonts w:ascii="Arial" w:hAnsi="Arial" w:cs="Arial"/>
          <w:sz w:val="20"/>
          <w:szCs w:val="20"/>
        </w:rPr>
        <w:t>DEER 201</w:t>
      </w:r>
      <w:r w:rsidR="00CA1504">
        <w:rPr>
          <w:rFonts w:ascii="Arial" w:hAnsi="Arial" w:cs="Arial"/>
          <w:sz w:val="20"/>
          <w:szCs w:val="20"/>
        </w:rPr>
        <w:t>6</w:t>
      </w:r>
      <w:r w:rsidR="0094555E" w:rsidRPr="00EC4B0D">
        <w:rPr>
          <w:rFonts w:ascii="Arial" w:hAnsi="Arial" w:cs="Arial"/>
          <w:sz w:val="20"/>
          <w:szCs w:val="20"/>
        </w:rPr>
        <w:t xml:space="preserve"> does not have measure cost data for LED </w:t>
      </w:r>
      <w:r w:rsidR="0095234F" w:rsidRPr="00EC4B0D">
        <w:rPr>
          <w:rFonts w:ascii="Arial" w:hAnsi="Arial" w:cs="Arial"/>
          <w:sz w:val="20"/>
          <w:szCs w:val="20"/>
        </w:rPr>
        <w:t>fixtures</w:t>
      </w:r>
      <w:r w:rsidR="0094555E" w:rsidRPr="00EC4B0D">
        <w:rPr>
          <w:rFonts w:ascii="Arial" w:hAnsi="Arial" w:cs="Arial"/>
          <w:sz w:val="20"/>
          <w:szCs w:val="20"/>
        </w:rPr>
        <w:t>.</w:t>
      </w:r>
    </w:p>
    <w:p w:rsidR="00D17F75" w:rsidRDefault="00C069A2" w:rsidP="00D17F75">
      <w:pPr>
        <w:pStyle w:val="Heading2"/>
      </w:pPr>
      <w:bookmarkStart w:id="45" w:name="_Toc438457190"/>
      <w:r w:rsidRPr="00DC6AFC">
        <w:t>4.1 Base Case Costs</w:t>
      </w:r>
      <w:bookmarkEnd w:id="45"/>
    </w:p>
    <w:p w:rsidR="00DD1C47" w:rsidRDefault="00D17F75" w:rsidP="0079606B">
      <w:pPr>
        <w:rPr>
          <w:rFonts w:ascii="Arial" w:hAnsi="Arial" w:cs="Arial"/>
          <w:sz w:val="20"/>
          <w:szCs w:val="20"/>
        </w:rPr>
      </w:pPr>
      <w:r w:rsidRPr="00EC4B0D">
        <w:rPr>
          <w:rFonts w:ascii="Arial" w:hAnsi="Arial" w:cs="Arial"/>
          <w:sz w:val="20"/>
          <w:szCs w:val="20"/>
        </w:rPr>
        <w:t>I</w:t>
      </w:r>
      <w:r w:rsidR="00BE06A4" w:rsidRPr="00EC4B0D">
        <w:rPr>
          <w:rFonts w:ascii="Arial" w:hAnsi="Arial" w:cs="Arial"/>
          <w:sz w:val="20"/>
          <w:szCs w:val="20"/>
        </w:rPr>
        <w:t xml:space="preserve">t is assumed the labor cost of replacing </w:t>
      </w:r>
      <w:r w:rsidR="00F1764E">
        <w:rPr>
          <w:rFonts w:ascii="Arial" w:hAnsi="Arial" w:cs="Arial"/>
          <w:sz w:val="20"/>
          <w:szCs w:val="20"/>
        </w:rPr>
        <w:t>the measure case</w:t>
      </w:r>
      <w:r w:rsidR="00BE06A4" w:rsidRPr="00EC4B0D">
        <w:rPr>
          <w:rFonts w:ascii="Arial" w:hAnsi="Arial" w:cs="Arial"/>
          <w:sz w:val="20"/>
          <w:szCs w:val="20"/>
        </w:rPr>
        <w:t xml:space="preserve"> </w:t>
      </w:r>
      <w:r w:rsidR="0079606B" w:rsidRPr="00EC4B0D">
        <w:rPr>
          <w:rFonts w:ascii="Arial" w:hAnsi="Arial" w:cs="Arial"/>
          <w:sz w:val="20"/>
          <w:szCs w:val="20"/>
        </w:rPr>
        <w:t xml:space="preserve">fixture would </w:t>
      </w:r>
      <w:r w:rsidR="00BE06A4" w:rsidRPr="00EC4B0D">
        <w:rPr>
          <w:rFonts w:ascii="Arial" w:hAnsi="Arial" w:cs="Arial"/>
          <w:sz w:val="20"/>
          <w:szCs w:val="20"/>
        </w:rPr>
        <w:t>be the same</w:t>
      </w:r>
      <w:r w:rsidR="00F1764E">
        <w:rPr>
          <w:rFonts w:ascii="Arial" w:hAnsi="Arial" w:cs="Arial"/>
          <w:sz w:val="20"/>
          <w:szCs w:val="20"/>
        </w:rPr>
        <w:t xml:space="preserve"> as the base case fixture</w:t>
      </w:r>
      <w:r w:rsidR="002E029C" w:rsidRPr="00EC4B0D">
        <w:rPr>
          <w:rFonts w:ascii="Arial" w:hAnsi="Arial" w:cs="Arial"/>
          <w:sz w:val="20"/>
          <w:szCs w:val="20"/>
        </w:rPr>
        <w:t>.</w:t>
      </w:r>
      <w:r w:rsidR="00BE06A4" w:rsidRPr="00EC4B0D">
        <w:rPr>
          <w:rFonts w:ascii="Arial" w:hAnsi="Arial" w:cs="Arial"/>
          <w:sz w:val="20"/>
          <w:szCs w:val="20"/>
        </w:rPr>
        <w:t xml:space="preserve"> </w:t>
      </w:r>
      <w:r w:rsidR="002E029C" w:rsidRPr="00EC4B0D">
        <w:rPr>
          <w:rFonts w:ascii="Arial" w:hAnsi="Arial" w:cs="Arial"/>
          <w:sz w:val="20"/>
          <w:szCs w:val="20"/>
        </w:rPr>
        <w:t>T</w:t>
      </w:r>
      <w:r w:rsidR="00BE06A4" w:rsidRPr="00EC4B0D">
        <w:rPr>
          <w:rFonts w:ascii="Arial" w:hAnsi="Arial" w:cs="Arial"/>
          <w:sz w:val="20"/>
          <w:szCs w:val="20"/>
        </w:rPr>
        <w:t>he base case</w:t>
      </w:r>
      <w:r w:rsidR="0079606B" w:rsidRPr="00EC4B0D">
        <w:rPr>
          <w:rFonts w:ascii="Arial" w:hAnsi="Arial" w:cs="Arial"/>
          <w:sz w:val="20"/>
          <w:szCs w:val="20"/>
        </w:rPr>
        <w:t xml:space="preserve"> and measure case</w:t>
      </w:r>
      <w:r w:rsidR="00BE06A4" w:rsidRPr="00EC4B0D">
        <w:rPr>
          <w:rFonts w:ascii="Arial" w:hAnsi="Arial" w:cs="Arial"/>
          <w:sz w:val="20"/>
          <w:szCs w:val="20"/>
        </w:rPr>
        <w:t xml:space="preserve"> cost</w:t>
      </w:r>
      <w:r w:rsidR="0079606B" w:rsidRPr="00EC4B0D">
        <w:rPr>
          <w:rFonts w:ascii="Arial" w:hAnsi="Arial" w:cs="Arial"/>
          <w:sz w:val="20"/>
          <w:szCs w:val="20"/>
        </w:rPr>
        <w:t>s</w:t>
      </w:r>
      <w:r w:rsidR="00BE06A4" w:rsidRPr="00EC4B0D">
        <w:rPr>
          <w:rFonts w:ascii="Arial" w:hAnsi="Arial" w:cs="Arial"/>
          <w:sz w:val="20"/>
          <w:szCs w:val="20"/>
        </w:rPr>
        <w:t xml:space="preserve"> </w:t>
      </w:r>
      <w:r w:rsidR="00F1764E">
        <w:rPr>
          <w:rFonts w:ascii="Arial" w:hAnsi="Arial" w:cs="Arial"/>
          <w:sz w:val="20"/>
          <w:szCs w:val="20"/>
        </w:rPr>
        <w:t>include just equipment costs</w:t>
      </w:r>
      <w:r w:rsidR="0079606B" w:rsidRPr="00EC4B0D">
        <w:rPr>
          <w:rFonts w:ascii="Arial" w:hAnsi="Arial" w:cs="Arial"/>
          <w:sz w:val="20"/>
          <w:szCs w:val="20"/>
        </w:rPr>
        <w:t xml:space="preserve">. </w:t>
      </w:r>
      <w:r w:rsidR="00321DB0" w:rsidRPr="00EC4B0D">
        <w:rPr>
          <w:rFonts w:ascii="Arial" w:hAnsi="Arial" w:cs="Arial"/>
          <w:sz w:val="20"/>
          <w:szCs w:val="20"/>
        </w:rPr>
        <w:t xml:space="preserve"> The base case costs are taken from </w:t>
      </w:r>
      <w:r w:rsidR="00C060C8">
        <w:rPr>
          <w:rFonts w:ascii="Arial" w:hAnsi="Arial" w:cs="Arial"/>
          <w:sz w:val="20"/>
          <w:szCs w:val="20"/>
        </w:rPr>
        <w:t>distributor catalogs and websites and confirmed with manufacturer representatives where possible</w:t>
      </w:r>
      <w:r w:rsidR="00F1764E">
        <w:rPr>
          <w:rFonts w:ascii="Arial" w:hAnsi="Arial" w:cs="Arial"/>
          <w:sz w:val="20"/>
          <w:szCs w:val="20"/>
        </w:rPr>
        <w:t>.</w:t>
      </w:r>
      <w:r w:rsidR="00DA6C19">
        <w:rPr>
          <w:rFonts w:ascii="Arial" w:hAnsi="Arial" w:cs="Arial"/>
          <w:sz w:val="20"/>
          <w:szCs w:val="20"/>
        </w:rPr>
        <w:t xml:space="preserve"> </w:t>
      </w:r>
    </w:p>
    <w:p w:rsidR="003E0160" w:rsidRPr="00EC4B0D" w:rsidRDefault="003E0160" w:rsidP="0079606B">
      <w:pPr>
        <w:rPr>
          <w:rFonts w:ascii="Arial" w:hAnsi="Arial" w:cs="Arial"/>
          <w:sz w:val="20"/>
          <w:szCs w:val="20"/>
        </w:rPr>
      </w:pPr>
    </w:p>
    <w:p w:rsidR="000D22E1" w:rsidRDefault="000D22E1" w:rsidP="000D22E1">
      <w:pPr>
        <w:pStyle w:val="Caption"/>
        <w:jc w:val="center"/>
      </w:pPr>
      <w:bookmarkStart w:id="46" w:name="_Toc438457214"/>
      <w:r>
        <w:t xml:space="preserve">Table </w:t>
      </w:r>
      <w:fldSimple w:instr=" SEQ Table \* ARABIC ">
        <w:r w:rsidR="00CA1504">
          <w:rPr>
            <w:noProof/>
          </w:rPr>
          <w:t>7</w:t>
        </w:r>
      </w:fldSimple>
      <w:r w:rsidR="00DD12F1">
        <w:rPr>
          <w:noProof/>
        </w:rPr>
        <w:t xml:space="preserve"> </w:t>
      </w:r>
      <w:r w:rsidR="00DD12F1">
        <w:t xml:space="preserve">– </w:t>
      </w:r>
      <w:r>
        <w:t xml:space="preserve">LED </w:t>
      </w:r>
      <w:r w:rsidR="00C27933">
        <w:t xml:space="preserve">Ambient Commercial </w:t>
      </w:r>
      <w:r w:rsidR="002E6C39">
        <w:t xml:space="preserve">Fixtures &amp; Retrofit Kits </w:t>
      </w:r>
      <w:r>
        <w:t>Base Case Cost Table</w:t>
      </w:r>
      <w:bookmarkEnd w:id="46"/>
    </w:p>
    <w:tbl>
      <w:tblPr>
        <w:tblW w:w="837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6"/>
        <w:gridCol w:w="2014"/>
      </w:tblGrid>
      <w:tr w:rsidR="0049475B" w:rsidRPr="0008537D" w:rsidTr="003E0160">
        <w:trPr>
          <w:trHeight w:val="163"/>
        </w:trPr>
        <w:tc>
          <w:tcPr>
            <w:tcW w:w="6356" w:type="dxa"/>
            <w:vAlign w:val="center"/>
          </w:tcPr>
          <w:p w:rsidR="0049475B" w:rsidRPr="00422D1A" w:rsidRDefault="0049475B" w:rsidP="00686886">
            <w:pPr>
              <w:jc w:val="center"/>
              <w:rPr>
                <w:rFonts w:ascii="Arial" w:hAnsi="Arial" w:cs="Arial"/>
                <w:b/>
                <w:sz w:val="20"/>
                <w:szCs w:val="20"/>
              </w:rPr>
            </w:pPr>
            <w:r w:rsidRPr="00422D1A">
              <w:rPr>
                <w:rFonts w:ascii="Arial" w:hAnsi="Arial" w:cs="Arial"/>
                <w:b/>
                <w:sz w:val="20"/>
                <w:szCs w:val="20"/>
              </w:rPr>
              <w:t>Measure Description</w:t>
            </w:r>
          </w:p>
        </w:tc>
        <w:tc>
          <w:tcPr>
            <w:tcW w:w="2014" w:type="dxa"/>
            <w:vAlign w:val="center"/>
          </w:tcPr>
          <w:p w:rsidR="0049475B" w:rsidRPr="00422D1A" w:rsidRDefault="0049475B" w:rsidP="00686886">
            <w:pPr>
              <w:jc w:val="center"/>
              <w:rPr>
                <w:rFonts w:ascii="Arial" w:hAnsi="Arial" w:cs="Arial"/>
                <w:b/>
                <w:sz w:val="20"/>
                <w:szCs w:val="20"/>
              </w:rPr>
            </w:pPr>
            <w:r w:rsidRPr="00422D1A">
              <w:rPr>
                <w:rFonts w:ascii="Arial" w:hAnsi="Arial" w:cs="Arial"/>
                <w:b/>
                <w:sz w:val="20"/>
                <w:szCs w:val="20"/>
              </w:rPr>
              <w:t xml:space="preserve">Base Case </w:t>
            </w:r>
            <w:r>
              <w:rPr>
                <w:rFonts w:ascii="Arial" w:hAnsi="Arial" w:cs="Arial"/>
                <w:b/>
                <w:sz w:val="20"/>
                <w:szCs w:val="20"/>
              </w:rPr>
              <w:t xml:space="preserve">Equipment </w:t>
            </w:r>
            <w:r w:rsidRPr="00422D1A">
              <w:rPr>
                <w:rFonts w:ascii="Arial" w:hAnsi="Arial" w:cs="Arial"/>
                <w:b/>
                <w:sz w:val="20"/>
                <w:szCs w:val="20"/>
              </w:rPr>
              <w:t>Cost</w:t>
            </w:r>
          </w:p>
        </w:tc>
      </w:tr>
      <w:tr w:rsidR="0049475B" w:rsidRPr="00C27933" w:rsidTr="003E0160">
        <w:trPr>
          <w:trHeight w:val="163"/>
        </w:trPr>
        <w:tc>
          <w:tcPr>
            <w:tcW w:w="6356" w:type="dxa"/>
            <w:vAlign w:val="center"/>
          </w:tcPr>
          <w:p w:rsidR="0049475B" w:rsidRPr="00C27933" w:rsidRDefault="00C060C8" w:rsidP="00C27933">
            <w:pPr>
              <w:jc w:val="center"/>
              <w:rPr>
                <w:rFonts w:ascii="Arial" w:eastAsiaTheme="minorHAnsi" w:hAnsi="Arial" w:cs="Arial"/>
                <w:color w:val="000000"/>
                <w:sz w:val="20"/>
                <w:szCs w:val="16"/>
              </w:rPr>
            </w:pPr>
            <w:r w:rsidRPr="00C27933">
              <w:rPr>
                <w:rFonts w:ascii="Arial" w:eastAsiaTheme="minorHAnsi" w:hAnsi="Arial" w:cs="Arial"/>
                <w:color w:val="000000"/>
                <w:sz w:val="18"/>
                <w:szCs w:val="16"/>
              </w:rPr>
              <w:t xml:space="preserve">All LED </w:t>
            </w:r>
            <w:r w:rsidR="00C27933" w:rsidRPr="00C27933">
              <w:rPr>
                <w:rFonts w:ascii="Arial" w:eastAsiaTheme="minorHAnsi" w:hAnsi="Arial" w:cs="Arial"/>
                <w:color w:val="000000"/>
                <w:sz w:val="18"/>
                <w:szCs w:val="16"/>
              </w:rPr>
              <w:t xml:space="preserve">Luminaires/Retrofit Kits Measures for Ambient Interior Commercial Spaces </w:t>
            </w:r>
          </w:p>
        </w:tc>
        <w:tc>
          <w:tcPr>
            <w:tcW w:w="2014" w:type="dxa"/>
            <w:vAlign w:val="center"/>
          </w:tcPr>
          <w:p w:rsidR="0049475B" w:rsidRPr="00C27933" w:rsidRDefault="0049475B" w:rsidP="000573E7">
            <w:pPr>
              <w:jc w:val="center"/>
              <w:rPr>
                <w:rFonts w:ascii="Arial" w:hAnsi="Arial" w:cs="Arial"/>
                <w:sz w:val="20"/>
                <w:szCs w:val="16"/>
              </w:rPr>
            </w:pPr>
            <w:r w:rsidRPr="00C27933">
              <w:rPr>
                <w:rFonts w:ascii="Arial" w:hAnsi="Arial" w:cs="Arial"/>
                <w:sz w:val="20"/>
                <w:szCs w:val="16"/>
              </w:rPr>
              <w:t xml:space="preserve"> $    </w:t>
            </w:r>
            <w:r w:rsidR="000573E7" w:rsidRPr="00C27933">
              <w:rPr>
                <w:rFonts w:ascii="Arial" w:hAnsi="Arial" w:cs="Arial"/>
                <w:sz w:val="20"/>
                <w:szCs w:val="16"/>
              </w:rPr>
              <w:t>15.10</w:t>
            </w:r>
            <w:r w:rsidRPr="00C27933">
              <w:rPr>
                <w:rFonts w:ascii="Arial" w:hAnsi="Arial" w:cs="Arial"/>
                <w:sz w:val="20"/>
                <w:szCs w:val="16"/>
              </w:rPr>
              <w:t xml:space="preserve"> </w:t>
            </w:r>
          </w:p>
        </w:tc>
      </w:tr>
    </w:tbl>
    <w:p w:rsidR="00E669B7" w:rsidRPr="00DD1C47" w:rsidRDefault="00E669B7" w:rsidP="0079606B">
      <w:pPr>
        <w:rPr>
          <w:rFonts w:ascii="Arial" w:hAnsi="Arial" w:cs="Arial"/>
          <w:sz w:val="20"/>
          <w:szCs w:val="20"/>
        </w:rPr>
      </w:pPr>
    </w:p>
    <w:p w:rsidR="005910C8" w:rsidRDefault="005910C8" w:rsidP="002D12AC">
      <w:pPr>
        <w:pStyle w:val="Heading2"/>
        <w:keepLines/>
      </w:pPr>
      <w:bookmarkStart w:id="47" w:name="_Toc438457191"/>
      <w:r>
        <w:t>4.2 Measure Costs</w:t>
      </w:r>
      <w:bookmarkEnd w:id="47"/>
    </w:p>
    <w:p w:rsidR="00DF0993" w:rsidRDefault="005910C8" w:rsidP="005910C8">
      <w:pPr>
        <w:rPr>
          <w:rFonts w:ascii="Arial" w:hAnsi="Arial" w:cs="Arial"/>
          <w:sz w:val="20"/>
          <w:szCs w:val="20"/>
        </w:rPr>
      </w:pPr>
      <w:r w:rsidRPr="00EC4B0D">
        <w:rPr>
          <w:rFonts w:ascii="Arial" w:hAnsi="Arial" w:cs="Arial"/>
          <w:sz w:val="20"/>
          <w:szCs w:val="20"/>
        </w:rPr>
        <w:t>The</w:t>
      </w:r>
      <w:r w:rsidR="00930D20" w:rsidRPr="00EC4B0D">
        <w:rPr>
          <w:rFonts w:ascii="Arial" w:hAnsi="Arial" w:cs="Arial"/>
          <w:sz w:val="20"/>
          <w:szCs w:val="20"/>
        </w:rPr>
        <w:t xml:space="preserve"> measure</w:t>
      </w:r>
      <w:r w:rsidRPr="00EC4B0D">
        <w:rPr>
          <w:rFonts w:ascii="Arial" w:hAnsi="Arial" w:cs="Arial"/>
          <w:sz w:val="20"/>
          <w:szCs w:val="20"/>
        </w:rPr>
        <w:t xml:space="preserve"> </w:t>
      </w:r>
      <w:r w:rsidR="00F1764E">
        <w:rPr>
          <w:rFonts w:ascii="Arial" w:hAnsi="Arial" w:cs="Arial"/>
          <w:sz w:val="20"/>
          <w:szCs w:val="20"/>
        </w:rPr>
        <w:t xml:space="preserve">equipment costs were developed </w:t>
      </w:r>
      <w:r w:rsidR="00C060C8" w:rsidRPr="00EC4B0D">
        <w:rPr>
          <w:rFonts w:ascii="Arial" w:hAnsi="Arial" w:cs="Arial"/>
          <w:sz w:val="20"/>
          <w:szCs w:val="20"/>
        </w:rPr>
        <w:t xml:space="preserve">from </w:t>
      </w:r>
      <w:r w:rsidR="00C060C8">
        <w:rPr>
          <w:rFonts w:ascii="Arial" w:hAnsi="Arial" w:cs="Arial"/>
          <w:sz w:val="20"/>
          <w:szCs w:val="20"/>
        </w:rPr>
        <w:t>California distributor catalogs and websites and confirmed with manufacturer representatives where possible.</w:t>
      </w:r>
      <w:r w:rsidRPr="00EC4B0D">
        <w:rPr>
          <w:rFonts w:ascii="Arial" w:hAnsi="Arial" w:cs="Arial"/>
          <w:sz w:val="20"/>
          <w:szCs w:val="20"/>
        </w:rPr>
        <w:t xml:space="preserve"> </w:t>
      </w:r>
    </w:p>
    <w:p w:rsidR="002F2115" w:rsidRDefault="002F2115" w:rsidP="005910C8">
      <w:pPr>
        <w:rPr>
          <w:rFonts w:ascii="Arial" w:hAnsi="Arial" w:cs="Arial"/>
          <w:sz w:val="20"/>
          <w:szCs w:val="20"/>
        </w:rPr>
      </w:pPr>
    </w:p>
    <w:p w:rsidR="00DF0993" w:rsidRDefault="00DF0993" w:rsidP="00DF0993">
      <w:pPr>
        <w:pStyle w:val="Caption"/>
        <w:jc w:val="center"/>
      </w:pPr>
      <w:bookmarkStart w:id="48" w:name="_Toc438457215"/>
      <w:r>
        <w:t xml:space="preserve">Table </w:t>
      </w:r>
      <w:fldSimple w:instr=" SEQ Table \* ARABIC ">
        <w:r w:rsidR="00CA1504">
          <w:rPr>
            <w:noProof/>
          </w:rPr>
          <w:t>8</w:t>
        </w:r>
      </w:fldSimple>
      <w:r w:rsidR="00DD12F1">
        <w:rPr>
          <w:noProof/>
        </w:rPr>
        <w:t xml:space="preserve"> </w:t>
      </w:r>
      <w:r>
        <w:t>-</w:t>
      </w:r>
      <w:r w:rsidR="00DD12F1">
        <w:t xml:space="preserve"> </w:t>
      </w:r>
      <w:r w:rsidR="00E669B7">
        <w:t xml:space="preserve">LED </w:t>
      </w:r>
      <w:r w:rsidR="00C27933">
        <w:t>Ambient Commercial</w:t>
      </w:r>
      <w:r w:rsidR="002E6C39">
        <w:t xml:space="preserve"> Fixtures &amp; Retrofit Kits </w:t>
      </w:r>
      <w:r w:rsidR="000D22E1">
        <w:t xml:space="preserve">Measure </w:t>
      </w:r>
      <w:r>
        <w:t>Cost Table</w:t>
      </w:r>
      <w:bookmarkEnd w:id="48"/>
    </w:p>
    <w:tbl>
      <w:tblPr>
        <w:tblW w:w="837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4"/>
        <w:gridCol w:w="1636"/>
      </w:tblGrid>
      <w:tr w:rsidR="0049475B" w:rsidRPr="0008537D" w:rsidTr="003E0160">
        <w:trPr>
          <w:trHeight w:val="181"/>
        </w:trPr>
        <w:tc>
          <w:tcPr>
            <w:tcW w:w="6734" w:type="dxa"/>
            <w:vAlign w:val="center"/>
          </w:tcPr>
          <w:p w:rsidR="0049475B" w:rsidRPr="00422D1A" w:rsidRDefault="0049475B" w:rsidP="00686886">
            <w:pPr>
              <w:jc w:val="center"/>
              <w:rPr>
                <w:rFonts w:ascii="Arial" w:hAnsi="Arial" w:cs="Arial"/>
                <w:b/>
                <w:sz w:val="20"/>
                <w:szCs w:val="20"/>
              </w:rPr>
            </w:pPr>
            <w:r w:rsidRPr="00422D1A">
              <w:rPr>
                <w:rFonts w:ascii="Arial" w:hAnsi="Arial" w:cs="Arial"/>
                <w:b/>
                <w:sz w:val="20"/>
                <w:szCs w:val="20"/>
              </w:rPr>
              <w:t xml:space="preserve">Measure </w:t>
            </w:r>
            <w:r>
              <w:rPr>
                <w:rFonts w:ascii="Arial" w:hAnsi="Arial" w:cs="Arial"/>
                <w:b/>
                <w:sz w:val="20"/>
                <w:szCs w:val="20"/>
              </w:rPr>
              <w:t>Description</w:t>
            </w:r>
          </w:p>
        </w:tc>
        <w:tc>
          <w:tcPr>
            <w:tcW w:w="1636" w:type="dxa"/>
            <w:vAlign w:val="center"/>
          </w:tcPr>
          <w:p w:rsidR="0049475B" w:rsidRPr="00422D1A" w:rsidRDefault="0049475B" w:rsidP="00686886">
            <w:pPr>
              <w:jc w:val="center"/>
              <w:rPr>
                <w:rFonts w:ascii="Arial" w:hAnsi="Arial" w:cs="Arial"/>
                <w:b/>
                <w:sz w:val="20"/>
                <w:szCs w:val="20"/>
              </w:rPr>
            </w:pPr>
            <w:r>
              <w:rPr>
                <w:rFonts w:ascii="Arial" w:hAnsi="Arial" w:cs="Arial"/>
                <w:b/>
                <w:sz w:val="20"/>
                <w:szCs w:val="20"/>
              </w:rPr>
              <w:t>Measure Equipment Cost</w:t>
            </w:r>
          </w:p>
        </w:tc>
      </w:tr>
      <w:tr w:rsidR="00661F2B" w:rsidRPr="00F027AA" w:rsidTr="003E0160">
        <w:trPr>
          <w:trHeight w:val="181"/>
        </w:trPr>
        <w:tc>
          <w:tcPr>
            <w:tcW w:w="6734" w:type="dxa"/>
            <w:vAlign w:val="center"/>
          </w:tcPr>
          <w:p w:rsidR="00661F2B" w:rsidRPr="00661F2B" w:rsidRDefault="00661F2B">
            <w:pPr>
              <w:rPr>
                <w:rFonts w:ascii="Arial" w:hAnsi="Arial" w:cs="Arial"/>
                <w:color w:val="000000"/>
                <w:sz w:val="20"/>
                <w:szCs w:val="22"/>
              </w:rPr>
            </w:pPr>
            <w:r w:rsidRPr="00661F2B">
              <w:rPr>
                <w:rFonts w:ascii="Arial" w:hAnsi="Arial" w:cs="Arial"/>
                <w:color w:val="000000"/>
                <w:sz w:val="20"/>
                <w:szCs w:val="22"/>
              </w:rPr>
              <w:t>LED Luminaires/Retrofit Kits rated ≥85 and &lt;95 LPW, Ambient Interior Commercial Spaces</w:t>
            </w:r>
          </w:p>
        </w:tc>
        <w:tc>
          <w:tcPr>
            <w:tcW w:w="1636" w:type="dxa"/>
            <w:vAlign w:val="center"/>
          </w:tcPr>
          <w:p w:rsidR="00661F2B" w:rsidRPr="00661F2B" w:rsidRDefault="00661F2B" w:rsidP="00661F2B">
            <w:pPr>
              <w:jc w:val="center"/>
              <w:rPr>
                <w:rFonts w:ascii="Arial" w:hAnsi="Arial" w:cs="Arial"/>
                <w:sz w:val="20"/>
                <w:szCs w:val="22"/>
              </w:rPr>
            </w:pPr>
            <w:r w:rsidRPr="00661F2B">
              <w:rPr>
                <w:rFonts w:ascii="Arial" w:hAnsi="Arial" w:cs="Arial"/>
                <w:sz w:val="20"/>
                <w:szCs w:val="22"/>
              </w:rPr>
              <w:t>$41.46</w:t>
            </w:r>
          </w:p>
        </w:tc>
      </w:tr>
      <w:tr w:rsidR="00661F2B" w:rsidRPr="00F027AA" w:rsidTr="003E0160">
        <w:trPr>
          <w:trHeight w:val="181"/>
        </w:trPr>
        <w:tc>
          <w:tcPr>
            <w:tcW w:w="6734" w:type="dxa"/>
            <w:vAlign w:val="center"/>
          </w:tcPr>
          <w:p w:rsidR="00661F2B" w:rsidRPr="00661F2B" w:rsidRDefault="00661F2B">
            <w:pPr>
              <w:rPr>
                <w:rFonts w:ascii="Arial" w:hAnsi="Arial" w:cs="Arial"/>
                <w:color w:val="000000"/>
                <w:sz w:val="20"/>
                <w:szCs w:val="22"/>
              </w:rPr>
            </w:pPr>
            <w:r w:rsidRPr="00661F2B">
              <w:rPr>
                <w:rFonts w:ascii="Arial" w:hAnsi="Arial" w:cs="Arial"/>
                <w:color w:val="000000"/>
                <w:sz w:val="20"/>
                <w:szCs w:val="22"/>
              </w:rPr>
              <w:t>LED Luminaires/Retrofit Kits rated ≥95 and &lt;110 LPW, Ambient Interior Commercial Spaces</w:t>
            </w:r>
          </w:p>
        </w:tc>
        <w:tc>
          <w:tcPr>
            <w:tcW w:w="1636" w:type="dxa"/>
            <w:vAlign w:val="center"/>
          </w:tcPr>
          <w:p w:rsidR="00661F2B" w:rsidRPr="00661F2B" w:rsidRDefault="00661F2B" w:rsidP="00661F2B">
            <w:pPr>
              <w:jc w:val="center"/>
              <w:rPr>
                <w:rFonts w:ascii="Arial" w:hAnsi="Arial" w:cs="Arial"/>
                <w:sz w:val="20"/>
                <w:szCs w:val="22"/>
              </w:rPr>
            </w:pPr>
            <w:r w:rsidRPr="00661F2B">
              <w:rPr>
                <w:rFonts w:ascii="Arial" w:hAnsi="Arial" w:cs="Arial"/>
                <w:sz w:val="20"/>
                <w:szCs w:val="22"/>
              </w:rPr>
              <w:t>$41.72</w:t>
            </w:r>
          </w:p>
        </w:tc>
      </w:tr>
      <w:tr w:rsidR="00661F2B" w:rsidRPr="00F027AA" w:rsidTr="003E0160">
        <w:trPr>
          <w:trHeight w:val="181"/>
        </w:trPr>
        <w:tc>
          <w:tcPr>
            <w:tcW w:w="6734" w:type="dxa"/>
            <w:vAlign w:val="center"/>
          </w:tcPr>
          <w:p w:rsidR="00661F2B" w:rsidRPr="00661F2B" w:rsidRDefault="00661F2B">
            <w:pPr>
              <w:rPr>
                <w:rFonts w:ascii="Arial" w:hAnsi="Arial" w:cs="Arial"/>
                <w:color w:val="000000"/>
                <w:sz w:val="20"/>
                <w:szCs w:val="22"/>
              </w:rPr>
            </w:pPr>
            <w:r w:rsidRPr="00661F2B">
              <w:rPr>
                <w:rFonts w:ascii="Arial" w:hAnsi="Arial" w:cs="Arial"/>
                <w:color w:val="000000"/>
                <w:sz w:val="20"/>
                <w:szCs w:val="22"/>
              </w:rPr>
              <w:t>LED Luminaires/Retrofit Kits rated ≥110 and &lt;125 LPW, Ambient Interior Commercial Spaces</w:t>
            </w:r>
          </w:p>
        </w:tc>
        <w:tc>
          <w:tcPr>
            <w:tcW w:w="1636" w:type="dxa"/>
            <w:vAlign w:val="center"/>
          </w:tcPr>
          <w:p w:rsidR="00661F2B" w:rsidRPr="00661F2B" w:rsidRDefault="00661F2B" w:rsidP="00661F2B">
            <w:pPr>
              <w:jc w:val="center"/>
              <w:rPr>
                <w:rFonts w:ascii="Arial" w:hAnsi="Arial" w:cs="Arial"/>
                <w:sz w:val="20"/>
                <w:szCs w:val="22"/>
              </w:rPr>
            </w:pPr>
            <w:r w:rsidRPr="00661F2B">
              <w:rPr>
                <w:rFonts w:ascii="Arial" w:hAnsi="Arial" w:cs="Arial"/>
                <w:sz w:val="20"/>
                <w:szCs w:val="22"/>
              </w:rPr>
              <w:t>$65.40</w:t>
            </w:r>
          </w:p>
        </w:tc>
      </w:tr>
      <w:tr w:rsidR="00661F2B" w:rsidRPr="00F027AA" w:rsidTr="003E0160">
        <w:trPr>
          <w:trHeight w:val="181"/>
        </w:trPr>
        <w:tc>
          <w:tcPr>
            <w:tcW w:w="6734" w:type="dxa"/>
            <w:vAlign w:val="center"/>
          </w:tcPr>
          <w:p w:rsidR="00661F2B" w:rsidRPr="00661F2B" w:rsidRDefault="00661F2B">
            <w:pPr>
              <w:rPr>
                <w:rFonts w:ascii="Arial" w:hAnsi="Arial" w:cs="Arial"/>
                <w:color w:val="000000"/>
                <w:sz w:val="20"/>
                <w:szCs w:val="22"/>
              </w:rPr>
            </w:pPr>
            <w:r w:rsidRPr="00661F2B">
              <w:rPr>
                <w:rFonts w:ascii="Arial" w:hAnsi="Arial" w:cs="Arial"/>
                <w:color w:val="000000"/>
                <w:sz w:val="20"/>
                <w:szCs w:val="22"/>
              </w:rPr>
              <w:t>LED Luminaires/Retrofit Kits rated ≥125 LPW, Ambient Interior Commercial Spaces</w:t>
            </w:r>
          </w:p>
        </w:tc>
        <w:tc>
          <w:tcPr>
            <w:tcW w:w="1636" w:type="dxa"/>
            <w:vAlign w:val="center"/>
          </w:tcPr>
          <w:p w:rsidR="00661F2B" w:rsidRPr="00661F2B" w:rsidRDefault="00661F2B" w:rsidP="00661F2B">
            <w:pPr>
              <w:jc w:val="center"/>
              <w:rPr>
                <w:rFonts w:ascii="Arial" w:hAnsi="Arial" w:cs="Arial"/>
                <w:sz w:val="20"/>
                <w:szCs w:val="22"/>
              </w:rPr>
            </w:pPr>
            <w:r w:rsidRPr="00661F2B">
              <w:rPr>
                <w:rFonts w:ascii="Arial" w:hAnsi="Arial" w:cs="Arial"/>
                <w:sz w:val="20"/>
                <w:szCs w:val="22"/>
              </w:rPr>
              <w:t>$67.10</w:t>
            </w:r>
          </w:p>
        </w:tc>
      </w:tr>
    </w:tbl>
    <w:p w:rsidR="0030550A" w:rsidRDefault="0030550A" w:rsidP="002D12AC">
      <w:pPr>
        <w:pStyle w:val="Heading2"/>
        <w:keepLines/>
      </w:pPr>
      <w:bookmarkStart w:id="49" w:name="_Toc438457192"/>
      <w:r>
        <w:t>4.3 Incremental &amp; Full Measure Costs</w:t>
      </w:r>
      <w:bookmarkEnd w:id="49"/>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034D0" w:rsidRPr="00746B00" w:rsidTr="005C31D5">
        <w:trPr>
          <w:trHeight w:val="255"/>
        </w:trPr>
        <w:tc>
          <w:tcPr>
            <w:tcW w:w="1305" w:type="dxa"/>
            <w:shd w:val="clear" w:color="auto" w:fill="0D0D0D"/>
            <w:noWrap/>
            <w:vAlign w:val="bottom"/>
          </w:tcPr>
          <w:p w:rsidR="003034D0" w:rsidRPr="002F2115" w:rsidRDefault="003034D0" w:rsidP="005C31D5">
            <w:pPr>
              <w:jc w:val="center"/>
              <w:rPr>
                <w:rFonts w:ascii="Arial" w:hAnsi="Arial" w:cs="Arial"/>
                <w:b/>
                <w:sz w:val="16"/>
                <w:szCs w:val="16"/>
              </w:rPr>
            </w:pPr>
            <w:r w:rsidRPr="002F2115">
              <w:rPr>
                <w:rFonts w:ascii="Arial" w:hAnsi="Arial" w:cs="Arial"/>
                <w:b/>
                <w:sz w:val="16"/>
                <w:szCs w:val="16"/>
              </w:rPr>
              <w:t>Measure Application Type</w:t>
            </w:r>
          </w:p>
        </w:tc>
        <w:tc>
          <w:tcPr>
            <w:tcW w:w="3213" w:type="dxa"/>
            <w:shd w:val="clear" w:color="auto" w:fill="0D0D0D"/>
            <w:vAlign w:val="bottom"/>
          </w:tcPr>
          <w:p w:rsidR="003034D0" w:rsidRPr="002F2115" w:rsidRDefault="003034D0" w:rsidP="005C31D5">
            <w:pPr>
              <w:jc w:val="center"/>
              <w:rPr>
                <w:rFonts w:ascii="Arial" w:hAnsi="Arial" w:cs="Arial"/>
                <w:b/>
                <w:sz w:val="16"/>
                <w:szCs w:val="16"/>
              </w:rPr>
            </w:pPr>
            <w:r w:rsidRPr="002F2115">
              <w:rPr>
                <w:rFonts w:ascii="Arial" w:hAnsi="Arial" w:cs="Arial"/>
                <w:b/>
                <w:sz w:val="16"/>
                <w:szCs w:val="16"/>
              </w:rPr>
              <w:t>Gross Measure Cost</w:t>
            </w:r>
          </w:p>
          <w:p w:rsidR="003034D0" w:rsidRPr="002F2115" w:rsidRDefault="003034D0" w:rsidP="005C31D5">
            <w:pPr>
              <w:jc w:val="center"/>
              <w:rPr>
                <w:rFonts w:ascii="Arial" w:hAnsi="Arial" w:cs="Arial"/>
                <w:b/>
                <w:sz w:val="16"/>
                <w:szCs w:val="16"/>
              </w:rPr>
            </w:pPr>
            <w:r w:rsidRPr="002F2115">
              <w:rPr>
                <w:rFonts w:ascii="Arial" w:hAnsi="Arial" w:cs="Arial"/>
                <w:b/>
                <w:sz w:val="16"/>
                <w:szCs w:val="16"/>
              </w:rPr>
              <w:t>(RUL Period/First Baseline)</w:t>
            </w:r>
          </w:p>
        </w:tc>
        <w:tc>
          <w:tcPr>
            <w:tcW w:w="2070" w:type="dxa"/>
            <w:shd w:val="clear" w:color="auto" w:fill="0D0D0D"/>
            <w:noWrap/>
            <w:vAlign w:val="bottom"/>
          </w:tcPr>
          <w:p w:rsidR="003034D0" w:rsidRPr="002F2115" w:rsidRDefault="003034D0" w:rsidP="005C31D5">
            <w:pPr>
              <w:jc w:val="center"/>
              <w:rPr>
                <w:rFonts w:ascii="Arial" w:hAnsi="Arial" w:cs="Arial"/>
                <w:b/>
                <w:sz w:val="16"/>
                <w:szCs w:val="16"/>
              </w:rPr>
            </w:pPr>
            <w:r w:rsidRPr="002F2115">
              <w:rPr>
                <w:rFonts w:ascii="Arial" w:hAnsi="Arial" w:cs="Arial"/>
                <w:b/>
                <w:sz w:val="16"/>
                <w:szCs w:val="16"/>
              </w:rPr>
              <w:t>Gross Measure Cost</w:t>
            </w:r>
          </w:p>
          <w:p w:rsidR="003034D0" w:rsidRPr="002F2115" w:rsidRDefault="003034D0" w:rsidP="005C31D5">
            <w:pPr>
              <w:jc w:val="center"/>
              <w:rPr>
                <w:rFonts w:ascii="Arial" w:hAnsi="Arial" w:cs="Arial"/>
                <w:b/>
                <w:sz w:val="16"/>
                <w:szCs w:val="16"/>
              </w:rPr>
            </w:pPr>
            <w:r w:rsidRPr="002F2115">
              <w:rPr>
                <w:rFonts w:ascii="Arial" w:hAnsi="Arial" w:cs="Arial"/>
                <w:b/>
                <w:sz w:val="16"/>
                <w:szCs w:val="16"/>
              </w:rPr>
              <w:t>(EUL-RUL Period/ Second Baseline)</w:t>
            </w:r>
          </w:p>
        </w:tc>
        <w:tc>
          <w:tcPr>
            <w:tcW w:w="2970" w:type="dxa"/>
            <w:shd w:val="clear" w:color="auto" w:fill="0D0D0D"/>
            <w:noWrap/>
            <w:vAlign w:val="bottom"/>
          </w:tcPr>
          <w:p w:rsidR="003034D0" w:rsidRPr="002F2115" w:rsidRDefault="003034D0" w:rsidP="005C31D5">
            <w:pPr>
              <w:jc w:val="center"/>
              <w:rPr>
                <w:rFonts w:ascii="Arial" w:hAnsi="Arial" w:cs="Arial"/>
                <w:b/>
                <w:sz w:val="16"/>
                <w:szCs w:val="16"/>
              </w:rPr>
            </w:pPr>
            <w:r w:rsidRPr="002F2115">
              <w:rPr>
                <w:rFonts w:ascii="Arial" w:hAnsi="Arial" w:cs="Arial"/>
                <w:b/>
                <w:sz w:val="16"/>
                <w:szCs w:val="16"/>
              </w:rPr>
              <w:t>Incremental Measure Cost</w:t>
            </w:r>
          </w:p>
        </w:tc>
      </w:tr>
      <w:tr w:rsidR="003034D0" w:rsidRPr="00746B00" w:rsidTr="005C31D5">
        <w:trPr>
          <w:trHeight w:val="255"/>
        </w:trPr>
        <w:tc>
          <w:tcPr>
            <w:tcW w:w="1305" w:type="dxa"/>
            <w:shd w:val="pct20"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ER</w:t>
            </w:r>
          </w:p>
        </w:tc>
        <w:tc>
          <w:tcPr>
            <w:tcW w:w="3213" w:type="dxa"/>
            <w:shd w:val="pct20" w:color="000000" w:fill="FFFFF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+Measure Labor Cost</w:t>
            </w:r>
          </w:p>
        </w:tc>
        <w:tc>
          <w:tcPr>
            <w:tcW w:w="2070" w:type="dxa"/>
            <w:shd w:val="pct20"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(-1)x(Base Equipment Cost</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Labor Cost)</w:t>
            </w:r>
          </w:p>
        </w:tc>
        <w:tc>
          <w:tcPr>
            <w:tcW w:w="2970" w:type="dxa"/>
            <w:shd w:val="pct20"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r w:rsidR="003034D0" w:rsidRPr="00746B00" w:rsidTr="005C31D5">
        <w:trPr>
          <w:trHeight w:val="170"/>
        </w:trPr>
        <w:tc>
          <w:tcPr>
            <w:tcW w:w="1305" w:type="dxa"/>
            <w:shd w:val="pct5"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ROB</w:t>
            </w:r>
          </w:p>
        </w:tc>
        <w:tc>
          <w:tcPr>
            <w:tcW w:w="3213" w:type="dxa"/>
            <w:shd w:val="pct5" w:color="000000" w:fill="FFFFF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c>
          <w:tcPr>
            <w:tcW w:w="2070" w:type="dxa"/>
            <w:shd w:val="pct5"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N/A</w:t>
            </w:r>
          </w:p>
        </w:tc>
        <w:tc>
          <w:tcPr>
            <w:tcW w:w="2970" w:type="dxa"/>
            <w:shd w:val="pct5" w:color="000000" w:fill="FFFFF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r w:rsidR="003034D0" w:rsidRPr="00746B00" w:rsidTr="005C31D5">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bl>
    <w:p w:rsidR="003034D0" w:rsidRDefault="00B95781" w:rsidP="00B95781">
      <w:pPr>
        <w:pStyle w:val="Heading2"/>
      </w:pPr>
      <w:bookmarkStart w:id="50" w:name="_Toc383697822"/>
      <w:bookmarkStart w:id="51" w:name="_Toc438457193"/>
      <w:r w:rsidRPr="00746B00">
        <w:lastRenderedPageBreak/>
        <w:t>4.3.1 Full Measure Cost</w:t>
      </w:r>
      <w:bookmarkEnd w:id="50"/>
      <w:bookmarkEnd w:id="51"/>
    </w:p>
    <w:p w:rsidR="00970C80" w:rsidRPr="005B1DEA" w:rsidRDefault="00970C80" w:rsidP="00970C80">
      <w:pPr>
        <w:rPr>
          <w:rFonts w:ascii="Arial" w:hAnsi="Arial" w:cs="Arial"/>
          <w:sz w:val="20"/>
          <w:szCs w:val="20"/>
        </w:rPr>
      </w:pPr>
      <w:r>
        <w:rPr>
          <w:rFonts w:ascii="Arial" w:hAnsi="Arial" w:cs="Arial"/>
          <w:sz w:val="20"/>
          <w:szCs w:val="20"/>
        </w:rPr>
        <w:t xml:space="preserve">The Full </w:t>
      </w:r>
      <w:r w:rsidRPr="005B1DEA">
        <w:rPr>
          <w:rFonts w:ascii="Arial" w:hAnsi="Arial" w:cs="Arial"/>
          <w:sz w:val="20"/>
          <w:szCs w:val="20"/>
        </w:rPr>
        <w:t>Measure Cost is applicable to Direct Install programs.</w:t>
      </w:r>
      <w:r w:rsidR="003D1EB1">
        <w:rPr>
          <w:rFonts w:ascii="Arial" w:hAnsi="Arial" w:cs="Arial"/>
          <w:sz w:val="20"/>
          <w:szCs w:val="20"/>
        </w:rPr>
        <w:t xml:space="preserve"> There is an effort on updating systems to collect actual costs from implementers, till then the following costs will be used for direct install.</w:t>
      </w:r>
    </w:p>
    <w:p w:rsidR="00970C80" w:rsidRDefault="00970C80" w:rsidP="00970C80">
      <w:pPr>
        <w:rPr>
          <w:rFonts w:ascii="Arial" w:hAnsi="Arial" w:cs="Arial"/>
          <w:sz w:val="20"/>
          <w:szCs w:val="20"/>
        </w:rPr>
      </w:pPr>
      <w:r>
        <w:rPr>
          <w:rFonts w:ascii="Arial" w:hAnsi="Arial" w:cs="Arial"/>
          <w:sz w:val="20"/>
          <w:szCs w:val="20"/>
        </w:rPr>
        <w:t>FMC</w:t>
      </w:r>
      <w:r w:rsidRPr="005B1DEA">
        <w:rPr>
          <w:rFonts w:ascii="Arial" w:hAnsi="Arial" w:cs="Arial"/>
          <w:sz w:val="20"/>
          <w:szCs w:val="20"/>
        </w:rPr>
        <w:t xml:space="preserve"> = Measure Equipment Cost + Measure Labor Cost</w:t>
      </w:r>
    </w:p>
    <w:p w:rsidR="00CE0DF1" w:rsidRDefault="00CE0DF1" w:rsidP="00970C80">
      <w:pPr>
        <w:rPr>
          <w:rFonts w:ascii="Arial" w:hAnsi="Arial" w:cs="Arial"/>
          <w:sz w:val="20"/>
          <w:szCs w:val="20"/>
        </w:rPr>
      </w:pPr>
    </w:p>
    <w:p w:rsidR="00CE0DF1" w:rsidRDefault="00CE0DF1" w:rsidP="002E6C39">
      <w:pPr>
        <w:pStyle w:val="Caption"/>
        <w:jc w:val="center"/>
        <w:rPr>
          <w:rFonts w:ascii="Arial" w:hAnsi="Arial" w:cs="Arial"/>
        </w:rPr>
      </w:pPr>
      <w:bookmarkStart w:id="52" w:name="_Toc438457216"/>
      <w:r>
        <w:t xml:space="preserve">Table </w:t>
      </w:r>
      <w:fldSimple w:instr=" SEQ Table \* ARABIC ">
        <w:r w:rsidR="00CA1504">
          <w:rPr>
            <w:noProof/>
          </w:rPr>
          <w:t>9</w:t>
        </w:r>
      </w:fldSimple>
      <w:r>
        <w:rPr>
          <w:noProof/>
        </w:rPr>
        <w:t xml:space="preserve"> </w:t>
      </w:r>
      <w:r>
        <w:t xml:space="preserve">- LED </w:t>
      </w:r>
      <w:r w:rsidR="00C27933">
        <w:t>Ambient Commercial</w:t>
      </w:r>
      <w:r w:rsidR="002E6C39">
        <w:t xml:space="preserve"> Fixtures &amp; Retrofit Kits Full Measure</w:t>
      </w:r>
      <w:r>
        <w:t xml:space="preserve"> </w:t>
      </w:r>
      <w:r w:rsidR="002E6C39">
        <w:t>C</w:t>
      </w:r>
      <w:r>
        <w:t>ost</w:t>
      </w:r>
      <w:bookmarkEnd w:id="52"/>
    </w:p>
    <w:tbl>
      <w:tblPr>
        <w:tblW w:w="8657" w:type="dxa"/>
        <w:jc w:val="center"/>
        <w:tblInd w:w="-1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7"/>
        <w:gridCol w:w="1530"/>
        <w:gridCol w:w="1170"/>
        <w:gridCol w:w="1080"/>
      </w:tblGrid>
      <w:tr w:rsidR="00CE0DF1" w:rsidRPr="0008537D" w:rsidTr="003E0160">
        <w:trPr>
          <w:trHeight w:val="809"/>
          <w:jc w:val="center"/>
        </w:trPr>
        <w:tc>
          <w:tcPr>
            <w:tcW w:w="4877" w:type="dxa"/>
            <w:vAlign w:val="center"/>
          </w:tcPr>
          <w:p w:rsidR="00CE0DF1" w:rsidRPr="00422D1A" w:rsidRDefault="00CE0DF1" w:rsidP="005C31D5">
            <w:pPr>
              <w:jc w:val="center"/>
              <w:rPr>
                <w:rFonts w:ascii="Arial" w:hAnsi="Arial" w:cs="Arial"/>
                <w:b/>
                <w:sz w:val="20"/>
                <w:szCs w:val="20"/>
              </w:rPr>
            </w:pPr>
            <w:r w:rsidRPr="00422D1A">
              <w:rPr>
                <w:rFonts w:ascii="Arial" w:hAnsi="Arial" w:cs="Arial"/>
                <w:b/>
                <w:sz w:val="20"/>
                <w:szCs w:val="20"/>
              </w:rPr>
              <w:t xml:space="preserve">Measure </w:t>
            </w:r>
            <w:r>
              <w:rPr>
                <w:rFonts w:ascii="Arial" w:hAnsi="Arial" w:cs="Arial"/>
                <w:b/>
                <w:sz w:val="20"/>
                <w:szCs w:val="20"/>
              </w:rPr>
              <w:t>Description</w:t>
            </w:r>
          </w:p>
        </w:tc>
        <w:tc>
          <w:tcPr>
            <w:tcW w:w="1530" w:type="dxa"/>
            <w:vAlign w:val="center"/>
          </w:tcPr>
          <w:p w:rsidR="00CE0DF1" w:rsidRPr="00422D1A" w:rsidRDefault="00CE0DF1" w:rsidP="005C31D5">
            <w:pPr>
              <w:jc w:val="center"/>
              <w:rPr>
                <w:rFonts w:ascii="Arial" w:hAnsi="Arial" w:cs="Arial"/>
                <w:b/>
                <w:sz w:val="20"/>
                <w:szCs w:val="20"/>
              </w:rPr>
            </w:pPr>
            <w:r>
              <w:rPr>
                <w:rFonts w:ascii="Arial" w:hAnsi="Arial" w:cs="Arial"/>
                <w:b/>
                <w:sz w:val="20"/>
                <w:szCs w:val="20"/>
              </w:rPr>
              <w:t>Measure Equipment Cost</w:t>
            </w:r>
          </w:p>
        </w:tc>
        <w:tc>
          <w:tcPr>
            <w:tcW w:w="1170" w:type="dxa"/>
            <w:vAlign w:val="center"/>
          </w:tcPr>
          <w:p w:rsidR="00CE0DF1" w:rsidRDefault="00CE0DF1" w:rsidP="00722BFB">
            <w:pPr>
              <w:jc w:val="center"/>
              <w:rPr>
                <w:rFonts w:ascii="Arial" w:hAnsi="Arial" w:cs="Arial"/>
                <w:b/>
                <w:sz w:val="20"/>
                <w:szCs w:val="20"/>
              </w:rPr>
            </w:pPr>
            <w:r>
              <w:rPr>
                <w:rFonts w:ascii="Arial" w:hAnsi="Arial" w:cs="Arial"/>
                <w:b/>
                <w:sz w:val="20"/>
                <w:szCs w:val="20"/>
              </w:rPr>
              <w:t>Measure Labor Cost</w:t>
            </w:r>
            <w:r w:rsidR="002F7833">
              <w:rPr>
                <w:rStyle w:val="EndnoteReference"/>
                <w:rFonts w:ascii="Arial" w:hAnsi="Arial" w:cs="Arial"/>
                <w:b/>
                <w:sz w:val="20"/>
                <w:szCs w:val="20"/>
              </w:rPr>
              <w:endnoteReference w:id="14"/>
            </w:r>
          </w:p>
        </w:tc>
        <w:tc>
          <w:tcPr>
            <w:tcW w:w="1080" w:type="dxa"/>
            <w:vAlign w:val="center"/>
          </w:tcPr>
          <w:p w:rsidR="00CE0DF1" w:rsidRDefault="00CE0DF1" w:rsidP="005C31D5">
            <w:pPr>
              <w:jc w:val="center"/>
              <w:rPr>
                <w:rFonts w:ascii="Arial" w:hAnsi="Arial" w:cs="Arial"/>
                <w:b/>
                <w:sz w:val="20"/>
                <w:szCs w:val="20"/>
              </w:rPr>
            </w:pPr>
            <w:r>
              <w:rPr>
                <w:rFonts w:ascii="Arial" w:hAnsi="Arial" w:cs="Arial"/>
                <w:b/>
                <w:sz w:val="20"/>
                <w:szCs w:val="20"/>
              </w:rPr>
              <w:t>Full</w:t>
            </w:r>
          </w:p>
          <w:p w:rsidR="00CE0DF1" w:rsidRPr="00422D1A" w:rsidRDefault="00CE0DF1" w:rsidP="005C31D5">
            <w:pPr>
              <w:jc w:val="center"/>
              <w:rPr>
                <w:rFonts w:ascii="Arial" w:hAnsi="Arial" w:cs="Arial"/>
                <w:b/>
                <w:sz w:val="20"/>
                <w:szCs w:val="20"/>
              </w:rPr>
            </w:pPr>
            <w:r w:rsidRPr="00422D1A">
              <w:rPr>
                <w:rFonts w:ascii="Arial" w:hAnsi="Arial" w:cs="Arial"/>
                <w:b/>
                <w:sz w:val="20"/>
                <w:szCs w:val="20"/>
              </w:rPr>
              <w:t>Measure Cost</w:t>
            </w:r>
          </w:p>
        </w:tc>
      </w:tr>
      <w:tr w:rsidR="00661F2B" w:rsidRPr="00A55E10" w:rsidTr="003E0160">
        <w:trPr>
          <w:trHeight w:val="157"/>
          <w:jc w:val="center"/>
        </w:trPr>
        <w:tc>
          <w:tcPr>
            <w:tcW w:w="4877" w:type="dxa"/>
          </w:tcPr>
          <w:p w:rsidR="00661F2B" w:rsidRPr="00661F2B" w:rsidRDefault="00661F2B" w:rsidP="006F0984">
            <w:pPr>
              <w:rPr>
                <w:rFonts w:ascii="Arial" w:hAnsi="Arial" w:cs="Arial"/>
                <w:sz w:val="20"/>
                <w:szCs w:val="20"/>
              </w:rPr>
            </w:pPr>
            <w:r w:rsidRPr="00661F2B">
              <w:rPr>
                <w:rFonts w:ascii="Arial" w:hAnsi="Arial" w:cs="Arial"/>
                <w:sz w:val="20"/>
                <w:szCs w:val="20"/>
              </w:rPr>
              <w:t>LED Luminaires/Retrofit Kits rated ≥85 and &lt;95 LPW, Ambient Interior Commercial Spaces</w:t>
            </w:r>
          </w:p>
        </w:tc>
        <w:tc>
          <w:tcPr>
            <w:tcW w:w="1530" w:type="dxa"/>
            <w:vAlign w:val="center"/>
          </w:tcPr>
          <w:p w:rsidR="00661F2B" w:rsidRPr="00661F2B" w:rsidRDefault="00661F2B" w:rsidP="00661F2B">
            <w:pPr>
              <w:jc w:val="center"/>
              <w:rPr>
                <w:rFonts w:ascii="Arial" w:hAnsi="Arial" w:cs="Arial"/>
                <w:sz w:val="20"/>
                <w:szCs w:val="20"/>
              </w:rPr>
            </w:pPr>
            <w:r w:rsidRPr="00661F2B">
              <w:rPr>
                <w:rFonts w:ascii="Arial" w:hAnsi="Arial" w:cs="Arial"/>
                <w:sz w:val="20"/>
                <w:szCs w:val="20"/>
              </w:rPr>
              <w:t>$41.46</w:t>
            </w:r>
          </w:p>
        </w:tc>
        <w:tc>
          <w:tcPr>
            <w:tcW w:w="1170" w:type="dxa"/>
            <w:vAlign w:val="center"/>
          </w:tcPr>
          <w:p w:rsidR="00661F2B" w:rsidRPr="00661F2B" w:rsidRDefault="00661F2B" w:rsidP="00661F2B">
            <w:pPr>
              <w:ind w:left="720" w:hanging="720"/>
              <w:jc w:val="center"/>
              <w:rPr>
                <w:rFonts w:ascii="Arial" w:hAnsi="Arial" w:cs="Arial"/>
                <w:sz w:val="20"/>
                <w:szCs w:val="20"/>
              </w:rPr>
            </w:pPr>
            <w:r w:rsidRPr="00661F2B">
              <w:rPr>
                <w:rFonts w:ascii="Arial" w:hAnsi="Arial" w:cs="Arial"/>
                <w:sz w:val="20"/>
                <w:szCs w:val="20"/>
              </w:rPr>
              <w:t>$27.06</w:t>
            </w:r>
          </w:p>
        </w:tc>
        <w:tc>
          <w:tcPr>
            <w:tcW w:w="1080" w:type="dxa"/>
            <w:vAlign w:val="center"/>
          </w:tcPr>
          <w:p w:rsidR="00661F2B" w:rsidRPr="00661F2B" w:rsidRDefault="00661F2B" w:rsidP="00661F2B">
            <w:pPr>
              <w:jc w:val="center"/>
              <w:rPr>
                <w:rFonts w:ascii="Arial" w:hAnsi="Arial" w:cs="Arial"/>
                <w:bCs/>
                <w:sz w:val="20"/>
                <w:szCs w:val="20"/>
              </w:rPr>
            </w:pPr>
            <w:r w:rsidRPr="00661F2B">
              <w:rPr>
                <w:rFonts w:ascii="Arial" w:hAnsi="Arial" w:cs="Arial"/>
                <w:bCs/>
                <w:sz w:val="20"/>
                <w:szCs w:val="20"/>
              </w:rPr>
              <w:t>$68.52</w:t>
            </w:r>
          </w:p>
        </w:tc>
      </w:tr>
      <w:tr w:rsidR="00661F2B" w:rsidRPr="00A55E10" w:rsidTr="003E0160">
        <w:trPr>
          <w:trHeight w:val="157"/>
          <w:jc w:val="center"/>
        </w:trPr>
        <w:tc>
          <w:tcPr>
            <w:tcW w:w="4877" w:type="dxa"/>
          </w:tcPr>
          <w:p w:rsidR="00661F2B" w:rsidRPr="00661F2B" w:rsidRDefault="00661F2B" w:rsidP="006F0984">
            <w:pPr>
              <w:rPr>
                <w:rFonts w:ascii="Arial" w:hAnsi="Arial" w:cs="Arial"/>
                <w:sz w:val="20"/>
                <w:szCs w:val="20"/>
              </w:rPr>
            </w:pPr>
            <w:r w:rsidRPr="00661F2B">
              <w:rPr>
                <w:rFonts w:ascii="Arial" w:hAnsi="Arial" w:cs="Arial"/>
                <w:sz w:val="20"/>
                <w:szCs w:val="20"/>
              </w:rPr>
              <w:t>LED Luminaires/Retrofit Kits rated ≥95 and &lt;110 LPW, Ambient Interior Commercial Spaces</w:t>
            </w:r>
          </w:p>
        </w:tc>
        <w:tc>
          <w:tcPr>
            <w:tcW w:w="1530" w:type="dxa"/>
            <w:vAlign w:val="center"/>
          </w:tcPr>
          <w:p w:rsidR="00661F2B" w:rsidRPr="00661F2B" w:rsidRDefault="00661F2B" w:rsidP="00661F2B">
            <w:pPr>
              <w:jc w:val="center"/>
              <w:rPr>
                <w:rFonts w:ascii="Arial" w:hAnsi="Arial" w:cs="Arial"/>
                <w:sz w:val="20"/>
                <w:szCs w:val="20"/>
              </w:rPr>
            </w:pPr>
            <w:r w:rsidRPr="00661F2B">
              <w:rPr>
                <w:rFonts w:ascii="Arial" w:hAnsi="Arial" w:cs="Arial"/>
                <w:sz w:val="20"/>
                <w:szCs w:val="20"/>
              </w:rPr>
              <w:t>$41.72</w:t>
            </w:r>
          </w:p>
        </w:tc>
        <w:tc>
          <w:tcPr>
            <w:tcW w:w="1170" w:type="dxa"/>
            <w:vAlign w:val="center"/>
          </w:tcPr>
          <w:p w:rsidR="00661F2B" w:rsidRPr="00661F2B" w:rsidRDefault="00661F2B" w:rsidP="00661F2B">
            <w:pPr>
              <w:ind w:left="720" w:hanging="720"/>
              <w:jc w:val="center"/>
              <w:rPr>
                <w:rFonts w:ascii="Arial" w:hAnsi="Arial" w:cs="Arial"/>
                <w:sz w:val="20"/>
                <w:szCs w:val="20"/>
              </w:rPr>
            </w:pPr>
            <w:r w:rsidRPr="00661F2B">
              <w:rPr>
                <w:rFonts w:ascii="Arial" w:hAnsi="Arial" w:cs="Arial"/>
                <w:sz w:val="20"/>
                <w:szCs w:val="20"/>
              </w:rPr>
              <w:t>$27.06</w:t>
            </w:r>
          </w:p>
        </w:tc>
        <w:tc>
          <w:tcPr>
            <w:tcW w:w="1080" w:type="dxa"/>
            <w:vAlign w:val="center"/>
          </w:tcPr>
          <w:p w:rsidR="00661F2B" w:rsidRPr="00661F2B" w:rsidRDefault="00661F2B" w:rsidP="00661F2B">
            <w:pPr>
              <w:jc w:val="center"/>
              <w:rPr>
                <w:rFonts w:ascii="Arial" w:hAnsi="Arial" w:cs="Arial"/>
                <w:bCs/>
                <w:sz w:val="20"/>
                <w:szCs w:val="20"/>
              </w:rPr>
            </w:pPr>
            <w:r w:rsidRPr="00661F2B">
              <w:rPr>
                <w:rFonts w:ascii="Arial" w:hAnsi="Arial" w:cs="Arial"/>
                <w:bCs/>
                <w:sz w:val="20"/>
                <w:szCs w:val="20"/>
              </w:rPr>
              <w:t>$68.78</w:t>
            </w:r>
          </w:p>
        </w:tc>
      </w:tr>
      <w:tr w:rsidR="00661F2B" w:rsidRPr="00A55E10" w:rsidTr="003E0160">
        <w:trPr>
          <w:trHeight w:val="157"/>
          <w:jc w:val="center"/>
        </w:trPr>
        <w:tc>
          <w:tcPr>
            <w:tcW w:w="4877" w:type="dxa"/>
          </w:tcPr>
          <w:p w:rsidR="00661F2B" w:rsidRPr="00661F2B" w:rsidRDefault="00661F2B" w:rsidP="006F0984">
            <w:pPr>
              <w:rPr>
                <w:rFonts w:ascii="Arial" w:hAnsi="Arial" w:cs="Arial"/>
                <w:sz w:val="20"/>
                <w:szCs w:val="20"/>
              </w:rPr>
            </w:pPr>
            <w:r w:rsidRPr="00661F2B">
              <w:rPr>
                <w:rFonts w:ascii="Arial" w:hAnsi="Arial" w:cs="Arial"/>
                <w:sz w:val="20"/>
                <w:szCs w:val="20"/>
              </w:rPr>
              <w:t>LED Luminaires/Retrofit Kits rated ≥110 and &lt;125 LPW, Ambient Interior Commercial Spaces</w:t>
            </w:r>
          </w:p>
        </w:tc>
        <w:tc>
          <w:tcPr>
            <w:tcW w:w="1530" w:type="dxa"/>
            <w:vAlign w:val="center"/>
          </w:tcPr>
          <w:p w:rsidR="00661F2B" w:rsidRPr="00661F2B" w:rsidRDefault="00661F2B" w:rsidP="00661F2B">
            <w:pPr>
              <w:jc w:val="center"/>
              <w:rPr>
                <w:rFonts w:ascii="Arial" w:hAnsi="Arial" w:cs="Arial"/>
                <w:sz w:val="20"/>
                <w:szCs w:val="20"/>
              </w:rPr>
            </w:pPr>
            <w:r w:rsidRPr="00661F2B">
              <w:rPr>
                <w:rFonts w:ascii="Arial" w:hAnsi="Arial" w:cs="Arial"/>
                <w:sz w:val="20"/>
                <w:szCs w:val="20"/>
              </w:rPr>
              <w:t>$65.40</w:t>
            </w:r>
          </w:p>
        </w:tc>
        <w:tc>
          <w:tcPr>
            <w:tcW w:w="1170" w:type="dxa"/>
            <w:vAlign w:val="center"/>
          </w:tcPr>
          <w:p w:rsidR="00661F2B" w:rsidRPr="00661F2B" w:rsidRDefault="00661F2B" w:rsidP="00661F2B">
            <w:pPr>
              <w:ind w:left="720" w:hanging="720"/>
              <w:jc w:val="center"/>
              <w:rPr>
                <w:rFonts w:ascii="Arial" w:hAnsi="Arial" w:cs="Arial"/>
                <w:sz w:val="20"/>
                <w:szCs w:val="20"/>
              </w:rPr>
            </w:pPr>
            <w:r w:rsidRPr="00661F2B">
              <w:rPr>
                <w:rFonts w:ascii="Arial" w:hAnsi="Arial" w:cs="Arial"/>
                <w:sz w:val="20"/>
                <w:szCs w:val="20"/>
              </w:rPr>
              <w:t>$27.06</w:t>
            </w:r>
          </w:p>
        </w:tc>
        <w:tc>
          <w:tcPr>
            <w:tcW w:w="1080" w:type="dxa"/>
            <w:vAlign w:val="center"/>
          </w:tcPr>
          <w:p w:rsidR="00661F2B" w:rsidRPr="00661F2B" w:rsidRDefault="00661F2B" w:rsidP="00661F2B">
            <w:pPr>
              <w:jc w:val="center"/>
              <w:rPr>
                <w:rFonts w:ascii="Arial" w:hAnsi="Arial" w:cs="Arial"/>
                <w:bCs/>
                <w:sz w:val="20"/>
                <w:szCs w:val="20"/>
              </w:rPr>
            </w:pPr>
            <w:r w:rsidRPr="00661F2B">
              <w:rPr>
                <w:rFonts w:ascii="Arial" w:hAnsi="Arial" w:cs="Arial"/>
                <w:bCs/>
                <w:sz w:val="20"/>
                <w:szCs w:val="20"/>
              </w:rPr>
              <w:t>$92.46</w:t>
            </w:r>
          </w:p>
        </w:tc>
      </w:tr>
      <w:tr w:rsidR="00661F2B" w:rsidRPr="00A55E10" w:rsidTr="003E0160">
        <w:trPr>
          <w:trHeight w:val="157"/>
          <w:jc w:val="center"/>
        </w:trPr>
        <w:tc>
          <w:tcPr>
            <w:tcW w:w="4877" w:type="dxa"/>
          </w:tcPr>
          <w:p w:rsidR="00661F2B" w:rsidRPr="00661F2B" w:rsidRDefault="00661F2B" w:rsidP="006F0984">
            <w:pPr>
              <w:rPr>
                <w:rFonts w:ascii="Arial" w:hAnsi="Arial" w:cs="Arial"/>
                <w:sz w:val="20"/>
                <w:szCs w:val="20"/>
              </w:rPr>
            </w:pPr>
            <w:r w:rsidRPr="00661F2B">
              <w:rPr>
                <w:rFonts w:ascii="Arial" w:hAnsi="Arial" w:cs="Arial"/>
                <w:sz w:val="20"/>
                <w:szCs w:val="20"/>
              </w:rPr>
              <w:t>LED Luminaires/Retrofit Kits rated ≥125 LPW, Ambient Interior Commercial Spaces</w:t>
            </w:r>
          </w:p>
        </w:tc>
        <w:tc>
          <w:tcPr>
            <w:tcW w:w="1530" w:type="dxa"/>
            <w:vAlign w:val="center"/>
          </w:tcPr>
          <w:p w:rsidR="00661F2B" w:rsidRPr="00661F2B" w:rsidRDefault="00661F2B" w:rsidP="00661F2B">
            <w:pPr>
              <w:jc w:val="center"/>
              <w:rPr>
                <w:rFonts w:ascii="Arial" w:hAnsi="Arial" w:cs="Arial"/>
                <w:sz w:val="20"/>
                <w:szCs w:val="20"/>
              </w:rPr>
            </w:pPr>
            <w:r w:rsidRPr="00661F2B">
              <w:rPr>
                <w:rFonts w:ascii="Arial" w:hAnsi="Arial" w:cs="Arial"/>
                <w:sz w:val="20"/>
                <w:szCs w:val="20"/>
              </w:rPr>
              <w:t>$67.10</w:t>
            </w:r>
          </w:p>
        </w:tc>
        <w:tc>
          <w:tcPr>
            <w:tcW w:w="1170" w:type="dxa"/>
            <w:vAlign w:val="center"/>
          </w:tcPr>
          <w:p w:rsidR="00661F2B" w:rsidRPr="00661F2B" w:rsidRDefault="00661F2B" w:rsidP="00661F2B">
            <w:pPr>
              <w:ind w:left="720" w:hanging="720"/>
              <w:jc w:val="center"/>
              <w:rPr>
                <w:rFonts w:ascii="Arial" w:hAnsi="Arial" w:cs="Arial"/>
                <w:sz w:val="20"/>
                <w:szCs w:val="20"/>
              </w:rPr>
            </w:pPr>
            <w:r w:rsidRPr="00661F2B">
              <w:rPr>
                <w:rFonts w:ascii="Arial" w:hAnsi="Arial" w:cs="Arial"/>
                <w:sz w:val="20"/>
                <w:szCs w:val="20"/>
              </w:rPr>
              <w:t>$27.06</w:t>
            </w:r>
          </w:p>
        </w:tc>
        <w:tc>
          <w:tcPr>
            <w:tcW w:w="1080" w:type="dxa"/>
            <w:vAlign w:val="center"/>
          </w:tcPr>
          <w:p w:rsidR="00661F2B" w:rsidRPr="00661F2B" w:rsidRDefault="00661F2B" w:rsidP="00661F2B">
            <w:pPr>
              <w:jc w:val="center"/>
              <w:rPr>
                <w:rFonts w:ascii="Arial" w:hAnsi="Arial" w:cs="Arial"/>
                <w:bCs/>
                <w:sz w:val="20"/>
                <w:szCs w:val="20"/>
              </w:rPr>
            </w:pPr>
            <w:r w:rsidRPr="00661F2B">
              <w:rPr>
                <w:rFonts w:ascii="Arial" w:hAnsi="Arial" w:cs="Arial"/>
                <w:bCs/>
                <w:sz w:val="20"/>
                <w:szCs w:val="20"/>
              </w:rPr>
              <w:t>$94.16</w:t>
            </w:r>
          </w:p>
        </w:tc>
      </w:tr>
    </w:tbl>
    <w:p w:rsidR="00CE0DF1" w:rsidRPr="00A55E10" w:rsidRDefault="00CE0DF1" w:rsidP="00970C80">
      <w:pPr>
        <w:rPr>
          <w:rFonts w:ascii="Arial" w:hAnsi="Arial" w:cs="Arial"/>
          <w:sz w:val="16"/>
          <w:szCs w:val="16"/>
        </w:rPr>
      </w:pPr>
    </w:p>
    <w:p w:rsidR="00970C80" w:rsidRPr="00970C80" w:rsidRDefault="00970C80" w:rsidP="00970C80">
      <w:pPr>
        <w:pStyle w:val="Heading2"/>
      </w:pPr>
      <w:bookmarkStart w:id="53" w:name="_Toc324318376"/>
      <w:bookmarkStart w:id="54" w:name="_Toc324340505"/>
      <w:bookmarkStart w:id="55" w:name="_Toc381279689"/>
      <w:bookmarkStart w:id="56" w:name="_Toc383697823"/>
      <w:bookmarkStart w:id="57" w:name="_Toc438457194"/>
      <w:r w:rsidRPr="00746B00">
        <w:t>4.3.2 Incremental Measure Costs</w:t>
      </w:r>
      <w:bookmarkEnd w:id="53"/>
      <w:bookmarkEnd w:id="54"/>
      <w:bookmarkEnd w:id="55"/>
      <w:bookmarkEnd w:id="56"/>
      <w:bookmarkEnd w:id="57"/>
    </w:p>
    <w:p w:rsidR="00686886" w:rsidRDefault="00B11E06" w:rsidP="00B11E06">
      <w:pPr>
        <w:rPr>
          <w:rFonts w:ascii="Arial" w:hAnsi="Arial" w:cs="Arial"/>
          <w:sz w:val="20"/>
          <w:szCs w:val="20"/>
        </w:rPr>
      </w:pPr>
      <w:r w:rsidRPr="00EC4B0D">
        <w:rPr>
          <w:rFonts w:ascii="Arial" w:hAnsi="Arial" w:cs="Arial"/>
          <w:sz w:val="20"/>
          <w:szCs w:val="20"/>
        </w:rPr>
        <w:t xml:space="preserve">The labor </w:t>
      </w:r>
      <w:r w:rsidR="00686886">
        <w:rPr>
          <w:rFonts w:ascii="Arial" w:hAnsi="Arial" w:cs="Arial"/>
          <w:sz w:val="20"/>
          <w:szCs w:val="20"/>
        </w:rPr>
        <w:t>costs for measure and base cases</w:t>
      </w:r>
      <w:r w:rsidRPr="00EC4B0D">
        <w:rPr>
          <w:rFonts w:ascii="Arial" w:hAnsi="Arial" w:cs="Arial"/>
          <w:sz w:val="20"/>
          <w:szCs w:val="20"/>
        </w:rPr>
        <w:t xml:space="preserve"> </w:t>
      </w:r>
      <w:r w:rsidR="00686886">
        <w:rPr>
          <w:rFonts w:ascii="Arial" w:hAnsi="Arial" w:cs="Arial"/>
          <w:sz w:val="20"/>
          <w:szCs w:val="20"/>
        </w:rPr>
        <w:t>are</w:t>
      </w:r>
      <w:r w:rsidRPr="00EC4B0D">
        <w:rPr>
          <w:rFonts w:ascii="Arial" w:hAnsi="Arial" w:cs="Arial"/>
          <w:sz w:val="20"/>
          <w:szCs w:val="20"/>
        </w:rPr>
        <w:t xml:space="preserve"> equivalent.</w:t>
      </w:r>
      <w:r w:rsidR="00686886">
        <w:rPr>
          <w:rFonts w:ascii="Arial" w:hAnsi="Arial" w:cs="Arial"/>
          <w:sz w:val="20"/>
          <w:szCs w:val="20"/>
        </w:rPr>
        <w:t xml:space="preserve"> </w:t>
      </w:r>
    </w:p>
    <w:p w:rsidR="00B11E06" w:rsidRDefault="00B11E06" w:rsidP="00B11E06">
      <w:pPr>
        <w:rPr>
          <w:rFonts w:ascii="Arial" w:hAnsi="Arial" w:cs="Arial"/>
          <w:sz w:val="20"/>
          <w:szCs w:val="20"/>
        </w:rPr>
      </w:pPr>
      <w:r w:rsidRPr="00EC4B0D">
        <w:rPr>
          <w:rFonts w:ascii="Arial" w:hAnsi="Arial" w:cs="Arial"/>
          <w:sz w:val="20"/>
          <w:szCs w:val="20"/>
        </w:rPr>
        <w:t>Incremental cost (INCR) = Measure Cost – Base Case Cost</w:t>
      </w:r>
    </w:p>
    <w:p w:rsidR="004A1B4A" w:rsidRDefault="004A1B4A" w:rsidP="00571DF6">
      <w:pPr>
        <w:pStyle w:val="Caption"/>
        <w:jc w:val="center"/>
      </w:pPr>
    </w:p>
    <w:p w:rsidR="00B11E06" w:rsidRDefault="00571DF6" w:rsidP="00571DF6">
      <w:pPr>
        <w:pStyle w:val="Caption"/>
        <w:jc w:val="center"/>
      </w:pPr>
      <w:bookmarkStart w:id="58" w:name="_Toc438457217"/>
      <w:r>
        <w:t xml:space="preserve">Table </w:t>
      </w:r>
      <w:fldSimple w:instr=" SEQ Table \* ARABIC ">
        <w:r w:rsidR="00CA1504">
          <w:rPr>
            <w:noProof/>
          </w:rPr>
          <w:t>10</w:t>
        </w:r>
      </w:fldSimple>
      <w:r w:rsidR="00DD12F1">
        <w:rPr>
          <w:noProof/>
        </w:rPr>
        <w:t xml:space="preserve"> </w:t>
      </w:r>
      <w:r w:rsidR="0020665C">
        <w:t>-</w:t>
      </w:r>
      <w:r w:rsidR="00DD12F1">
        <w:t xml:space="preserve"> </w:t>
      </w:r>
      <w:r w:rsidR="000D22E1">
        <w:t xml:space="preserve">LED </w:t>
      </w:r>
      <w:r w:rsidR="00C27933">
        <w:t>Ambient Commercial</w:t>
      </w:r>
      <w:r w:rsidR="002E6C39">
        <w:t xml:space="preserve"> Fixtures &amp; Retrofit Kits Incremental C</w:t>
      </w:r>
      <w:r>
        <w:t>ost</w:t>
      </w:r>
      <w:bookmarkEnd w:id="58"/>
    </w:p>
    <w:tbl>
      <w:tblPr>
        <w:tblW w:w="8425" w:type="dxa"/>
        <w:jc w:val="center"/>
        <w:tblInd w:w="-2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3"/>
        <w:gridCol w:w="2052"/>
      </w:tblGrid>
      <w:tr w:rsidR="0049475B" w:rsidRPr="0008537D" w:rsidTr="00F86796">
        <w:trPr>
          <w:trHeight w:val="157"/>
          <w:jc w:val="center"/>
        </w:trPr>
        <w:tc>
          <w:tcPr>
            <w:tcW w:w="6373" w:type="dxa"/>
            <w:vAlign w:val="center"/>
          </w:tcPr>
          <w:p w:rsidR="0049475B" w:rsidRPr="00422D1A" w:rsidRDefault="0049475B" w:rsidP="00686886">
            <w:pPr>
              <w:jc w:val="center"/>
              <w:rPr>
                <w:rFonts w:ascii="Arial" w:hAnsi="Arial" w:cs="Arial"/>
                <w:b/>
                <w:sz w:val="20"/>
                <w:szCs w:val="20"/>
              </w:rPr>
            </w:pPr>
            <w:r w:rsidRPr="00422D1A">
              <w:rPr>
                <w:rFonts w:ascii="Arial" w:hAnsi="Arial" w:cs="Arial"/>
                <w:b/>
                <w:sz w:val="20"/>
                <w:szCs w:val="20"/>
              </w:rPr>
              <w:t xml:space="preserve">Measure </w:t>
            </w:r>
            <w:r>
              <w:rPr>
                <w:rFonts w:ascii="Arial" w:hAnsi="Arial" w:cs="Arial"/>
                <w:b/>
                <w:sz w:val="20"/>
                <w:szCs w:val="20"/>
              </w:rPr>
              <w:t>Description</w:t>
            </w:r>
          </w:p>
        </w:tc>
        <w:tc>
          <w:tcPr>
            <w:tcW w:w="2052" w:type="dxa"/>
            <w:vAlign w:val="center"/>
          </w:tcPr>
          <w:p w:rsidR="0049475B" w:rsidRPr="00422D1A" w:rsidRDefault="0049475B" w:rsidP="00321DB0">
            <w:pPr>
              <w:jc w:val="center"/>
              <w:rPr>
                <w:rFonts w:ascii="Arial" w:hAnsi="Arial" w:cs="Arial"/>
                <w:b/>
                <w:sz w:val="20"/>
                <w:szCs w:val="20"/>
              </w:rPr>
            </w:pPr>
            <w:r w:rsidRPr="00422D1A">
              <w:rPr>
                <w:rFonts w:ascii="Arial" w:hAnsi="Arial" w:cs="Arial"/>
                <w:b/>
                <w:sz w:val="20"/>
                <w:szCs w:val="20"/>
              </w:rPr>
              <w:t>Incremental Measure Cost</w:t>
            </w:r>
          </w:p>
        </w:tc>
      </w:tr>
      <w:tr w:rsidR="00661F2B" w:rsidRPr="00F027AA" w:rsidTr="00661F2B">
        <w:trPr>
          <w:trHeight w:val="157"/>
          <w:jc w:val="center"/>
        </w:trPr>
        <w:tc>
          <w:tcPr>
            <w:tcW w:w="6373" w:type="dxa"/>
          </w:tcPr>
          <w:p w:rsidR="00661F2B" w:rsidRPr="00661F2B" w:rsidRDefault="00661F2B" w:rsidP="006F0984">
            <w:pPr>
              <w:rPr>
                <w:rFonts w:ascii="Arial" w:hAnsi="Arial" w:cs="Arial"/>
                <w:sz w:val="20"/>
                <w:szCs w:val="20"/>
              </w:rPr>
            </w:pPr>
            <w:r w:rsidRPr="00661F2B">
              <w:rPr>
                <w:rFonts w:ascii="Arial" w:hAnsi="Arial" w:cs="Arial"/>
                <w:sz w:val="20"/>
                <w:szCs w:val="20"/>
              </w:rPr>
              <w:t>LED Luminaires/Retrofit Kits rated ≥85 and &lt;95 LPW, Ambient Interior Commercial Spaces</w:t>
            </w:r>
          </w:p>
        </w:tc>
        <w:tc>
          <w:tcPr>
            <w:tcW w:w="2052" w:type="dxa"/>
            <w:vAlign w:val="center"/>
          </w:tcPr>
          <w:p w:rsidR="00661F2B" w:rsidRPr="00661F2B" w:rsidRDefault="00661F2B" w:rsidP="00661F2B">
            <w:pPr>
              <w:jc w:val="center"/>
              <w:rPr>
                <w:rFonts w:ascii="Arial" w:hAnsi="Arial" w:cs="Arial"/>
                <w:bCs/>
                <w:sz w:val="20"/>
                <w:szCs w:val="20"/>
              </w:rPr>
            </w:pPr>
            <w:r w:rsidRPr="00661F2B">
              <w:rPr>
                <w:rFonts w:ascii="Arial" w:hAnsi="Arial" w:cs="Arial"/>
                <w:bCs/>
                <w:sz w:val="20"/>
                <w:szCs w:val="20"/>
              </w:rPr>
              <w:t>$26.36</w:t>
            </w:r>
          </w:p>
        </w:tc>
      </w:tr>
      <w:tr w:rsidR="00661F2B" w:rsidRPr="00F027AA" w:rsidTr="00661F2B">
        <w:trPr>
          <w:trHeight w:val="157"/>
          <w:jc w:val="center"/>
        </w:trPr>
        <w:tc>
          <w:tcPr>
            <w:tcW w:w="6373" w:type="dxa"/>
          </w:tcPr>
          <w:p w:rsidR="00661F2B" w:rsidRPr="00661F2B" w:rsidRDefault="00661F2B" w:rsidP="006F0984">
            <w:pPr>
              <w:rPr>
                <w:rFonts w:ascii="Arial" w:hAnsi="Arial" w:cs="Arial"/>
                <w:sz w:val="20"/>
                <w:szCs w:val="20"/>
              </w:rPr>
            </w:pPr>
            <w:r w:rsidRPr="00661F2B">
              <w:rPr>
                <w:rFonts w:ascii="Arial" w:hAnsi="Arial" w:cs="Arial"/>
                <w:sz w:val="20"/>
                <w:szCs w:val="20"/>
              </w:rPr>
              <w:t>LED Luminaires/Retrofit Kits rated ≥95 and &lt;110 LPW, Ambient Interior Commercial Spaces</w:t>
            </w:r>
          </w:p>
        </w:tc>
        <w:tc>
          <w:tcPr>
            <w:tcW w:w="2052" w:type="dxa"/>
            <w:vAlign w:val="center"/>
          </w:tcPr>
          <w:p w:rsidR="00661F2B" w:rsidRPr="00661F2B" w:rsidRDefault="00661F2B" w:rsidP="00661F2B">
            <w:pPr>
              <w:jc w:val="center"/>
              <w:rPr>
                <w:rFonts w:ascii="Arial" w:hAnsi="Arial" w:cs="Arial"/>
                <w:bCs/>
                <w:sz w:val="20"/>
                <w:szCs w:val="20"/>
              </w:rPr>
            </w:pPr>
            <w:r w:rsidRPr="00661F2B">
              <w:rPr>
                <w:rFonts w:ascii="Arial" w:hAnsi="Arial" w:cs="Arial"/>
                <w:bCs/>
                <w:sz w:val="20"/>
                <w:szCs w:val="20"/>
              </w:rPr>
              <w:t>$26.63</w:t>
            </w:r>
          </w:p>
        </w:tc>
      </w:tr>
      <w:tr w:rsidR="00661F2B" w:rsidRPr="00F027AA" w:rsidTr="00661F2B">
        <w:trPr>
          <w:trHeight w:val="157"/>
          <w:jc w:val="center"/>
        </w:trPr>
        <w:tc>
          <w:tcPr>
            <w:tcW w:w="6373" w:type="dxa"/>
          </w:tcPr>
          <w:p w:rsidR="00661F2B" w:rsidRPr="00661F2B" w:rsidRDefault="00661F2B" w:rsidP="006F0984">
            <w:pPr>
              <w:rPr>
                <w:rFonts w:ascii="Arial" w:hAnsi="Arial" w:cs="Arial"/>
                <w:sz w:val="20"/>
                <w:szCs w:val="20"/>
              </w:rPr>
            </w:pPr>
            <w:r w:rsidRPr="00661F2B">
              <w:rPr>
                <w:rFonts w:ascii="Arial" w:hAnsi="Arial" w:cs="Arial"/>
                <w:sz w:val="20"/>
                <w:szCs w:val="20"/>
              </w:rPr>
              <w:t>LED Luminaires/Retrofit Kits rated ≥110 and &lt;125 LPW, Ambient Interior Commercial Spaces</w:t>
            </w:r>
          </w:p>
        </w:tc>
        <w:tc>
          <w:tcPr>
            <w:tcW w:w="2052" w:type="dxa"/>
            <w:vAlign w:val="center"/>
          </w:tcPr>
          <w:p w:rsidR="00661F2B" w:rsidRPr="00661F2B" w:rsidRDefault="00661F2B" w:rsidP="00661F2B">
            <w:pPr>
              <w:jc w:val="center"/>
              <w:rPr>
                <w:rFonts w:ascii="Arial" w:hAnsi="Arial" w:cs="Arial"/>
                <w:bCs/>
                <w:sz w:val="20"/>
                <w:szCs w:val="20"/>
              </w:rPr>
            </w:pPr>
            <w:r w:rsidRPr="00661F2B">
              <w:rPr>
                <w:rFonts w:ascii="Arial" w:hAnsi="Arial" w:cs="Arial"/>
                <w:bCs/>
                <w:sz w:val="20"/>
                <w:szCs w:val="20"/>
              </w:rPr>
              <w:t>$50.30</w:t>
            </w:r>
          </w:p>
        </w:tc>
      </w:tr>
      <w:tr w:rsidR="00661F2B" w:rsidRPr="00F027AA" w:rsidTr="00661F2B">
        <w:trPr>
          <w:trHeight w:val="157"/>
          <w:jc w:val="center"/>
        </w:trPr>
        <w:tc>
          <w:tcPr>
            <w:tcW w:w="6373" w:type="dxa"/>
          </w:tcPr>
          <w:p w:rsidR="00661F2B" w:rsidRPr="00661F2B" w:rsidRDefault="00661F2B" w:rsidP="006F0984">
            <w:pPr>
              <w:rPr>
                <w:rFonts w:ascii="Arial" w:hAnsi="Arial" w:cs="Arial"/>
                <w:sz w:val="20"/>
                <w:szCs w:val="20"/>
              </w:rPr>
            </w:pPr>
            <w:r w:rsidRPr="00661F2B">
              <w:rPr>
                <w:rFonts w:ascii="Arial" w:hAnsi="Arial" w:cs="Arial"/>
                <w:sz w:val="20"/>
                <w:szCs w:val="20"/>
              </w:rPr>
              <w:t>LED Luminaires/Retrofit Kits rated ≥125 LPW, Ambient Interior Commercial Spaces</w:t>
            </w:r>
          </w:p>
        </w:tc>
        <w:tc>
          <w:tcPr>
            <w:tcW w:w="2052" w:type="dxa"/>
            <w:vAlign w:val="center"/>
          </w:tcPr>
          <w:p w:rsidR="00661F2B" w:rsidRPr="00661F2B" w:rsidRDefault="00661F2B" w:rsidP="00661F2B">
            <w:pPr>
              <w:jc w:val="center"/>
              <w:rPr>
                <w:rFonts w:ascii="Arial" w:hAnsi="Arial" w:cs="Arial"/>
                <w:bCs/>
                <w:sz w:val="20"/>
                <w:szCs w:val="20"/>
              </w:rPr>
            </w:pPr>
            <w:r w:rsidRPr="00661F2B">
              <w:rPr>
                <w:rFonts w:ascii="Arial" w:hAnsi="Arial" w:cs="Arial"/>
                <w:bCs/>
                <w:sz w:val="20"/>
                <w:szCs w:val="20"/>
              </w:rPr>
              <w:t>$52.00</w:t>
            </w:r>
          </w:p>
        </w:tc>
      </w:tr>
    </w:tbl>
    <w:p w:rsidR="002C48AF" w:rsidRDefault="002C48AF" w:rsidP="00EC4B0D">
      <w:pPr>
        <w:pStyle w:val="Heading1"/>
        <w:tabs>
          <w:tab w:val="left" w:pos="3495"/>
        </w:tabs>
      </w:pPr>
    </w:p>
    <w:p w:rsidR="002C48AF" w:rsidRDefault="002C48AF" w:rsidP="002C48AF"/>
    <w:p w:rsidR="002C48AF" w:rsidRDefault="002C48AF" w:rsidP="002C48AF"/>
    <w:p w:rsidR="002C48AF" w:rsidRPr="002C48AF" w:rsidRDefault="002C48AF" w:rsidP="002C48AF"/>
    <w:p w:rsidR="003E0160" w:rsidRDefault="003E0160" w:rsidP="00EC4B0D">
      <w:pPr>
        <w:pStyle w:val="Heading1"/>
        <w:tabs>
          <w:tab w:val="left" w:pos="3495"/>
        </w:tabs>
      </w:pPr>
    </w:p>
    <w:p w:rsidR="003E0160" w:rsidRDefault="003E0160" w:rsidP="003E0160"/>
    <w:p w:rsidR="003E0160" w:rsidRDefault="003E0160" w:rsidP="003E0160"/>
    <w:p w:rsidR="003E0160" w:rsidRDefault="003E0160" w:rsidP="003E0160"/>
    <w:p w:rsidR="003E0160" w:rsidRDefault="003E0160" w:rsidP="003E0160"/>
    <w:p w:rsidR="003E0160" w:rsidRDefault="003E0160" w:rsidP="003E0160"/>
    <w:p w:rsidR="003E0160" w:rsidRDefault="003E0160" w:rsidP="003E0160"/>
    <w:p w:rsidR="003E0160" w:rsidRDefault="003E0160" w:rsidP="003E0160"/>
    <w:p w:rsidR="003E0160" w:rsidRDefault="003E0160" w:rsidP="003E0160"/>
    <w:p w:rsidR="009168A1" w:rsidRPr="000966CC" w:rsidRDefault="00DE0602" w:rsidP="00EC4B0D">
      <w:pPr>
        <w:pStyle w:val="Heading1"/>
        <w:tabs>
          <w:tab w:val="left" w:pos="3495"/>
        </w:tabs>
      </w:pPr>
      <w:bookmarkStart w:id="59" w:name="_Toc438457195"/>
      <w:r>
        <w:lastRenderedPageBreak/>
        <w:t>R</w:t>
      </w:r>
      <w:r w:rsidR="000966CC">
        <w:t>eferences</w:t>
      </w:r>
      <w:r w:rsidR="001946B1">
        <w:t>:</w:t>
      </w:r>
      <w:bookmarkEnd w:id="59"/>
      <w:r w:rsidR="00844B27">
        <w:t xml:space="preserve"> </w:t>
      </w:r>
      <w:r w:rsidR="00EC4B0D">
        <w:tab/>
      </w:r>
    </w:p>
    <w:sectPr w:rsidR="009168A1" w:rsidRPr="000966CC" w:rsidSect="00262365">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D13" w:rsidRDefault="00D93D13">
      <w:r>
        <w:separator/>
      </w:r>
    </w:p>
  </w:endnote>
  <w:endnote w:type="continuationSeparator" w:id="0">
    <w:p w:rsidR="00D93D13" w:rsidRDefault="00D93D13">
      <w:r>
        <w:continuationSeparator/>
      </w:r>
    </w:p>
  </w:endnote>
  <w:endnote w:id="1">
    <w:p w:rsidR="00D93D13" w:rsidRPr="00CA1504" w:rsidRDefault="00D93D13" w:rsidP="00E41399">
      <w:pPr>
        <w:rPr>
          <w:sz w:val="20"/>
          <w:szCs w:val="20"/>
        </w:rPr>
      </w:pPr>
      <w:r w:rsidRPr="00CA1504">
        <w:rPr>
          <w:rStyle w:val="breadcrumbs"/>
          <w:color w:val="333333"/>
          <w:sz w:val="20"/>
          <w:szCs w:val="20"/>
          <w:lang w:val="en-GB"/>
        </w:rPr>
        <w:endnoteRef/>
      </w:r>
      <w:r w:rsidRPr="00CA1504">
        <w:rPr>
          <w:rStyle w:val="breadcrumbs"/>
          <w:color w:val="333333"/>
          <w:sz w:val="20"/>
          <w:szCs w:val="20"/>
          <w:lang w:val="en-GB"/>
        </w:rPr>
        <w:t xml:space="preserve"> </w:t>
      </w:r>
      <w:proofErr w:type="gramStart"/>
      <w:r w:rsidRPr="00CA1504">
        <w:rPr>
          <w:rStyle w:val="breadcrumbs"/>
          <w:color w:val="333333"/>
          <w:sz w:val="20"/>
          <w:szCs w:val="20"/>
          <w:lang w:val="en-GB"/>
        </w:rPr>
        <w:t>US Department of Energy, “2010 U.S. Lighting Market Characterization,” prepared by Navigant Consulting.</w:t>
      </w:r>
      <w:proofErr w:type="gramEnd"/>
      <w:r w:rsidRPr="00CA1504">
        <w:rPr>
          <w:rStyle w:val="breadcrumbs"/>
          <w:color w:val="333333"/>
          <w:sz w:val="20"/>
          <w:szCs w:val="20"/>
          <w:lang w:val="en-GB"/>
        </w:rPr>
        <w:t xml:space="preserve"> January 2012. </w:t>
      </w:r>
      <w:proofErr w:type="gramStart"/>
      <w:r w:rsidRPr="00CA1504">
        <w:rPr>
          <w:rStyle w:val="breadcrumbs"/>
          <w:color w:val="333333"/>
          <w:sz w:val="20"/>
          <w:szCs w:val="20"/>
          <w:lang w:val="en-GB"/>
        </w:rPr>
        <w:t xml:space="preserve">Accessed at </w:t>
      </w:r>
      <w:hyperlink r:id="rId1" w:history="1">
        <w:r w:rsidRPr="00CA1504">
          <w:rPr>
            <w:rStyle w:val="breadcrumbs"/>
            <w:color w:val="333333"/>
            <w:sz w:val="20"/>
            <w:szCs w:val="20"/>
            <w:lang w:val="en-GB"/>
          </w:rPr>
          <w:t>http://apps1.eere.energy.gov/buildings/publications/pdfs/ssl/2010-lmc-final-jan-2012.pdf</w:t>
        </w:r>
      </w:hyperlink>
      <w:r w:rsidRPr="00CA1504">
        <w:rPr>
          <w:rStyle w:val="breadcrumbs"/>
          <w:color w:val="333333"/>
          <w:sz w:val="20"/>
          <w:szCs w:val="20"/>
          <w:lang w:val="en-GB"/>
        </w:rPr>
        <w:t>.</w:t>
      </w:r>
      <w:proofErr w:type="gramEnd"/>
      <w:r w:rsidRPr="00CA1504">
        <w:rPr>
          <w:rStyle w:val="breadcrumbs"/>
          <w:color w:val="333333"/>
          <w:sz w:val="20"/>
          <w:szCs w:val="20"/>
          <w:lang w:val="en-GB"/>
        </w:rPr>
        <w:t xml:space="preserve"> 72% energy use is shown in Table 4.8; 80% lamp penetration shown in Table 4.2.</w:t>
      </w:r>
    </w:p>
  </w:endnote>
  <w:endnote w:id="2">
    <w:p w:rsidR="00D93D13" w:rsidRPr="00CA1504" w:rsidRDefault="00D93D13" w:rsidP="00FA5F99">
      <w:pPr>
        <w:pStyle w:val="EndnoteText"/>
      </w:pPr>
      <w:r w:rsidRPr="00CA1504">
        <w:rPr>
          <w:rStyle w:val="EndnoteReference"/>
        </w:rPr>
        <w:endnoteRef/>
      </w:r>
      <w:r w:rsidRPr="00CA1504">
        <w:t xml:space="preserve"> The DEER Measure Cost Data Users Guide found on </w:t>
      </w:r>
      <w:hyperlink r:id="rId2" w:history="1">
        <w:r w:rsidRPr="00CA1504">
          <w:rPr>
            <w:rStyle w:val="Hyperlink"/>
          </w:rPr>
          <w:t>www.deeresources.com</w:t>
        </w:r>
      </w:hyperlink>
      <w:r w:rsidRPr="00CA1504">
        <w:t xml:space="preserve"> under </w:t>
      </w:r>
      <w:r w:rsidRPr="00CA1504">
        <w:rPr>
          <w:i/>
        </w:rPr>
        <w:t>DEER2011 Database Format</w:t>
      </w:r>
      <w:r w:rsidRPr="00CA1504">
        <w:t xml:space="preserve"> hyperlink, </w:t>
      </w:r>
      <w:r w:rsidRPr="00CA1504">
        <w:rPr>
          <w:rStyle w:val="breadcrumbs"/>
          <w:color w:val="333333"/>
          <w:lang w:val="en-GB"/>
        </w:rPr>
        <w:t>DEER2011 for 13-14</w:t>
      </w:r>
      <w:r w:rsidRPr="00CA1504">
        <w:rPr>
          <w:color w:val="333333"/>
          <w:lang w:val="en-GB"/>
        </w:rPr>
        <w:t>,</w:t>
      </w:r>
      <w:r w:rsidRPr="00CA1504">
        <w:t xml:space="preserve"> spreadsheet </w:t>
      </w:r>
      <w:r w:rsidRPr="00CA1504">
        <w:rPr>
          <w:i/>
        </w:rPr>
        <w:t>SPTdata_format-V0.97.xls.</w:t>
      </w:r>
    </w:p>
  </w:endnote>
  <w:endnote w:id="3">
    <w:p w:rsidR="00D93D13" w:rsidRPr="00CA1504" w:rsidRDefault="00D93D13">
      <w:pPr>
        <w:pStyle w:val="EndnoteText"/>
      </w:pPr>
      <w:r w:rsidRPr="00CA1504">
        <w:rPr>
          <w:rStyle w:val="EndnoteReference"/>
        </w:rPr>
        <w:endnoteRef/>
      </w:r>
      <w:r w:rsidRPr="00CA1504">
        <w:t xml:space="preserve"> DEER201</w:t>
      </w:r>
      <w:r w:rsidR="00CA1504" w:rsidRPr="00CA1504">
        <w:t>4</w:t>
      </w:r>
      <w:r w:rsidRPr="00CA1504">
        <w:t>, see calculations workbook</w:t>
      </w:r>
    </w:p>
  </w:endnote>
  <w:endnote w:id="4">
    <w:p w:rsidR="00D93D13" w:rsidRPr="00CA1504" w:rsidRDefault="00D93D13" w:rsidP="00B0102E">
      <w:pPr>
        <w:pStyle w:val="EndnoteText"/>
      </w:pPr>
      <w:r w:rsidRPr="00CA1504">
        <w:rPr>
          <w:rStyle w:val="EndnoteReference"/>
        </w:rPr>
        <w:endnoteRef/>
      </w:r>
      <w:r w:rsidRPr="00CA1504">
        <w:t xml:space="preserve"> A Comprehensive Store Retrofit to LED lighting in Common Lighting Applications. </w:t>
      </w:r>
      <w:proofErr w:type="gramStart"/>
      <w:r w:rsidRPr="00CA1504">
        <w:t>PG&amp;E Emerging Technologies Program.</w:t>
      </w:r>
      <w:proofErr w:type="gramEnd"/>
      <w:r w:rsidRPr="00CA1504">
        <w:t xml:space="preserve"> </w:t>
      </w:r>
      <w:proofErr w:type="gramStart"/>
      <w:r w:rsidRPr="00CA1504">
        <w:t xml:space="preserve">Accessed at </w:t>
      </w:r>
      <w:hyperlink r:id="rId3" w:history="1">
        <w:r w:rsidRPr="00CA1504">
          <w:rPr>
            <w:rStyle w:val="Hyperlink"/>
          </w:rPr>
          <w:t>http://www.etcc-ca.com/sites/default/files/reports/ET12PGE1481%20Retail%20LED%20updated%2003132014.pdf</w:t>
        </w:r>
      </w:hyperlink>
      <w:r w:rsidRPr="00CA1504">
        <w:t>.</w:t>
      </w:r>
      <w:proofErr w:type="gramEnd"/>
      <w:r w:rsidRPr="00CA1504">
        <w:t xml:space="preserve">  </w:t>
      </w:r>
    </w:p>
  </w:endnote>
  <w:endnote w:id="5">
    <w:p w:rsidR="00D93D13" w:rsidRPr="00CA1504" w:rsidRDefault="00D93D13" w:rsidP="00B0102E">
      <w:pPr>
        <w:pStyle w:val="EndnoteText"/>
      </w:pPr>
      <w:r w:rsidRPr="00CA1504">
        <w:rPr>
          <w:rStyle w:val="EndnoteReference"/>
        </w:rPr>
        <w:endnoteRef/>
      </w:r>
      <w:r w:rsidRPr="00CA1504">
        <w:t xml:space="preserve"> LED Office Lighting and Advanced Lighting Control System (ALCS). </w:t>
      </w:r>
      <w:proofErr w:type="gramStart"/>
      <w:r w:rsidRPr="00CA1504">
        <w:t>PG&amp;E Emerging Technologies Program.</w:t>
      </w:r>
      <w:proofErr w:type="gramEnd"/>
      <w:r w:rsidRPr="00CA1504">
        <w:t xml:space="preserve"> </w:t>
      </w:r>
      <w:proofErr w:type="gramStart"/>
      <w:r w:rsidRPr="00CA1504">
        <w:t xml:space="preserve">Accessed at: </w:t>
      </w:r>
      <w:hyperlink r:id="rId4" w:history="1">
        <w:r w:rsidRPr="00CA1504">
          <w:rPr>
            <w:rStyle w:val="Hyperlink"/>
          </w:rPr>
          <w:t>http://www.etcc-ca.com/sites/default/files/reports/ET11PGE3251%20LED%20Office%20Lighting%20With%20ALCS.pdf</w:t>
        </w:r>
      </w:hyperlink>
      <w:r w:rsidRPr="00CA1504">
        <w:t>.</w:t>
      </w:r>
      <w:proofErr w:type="gramEnd"/>
      <w:r w:rsidRPr="00CA1504">
        <w:t xml:space="preserve"> </w:t>
      </w:r>
    </w:p>
  </w:endnote>
  <w:endnote w:id="6">
    <w:p w:rsidR="00D93D13" w:rsidRPr="00CA1504" w:rsidRDefault="00D93D13">
      <w:pPr>
        <w:pStyle w:val="EndnoteText"/>
      </w:pPr>
      <w:r w:rsidRPr="00CA1504">
        <w:rPr>
          <w:rStyle w:val="EndnoteReference"/>
        </w:rPr>
        <w:endnoteRef/>
      </w:r>
      <w:r w:rsidRPr="00CA1504">
        <w:rPr>
          <w:rStyle w:val="apple-converted-space"/>
          <w:color w:val="3C4349"/>
          <w:shd w:val="clear" w:color="auto" w:fill="FFFFFF"/>
        </w:rPr>
        <w:t xml:space="preserve"> </w:t>
      </w:r>
      <w:r w:rsidRPr="00CA1504">
        <w:rPr>
          <w:rStyle w:val="apple-converted-space"/>
          <w:shd w:val="clear" w:color="auto" w:fill="FFFFFF"/>
        </w:rPr>
        <w:t>Code of Federal Regulations </w:t>
      </w:r>
      <w:hyperlink r:id="rId5" w:tgtFrame="_self" w:history="1">
        <w:r w:rsidRPr="00CA1504">
          <w:rPr>
            <w:rStyle w:val="Hyperlink"/>
            <w:color w:val="auto"/>
            <w:bdr w:val="none" w:sz="0" w:space="0" w:color="auto" w:frame="1"/>
            <w:shd w:val="clear" w:color="auto" w:fill="FFFFFF"/>
          </w:rPr>
          <w:t>10 CFR 430.32(n)</w:t>
        </w:r>
      </w:hyperlink>
      <w:r w:rsidRPr="00CA1504">
        <w:t xml:space="preserve"> ; accessed at </w:t>
      </w:r>
      <w:hyperlink r:id="rId6" w:history="1">
        <w:r w:rsidRPr="00CA1504">
          <w:rPr>
            <w:rStyle w:val="Hyperlink"/>
          </w:rPr>
          <w:t>http://www1.eere.energy.gov/buildings/appliance_standards/product.aspx/productid/70</w:t>
        </w:r>
      </w:hyperlink>
      <w:r w:rsidRPr="00CA1504">
        <w:t xml:space="preserve"> </w:t>
      </w:r>
    </w:p>
  </w:endnote>
  <w:endnote w:id="7">
    <w:p w:rsidR="00D93D13" w:rsidRPr="00CA1504" w:rsidRDefault="00D93D13">
      <w:pPr>
        <w:pStyle w:val="EndnoteText"/>
      </w:pPr>
      <w:r w:rsidRPr="00CA1504">
        <w:rPr>
          <w:rStyle w:val="EndnoteReference"/>
        </w:rPr>
        <w:endnoteRef/>
      </w:r>
      <w:r w:rsidRPr="00CA1504">
        <w:t xml:space="preserve"> Fed Register 2011-28451.pdf ; accessed at </w:t>
      </w:r>
      <w:hyperlink r:id="rId7" w:history="1">
        <w:r w:rsidRPr="00CA1504">
          <w:rPr>
            <w:rStyle w:val="Hyperlink"/>
          </w:rPr>
          <w:t>http://www.gpo.gov/fdsys/pkg/FR-2011-11-14/pdf/2011-28451.pdf</w:t>
        </w:r>
      </w:hyperlink>
      <w:r w:rsidRPr="00CA1504">
        <w:t xml:space="preserve"> </w:t>
      </w:r>
    </w:p>
  </w:endnote>
  <w:endnote w:id="8">
    <w:p w:rsidR="00D93D13" w:rsidRPr="00CA1504" w:rsidRDefault="00D93D13">
      <w:pPr>
        <w:pStyle w:val="EndnoteText"/>
      </w:pPr>
      <w:r w:rsidRPr="00CA1504">
        <w:rPr>
          <w:rStyle w:val="EndnoteReference"/>
        </w:rPr>
        <w:endnoteRef/>
      </w:r>
      <w:r w:rsidRPr="00CA1504">
        <w:t xml:space="preserve"> </w:t>
      </w:r>
      <w:proofErr w:type="spellStart"/>
      <w:r w:rsidRPr="00CA1504">
        <w:t>CALiPER</w:t>
      </w:r>
      <w:proofErr w:type="spellEnd"/>
      <w:r w:rsidRPr="00CA1504">
        <w:t xml:space="preserve"> Summary Report Round 13. </w:t>
      </w:r>
      <w:proofErr w:type="gramStart"/>
      <w:r w:rsidRPr="00CA1504">
        <w:t>DOE.</w:t>
      </w:r>
      <w:proofErr w:type="gramEnd"/>
      <w:r w:rsidRPr="00CA1504">
        <w:t xml:space="preserve"> October 2011.</w:t>
      </w:r>
    </w:p>
  </w:endnote>
  <w:endnote w:id="9">
    <w:p w:rsidR="00D93D13" w:rsidRPr="00CA1504" w:rsidRDefault="00D93D13" w:rsidP="004A5BE3">
      <w:pPr>
        <w:pStyle w:val="EndnoteText"/>
      </w:pPr>
      <w:r w:rsidRPr="00CA1504">
        <w:rPr>
          <w:rStyle w:val="EndnoteReference"/>
        </w:rPr>
        <w:endnoteRef/>
      </w:r>
      <w:r w:rsidRPr="00CA1504">
        <w:t xml:space="preserve"> CASE_Nonres_Indoor_Lighting_Controls.pdf; accessed at </w:t>
      </w:r>
      <w:hyperlink r:id="rId8" w:history="1">
        <w:r w:rsidRPr="00CA1504">
          <w:rPr>
            <w:rStyle w:val="Hyperlink"/>
          </w:rPr>
          <w:t>http://www.energy.ca.gov/title24/2013standards/prerulemaking/documents/2011-04-04_workshop/review/Nonres_Indoor_Lighting_Controls.pdf</w:t>
        </w:r>
      </w:hyperlink>
      <w:r w:rsidRPr="00CA1504">
        <w:t xml:space="preserve"> </w:t>
      </w:r>
    </w:p>
  </w:endnote>
  <w:endnote w:id="10">
    <w:p w:rsidR="00D93D13" w:rsidRPr="00CA1504" w:rsidRDefault="00D93D13" w:rsidP="004A5BE3">
      <w:pPr>
        <w:pStyle w:val="EndnoteText"/>
      </w:pPr>
      <w:r w:rsidRPr="00CA1504">
        <w:rPr>
          <w:rStyle w:val="EndnoteReference"/>
        </w:rPr>
        <w:endnoteRef/>
      </w:r>
      <w:r w:rsidRPr="00CA1504">
        <w:t xml:space="preserve"> Cooper_2P2GAX332_3L_T8_18C_spec-sheet.pdf; accessed at </w:t>
      </w:r>
      <w:hyperlink r:id="rId9" w:history="1">
        <w:r w:rsidRPr="00CA1504">
          <w:rPr>
            <w:rStyle w:val="Hyperlink"/>
          </w:rPr>
          <w:t>http://www.cooperindustries.com/content/dam/public/lighting/products/documents/metalux/spec_sheets/090386_2P2GAX332_3L_T8_18C.pdf</w:t>
        </w:r>
      </w:hyperlink>
      <w:r w:rsidRPr="00CA1504">
        <w:t xml:space="preserve"> </w:t>
      </w:r>
    </w:p>
  </w:endnote>
  <w:endnote w:id="11">
    <w:p w:rsidR="00D93D13" w:rsidRPr="00CA1504" w:rsidRDefault="00D93D13" w:rsidP="004A5BE3">
      <w:pPr>
        <w:pStyle w:val="EndnoteText"/>
      </w:pPr>
      <w:r w:rsidRPr="00CA1504">
        <w:rPr>
          <w:rStyle w:val="EndnoteReference"/>
        </w:rPr>
        <w:endnoteRef/>
      </w:r>
      <w:r w:rsidRPr="00CA1504">
        <w:t xml:space="preserve"> CEC-Title24-2013.pdf, p. 205 (header indicating p. 190); accessed at </w:t>
      </w:r>
      <w:hyperlink r:id="rId10" w:history="1">
        <w:r w:rsidRPr="00CA1504">
          <w:rPr>
            <w:rStyle w:val="Hyperlink"/>
          </w:rPr>
          <w:t>http://www.energy.ca.gov/2012publications/CEC-400-2012-004/CEC-400-2012-004-CMF-REV2.pdf</w:t>
        </w:r>
      </w:hyperlink>
      <w:r w:rsidRPr="00CA1504">
        <w:t xml:space="preserve"> </w:t>
      </w:r>
    </w:p>
    <w:p w:rsidR="00D93D13" w:rsidRDefault="00D93D13" w:rsidP="005F63FF">
      <w:pPr>
        <w:pStyle w:val="EndnoteText"/>
        <w:ind w:left="720"/>
      </w:pPr>
      <w:r w:rsidRPr="00CA1504">
        <w:t>Table 140.6-B reads as follows:</w:t>
      </w:r>
      <w:r>
        <w:t xml:space="preserve"> </w:t>
      </w:r>
      <w:r>
        <w:rPr>
          <w:noProof/>
        </w:rPr>
        <w:drawing>
          <wp:inline distT="0" distB="0" distL="0" distR="0" wp14:anchorId="0973C41C" wp14:editId="393709EA">
            <wp:extent cx="4942303" cy="29933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945874" cy="2995530"/>
                    </a:xfrm>
                    <a:prstGeom prst="rect">
                      <a:avLst/>
                    </a:prstGeom>
                  </pic:spPr>
                </pic:pic>
              </a:graphicData>
            </a:graphic>
          </wp:inline>
        </w:drawing>
      </w:r>
    </w:p>
  </w:endnote>
  <w:endnote w:id="12">
    <w:p w:rsidR="00D93D13" w:rsidRPr="00CA1504" w:rsidRDefault="00D93D13">
      <w:pPr>
        <w:pStyle w:val="EndnoteText"/>
      </w:pPr>
      <w:r w:rsidRPr="00CA1504">
        <w:rPr>
          <w:rStyle w:val="EndnoteReference"/>
        </w:rPr>
        <w:endnoteRef/>
      </w:r>
      <w:r w:rsidRPr="00CA1504">
        <w:t xml:space="preserve"> </w:t>
      </w:r>
      <w:proofErr w:type="spellStart"/>
      <w:r w:rsidRPr="00CA1504">
        <w:t>CALiPER</w:t>
      </w:r>
      <w:proofErr w:type="spellEnd"/>
      <w:r w:rsidRPr="00CA1504">
        <w:t xml:space="preserve"> Summary Report Round 13, chart p. 21. </w:t>
      </w:r>
      <w:proofErr w:type="gramStart"/>
      <w:r w:rsidRPr="00CA1504">
        <w:t>DOE.</w:t>
      </w:r>
      <w:proofErr w:type="gramEnd"/>
      <w:r w:rsidRPr="00CA1504">
        <w:t xml:space="preserve"> October 2011.</w:t>
      </w:r>
    </w:p>
  </w:endnote>
  <w:endnote w:id="13">
    <w:p w:rsidR="00D93D13" w:rsidRPr="00CA1504" w:rsidRDefault="00D93D13" w:rsidP="004A5BE3">
      <w:pPr>
        <w:pStyle w:val="EndnoteText"/>
      </w:pPr>
      <w:r w:rsidRPr="00CA1504">
        <w:rPr>
          <w:rStyle w:val="EndnoteReference"/>
        </w:rPr>
        <w:endnoteRef/>
      </w:r>
      <w:r w:rsidRPr="00CA1504">
        <w:t xml:space="preserve"> Fed Register 2014-12127.pdf p. 17; accessed at </w:t>
      </w:r>
      <w:hyperlink r:id="rId12" w:history="1">
        <w:r w:rsidRPr="00CA1504">
          <w:rPr>
            <w:rStyle w:val="Hyperlink"/>
          </w:rPr>
          <w:t>http://www.gpo.gov/fdsys/pkg/FR-2014-06-03/pdf/2014-12127.pdf</w:t>
        </w:r>
      </w:hyperlink>
      <w:r w:rsidRPr="00CA1504">
        <w:t xml:space="preserve"> </w:t>
      </w:r>
    </w:p>
  </w:endnote>
  <w:endnote w:id="14">
    <w:p w:rsidR="00D93D13" w:rsidRPr="00CA1504" w:rsidRDefault="00D93D13">
      <w:pPr>
        <w:pStyle w:val="EndnoteText"/>
      </w:pPr>
      <w:r w:rsidRPr="00CA1504">
        <w:rPr>
          <w:rStyle w:val="EndnoteReference"/>
        </w:rPr>
        <w:endnoteRef/>
      </w:r>
      <w:r w:rsidRPr="00CA1504">
        <w:t xml:space="preserve"> Measure Labor Cost is product of Installation time and Labor Rate. </w:t>
      </w:r>
      <w:proofErr w:type="gramStart"/>
      <w:r w:rsidRPr="00CA1504">
        <w:t>Labor rate of $70.11 per hour taken from RS Means for PG&amp;E Territory cities.</w:t>
      </w:r>
      <w:proofErr w:type="gramEnd"/>
      <w:r w:rsidRPr="00CA1504">
        <w:t xml:space="preserve"> Installation time of 1.509 hours per fixture (0.39 hours per </w:t>
      </w:r>
      <w:proofErr w:type="spellStart"/>
      <w:r w:rsidRPr="00CA1504">
        <w:t>kilolumen</w:t>
      </w:r>
      <w:proofErr w:type="spellEnd"/>
      <w:r w:rsidRPr="00CA1504">
        <w:t xml:space="preserve">) taken from RS Means, Interior LED Fixtures Line # 265113551000; accessed at </w:t>
      </w:r>
      <w:hyperlink r:id="rId13" w:history="1">
        <w:r w:rsidRPr="00CA1504">
          <w:rPr>
            <w:rStyle w:val="Hyperlink"/>
          </w:rPr>
          <w:t>http://www.rsmeans.com/</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13" w:rsidRDefault="00D93D1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93D13" w:rsidRDefault="00D93D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13" w:rsidRPr="00846195" w:rsidRDefault="00D93D1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CA1504">
      <w:rPr>
        <w:rStyle w:val="PageNumber"/>
        <w:b/>
        <w:noProof/>
        <w:sz w:val="20"/>
        <w:szCs w:val="20"/>
      </w:rPr>
      <w:t>13</w:t>
    </w:r>
    <w:r w:rsidRPr="00846195">
      <w:rPr>
        <w:rStyle w:val="PageNumber"/>
        <w:b/>
        <w:sz w:val="20"/>
        <w:szCs w:val="20"/>
      </w:rPr>
      <w:fldChar w:fldCharType="end"/>
    </w:r>
  </w:p>
  <w:p w:rsidR="00D93D13" w:rsidRDefault="00D93D13"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r>
    <w:r w:rsidR="002870E2">
      <w:rPr>
        <w:b/>
        <w:sz w:val="20"/>
        <w:szCs w:val="20"/>
      </w:rPr>
      <w:t>1/1/2016</w:t>
    </w:r>
  </w:p>
  <w:p w:rsidR="00D93D13" w:rsidRDefault="00D93D13" w:rsidP="00D7047A">
    <w:pPr>
      <w:pStyle w:val="Footer"/>
      <w:rPr>
        <w:b/>
        <w:sz w:val="20"/>
        <w:szCs w:val="20"/>
      </w:rPr>
    </w:pPr>
    <w:r>
      <w:rPr>
        <w:b/>
        <w:sz w:val="20"/>
        <w:szCs w:val="20"/>
      </w:rPr>
      <w:t>Pacific Gas &amp; Electric Company</w:t>
    </w:r>
  </w:p>
  <w:p w:rsidR="00D93D13" w:rsidRPr="00893A0F" w:rsidRDefault="00D93D13" w:rsidP="00D7047A">
    <w:pPr>
      <w:pStyle w:val="Footer"/>
      <w:rPr>
        <w:b/>
        <w:sz w:val="20"/>
        <w:szCs w:val="20"/>
      </w:rPr>
    </w:pPr>
    <w:r w:rsidRPr="00893A0F">
      <w:rPr>
        <w:noProof/>
        <w:sz w:val="20"/>
        <w:szCs w:val="20"/>
      </w:rPr>
      <w:t>PGECOLTG</w:t>
    </w:r>
    <w:r>
      <w:rPr>
        <w:noProof/>
        <w:sz w:val="20"/>
        <w:szCs w:val="20"/>
      </w:rPr>
      <w:t>179 R</w:t>
    </w:r>
    <w:r w:rsidR="002870E2">
      <w:rPr>
        <w:noProof/>
        <w:sz w:val="20"/>
        <w:szCs w:val="20"/>
      </w:rPr>
      <w:t>1</w:t>
    </w:r>
    <w:r w:rsidRPr="00893A0F">
      <w:rPr>
        <w:noProof/>
        <w:sz w:val="20"/>
        <w:szCs w:val="20"/>
      </w:rPr>
      <w:t xml:space="preserve"> LED</w:t>
    </w:r>
    <w:r>
      <w:rPr>
        <w:noProof/>
        <w:sz w:val="20"/>
        <w:szCs w:val="20"/>
      </w:rPr>
      <w:t xml:space="preserve"> Ambient Commercial </w:t>
    </w:r>
    <w:r w:rsidRPr="00402353">
      <w:rPr>
        <w:noProof/>
        <w:sz w:val="20"/>
        <w:szCs w:val="20"/>
      </w:rPr>
      <w:t>Fixtures and Retrofit Kits</w:t>
    </w:r>
    <w:r w:rsidRPr="00893A0F">
      <w:rPr>
        <w:noProof/>
        <w:sz w:val="20"/>
        <w:szCs w:val="20"/>
      </w:rPr>
      <w:t>.doc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13" w:rsidRPr="002E0E3F" w:rsidRDefault="002870E2" w:rsidP="00D7047A">
    <w:pPr>
      <w:pStyle w:val="Footer"/>
      <w:jc w:val="right"/>
      <w:rPr>
        <w:rFonts w:ascii="Arial" w:hAnsi="Arial" w:cs="Arial"/>
        <w:b/>
        <w:sz w:val="36"/>
        <w:szCs w:val="36"/>
      </w:rPr>
    </w:pPr>
    <w:r>
      <w:rPr>
        <w:rFonts w:ascii="Arial" w:hAnsi="Arial" w:cs="Arial"/>
        <w:b/>
        <w:sz w:val="36"/>
        <w:szCs w:val="36"/>
      </w:rPr>
      <w:t>1/1/2016</w:t>
    </w:r>
  </w:p>
  <w:p w:rsidR="00D93D13" w:rsidRDefault="00D93D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D13" w:rsidRDefault="00D93D13">
      <w:r>
        <w:separator/>
      </w:r>
    </w:p>
  </w:footnote>
  <w:footnote w:type="continuationSeparator" w:id="0">
    <w:p w:rsidR="00D93D13" w:rsidRDefault="00D93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13" w:rsidRDefault="00D93D13" w:rsidP="001A573F">
    <w:pPr>
      <w:pStyle w:val="Header"/>
      <w:jc w:val="right"/>
    </w:pPr>
  </w:p>
  <w:p w:rsidR="00D93D13" w:rsidRDefault="00D93D13"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155200"/>
    <w:multiLevelType w:val="hybridMultilevel"/>
    <w:tmpl w:val="FCB8E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92557"/>
    <w:multiLevelType w:val="hybridMultilevel"/>
    <w:tmpl w:val="830A93FE"/>
    <w:lvl w:ilvl="0" w:tplc="04C681A8">
      <w:start w:val="1"/>
      <w:numFmt w:val="bullet"/>
      <w:lvlText w:val=""/>
      <w:lvlJc w:val="left"/>
      <w:pPr>
        <w:ind w:left="252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820856"/>
    <w:multiLevelType w:val="singleLevel"/>
    <w:tmpl w:val="6C78A414"/>
    <w:lvl w:ilvl="0">
      <w:start w:val="1"/>
      <w:numFmt w:val="decimal"/>
      <w:lvlText w:val="%1."/>
      <w:legacy w:legacy="1" w:legacySpace="0" w:legacyIndent="0"/>
      <w:lvlJc w:val="left"/>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6"/>
  </w:num>
  <w:num w:numId="4">
    <w:abstractNumId w:val="8"/>
  </w:num>
  <w:num w:numId="5">
    <w:abstractNumId w:val="24"/>
  </w:num>
  <w:num w:numId="6">
    <w:abstractNumId w:val="12"/>
  </w:num>
  <w:num w:numId="7">
    <w:abstractNumId w:val="7"/>
  </w:num>
  <w:num w:numId="8">
    <w:abstractNumId w:val="14"/>
  </w:num>
  <w:num w:numId="9">
    <w:abstractNumId w:val="11"/>
  </w:num>
  <w:num w:numId="10">
    <w:abstractNumId w:val="1"/>
  </w:num>
  <w:num w:numId="11">
    <w:abstractNumId w:val="19"/>
  </w:num>
  <w:num w:numId="12">
    <w:abstractNumId w:val="20"/>
  </w:num>
  <w:num w:numId="13">
    <w:abstractNumId w:val="3"/>
  </w:num>
  <w:num w:numId="14">
    <w:abstractNumId w:val="25"/>
  </w:num>
  <w:num w:numId="15">
    <w:abstractNumId w:val="15"/>
  </w:num>
  <w:num w:numId="16">
    <w:abstractNumId w:val="16"/>
  </w:num>
  <w:num w:numId="17">
    <w:abstractNumId w:val="0"/>
  </w:num>
  <w:num w:numId="18">
    <w:abstractNumId w:val="10"/>
  </w:num>
  <w:num w:numId="19">
    <w:abstractNumId w:val="22"/>
  </w:num>
  <w:num w:numId="20">
    <w:abstractNumId w:val="23"/>
  </w:num>
  <w:num w:numId="21">
    <w:abstractNumId w:val="18"/>
  </w:num>
  <w:num w:numId="22">
    <w:abstractNumId w:val="9"/>
  </w:num>
  <w:num w:numId="23">
    <w:abstractNumId w:val="17"/>
  </w:num>
  <w:num w:numId="24">
    <w:abstractNumId w:val="21"/>
  </w:num>
  <w:num w:numId="25">
    <w:abstractNumId w:val="26"/>
  </w:num>
  <w:num w:numId="26">
    <w:abstractNumId w:val="4"/>
  </w:num>
  <w:num w:numId="27">
    <w:abstractNumId w:val="10"/>
  </w:num>
  <w:num w:numId="28">
    <w:abstractNumId w:val="9"/>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411D"/>
    <w:rsid w:val="000050CC"/>
    <w:rsid w:val="00005E70"/>
    <w:rsid w:val="00012F86"/>
    <w:rsid w:val="000132F6"/>
    <w:rsid w:val="00014740"/>
    <w:rsid w:val="00014742"/>
    <w:rsid w:val="00015851"/>
    <w:rsid w:val="00016772"/>
    <w:rsid w:val="000170B5"/>
    <w:rsid w:val="00017488"/>
    <w:rsid w:val="0002118E"/>
    <w:rsid w:val="00023102"/>
    <w:rsid w:val="00024AA9"/>
    <w:rsid w:val="00026F78"/>
    <w:rsid w:val="000272C2"/>
    <w:rsid w:val="0003064A"/>
    <w:rsid w:val="00031441"/>
    <w:rsid w:val="00032B63"/>
    <w:rsid w:val="00032F1B"/>
    <w:rsid w:val="000351CB"/>
    <w:rsid w:val="000361B6"/>
    <w:rsid w:val="000373B0"/>
    <w:rsid w:val="000374A5"/>
    <w:rsid w:val="00044365"/>
    <w:rsid w:val="00044570"/>
    <w:rsid w:val="000448A5"/>
    <w:rsid w:val="00046D10"/>
    <w:rsid w:val="00051043"/>
    <w:rsid w:val="00053CD8"/>
    <w:rsid w:val="0005535A"/>
    <w:rsid w:val="00055973"/>
    <w:rsid w:val="00056DB9"/>
    <w:rsid w:val="000571F6"/>
    <w:rsid w:val="000573E7"/>
    <w:rsid w:val="00057957"/>
    <w:rsid w:val="0005796E"/>
    <w:rsid w:val="00057C09"/>
    <w:rsid w:val="00063A83"/>
    <w:rsid w:val="00063FA7"/>
    <w:rsid w:val="0006490F"/>
    <w:rsid w:val="00066D5B"/>
    <w:rsid w:val="000678A2"/>
    <w:rsid w:val="00067EB5"/>
    <w:rsid w:val="000701EB"/>
    <w:rsid w:val="000719AA"/>
    <w:rsid w:val="00073184"/>
    <w:rsid w:val="000749EA"/>
    <w:rsid w:val="00077161"/>
    <w:rsid w:val="00077C32"/>
    <w:rsid w:val="00077DC4"/>
    <w:rsid w:val="000814B9"/>
    <w:rsid w:val="000842B9"/>
    <w:rsid w:val="00085333"/>
    <w:rsid w:val="0008537D"/>
    <w:rsid w:val="00085DF5"/>
    <w:rsid w:val="00086594"/>
    <w:rsid w:val="00087378"/>
    <w:rsid w:val="0009430D"/>
    <w:rsid w:val="00095610"/>
    <w:rsid w:val="000966CC"/>
    <w:rsid w:val="000A1ADB"/>
    <w:rsid w:val="000A2490"/>
    <w:rsid w:val="000A2FB3"/>
    <w:rsid w:val="000A48F2"/>
    <w:rsid w:val="000B03C9"/>
    <w:rsid w:val="000B0B1E"/>
    <w:rsid w:val="000B71D2"/>
    <w:rsid w:val="000C0FD3"/>
    <w:rsid w:val="000C23B1"/>
    <w:rsid w:val="000C4909"/>
    <w:rsid w:val="000C5FFA"/>
    <w:rsid w:val="000D22E1"/>
    <w:rsid w:val="000D2D93"/>
    <w:rsid w:val="000D47BE"/>
    <w:rsid w:val="000D47DA"/>
    <w:rsid w:val="000D4EB7"/>
    <w:rsid w:val="000D5047"/>
    <w:rsid w:val="000D5790"/>
    <w:rsid w:val="000D64B7"/>
    <w:rsid w:val="000D6DA4"/>
    <w:rsid w:val="000E0350"/>
    <w:rsid w:val="000E132D"/>
    <w:rsid w:val="000E273A"/>
    <w:rsid w:val="000E31B5"/>
    <w:rsid w:val="000E6E80"/>
    <w:rsid w:val="000F0069"/>
    <w:rsid w:val="000F0C5D"/>
    <w:rsid w:val="000F11DD"/>
    <w:rsid w:val="000F16B4"/>
    <w:rsid w:val="00102BF4"/>
    <w:rsid w:val="00115EB1"/>
    <w:rsid w:val="0012128C"/>
    <w:rsid w:val="00121D23"/>
    <w:rsid w:val="00121FEC"/>
    <w:rsid w:val="001231EA"/>
    <w:rsid w:val="00123C51"/>
    <w:rsid w:val="001248A3"/>
    <w:rsid w:val="00124F32"/>
    <w:rsid w:val="00126483"/>
    <w:rsid w:val="00126A4E"/>
    <w:rsid w:val="00127CC8"/>
    <w:rsid w:val="0013046A"/>
    <w:rsid w:val="0013080C"/>
    <w:rsid w:val="0013087E"/>
    <w:rsid w:val="00133198"/>
    <w:rsid w:val="00133C60"/>
    <w:rsid w:val="00136D56"/>
    <w:rsid w:val="001379BA"/>
    <w:rsid w:val="0014398A"/>
    <w:rsid w:val="0014799F"/>
    <w:rsid w:val="001506C5"/>
    <w:rsid w:val="00150AFE"/>
    <w:rsid w:val="00150EC7"/>
    <w:rsid w:val="00152F83"/>
    <w:rsid w:val="00153516"/>
    <w:rsid w:val="00155EF5"/>
    <w:rsid w:val="00155F77"/>
    <w:rsid w:val="0016070B"/>
    <w:rsid w:val="00161B73"/>
    <w:rsid w:val="00161E02"/>
    <w:rsid w:val="00163256"/>
    <w:rsid w:val="00163A05"/>
    <w:rsid w:val="00163CC0"/>
    <w:rsid w:val="00167F2B"/>
    <w:rsid w:val="0017167D"/>
    <w:rsid w:val="0017179F"/>
    <w:rsid w:val="00171812"/>
    <w:rsid w:val="00172149"/>
    <w:rsid w:val="00173499"/>
    <w:rsid w:val="00175673"/>
    <w:rsid w:val="00176431"/>
    <w:rsid w:val="00181C0B"/>
    <w:rsid w:val="001822FC"/>
    <w:rsid w:val="0018290E"/>
    <w:rsid w:val="001835E1"/>
    <w:rsid w:val="00183C8E"/>
    <w:rsid w:val="001946B1"/>
    <w:rsid w:val="00194E14"/>
    <w:rsid w:val="001965AF"/>
    <w:rsid w:val="00196880"/>
    <w:rsid w:val="00196D7C"/>
    <w:rsid w:val="00197A23"/>
    <w:rsid w:val="001A13D5"/>
    <w:rsid w:val="001A3026"/>
    <w:rsid w:val="001A4516"/>
    <w:rsid w:val="001A4B5E"/>
    <w:rsid w:val="001A550C"/>
    <w:rsid w:val="001A573F"/>
    <w:rsid w:val="001A5C3F"/>
    <w:rsid w:val="001A64C6"/>
    <w:rsid w:val="001A7081"/>
    <w:rsid w:val="001A70AD"/>
    <w:rsid w:val="001A73E3"/>
    <w:rsid w:val="001B03AC"/>
    <w:rsid w:val="001B238D"/>
    <w:rsid w:val="001B242B"/>
    <w:rsid w:val="001B45F2"/>
    <w:rsid w:val="001B4ACB"/>
    <w:rsid w:val="001B5E15"/>
    <w:rsid w:val="001B75E6"/>
    <w:rsid w:val="001B792D"/>
    <w:rsid w:val="001B7D84"/>
    <w:rsid w:val="001C1C03"/>
    <w:rsid w:val="001C28F8"/>
    <w:rsid w:val="001C2942"/>
    <w:rsid w:val="001C2E2C"/>
    <w:rsid w:val="001C64DB"/>
    <w:rsid w:val="001C6C57"/>
    <w:rsid w:val="001D067F"/>
    <w:rsid w:val="001D0AF0"/>
    <w:rsid w:val="001D0FE0"/>
    <w:rsid w:val="001D11CE"/>
    <w:rsid w:val="001D16C2"/>
    <w:rsid w:val="001D1B62"/>
    <w:rsid w:val="001D3F48"/>
    <w:rsid w:val="001D483C"/>
    <w:rsid w:val="001D5155"/>
    <w:rsid w:val="001D54AF"/>
    <w:rsid w:val="001E37BA"/>
    <w:rsid w:val="001E3AE3"/>
    <w:rsid w:val="001E727A"/>
    <w:rsid w:val="001E7CA0"/>
    <w:rsid w:val="001F0078"/>
    <w:rsid w:val="001F21BD"/>
    <w:rsid w:val="001F2B40"/>
    <w:rsid w:val="001F2CDE"/>
    <w:rsid w:val="001F4083"/>
    <w:rsid w:val="001F60D5"/>
    <w:rsid w:val="001F627F"/>
    <w:rsid w:val="001F6E49"/>
    <w:rsid w:val="001F7023"/>
    <w:rsid w:val="00200174"/>
    <w:rsid w:val="00205B34"/>
    <w:rsid w:val="0020665C"/>
    <w:rsid w:val="00210392"/>
    <w:rsid w:val="00210550"/>
    <w:rsid w:val="00210E47"/>
    <w:rsid w:val="00211BAC"/>
    <w:rsid w:val="002154B2"/>
    <w:rsid w:val="00216409"/>
    <w:rsid w:val="002170D6"/>
    <w:rsid w:val="002203EA"/>
    <w:rsid w:val="0022055B"/>
    <w:rsid w:val="0022067C"/>
    <w:rsid w:val="002207C3"/>
    <w:rsid w:val="00220F52"/>
    <w:rsid w:val="0022370C"/>
    <w:rsid w:val="0022428B"/>
    <w:rsid w:val="00224D3E"/>
    <w:rsid w:val="002257FA"/>
    <w:rsid w:val="00225AB8"/>
    <w:rsid w:val="0022619C"/>
    <w:rsid w:val="00230617"/>
    <w:rsid w:val="00231D53"/>
    <w:rsid w:val="0023385B"/>
    <w:rsid w:val="00235694"/>
    <w:rsid w:val="002378D5"/>
    <w:rsid w:val="00241DAA"/>
    <w:rsid w:val="0024233E"/>
    <w:rsid w:val="0024375A"/>
    <w:rsid w:val="00243BAC"/>
    <w:rsid w:val="00244BD6"/>
    <w:rsid w:val="00245A56"/>
    <w:rsid w:val="002466F4"/>
    <w:rsid w:val="002522C9"/>
    <w:rsid w:val="00252352"/>
    <w:rsid w:val="00255067"/>
    <w:rsid w:val="0025738E"/>
    <w:rsid w:val="002574CF"/>
    <w:rsid w:val="00260BE6"/>
    <w:rsid w:val="00262365"/>
    <w:rsid w:val="002628B9"/>
    <w:rsid w:val="002635D8"/>
    <w:rsid w:val="002644BC"/>
    <w:rsid w:val="00264B03"/>
    <w:rsid w:val="00265769"/>
    <w:rsid w:val="00265BEF"/>
    <w:rsid w:val="00270FD7"/>
    <w:rsid w:val="0027323D"/>
    <w:rsid w:val="00273C4E"/>
    <w:rsid w:val="0027474D"/>
    <w:rsid w:val="00274A7E"/>
    <w:rsid w:val="0027515D"/>
    <w:rsid w:val="0027624D"/>
    <w:rsid w:val="00276918"/>
    <w:rsid w:val="00276ED1"/>
    <w:rsid w:val="0027792C"/>
    <w:rsid w:val="0028312C"/>
    <w:rsid w:val="002856F0"/>
    <w:rsid w:val="00285AF5"/>
    <w:rsid w:val="002862B7"/>
    <w:rsid w:val="00286B3C"/>
    <w:rsid w:val="0028709C"/>
    <w:rsid w:val="002870E2"/>
    <w:rsid w:val="002913D0"/>
    <w:rsid w:val="00291D75"/>
    <w:rsid w:val="0029371D"/>
    <w:rsid w:val="00294D06"/>
    <w:rsid w:val="00295B67"/>
    <w:rsid w:val="002971C4"/>
    <w:rsid w:val="002A1BD1"/>
    <w:rsid w:val="002A22A4"/>
    <w:rsid w:val="002A2C2E"/>
    <w:rsid w:val="002A4B6C"/>
    <w:rsid w:val="002B0ECF"/>
    <w:rsid w:val="002B166E"/>
    <w:rsid w:val="002B7CE7"/>
    <w:rsid w:val="002C12FA"/>
    <w:rsid w:val="002C21F9"/>
    <w:rsid w:val="002C23B7"/>
    <w:rsid w:val="002C26EB"/>
    <w:rsid w:val="002C321E"/>
    <w:rsid w:val="002C412B"/>
    <w:rsid w:val="002C42E0"/>
    <w:rsid w:val="002C48AF"/>
    <w:rsid w:val="002C4F1C"/>
    <w:rsid w:val="002C518C"/>
    <w:rsid w:val="002C53DD"/>
    <w:rsid w:val="002C7B46"/>
    <w:rsid w:val="002D08BE"/>
    <w:rsid w:val="002D0F51"/>
    <w:rsid w:val="002D12AC"/>
    <w:rsid w:val="002D27DC"/>
    <w:rsid w:val="002D4621"/>
    <w:rsid w:val="002D6C78"/>
    <w:rsid w:val="002E0043"/>
    <w:rsid w:val="002E029C"/>
    <w:rsid w:val="002E40A2"/>
    <w:rsid w:val="002E47B4"/>
    <w:rsid w:val="002E5671"/>
    <w:rsid w:val="002E6C39"/>
    <w:rsid w:val="002E7C0C"/>
    <w:rsid w:val="002F105C"/>
    <w:rsid w:val="002F11A3"/>
    <w:rsid w:val="002F2115"/>
    <w:rsid w:val="002F2D92"/>
    <w:rsid w:val="002F3610"/>
    <w:rsid w:val="002F3FE5"/>
    <w:rsid w:val="002F44AD"/>
    <w:rsid w:val="002F4E8C"/>
    <w:rsid w:val="002F7833"/>
    <w:rsid w:val="0030104F"/>
    <w:rsid w:val="0030114D"/>
    <w:rsid w:val="00302B74"/>
    <w:rsid w:val="003032B7"/>
    <w:rsid w:val="003034D0"/>
    <w:rsid w:val="0030390D"/>
    <w:rsid w:val="0030550A"/>
    <w:rsid w:val="00306DD7"/>
    <w:rsid w:val="00311969"/>
    <w:rsid w:val="00311B2F"/>
    <w:rsid w:val="00311BD9"/>
    <w:rsid w:val="003129E8"/>
    <w:rsid w:val="00315AB7"/>
    <w:rsid w:val="00316A0B"/>
    <w:rsid w:val="00321DB0"/>
    <w:rsid w:val="00322FB9"/>
    <w:rsid w:val="00324AFE"/>
    <w:rsid w:val="00324D0F"/>
    <w:rsid w:val="003259CD"/>
    <w:rsid w:val="0032657A"/>
    <w:rsid w:val="00332E5C"/>
    <w:rsid w:val="00333996"/>
    <w:rsid w:val="00333E01"/>
    <w:rsid w:val="00335017"/>
    <w:rsid w:val="003360B4"/>
    <w:rsid w:val="00340DAD"/>
    <w:rsid w:val="003419BE"/>
    <w:rsid w:val="00343579"/>
    <w:rsid w:val="00344A93"/>
    <w:rsid w:val="00345971"/>
    <w:rsid w:val="00345DE6"/>
    <w:rsid w:val="0034647B"/>
    <w:rsid w:val="00350382"/>
    <w:rsid w:val="00350891"/>
    <w:rsid w:val="00353DC2"/>
    <w:rsid w:val="0035498F"/>
    <w:rsid w:val="00355210"/>
    <w:rsid w:val="00356017"/>
    <w:rsid w:val="00357F8C"/>
    <w:rsid w:val="00362067"/>
    <w:rsid w:val="00362839"/>
    <w:rsid w:val="0036440B"/>
    <w:rsid w:val="00367DF8"/>
    <w:rsid w:val="00374640"/>
    <w:rsid w:val="0037707D"/>
    <w:rsid w:val="00377407"/>
    <w:rsid w:val="00377531"/>
    <w:rsid w:val="00381702"/>
    <w:rsid w:val="00381BB7"/>
    <w:rsid w:val="0038391A"/>
    <w:rsid w:val="00383B74"/>
    <w:rsid w:val="00387CCC"/>
    <w:rsid w:val="00391C77"/>
    <w:rsid w:val="00392734"/>
    <w:rsid w:val="00392B5E"/>
    <w:rsid w:val="00392C05"/>
    <w:rsid w:val="00393618"/>
    <w:rsid w:val="00393D41"/>
    <w:rsid w:val="003942ED"/>
    <w:rsid w:val="00395845"/>
    <w:rsid w:val="0039761A"/>
    <w:rsid w:val="003A0DE6"/>
    <w:rsid w:val="003A1B51"/>
    <w:rsid w:val="003A2593"/>
    <w:rsid w:val="003A4329"/>
    <w:rsid w:val="003A4ABF"/>
    <w:rsid w:val="003A648E"/>
    <w:rsid w:val="003A66D0"/>
    <w:rsid w:val="003A7DD4"/>
    <w:rsid w:val="003B1D79"/>
    <w:rsid w:val="003B2621"/>
    <w:rsid w:val="003B3615"/>
    <w:rsid w:val="003B384E"/>
    <w:rsid w:val="003B44BB"/>
    <w:rsid w:val="003B51DE"/>
    <w:rsid w:val="003C0071"/>
    <w:rsid w:val="003C27C4"/>
    <w:rsid w:val="003C331B"/>
    <w:rsid w:val="003C3A3C"/>
    <w:rsid w:val="003C479C"/>
    <w:rsid w:val="003C48C5"/>
    <w:rsid w:val="003C5915"/>
    <w:rsid w:val="003C5980"/>
    <w:rsid w:val="003C6DFA"/>
    <w:rsid w:val="003D04BC"/>
    <w:rsid w:val="003D1EB1"/>
    <w:rsid w:val="003D36AD"/>
    <w:rsid w:val="003D3F36"/>
    <w:rsid w:val="003D5191"/>
    <w:rsid w:val="003D60B8"/>
    <w:rsid w:val="003D765C"/>
    <w:rsid w:val="003E0160"/>
    <w:rsid w:val="003E24CE"/>
    <w:rsid w:val="003E3441"/>
    <w:rsid w:val="003E3941"/>
    <w:rsid w:val="003E540D"/>
    <w:rsid w:val="003E5A00"/>
    <w:rsid w:val="003E7422"/>
    <w:rsid w:val="003E7CF9"/>
    <w:rsid w:val="003E7D3D"/>
    <w:rsid w:val="003E7E0A"/>
    <w:rsid w:val="003F0439"/>
    <w:rsid w:val="003F0CBE"/>
    <w:rsid w:val="003F2817"/>
    <w:rsid w:val="003F3107"/>
    <w:rsid w:val="003F3419"/>
    <w:rsid w:val="003F3DED"/>
    <w:rsid w:val="003F57BD"/>
    <w:rsid w:val="003F5B70"/>
    <w:rsid w:val="003F7A9C"/>
    <w:rsid w:val="004018B3"/>
    <w:rsid w:val="00402353"/>
    <w:rsid w:val="0040323C"/>
    <w:rsid w:val="00403FBE"/>
    <w:rsid w:val="004078BB"/>
    <w:rsid w:val="004117E0"/>
    <w:rsid w:val="0041339D"/>
    <w:rsid w:val="004148A5"/>
    <w:rsid w:val="00415754"/>
    <w:rsid w:val="004162E3"/>
    <w:rsid w:val="004175E9"/>
    <w:rsid w:val="004203DD"/>
    <w:rsid w:val="00421984"/>
    <w:rsid w:val="00421ED8"/>
    <w:rsid w:val="0042297B"/>
    <w:rsid w:val="00422D1A"/>
    <w:rsid w:val="00422F19"/>
    <w:rsid w:val="00423B48"/>
    <w:rsid w:val="00425CE6"/>
    <w:rsid w:val="00425FE9"/>
    <w:rsid w:val="0042647B"/>
    <w:rsid w:val="00427131"/>
    <w:rsid w:val="00427D15"/>
    <w:rsid w:val="004304AE"/>
    <w:rsid w:val="00431602"/>
    <w:rsid w:val="004323E9"/>
    <w:rsid w:val="00432C65"/>
    <w:rsid w:val="004337F8"/>
    <w:rsid w:val="004339ED"/>
    <w:rsid w:val="00433B89"/>
    <w:rsid w:val="0043466C"/>
    <w:rsid w:val="00435469"/>
    <w:rsid w:val="00435C34"/>
    <w:rsid w:val="00436F7E"/>
    <w:rsid w:val="00437947"/>
    <w:rsid w:val="0044128D"/>
    <w:rsid w:val="004419D3"/>
    <w:rsid w:val="00442BCF"/>
    <w:rsid w:val="0044337C"/>
    <w:rsid w:val="00445790"/>
    <w:rsid w:val="0044620E"/>
    <w:rsid w:val="004464AA"/>
    <w:rsid w:val="00446895"/>
    <w:rsid w:val="00450273"/>
    <w:rsid w:val="004509A5"/>
    <w:rsid w:val="00451B66"/>
    <w:rsid w:val="00452CA5"/>
    <w:rsid w:val="00453A77"/>
    <w:rsid w:val="004551F3"/>
    <w:rsid w:val="00455856"/>
    <w:rsid w:val="004563F1"/>
    <w:rsid w:val="004602EC"/>
    <w:rsid w:val="004617A6"/>
    <w:rsid w:val="0046239D"/>
    <w:rsid w:val="00462467"/>
    <w:rsid w:val="00467FE9"/>
    <w:rsid w:val="00474025"/>
    <w:rsid w:val="00474E68"/>
    <w:rsid w:val="0047543D"/>
    <w:rsid w:val="00475E34"/>
    <w:rsid w:val="00476B67"/>
    <w:rsid w:val="0048008C"/>
    <w:rsid w:val="004809C9"/>
    <w:rsid w:val="00480BAD"/>
    <w:rsid w:val="00480C7E"/>
    <w:rsid w:val="0048184C"/>
    <w:rsid w:val="00486679"/>
    <w:rsid w:val="00486CF9"/>
    <w:rsid w:val="00487D95"/>
    <w:rsid w:val="00492048"/>
    <w:rsid w:val="00493555"/>
    <w:rsid w:val="0049390F"/>
    <w:rsid w:val="00493CA7"/>
    <w:rsid w:val="0049475B"/>
    <w:rsid w:val="00495AEF"/>
    <w:rsid w:val="00496491"/>
    <w:rsid w:val="004967A2"/>
    <w:rsid w:val="004967EC"/>
    <w:rsid w:val="00497CD3"/>
    <w:rsid w:val="004A0A9D"/>
    <w:rsid w:val="004A1B4A"/>
    <w:rsid w:val="004A2D46"/>
    <w:rsid w:val="004A3A35"/>
    <w:rsid w:val="004A46C4"/>
    <w:rsid w:val="004A5BE3"/>
    <w:rsid w:val="004A6FCA"/>
    <w:rsid w:val="004A74F0"/>
    <w:rsid w:val="004B0F48"/>
    <w:rsid w:val="004B14B6"/>
    <w:rsid w:val="004B2B9D"/>
    <w:rsid w:val="004B2CFB"/>
    <w:rsid w:val="004B4489"/>
    <w:rsid w:val="004B46D2"/>
    <w:rsid w:val="004B506E"/>
    <w:rsid w:val="004C3412"/>
    <w:rsid w:val="004C4DAB"/>
    <w:rsid w:val="004C4E2A"/>
    <w:rsid w:val="004C56D1"/>
    <w:rsid w:val="004C572C"/>
    <w:rsid w:val="004C6B9C"/>
    <w:rsid w:val="004D0E10"/>
    <w:rsid w:val="004D2C76"/>
    <w:rsid w:val="004D476D"/>
    <w:rsid w:val="004D58D5"/>
    <w:rsid w:val="004D71AF"/>
    <w:rsid w:val="004D7301"/>
    <w:rsid w:val="004E07C9"/>
    <w:rsid w:val="004E43A4"/>
    <w:rsid w:val="004F12E7"/>
    <w:rsid w:val="004F1DB8"/>
    <w:rsid w:val="004F3292"/>
    <w:rsid w:val="004F3EDB"/>
    <w:rsid w:val="004F55EC"/>
    <w:rsid w:val="004F59FD"/>
    <w:rsid w:val="004F61DD"/>
    <w:rsid w:val="00501673"/>
    <w:rsid w:val="00502569"/>
    <w:rsid w:val="00502C16"/>
    <w:rsid w:val="00502D68"/>
    <w:rsid w:val="005035F8"/>
    <w:rsid w:val="00505D2B"/>
    <w:rsid w:val="00506204"/>
    <w:rsid w:val="00511171"/>
    <w:rsid w:val="00512C1A"/>
    <w:rsid w:val="005136CC"/>
    <w:rsid w:val="00513858"/>
    <w:rsid w:val="00514B37"/>
    <w:rsid w:val="00514EEC"/>
    <w:rsid w:val="00521874"/>
    <w:rsid w:val="00521920"/>
    <w:rsid w:val="005246B1"/>
    <w:rsid w:val="00527A8C"/>
    <w:rsid w:val="00530281"/>
    <w:rsid w:val="00530B04"/>
    <w:rsid w:val="00531AF8"/>
    <w:rsid w:val="00531E03"/>
    <w:rsid w:val="00536359"/>
    <w:rsid w:val="0053683E"/>
    <w:rsid w:val="00537B0D"/>
    <w:rsid w:val="005403E8"/>
    <w:rsid w:val="00542990"/>
    <w:rsid w:val="00542A98"/>
    <w:rsid w:val="00542F66"/>
    <w:rsid w:val="005453C5"/>
    <w:rsid w:val="0054599C"/>
    <w:rsid w:val="00545A84"/>
    <w:rsid w:val="005460ED"/>
    <w:rsid w:val="00547480"/>
    <w:rsid w:val="00551046"/>
    <w:rsid w:val="0055169D"/>
    <w:rsid w:val="00551EF3"/>
    <w:rsid w:val="005521E2"/>
    <w:rsid w:val="00553781"/>
    <w:rsid w:val="00553DCA"/>
    <w:rsid w:val="00554084"/>
    <w:rsid w:val="00554611"/>
    <w:rsid w:val="005565EE"/>
    <w:rsid w:val="00557E24"/>
    <w:rsid w:val="00560593"/>
    <w:rsid w:val="00560E6F"/>
    <w:rsid w:val="0056163A"/>
    <w:rsid w:val="00562217"/>
    <w:rsid w:val="00563BE5"/>
    <w:rsid w:val="005644EF"/>
    <w:rsid w:val="00567397"/>
    <w:rsid w:val="005702B7"/>
    <w:rsid w:val="0057057B"/>
    <w:rsid w:val="0057061D"/>
    <w:rsid w:val="00571DF6"/>
    <w:rsid w:val="00574FBD"/>
    <w:rsid w:val="005767B2"/>
    <w:rsid w:val="005773BB"/>
    <w:rsid w:val="00583CB2"/>
    <w:rsid w:val="00585C83"/>
    <w:rsid w:val="00586604"/>
    <w:rsid w:val="00586E35"/>
    <w:rsid w:val="005910C8"/>
    <w:rsid w:val="00597C03"/>
    <w:rsid w:val="005A1F9D"/>
    <w:rsid w:val="005A21F6"/>
    <w:rsid w:val="005A2F5D"/>
    <w:rsid w:val="005A3157"/>
    <w:rsid w:val="005A3798"/>
    <w:rsid w:val="005A5726"/>
    <w:rsid w:val="005A67E5"/>
    <w:rsid w:val="005A6A1D"/>
    <w:rsid w:val="005A6FB8"/>
    <w:rsid w:val="005A7302"/>
    <w:rsid w:val="005A7C16"/>
    <w:rsid w:val="005B0327"/>
    <w:rsid w:val="005B0F9F"/>
    <w:rsid w:val="005B5BB4"/>
    <w:rsid w:val="005C2844"/>
    <w:rsid w:val="005C31D5"/>
    <w:rsid w:val="005C6D98"/>
    <w:rsid w:val="005C73FB"/>
    <w:rsid w:val="005C7752"/>
    <w:rsid w:val="005C7F3F"/>
    <w:rsid w:val="005D4792"/>
    <w:rsid w:val="005D4B08"/>
    <w:rsid w:val="005D6266"/>
    <w:rsid w:val="005E189B"/>
    <w:rsid w:val="005E2187"/>
    <w:rsid w:val="005E4ABC"/>
    <w:rsid w:val="005E4FE9"/>
    <w:rsid w:val="005E5696"/>
    <w:rsid w:val="005F19E0"/>
    <w:rsid w:val="005F57B5"/>
    <w:rsid w:val="005F5A76"/>
    <w:rsid w:val="005F63FF"/>
    <w:rsid w:val="005F71EC"/>
    <w:rsid w:val="005F7AA1"/>
    <w:rsid w:val="006009E6"/>
    <w:rsid w:val="00603818"/>
    <w:rsid w:val="00604FAE"/>
    <w:rsid w:val="00607605"/>
    <w:rsid w:val="0061001E"/>
    <w:rsid w:val="00610B3C"/>
    <w:rsid w:val="00612869"/>
    <w:rsid w:val="006132A6"/>
    <w:rsid w:val="006146EE"/>
    <w:rsid w:val="00617AD5"/>
    <w:rsid w:val="00622319"/>
    <w:rsid w:val="00622A39"/>
    <w:rsid w:val="00623394"/>
    <w:rsid w:val="0062416A"/>
    <w:rsid w:val="00624EFB"/>
    <w:rsid w:val="00625FB3"/>
    <w:rsid w:val="00626129"/>
    <w:rsid w:val="00632A52"/>
    <w:rsid w:val="00633BA1"/>
    <w:rsid w:val="00634414"/>
    <w:rsid w:val="00636012"/>
    <w:rsid w:val="00636987"/>
    <w:rsid w:val="006403DD"/>
    <w:rsid w:val="00640AE6"/>
    <w:rsid w:val="00640BB6"/>
    <w:rsid w:val="00642FCD"/>
    <w:rsid w:val="006433B2"/>
    <w:rsid w:val="00643E1F"/>
    <w:rsid w:val="00646C25"/>
    <w:rsid w:val="00650CAA"/>
    <w:rsid w:val="00652691"/>
    <w:rsid w:val="00652DD9"/>
    <w:rsid w:val="00654145"/>
    <w:rsid w:val="006559C8"/>
    <w:rsid w:val="00657405"/>
    <w:rsid w:val="006605C2"/>
    <w:rsid w:val="00661864"/>
    <w:rsid w:val="00661F2B"/>
    <w:rsid w:val="00663837"/>
    <w:rsid w:val="00663A00"/>
    <w:rsid w:val="00663B07"/>
    <w:rsid w:val="00664FA6"/>
    <w:rsid w:val="0066579A"/>
    <w:rsid w:val="00665845"/>
    <w:rsid w:val="0066632E"/>
    <w:rsid w:val="006706DC"/>
    <w:rsid w:val="006713EF"/>
    <w:rsid w:val="00671BB1"/>
    <w:rsid w:val="006732B7"/>
    <w:rsid w:val="00681E5C"/>
    <w:rsid w:val="00681F38"/>
    <w:rsid w:val="00682362"/>
    <w:rsid w:val="006832A4"/>
    <w:rsid w:val="0068391C"/>
    <w:rsid w:val="0068419D"/>
    <w:rsid w:val="006846E9"/>
    <w:rsid w:val="006861E4"/>
    <w:rsid w:val="00686886"/>
    <w:rsid w:val="006872DB"/>
    <w:rsid w:val="00687800"/>
    <w:rsid w:val="00691999"/>
    <w:rsid w:val="00693249"/>
    <w:rsid w:val="00693624"/>
    <w:rsid w:val="006953C6"/>
    <w:rsid w:val="00695ED2"/>
    <w:rsid w:val="0069784E"/>
    <w:rsid w:val="006A03E4"/>
    <w:rsid w:val="006A1022"/>
    <w:rsid w:val="006A1A83"/>
    <w:rsid w:val="006A2C4B"/>
    <w:rsid w:val="006A4819"/>
    <w:rsid w:val="006A541C"/>
    <w:rsid w:val="006A55D2"/>
    <w:rsid w:val="006A63D0"/>
    <w:rsid w:val="006B185D"/>
    <w:rsid w:val="006B42B8"/>
    <w:rsid w:val="006B50B9"/>
    <w:rsid w:val="006B6104"/>
    <w:rsid w:val="006B6E87"/>
    <w:rsid w:val="006B763D"/>
    <w:rsid w:val="006B77A6"/>
    <w:rsid w:val="006B7BC4"/>
    <w:rsid w:val="006B7EDD"/>
    <w:rsid w:val="006C1C28"/>
    <w:rsid w:val="006C1F6D"/>
    <w:rsid w:val="006C2F62"/>
    <w:rsid w:val="006C31AA"/>
    <w:rsid w:val="006C5E5C"/>
    <w:rsid w:val="006C6C12"/>
    <w:rsid w:val="006D0365"/>
    <w:rsid w:val="006D037D"/>
    <w:rsid w:val="006D18C0"/>
    <w:rsid w:val="006D2068"/>
    <w:rsid w:val="006D249D"/>
    <w:rsid w:val="006D3725"/>
    <w:rsid w:val="006D4AE1"/>
    <w:rsid w:val="006D52A7"/>
    <w:rsid w:val="006D52D8"/>
    <w:rsid w:val="006D54CD"/>
    <w:rsid w:val="006D5AAB"/>
    <w:rsid w:val="006D7A90"/>
    <w:rsid w:val="006E0111"/>
    <w:rsid w:val="006E08CC"/>
    <w:rsid w:val="006E3709"/>
    <w:rsid w:val="006E3C13"/>
    <w:rsid w:val="006F0139"/>
    <w:rsid w:val="006F0984"/>
    <w:rsid w:val="006F0BEF"/>
    <w:rsid w:val="006F214B"/>
    <w:rsid w:val="006F28C7"/>
    <w:rsid w:val="006F4D73"/>
    <w:rsid w:val="006F52ED"/>
    <w:rsid w:val="006F795C"/>
    <w:rsid w:val="007001DD"/>
    <w:rsid w:val="00700F12"/>
    <w:rsid w:val="0070443C"/>
    <w:rsid w:val="007057D3"/>
    <w:rsid w:val="00705A0C"/>
    <w:rsid w:val="00706C40"/>
    <w:rsid w:val="00706CFB"/>
    <w:rsid w:val="00711407"/>
    <w:rsid w:val="00712407"/>
    <w:rsid w:val="00712477"/>
    <w:rsid w:val="007139B2"/>
    <w:rsid w:val="00713B21"/>
    <w:rsid w:val="00721A54"/>
    <w:rsid w:val="00721C75"/>
    <w:rsid w:val="007228DB"/>
    <w:rsid w:val="00722BFB"/>
    <w:rsid w:val="00723862"/>
    <w:rsid w:val="0072705B"/>
    <w:rsid w:val="00731859"/>
    <w:rsid w:val="00732CD0"/>
    <w:rsid w:val="00733275"/>
    <w:rsid w:val="00735A4C"/>
    <w:rsid w:val="00735CB1"/>
    <w:rsid w:val="00735CF0"/>
    <w:rsid w:val="00736D00"/>
    <w:rsid w:val="00740904"/>
    <w:rsid w:val="00741B0E"/>
    <w:rsid w:val="00741F74"/>
    <w:rsid w:val="00742672"/>
    <w:rsid w:val="00742E8A"/>
    <w:rsid w:val="007431B7"/>
    <w:rsid w:val="00745482"/>
    <w:rsid w:val="007459F5"/>
    <w:rsid w:val="0074670F"/>
    <w:rsid w:val="00746DDC"/>
    <w:rsid w:val="007475AA"/>
    <w:rsid w:val="00747C2C"/>
    <w:rsid w:val="0075061C"/>
    <w:rsid w:val="00752B28"/>
    <w:rsid w:val="00754727"/>
    <w:rsid w:val="00754D25"/>
    <w:rsid w:val="00755961"/>
    <w:rsid w:val="00756A18"/>
    <w:rsid w:val="00757590"/>
    <w:rsid w:val="007652CE"/>
    <w:rsid w:val="0076572D"/>
    <w:rsid w:val="00765936"/>
    <w:rsid w:val="00766C83"/>
    <w:rsid w:val="00767D6C"/>
    <w:rsid w:val="0077091B"/>
    <w:rsid w:val="00770A1E"/>
    <w:rsid w:val="0077416A"/>
    <w:rsid w:val="0077569C"/>
    <w:rsid w:val="00775A32"/>
    <w:rsid w:val="00776C05"/>
    <w:rsid w:val="00777BE6"/>
    <w:rsid w:val="007816ED"/>
    <w:rsid w:val="007821CF"/>
    <w:rsid w:val="00783DAC"/>
    <w:rsid w:val="00784500"/>
    <w:rsid w:val="00785112"/>
    <w:rsid w:val="00786700"/>
    <w:rsid w:val="007878B9"/>
    <w:rsid w:val="00787C19"/>
    <w:rsid w:val="00787D07"/>
    <w:rsid w:val="00791125"/>
    <w:rsid w:val="007931BC"/>
    <w:rsid w:val="00793646"/>
    <w:rsid w:val="00794E75"/>
    <w:rsid w:val="0079521E"/>
    <w:rsid w:val="0079606B"/>
    <w:rsid w:val="00796071"/>
    <w:rsid w:val="00796D77"/>
    <w:rsid w:val="007A0CB6"/>
    <w:rsid w:val="007A0ED0"/>
    <w:rsid w:val="007A1510"/>
    <w:rsid w:val="007A2A41"/>
    <w:rsid w:val="007A2B40"/>
    <w:rsid w:val="007A4D97"/>
    <w:rsid w:val="007A5289"/>
    <w:rsid w:val="007A5D2F"/>
    <w:rsid w:val="007A768C"/>
    <w:rsid w:val="007A7853"/>
    <w:rsid w:val="007A7EF5"/>
    <w:rsid w:val="007B2BAC"/>
    <w:rsid w:val="007B2CAC"/>
    <w:rsid w:val="007B2D41"/>
    <w:rsid w:val="007B44FB"/>
    <w:rsid w:val="007B4F0C"/>
    <w:rsid w:val="007C0E38"/>
    <w:rsid w:val="007C1421"/>
    <w:rsid w:val="007C18E3"/>
    <w:rsid w:val="007C1DEB"/>
    <w:rsid w:val="007C459A"/>
    <w:rsid w:val="007C4E08"/>
    <w:rsid w:val="007D18E6"/>
    <w:rsid w:val="007D2F4C"/>
    <w:rsid w:val="007D3DFF"/>
    <w:rsid w:val="007D3F38"/>
    <w:rsid w:val="007D4DB8"/>
    <w:rsid w:val="007E2197"/>
    <w:rsid w:val="007E233C"/>
    <w:rsid w:val="007E3304"/>
    <w:rsid w:val="007E4D1F"/>
    <w:rsid w:val="007F14BA"/>
    <w:rsid w:val="007F1E48"/>
    <w:rsid w:val="007F3D79"/>
    <w:rsid w:val="007F40E3"/>
    <w:rsid w:val="007F4313"/>
    <w:rsid w:val="007F4605"/>
    <w:rsid w:val="007F6A6F"/>
    <w:rsid w:val="007F6C7D"/>
    <w:rsid w:val="008002D9"/>
    <w:rsid w:val="00800FE4"/>
    <w:rsid w:val="00801249"/>
    <w:rsid w:val="008026F6"/>
    <w:rsid w:val="00803F84"/>
    <w:rsid w:val="008043AC"/>
    <w:rsid w:val="00805B61"/>
    <w:rsid w:val="00806070"/>
    <w:rsid w:val="00806EE8"/>
    <w:rsid w:val="00811D89"/>
    <w:rsid w:val="00812EE9"/>
    <w:rsid w:val="00814500"/>
    <w:rsid w:val="00816A19"/>
    <w:rsid w:val="008211DF"/>
    <w:rsid w:val="00822225"/>
    <w:rsid w:val="0082269A"/>
    <w:rsid w:val="00822F77"/>
    <w:rsid w:val="0082354A"/>
    <w:rsid w:val="008255D2"/>
    <w:rsid w:val="00832ADC"/>
    <w:rsid w:val="00833AF7"/>
    <w:rsid w:val="00834023"/>
    <w:rsid w:val="008346D1"/>
    <w:rsid w:val="00835579"/>
    <w:rsid w:val="00836F9B"/>
    <w:rsid w:val="00837487"/>
    <w:rsid w:val="00840D16"/>
    <w:rsid w:val="00843B20"/>
    <w:rsid w:val="00844106"/>
    <w:rsid w:val="00844B27"/>
    <w:rsid w:val="00844D29"/>
    <w:rsid w:val="00844EDF"/>
    <w:rsid w:val="00846195"/>
    <w:rsid w:val="00846FA0"/>
    <w:rsid w:val="008479B6"/>
    <w:rsid w:val="00851FAF"/>
    <w:rsid w:val="008523E5"/>
    <w:rsid w:val="00852E07"/>
    <w:rsid w:val="00855AA5"/>
    <w:rsid w:val="00856B9B"/>
    <w:rsid w:val="00857671"/>
    <w:rsid w:val="0086002F"/>
    <w:rsid w:val="0086032D"/>
    <w:rsid w:val="00861906"/>
    <w:rsid w:val="00861B01"/>
    <w:rsid w:val="00863F9D"/>
    <w:rsid w:val="008645F9"/>
    <w:rsid w:val="0086628A"/>
    <w:rsid w:val="00871279"/>
    <w:rsid w:val="008716A7"/>
    <w:rsid w:val="00872913"/>
    <w:rsid w:val="008734DD"/>
    <w:rsid w:val="00873F82"/>
    <w:rsid w:val="00874B7B"/>
    <w:rsid w:val="00874F25"/>
    <w:rsid w:val="00875B3F"/>
    <w:rsid w:val="00880CA5"/>
    <w:rsid w:val="008817B1"/>
    <w:rsid w:val="008832FA"/>
    <w:rsid w:val="008834BB"/>
    <w:rsid w:val="008840FA"/>
    <w:rsid w:val="008846D2"/>
    <w:rsid w:val="008862EB"/>
    <w:rsid w:val="00890F95"/>
    <w:rsid w:val="008910AC"/>
    <w:rsid w:val="0089311A"/>
    <w:rsid w:val="0089384D"/>
    <w:rsid w:val="00893A0F"/>
    <w:rsid w:val="00893B17"/>
    <w:rsid w:val="008946C3"/>
    <w:rsid w:val="008948E0"/>
    <w:rsid w:val="0089528C"/>
    <w:rsid w:val="008A0089"/>
    <w:rsid w:val="008A3B84"/>
    <w:rsid w:val="008A7C66"/>
    <w:rsid w:val="008B034D"/>
    <w:rsid w:val="008B0BBC"/>
    <w:rsid w:val="008B13FB"/>
    <w:rsid w:val="008B245C"/>
    <w:rsid w:val="008B4153"/>
    <w:rsid w:val="008B4F64"/>
    <w:rsid w:val="008B5356"/>
    <w:rsid w:val="008B609A"/>
    <w:rsid w:val="008B6E81"/>
    <w:rsid w:val="008B7927"/>
    <w:rsid w:val="008C43DA"/>
    <w:rsid w:val="008C4770"/>
    <w:rsid w:val="008C488C"/>
    <w:rsid w:val="008C6AD1"/>
    <w:rsid w:val="008C71B5"/>
    <w:rsid w:val="008D3D2D"/>
    <w:rsid w:val="008E36B3"/>
    <w:rsid w:val="008E431F"/>
    <w:rsid w:val="008E5E12"/>
    <w:rsid w:val="008E613B"/>
    <w:rsid w:val="008F0D2A"/>
    <w:rsid w:val="008F12D4"/>
    <w:rsid w:val="008F161C"/>
    <w:rsid w:val="008F17A0"/>
    <w:rsid w:val="008F1814"/>
    <w:rsid w:val="008F205F"/>
    <w:rsid w:val="008F23EF"/>
    <w:rsid w:val="008F386F"/>
    <w:rsid w:val="008F48E1"/>
    <w:rsid w:val="008F5A5D"/>
    <w:rsid w:val="008F5BD0"/>
    <w:rsid w:val="008F6A88"/>
    <w:rsid w:val="008F716F"/>
    <w:rsid w:val="008F7B36"/>
    <w:rsid w:val="009003FE"/>
    <w:rsid w:val="00901955"/>
    <w:rsid w:val="00903C95"/>
    <w:rsid w:val="00904272"/>
    <w:rsid w:val="009046D4"/>
    <w:rsid w:val="00904793"/>
    <w:rsid w:val="009058DB"/>
    <w:rsid w:val="009075B6"/>
    <w:rsid w:val="0091026E"/>
    <w:rsid w:val="009104F7"/>
    <w:rsid w:val="0091058D"/>
    <w:rsid w:val="00911711"/>
    <w:rsid w:val="00913858"/>
    <w:rsid w:val="00913A0F"/>
    <w:rsid w:val="00914959"/>
    <w:rsid w:val="00914BBC"/>
    <w:rsid w:val="00915CE6"/>
    <w:rsid w:val="009162DA"/>
    <w:rsid w:val="009168A1"/>
    <w:rsid w:val="00917583"/>
    <w:rsid w:val="0092106C"/>
    <w:rsid w:val="00923BC4"/>
    <w:rsid w:val="00924681"/>
    <w:rsid w:val="009250AE"/>
    <w:rsid w:val="0092622E"/>
    <w:rsid w:val="00926605"/>
    <w:rsid w:val="00930877"/>
    <w:rsid w:val="00930D20"/>
    <w:rsid w:val="009314F2"/>
    <w:rsid w:val="00933767"/>
    <w:rsid w:val="00937012"/>
    <w:rsid w:val="0094003D"/>
    <w:rsid w:val="0094273F"/>
    <w:rsid w:val="009439B0"/>
    <w:rsid w:val="0094403C"/>
    <w:rsid w:val="0094555E"/>
    <w:rsid w:val="00945C7C"/>
    <w:rsid w:val="00945CB0"/>
    <w:rsid w:val="0094654D"/>
    <w:rsid w:val="0094667E"/>
    <w:rsid w:val="00946A66"/>
    <w:rsid w:val="00946BD7"/>
    <w:rsid w:val="00951188"/>
    <w:rsid w:val="00951AF4"/>
    <w:rsid w:val="0095234F"/>
    <w:rsid w:val="00955CBA"/>
    <w:rsid w:val="00956A95"/>
    <w:rsid w:val="00957A47"/>
    <w:rsid w:val="00957C46"/>
    <w:rsid w:val="00960F2F"/>
    <w:rsid w:val="009634F6"/>
    <w:rsid w:val="00963B5E"/>
    <w:rsid w:val="00963FA0"/>
    <w:rsid w:val="0096491F"/>
    <w:rsid w:val="00964FCB"/>
    <w:rsid w:val="00970C80"/>
    <w:rsid w:val="009744E7"/>
    <w:rsid w:val="00974E95"/>
    <w:rsid w:val="00975F2D"/>
    <w:rsid w:val="00976962"/>
    <w:rsid w:val="00976985"/>
    <w:rsid w:val="00977BF5"/>
    <w:rsid w:val="00981F74"/>
    <w:rsid w:val="00982FEE"/>
    <w:rsid w:val="0098302D"/>
    <w:rsid w:val="00987608"/>
    <w:rsid w:val="00990A52"/>
    <w:rsid w:val="00991891"/>
    <w:rsid w:val="00993AE3"/>
    <w:rsid w:val="009943A0"/>
    <w:rsid w:val="009953BC"/>
    <w:rsid w:val="0099543E"/>
    <w:rsid w:val="009963D2"/>
    <w:rsid w:val="009A0568"/>
    <w:rsid w:val="009A0AF9"/>
    <w:rsid w:val="009A16BE"/>
    <w:rsid w:val="009A210C"/>
    <w:rsid w:val="009A2337"/>
    <w:rsid w:val="009A2E00"/>
    <w:rsid w:val="009A355A"/>
    <w:rsid w:val="009A3B09"/>
    <w:rsid w:val="009A5369"/>
    <w:rsid w:val="009A557E"/>
    <w:rsid w:val="009A5CE8"/>
    <w:rsid w:val="009A5FBE"/>
    <w:rsid w:val="009A7074"/>
    <w:rsid w:val="009A72B0"/>
    <w:rsid w:val="009A7B5A"/>
    <w:rsid w:val="009A7F79"/>
    <w:rsid w:val="009B1119"/>
    <w:rsid w:val="009B2260"/>
    <w:rsid w:val="009B277A"/>
    <w:rsid w:val="009B2BDC"/>
    <w:rsid w:val="009B5F5D"/>
    <w:rsid w:val="009B6201"/>
    <w:rsid w:val="009B73BA"/>
    <w:rsid w:val="009C0EEA"/>
    <w:rsid w:val="009C10D9"/>
    <w:rsid w:val="009C20A2"/>
    <w:rsid w:val="009C3703"/>
    <w:rsid w:val="009C425A"/>
    <w:rsid w:val="009C4F43"/>
    <w:rsid w:val="009C5CA7"/>
    <w:rsid w:val="009D01D1"/>
    <w:rsid w:val="009D03F8"/>
    <w:rsid w:val="009D096F"/>
    <w:rsid w:val="009D1DF4"/>
    <w:rsid w:val="009D283C"/>
    <w:rsid w:val="009D49EA"/>
    <w:rsid w:val="009D7A24"/>
    <w:rsid w:val="009E00E4"/>
    <w:rsid w:val="009E0D20"/>
    <w:rsid w:val="009E0F6B"/>
    <w:rsid w:val="009E175A"/>
    <w:rsid w:val="009E1DB3"/>
    <w:rsid w:val="009E22EA"/>
    <w:rsid w:val="009E2964"/>
    <w:rsid w:val="009E3EB3"/>
    <w:rsid w:val="009E423C"/>
    <w:rsid w:val="009E5D18"/>
    <w:rsid w:val="009E7AFF"/>
    <w:rsid w:val="009E7DCD"/>
    <w:rsid w:val="009F47C3"/>
    <w:rsid w:val="009F55F9"/>
    <w:rsid w:val="009F5CC0"/>
    <w:rsid w:val="009F6842"/>
    <w:rsid w:val="009F6F8B"/>
    <w:rsid w:val="009F7164"/>
    <w:rsid w:val="00A00551"/>
    <w:rsid w:val="00A02F0A"/>
    <w:rsid w:val="00A06A53"/>
    <w:rsid w:val="00A06A54"/>
    <w:rsid w:val="00A103E8"/>
    <w:rsid w:val="00A1074D"/>
    <w:rsid w:val="00A10863"/>
    <w:rsid w:val="00A11172"/>
    <w:rsid w:val="00A127DD"/>
    <w:rsid w:val="00A12D4A"/>
    <w:rsid w:val="00A14E6C"/>
    <w:rsid w:val="00A16482"/>
    <w:rsid w:val="00A167EC"/>
    <w:rsid w:val="00A16D01"/>
    <w:rsid w:val="00A172E6"/>
    <w:rsid w:val="00A17D1C"/>
    <w:rsid w:val="00A209A2"/>
    <w:rsid w:val="00A20CBF"/>
    <w:rsid w:val="00A22BA7"/>
    <w:rsid w:val="00A24C8D"/>
    <w:rsid w:val="00A2542A"/>
    <w:rsid w:val="00A25718"/>
    <w:rsid w:val="00A26F15"/>
    <w:rsid w:val="00A277D0"/>
    <w:rsid w:val="00A30E37"/>
    <w:rsid w:val="00A32930"/>
    <w:rsid w:val="00A34641"/>
    <w:rsid w:val="00A34674"/>
    <w:rsid w:val="00A3494F"/>
    <w:rsid w:val="00A35CD2"/>
    <w:rsid w:val="00A35CF8"/>
    <w:rsid w:val="00A35F44"/>
    <w:rsid w:val="00A360E7"/>
    <w:rsid w:val="00A36F2B"/>
    <w:rsid w:val="00A400FB"/>
    <w:rsid w:val="00A43C4F"/>
    <w:rsid w:val="00A443D1"/>
    <w:rsid w:val="00A456B3"/>
    <w:rsid w:val="00A47BFE"/>
    <w:rsid w:val="00A50DBA"/>
    <w:rsid w:val="00A51808"/>
    <w:rsid w:val="00A51D78"/>
    <w:rsid w:val="00A51EA8"/>
    <w:rsid w:val="00A549C3"/>
    <w:rsid w:val="00A55E10"/>
    <w:rsid w:val="00A561A8"/>
    <w:rsid w:val="00A562A6"/>
    <w:rsid w:val="00A60011"/>
    <w:rsid w:val="00A60E6A"/>
    <w:rsid w:val="00A63635"/>
    <w:rsid w:val="00A64106"/>
    <w:rsid w:val="00A6703C"/>
    <w:rsid w:val="00A7007B"/>
    <w:rsid w:val="00A71623"/>
    <w:rsid w:val="00A73BD7"/>
    <w:rsid w:val="00A82768"/>
    <w:rsid w:val="00A84B87"/>
    <w:rsid w:val="00A84D4B"/>
    <w:rsid w:val="00A84FD0"/>
    <w:rsid w:val="00A8592D"/>
    <w:rsid w:val="00A8629D"/>
    <w:rsid w:val="00A90D08"/>
    <w:rsid w:val="00A93FFF"/>
    <w:rsid w:val="00A95196"/>
    <w:rsid w:val="00A95746"/>
    <w:rsid w:val="00A96D45"/>
    <w:rsid w:val="00A97045"/>
    <w:rsid w:val="00A973EE"/>
    <w:rsid w:val="00AA18DD"/>
    <w:rsid w:val="00AA1F91"/>
    <w:rsid w:val="00AA3687"/>
    <w:rsid w:val="00AA4A07"/>
    <w:rsid w:val="00AA5CE1"/>
    <w:rsid w:val="00AB184B"/>
    <w:rsid w:val="00AB2D9E"/>
    <w:rsid w:val="00AB4404"/>
    <w:rsid w:val="00AB603C"/>
    <w:rsid w:val="00AC0375"/>
    <w:rsid w:val="00AC154C"/>
    <w:rsid w:val="00AC21EE"/>
    <w:rsid w:val="00AC2B02"/>
    <w:rsid w:val="00AC3B22"/>
    <w:rsid w:val="00AC4101"/>
    <w:rsid w:val="00AC5597"/>
    <w:rsid w:val="00AC71C4"/>
    <w:rsid w:val="00AD0116"/>
    <w:rsid w:val="00AD1AD4"/>
    <w:rsid w:val="00AD1B42"/>
    <w:rsid w:val="00AD2871"/>
    <w:rsid w:val="00AD322C"/>
    <w:rsid w:val="00AD4B84"/>
    <w:rsid w:val="00AD573D"/>
    <w:rsid w:val="00AD5D06"/>
    <w:rsid w:val="00AE0676"/>
    <w:rsid w:val="00AE23BE"/>
    <w:rsid w:val="00AE2EAC"/>
    <w:rsid w:val="00AE2EBA"/>
    <w:rsid w:val="00AE5772"/>
    <w:rsid w:val="00AF07E7"/>
    <w:rsid w:val="00AF0AC0"/>
    <w:rsid w:val="00AF16E0"/>
    <w:rsid w:val="00AF4CA9"/>
    <w:rsid w:val="00AF5B52"/>
    <w:rsid w:val="00AF5DCA"/>
    <w:rsid w:val="00AF7879"/>
    <w:rsid w:val="00B00818"/>
    <w:rsid w:val="00B008BF"/>
    <w:rsid w:val="00B0102E"/>
    <w:rsid w:val="00B052BA"/>
    <w:rsid w:val="00B07460"/>
    <w:rsid w:val="00B1022B"/>
    <w:rsid w:val="00B10338"/>
    <w:rsid w:val="00B1151C"/>
    <w:rsid w:val="00B11E06"/>
    <w:rsid w:val="00B13099"/>
    <w:rsid w:val="00B1397D"/>
    <w:rsid w:val="00B16978"/>
    <w:rsid w:val="00B16BE4"/>
    <w:rsid w:val="00B17EBB"/>
    <w:rsid w:val="00B237C6"/>
    <w:rsid w:val="00B24A6F"/>
    <w:rsid w:val="00B260D9"/>
    <w:rsid w:val="00B278DB"/>
    <w:rsid w:val="00B30D4F"/>
    <w:rsid w:val="00B30D5C"/>
    <w:rsid w:val="00B3434E"/>
    <w:rsid w:val="00B34A3E"/>
    <w:rsid w:val="00B351FD"/>
    <w:rsid w:val="00B35BFD"/>
    <w:rsid w:val="00B36614"/>
    <w:rsid w:val="00B36ECF"/>
    <w:rsid w:val="00B40B13"/>
    <w:rsid w:val="00B421F2"/>
    <w:rsid w:val="00B42822"/>
    <w:rsid w:val="00B42C54"/>
    <w:rsid w:val="00B4395A"/>
    <w:rsid w:val="00B4553E"/>
    <w:rsid w:val="00B45901"/>
    <w:rsid w:val="00B4610D"/>
    <w:rsid w:val="00B46773"/>
    <w:rsid w:val="00B47091"/>
    <w:rsid w:val="00B47E14"/>
    <w:rsid w:val="00B500F9"/>
    <w:rsid w:val="00B52BB4"/>
    <w:rsid w:val="00B54256"/>
    <w:rsid w:val="00B545F4"/>
    <w:rsid w:val="00B56303"/>
    <w:rsid w:val="00B56D7B"/>
    <w:rsid w:val="00B573DA"/>
    <w:rsid w:val="00B57599"/>
    <w:rsid w:val="00B57FB2"/>
    <w:rsid w:val="00B607B6"/>
    <w:rsid w:val="00B61F2F"/>
    <w:rsid w:val="00B63199"/>
    <w:rsid w:val="00B64F62"/>
    <w:rsid w:val="00B65321"/>
    <w:rsid w:val="00B65D3A"/>
    <w:rsid w:val="00B663B5"/>
    <w:rsid w:val="00B66898"/>
    <w:rsid w:val="00B67AB6"/>
    <w:rsid w:val="00B7164C"/>
    <w:rsid w:val="00B71BA8"/>
    <w:rsid w:val="00B71BAD"/>
    <w:rsid w:val="00B72CBC"/>
    <w:rsid w:val="00B807AB"/>
    <w:rsid w:val="00B80F53"/>
    <w:rsid w:val="00B8152D"/>
    <w:rsid w:val="00B82E26"/>
    <w:rsid w:val="00B910F3"/>
    <w:rsid w:val="00B91A7C"/>
    <w:rsid w:val="00B93DB5"/>
    <w:rsid w:val="00B93F2D"/>
    <w:rsid w:val="00B95781"/>
    <w:rsid w:val="00B95AC6"/>
    <w:rsid w:val="00B95FBC"/>
    <w:rsid w:val="00B97C44"/>
    <w:rsid w:val="00BA05AE"/>
    <w:rsid w:val="00BA22F7"/>
    <w:rsid w:val="00BA2FA3"/>
    <w:rsid w:val="00BA46E0"/>
    <w:rsid w:val="00BA61D2"/>
    <w:rsid w:val="00BA6418"/>
    <w:rsid w:val="00BA7D18"/>
    <w:rsid w:val="00BB0704"/>
    <w:rsid w:val="00BB3A8F"/>
    <w:rsid w:val="00BB4181"/>
    <w:rsid w:val="00BB4412"/>
    <w:rsid w:val="00BB5572"/>
    <w:rsid w:val="00BC1F15"/>
    <w:rsid w:val="00BC2214"/>
    <w:rsid w:val="00BC2543"/>
    <w:rsid w:val="00BC2A83"/>
    <w:rsid w:val="00BD0D15"/>
    <w:rsid w:val="00BD33EA"/>
    <w:rsid w:val="00BD5425"/>
    <w:rsid w:val="00BE06A4"/>
    <w:rsid w:val="00BE51F3"/>
    <w:rsid w:val="00BE5E8F"/>
    <w:rsid w:val="00BF0332"/>
    <w:rsid w:val="00BF2BFE"/>
    <w:rsid w:val="00BF50D8"/>
    <w:rsid w:val="00BF5849"/>
    <w:rsid w:val="00BF5F96"/>
    <w:rsid w:val="00BF5FB0"/>
    <w:rsid w:val="00BF5FCC"/>
    <w:rsid w:val="00C0244F"/>
    <w:rsid w:val="00C0256C"/>
    <w:rsid w:val="00C060C8"/>
    <w:rsid w:val="00C069A2"/>
    <w:rsid w:val="00C069EC"/>
    <w:rsid w:val="00C10056"/>
    <w:rsid w:val="00C1628E"/>
    <w:rsid w:val="00C17416"/>
    <w:rsid w:val="00C1748F"/>
    <w:rsid w:val="00C201F2"/>
    <w:rsid w:val="00C21125"/>
    <w:rsid w:val="00C221D5"/>
    <w:rsid w:val="00C2280A"/>
    <w:rsid w:val="00C23D12"/>
    <w:rsid w:val="00C2652B"/>
    <w:rsid w:val="00C278AB"/>
    <w:rsid w:val="00C27933"/>
    <w:rsid w:val="00C30598"/>
    <w:rsid w:val="00C343EA"/>
    <w:rsid w:val="00C3630E"/>
    <w:rsid w:val="00C37145"/>
    <w:rsid w:val="00C37B98"/>
    <w:rsid w:val="00C45360"/>
    <w:rsid w:val="00C45648"/>
    <w:rsid w:val="00C45C85"/>
    <w:rsid w:val="00C45D69"/>
    <w:rsid w:val="00C46744"/>
    <w:rsid w:val="00C50281"/>
    <w:rsid w:val="00C51198"/>
    <w:rsid w:val="00C51681"/>
    <w:rsid w:val="00C533E6"/>
    <w:rsid w:val="00C54DA2"/>
    <w:rsid w:val="00C55680"/>
    <w:rsid w:val="00C557A9"/>
    <w:rsid w:val="00C56730"/>
    <w:rsid w:val="00C6024F"/>
    <w:rsid w:val="00C60CE3"/>
    <w:rsid w:val="00C61FFE"/>
    <w:rsid w:val="00C63D95"/>
    <w:rsid w:val="00C64B94"/>
    <w:rsid w:val="00C650AE"/>
    <w:rsid w:val="00C7064F"/>
    <w:rsid w:val="00C7070C"/>
    <w:rsid w:val="00C70D93"/>
    <w:rsid w:val="00C71263"/>
    <w:rsid w:val="00C72DC1"/>
    <w:rsid w:val="00C7380E"/>
    <w:rsid w:val="00C739BF"/>
    <w:rsid w:val="00C7647E"/>
    <w:rsid w:val="00C76C24"/>
    <w:rsid w:val="00C80E3F"/>
    <w:rsid w:val="00C81BD1"/>
    <w:rsid w:val="00C8399F"/>
    <w:rsid w:val="00C85C21"/>
    <w:rsid w:val="00C8756C"/>
    <w:rsid w:val="00C87EF3"/>
    <w:rsid w:val="00C90663"/>
    <w:rsid w:val="00C90E2B"/>
    <w:rsid w:val="00C92E70"/>
    <w:rsid w:val="00C93DCA"/>
    <w:rsid w:val="00C93E64"/>
    <w:rsid w:val="00CA071B"/>
    <w:rsid w:val="00CA0DD1"/>
    <w:rsid w:val="00CA1504"/>
    <w:rsid w:val="00CA15C7"/>
    <w:rsid w:val="00CA304C"/>
    <w:rsid w:val="00CA5466"/>
    <w:rsid w:val="00CA734B"/>
    <w:rsid w:val="00CB0475"/>
    <w:rsid w:val="00CB1B1E"/>
    <w:rsid w:val="00CB1DB5"/>
    <w:rsid w:val="00CB2C4F"/>
    <w:rsid w:val="00CB3583"/>
    <w:rsid w:val="00CB4218"/>
    <w:rsid w:val="00CB4540"/>
    <w:rsid w:val="00CB6A8C"/>
    <w:rsid w:val="00CC34FF"/>
    <w:rsid w:val="00CC44F0"/>
    <w:rsid w:val="00CC6DB2"/>
    <w:rsid w:val="00CD0E5B"/>
    <w:rsid w:val="00CD0FE9"/>
    <w:rsid w:val="00CD29E4"/>
    <w:rsid w:val="00CD396E"/>
    <w:rsid w:val="00CD3C38"/>
    <w:rsid w:val="00CD46F6"/>
    <w:rsid w:val="00CD5104"/>
    <w:rsid w:val="00CD6046"/>
    <w:rsid w:val="00CD60D3"/>
    <w:rsid w:val="00CE06A5"/>
    <w:rsid w:val="00CE0DF1"/>
    <w:rsid w:val="00CE202E"/>
    <w:rsid w:val="00CE2229"/>
    <w:rsid w:val="00CE28F2"/>
    <w:rsid w:val="00CE374E"/>
    <w:rsid w:val="00CE475A"/>
    <w:rsid w:val="00CF0534"/>
    <w:rsid w:val="00CF3FF0"/>
    <w:rsid w:val="00CF41AF"/>
    <w:rsid w:val="00CF4567"/>
    <w:rsid w:val="00CF53AB"/>
    <w:rsid w:val="00CF6815"/>
    <w:rsid w:val="00D04520"/>
    <w:rsid w:val="00D04D3D"/>
    <w:rsid w:val="00D06C45"/>
    <w:rsid w:val="00D101C7"/>
    <w:rsid w:val="00D10E68"/>
    <w:rsid w:val="00D1143A"/>
    <w:rsid w:val="00D11B02"/>
    <w:rsid w:val="00D1202C"/>
    <w:rsid w:val="00D12433"/>
    <w:rsid w:val="00D12617"/>
    <w:rsid w:val="00D12AFE"/>
    <w:rsid w:val="00D151D0"/>
    <w:rsid w:val="00D16DDF"/>
    <w:rsid w:val="00D16E24"/>
    <w:rsid w:val="00D171B6"/>
    <w:rsid w:val="00D17F75"/>
    <w:rsid w:val="00D20486"/>
    <w:rsid w:val="00D211F3"/>
    <w:rsid w:val="00D228D8"/>
    <w:rsid w:val="00D31439"/>
    <w:rsid w:val="00D33677"/>
    <w:rsid w:val="00D35E03"/>
    <w:rsid w:val="00D36BDD"/>
    <w:rsid w:val="00D3706F"/>
    <w:rsid w:val="00D373EC"/>
    <w:rsid w:val="00D40729"/>
    <w:rsid w:val="00D4180D"/>
    <w:rsid w:val="00D41B01"/>
    <w:rsid w:val="00D42875"/>
    <w:rsid w:val="00D42B44"/>
    <w:rsid w:val="00D4390C"/>
    <w:rsid w:val="00D44A14"/>
    <w:rsid w:val="00D46E0B"/>
    <w:rsid w:val="00D47738"/>
    <w:rsid w:val="00D47A1A"/>
    <w:rsid w:val="00D47D36"/>
    <w:rsid w:val="00D502EB"/>
    <w:rsid w:val="00D51A9B"/>
    <w:rsid w:val="00D51D95"/>
    <w:rsid w:val="00D53EC6"/>
    <w:rsid w:val="00D540EE"/>
    <w:rsid w:val="00D5545A"/>
    <w:rsid w:val="00D55A00"/>
    <w:rsid w:val="00D56F77"/>
    <w:rsid w:val="00D60DB3"/>
    <w:rsid w:val="00D61E9F"/>
    <w:rsid w:val="00D62CC8"/>
    <w:rsid w:val="00D63232"/>
    <w:rsid w:val="00D6402F"/>
    <w:rsid w:val="00D64983"/>
    <w:rsid w:val="00D67BBE"/>
    <w:rsid w:val="00D7047A"/>
    <w:rsid w:val="00D719E9"/>
    <w:rsid w:val="00D72225"/>
    <w:rsid w:val="00D73550"/>
    <w:rsid w:val="00D838F7"/>
    <w:rsid w:val="00D845DA"/>
    <w:rsid w:val="00D8479E"/>
    <w:rsid w:val="00D868F1"/>
    <w:rsid w:val="00D87EFF"/>
    <w:rsid w:val="00D90F47"/>
    <w:rsid w:val="00D91AE6"/>
    <w:rsid w:val="00D93D13"/>
    <w:rsid w:val="00D941E0"/>
    <w:rsid w:val="00D95840"/>
    <w:rsid w:val="00DA1603"/>
    <w:rsid w:val="00DA2B67"/>
    <w:rsid w:val="00DA3C9A"/>
    <w:rsid w:val="00DA4C34"/>
    <w:rsid w:val="00DA554C"/>
    <w:rsid w:val="00DA589B"/>
    <w:rsid w:val="00DA5980"/>
    <w:rsid w:val="00DA5BF6"/>
    <w:rsid w:val="00DA5F07"/>
    <w:rsid w:val="00DA6C19"/>
    <w:rsid w:val="00DB0EF6"/>
    <w:rsid w:val="00DB2668"/>
    <w:rsid w:val="00DB2CE5"/>
    <w:rsid w:val="00DB42FB"/>
    <w:rsid w:val="00DB520B"/>
    <w:rsid w:val="00DB7AEE"/>
    <w:rsid w:val="00DC04E4"/>
    <w:rsid w:val="00DC1187"/>
    <w:rsid w:val="00DC39C4"/>
    <w:rsid w:val="00DC4568"/>
    <w:rsid w:val="00DC6AFC"/>
    <w:rsid w:val="00DC6D29"/>
    <w:rsid w:val="00DD0910"/>
    <w:rsid w:val="00DD0941"/>
    <w:rsid w:val="00DD0CC5"/>
    <w:rsid w:val="00DD12F1"/>
    <w:rsid w:val="00DD1C47"/>
    <w:rsid w:val="00DD2826"/>
    <w:rsid w:val="00DD3BCF"/>
    <w:rsid w:val="00DD48D8"/>
    <w:rsid w:val="00DD49FE"/>
    <w:rsid w:val="00DD643B"/>
    <w:rsid w:val="00DD6B5E"/>
    <w:rsid w:val="00DE0602"/>
    <w:rsid w:val="00DE0E3C"/>
    <w:rsid w:val="00DE13E8"/>
    <w:rsid w:val="00DE4BF6"/>
    <w:rsid w:val="00DE52A5"/>
    <w:rsid w:val="00DE5325"/>
    <w:rsid w:val="00DE5D46"/>
    <w:rsid w:val="00DE69D0"/>
    <w:rsid w:val="00DE7070"/>
    <w:rsid w:val="00DE77A3"/>
    <w:rsid w:val="00DF02F6"/>
    <w:rsid w:val="00DF0993"/>
    <w:rsid w:val="00DF145B"/>
    <w:rsid w:val="00DF163F"/>
    <w:rsid w:val="00DF21B8"/>
    <w:rsid w:val="00DF284F"/>
    <w:rsid w:val="00DF31EE"/>
    <w:rsid w:val="00DF3395"/>
    <w:rsid w:val="00DF6547"/>
    <w:rsid w:val="00DF7681"/>
    <w:rsid w:val="00E00443"/>
    <w:rsid w:val="00E02D36"/>
    <w:rsid w:val="00E03431"/>
    <w:rsid w:val="00E04625"/>
    <w:rsid w:val="00E04E43"/>
    <w:rsid w:val="00E05E74"/>
    <w:rsid w:val="00E065D9"/>
    <w:rsid w:val="00E1050E"/>
    <w:rsid w:val="00E1241D"/>
    <w:rsid w:val="00E13D0D"/>
    <w:rsid w:val="00E149CE"/>
    <w:rsid w:val="00E16AC4"/>
    <w:rsid w:val="00E17C58"/>
    <w:rsid w:val="00E20E7B"/>
    <w:rsid w:val="00E20F5E"/>
    <w:rsid w:val="00E2178D"/>
    <w:rsid w:val="00E2263B"/>
    <w:rsid w:val="00E2282A"/>
    <w:rsid w:val="00E22DDE"/>
    <w:rsid w:val="00E23958"/>
    <w:rsid w:val="00E23AD4"/>
    <w:rsid w:val="00E23BEC"/>
    <w:rsid w:val="00E23EC3"/>
    <w:rsid w:val="00E24E4D"/>
    <w:rsid w:val="00E25D14"/>
    <w:rsid w:val="00E25F8C"/>
    <w:rsid w:val="00E25FF3"/>
    <w:rsid w:val="00E2618B"/>
    <w:rsid w:val="00E267F1"/>
    <w:rsid w:val="00E26938"/>
    <w:rsid w:val="00E27EDD"/>
    <w:rsid w:val="00E3704F"/>
    <w:rsid w:val="00E41399"/>
    <w:rsid w:val="00E42772"/>
    <w:rsid w:val="00E44F08"/>
    <w:rsid w:val="00E528AF"/>
    <w:rsid w:val="00E53131"/>
    <w:rsid w:val="00E5420A"/>
    <w:rsid w:val="00E55167"/>
    <w:rsid w:val="00E5518E"/>
    <w:rsid w:val="00E56222"/>
    <w:rsid w:val="00E566D8"/>
    <w:rsid w:val="00E57743"/>
    <w:rsid w:val="00E577C9"/>
    <w:rsid w:val="00E57D50"/>
    <w:rsid w:val="00E62DD3"/>
    <w:rsid w:val="00E641D8"/>
    <w:rsid w:val="00E64B11"/>
    <w:rsid w:val="00E669B7"/>
    <w:rsid w:val="00E66D8F"/>
    <w:rsid w:val="00E6742D"/>
    <w:rsid w:val="00E7098E"/>
    <w:rsid w:val="00E71707"/>
    <w:rsid w:val="00E71EF1"/>
    <w:rsid w:val="00E73017"/>
    <w:rsid w:val="00E731C6"/>
    <w:rsid w:val="00E7398B"/>
    <w:rsid w:val="00E740C4"/>
    <w:rsid w:val="00E74686"/>
    <w:rsid w:val="00E74750"/>
    <w:rsid w:val="00E76686"/>
    <w:rsid w:val="00E80520"/>
    <w:rsid w:val="00E818D4"/>
    <w:rsid w:val="00E81BD0"/>
    <w:rsid w:val="00E81D4A"/>
    <w:rsid w:val="00E8297B"/>
    <w:rsid w:val="00E83C98"/>
    <w:rsid w:val="00E840FE"/>
    <w:rsid w:val="00E847DC"/>
    <w:rsid w:val="00E84DBD"/>
    <w:rsid w:val="00E873A0"/>
    <w:rsid w:val="00E90A99"/>
    <w:rsid w:val="00E9124C"/>
    <w:rsid w:val="00E9128A"/>
    <w:rsid w:val="00E91BFD"/>
    <w:rsid w:val="00E91C15"/>
    <w:rsid w:val="00E93BF9"/>
    <w:rsid w:val="00E943E8"/>
    <w:rsid w:val="00E945CE"/>
    <w:rsid w:val="00E94FAF"/>
    <w:rsid w:val="00E96293"/>
    <w:rsid w:val="00E96E5C"/>
    <w:rsid w:val="00E97091"/>
    <w:rsid w:val="00EA0340"/>
    <w:rsid w:val="00EA0528"/>
    <w:rsid w:val="00EA0B53"/>
    <w:rsid w:val="00EA0C10"/>
    <w:rsid w:val="00EA17FD"/>
    <w:rsid w:val="00EA347E"/>
    <w:rsid w:val="00EA4E02"/>
    <w:rsid w:val="00EA6276"/>
    <w:rsid w:val="00EA6533"/>
    <w:rsid w:val="00EB048C"/>
    <w:rsid w:val="00EB1599"/>
    <w:rsid w:val="00EB2C67"/>
    <w:rsid w:val="00EB367C"/>
    <w:rsid w:val="00EB43BA"/>
    <w:rsid w:val="00EB46D0"/>
    <w:rsid w:val="00EB4700"/>
    <w:rsid w:val="00EB4927"/>
    <w:rsid w:val="00EB572D"/>
    <w:rsid w:val="00EB7F72"/>
    <w:rsid w:val="00EC4357"/>
    <w:rsid w:val="00EC49A4"/>
    <w:rsid w:val="00EC4B0D"/>
    <w:rsid w:val="00EC4EF3"/>
    <w:rsid w:val="00ED0639"/>
    <w:rsid w:val="00ED16C8"/>
    <w:rsid w:val="00ED20C9"/>
    <w:rsid w:val="00ED21EE"/>
    <w:rsid w:val="00ED37E1"/>
    <w:rsid w:val="00ED3B31"/>
    <w:rsid w:val="00ED4EC4"/>
    <w:rsid w:val="00ED6C04"/>
    <w:rsid w:val="00EE04B4"/>
    <w:rsid w:val="00EE3912"/>
    <w:rsid w:val="00EE4040"/>
    <w:rsid w:val="00EE4094"/>
    <w:rsid w:val="00EE453D"/>
    <w:rsid w:val="00EE4D57"/>
    <w:rsid w:val="00EE53FF"/>
    <w:rsid w:val="00EE5E83"/>
    <w:rsid w:val="00EE6954"/>
    <w:rsid w:val="00EE7092"/>
    <w:rsid w:val="00EE7FB1"/>
    <w:rsid w:val="00EF2F5C"/>
    <w:rsid w:val="00EF52E2"/>
    <w:rsid w:val="00EF7590"/>
    <w:rsid w:val="00F013FE"/>
    <w:rsid w:val="00F02000"/>
    <w:rsid w:val="00F0231D"/>
    <w:rsid w:val="00F024CA"/>
    <w:rsid w:val="00F027AA"/>
    <w:rsid w:val="00F03117"/>
    <w:rsid w:val="00F03373"/>
    <w:rsid w:val="00F033AD"/>
    <w:rsid w:val="00F0354F"/>
    <w:rsid w:val="00F06C92"/>
    <w:rsid w:val="00F07B96"/>
    <w:rsid w:val="00F1013F"/>
    <w:rsid w:val="00F10A99"/>
    <w:rsid w:val="00F138A2"/>
    <w:rsid w:val="00F14C80"/>
    <w:rsid w:val="00F154EB"/>
    <w:rsid w:val="00F1764E"/>
    <w:rsid w:val="00F20632"/>
    <w:rsid w:val="00F20E56"/>
    <w:rsid w:val="00F23738"/>
    <w:rsid w:val="00F30846"/>
    <w:rsid w:val="00F30CAB"/>
    <w:rsid w:val="00F32479"/>
    <w:rsid w:val="00F327DF"/>
    <w:rsid w:val="00F32E2C"/>
    <w:rsid w:val="00F33121"/>
    <w:rsid w:val="00F33769"/>
    <w:rsid w:val="00F356D2"/>
    <w:rsid w:val="00F358DA"/>
    <w:rsid w:val="00F3608C"/>
    <w:rsid w:val="00F36736"/>
    <w:rsid w:val="00F36DEB"/>
    <w:rsid w:val="00F406FD"/>
    <w:rsid w:val="00F40D24"/>
    <w:rsid w:val="00F414D0"/>
    <w:rsid w:val="00F43059"/>
    <w:rsid w:val="00F4722B"/>
    <w:rsid w:val="00F47D9D"/>
    <w:rsid w:val="00F50558"/>
    <w:rsid w:val="00F50A8E"/>
    <w:rsid w:val="00F522A8"/>
    <w:rsid w:val="00F544D2"/>
    <w:rsid w:val="00F55847"/>
    <w:rsid w:val="00F57142"/>
    <w:rsid w:val="00F5756D"/>
    <w:rsid w:val="00F62D81"/>
    <w:rsid w:val="00F62F79"/>
    <w:rsid w:val="00F630A2"/>
    <w:rsid w:val="00F643B2"/>
    <w:rsid w:val="00F652AB"/>
    <w:rsid w:val="00F65942"/>
    <w:rsid w:val="00F65BE2"/>
    <w:rsid w:val="00F65E84"/>
    <w:rsid w:val="00F66BFD"/>
    <w:rsid w:val="00F67651"/>
    <w:rsid w:val="00F707F5"/>
    <w:rsid w:val="00F7225A"/>
    <w:rsid w:val="00F72AA0"/>
    <w:rsid w:val="00F7335F"/>
    <w:rsid w:val="00F761F7"/>
    <w:rsid w:val="00F76A40"/>
    <w:rsid w:val="00F77282"/>
    <w:rsid w:val="00F808C4"/>
    <w:rsid w:val="00F80C07"/>
    <w:rsid w:val="00F814BB"/>
    <w:rsid w:val="00F85BC0"/>
    <w:rsid w:val="00F86796"/>
    <w:rsid w:val="00F87264"/>
    <w:rsid w:val="00F908E9"/>
    <w:rsid w:val="00F96295"/>
    <w:rsid w:val="00F96B49"/>
    <w:rsid w:val="00F96D19"/>
    <w:rsid w:val="00FA56D6"/>
    <w:rsid w:val="00FA595F"/>
    <w:rsid w:val="00FA5F99"/>
    <w:rsid w:val="00FA6C24"/>
    <w:rsid w:val="00FB338F"/>
    <w:rsid w:val="00FB3BA5"/>
    <w:rsid w:val="00FB5298"/>
    <w:rsid w:val="00FB651A"/>
    <w:rsid w:val="00FC0CB3"/>
    <w:rsid w:val="00FC2999"/>
    <w:rsid w:val="00FC5465"/>
    <w:rsid w:val="00FC697F"/>
    <w:rsid w:val="00FC765F"/>
    <w:rsid w:val="00FD1861"/>
    <w:rsid w:val="00FD3DCC"/>
    <w:rsid w:val="00FD3F5C"/>
    <w:rsid w:val="00FD49E8"/>
    <w:rsid w:val="00FD5375"/>
    <w:rsid w:val="00FD5B82"/>
    <w:rsid w:val="00FD61A3"/>
    <w:rsid w:val="00FD66C9"/>
    <w:rsid w:val="00FD7446"/>
    <w:rsid w:val="00FD79F6"/>
    <w:rsid w:val="00FE0371"/>
    <w:rsid w:val="00FE1258"/>
    <w:rsid w:val="00FE2025"/>
    <w:rsid w:val="00FE31D0"/>
    <w:rsid w:val="00FE34BD"/>
    <w:rsid w:val="00FE3581"/>
    <w:rsid w:val="00FE7A3F"/>
    <w:rsid w:val="00FF10F6"/>
    <w:rsid w:val="00FF4E87"/>
    <w:rsid w:val="00FF5C5C"/>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135">
      <w:bodyDiv w:val="1"/>
      <w:marLeft w:val="0"/>
      <w:marRight w:val="0"/>
      <w:marTop w:val="0"/>
      <w:marBottom w:val="0"/>
      <w:divBdr>
        <w:top w:val="none" w:sz="0" w:space="0" w:color="auto"/>
        <w:left w:val="none" w:sz="0" w:space="0" w:color="auto"/>
        <w:bottom w:val="none" w:sz="0" w:space="0" w:color="auto"/>
        <w:right w:val="none" w:sz="0" w:space="0" w:color="auto"/>
      </w:divBdr>
    </w:div>
    <w:div w:id="23950115">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90707435">
      <w:bodyDiv w:val="1"/>
      <w:marLeft w:val="0"/>
      <w:marRight w:val="0"/>
      <w:marTop w:val="0"/>
      <w:marBottom w:val="0"/>
      <w:divBdr>
        <w:top w:val="none" w:sz="0" w:space="0" w:color="auto"/>
        <w:left w:val="none" w:sz="0" w:space="0" w:color="auto"/>
        <w:bottom w:val="none" w:sz="0" w:space="0" w:color="auto"/>
        <w:right w:val="none" w:sz="0" w:space="0" w:color="auto"/>
      </w:divBdr>
    </w:div>
    <w:div w:id="97917201">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191068322">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543135">
      <w:bodyDiv w:val="1"/>
      <w:marLeft w:val="0"/>
      <w:marRight w:val="0"/>
      <w:marTop w:val="0"/>
      <w:marBottom w:val="0"/>
      <w:divBdr>
        <w:top w:val="none" w:sz="0" w:space="0" w:color="auto"/>
        <w:left w:val="none" w:sz="0" w:space="0" w:color="auto"/>
        <w:bottom w:val="none" w:sz="0" w:space="0" w:color="auto"/>
        <w:right w:val="none" w:sz="0" w:space="0" w:color="auto"/>
      </w:divBdr>
    </w:div>
    <w:div w:id="28667042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7350070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99561381">
      <w:bodyDiv w:val="1"/>
      <w:marLeft w:val="0"/>
      <w:marRight w:val="0"/>
      <w:marTop w:val="0"/>
      <w:marBottom w:val="0"/>
      <w:divBdr>
        <w:top w:val="none" w:sz="0" w:space="0" w:color="auto"/>
        <w:left w:val="none" w:sz="0" w:space="0" w:color="auto"/>
        <w:bottom w:val="none" w:sz="0" w:space="0" w:color="auto"/>
        <w:right w:val="none" w:sz="0" w:space="0" w:color="auto"/>
      </w:divBdr>
    </w:div>
    <w:div w:id="994575892">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9307149">
      <w:bodyDiv w:val="1"/>
      <w:marLeft w:val="0"/>
      <w:marRight w:val="0"/>
      <w:marTop w:val="0"/>
      <w:marBottom w:val="0"/>
      <w:divBdr>
        <w:top w:val="none" w:sz="0" w:space="0" w:color="auto"/>
        <w:left w:val="none" w:sz="0" w:space="0" w:color="auto"/>
        <w:bottom w:val="none" w:sz="0" w:space="0" w:color="auto"/>
        <w:right w:val="none" w:sz="0" w:space="0" w:color="auto"/>
      </w:divBdr>
    </w:div>
    <w:div w:id="1363631282">
      <w:bodyDiv w:val="1"/>
      <w:marLeft w:val="0"/>
      <w:marRight w:val="0"/>
      <w:marTop w:val="0"/>
      <w:marBottom w:val="0"/>
      <w:divBdr>
        <w:top w:val="none" w:sz="0" w:space="0" w:color="auto"/>
        <w:left w:val="none" w:sz="0" w:space="0" w:color="auto"/>
        <w:bottom w:val="none" w:sz="0" w:space="0" w:color="auto"/>
        <w:right w:val="none" w:sz="0" w:space="0" w:color="auto"/>
      </w:divBdr>
    </w:div>
    <w:div w:id="1425028158">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97777558">
      <w:bodyDiv w:val="1"/>
      <w:marLeft w:val="0"/>
      <w:marRight w:val="0"/>
      <w:marTop w:val="0"/>
      <w:marBottom w:val="0"/>
      <w:divBdr>
        <w:top w:val="none" w:sz="0" w:space="0" w:color="auto"/>
        <w:left w:val="none" w:sz="0" w:space="0" w:color="auto"/>
        <w:bottom w:val="none" w:sz="0" w:space="0" w:color="auto"/>
        <w:right w:val="none" w:sz="0" w:space="0" w:color="auto"/>
      </w:divBdr>
    </w:div>
    <w:div w:id="1747418591">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19512103">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3262219">
      <w:bodyDiv w:val="1"/>
      <w:marLeft w:val="0"/>
      <w:marRight w:val="0"/>
      <w:marTop w:val="0"/>
      <w:marBottom w:val="0"/>
      <w:divBdr>
        <w:top w:val="none" w:sz="0" w:space="0" w:color="auto"/>
        <w:left w:val="none" w:sz="0" w:space="0" w:color="auto"/>
        <w:bottom w:val="none" w:sz="0" w:space="0" w:color="auto"/>
        <w:right w:val="none" w:sz="0" w:space="0" w:color="auto"/>
      </w:divBdr>
    </w:div>
    <w:div w:id="2001226619">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32875772">
      <w:bodyDiv w:val="1"/>
      <w:marLeft w:val="0"/>
      <w:marRight w:val="0"/>
      <w:marTop w:val="0"/>
      <w:marBottom w:val="0"/>
      <w:divBdr>
        <w:top w:val="none" w:sz="0" w:space="0" w:color="auto"/>
        <w:left w:val="none" w:sz="0" w:space="0" w:color="auto"/>
        <w:bottom w:val="none" w:sz="0" w:space="0" w:color="auto"/>
        <w:right w:val="none" w:sz="0" w:space="0" w:color="auto"/>
      </w:divBdr>
    </w:div>
    <w:div w:id="2080011593">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609483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eeresources.com"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www.energy.ca.gov/title24/2013standards/prerulemaking/documents/2011-04-04_workshop/review/Nonres_Indoor_Lighting_Controls.pdf" TargetMode="External"/><Relationship Id="rId13" Type="http://schemas.openxmlformats.org/officeDocument/2006/relationships/hyperlink" Target="http://www.rsmeans.com/" TargetMode="External"/><Relationship Id="rId3" Type="http://schemas.openxmlformats.org/officeDocument/2006/relationships/hyperlink" Target="http://www.etcc-ca.com/sites/default/files/reports/ET12PGE1481%20Retail%20LED%20updated%2003132014.pdf" TargetMode="External"/><Relationship Id="rId7" Type="http://schemas.openxmlformats.org/officeDocument/2006/relationships/hyperlink" Target="http://www.gpo.gov/fdsys/pkg/FR-2011-11-14/pdf/2011-28451.pdf" TargetMode="External"/><Relationship Id="rId12" Type="http://schemas.openxmlformats.org/officeDocument/2006/relationships/hyperlink" Target="http://www.gpo.gov/fdsys/pkg/FR-2014-06-03/pdf/2014-12127.pdf" TargetMode="External"/><Relationship Id="rId2" Type="http://schemas.openxmlformats.org/officeDocument/2006/relationships/hyperlink" Target="http://www.deeresources.com" TargetMode="External"/><Relationship Id="rId1" Type="http://schemas.openxmlformats.org/officeDocument/2006/relationships/hyperlink" Target="https://urldefense.proofpoint.com/v2/url?u=http-3A__apps1.eere.energy.gov_buildings_publications_pdfs_ssl_2010-2Dlmc-2Dfinal-2Djan-2D2012.pdf&amp;d=BQMFAg&amp;c=hLS_V_MyRCwXDjNCFvC1XhVzdhW2dOtrP9xQj43rEYI&amp;r=TlrXy5TrK8nTfd5c4pv-ow&amp;m=A_sWUgFERFjw3F_leslWM3ZqPLimv_rw4h-6rQsY4js&amp;s=SsFH0JL36jCn7uudgFNPVrNA4dqEg5cU5zA__Kn99mU&amp;e=" TargetMode="External"/><Relationship Id="rId6" Type="http://schemas.openxmlformats.org/officeDocument/2006/relationships/hyperlink" Target="http://www1.eere.energy.gov/buildings/appliance_standards/product.aspx/productid/70" TargetMode="External"/><Relationship Id="rId11" Type="http://schemas.openxmlformats.org/officeDocument/2006/relationships/image" Target="media/image1.png"/><Relationship Id="rId5" Type="http://schemas.openxmlformats.org/officeDocument/2006/relationships/hyperlink" Target="http://www.gpo.gov/fdsys/pkg/CFR-2012-title10-vol3/pdf/CFR-2012-title10-vol3-sec430-32.pdf" TargetMode="External"/><Relationship Id="rId10" Type="http://schemas.openxmlformats.org/officeDocument/2006/relationships/hyperlink" Target="http://www.energy.ca.gov/2012publications/CEC-400-2012-004/CEC-400-2012-004-CMF-REV2.pdf" TargetMode="External"/><Relationship Id="rId4" Type="http://schemas.openxmlformats.org/officeDocument/2006/relationships/hyperlink" Target="http://www.etcc-ca.com/sites/default/files/reports/ET11PGE3251%20LED%20Office%20Lighting%20With%20ALCS.pdf" TargetMode="External"/><Relationship Id="rId9" Type="http://schemas.openxmlformats.org/officeDocument/2006/relationships/hyperlink" Target="http://www.cooperindustries.com/content/dam/public/lighting/products/documents/metalux/spec_sheets/090386_2P2GAX332_3L_T8_18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DDABF9-7B19-4F5A-950A-378B8B6A9214}"/>
</file>

<file path=customXml/itemProps2.xml><?xml version="1.0" encoding="utf-8"?>
<ds:datastoreItem xmlns:ds="http://schemas.openxmlformats.org/officeDocument/2006/customXml" ds:itemID="{A577B248-CCF4-4603-A3E8-9B06282056B5}"/>
</file>

<file path=customXml/itemProps3.xml><?xml version="1.0" encoding="utf-8"?>
<ds:datastoreItem xmlns:ds="http://schemas.openxmlformats.org/officeDocument/2006/customXml" ds:itemID="{8238881D-6567-4916-A2DC-EA9193807676}"/>
</file>

<file path=customXml/itemProps4.xml><?xml version="1.0" encoding="utf-8"?>
<ds:datastoreItem xmlns:ds="http://schemas.openxmlformats.org/officeDocument/2006/customXml" ds:itemID="{F92AB853-F709-468B-921B-6268EAFDD125}"/>
</file>

<file path=docProps/app.xml><?xml version="1.0" encoding="utf-8"?>
<Properties xmlns="http://schemas.openxmlformats.org/officeDocument/2006/extended-properties" xmlns:vt="http://schemas.openxmlformats.org/officeDocument/2006/docPropsVTypes">
  <Template>SCE Work Paper Template - Final.dot</Template>
  <TotalTime>20</TotalTime>
  <Pages>18</Pages>
  <Words>5894</Words>
  <Characters>36658</Characters>
  <Application>Microsoft Office Word</Application>
  <DocSecurity>0</DocSecurity>
  <Lines>305</Lines>
  <Paragraphs>84</Paragraphs>
  <ScaleCrop>false</ScaleCrop>
  <HeadingPairs>
    <vt:vector size="2" baseType="variant">
      <vt:variant>
        <vt:lpstr>Title</vt:lpstr>
      </vt:variant>
      <vt:variant>
        <vt:i4>1</vt:i4>
      </vt:variant>
    </vt:vector>
  </HeadingPairs>
  <TitlesOfParts>
    <vt:vector size="1" baseType="lpstr">
      <vt:lpstr>PGECOLTGxxx</vt:lpstr>
    </vt:vector>
  </TitlesOfParts>
  <Company>PG&amp;E</Company>
  <LinksUpToDate>false</LinksUpToDate>
  <CharactersWithSpaces>42468</CharactersWithSpaces>
  <SharedDoc>false</SharedDoc>
  <HLinks>
    <vt:vector size="210" baseType="variant">
      <vt:variant>
        <vt:i4>1114161</vt:i4>
      </vt:variant>
      <vt:variant>
        <vt:i4>209</vt:i4>
      </vt:variant>
      <vt:variant>
        <vt:i4>0</vt:i4>
      </vt:variant>
      <vt:variant>
        <vt:i4>5</vt:i4>
      </vt:variant>
      <vt:variant>
        <vt:lpwstr/>
      </vt:variant>
      <vt:variant>
        <vt:lpwstr>_Toc349833892</vt:lpwstr>
      </vt:variant>
      <vt:variant>
        <vt:i4>1114161</vt:i4>
      </vt:variant>
      <vt:variant>
        <vt:i4>203</vt:i4>
      </vt:variant>
      <vt:variant>
        <vt:i4>0</vt:i4>
      </vt:variant>
      <vt:variant>
        <vt:i4>5</vt:i4>
      </vt:variant>
      <vt:variant>
        <vt:lpwstr/>
      </vt:variant>
      <vt:variant>
        <vt:lpwstr>_Toc349833891</vt:lpwstr>
      </vt:variant>
      <vt:variant>
        <vt:i4>1114161</vt:i4>
      </vt:variant>
      <vt:variant>
        <vt:i4>197</vt:i4>
      </vt:variant>
      <vt:variant>
        <vt:i4>0</vt:i4>
      </vt:variant>
      <vt:variant>
        <vt:i4>5</vt:i4>
      </vt:variant>
      <vt:variant>
        <vt:lpwstr/>
      </vt:variant>
      <vt:variant>
        <vt:lpwstr>_Toc349833890</vt:lpwstr>
      </vt:variant>
      <vt:variant>
        <vt:i4>1048625</vt:i4>
      </vt:variant>
      <vt:variant>
        <vt:i4>191</vt:i4>
      </vt:variant>
      <vt:variant>
        <vt:i4>0</vt:i4>
      </vt:variant>
      <vt:variant>
        <vt:i4>5</vt:i4>
      </vt:variant>
      <vt:variant>
        <vt:lpwstr/>
      </vt:variant>
      <vt:variant>
        <vt:lpwstr>_Toc349833889</vt:lpwstr>
      </vt:variant>
      <vt:variant>
        <vt:i4>1048625</vt:i4>
      </vt:variant>
      <vt:variant>
        <vt:i4>185</vt:i4>
      </vt:variant>
      <vt:variant>
        <vt:i4>0</vt:i4>
      </vt:variant>
      <vt:variant>
        <vt:i4>5</vt:i4>
      </vt:variant>
      <vt:variant>
        <vt:lpwstr/>
      </vt:variant>
      <vt:variant>
        <vt:lpwstr>_Toc349833888</vt:lpwstr>
      </vt:variant>
      <vt:variant>
        <vt:i4>1048625</vt:i4>
      </vt:variant>
      <vt:variant>
        <vt:i4>179</vt:i4>
      </vt:variant>
      <vt:variant>
        <vt:i4>0</vt:i4>
      </vt:variant>
      <vt:variant>
        <vt:i4>5</vt:i4>
      </vt:variant>
      <vt:variant>
        <vt:lpwstr/>
      </vt:variant>
      <vt:variant>
        <vt:lpwstr>_Toc349833887</vt:lpwstr>
      </vt:variant>
      <vt:variant>
        <vt:i4>1048625</vt:i4>
      </vt:variant>
      <vt:variant>
        <vt:i4>173</vt:i4>
      </vt:variant>
      <vt:variant>
        <vt:i4>0</vt:i4>
      </vt:variant>
      <vt:variant>
        <vt:i4>5</vt:i4>
      </vt:variant>
      <vt:variant>
        <vt:lpwstr/>
      </vt:variant>
      <vt:variant>
        <vt:lpwstr>_Toc349833886</vt:lpwstr>
      </vt:variant>
      <vt:variant>
        <vt:i4>1048625</vt:i4>
      </vt:variant>
      <vt:variant>
        <vt:i4>167</vt:i4>
      </vt:variant>
      <vt:variant>
        <vt:i4>0</vt:i4>
      </vt:variant>
      <vt:variant>
        <vt:i4>5</vt:i4>
      </vt:variant>
      <vt:variant>
        <vt:lpwstr/>
      </vt:variant>
      <vt:variant>
        <vt:lpwstr>_Toc349833885</vt:lpwstr>
      </vt:variant>
      <vt:variant>
        <vt:i4>1048625</vt:i4>
      </vt:variant>
      <vt:variant>
        <vt:i4>161</vt:i4>
      </vt:variant>
      <vt:variant>
        <vt:i4>0</vt:i4>
      </vt:variant>
      <vt:variant>
        <vt:i4>5</vt:i4>
      </vt:variant>
      <vt:variant>
        <vt:lpwstr/>
      </vt:variant>
      <vt:variant>
        <vt:lpwstr>_Toc349833884</vt:lpwstr>
      </vt:variant>
      <vt:variant>
        <vt:i4>1048625</vt:i4>
      </vt:variant>
      <vt:variant>
        <vt:i4>155</vt:i4>
      </vt:variant>
      <vt:variant>
        <vt:i4>0</vt:i4>
      </vt:variant>
      <vt:variant>
        <vt:i4>5</vt:i4>
      </vt:variant>
      <vt:variant>
        <vt:lpwstr/>
      </vt:variant>
      <vt:variant>
        <vt:lpwstr>_Toc349833883</vt:lpwstr>
      </vt:variant>
      <vt:variant>
        <vt:i4>1048632</vt:i4>
      </vt:variant>
      <vt:variant>
        <vt:i4>146</vt:i4>
      </vt:variant>
      <vt:variant>
        <vt:i4>0</vt:i4>
      </vt:variant>
      <vt:variant>
        <vt:i4>5</vt:i4>
      </vt:variant>
      <vt:variant>
        <vt:lpwstr/>
      </vt:variant>
      <vt:variant>
        <vt:lpwstr>_Toc349721053</vt:lpwstr>
      </vt:variant>
      <vt:variant>
        <vt:i4>1048632</vt:i4>
      </vt:variant>
      <vt:variant>
        <vt:i4>140</vt:i4>
      </vt:variant>
      <vt:variant>
        <vt:i4>0</vt:i4>
      </vt:variant>
      <vt:variant>
        <vt:i4>5</vt:i4>
      </vt:variant>
      <vt:variant>
        <vt:lpwstr/>
      </vt:variant>
      <vt:variant>
        <vt:lpwstr>_Toc349721052</vt:lpwstr>
      </vt:variant>
      <vt:variant>
        <vt:i4>1048632</vt:i4>
      </vt:variant>
      <vt:variant>
        <vt:i4>134</vt:i4>
      </vt:variant>
      <vt:variant>
        <vt:i4>0</vt:i4>
      </vt:variant>
      <vt:variant>
        <vt:i4>5</vt:i4>
      </vt:variant>
      <vt:variant>
        <vt:lpwstr/>
      </vt:variant>
      <vt:variant>
        <vt:lpwstr>_Toc349721051</vt:lpwstr>
      </vt:variant>
      <vt:variant>
        <vt:i4>1048632</vt:i4>
      </vt:variant>
      <vt:variant>
        <vt:i4>128</vt:i4>
      </vt:variant>
      <vt:variant>
        <vt:i4>0</vt:i4>
      </vt:variant>
      <vt:variant>
        <vt:i4>5</vt:i4>
      </vt:variant>
      <vt:variant>
        <vt:lpwstr/>
      </vt:variant>
      <vt:variant>
        <vt:lpwstr>_Toc349721050</vt:lpwstr>
      </vt:variant>
      <vt:variant>
        <vt:i4>1114168</vt:i4>
      </vt:variant>
      <vt:variant>
        <vt:i4>122</vt:i4>
      </vt:variant>
      <vt:variant>
        <vt:i4>0</vt:i4>
      </vt:variant>
      <vt:variant>
        <vt:i4>5</vt:i4>
      </vt:variant>
      <vt:variant>
        <vt:lpwstr/>
      </vt:variant>
      <vt:variant>
        <vt:lpwstr>_Toc349721049</vt:lpwstr>
      </vt:variant>
      <vt:variant>
        <vt:i4>1114168</vt:i4>
      </vt:variant>
      <vt:variant>
        <vt:i4>116</vt:i4>
      </vt:variant>
      <vt:variant>
        <vt:i4>0</vt:i4>
      </vt:variant>
      <vt:variant>
        <vt:i4>5</vt:i4>
      </vt:variant>
      <vt:variant>
        <vt:lpwstr/>
      </vt:variant>
      <vt:variant>
        <vt:lpwstr>_Toc349721048</vt:lpwstr>
      </vt:variant>
      <vt:variant>
        <vt:i4>1114168</vt:i4>
      </vt:variant>
      <vt:variant>
        <vt:i4>110</vt:i4>
      </vt:variant>
      <vt:variant>
        <vt:i4>0</vt:i4>
      </vt:variant>
      <vt:variant>
        <vt:i4>5</vt:i4>
      </vt:variant>
      <vt:variant>
        <vt:lpwstr/>
      </vt:variant>
      <vt:variant>
        <vt:lpwstr>_Toc349721047</vt:lpwstr>
      </vt:variant>
      <vt:variant>
        <vt:i4>1114168</vt:i4>
      </vt:variant>
      <vt:variant>
        <vt:i4>104</vt:i4>
      </vt:variant>
      <vt:variant>
        <vt:i4>0</vt:i4>
      </vt:variant>
      <vt:variant>
        <vt:i4>5</vt:i4>
      </vt:variant>
      <vt:variant>
        <vt:lpwstr/>
      </vt:variant>
      <vt:variant>
        <vt:lpwstr>_Toc349721046</vt:lpwstr>
      </vt:variant>
      <vt:variant>
        <vt:i4>1114168</vt:i4>
      </vt:variant>
      <vt:variant>
        <vt:i4>98</vt:i4>
      </vt:variant>
      <vt:variant>
        <vt:i4>0</vt:i4>
      </vt:variant>
      <vt:variant>
        <vt:i4>5</vt:i4>
      </vt:variant>
      <vt:variant>
        <vt:lpwstr/>
      </vt:variant>
      <vt:variant>
        <vt:lpwstr>_Toc349721045</vt:lpwstr>
      </vt:variant>
      <vt:variant>
        <vt:i4>1114168</vt:i4>
      </vt:variant>
      <vt:variant>
        <vt:i4>92</vt:i4>
      </vt:variant>
      <vt:variant>
        <vt:i4>0</vt:i4>
      </vt:variant>
      <vt:variant>
        <vt:i4>5</vt:i4>
      </vt:variant>
      <vt:variant>
        <vt:lpwstr/>
      </vt:variant>
      <vt:variant>
        <vt:lpwstr>_Toc349721044</vt:lpwstr>
      </vt:variant>
      <vt:variant>
        <vt:i4>1114168</vt:i4>
      </vt:variant>
      <vt:variant>
        <vt:i4>86</vt:i4>
      </vt:variant>
      <vt:variant>
        <vt:i4>0</vt:i4>
      </vt:variant>
      <vt:variant>
        <vt:i4>5</vt:i4>
      </vt:variant>
      <vt:variant>
        <vt:lpwstr/>
      </vt:variant>
      <vt:variant>
        <vt:lpwstr>_Toc349721043</vt:lpwstr>
      </vt:variant>
      <vt:variant>
        <vt:i4>1114168</vt:i4>
      </vt:variant>
      <vt:variant>
        <vt:i4>80</vt:i4>
      </vt:variant>
      <vt:variant>
        <vt:i4>0</vt:i4>
      </vt:variant>
      <vt:variant>
        <vt:i4>5</vt:i4>
      </vt:variant>
      <vt:variant>
        <vt:lpwstr/>
      </vt:variant>
      <vt:variant>
        <vt:lpwstr>_Toc349721042</vt:lpwstr>
      </vt:variant>
      <vt:variant>
        <vt:i4>1114168</vt:i4>
      </vt:variant>
      <vt:variant>
        <vt:i4>74</vt:i4>
      </vt:variant>
      <vt:variant>
        <vt:i4>0</vt:i4>
      </vt:variant>
      <vt:variant>
        <vt:i4>5</vt:i4>
      </vt:variant>
      <vt:variant>
        <vt:lpwstr/>
      </vt:variant>
      <vt:variant>
        <vt:lpwstr>_Toc349721041</vt:lpwstr>
      </vt:variant>
      <vt:variant>
        <vt:i4>1114168</vt:i4>
      </vt:variant>
      <vt:variant>
        <vt:i4>68</vt:i4>
      </vt:variant>
      <vt:variant>
        <vt:i4>0</vt:i4>
      </vt:variant>
      <vt:variant>
        <vt:i4>5</vt:i4>
      </vt:variant>
      <vt:variant>
        <vt:lpwstr/>
      </vt:variant>
      <vt:variant>
        <vt:lpwstr>_Toc349721040</vt:lpwstr>
      </vt:variant>
      <vt:variant>
        <vt:i4>1441848</vt:i4>
      </vt:variant>
      <vt:variant>
        <vt:i4>62</vt:i4>
      </vt:variant>
      <vt:variant>
        <vt:i4>0</vt:i4>
      </vt:variant>
      <vt:variant>
        <vt:i4>5</vt:i4>
      </vt:variant>
      <vt:variant>
        <vt:lpwstr/>
      </vt:variant>
      <vt:variant>
        <vt:lpwstr>_Toc349721039</vt:lpwstr>
      </vt:variant>
      <vt:variant>
        <vt:i4>1441848</vt:i4>
      </vt:variant>
      <vt:variant>
        <vt:i4>56</vt:i4>
      </vt:variant>
      <vt:variant>
        <vt:i4>0</vt:i4>
      </vt:variant>
      <vt:variant>
        <vt:i4>5</vt:i4>
      </vt:variant>
      <vt:variant>
        <vt:lpwstr/>
      </vt:variant>
      <vt:variant>
        <vt:lpwstr>_Toc349721038</vt:lpwstr>
      </vt:variant>
      <vt:variant>
        <vt:i4>1441848</vt:i4>
      </vt:variant>
      <vt:variant>
        <vt:i4>50</vt:i4>
      </vt:variant>
      <vt:variant>
        <vt:i4>0</vt:i4>
      </vt:variant>
      <vt:variant>
        <vt:i4>5</vt:i4>
      </vt:variant>
      <vt:variant>
        <vt:lpwstr/>
      </vt:variant>
      <vt:variant>
        <vt:lpwstr>_Toc349721037</vt:lpwstr>
      </vt:variant>
      <vt:variant>
        <vt:i4>1441848</vt:i4>
      </vt:variant>
      <vt:variant>
        <vt:i4>44</vt:i4>
      </vt:variant>
      <vt:variant>
        <vt:i4>0</vt:i4>
      </vt:variant>
      <vt:variant>
        <vt:i4>5</vt:i4>
      </vt:variant>
      <vt:variant>
        <vt:lpwstr/>
      </vt:variant>
      <vt:variant>
        <vt:lpwstr>_Toc349721036</vt:lpwstr>
      </vt:variant>
      <vt:variant>
        <vt:i4>1441848</vt:i4>
      </vt:variant>
      <vt:variant>
        <vt:i4>38</vt:i4>
      </vt:variant>
      <vt:variant>
        <vt:i4>0</vt:i4>
      </vt:variant>
      <vt:variant>
        <vt:i4>5</vt:i4>
      </vt:variant>
      <vt:variant>
        <vt:lpwstr/>
      </vt:variant>
      <vt:variant>
        <vt:lpwstr>_Toc349721035</vt:lpwstr>
      </vt:variant>
      <vt:variant>
        <vt:i4>1441848</vt:i4>
      </vt:variant>
      <vt:variant>
        <vt:i4>32</vt:i4>
      </vt:variant>
      <vt:variant>
        <vt:i4>0</vt:i4>
      </vt:variant>
      <vt:variant>
        <vt:i4>5</vt:i4>
      </vt:variant>
      <vt:variant>
        <vt:lpwstr/>
      </vt:variant>
      <vt:variant>
        <vt:lpwstr>_Toc349721034</vt:lpwstr>
      </vt:variant>
      <vt:variant>
        <vt:i4>1441848</vt:i4>
      </vt:variant>
      <vt:variant>
        <vt:i4>26</vt:i4>
      </vt:variant>
      <vt:variant>
        <vt:i4>0</vt:i4>
      </vt:variant>
      <vt:variant>
        <vt:i4>5</vt:i4>
      </vt:variant>
      <vt:variant>
        <vt:lpwstr/>
      </vt:variant>
      <vt:variant>
        <vt:lpwstr>_Toc349721033</vt:lpwstr>
      </vt:variant>
      <vt:variant>
        <vt:i4>1441848</vt:i4>
      </vt:variant>
      <vt:variant>
        <vt:i4>20</vt:i4>
      </vt:variant>
      <vt:variant>
        <vt:i4>0</vt:i4>
      </vt:variant>
      <vt:variant>
        <vt:i4>5</vt:i4>
      </vt:variant>
      <vt:variant>
        <vt:lpwstr/>
      </vt:variant>
      <vt:variant>
        <vt:lpwstr>_Toc349721032</vt:lpwstr>
      </vt:variant>
      <vt:variant>
        <vt:i4>1441848</vt:i4>
      </vt:variant>
      <vt:variant>
        <vt:i4>14</vt:i4>
      </vt:variant>
      <vt:variant>
        <vt:i4>0</vt:i4>
      </vt:variant>
      <vt:variant>
        <vt:i4>5</vt:i4>
      </vt:variant>
      <vt:variant>
        <vt:lpwstr/>
      </vt:variant>
      <vt:variant>
        <vt:lpwstr>_Toc349721031</vt:lpwstr>
      </vt:variant>
      <vt:variant>
        <vt:i4>1441848</vt:i4>
      </vt:variant>
      <vt:variant>
        <vt:i4>8</vt:i4>
      </vt:variant>
      <vt:variant>
        <vt:i4>0</vt:i4>
      </vt:variant>
      <vt:variant>
        <vt:i4>5</vt:i4>
      </vt:variant>
      <vt:variant>
        <vt:lpwstr/>
      </vt:variant>
      <vt:variant>
        <vt:lpwstr>_Toc349721030</vt:lpwstr>
      </vt:variant>
      <vt:variant>
        <vt:i4>1507384</vt:i4>
      </vt:variant>
      <vt:variant>
        <vt:i4>2</vt:i4>
      </vt:variant>
      <vt:variant>
        <vt:i4>0</vt:i4>
      </vt:variant>
      <vt:variant>
        <vt:i4>5</vt:i4>
      </vt:variant>
      <vt:variant>
        <vt:lpwstr/>
      </vt:variant>
      <vt:variant>
        <vt:lpwstr>_Toc349721029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PGECOLTGxxx</dc:title>
  <dc:creator>Steven Blanc;Greg Barker</dc:creator>
  <cp:lastModifiedBy>Wan, Linda</cp:lastModifiedBy>
  <cp:revision>4</cp:revision>
  <cp:lastPrinted>2012-06-11T17:32:00Z</cp:lastPrinted>
  <dcterms:created xsi:type="dcterms:W3CDTF">2015-12-21T18:12:00Z</dcterms:created>
  <dcterms:modified xsi:type="dcterms:W3CDTF">2015-12-21T18:31:00Z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