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8A21D" w14:textId="77777777"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693624">
        <w:rPr>
          <w:rFonts w:ascii="Arial" w:hAnsi="Arial" w:cs="Arial"/>
          <w:b/>
          <w:sz w:val="48"/>
          <w:szCs w:val="48"/>
        </w:rPr>
        <w:t>179</w:t>
      </w:r>
    </w:p>
    <w:p w14:paraId="5EB8A21E" w14:textId="77777777"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 xml:space="preserve">LED </w:t>
      </w:r>
      <w:r w:rsidR="0094654D">
        <w:rPr>
          <w:rFonts w:ascii="Arial" w:hAnsi="Arial" w:cs="Arial"/>
          <w:b/>
          <w:sz w:val="48"/>
          <w:szCs w:val="48"/>
        </w:rPr>
        <w:t xml:space="preserve">Ambient </w:t>
      </w:r>
      <w:r w:rsidR="00B71BAD">
        <w:rPr>
          <w:rFonts w:ascii="Arial" w:hAnsi="Arial" w:cs="Arial"/>
          <w:b/>
          <w:sz w:val="48"/>
          <w:szCs w:val="48"/>
        </w:rPr>
        <w:t>Commercial</w:t>
      </w:r>
      <w:r w:rsidR="006953C6">
        <w:rPr>
          <w:rFonts w:ascii="Arial" w:hAnsi="Arial" w:cs="Arial"/>
          <w:b/>
          <w:sz w:val="48"/>
          <w:szCs w:val="48"/>
        </w:rPr>
        <w:t xml:space="preserve"> Fixtures</w:t>
      </w:r>
      <w:r w:rsidR="00402353">
        <w:rPr>
          <w:rFonts w:ascii="Arial" w:hAnsi="Arial" w:cs="Arial"/>
          <w:b/>
          <w:sz w:val="48"/>
          <w:szCs w:val="48"/>
        </w:rPr>
        <w:t xml:space="preserve"> and Retrofit Kits</w:t>
      </w:r>
    </w:p>
    <w:p w14:paraId="5EB8A21F" w14:textId="390B8917" w:rsidR="003129E8" w:rsidRPr="004464AA" w:rsidRDefault="003129E8" w:rsidP="002E0043">
      <w:pPr>
        <w:jc w:val="right"/>
        <w:rPr>
          <w:rFonts w:ascii="Arial" w:hAnsi="Arial" w:cs="Arial"/>
          <w:b/>
          <w:sz w:val="48"/>
          <w:szCs w:val="48"/>
        </w:rPr>
      </w:pPr>
      <w:bookmarkStart w:id="1" w:name="_Toc153189647"/>
      <w:r w:rsidRPr="004464AA">
        <w:rPr>
          <w:rFonts w:ascii="Arial" w:hAnsi="Arial" w:cs="Arial"/>
          <w:b/>
          <w:sz w:val="48"/>
          <w:szCs w:val="48"/>
        </w:rPr>
        <w:t>Revision #</w:t>
      </w:r>
      <w:bookmarkEnd w:id="1"/>
      <w:r w:rsidR="002F44AD">
        <w:rPr>
          <w:rFonts w:ascii="Arial" w:hAnsi="Arial" w:cs="Arial"/>
          <w:b/>
          <w:sz w:val="48"/>
          <w:szCs w:val="48"/>
        </w:rPr>
        <w:t xml:space="preserve"> </w:t>
      </w:r>
      <w:r w:rsidR="00051C3A">
        <w:rPr>
          <w:rFonts w:ascii="Arial" w:hAnsi="Arial" w:cs="Arial"/>
          <w:b/>
          <w:sz w:val="48"/>
          <w:szCs w:val="48"/>
        </w:rPr>
        <w:t>3</w:t>
      </w:r>
    </w:p>
    <w:p w14:paraId="5EB8A220" w14:textId="77777777" w:rsidR="003129E8" w:rsidRDefault="00B67AB6" w:rsidP="00B67AB6">
      <w:pPr>
        <w:tabs>
          <w:tab w:val="left" w:pos="5835"/>
        </w:tabs>
      </w:pPr>
      <w:r>
        <w:tab/>
      </w:r>
    </w:p>
    <w:p w14:paraId="5EB8A221" w14:textId="77777777"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14:paraId="5EB8A222" w14:textId="77777777"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14:paraId="5EB8A223" w14:textId="77777777" w:rsidR="004D0E10" w:rsidRDefault="004D0E10" w:rsidP="00A167EC">
      <w:pPr>
        <w:ind w:right="-720"/>
        <w:rPr>
          <w:rFonts w:ascii="Arial" w:hAnsi="Arial" w:cs="Arial"/>
          <w:b/>
          <w:sz w:val="72"/>
          <w:szCs w:val="72"/>
        </w:rPr>
      </w:pPr>
    </w:p>
    <w:p w14:paraId="5EB8A224" w14:textId="77777777" w:rsidR="004D0E10" w:rsidRDefault="004D0E10" w:rsidP="00A167EC">
      <w:pPr>
        <w:ind w:right="-720"/>
        <w:rPr>
          <w:rFonts w:ascii="Arial" w:hAnsi="Arial" w:cs="Arial"/>
          <w:b/>
          <w:sz w:val="72"/>
          <w:szCs w:val="72"/>
        </w:rPr>
      </w:pPr>
    </w:p>
    <w:p w14:paraId="5EB8A225" w14:textId="77777777" w:rsidR="004D0E10" w:rsidRDefault="004D0E10" w:rsidP="00A167EC">
      <w:pPr>
        <w:ind w:right="-720"/>
        <w:rPr>
          <w:rFonts w:ascii="Arial" w:hAnsi="Arial" w:cs="Arial"/>
          <w:b/>
          <w:sz w:val="72"/>
          <w:szCs w:val="72"/>
        </w:rPr>
      </w:pPr>
    </w:p>
    <w:p w14:paraId="5EB8A226" w14:textId="77777777" w:rsidR="00324D0F" w:rsidRDefault="004464AA" w:rsidP="00A167EC">
      <w:pPr>
        <w:ind w:right="-720"/>
        <w:rPr>
          <w:rFonts w:ascii="Arial" w:hAnsi="Arial" w:cs="Arial"/>
          <w:b/>
        </w:rPr>
      </w:pPr>
      <w:r w:rsidRPr="004464AA">
        <w:rPr>
          <w:rFonts w:ascii="Arial" w:hAnsi="Arial" w:cs="Arial"/>
          <w:b/>
          <w:sz w:val="72"/>
          <w:szCs w:val="72"/>
        </w:rPr>
        <w:t xml:space="preserve">LED </w:t>
      </w:r>
      <w:r w:rsidR="00C27933">
        <w:rPr>
          <w:rFonts w:ascii="Arial" w:hAnsi="Arial" w:cs="Arial"/>
          <w:b/>
          <w:sz w:val="72"/>
          <w:szCs w:val="72"/>
        </w:rPr>
        <w:t xml:space="preserve">Ambient </w:t>
      </w:r>
      <w:r w:rsidR="00B71BAD">
        <w:rPr>
          <w:rFonts w:ascii="Arial" w:hAnsi="Arial" w:cs="Arial"/>
          <w:b/>
          <w:sz w:val="72"/>
          <w:szCs w:val="72"/>
        </w:rPr>
        <w:t xml:space="preserve">Commercial </w:t>
      </w:r>
      <w:r w:rsidR="00B71BAD" w:rsidRPr="00402353">
        <w:rPr>
          <w:rFonts w:ascii="Arial" w:hAnsi="Arial" w:cs="Arial"/>
          <w:b/>
          <w:sz w:val="72"/>
          <w:szCs w:val="72"/>
        </w:rPr>
        <w:t>Fixtures</w:t>
      </w:r>
      <w:r w:rsidR="00402353" w:rsidRPr="00402353">
        <w:rPr>
          <w:rFonts w:ascii="Arial" w:hAnsi="Arial" w:cs="Arial"/>
          <w:b/>
          <w:sz w:val="72"/>
          <w:szCs w:val="72"/>
        </w:rPr>
        <w:t xml:space="preserve"> and Retrofit Kits</w:t>
      </w:r>
    </w:p>
    <w:p w14:paraId="5EB8A227" w14:textId="77777777" w:rsidR="00CB3583" w:rsidRDefault="00A167EC" w:rsidP="008D3D2D">
      <w:pPr>
        <w:ind w:right="-720"/>
        <w:rPr>
          <w:rFonts w:ascii="Arial" w:hAnsi="Arial" w:cs="Arial"/>
          <w:b/>
          <w:highlight w:val="cyan"/>
        </w:rPr>
      </w:pPr>
      <w:r w:rsidRPr="00CB3583">
        <w:rPr>
          <w:rFonts w:ascii="Arial" w:hAnsi="Arial" w:cs="Arial"/>
          <w:b/>
        </w:rPr>
        <w:t>Measure Codes</w:t>
      </w:r>
      <w:r w:rsidRPr="00CB3583">
        <w:rPr>
          <w:rFonts w:ascii="Arial" w:hAnsi="Arial" w:cs="Arial"/>
          <w:b/>
          <w:color w:val="FF0000"/>
        </w:rPr>
        <w:t xml:space="preserve"> </w:t>
      </w:r>
      <w:r w:rsidR="00C93E64" w:rsidRPr="00C93E64">
        <w:rPr>
          <w:rFonts w:ascii="Arial" w:hAnsi="Arial" w:cs="Arial"/>
          <w:b/>
        </w:rPr>
        <w:t>L</w:t>
      </w:r>
      <w:r w:rsidR="00990A52">
        <w:rPr>
          <w:rFonts w:ascii="Arial" w:hAnsi="Arial" w:cs="Arial"/>
          <w:b/>
        </w:rPr>
        <w:t>T0</w:t>
      </w:r>
      <w:r w:rsidR="006F0984">
        <w:rPr>
          <w:rFonts w:ascii="Arial" w:hAnsi="Arial" w:cs="Arial"/>
          <w:b/>
        </w:rPr>
        <w:t>4</w:t>
      </w:r>
      <w:r w:rsidR="00C728C4">
        <w:rPr>
          <w:rFonts w:ascii="Arial" w:hAnsi="Arial" w:cs="Arial"/>
          <w:b/>
        </w:rPr>
        <w:t>2</w:t>
      </w:r>
      <w:r w:rsidR="0016070B">
        <w:rPr>
          <w:rFonts w:ascii="Arial" w:hAnsi="Arial" w:cs="Arial"/>
          <w:b/>
        </w:rPr>
        <w:t xml:space="preserve"> – L</w:t>
      </w:r>
      <w:r w:rsidR="00990A52">
        <w:rPr>
          <w:rFonts w:ascii="Arial" w:hAnsi="Arial" w:cs="Arial"/>
          <w:b/>
        </w:rPr>
        <w:t>T0</w:t>
      </w:r>
      <w:r w:rsidR="006F0984">
        <w:rPr>
          <w:rFonts w:ascii="Arial" w:hAnsi="Arial" w:cs="Arial"/>
          <w:b/>
        </w:rPr>
        <w:t>63</w:t>
      </w:r>
    </w:p>
    <w:p w14:paraId="5EB8A228" w14:textId="77777777" w:rsidR="00E71EF1" w:rsidRDefault="00C93E64" w:rsidP="00E71EF1">
      <w:pPr>
        <w:pStyle w:val="Heading1"/>
      </w:pPr>
      <w:r>
        <w:br w:type="page"/>
      </w:r>
      <w:bookmarkStart w:id="2" w:name="_Toc468797896"/>
      <w:r w:rsidR="00E731C6">
        <w:lastRenderedPageBreak/>
        <w:t>At-</w:t>
      </w:r>
      <w:r w:rsidR="00E71EF1">
        <w:t>a</w:t>
      </w:r>
      <w:r w:rsidR="00E731C6">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8D3D2D" w:rsidRPr="00783DAC" w14:paraId="5EB8A22B" w14:textId="77777777" w:rsidTr="00D4390C">
        <w:trPr>
          <w:trHeight w:val="465"/>
        </w:trPr>
        <w:tc>
          <w:tcPr>
            <w:tcW w:w="4161" w:type="dxa"/>
            <w:shd w:val="pct20" w:color="000000" w:fill="FFFFFF"/>
          </w:tcPr>
          <w:p w14:paraId="5EB8A229" w14:textId="77777777" w:rsidR="008D3D2D" w:rsidRPr="00F027AA" w:rsidRDefault="008D3D2D" w:rsidP="0028709C">
            <w:pPr>
              <w:rPr>
                <w:b/>
                <w:bCs/>
              </w:rPr>
            </w:pPr>
            <w:r w:rsidRPr="00F027AA">
              <w:rPr>
                <w:b/>
                <w:bCs/>
              </w:rPr>
              <w:t>Applicable Measure Codes:</w:t>
            </w:r>
          </w:p>
        </w:tc>
        <w:tc>
          <w:tcPr>
            <w:tcW w:w="5487" w:type="dxa"/>
            <w:shd w:val="pct20" w:color="000000" w:fill="FFFFFF"/>
          </w:tcPr>
          <w:p w14:paraId="5EB8A22A" w14:textId="77777777" w:rsidR="008D3D2D" w:rsidRPr="003B2621" w:rsidRDefault="006F0984" w:rsidP="004C3B88">
            <w:pPr>
              <w:rPr>
                <w:bCs/>
                <w:sz w:val="20"/>
                <w:szCs w:val="20"/>
              </w:rPr>
            </w:pPr>
            <w:r>
              <w:rPr>
                <w:bCs/>
                <w:sz w:val="20"/>
                <w:szCs w:val="20"/>
              </w:rPr>
              <w:t>LT04</w:t>
            </w:r>
            <w:r w:rsidR="004C3B88">
              <w:rPr>
                <w:bCs/>
                <w:sz w:val="20"/>
                <w:szCs w:val="20"/>
              </w:rPr>
              <w:t>2</w:t>
            </w:r>
            <w:r>
              <w:rPr>
                <w:bCs/>
                <w:sz w:val="20"/>
                <w:szCs w:val="20"/>
              </w:rPr>
              <w:t xml:space="preserve"> – LT063</w:t>
            </w:r>
          </w:p>
        </w:tc>
      </w:tr>
      <w:tr w:rsidR="008D3D2D" w:rsidRPr="00783DAC" w14:paraId="5EB8A22E" w14:textId="77777777" w:rsidTr="00D4390C">
        <w:trPr>
          <w:trHeight w:val="465"/>
        </w:trPr>
        <w:tc>
          <w:tcPr>
            <w:tcW w:w="4161" w:type="dxa"/>
            <w:shd w:val="pct5" w:color="000000" w:fill="FFFFFF"/>
          </w:tcPr>
          <w:p w14:paraId="5EB8A22C" w14:textId="77777777" w:rsidR="008D3D2D" w:rsidRPr="00F027AA" w:rsidRDefault="008D3D2D" w:rsidP="0028709C">
            <w:pPr>
              <w:rPr>
                <w:b/>
              </w:rPr>
            </w:pPr>
            <w:r w:rsidRPr="00F027AA">
              <w:rPr>
                <w:b/>
              </w:rPr>
              <w:t xml:space="preserve">Measure Description: </w:t>
            </w:r>
          </w:p>
        </w:tc>
        <w:tc>
          <w:tcPr>
            <w:tcW w:w="5487" w:type="dxa"/>
            <w:shd w:val="pct5" w:color="000000" w:fill="FFFFFF"/>
          </w:tcPr>
          <w:p w14:paraId="5EB8A22D" w14:textId="77777777" w:rsidR="008D3D2D" w:rsidRPr="003B2621" w:rsidRDefault="00661F2B" w:rsidP="004C3B88">
            <w:pPr>
              <w:rPr>
                <w:bCs/>
                <w:sz w:val="20"/>
                <w:szCs w:val="20"/>
              </w:rPr>
            </w:pPr>
            <w:r w:rsidRPr="00661F2B">
              <w:rPr>
                <w:bCs/>
                <w:sz w:val="20"/>
                <w:szCs w:val="20"/>
              </w:rPr>
              <w:t>LED Luminaires/Retrofit Kits rated ≥</w:t>
            </w:r>
            <w:r w:rsidR="004C3B88">
              <w:rPr>
                <w:bCs/>
                <w:sz w:val="20"/>
                <w:szCs w:val="20"/>
              </w:rPr>
              <w:t>110 LPW</w:t>
            </w:r>
            <w:r w:rsidRPr="00661F2B">
              <w:rPr>
                <w:bCs/>
                <w:sz w:val="20"/>
                <w:szCs w:val="20"/>
              </w:rPr>
              <w:t>, Ambient Interior Commercial Spaces</w:t>
            </w:r>
          </w:p>
        </w:tc>
      </w:tr>
      <w:tr w:rsidR="00735CF0" w:rsidRPr="00783DAC" w14:paraId="5EB8A231" w14:textId="77777777" w:rsidTr="00783DAC">
        <w:trPr>
          <w:trHeight w:val="465"/>
        </w:trPr>
        <w:tc>
          <w:tcPr>
            <w:tcW w:w="4161" w:type="dxa"/>
            <w:shd w:val="pct20" w:color="000000" w:fill="FFFFFF"/>
          </w:tcPr>
          <w:p w14:paraId="5EB8A22F" w14:textId="77777777" w:rsidR="00735CF0" w:rsidRPr="00F027AA" w:rsidRDefault="00735CF0" w:rsidP="0028709C">
            <w:pPr>
              <w:rPr>
                <w:b/>
              </w:rPr>
            </w:pPr>
            <w:r w:rsidRPr="00F027AA">
              <w:rPr>
                <w:b/>
              </w:rPr>
              <w:t xml:space="preserve">Energy Impact Common Units: </w:t>
            </w:r>
          </w:p>
        </w:tc>
        <w:tc>
          <w:tcPr>
            <w:tcW w:w="5487" w:type="dxa"/>
            <w:shd w:val="pct20" w:color="000000" w:fill="FFFFFF"/>
          </w:tcPr>
          <w:p w14:paraId="5EB8A230" w14:textId="77777777" w:rsidR="00735CF0" w:rsidRPr="003B2621" w:rsidRDefault="005C31D5" w:rsidP="008D3D2D">
            <w:pPr>
              <w:rPr>
                <w:bCs/>
                <w:sz w:val="20"/>
                <w:szCs w:val="20"/>
              </w:rPr>
            </w:pPr>
            <w:r w:rsidRPr="003B2621">
              <w:rPr>
                <w:bCs/>
                <w:sz w:val="20"/>
                <w:szCs w:val="20"/>
              </w:rPr>
              <w:t xml:space="preserve">Kilolumen of </w:t>
            </w:r>
            <w:r w:rsidR="0016070B" w:rsidRPr="003B2621">
              <w:rPr>
                <w:bCs/>
                <w:sz w:val="20"/>
                <w:szCs w:val="20"/>
              </w:rPr>
              <w:t xml:space="preserve">LED </w:t>
            </w:r>
            <w:r w:rsidRPr="003B2621">
              <w:rPr>
                <w:bCs/>
                <w:sz w:val="20"/>
                <w:szCs w:val="20"/>
              </w:rPr>
              <w:t>initial light output</w:t>
            </w:r>
          </w:p>
        </w:tc>
      </w:tr>
      <w:tr w:rsidR="00735CF0" w:rsidRPr="00783DAC" w14:paraId="5EB8A235" w14:textId="77777777" w:rsidTr="00783DAC">
        <w:trPr>
          <w:trHeight w:val="465"/>
        </w:trPr>
        <w:tc>
          <w:tcPr>
            <w:tcW w:w="4161" w:type="dxa"/>
            <w:shd w:val="pct5" w:color="000000" w:fill="FFFFFF"/>
          </w:tcPr>
          <w:p w14:paraId="5EB8A232" w14:textId="77777777" w:rsidR="00735CF0" w:rsidRPr="00F027AA" w:rsidRDefault="00735CF0" w:rsidP="0028709C">
            <w:pPr>
              <w:rPr>
                <w:b/>
              </w:rPr>
            </w:pPr>
            <w:r w:rsidRPr="00F027AA">
              <w:rPr>
                <w:b/>
              </w:rPr>
              <w:t>Base Case Description:</w:t>
            </w:r>
          </w:p>
        </w:tc>
        <w:tc>
          <w:tcPr>
            <w:tcW w:w="5487" w:type="dxa"/>
            <w:shd w:val="pct5" w:color="000000" w:fill="FFFFFF"/>
          </w:tcPr>
          <w:p w14:paraId="5EB8A233" w14:textId="77777777" w:rsidR="00735CF0" w:rsidRPr="003B2621" w:rsidRDefault="005C31D5" w:rsidP="0037707D">
            <w:pPr>
              <w:rPr>
                <w:bCs/>
                <w:sz w:val="20"/>
                <w:szCs w:val="20"/>
              </w:rPr>
            </w:pPr>
            <w:r w:rsidRPr="003B2621">
              <w:rPr>
                <w:bCs/>
                <w:sz w:val="20"/>
                <w:szCs w:val="20"/>
              </w:rPr>
              <w:t>Linear fluorescent recessed fixture or kit in 2x4, 2x2 or 1x4 size, with lamp and ballast meeting federal standard.</w:t>
            </w:r>
          </w:p>
          <w:p w14:paraId="5EB8A234" w14:textId="77777777" w:rsidR="00735CF0" w:rsidRPr="003B2621" w:rsidRDefault="00735CF0" w:rsidP="008D3D2D">
            <w:pPr>
              <w:rPr>
                <w:bCs/>
                <w:sz w:val="20"/>
                <w:szCs w:val="20"/>
              </w:rPr>
            </w:pPr>
            <w:r w:rsidRPr="003B2621">
              <w:rPr>
                <w:bCs/>
                <w:sz w:val="20"/>
                <w:szCs w:val="20"/>
              </w:rPr>
              <w:t>Source: PG&amp;E Calculations.</w:t>
            </w:r>
          </w:p>
        </w:tc>
      </w:tr>
      <w:tr w:rsidR="00735CF0" w:rsidRPr="00783DAC" w14:paraId="5EB8A239" w14:textId="77777777" w:rsidTr="00783DAC">
        <w:trPr>
          <w:trHeight w:val="465"/>
        </w:trPr>
        <w:tc>
          <w:tcPr>
            <w:tcW w:w="4161" w:type="dxa"/>
            <w:shd w:val="pct20" w:color="000000" w:fill="FFFFFF"/>
          </w:tcPr>
          <w:p w14:paraId="5EB8A236" w14:textId="77777777" w:rsidR="00735CF0" w:rsidRPr="00F027AA" w:rsidRDefault="00735CF0" w:rsidP="0028709C">
            <w:pPr>
              <w:rPr>
                <w:b/>
              </w:rPr>
            </w:pPr>
            <w:r w:rsidRPr="00F027AA">
              <w:rPr>
                <w:b/>
              </w:rPr>
              <w:t xml:space="preserve">Base Case Energy Consumption: </w:t>
            </w:r>
          </w:p>
        </w:tc>
        <w:tc>
          <w:tcPr>
            <w:tcW w:w="5487" w:type="dxa"/>
            <w:shd w:val="pct20" w:color="000000" w:fill="FFFFFF"/>
          </w:tcPr>
          <w:p w14:paraId="5EB8A237" w14:textId="77777777" w:rsidR="00735CF0" w:rsidRPr="003B2621" w:rsidRDefault="009B277A" w:rsidP="0037707D">
            <w:pPr>
              <w:rPr>
                <w:bCs/>
                <w:sz w:val="20"/>
                <w:szCs w:val="20"/>
              </w:rPr>
            </w:pPr>
            <w:r w:rsidRPr="003B2621">
              <w:rPr>
                <w:sz w:val="20"/>
                <w:szCs w:val="20"/>
              </w:rPr>
              <w:t>Various. Refer to .xlsx file attached</w:t>
            </w:r>
          </w:p>
          <w:p w14:paraId="5EB8A238" w14:textId="77777777" w:rsidR="00735CF0" w:rsidRPr="003B2621" w:rsidRDefault="00735CF0" w:rsidP="008D3D2D">
            <w:pPr>
              <w:rPr>
                <w:bCs/>
                <w:sz w:val="20"/>
                <w:szCs w:val="20"/>
              </w:rPr>
            </w:pPr>
            <w:r w:rsidRPr="003B2621">
              <w:rPr>
                <w:bCs/>
                <w:sz w:val="20"/>
                <w:szCs w:val="20"/>
              </w:rPr>
              <w:t>Source: PG&amp;E Calculations.</w:t>
            </w:r>
          </w:p>
        </w:tc>
      </w:tr>
      <w:tr w:rsidR="00735CF0" w:rsidRPr="00783DAC" w14:paraId="5EB8A23E" w14:textId="77777777" w:rsidTr="00783DAC">
        <w:trPr>
          <w:trHeight w:val="465"/>
        </w:trPr>
        <w:tc>
          <w:tcPr>
            <w:tcW w:w="4161" w:type="dxa"/>
            <w:shd w:val="pct5" w:color="000000" w:fill="FFFFFF"/>
          </w:tcPr>
          <w:p w14:paraId="5EB8A23A" w14:textId="77777777" w:rsidR="00735CF0" w:rsidRPr="00F027AA" w:rsidRDefault="00735CF0" w:rsidP="0028709C">
            <w:pPr>
              <w:rPr>
                <w:b/>
              </w:rPr>
            </w:pPr>
            <w:r w:rsidRPr="00F027AA">
              <w:rPr>
                <w:b/>
              </w:rPr>
              <w:t>Measure Energy Consumption:</w:t>
            </w:r>
          </w:p>
          <w:p w14:paraId="5EB8A23B" w14:textId="77777777" w:rsidR="00735CF0" w:rsidRPr="00F027AA" w:rsidRDefault="00735CF0" w:rsidP="0028709C">
            <w:pPr>
              <w:rPr>
                <w:rFonts w:ascii="Arial" w:hAnsi="Arial" w:cs="Arial"/>
                <w:b/>
                <w:sz w:val="20"/>
                <w:szCs w:val="20"/>
              </w:rPr>
            </w:pPr>
          </w:p>
        </w:tc>
        <w:tc>
          <w:tcPr>
            <w:tcW w:w="5487" w:type="dxa"/>
            <w:shd w:val="pct5" w:color="000000" w:fill="FFFFFF"/>
          </w:tcPr>
          <w:p w14:paraId="5EB8A23C" w14:textId="77777777" w:rsidR="00735CF0" w:rsidRPr="003B2621" w:rsidRDefault="009B277A" w:rsidP="0037707D">
            <w:pPr>
              <w:rPr>
                <w:bCs/>
                <w:sz w:val="20"/>
                <w:szCs w:val="20"/>
              </w:rPr>
            </w:pPr>
            <w:r w:rsidRPr="003B2621">
              <w:rPr>
                <w:sz w:val="20"/>
                <w:szCs w:val="20"/>
              </w:rPr>
              <w:t>Various. Refer to .xlsx file attached</w:t>
            </w:r>
          </w:p>
          <w:p w14:paraId="5EB8A23D" w14:textId="77777777" w:rsidR="00735CF0" w:rsidRPr="003B2621" w:rsidRDefault="00735CF0" w:rsidP="008D3D2D">
            <w:pPr>
              <w:rPr>
                <w:bCs/>
                <w:sz w:val="20"/>
                <w:szCs w:val="20"/>
              </w:rPr>
            </w:pPr>
            <w:r w:rsidRPr="003B2621">
              <w:rPr>
                <w:bCs/>
                <w:sz w:val="20"/>
                <w:szCs w:val="20"/>
              </w:rPr>
              <w:t>Source: PG&amp;E Calculations.</w:t>
            </w:r>
          </w:p>
        </w:tc>
      </w:tr>
      <w:tr w:rsidR="00735CF0" w:rsidRPr="00783DAC" w14:paraId="5EB8A242" w14:textId="77777777" w:rsidTr="00783DAC">
        <w:trPr>
          <w:trHeight w:val="465"/>
        </w:trPr>
        <w:tc>
          <w:tcPr>
            <w:tcW w:w="4161" w:type="dxa"/>
            <w:shd w:val="pct20" w:color="000000" w:fill="FFFFFF"/>
          </w:tcPr>
          <w:p w14:paraId="5EB8A23F" w14:textId="77777777" w:rsidR="00735CF0" w:rsidRPr="00F027AA" w:rsidRDefault="00735CF0" w:rsidP="0028709C">
            <w:pPr>
              <w:rPr>
                <w:b/>
              </w:rPr>
            </w:pPr>
            <w:r w:rsidRPr="00F027AA">
              <w:rPr>
                <w:b/>
              </w:rPr>
              <w:t>Energy Savings (Base Case – Measure)</w:t>
            </w:r>
            <w:r w:rsidR="00946BD7">
              <w:rPr>
                <w:b/>
              </w:rPr>
              <w:t>:</w:t>
            </w:r>
          </w:p>
        </w:tc>
        <w:tc>
          <w:tcPr>
            <w:tcW w:w="5487" w:type="dxa"/>
            <w:shd w:val="pct20" w:color="000000" w:fill="FFFFFF"/>
          </w:tcPr>
          <w:p w14:paraId="5EB8A240" w14:textId="77777777" w:rsidR="00735CF0" w:rsidRPr="003B2621" w:rsidRDefault="009B277A" w:rsidP="0037707D">
            <w:pPr>
              <w:rPr>
                <w:bCs/>
                <w:sz w:val="20"/>
                <w:szCs w:val="20"/>
              </w:rPr>
            </w:pPr>
            <w:r w:rsidRPr="003B2621">
              <w:rPr>
                <w:sz w:val="20"/>
                <w:szCs w:val="20"/>
              </w:rPr>
              <w:t>Various. Refer to .xlsx file attached</w:t>
            </w:r>
          </w:p>
          <w:p w14:paraId="5EB8A241" w14:textId="77777777" w:rsidR="00735CF0" w:rsidRPr="003B2621" w:rsidRDefault="00735CF0" w:rsidP="0037707D">
            <w:pPr>
              <w:rPr>
                <w:bCs/>
                <w:sz w:val="20"/>
                <w:szCs w:val="20"/>
              </w:rPr>
            </w:pPr>
            <w:r w:rsidRPr="003B2621">
              <w:rPr>
                <w:bCs/>
                <w:sz w:val="20"/>
                <w:szCs w:val="20"/>
              </w:rPr>
              <w:t>Source: PG&amp;E Calculations.</w:t>
            </w:r>
          </w:p>
        </w:tc>
      </w:tr>
      <w:tr w:rsidR="00735CF0" w:rsidRPr="00783DAC" w14:paraId="5EB8A245" w14:textId="77777777" w:rsidTr="00783DAC">
        <w:trPr>
          <w:trHeight w:val="465"/>
        </w:trPr>
        <w:tc>
          <w:tcPr>
            <w:tcW w:w="4161" w:type="dxa"/>
            <w:shd w:val="pct5" w:color="000000" w:fill="FFFFFF"/>
          </w:tcPr>
          <w:p w14:paraId="5EB8A243" w14:textId="77777777" w:rsidR="00735CF0" w:rsidRPr="00F027AA" w:rsidRDefault="00735CF0" w:rsidP="0028709C">
            <w:pPr>
              <w:rPr>
                <w:b/>
              </w:rPr>
            </w:pPr>
            <w:r w:rsidRPr="00F027AA">
              <w:rPr>
                <w:b/>
              </w:rPr>
              <w:t xml:space="preserve">Costs Common Units: </w:t>
            </w:r>
          </w:p>
        </w:tc>
        <w:tc>
          <w:tcPr>
            <w:tcW w:w="5487" w:type="dxa"/>
            <w:shd w:val="pct5" w:color="000000" w:fill="FFFFFF"/>
          </w:tcPr>
          <w:p w14:paraId="5EB8A244" w14:textId="77777777" w:rsidR="00735CF0" w:rsidRPr="003B2621" w:rsidRDefault="00735CF0" w:rsidP="005C31D5">
            <w:pPr>
              <w:pStyle w:val="EndnoteText"/>
              <w:rPr>
                <w:bCs/>
              </w:rPr>
            </w:pPr>
            <w:r w:rsidRPr="003B2621">
              <w:rPr>
                <w:bCs/>
              </w:rPr>
              <w:t xml:space="preserve">$ </w:t>
            </w:r>
            <w:proofErr w:type="gramStart"/>
            <w:r w:rsidRPr="003B2621">
              <w:rPr>
                <w:bCs/>
              </w:rPr>
              <w:t>per</w:t>
            </w:r>
            <w:proofErr w:type="gramEnd"/>
            <w:r w:rsidRPr="003B2621">
              <w:rPr>
                <w:bCs/>
              </w:rPr>
              <w:t xml:space="preserve"> </w:t>
            </w:r>
            <w:r w:rsidR="005C31D5" w:rsidRPr="003B2621">
              <w:rPr>
                <w:bCs/>
              </w:rPr>
              <w:t>kilolumen</w:t>
            </w:r>
            <w:r w:rsidRPr="003B2621">
              <w:rPr>
                <w:bCs/>
              </w:rPr>
              <w:t>.</w:t>
            </w:r>
          </w:p>
        </w:tc>
      </w:tr>
      <w:tr w:rsidR="00735CF0" w:rsidRPr="00783DAC" w14:paraId="5EB8A249" w14:textId="77777777" w:rsidTr="00783DAC">
        <w:trPr>
          <w:trHeight w:val="465"/>
        </w:trPr>
        <w:tc>
          <w:tcPr>
            <w:tcW w:w="4161" w:type="dxa"/>
            <w:shd w:val="pct20" w:color="000000" w:fill="FFFFFF"/>
          </w:tcPr>
          <w:p w14:paraId="5EB8A246" w14:textId="77777777" w:rsidR="00735CF0" w:rsidRPr="00946BD7" w:rsidRDefault="00735CF0" w:rsidP="001D5155">
            <w:pPr>
              <w:rPr>
                <w:b/>
              </w:rPr>
            </w:pPr>
            <w:r w:rsidRPr="00F027AA">
              <w:rPr>
                <w:b/>
              </w:rPr>
              <w:t>Base Case Equipment Cost ($/</w:t>
            </w:r>
            <w:r w:rsidR="001D5155">
              <w:rPr>
                <w:b/>
              </w:rPr>
              <w:t>kilolumen</w:t>
            </w:r>
            <w:r w:rsidRPr="00F027AA">
              <w:rPr>
                <w:b/>
              </w:rPr>
              <w:t>):</w:t>
            </w:r>
          </w:p>
        </w:tc>
        <w:tc>
          <w:tcPr>
            <w:tcW w:w="5487" w:type="dxa"/>
            <w:shd w:val="pct20" w:color="000000" w:fill="FFFFFF"/>
          </w:tcPr>
          <w:p w14:paraId="5EB8A247" w14:textId="77777777" w:rsidR="00735CF0" w:rsidRPr="003B2621" w:rsidRDefault="009B277A" w:rsidP="0037707D">
            <w:pPr>
              <w:rPr>
                <w:bCs/>
                <w:sz w:val="20"/>
                <w:szCs w:val="20"/>
              </w:rPr>
            </w:pPr>
            <w:r w:rsidRPr="003B2621">
              <w:rPr>
                <w:sz w:val="20"/>
                <w:szCs w:val="20"/>
              </w:rPr>
              <w:t>Various. Refer to .xlsx file attached</w:t>
            </w:r>
            <w:r w:rsidR="00735CF0" w:rsidRPr="003B2621">
              <w:rPr>
                <w:bCs/>
                <w:sz w:val="20"/>
                <w:szCs w:val="20"/>
              </w:rPr>
              <w:t>.</w:t>
            </w:r>
          </w:p>
          <w:p w14:paraId="5EB8A248" w14:textId="77777777" w:rsidR="00735CF0" w:rsidRPr="003B2621" w:rsidRDefault="00735CF0" w:rsidP="005C31D5">
            <w:pPr>
              <w:rPr>
                <w:bCs/>
                <w:sz w:val="20"/>
                <w:szCs w:val="20"/>
              </w:rPr>
            </w:pPr>
            <w:r w:rsidRPr="003B2621">
              <w:rPr>
                <w:bCs/>
                <w:sz w:val="20"/>
                <w:szCs w:val="20"/>
              </w:rPr>
              <w:t xml:space="preserve">Source: </w:t>
            </w:r>
            <w:r w:rsidR="00946BD7" w:rsidRPr="003B2621">
              <w:rPr>
                <w:bCs/>
                <w:sz w:val="20"/>
                <w:szCs w:val="20"/>
              </w:rPr>
              <w:t xml:space="preserve">Distributor Quotations and </w:t>
            </w:r>
            <w:proofErr w:type="spellStart"/>
            <w:r w:rsidR="00946BD7" w:rsidRPr="003B2621">
              <w:rPr>
                <w:bCs/>
                <w:sz w:val="20"/>
                <w:szCs w:val="20"/>
              </w:rPr>
              <w:t>Weblinks</w:t>
            </w:r>
            <w:proofErr w:type="spellEnd"/>
          </w:p>
        </w:tc>
      </w:tr>
      <w:tr w:rsidR="00735CF0" w:rsidRPr="00783DAC" w14:paraId="5EB8A24D" w14:textId="77777777" w:rsidTr="00783DAC">
        <w:trPr>
          <w:trHeight w:val="465"/>
        </w:trPr>
        <w:tc>
          <w:tcPr>
            <w:tcW w:w="4161" w:type="dxa"/>
            <w:shd w:val="pct5" w:color="000000" w:fill="FFFFFF"/>
          </w:tcPr>
          <w:p w14:paraId="5EB8A24A" w14:textId="77777777" w:rsidR="00735CF0" w:rsidRPr="00F027AA" w:rsidRDefault="00735CF0" w:rsidP="001D5155">
            <w:pPr>
              <w:rPr>
                <w:b/>
              </w:rPr>
            </w:pPr>
            <w:r w:rsidRPr="00F027AA">
              <w:rPr>
                <w:b/>
              </w:rPr>
              <w:t>Measure Equipment Cost ($/</w:t>
            </w:r>
            <w:r w:rsidR="001D5155">
              <w:rPr>
                <w:b/>
              </w:rPr>
              <w:t>kilolumen</w:t>
            </w:r>
            <w:r w:rsidRPr="00F027AA">
              <w:rPr>
                <w:b/>
              </w:rPr>
              <w:t xml:space="preserve">): </w:t>
            </w:r>
          </w:p>
        </w:tc>
        <w:tc>
          <w:tcPr>
            <w:tcW w:w="5487" w:type="dxa"/>
            <w:shd w:val="pct5" w:color="000000" w:fill="FFFFFF"/>
          </w:tcPr>
          <w:p w14:paraId="5EB8A24B" w14:textId="77777777" w:rsidR="00735CF0" w:rsidRPr="003B2621" w:rsidRDefault="009B277A" w:rsidP="0037707D">
            <w:pPr>
              <w:rPr>
                <w:bCs/>
                <w:sz w:val="20"/>
                <w:szCs w:val="20"/>
              </w:rPr>
            </w:pPr>
            <w:r w:rsidRPr="003B2621">
              <w:rPr>
                <w:sz w:val="20"/>
                <w:szCs w:val="20"/>
              </w:rPr>
              <w:t>Various. Refer to .xlsx file attached</w:t>
            </w:r>
          </w:p>
          <w:p w14:paraId="5EB8A24C" w14:textId="77777777" w:rsidR="00735CF0" w:rsidRPr="003B2621" w:rsidRDefault="00735CF0" w:rsidP="0037707D">
            <w:pPr>
              <w:rPr>
                <w:bCs/>
                <w:sz w:val="20"/>
                <w:szCs w:val="20"/>
              </w:rPr>
            </w:pPr>
            <w:r w:rsidRPr="003B2621">
              <w:rPr>
                <w:bCs/>
                <w:sz w:val="20"/>
                <w:szCs w:val="20"/>
              </w:rPr>
              <w:t>Source:</w:t>
            </w:r>
            <w:r w:rsidR="0082354A" w:rsidRPr="003B2621">
              <w:rPr>
                <w:bCs/>
                <w:sz w:val="20"/>
                <w:szCs w:val="20"/>
              </w:rPr>
              <w:t xml:space="preserve"> </w:t>
            </w:r>
            <w:r w:rsidR="005C31D5" w:rsidRPr="003B2621">
              <w:rPr>
                <w:bCs/>
                <w:sz w:val="20"/>
                <w:szCs w:val="20"/>
              </w:rPr>
              <w:t xml:space="preserve">Manufacturer Rep &amp; </w:t>
            </w:r>
            <w:r w:rsidR="00946BD7" w:rsidRPr="003B2621">
              <w:rPr>
                <w:bCs/>
                <w:sz w:val="20"/>
                <w:szCs w:val="20"/>
              </w:rPr>
              <w:t xml:space="preserve">Distributor Quotations and </w:t>
            </w:r>
            <w:proofErr w:type="spellStart"/>
            <w:r w:rsidR="00946BD7" w:rsidRPr="003B2621">
              <w:rPr>
                <w:bCs/>
                <w:sz w:val="20"/>
                <w:szCs w:val="20"/>
              </w:rPr>
              <w:t>Weblinks</w:t>
            </w:r>
            <w:proofErr w:type="spellEnd"/>
          </w:p>
        </w:tc>
      </w:tr>
      <w:tr w:rsidR="00735CF0" w:rsidRPr="00783DAC" w14:paraId="5EB8A251" w14:textId="77777777" w:rsidTr="00783DAC">
        <w:trPr>
          <w:trHeight w:val="465"/>
        </w:trPr>
        <w:tc>
          <w:tcPr>
            <w:tcW w:w="4161" w:type="dxa"/>
            <w:shd w:val="pct20" w:color="000000" w:fill="FFFFFF"/>
          </w:tcPr>
          <w:p w14:paraId="5EB8A24E" w14:textId="77777777" w:rsidR="00735CF0" w:rsidRPr="00F027AA" w:rsidRDefault="00735CF0" w:rsidP="001D5155">
            <w:pPr>
              <w:rPr>
                <w:b/>
              </w:rPr>
            </w:pPr>
            <w:r w:rsidRPr="00F027AA">
              <w:rPr>
                <w:b/>
              </w:rPr>
              <w:t>Gross Measure Cost ($/</w:t>
            </w:r>
            <w:r w:rsidR="001D5155">
              <w:rPr>
                <w:b/>
              </w:rPr>
              <w:t>kilolumen</w:t>
            </w:r>
            <w:r w:rsidRPr="00F027AA">
              <w:rPr>
                <w:b/>
              </w:rPr>
              <w:t>)</w:t>
            </w:r>
          </w:p>
        </w:tc>
        <w:tc>
          <w:tcPr>
            <w:tcW w:w="5487" w:type="dxa"/>
            <w:shd w:val="pct20" w:color="000000" w:fill="FFFFFF"/>
          </w:tcPr>
          <w:p w14:paraId="5EB8A24F" w14:textId="77777777" w:rsidR="00735CF0" w:rsidRPr="003B2621" w:rsidRDefault="009B277A" w:rsidP="004464AA">
            <w:pPr>
              <w:rPr>
                <w:bCs/>
                <w:sz w:val="20"/>
                <w:szCs w:val="20"/>
              </w:rPr>
            </w:pPr>
            <w:r w:rsidRPr="003B2621">
              <w:rPr>
                <w:sz w:val="20"/>
                <w:szCs w:val="20"/>
              </w:rPr>
              <w:t>Various. Refer to .xlsx file attached</w:t>
            </w:r>
          </w:p>
          <w:p w14:paraId="5EB8A250" w14:textId="77777777" w:rsidR="00735CF0" w:rsidRPr="003B2621" w:rsidRDefault="00735CF0" w:rsidP="004464AA">
            <w:pPr>
              <w:rPr>
                <w:bCs/>
                <w:sz w:val="20"/>
                <w:szCs w:val="20"/>
              </w:rPr>
            </w:pPr>
            <w:r w:rsidRPr="003B2621">
              <w:rPr>
                <w:bCs/>
                <w:sz w:val="20"/>
                <w:szCs w:val="20"/>
              </w:rPr>
              <w:t xml:space="preserve">Source: </w:t>
            </w:r>
            <w:r w:rsidR="005C31D5" w:rsidRPr="003B2621">
              <w:rPr>
                <w:bCs/>
                <w:sz w:val="20"/>
                <w:szCs w:val="20"/>
              </w:rPr>
              <w:t xml:space="preserve">Manufacturer Rep &amp; </w:t>
            </w:r>
            <w:r w:rsidR="00946BD7" w:rsidRPr="003B2621">
              <w:rPr>
                <w:bCs/>
                <w:sz w:val="20"/>
                <w:szCs w:val="20"/>
              </w:rPr>
              <w:t xml:space="preserve">Distributor Quotations and </w:t>
            </w:r>
            <w:proofErr w:type="spellStart"/>
            <w:r w:rsidR="00946BD7" w:rsidRPr="003B2621">
              <w:rPr>
                <w:bCs/>
                <w:sz w:val="20"/>
                <w:szCs w:val="20"/>
              </w:rPr>
              <w:t>Weblinks</w:t>
            </w:r>
            <w:proofErr w:type="spellEnd"/>
          </w:p>
        </w:tc>
      </w:tr>
      <w:tr w:rsidR="00735CF0" w:rsidRPr="00783DAC" w14:paraId="5EB8A255" w14:textId="77777777" w:rsidTr="00783DAC">
        <w:trPr>
          <w:trHeight w:val="465"/>
        </w:trPr>
        <w:tc>
          <w:tcPr>
            <w:tcW w:w="4161" w:type="dxa"/>
            <w:shd w:val="pct20" w:color="000000" w:fill="FFFFFF"/>
          </w:tcPr>
          <w:p w14:paraId="5EB8A252" w14:textId="77777777" w:rsidR="00735CF0" w:rsidRPr="00F027AA" w:rsidRDefault="00735CF0" w:rsidP="001D5155">
            <w:pPr>
              <w:rPr>
                <w:b/>
              </w:rPr>
            </w:pPr>
            <w:bookmarkStart w:id="3" w:name="OLE_LINK1"/>
            <w:r w:rsidRPr="00F027AA">
              <w:rPr>
                <w:b/>
              </w:rPr>
              <w:t>Measure Incremental Cost ($/</w:t>
            </w:r>
            <w:r w:rsidR="001D5155">
              <w:rPr>
                <w:b/>
              </w:rPr>
              <w:t>kilolumen</w:t>
            </w:r>
            <w:r w:rsidRPr="00F027AA">
              <w:rPr>
                <w:b/>
              </w:rPr>
              <w:t xml:space="preserve">): </w:t>
            </w:r>
            <w:bookmarkEnd w:id="3"/>
          </w:p>
        </w:tc>
        <w:tc>
          <w:tcPr>
            <w:tcW w:w="5487" w:type="dxa"/>
            <w:shd w:val="pct20" w:color="000000" w:fill="FFFFFF"/>
          </w:tcPr>
          <w:p w14:paraId="5EB8A253" w14:textId="77777777" w:rsidR="00735CF0" w:rsidRPr="003B2621" w:rsidRDefault="009B277A" w:rsidP="0037707D">
            <w:pPr>
              <w:rPr>
                <w:bCs/>
                <w:sz w:val="20"/>
                <w:szCs w:val="20"/>
              </w:rPr>
            </w:pPr>
            <w:r w:rsidRPr="003B2621">
              <w:rPr>
                <w:sz w:val="20"/>
                <w:szCs w:val="20"/>
              </w:rPr>
              <w:t>Various. Refer to .xlsx file attached</w:t>
            </w:r>
          </w:p>
          <w:p w14:paraId="5EB8A254" w14:textId="77777777" w:rsidR="00735CF0" w:rsidRPr="003B2621" w:rsidRDefault="00735CF0" w:rsidP="005C31D5">
            <w:pPr>
              <w:rPr>
                <w:bCs/>
                <w:sz w:val="20"/>
                <w:szCs w:val="20"/>
              </w:rPr>
            </w:pPr>
            <w:r w:rsidRPr="003B2621">
              <w:rPr>
                <w:bCs/>
                <w:sz w:val="20"/>
                <w:szCs w:val="20"/>
              </w:rPr>
              <w:t xml:space="preserve">Source: </w:t>
            </w:r>
            <w:r w:rsidR="005C31D5" w:rsidRPr="003B2621">
              <w:rPr>
                <w:bCs/>
                <w:sz w:val="20"/>
                <w:szCs w:val="20"/>
              </w:rPr>
              <w:t>PG&amp;E Calculations</w:t>
            </w:r>
          </w:p>
        </w:tc>
      </w:tr>
      <w:tr w:rsidR="00735CF0" w:rsidRPr="00783DAC" w14:paraId="5EB8A25A" w14:textId="77777777" w:rsidTr="00783DAC">
        <w:trPr>
          <w:trHeight w:val="465"/>
        </w:trPr>
        <w:tc>
          <w:tcPr>
            <w:tcW w:w="4161" w:type="dxa"/>
            <w:shd w:val="pct5" w:color="000000" w:fill="FFFFFF"/>
          </w:tcPr>
          <w:p w14:paraId="5EB8A256" w14:textId="77777777" w:rsidR="00735CF0" w:rsidRPr="00F027AA" w:rsidRDefault="00735CF0" w:rsidP="0028709C">
            <w:pPr>
              <w:rPr>
                <w:b/>
              </w:rPr>
            </w:pPr>
            <w:r w:rsidRPr="00F027AA">
              <w:rPr>
                <w:b/>
              </w:rPr>
              <w:t xml:space="preserve">Effective Useful Life (years): </w:t>
            </w:r>
          </w:p>
        </w:tc>
        <w:tc>
          <w:tcPr>
            <w:tcW w:w="5487" w:type="dxa"/>
            <w:shd w:val="pct5" w:color="000000" w:fill="FFFFFF"/>
          </w:tcPr>
          <w:p w14:paraId="5EB8A257" w14:textId="77777777" w:rsidR="00D93D13" w:rsidRPr="00D93D13" w:rsidRDefault="00D93D13" w:rsidP="0037707D">
            <w:pPr>
              <w:rPr>
                <w:sz w:val="20"/>
                <w:szCs w:val="20"/>
              </w:rPr>
            </w:pPr>
            <w:r w:rsidRPr="00D93D13">
              <w:rPr>
                <w:sz w:val="20"/>
                <w:szCs w:val="20"/>
              </w:rPr>
              <w:t xml:space="preserve">16 years, ILtg-Com-LED-50000hr+16yr </w:t>
            </w:r>
          </w:p>
          <w:p w14:paraId="5EB8A258" w14:textId="77777777" w:rsidR="00735CF0" w:rsidRPr="00D93D13" w:rsidRDefault="00D93D13" w:rsidP="0037707D">
            <w:pPr>
              <w:rPr>
                <w:bCs/>
                <w:sz w:val="20"/>
                <w:szCs w:val="20"/>
              </w:rPr>
            </w:pPr>
            <w:r w:rsidRPr="00D93D13">
              <w:rPr>
                <w:sz w:val="20"/>
                <w:szCs w:val="20"/>
              </w:rPr>
              <w:t>16 years, ILtg-Res-LED-50000hr+16yr</w:t>
            </w:r>
          </w:p>
          <w:p w14:paraId="5EB8A259" w14:textId="77777777" w:rsidR="00735CF0" w:rsidRPr="003B2621" w:rsidRDefault="00735CF0" w:rsidP="00D93D13">
            <w:pPr>
              <w:rPr>
                <w:bCs/>
                <w:sz w:val="20"/>
                <w:szCs w:val="20"/>
              </w:rPr>
            </w:pPr>
            <w:r w:rsidRPr="00D93D13">
              <w:rPr>
                <w:bCs/>
                <w:sz w:val="20"/>
                <w:szCs w:val="20"/>
              </w:rPr>
              <w:t xml:space="preserve">Source: </w:t>
            </w:r>
            <w:r w:rsidR="00D93D13" w:rsidRPr="00D93D13">
              <w:rPr>
                <w:bCs/>
                <w:sz w:val="20"/>
                <w:szCs w:val="20"/>
              </w:rPr>
              <w:t>DEER2016</w:t>
            </w:r>
          </w:p>
        </w:tc>
      </w:tr>
      <w:tr w:rsidR="00735CF0" w:rsidRPr="00783DAC" w14:paraId="5EB8A25D" w14:textId="77777777" w:rsidTr="00783DAC">
        <w:trPr>
          <w:trHeight w:val="465"/>
        </w:trPr>
        <w:tc>
          <w:tcPr>
            <w:tcW w:w="4161" w:type="dxa"/>
            <w:shd w:val="pct20" w:color="000000" w:fill="FFFFFF"/>
          </w:tcPr>
          <w:p w14:paraId="5EB8A25B" w14:textId="77777777" w:rsidR="00735CF0" w:rsidRPr="00F027AA" w:rsidRDefault="00735CF0" w:rsidP="0028709C">
            <w:pPr>
              <w:rPr>
                <w:b/>
              </w:rPr>
            </w:pPr>
            <w:r w:rsidRPr="00F027AA">
              <w:rPr>
                <w:b/>
              </w:rPr>
              <w:t>Program Type:</w:t>
            </w:r>
          </w:p>
        </w:tc>
        <w:tc>
          <w:tcPr>
            <w:tcW w:w="5487" w:type="dxa"/>
            <w:shd w:val="pct20" w:color="000000" w:fill="FFFFFF"/>
          </w:tcPr>
          <w:p w14:paraId="5EB8A25C" w14:textId="77777777" w:rsidR="00735CF0" w:rsidRPr="003B2621" w:rsidRDefault="00735CF0" w:rsidP="009B2260">
            <w:pPr>
              <w:rPr>
                <w:bCs/>
                <w:sz w:val="20"/>
                <w:szCs w:val="20"/>
              </w:rPr>
            </w:pPr>
            <w:r w:rsidRPr="003B2621">
              <w:rPr>
                <w:bCs/>
                <w:sz w:val="20"/>
                <w:szCs w:val="20"/>
              </w:rPr>
              <w:t>ROB</w:t>
            </w:r>
            <w:r w:rsidR="009B2260">
              <w:rPr>
                <w:bCs/>
                <w:sz w:val="20"/>
                <w:szCs w:val="20"/>
              </w:rPr>
              <w:t xml:space="preserve">, </w:t>
            </w:r>
            <w:r w:rsidRPr="003B2621">
              <w:rPr>
                <w:bCs/>
                <w:sz w:val="20"/>
                <w:szCs w:val="20"/>
              </w:rPr>
              <w:t>NC.</w:t>
            </w:r>
          </w:p>
        </w:tc>
      </w:tr>
      <w:tr w:rsidR="00735CF0" w:rsidRPr="00783DAC" w14:paraId="5EB8A262" w14:textId="77777777" w:rsidTr="00013F18">
        <w:trPr>
          <w:trHeight w:val="711"/>
        </w:trPr>
        <w:tc>
          <w:tcPr>
            <w:tcW w:w="4161" w:type="dxa"/>
            <w:shd w:val="pct5" w:color="000000" w:fill="FFFFFF"/>
          </w:tcPr>
          <w:p w14:paraId="5EB8A25E" w14:textId="77777777" w:rsidR="00735CF0" w:rsidRPr="00F027AA" w:rsidRDefault="00735CF0" w:rsidP="0028709C">
            <w:pPr>
              <w:rPr>
                <w:b/>
              </w:rPr>
            </w:pPr>
            <w:r w:rsidRPr="00F027AA">
              <w:rPr>
                <w:b/>
              </w:rPr>
              <w:t xml:space="preserve">Net-to-Gross Ratios: </w:t>
            </w:r>
          </w:p>
        </w:tc>
        <w:tc>
          <w:tcPr>
            <w:tcW w:w="5487" w:type="dxa"/>
            <w:shd w:val="pct5" w:color="000000" w:fill="FFFFFF"/>
          </w:tcPr>
          <w:p w14:paraId="5EB8A260" w14:textId="179501F6" w:rsidR="00D93D13" w:rsidRPr="00D93D13" w:rsidRDefault="00D93D13" w:rsidP="004464AA">
            <w:pPr>
              <w:rPr>
                <w:bCs/>
                <w:sz w:val="20"/>
                <w:szCs w:val="20"/>
              </w:rPr>
            </w:pPr>
            <w:r w:rsidRPr="00D93D13">
              <w:rPr>
                <w:bCs/>
                <w:sz w:val="20"/>
                <w:szCs w:val="20"/>
              </w:rPr>
              <w:t xml:space="preserve">NTG=0.7 All-Default&lt;=2yrs, </w:t>
            </w:r>
            <w:r w:rsidRPr="00D93D13">
              <w:rPr>
                <w:sz w:val="20"/>
                <w:szCs w:val="20"/>
              </w:rPr>
              <w:t>PreRebDown-2016</w:t>
            </w:r>
            <w:r>
              <w:rPr>
                <w:sz w:val="20"/>
                <w:szCs w:val="20"/>
              </w:rPr>
              <w:t>,</w:t>
            </w:r>
            <w:r w:rsidRPr="00D93D13">
              <w:rPr>
                <w:sz w:val="20"/>
                <w:szCs w:val="20"/>
              </w:rPr>
              <w:t xml:space="preserve"> PreRebUp-2016</w:t>
            </w:r>
            <w:r w:rsidR="00D412D8">
              <w:rPr>
                <w:sz w:val="20"/>
                <w:szCs w:val="20"/>
              </w:rPr>
              <w:t>, Direct Install-2017</w:t>
            </w:r>
          </w:p>
          <w:p w14:paraId="5EB8A261" w14:textId="77777777" w:rsidR="00735CF0" w:rsidRPr="003B2621" w:rsidRDefault="00735CF0" w:rsidP="002870E2">
            <w:pPr>
              <w:rPr>
                <w:bCs/>
                <w:sz w:val="20"/>
                <w:szCs w:val="20"/>
              </w:rPr>
            </w:pPr>
            <w:r w:rsidRPr="00D93D13">
              <w:rPr>
                <w:bCs/>
                <w:sz w:val="20"/>
                <w:szCs w:val="20"/>
              </w:rPr>
              <w:t xml:space="preserve">Source: </w:t>
            </w:r>
            <w:r w:rsidR="00DF6547" w:rsidRPr="002870E2">
              <w:rPr>
                <w:bCs/>
                <w:sz w:val="20"/>
                <w:szCs w:val="20"/>
              </w:rPr>
              <w:t>DEER 201</w:t>
            </w:r>
            <w:r w:rsidR="00904F60">
              <w:rPr>
                <w:bCs/>
                <w:sz w:val="20"/>
                <w:szCs w:val="20"/>
              </w:rPr>
              <w:t>6</w:t>
            </w:r>
          </w:p>
        </w:tc>
      </w:tr>
      <w:tr w:rsidR="00735CF0" w:rsidRPr="00783DAC" w14:paraId="5EB8A265" w14:textId="77777777" w:rsidTr="00783DAC">
        <w:trPr>
          <w:trHeight w:val="465"/>
        </w:trPr>
        <w:tc>
          <w:tcPr>
            <w:tcW w:w="4161" w:type="dxa"/>
            <w:shd w:val="pct20" w:color="000000" w:fill="FFFFFF"/>
          </w:tcPr>
          <w:p w14:paraId="5EB8A263" w14:textId="77777777" w:rsidR="00735CF0" w:rsidRPr="00783DAC" w:rsidRDefault="00735CF0" w:rsidP="0028709C">
            <w:pPr>
              <w:rPr>
                <w:b/>
              </w:rPr>
            </w:pPr>
            <w:r w:rsidRPr="00783DAC">
              <w:rPr>
                <w:b/>
              </w:rPr>
              <w:t>Important Comments:</w:t>
            </w:r>
          </w:p>
        </w:tc>
        <w:tc>
          <w:tcPr>
            <w:tcW w:w="5487" w:type="dxa"/>
            <w:shd w:val="pct20" w:color="000000" w:fill="FFFFFF"/>
          </w:tcPr>
          <w:p w14:paraId="5EB8A264" w14:textId="77777777" w:rsidR="00735CF0" w:rsidRPr="00B93DB5" w:rsidRDefault="00735CF0" w:rsidP="0028709C">
            <w:pPr>
              <w:rPr>
                <w:bCs/>
                <w:sz w:val="20"/>
                <w:szCs w:val="20"/>
              </w:rPr>
            </w:pPr>
          </w:p>
        </w:tc>
      </w:tr>
    </w:tbl>
    <w:p w14:paraId="5EB8A266" w14:textId="77777777" w:rsidR="005F19E0" w:rsidRPr="005F19E0" w:rsidRDefault="006F0139" w:rsidP="0006490F">
      <w:pPr>
        <w:rPr>
          <w:rFonts w:ascii="Arial" w:hAnsi="Arial" w:cs="Arial"/>
          <w:b/>
          <w:color w:val="FF0000"/>
          <w:sz w:val="20"/>
          <w:szCs w:val="20"/>
        </w:rPr>
        <w:sectPr w:rsidR="005F19E0" w:rsidRPr="005F19E0" w:rsidSect="002870E2">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titlePg/>
          <w:docGrid w:linePitch="360"/>
        </w:sectPr>
      </w:pPr>
      <w:r w:rsidRPr="006F0139">
        <w:rPr>
          <w:rFonts w:ascii="Arial" w:hAnsi="Arial" w:cs="Arial"/>
          <w:b/>
          <w:i/>
          <w:color w:val="FF0000"/>
          <w:sz w:val="20"/>
          <w:szCs w:val="20"/>
          <w:highlight w:val="cyan"/>
        </w:rPr>
        <w:t xml:space="preserve"> </w:t>
      </w:r>
    </w:p>
    <w:p w14:paraId="5EB8A267" w14:textId="77777777" w:rsidR="00E71EF1" w:rsidRDefault="00E71EF1" w:rsidP="00E71EF1">
      <w:pPr>
        <w:pStyle w:val="Heading1"/>
      </w:pPr>
      <w:bookmarkStart w:id="4" w:name="_Toc468797897"/>
      <w:r>
        <w:lastRenderedPageBreak/>
        <w:t>Document Revision History</w:t>
      </w:r>
      <w:bookmarkEnd w:id="4"/>
    </w:p>
    <w:p w14:paraId="5EB8A268" w14:textId="77777777" w:rsidR="00E91C15" w:rsidRDefault="004203DD" w:rsidP="001A573F">
      <w:r>
        <w:t xml:space="preserve"> </w:t>
      </w:r>
      <w:r w:rsidR="00E91C15">
        <w:tab/>
      </w:r>
      <w:r w:rsidR="00E91C15">
        <w:tab/>
      </w:r>
      <w:r w:rsidR="00E91C15">
        <w:tab/>
      </w:r>
      <w:r w:rsidR="00E91C15">
        <w:tab/>
      </w:r>
      <w:r>
        <w:t xml:space="preserve"> </w:t>
      </w:r>
      <w:r w:rsidR="00E91C15">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783DAC" w14:paraId="5EB8A26D" w14:textId="77777777" w:rsidTr="005A3157">
        <w:trPr>
          <w:trHeight w:val="464"/>
        </w:trPr>
        <w:tc>
          <w:tcPr>
            <w:tcW w:w="870" w:type="pct"/>
            <w:tcBorders>
              <w:top w:val="nil"/>
              <w:bottom w:val="single" w:sz="18" w:space="0" w:color="FFFFFF"/>
            </w:tcBorders>
            <w:shd w:val="clear" w:color="auto" w:fill="BFBFBF"/>
          </w:tcPr>
          <w:p w14:paraId="5EB8A269" w14:textId="77777777" w:rsidR="000374A5" w:rsidRPr="000374A5" w:rsidRDefault="000374A5" w:rsidP="00E80567">
            <w:pPr>
              <w:rPr>
                <w:b/>
                <w:bCs/>
              </w:rPr>
            </w:pPr>
            <w:r>
              <w:t>Revision #</w:t>
            </w:r>
            <w:r>
              <w:tab/>
            </w:r>
          </w:p>
        </w:tc>
        <w:tc>
          <w:tcPr>
            <w:tcW w:w="746" w:type="pct"/>
            <w:tcBorders>
              <w:top w:val="nil"/>
              <w:bottom w:val="single" w:sz="18" w:space="0" w:color="FFFFFF"/>
            </w:tcBorders>
            <w:shd w:val="clear" w:color="auto" w:fill="BFBFBF"/>
          </w:tcPr>
          <w:p w14:paraId="5EB8A26A" w14:textId="77777777" w:rsidR="000374A5" w:rsidRPr="000374A5" w:rsidRDefault="000374A5" w:rsidP="00E80567">
            <w:pPr>
              <w:rPr>
                <w:b/>
                <w:bCs/>
                <w:sz w:val="20"/>
                <w:szCs w:val="20"/>
              </w:rPr>
            </w:pPr>
            <w:r>
              <w:t>Date</w:t>
            </w:r>
            <w:r w:rsidRPr="00E91C15">
              <w:t xml:space="preserve"> </w:t>
            </w:r>
            <w:r>
              <w:tab/>
            </w:r>
          </w:p>
        </w:tc>
        <w:tc>
          <w:tcPr>
            <w:tcW w:w="1692" w:type="pct"/>
            <w:tcBorders>
              <w:top w:val="nil"/>
              <w:bottom w:val="single" w:sz="18" w:space="0" w:color="FFFFFF"/>
            </w:tcBorders>
            <w:shd w:val="clear" w:color="auto" w:fill="BFBFBF"/>
          </w:tcPr>
          <w:p w14:paraId="5EB8A26B" w14:textId="77777777" w:rsidR="000374A5" w:rsidRPr="000374A5" w:rsidRDefault="000374A5" w:rsidP="00E80567">
            <w:pPr>
              <w:rPr>
                <w:b/>
                <w:bCs/>
                <w:sz w:val="20"/>
                <w:szCs w:val="20"/>
              </w:rPr>
            </w:pPr>
            <w:r>
              <w:t>Section by Section Description of Revisions</w:t>
            </w:r>
          </w:p>
        </w:tc>
        <w:tc>
          <w:tcPr>
            <w:tcW w:w="1692" w:type="pct"/>
            <w:tcBorders>
              <w:top w:val="nil"/>
              <w:bottom w:val="single" w:sz="18" w:space="0" w:color="FFFFFF"/>
            </w:tcBorders>
            <w:shd w:val="clear" w:color="auto" w:fill="BFBFBF"/>
          </w:tcPr>
          <w:p w14:paraId="5EB8A26C" w14:textId="77777777" w:rsidR="000374A5" w:rsidRPr="000374A5" w:rsidRDefault="000374A5" w:rsidP="00E80567">
            <w:pPr>
              <w:rPr>
                <w:b/>
                <w:bCs/>
                <w:sz w:val="20"/>
                <w:szCs w:val="20"/>
              </w:rPr>
            </w:pPr>
            <w:r>
              <w:t>Author (Company)</w:t>
            </w:r>
          </w:p>
        </w:tc>
      </w:tr>
      <w:tr w:rsidR="0068419D" w:rsidRPr="00531AF8" w14:paraId="5EB8A274" w14:textId="77777777" w:rsidTr="0000411D">
        <w:trPr>
          <w:trHeight w:val="464"/>
        </w:trPr>
        <w:tc>
          <w:tcPr>
            <w:tcW w:w="870" w:type="pct"/>
            <w:tcBorders>
              <w:top w:val="single" w:sz="18" w:space="0" w:color="FFFFFF"/>
              <w:bottom w:val="single" w:sz="18" w:space="0" w:color="FFFFFF"/>
            </w:tcBorders>
            <w:shd w:val="clear" w:color="auto" w:fill="D9D9D9"/>
          </w:tcPr>
          <w:p w14:paraId="5EB8A26E" w14:textId="77777777" w:rsidR="0068419D" w:rsidRPr="00531AF8" w:rsidRDefault="0068419D" w:rsidP="008948E0">
            <w:pPr>
              <w:rPr>
                <w:bCs/>
              </w:rPr>
            </w:pPr>
            <w:r w:rsidRPr="00531AF8">
              <w:rPr>
                <w:bCs/>
              </w:rPr>
              <w:t>Revision 0</w:t>
            </w:r>
          </w:p>
        </w:tc>
        <w:tc>
          <w:tcPr>
            <w:tcW w:w="746" w:type="pct"/>
            <w:tcBorders>
              <w:top w:val="single" w:sz="18" w:space="0" w:color="FFFFFF"/>
              <w:bottom w:val="single" w:sz="18" w:space="0" w:color="FFFFFF"/>
            </w:tcBorders>
            <w:shd w:val="clear" w:color="auto" w:fill="D9D9D9"/>
          </w:tcPr>
          <w:p w14:paraId="5EB8A26F" w14:textId="77777777" w:rsidR="0068419D" w:rsidRPr="00531AF8" w:rsidRDefault="005C31D5" w:rsidP="005C31D5">
            <w:pPr>
              <w:rPr>
                <w:bCs/>
              </w:rPr>
            </w:pPr>
            <w:r>
              <w:rPr>
                <w:bCs/>
              </w:rPr>
              <w:t>2</w:t>
            </w:r>
            <w:r w:rsidR="00531AF8" w:rsidRPr="00531AF8">
              <w:rPr>
                <w:bCs/>
              </w:rPr>
              <w:t>/</w:t>
            </w:r>
            <w:r>
              <w:rPr>
                <w:bCs/>
              </w:rPr>
              <w:t>25</w:t>
            </w:r>
            <w:r w:rsidR="00531AF8" w:rsidRPr="00531AF8">
              <w:rPr>
                <w:bCs/>
              </w:rPr>
              <w:t>/201</w:t>
            </w:r>
            <w:r>
              <w:rPr>
                <w:bCs/>
              </w:rPr>
              <w:t>5</w:t>
            </w:r>
          </w:p>
        </w:tc>
        <w:tc>
          <w:tcPr>
            <w:tcW w:w="1692" w:type="pct"/>
            <w:tcBorders>
              <w:top w:val="single" w:sz="18" w:space="0" w:color="FFFFFF"/>
              <w:bottom w:val="single" w:sz="18" w:space="0" w:color="FFFFFF"/>
            </w:tcBorders>
            <w:shd w:val="clear" w:color="auto" w:fill="D9D9D9"/>
          </w:tcPr>
          <w:p w14:paraId="5EB8A270" w14:textId="77777777" w:rsidR="0068419D" w:rsidRPr="00531AF8" w:rsidRDefault="00DB2CE5" w:rsidP="00DF163F">
            <w:r w:rsidRPr="00531AF8">
              <w:t>PGECOLTG</w:t>
            </w:r>
            <w:r w:rsidR="00990A52">
              <w:t>179</w:t>
            </w:r>
            <w:r w:rsidR="0068419D" w:rsidRPr="00531AF8">
              <w:t xml:space="preserve"> R0 </w:t>
            </w:r>
            <w:r w:rsidR="00990A52">
              <w:t xml:space="preserve">LED </w:t>
            </w:r>
            <w:r w:rsidR="00C27933">
              <w:t xml:space="preserve">Ambient Commercial </w:t>
            </w:r>
            <w:r w:rsidR="005C31D5" w:rsidRPr="005C31D5">
              <w:t xml:space="preserve"> Fixtures and Retrofit Kits</w:t>
            </w:r>
            <w:r w:rsidR="0068419D" w:rsidRPr="00531AF8">
              <w:t>.doc</w:t>
            </w:r>
          </w:p>
          <w:p w14:paraId="5EB8A271" w14:textId="77777777" w:rsidR="0068419D" w:rsidRPr="00531AF8" w:rsidRDefault="00D3706F" w:rsidP="00DF163F">
            <w:r w:rsidRPr="00531AF8">
              <w:t>Original Workpaper</w:t>
            </w:r>
          </w:p>
        </w:tc>
        <w:tc>
          <w:tcPr>
            <w:tcW w:w="1692" w:type="pct"/>
            <w:tcBorders>
              <w:top w:val="single" w:sz="18" w:space="0" w:color="FFFFFF"/>
              <w:bottom w:val="single" w:sz="18" w:space="0" w:color="FFFFFF"/>
            </w:tcBorders>
            <w:shd w:val="clear" w:color="auto" w:fill="D9D9D9"/>
          </w:tcPr>
          <w:p w14:paraId="5EB8A272" w14:textId="77777777" w:rsidR="00032F1B" w:rsidRDefault="00032F1B" w:rsidP="008948E0">
            <w:pPr>
              <w:rPr>
                <w:bCs/>
              </w:rPr>
            </w:pPr>
            <w:r>
              <w:rPr>
                <w:bCs/>
              </w:rPr>
              <w:t>Author: Greg Barker (Energy Solutions)</w:t>
            </w:r>
          </w:p>
          <w:p w14:paraId="5EB8A273" w14:textId="77777777" w:rsidR="0068419D" w:rsidRPr="00531AF8" w:rsidRDefault="00032F1B" w:rsidP="008948E0">
            <w:pPr>
              <w:rPr>
                <w:bCs/>
              </w:rPr>
            </w:pPr>
            <w:r>
              <w:rPr>
                <w:bCs/>
              </w:rPr>
              <w:t xml:space="preserve">Reviewer: </w:t>
            </w:r>
            <w:r w:rsidR="0068419D" w:rsidRPr="00531AF8">
              <w:rPr>
                <w:bCs/>
              </w:rPr>
              <w:t xml:space="preserve">Alina Zohrabian (PG&amp;E) </w:t>
            </w:r>
          </w:p>
        </w:tc>
      </w:tr>
      <w:tr w:rsidR="002870E2" w:rsidRPr="00531AF8" w14:paraId="5EB8A279" w14:textId="77777777" w:rsidTr="0000411D">
        <w:trPr>
          <w:trHeight w:val="464"/>
        </w:trPr>
        <w:tc>
          <w:tcPr>
            <w:tcW w:w="870" w:type="pct"/>
            <w:tcBorders>
              <w:top w:val="single" w:sz="18" w:space="0" w:color="FFFFFF"/>
              <w:bottom w:val="single" w:sz="18" w:space="0" w:color="FFFFFF"/>
            </w:tcBorders>
            <w:shd w:val="clear" w:color="auto" w:fill="D9D9D9"/>
          </w:tcPr>
          <w:p w14:paraId="5EB8A275" w14:textId="77777777" w:rsidR="002870E2" w:rsidRPr="00531AF8" w:rsidRDefault="002870E2" w:rsidP="004C3B88">
            <w:pPr>
              <w:rPr>
                <w:bCs/>
              </w:rPr>
            </w:pPr>
            <w:r>
              <w:rPr>
                <w:bCs/>
              </w:rPr>
              <w:t>Revision 1</w:t>
            </w:r>
          </w:p>
        </w:tc>
        <w:tc>
          <w:tcPr>
            <w:tcW w:w="746" w:type="pct"/>
            <w:tcBorders>
              <w:top w:val="single" w:sz="18" w:space="0" w:color="FFFFFF"/>
              <w:bottom w:val="single" w:sz="18" w:space="0" w:color="FFFFFF"/>
            </w:tcBorders>
            <w:shd w:val="clear" w:color="auto" w:fill="D9D9D9"/>
          </w:tcPr>
          <w:p w14:paraId="5EB8A276" w14:textId="77777777" w:rsidR="002870E2" w:rsidRPr="00531AF8" w:rsidRDefault="002870E2" w:rsidP="004C3B88">
            <w:pPr>
              <w:rPr>
                <w:bCs/>
              </w:rPr>
            </w:pPr>
            <w:r>
              <w:rPr>
                <w:bCs/>
              </w:rPr>
              <w:t>1/1/2016</w:t>
            </w:r>
          </w:p>
        </w:tc>
        <w:tc>
          <w:tcPr>
            <w:tcW w:w="1692" w:type="pct"/>
            <w:tcBorders>
              <w:top w:val="single" w:sz="18" w:space="0" w:color="FFFFFF"/>
              <w:bottom w:val="single" w:sz="18" w:space="0" w:color="FFFFFF"/>
            </w:tcBorders>
            <w:shd w:val="clear" w:color="auto" w:fill="D9D9D9"/>
          </w:tcPr>
          <w:p w14:paraId="5EB8A277" w14:textId="77777777" w:rsidR="002870E2" w:rsidRPr="00531AF8" w:rsidRDefault="002870E2" w:rsidP="00CA1504">
            <w:r>
              <w:t>Added upstream delivery channel.  Updated NTG</w:t>
            </w:r>
            <w:r w:rsidR="00CA1504">
              <w:t xml:space="preserve"> &amp;</w:t>
            </w:r>
            <w:r>
              <w:t xml:space="preserve"> EUL IDs per DEER2016.</w:t>
            </w:r>
          </w:p>
        </w:tc>
        <w:tc>
          <w:tcPr>
            <w:tcW w:w="1692" w:type="pct"/>
            <w:tcBorders>
              <w:top w:val="single" w:sz="18" w:space="0" w:color="FFFFFF"/>
              <w:bottom w:val="single" w:sz="18" w:space="0" w:color="FFFFFF"/>
            </w:tcBorders>
            <w:shd w:val="clear" w:color="auto" w:fill="D9D9D9"/>
          </w:tcPr>
          <w:p w14:paraId="5EB8A278" w14:textId="77777777" w:rsidR="002870E2" w:rsidRPr="00531AF8" w:rsidRDefault="002870E2" w:rsidP="004C3B88">
            <w:pPr>
              <w:rPr>
                <w:bCs/>
              </w:rPr>
            </w:pPr>
            <w:r w:rsidRPr="00531AF8">
              <w:rPr>
                <w:bCs/>
              </w:rPr>
              <w:t xml:space="preserve">Alina Zohrabian (PG&amp;E) </w:t>
            </w:r>
          </w:p>
        </w:tc>
      </w:tr>
      <w:tr w:rsidR="00CD3FDA" w:rsidRPr="00531AF8" w14:paraId="4DABDD42" w14:textId="77777777" w:rsidTr="0000411D">
        <w:trPr>
          <w:trHeight w:val="464"/>
        </w:trPr>
        <w:tc>
          <w:tcPr>
            <w:tcW w:w="870" w:type="pct"/>
            <w:tcBorders>
              <w:top w:val="single" w:sz="18" w:space="0" w:color="FFFFFF"/>
              <w:bottom w:val="single" w:sz="18" w:space="0" w:color="FFFFFF"/>
            </w:tcBorders>
            <w:shd w:val="clear" w:color="auto" w:fill="D9D9D9"/>
          </w:tcPr>
          <w:p w14:paraId="263DD382" w14:textId="59B0F09C" w:rsidR="00CD3FDA" w:rsidRPr="00CF48A4" w:rsidRDefault="00CD3FDA" w:rsidP="004C3B88">
            <w:r w:rsidRPr="00CF48A4">
              <w:t>Revision 2</w:t>
            </w:r>
          </w:p>
        </w:tc>
        <w:tc>
          <w:tcPr>
            <w:tcW w:w="746" w:type="pct"/>
            <w:tcBorders>
              <w:top w:val="single" w:sz="18" w:space="0" w:color="FFFFFF"/>
              <w:bottom w:val="single" w:sz="18" w:space="0" w:color="FFFFFF"/>
            </w:tcBorders>
            <w:shd w:val="clear" w:color="auto" w:fill="D9D9D9"/>
          </w:tcPr>
          <w:p w14:paraId="2CE7EF41" w14:textId="3B618777" w:rsidR="00CD3FDA" w:rsidRPr="00CF48A4" w:rsidRDefault="00CD3FDA" w:rsidP="004C3B88">
            <w:r w:rsidRPr="00CF48A4">
              <w:t>6/1/2016</w:t>
            </w:r>
          </w:p>
        </w:tc>
        <w:tc>
          <w:tcPr>
            <w:tcW w:w="1692" w:type="pct"/>
            <w:tcBorders>
              <w:top w:val="single" w:sz="18" w:space="0" w:color="FFFFFF"/>
              <w:bottom w:val="single" w:sz="18" w:space="0" w:color="FFFFFF"/>
            </w:tcBorders>
            <w:shd w:val="clear" w:color="auto" w:fill="D9D9D9"/>
          </w:tcPr>
          <w:p w14:paraId="58D25FF6" w14:textId="2796A8EA" w:rsidR="00CD3FDA" w:rsidRDefault="00CD3FDA" w:rsidP="00CA1504">
            <w:r>
              <w:t>Added DLC Premium Tier requirement for transition on July 15</w:t>
            </w:r>
            <w:proofErr w:type="gramStart"/>
            <w:r>
              <w:t>,2016</w:t>
            </w:r>
            <w:proofErr w:type="gramEnd"/>
            <w:r>
              <w:t>; removed 12 measure codes that fall below DLC Premium efficacy.  Updated costs based on recent cost data. No changes in savings, EUL, NTG.</w:t>
            </w:r>
          </w:p>
        </w:tc>
        <w:tc>
          <w:tcPr>
            <w:tcW w:w="1692" w:type="pct"/>
            <w:tcBorders>
              <w:top w:val="single" w:sz="18" w:space="0" w:color="FFFFFF"/>
              <w:bottom w:val="single" w:sz="18" w:space="0" w:color="FFFFFF"/>
            </w:tcBorders>
            <w:shd w:val="clear" w:color="auto" w:fill="D9D9D9"/>
          </w:tcPr>
          <w:p w14:paraId="3AFD360C" w14:textId="77777777" w:rsidR="00CD3FDA" w:rsidRDefault="00CD3FDA" w:rsidP="00CD3FDA">
            <w:pPr>
              <w:rPr>
                <w:bCs/>
              </w:rPr>
            </w:pPr>
            <w:r>
              <w:rPr>
                <w:bCs/>
              </w:rPr>
              <w:t>Author: Greg Barker (Energy Solutions)</w:t>
            </w:r>
          </w:p>
          <w:p w14:paraId="1F0F2F85" w14:textId="77777777" w:rsidR="00CD3FDA" w:rsidRDefault="00CD3FDA" w:rsidP="00CD3FDA">
            <w:pPr>
              <w:rPr>
                <w:bCs/>
              </w:rPr>
            </w:pPr>
            <w:r>
              <w:rPr>
                <w:bCs/>
              </w:rPr>
              <w:t xml:space="preserve">Reviewer: </w:t>
            </w:r>
            <w:r w:rsidRPr="00531AF8">
              <w:rPr>
                <w:bCs/>
              </w:rPr>
              <w:t xml:space="preserve">Alina Zohrabian (PG&amp;E) </w:t>
            </w:r>
          </w:p>
          <w:p w14:paraId="19B847EC" w14:textId="09213312" w:rsidR="00CD3FDA" w:rsidRPr="00531AF8" w:rsidRDefault="00CD3FDA" w:rsidP="004C3B88">
            <w:pPr>
              <w:rPr>
                <w:bCs/>
              </w:rPr>
            </w:pPr>
          </w:p>
        </w:tc>
      </w:tr>
      <w:tr w:rsidR="00CD3FDA" w:rsidRPr="00531AF8" w14:paraId="72903B98" w14:textId="77777777" w:rsidTr="0000411D">
        <w:trPr>
          <w:trHeight w:val="464"/>
        </w:trPr>
        <w:tc>
          <w:tcPr>
            <w:tcW w:w="870" w:type="pct"/>
            <w:tcBorders>
              <w:top w:val="single" w:sz="18" w:space="0" w:color="FFFFFF"/>
              <w:bottom w:val="single" w:sz="18" w:space="0" w:color="FFFFFF"/>
            </w:tcBorders>
            <w:shd w:val="clear" w:color="auto" w:fill="D9D9D9"/>
          </w:tcPr>
          <w:p w14:paraId="1DD95CC3" w14:textId="70291F5A" w:rsidR="00CD3FDA" w:rsidRPr="00CF48A4" w:rsidRDefault="00CD3FDA" w:rsidP="004C3B88">
            <w:r w:rsidRPr="00CF48A4">
              <w:t>Revision 3</w:t>
            </w:r>
          </w:p>
        </w:tc>
        <w:tc>
          <w:tcPr>
            <w:tcW w:w="746" w:type="pct"/>
            <w:tcBorders>
              <w:top w:val="single" w:sz="18" w:space="0" w:color="FFFFFF"/>
              <w:bottom w:val="single" w:sz="18" w:space="0" w:color="FFFFFF"/>
            </w:tcBorders>
            <w:shd w:val="clear" w:color="auto" w:fill="D9D9D9"/>
          </w:tcPr>
          <w:p w14:paraId="36C8638E" w14:textId="0C6C096A" w:rsidR="00CD3FDA" w:rsidRPr="00CF48A4" w:rsidRDefault="00CD3FDA" w:rsidP="004C3B88">
            <w:r w:rsidRPr="00CF48A4">
              <w:t>11/28/2016</w:t>
            </w:r>
          </w:p>
        </w:tc>
        <w:tc>
          <w:tcPr>
            <w:tcW w:w="1692" w:type="pct"/>
            <w:tcBorders>
              <w:top w:val="single" w:sz="18" w:space="0" w:color="FFFFFF"/>
              <w:bottom w:val="single" w:sz="18" w:space="0" w:color="FFFFFF"/>
            </w:tcBorders>
            <w:shd w:val="clear" w:color="auto" w:fill="D9D9D9"/>
          </w:tcPr>
          <w:p w14:paraId="40A019B3" w14:textId="4ED652D2" w:rsidR="00CD3FDA" w:rsidRPr="00CF48A4" w:rsidRDefault="00CD3FDA" w:rsidP="00E80567">
            <w:pPr>
              <w:rPr>
                <w:rFonts w:ascii="Arial" w:hAnsi="Arial" w:cs="Arial"/>
                <w:sz w:val="20"/>
                <w:szCs w:val="20"/>
              </w:rPr>
            </w:pPr>
            <w:r w:rsidRPr="00CF48A4">
              <w:t>Updated</w:t>
            </w:r>
            <w:r w:rsidR="00CF48A4" w:rsidRPr="00CF48A4">
              <w:t xml:space="preserve"> Residential Interactive </w:t>
            </w:r>
            <w:r w:rsidRPr="00CF48A4">
              <w:t>Effect(IE)</w:t>
            </w:r>
            <w:r w:rsidR="00CF48A4" w:rsidRPr="00CF48A4">
              <w:t xml:space="preserve"> factors</w:t>
            </w:r>
            <w:r w:rsidRPr="00CF48A4">
              <w:t xml:space="preserve"> per DEER 2017; </w:t>
            </w:r>
            <w:r w:rsidR="00CF48A4" w:rsidRPr="00CF48A4">
              <w:t>The ET_NTG expired so the Direct Install NTG changes from 0.85 to 0.7</w:t>
            </w:r>
          </w:p>
        </w:tc>
        <w:tc>
          <w:tcPr>
            <w:tcW w:w="1692" w:type="pct"/>
            <w:tcBorders>
              <w:top w:val="single" w:sz="18" w:space="0" w:color="FFFFFF"/>
              <w:bottom w:val="single" w:sz="18" w:space="0" w:color="FFFFFF"/>
            </w:tcBorders>
            <w:shd w:val="clear" w:color="auto" w:fill="D9D9D9"/>
          </w:tcPr>
          <w:p w14:paraId="5906BD12" w14:textId="31A05D54" w:rsidR="00CD3FDA" w:rsidRDefault="00CD3FDA" w:rsidP="004C3B88">
            <w:pPr>
              <w:rPr>
                <w:bCs/>
              </w:rPr>
            </w:pPr>
            <w:r>
              <w:rPr>
                <w:rFonts w:ascii="Arial" w:hAnsi="Arial" w:cs="Arial"/>
                <w:sz w:val="20"/>
              </w:rPr>
              <w:t>Mini Damodaran</w:t>
            </w:r>
            <w:r w:rsidRPr="003E2AF6">
              <w:rPr>
                <w:rFonts w:ascii="Arial" w:hAnsi="Arial" w:cs="Arial"/>
                <w:sz w:val="20"/>
              </w:rPr>
              <w:t xml:space="preserve"> (PG&amp;E)/ Alina Zohrabian (PG&amp;E)</w:t>
            </w:r>
          </w:p>
        </w:tc>
      </w:tr>
    </w:tbl>
    <w:p w14:paraId="5EB8A283" w14:textId="77777777" w:rsidR="00A61B68" w:rsidRDefault="00A61B68" w:rsidP="00A61B68">
      <w:bookmarkStart w:id="5" w:name="_Toc186621650"/>
      <w:bookmarkStart w:id="6" w:name="_Toc304800197"/>
    </w:p>
    <w:p w14:paraId="5EB8A284" w14:textId="77777777" w:rsidR="00A61B68" w:rsidRDefault="00A61B68" w:rsidP="00A61B68"/>
    <w:p w14:paraId="5EB8A285" w14:textId="77777777" w:rsidR="00A61B68" w:rsidRDefault="00A61B68" w:rsidP="00A61B68"/>
    <w:p w14:paraId="5EB8A286" w14:textId="77777777" w:rsidR="00A61B68" w:rsidRDefault="00A61B68" w:rsidP="00A61B68"/>
    <w:p w14:paraId="5EB8A287" w14:textId="77777777" w:rsidR="00A61B68" w:rsidRDefault="00A61B68" w:rsidP="00A61B68"/>
    <w:p w14:paraId="5EB8A288" w14:textId="77777777" w:rsidR="00A61B68" w:rsidRDefault="00A61B68" w:rsidP="00A61B68"/>
    <w:p w14:paraId="5EB8A289" w14:textId="77777777" w:rsidR="00A61B68" w:rsidRDefault="00A61B68" w:rsidP="00A61B68"/>
    <w:p w14:paraId="5EB8A28A" w14:textId="77777777" w:rsidR="00A61B68" w:rsidRDefault="00A61B68" w:rsidP="00A61B68"/>
    <w:p w14:paraId="5EB8A28B" w14:textId="77777777" w:rsidR="00A61B68" w:rsidRDefault="00A61B68" w:rsidP="00A61B68"/>
    <w:p w14:paraId="5EB8A28C" w14:textId="77777777" w:rsidR="00A61B68" w:rsidRDefault="00A61B68" w:rsidP="00A61B68"/>
    <w:p w14:paraId="5EB8A28D" w14:textId="77777777" w:rsidR="00A61B68" w:rsidRDefault="00A61B68" w:rsidP="00A61B68"/>
    <w:p w14:paraId="5EB8A28E" w14:textId="77777777" w:rsidR="00A61B68" w:rsidRDefault="00A61B68" w:rsidP="00A61B68"/>
    <w:p w14:paraId="5EB8A28F" w14:textId="77777777" w:rsidR="00A61B68" w:rsidRDefault="00A61B68" w:rsidP="00A61B68"/>
    <w:p w14:paraId="5EB8A290" w14:textId="77777777" w:rsidR="00A61B68" w:rsidRDefault="00A61B68" w:rsidP="00A61B68"/>
    <w:p w14:paraId="5EB8A291" w14:textId="77777777" w:rsidR="00A61B68" w:rsidRDefault="00A61B68" w:rsidP="00A61B68"/>
    <w:p w14:paraId="5EB8A292" w14:textId="77777777" w:rsidR="00A61B68" w:rsidRDefault="00A61B68" w:rsidP="00A61B68"/>
    <w:p w14:paraId="5EB8A293" w14:textId="77777777" w:rsidR="00A61B68" w:rsidRDefault="00A61B68" w:rsidP="00A61B68"/>
    <w:p w14:paraId="5EB8A294" w14:textId="77777777" w:rsidR="00A61B68" w:rsidRDefault="00A61B68" w:rsidP="00A61B68"/>
    <w:p w14:paraId="5EB8A295" w14:textId="77777777" w:rsidR="00A61B68" w:rsidRDefault="00A61B68" w:rsidP="00A61B68"/>
    <w:p w14:paraId="5EB8A296" w14:textId="77777777" w:rsidR="00A61B68" w:rsidRDefault="00A61B68" w:rsidP="00A61B68"/>
    <w:p w14:paraId="5EB8A297" w14:textId="77777777" w:rsidR="00A61B68" w:rsidRDefault="00A61B68" w:rsidP="00A61B68"/>
    <w:p w14:paraId="5EB8A298" w14:textId="77777777" w:rsidR="00A61B68" w:rsidRPr="00A61B68" w:rsidRDefault="00A61B68" w:rsidP="00A61B68"/>
    <w:p w14:paraId="5EB8A299" w14:textId="77777777" w:rsidR="00E71EF1" w:rsidRDefault="001248A3" w:rsidP="00F55847">
      <w:pPr>
        <w:pStyle w:val="Heading1"/>
      </w:pPr>
      <w:bookmarkStart w:id="7" w:name="_Toc468797898"/>
      <w:r>
        <w:t>Table</w:t>
      </w:r>
      <w:r w:rsidR="006559C8">
        <w:t xml:space="preserve"> of Contents</w:t>
      </w:r>
      <w:bookmarkEnd w:id="5"/>
      <w:bookmarkEnd w:id="6"/>
      <w:bookmarkEnd w:id="7"/>
    </w:p>
    <w:p w14:paraId="4CF6492E" w14:textId="77777777" w:rsidR="005341D2" w:rsidRDefault="009F6F8B">
      <w:pPr>
        <w:pStyle w:val="TOC1"/>
        <w:tabs>
          <w:tab w:val="right" w:leader="dot" w:pos="9350"/>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468797896" w:history="1">
        <w:r w:rsidR="005341D2" w:rsidRPr="00A33739">
          <w:rPr>
            <w:rStyle w:val="Hyperlink"/>
            <w:noProof/>
          </w:rPr>
          <w:t>At-a-Glance Summary</w:t>
        </w:r>
        <w:r w:rsidR="005341D2">
          <w:rPr>
            <w:noProof/>
            <w:webHidden/>
          </w:rPr>
          <w:tab/>
        </w:r>
        <w:r w:rsidR="005341D2">
          <w:rPr>
            <w:noProof/>
            <w:webHidden/>
          </w:rPr>
          <w:fldChar w:fldCharType="begin"/>
        </w:r>
        <w:r w:rsidR="005341D2">
          <w:rPr>
            <w:noProof/>
            <w:webHidden/>
          </w:rPr>
          <w:instrText xml:space="preserve"> PAGEREF _Toc468797896 \h </w:instrText>
        </w:r>
        <w:r w:rsidR="005341D2">
          <w:rPr>
            <w:noProof/>
            <w:webHidden/>
          </w:rPr>
        </w:r>
        <w:r w:rsidR="005341D2">
          <w:rPr>
            <w:noProof/>
            <w:webHidden/>
          </w:rPr>
          <w:fldChar w:fldCharType="separate"/>
        </w:r>
        <w:r w:rsidR="00264804">
          <w:rPr>
            <w:noProof/>
            <w:webHidden/>
          </w:rPr>
          <w:t>ii</w:t>
        </w:r>
        <w:r w:rsidR="005341D2">
          <w:rPr>
            <w:noProof/>
            <w:webHidden/>
          </w:rPr>
          <w:fldChar w:fldCharType="end"/>
        </w:r>
      </w:hyperlink>
    </w:p>
    <w:p w14:paraId="1F6237B7" w14:textId="77777777" w:rsidR="005341D2" w:rsidRDefault="001B5F91">
      <w:pPr>
        <w:pStyle w:val="TOC1"/>
        <w:tabs>
          <w:tab w:val="right" w:leader="dot" w:pos="9350"/>
        </w:tabs>
        <w:rPr>
          <w:rFonts w:asciiTheme="minorHAnsi" w:eastAsiaTheme="minorEastAsia" w:hAnsiTheme="minorHAnsi" w:cstheme="minorBidi"/>
          <w:noProof/>
          <w:sz w:val="22"/>
          <w:szCs w:val="22"/>
        </w:rPr>
      </w:pPr>
      <w:hyperlink w:anchor="_Toc468797897" w:history="1">
        <w:r w:rsidR="005341D2" w:rsidRPr="00A33739">
          <w:rPr>
            <w:rStyle w:val="Hyperlink"/>
            <w:noProof/>
          </w:rPr>
          <w:t>Document Revision History</w:t>
        </w:r>
        <w:r w:rsidR="005341D2">
          <w:rPr>
            <w:noProof/>
            <w:webHidden/>
          </w:rPr>
          <w:tab/>
        </w:r>
        <w:r w:rsidR="005341D2">
          <w:rPr>
            <w:noProof/>
            <w:webHidden/>
          </w:rPr>
          <w:fldChar w:fldCharType="begin"/>
        </w:r>
        <w:r w:rsidR="005341D2">
          <w:rPr>
            <w:noProof/>
            <w:webHidden/>
          </w:rPr>
          <w:instrText xml:space="preserve"> PAGEREF _Toc468797897 \h </w:instrText>
        </w:r>
        <w:r w:rsidR="005341D2">
          <w:rPr>
            <w:noProof/>
            <w:webHidden/>
          </w:rPr>
        </w:r>
        <w:r w:rsidR="005341D2">
          <w:rPr>
            <w:noProof/>
            <w:webHidden/>
          </w:rPr>
          <w:fldChar w:fldCharType="separate"/>
        </w:r>
        <w:r w:rsidR="00264804">
          <w:rPr>
            <w:noProof/>
            <w:webHidden/>
          </w:rPr>
          <w:t>iii</w:t>
        </w:r>
        <w:r w:rsidR="005341D2">
          <w:rPr>
            <w:noProof/>
            <w:webHidden/>
          </w:rPr>
          <w:fldChar w:fldCharType="end"/>
        </w:r>
      </w:hyperlink>
    </w:p>
    <w:p w14:paraId="16001E55" w14:textId="77777777" w:rsidR="005341D2" w:rsidRDefault="001B5F91">
      <w:pPr>
        <w:pStyle w:val="TOC1"/>
        <w:tabs>
          <w:tab w:val="right" w:leader="dot" w:pos="9350"/>
        </w:tabs>
        <w:rPr>
          <w:rFonts w:asciiTheme="minorHAnsi" w:eastAsiaTheme="minorEastAsia" w:hAnsiTheme="minorHAnsi" w:cstheme="minorBidi"/>
          <w:noProof/>
          <w:sz w:val="22"/>
          <w:szCs w:val="22"/>
        </w:rPr>
      </w:pPr>
      <w:hyperlink w:anchor="_Toc468797898" w:history="1">
        <w:r w:rsidR="005341D2" w:rsidRPr="00A33739">
          <w:rPr>
            <w:rStyle w:val="Hyperlink"/>
            <w:noProof/>
          </w:rPr>
          <w:t>Table of Contents</w:t>
        </w:r>
        <w:r w:rsidR="005341D2">
          <w:rPr>
            <w:noProof/>
            <w:webHidden/>
          </w:rPr>
          <w:tab/>
        </w:r>
        <w:r w:rsidR="005341D2">
          <w:rPr>
            <w:noProof/>
            <w:webHidden/>
          </w:rPr>
          <w:fldChar w:fldCharType="begin"/>
        </w:r>
        <w:r w:rsidR="005341D2">
          <w:rPr>
            <w:noProof/>
            <w:webHidden/>
          </w:rPr>
          <w:instrText xml:space="preserve"> PAGEREF _Toc468797898 \h </w:instrText>
        </w:r>
        <w:r w:rsidR="005341D2">
          <w:rPr>
            <w:noProof/>
            <w:webHidden/>
          </w:rPr>
        </w:r>
        <w:r w:rsidR="005341D2">
          <w:rPr>
            <w:noProof/>
            <w:webHidden/>
          </w:rPr>
          <w:fldChar w:fldCharType="separate"/>
        </w:r>
        <w:r w:rsidR="00264804">
          <w:rPr>
            <w:noProof/>
            <w:webHidden/>
          </w:rPr>
          <w:t>iv</w:t>
        </w:r>
        <w:r w:rsidR="005341D2">
          <w:rPr>
            <w:noProof/>
            <w:webHidden/>
          </w:rPr>
          <w:fldChar w:fldCharType="end"/>
        </w:r>
      </w:hyperlink>
    </w:p>
    <w:p w14:paraId="1D9854DC" w14:textId="77777777" w:rsidR="005341D2" w:rsidRDefault="001B5F91">
      <w:pPr>
        <w:pStyle w:val="TOC1"/>
        <w:tabs>
          <w:tab w:val="right" w:leader="dot" w:pos="9350"/>
        </w:tabs>
        <w:rPr>
          <w:rFonts w:asciiTheme="minorHAnsi" w:eastAsiaTheme="minorEastAsia" w:hAnsiTheme="minorHAnsi" w:cstheme="minorBidi"/>
          <w:noProof/>
          <w:sz w:val="22"/>
          <w:szCs w:val="22"/>
        </w:rPr>
      </w:pPr>
      <w:hyperlink w:anchor="_Toc468797899" w:history="1">
        <w:r w:rsidR="005341D2" w:rsidRPr="00A33739">
          <w:rPr>
            <w:rStyle w:val="Hyperlink"/>
            <w:noProof/>
          </w:rPr>
          <w:t>List of Tables</w:t>
        </w:r>
        <w:r w:rsidR="005341D2">
          <w:rPr>
            <w:noProof/>
            <w:webHidden/>
          </w:rPr>
          <w:tab/>
        </w:r>
        <w:r w:rsidR="005341D2">
          <w:rPr>
            <w:noProof/>
            <w:webHidden/>
          </w:rPr>
          <w:fldChar w:fldCharType="begin"/>
        </w:r>
        <w:r w:rsidR="005341D2">
          <w:rPr>
            <w:noProof/>
            <w:webHidden/>
          </w:rPr>
          <w:instrText xml:space="preserve"> PAGEREF _Toc468797899 \h </w:instrText>
        </w:r>
        <w:r w:rsidR="005341D2">
          <w:rPr>
            <w:noProof/>
            <w:webHidden/>
          </w:rPr>
        </w:r>
        <w:r w:rsidR="005341D2">
          <w:rPr>
            <w:noProof/>
            <w:webHidden/>
          </w:rPr>
          <w:fldChar w:fldCharType="separate"/>
        </w:r>
        <w:r w:rsidR="00264804">
          <w:rPr>
            <w:noProof/>
            <w:webHidden/>
          </w:rPr>
          <w:t>v</w:t>
        </w:r>
        <w:r w:rsidR="005341D2">
          <w:rPr>
            <w:noProof/>
            <w:webHidden/>
          </w:rPr>
          <w:fldChar w:fldCharType="end"/>
        </w:r>
      </w:hyperlink>
    </w:p>
    <w:p w14:paraId="77FC3550" w14:textId="77777777" w:rsidR="005341D2" w:rsidRDefault="001B5F91">
      <w:pPr>
        <w:pStyle w:val="TOC1"/>
        <w:tabs>
          <w:tab w:val="right" w:leader="dot" w:pos="9350"/>
        </w:tabs>
        <w:rPr>
          <w:rFonts w:asciiTheme="minorHAnsi" w:eastAsiaTheme="minorEastAsia" w:hAnsiTheme="minorHAnsi" w:cstheme="minorBidi"/>
          <w:noProof/>
          <w:sz w:val="22"/>
          <w:szCs w:val="22"/>
        </w:rPr>
      </w:pPr>
      <w:hyperlink w:anchor="_Toc468797900" w:history="1">
        <w:r w:rsidR="005341D2" w:rsidRPr="00A33739">
          <w:rPr>
            <w:rStyle w:val="Hyperlink"/>
            <w:noProof/>
          </w:rPr>
          <w:t>Section 1. General Measure &amp; Baseline Data</w:t>
        </w:r>
        <w:r w:rsidR="005341D2">
          <w:rPr>
            <w:noProof/>
            <w:webHidden/>
          </w:rPr>
          <w:tab/>
        </w:r>
        <w:r w:rsidR="005341D2">
          <w:rPr>
            <w:noProof/>
            <w:webHidden/>
          </w:rPr>
          <w:fldChar w:fldCharType="begin"/>
        </w:r>
        <w:r w:rsidR="005341D2">
          <w:rPr>
            <w:noProof/>
            <w:webHidden/>
          </w:rPr>
          <w:instrText xml:space="preserve"> PAGEREF _Toc468797900 \h </w:instrText>
        </w:r>
        <w:r w:rsidR="005341D2">
          <w:rPr>
            <w:noProof/>
            <w:webHidden/>
          </w:rPr>
        </w:r>
        <w:r w:rsidR="005341D2">
          <w:rPr>
            <w:noProof/>
            <w:webHidden/>
          </w:rPr>
          <w:fldChar w:fldCharType="separate"/>
        </w:r>
        <w:r w:rsidR="00264804">
          <w:rPr>
            <w:noProof/>
            <w:webHidden/>
          </w:rPr>
          <w:t>1</w:t>
        </w:r>
        <w:r w:rsidR="005341D2">
          <w:rPr>
            <w:noProof/>
            <w:webHidden/>
          </w:rPr>
          <w:fldChar w:fldCharType="end"/>
        </w:r>
      </w:hyperlink>
    </w:p>
    <w:p w14:paraId="21964383"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01" w:history="1">
        <w:r w:rsidR="005341D2" w:rsidRPr="00A33739">
          <w:rPr>
            <w:rStyle w:val="Hyperlink"/>
            <w:noProof/>
          </w:rPr>
          <w:t>1.1 Product Measure Description &amp; Background</w:t>
        </w:r>
        <w:r w:rsidR="005341D2">
          <w:rPr>
            <w:noProof/>
            <w:webHidden/>
          </w:rPr>
          <w:tab/>
        </w:r>
        <w:r w:rsidR="005341D2">
          <w:rPr>
            <w:noProof/>
            <w:webHidden/>
          </w:rPr>
          <w:fldChar w:fldCharType="begin"/>
        </w:r>
        <w:r w:rsidR="005341D2">
          <w:rPr>
            <w:noProof/>
            <w:webHidden/>
          </w:rPr>
          <w:instrText xml:space="preserve"> PAGEREF _Toc468797901 \h </w:instrText>
        </w:r>
        <w:r w:rsidR="005341D2">
          <w:rPr>
            <w:noProof/>
            <w:webHidden/>
          </w:rPr>
        </w:r>
        <w:r w:rsidR="005341D2">
          <w:rPr>
            <w:noProof/>
            <w:webHidden/>
          </w:rPr>
          <w:fldChar w:fldCharType="separate"/>
        </w:r>
        <w:r w:rsidR="00264804">
          <w:rPr>
            <w:noProof/>
            <w:webHidden/>
          </w:rPr>
          <w:t>1</w:t>
        </w:r>
        <w:r w:rsidR="005341D2">
          <w:rPr>
            <w:noProof/>
            <w:webHidden/>
          </w:rPr>
          <w:fldChar w:fldCharType="end"/>
        </w:r>
      </w:hyperlink>
    </w:p>
    <w:p w14:paraId="1CA8BF66"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02" w:history="1">
        <w:r w:rsidR="005341D2" w:rsidRPr="00A33739">
          <w:rPr>
            <w:rStyle w:val="Hyperlink"/>
            <w:noProof/>
          </w:rPr>
          <w:t>1.2 Product Technical Description</w:t>
        </w:r>
        <w:r w:rsidR="005341D2">
          <w:rPr>
            <w:noProof/>
            <w:webHidden/>
          </w:rPr>
          <w:tab/>
        </w:r>
        <w:r w:rsidR="005341D2">
          <w:rPr>
            <w:noProof/>
            <w:webHidden/>
          </w:rPr>
          <w:fldChar w:fldCharType="begin"/>
        </w:r>
        <w:r w:rsidR="005341D2">
          <w:rPr>
            <w:noProof/>
            <w:webHidden/>
          </w:rPr>
          <w:instrText xml:space="preserve"> PAGEREF _Toc468797902 \h </w:instrText>
        </w:r>
        <w:r w:rsidR="005341D2">
          <w:rPr>
            <w:noProof/>
            <w:webHidden/>
          </w:rPr>
        </w:r>
        <w:r w:rsidR="005341D2">
          <w:rPr>
            <w:noProof/>
            <w:webHidden/>
          </w:rPr>
          <w:fldChar w:fldCharType="separate"/>
        </w:r>
        <w:r w:rsidR="00264804">
          <w:rPr>
            <w:noProof/>
            <w:webHidden/>
          </w:rPr>
          <w:t>2</w:t>
        </w:r>
        <w:r w:rsidR="005341D2">
          <w:rPr>
            <w:noProof/>
            <w:webHidden/>
          </w:rPr>
          <w:fldChar w:fldCharType="end"/>
        </w:r>
      </w:hyperlink>
    </w:p>
    <w:p w14:paraId="10C3787C"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03" w:history="1">
        <w:r w:rsidR="005341D2" w:rsidRPr="00A33739">
          <w:rPr>
            <w:rStyle w:val="Hyperlink"/>
            <w:noProof/>
          </w:rPr>
          <w:t>1.3 Measure Application Type</w:t>
        </w:r>
        <w:r w:rsidR="005341D2">
          <w:rPr>
            <w:noProof/>
            <w:webHidden/>
          </w:rPr>
          <w:tab/>
        </w:r>
        <w:r w:rsidR="005341D2">
          <w:rPr>
            <w:noProof/>
            <w:webHidden/>
          </w:rPr>
          <w:fldChar w:fldCharType="begin"/>
        </w:r>
        <w:r w:rsidR="005341D2">
          <w:rPr>
            <w:noProof/>
            <w:webHidden/>
          </w:rPr>
          <w:instrText xml:space="preserve"> PAGEREF _Toc468797903 \h </w:instrText>
        </w:r>
        <w:r w:rsidR="005341D2">
          <w:rPr>
            <w:noProof/>
            <w:webHidden/>
          </w:rPr>
        </w:r>
        <w:r w:rsidR="005341D2">
          <w:rPr>
            <w:noProof/>
            <w:webHidden/>
          </w:rPr>
          <w:fldChar w:fldCharType="separate"/>
        </w:r>
        <w:r w:rsidR="00264804">
          <w:rPr>
            <w:noProof/>
            <w:webHidden/>
          </w:rPr>
          <w:t>3</w:t>
        </w:r>
        <w:r w:rsidR="005341D2">
          <w:rPr>
            <w:noProof/>
            <w:webHidden/>
          </w:rPr>
          <w:fldChar w:fldCharType="end"/>
        </w:r>
      </w:hyperlink>
    </w:p>
    <w:p w14:paraId="35F1EB03"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04" w:history="1">
        <w:r w:rsidR="005341D2" w:rsidRPr="00A33739">
          <w:rPr>
            <w:rStyle w:val="Hyperlink"/>
            <w:noProof/>
          </w:rPr>
          <w:t>1.4 Product Base Case and Measure Case Data</w:t>
        </w:r>
        <w:r w:rsidR="005341D2">
          <w:rPr>
            <w:noProof/>
            <w:webHidden/>
          </w:rPr>
          <w:tab/>
        </w:r>
        <w:r w:rsidR="005341D2">
          <w:rPr>
            <w:noProof/>
            <w:webHidden/>
          </w:rPr>
          <w:fldChar w:fldCharType="begin"/>
        </w:r>
        <w:r w:rsidR="005341D2">
          <w:rPr>
            <w:noProof/>
            <w:webHidden/>
          </w:rPr>
          <w:instrText xml:space="preserve"> PAGEREF _Toc468797904 \h </w:instrText>
        </w:r>
        <w:r w:rsidR="005341D2">
          <w:rPr>
            <w:noProof/>
            <w:webHidden/>
          </w:rPr>
        </w:r>
        <w:r w:rsidR="005341D2">
          <w:rPr>
            <w:noProof/>
            <w:webHidden/>
          </w:rPr>
          <w:fldChar w:fldCharType="separate"/>
        </w:r>
        <w:r w:rsidR="00264804">
          <w:rPr>
            <w:noProof/>
            <w:webHidden/>
          </w:rPr>
          <w:t>3</w:t>
        </w:r>
        <w:r w:rsidR="005341D2">
          <w:rPr>
            <w:noProof/>
            <w:webHidden/>
          </w:rPr>
          <w:fldChar w:fldCharType="end"/>
        </w:r>
      </w:hyperlink>
    </w:p>
    <w:p w14:paraId="1CD1B440" w14:textId="77777777" w:rsidR="005341D2" w:rsidRDefault="001B5F91">
      <w:pPr>
        <w:pStyle w:val="TOC3"/>
        <w:tabs>
          <w:tab w:val="right" w:leader="dot" w:pos="9350"/>
        </w:tabs>
        <w:rPr>
          <w:rFonts w:asciiTheme="minorHAnsi" w:eastAsiaTheme="minorEastAsia" w:hAnsiTheme="minorHAnsi" w:cstheme="minorBidi"/>
          <w:noProof/>
          <w:sz w:val="22"/>
          <w:szCs w:val="22"/>
        </w:rPr>
      </w:pPr>
      <w:hyperlink w:anchor="_Toc468797905" w:history="1">
        <w:r w:rsidR="005341D2" w:rsidRPr="00A33739">
          <w:rPr>
            <w:rStyle w:val="Hyperlink"/>
            <w:noProof/>
          </w:rPr>
          <w:t>1.4.1 DEER Base Case and Measure Case Information</w:t>
        </w:r>
        <w:r w:rsidR="005341D2">
          <w:rPr>
            <w:noProof/>
            <w:webHidden/>
          </w:rPr>
          <w:tab/>
        </w:r>
        <w:r w:rsidR="005341D2">
          <w:rPr>
            <w:noProof/>
            <w:webHidden/>
          </w:rPr>
          <w:fldChar w:fldCharType="begin"/>
        </w:r>
        <w:r w:rsidR="005341D2">
          <w:rPr>
            <w:noProof/>
            <w:webHidden/>
          </w:rPr>
          <w:instrText xml:space="preserve"> PAGEREF _Toc468797905 \h </w:instrText>
        </w:r>
        <w:r w:rsidR="005341D2">
          <w:rPr>
            <w:noProof/>
            <w:webHidden/>
          </w:rPr>
        </w:r>
        <w:r w:rsidR="005341D2">
          <w:rPr>
            <w:noProof/>
            <w:webHidden/>
          </w:rPr>
          <w:fldChar w:fldCharType="separate"/>
        </w:r>
        <w:r w:rsidR="00264804">
          <w:rPr>
            <w:noProof/>
            <w:webHidden/>
          </w:rPr>
          <w:t>4</w:t>
        </w:r>
        <w:r w:rsidR="005341D2">
          <w:rPr>
            <w:noProof/>
            <w:webHidden/>
          </w:rPr>
          <w:fldChar w:fldCharType="end"/>
        </w:r>
      </w:hyperlink>
    </w:p>
    <w:p w14:paraId="33FCACC7" w14:textId="77777777" w:rsidR="005341D2" w:rsidRDefault="001B5F91">
      <w:pPr>
        <w:pStyle w:val="TOC3"/>
        <w:tabs>
          <w:tab w:val="right" w:leader="dot" w:pos="9350"/>
        </w:tabs>
        <w:rPr>
          <w:rFonts w:asciiTheme="minorHAnsi" w:eastAsiaTheme="minorEastAsia" w:hAnsiTheme="minorHAnsi" w:cstheme="minorBidi"/>
          <w:noProof/>
          <w:sz w:val="22"/>
          <w:szCs w:val="22"/>
        </w:rPr>
      </w:pPr>
      <w:hyperlink w:anchor="_Toc468797906" w:history="1">
        <w:r w:rsidR="005341D2" w:rsidRPr="00A33739">
          <w:rPr>
            <w:rStyle w:val="Hyperlink"/>
            <w:noProof/>
          </w:rPr>
          <w:t>1.4.2 Codes &amp; Standards Requirements Base Case and Measure Information</w:t>
        </w:r>
        <w:r w:rsidR="005341D2">
          <w:rPr>
            <w:noProof/>
            <w:webHidden/>
          </w:rPr>
          <w:tab/>
        </w:r>
        <w:r w:rsidR="005341D2">
          <w:rPr>
            <w:noProof/>
            <w:webHidden/>
          </w:rPr>
          <w:fldChar w:fldCharType="begin"/>
        </w:r>
        <w:r w:rsidR="005341D2">
          <w:rPr>
            <w:noProof/>
            <w:webHidden/>
          </w:rPr>
          <w:instrText xml:space="preserve"> PAGEREF _Toc468797906 \h </w:instrText>
        </w:r>
        <w:r w:rsidR="005341D2">
          <w:rPr>
            <w:noProof/>
            <w:webHidden/>
          </w:rPr>
        </w:r>
        <w:r w:rsidR="005341D2">
          <w:rPr>
            <w:noProof/>
            <w:webHidden/>
          </w:rPr>
          <w:fldChar w:fldCharType="separate"/>
        </w:r>
        <w:r w:rsidR="00264804">
          <w:rPr>
            <w:noProof/>
            <w:webHidden/>
          </w:rPr>
          <w:t>6</w:t>
        </w:r>
        <w:r w:rsidR="005341D2">
          <w:rPr>
            <w:noProof/>
            <w:webHidden/>
          </w:rPr>
          <w:fldChar w:fldCharType="end"/>
        </w:r>
      </w:hyperlink>
    </w:p>
    <w:p w14:paraId="7F7D2A9A" w14:textId="77777777" w:rsidR="005341D2" w:rsidRDefault="001B5F91">
      <w:pPr>
        <w:pStyle w:val="TOC3"/>
        <w:tabs>
          <w:tab w:val="right" w:leader="dot" w:pos="9350"/>
        </w:tabs>
        <w:rPr>
          <w:rFonts w:asciiTheme="minorHAnsi" w:eastAsiaTheme="minorEastAsia" w:hAnsiTheme="minorHAnsi" w:cstheme="minorBidi"/>
          <w:noProof/>
          <w:sz w:val="22"/>
          <w:szCs w:val="22"/>
        </w:rPr>
      </w:pPr>
      <w:hyperlink w:anchor="_Toc468797907" w:history="1">
        <w:r w:rsidR="005341D2" w:rsidRPr="00A33739">
          <w:rPr>
            <w:rStyle w:val="Hyperlink"/>
            <w:noProof/>
          </w:rPr>
          <w:t>1.4.3 EM&amp;V, Market Potential, and Other Studies – Base Case and Measure Case Information</w:t>
        </w:r>
        <w:r w:rsidR="005341D2">
          <w:rPr>
            <w:noProof/>
            <w:webHidden/>
          </w:rPr>
          <w:tab/>
        </w:r>
        <w:r w:rsidR="005341D2">
          <w:rPr>
            <w:noProof/>
            <w:webHidden/>
          </w:rPr>
          <w:fldChar w:fldCharType="begin"/>
        </w:r>
        <w:r w:rsidR="005341D2">
          <w:rPr>
            <w:noProof/>
            <w:webHidden/>
          </w:rPr>
          <w:instrText xml:space="preserve"> PAGEREF _Toc468797907 \h </w:instrText>
        </w:r>
        <w:r w:rsidR="005341D2">
          <w:rPr>
            <w:noProof/>
            <w:webHidden/>
          </w:rPr>
        </w:r>
        <w:r w:rsidR="005341D2">
          <w:rPr>
            <w:noProof/>
            <w:webHidden/>
          </w:rPr>
          <w:fldChar w:fldCharType="separate"/>
        </w:r>
        <w:r w:rsidR="00264804">
          <w:rPr>
            <w:noProof/>
            <w:webHidden/>
          </w:rPr>
          <w:t>6</w:t>
        </w:r>
        <w:r w:rsidR="005341D2">
          <w:rPr>
            <w:noProof/>
            <w:webHidden/>
          </w:rPr>
          <w:fldChar w:fldCharType="end"/>
        </w:r>
      </w:hyperlink>
    </w:p>
    <w:p w14:paraId="7FD84DC1" w14:textId="77777777" w:rsidR="005341D2" w:rsidRDefault="001B5F91">
      <w:pPr>
        <w:pStyle w:val="TOC3"/>
        <w:tabs>
          <w:tab w:val="right" w:leader="dot" w:pos="9350"/>
        </w:tabs>
        <w:rPr>
          <w:rFonts w:asciiTheme="minorHAnsi" w:eastAsiaTheme="minorEastAsia" w:hAnsiTheme="minorHAnsi" w:cstheme="minorBidi"/>
          <w:noProof/>
          <w:sz w:val="22"/>
          <w:szCs w:val="22"/>
        </w:rPr>
      </w:pPr>
      <w:hyperlink w:anchor="_Toc468797908" w:history="1">
        <w:r w:rsidR="005341D2" w:rsidRPr="00A33739">
          <w:rPr>
            <w:rStyle w:val="Hyperlink"/>
            <w:noProof/>
          </w:rPr>
          <w:t>1.4.4 Assumptions and Calculations from other sources – Base and Measure Cases</w:t>
        </w:r>
        <w:r w:rsidR="005341D2">
          <w:rPr>
            <w:noProof/>
            <w:webHidden/>
          </w:rPr>
          <w:tab/>
        </w:r>
        <w:r w:rsidR="005341D2">
          <w:rPr>
            <w:noProof/>
            <w:webHidden/>
          </w:rPr>
          <w:fldChar w:fldCharType="begin"/>
        </w:r>
        <w:r w:rsidR="005341D2">
          <w:rPr>
            <w:noProof/>
            <w:webHidden/>
          </w:rPr>
          <w:instrText xml:space="preserve"> PAGEREF _Toc468797908 \h </w:instrText>
        </w:r>
        <w:r w:rsidR="005341D2">
          <w:rPr>
            <w:noProof/>
            <w:webHidden/>
          </w:rPr>
        </w:r>
        <w:r w:rsidR="005341D2">
          <w:rPr>
            <w:noProof/>
            <w:webHidden/>
          </w:rPr>
          <w:fldChar w:fldCharType="separate"/>
        </w:r>
        <w:r w:rsidR="00264804">
          <w:rPr>
            <w:noProof/>
            <w:webHidden/>
          </w:rPr>
          <w:t>7</w:t>
        </w:r>
        <w:r w:rsidR="005341D2">
          <w:rPr>
            <w:noProof/>
            <w:webHidden/>
          </w:rPr>
          <w:fldChar w:fldCharType="end"/>
        </w:r>
      </w:hyperlink>
    </w:p>
    <w:p w14:paraId="282BD00A" w14:textId="77777777" w:rsidR="005341D2" w:rsidRDefault="001B5F91">
      <w:pPr>
        <w:pStyle w:val="TOC1"/>
        <w:tabs>
          <w:tab w:val="right" w:leader="dot" w:pos="9350"/>
        </w:tabs>
        <w:rPr>
          <w:rFonts w:asciiTheme="minorHAnsi" w:eastAsiaTheme="minorEastAsia" w:hAnsiTheme="minorHAnsi" w:cstheme="minorBidi"/>
          <w:noProof/>
          <w:sz w:val="22"/>
          <w:szCs w:val="22"/>
        </w:rPr>
      </w:pPr>
      <w:hyperlink w:anchor="_Toc468797909" w:history="1">
        <w:r w:rsidR="005341D2" w:rsidRPr="00A33739">
          <w:rPr>
            <w:rStyle w:val="Hyperlink"/>
            <w:noProof/>
          </w:rPr>
          <w:t>Section 2. Calculation Methods</w:t>
        </w:r>
        <w:r w:rsidR="005341D2">
          <w:rPr>
            <w:noProof/>
            <w:webHidden/>
          </w:rPr>
          <w:tab/>
        </w:r>
        <w:r w:rsidR="005341D2">
          <w:rPr>
            <w:noProof/>
            <w:webHidden/>
          </w:rPr>
          <w:fldChar w:fldCharType="begin"/>
        </w:r>
        <w:r w:rsidR="005341D2">
          <w:rPr>
            <w:noProof/>
            <w:webHidden/>
          </w:rPr>
          <w:instrText xml:space="preserve"> PAGEREF _Toc468797909 \h </w:instrText>
        </w:r>
        <w:r w:rsidR="005341D2">
          <w:rPr>
            <w:noProof/>
            <w:webHidden/>
          </w:rPr>
        </w:r>
        <w:r w:rsidR="005341D2">
          <w:rPr>
            <w:noProof/>
            <w:webHidden/>
          </w:rPr>
          <w:fldChar w:fldCharType="separate"/>
        </w:r>
        <w:r w:rsidR="00264804">
          <w:rPr>
            <w:noProof/>
            <w:webHidden/>
          </w:rPr>
          <w:t>8</w:t>
        </w:r>
        <w:r w:rsidR="005341D2">
          <w:rPr>
            <w:noProof/>
            <w:webHidden/>
          </w:rPr>
          <w:fldChar w:fldCharType="end"/>
        </w:r>
      </w:hyperlink>
    </w:p>
    <w:p w14:paraId="33D8CAE7"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10" w:history="1">
        <w:r w:rsidR="005341D2" w:rsidRPr="00A33739">
          <w:rPr>
            <w:rStyle w:val="Hyperlink"/>
            <w:noProof/>
          </w:rPr>
          <w:t>2.1 Electric Energy Savings Estimation Methodologies</w:t>
        </w:r>
        <w:r w:rsidR="005341D2">
          <w:rPr>
            <w:noProof/>
            <w:webHidden/>
          </w:rPr>
          <w:tab/>
        </w:r>
        <w:r w:rsidR="005341D2">
          <w:rPr>
            <w:noProof/>
            <w:webHidden/>
          </w:rPr>
          <w:fldChar w:fldCharType="begin"/>
        </w:r>
        <w:r w:rsidR="005341D2">
          <w:rPr>
            <w:noProof/>
            <w:webHidden/>
          </w:rPr>
          <w:instrText xml:space="preserve"> PAGEREF _Toc468797910 \h </w:instrText>
        </w:r>
        <w:r w:rsidR="005341D2">
          <w:rPr>
            <w:noProof/>
            <w:webHidden/>
          </w:rPr>
        </w:r>
        <w:r w:rsidR="005341D2">
          <w:rPr>
            <w:noProof/>
            <w:webHidden/>
          </w:rPr>
          <w:fldChar w:fldCharType="separate"/>
        </w:r>
        <w:r w:rsidR="00264804">
          <w:rPr>
            <w:noProof/>
            <w:webHidden/>
          </w:rPr>
          <w:t>9</w:t>
        </w:r>
        <w:r w:rsidR="005341D2">
          <w:rPr>
            <w:noProof/>
            <w:webHidden/>
          </w:rPr>
          <w:fldChar w:fldCharType="end"/>
        </w:r>
      </w:hyperlink>
    </w:p>
    <w:p w14:paraId="1EECCD65"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11" w:history="1">
        <w:r w:rsidR="005341D2" w:rsidRPr="00A33739">
          <w:rPr>
            <w:rStyle w:val="Hyperlink"/>
            <w:noProof/>
          </w:rPr>
          <w:t>2.2. Demand Reduction Estimation Methodologies</w:t>
        </w:r>
        <w:r w:rsidR="005341D2">
          <w:rPr>
            <w:noProof/>
            <w:webHidden/>
          </w:rPr>
          <w:tab/>
        </w:r>
        <w:r w:rsidR="005341D2">
          <w:rPr>
            <w:noProof/>
            <w:webHidden/>
          </w:rPr>
          <w:fldChar w:fldCharType="begin"/>
        </w:r>
        <w:r w:rsidR="005341D2">
          <w:rPr>
            <w:noProof/>
            <w:webHidden/>
          </w:rPr>
          <w:instrText xml:space="preserve"> PAGEREF _Toc468797911 \h </w:instrText>
        </w:r>
        <w:r w:rsidR="005341D2">
          <w:rPr>
            <w:noProof/>
            <w:webHidden/>
          </w:rPr>
        </w:r>
        <w:r w:rsidR="005341D2">
          <w:rPr>
            <w:noProof/>
            <w:webHidden/>
          </w:rPr>
          <w:fldChar w:fldCharType="separate"/>
        </w:r>
        <w:r w:rsidR="00264804">
          <w:rPr>
            <w:noProof/>
            <w:webHidden/>
          </w:rPr>
          <w:t>9</w:t>
        </w:r>
        <w:r w:rsidR="005341D2">
          <w:rPr>
            <w:noProof/>
            <w:webHidden/>
          </w:rPr>
          <w:fldChar w:fldCharType="end"/>
        </w:r>
      </w:hyperlink>
    </w:p>
    <w:p w14:paraId="7D906E7C"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12" w:history="1">
        <w:r w:rsidR="005341D2" w:rsidRPr="00A33739">
          <w:rPr>
            <w:rStyle w:val="Hyperlink"/>
            <w:noProof/>
          </w:rPr>
          <w:t>2.3. Gas Energy Savings Estimation Methodologies</w:t>
        </w:r>
        <w:r w:rsidR="005341D2">
          <w:rPr>
            <w:noProof/>
            <w:webHidden/>
          </w:rPr>
          <w:tab/>
        </w:r>
        <w:r w:rsidR="005341D2">
          <w:rPr>
            <w:noProof/>
            <w:webHidden/>
          </w:rPr>
          <w:fldChar w:fldCharType="begin"/>
        </w:r>
        <w:r w:rsidR="005341D2">
          <w:rPr>
            <w:noProof/>
            <w:webHidden/>
          </w:rPr>
          <w:instrText xml:space="preserve"> PAGEREF _Toc468797912 \h </w:instrText>
        </w:r>
        <w:r w:rsidR="005341D2">
          <w:rPr>
            <w:noProof/>
            <w:webHidden/>
          </w:rPr>
        </w:r>
        <w:r w:rsidR="005341D2">
          <w:rPr>
            <w:noProof/>
            <w:webHidden/>
          </w:rPr>
          <w:fldChar w:fldCharType="separate"/>
        </w:r>
        <w:r w:rsidR="00264804">
          <w:rPr>
            <w:noProof/>
            <w:webHidden/>
          </w:rPr>
          <w:t>9</w:t>
        </w:r>
        <w:r w:rsidR="005341D2">
          <w:rPr>
            <w:noProof/>
            <w:webHidden/>
          </w:rPr>
          <w:fldChar w:fldCharType="end"/>
        </w:r>
      </w:hyperlink>
    </w:p>
    <w:p w14:paraId="28EB803D" w14:textId="77777777" w:rsidR="005341D2" w:rsidRDefault="001B5F91">
      <w:pPr>
        <w:pStyle w:val="TOC1"/>
        <w:tabs>
          <w:tab w:val="right" w:leader="dot" w:pos="9350"/>
        </w:tabs>
        <w:rPr>
          <w:rFonts w:asciiTheme="minorHAnsi" w:eastAsiaTheme="minorEastAsia" w:hAnsiTheme="minorHAnsi" w:cstheme="minorBidi"/>
          <w:noProof/>
          <w:sz w:val="22"/>
          <w:szCs w:val="22"/>
        </w:rPr>
      </w:pPr>
      <w:hyperlink w:anchor="_Toc468797913" w:history="1">
        <w:r w:rsidR="005341D2" w:rsidRPr="00A33739">
          <w:rPr>
            <w:rStyle w:val="Hyperlink"/>
            <w:noProof/>
          </w:rPr>
          <w:t>Section 3. Load Shapes</w:t>
        </w:r>
        <w:r w:rsidR="005341D2">
          <w:rPr>
            <w:noProof/>
            <w:webHidden/>
          </w:rPr>
          <w:tab/>
        </w:r>
        <w:r w:rsidR="005341D2">
          <w:rPr>
            <w:noProof/>
            <w:webHidden/>
          </w:rPr>
          <w:fldChar w:fldCharType="begin"/>
        </w:r>
        <w:r w:rsidR="005341D2">
          <w:rPr>
            <w:noProof/>
            <w:webHidden/>
          </w:rPr>
          <w:instrText xml:space="preserve"> PAGEREF _Toc468797913 \h </w:instrText>
        </w:r>
        <w:r w:rsidR="005341D2">
          <w:rPr>
            <w:noProof/>
            <w:webHidden/>
          </w:rPr>
        </w:r>
        <w:r w:rsidR="005341D2">
          <w:rPr>
            <w:noProof/>
            <w:webHidden/>
          </w:rPr>
          <w:fldChar w:fldCharType="separate"/>
        </w:r>
        <w:r w:rsidR="00264804">
          <w:rPr>
            <w:noProof/>
            <w:webHidden/>
          </w:rPr>
          <w:t>10</w:t>
        </w:r>
        <w:r w:rsidR="005341D2">
          <w:rPr>
            <w:noProof/>
            <w:webHidden/>
          </w:rPr>
          <w:fldChar w:fldCharType="end"/>
        </w:r>
      </w:hyperlink>
    </w:p>
    <w:p w14:paraId="6DA35AEE"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14" w:history="1">
        <w:r w:rsidR="005341D2" w:rsidRPr="00A33739">
          <w:rPr>
            <w:rStyle w:val="Hyperlink"/>
            <w:noProof/>
          </w:rPr>
          <w:t>3.1 Base Case Load Shapes</w:t>
        </w:r>
        <w:r w:rsidR="005341D2">
          <w:rPr>
            <w:noProof/>
            <w:webHidden/>
          </w:rPr>
          <w:tab/>
        </w:r>
        <w:r w:rsidR="005341D2">
          <w:rPr>
            <w:noProof/>
            <w:webHidden/>
          </w:rPr>
          <w:fldChar w:fldCharType="begin"/>
        </w:r>
        <w:r w:rsidR="005341D2">
          <w:rPr>
            <w:noProof/>
            <w:webHidden/>
          </w:rPr>
          <w:instrText xml:space="preserve"> PAGEREF _Toc468797914 \h </w:instrText>
        </w:r>
        <w:r w:rsidR="005341D2">
          <w:rPr>
            <w:noProof/>
            <w:webHidden/>
          </w:rPr>
        </w:r>
        <w:r w:rsidR="005341D2">
          <w:rPr>
            <w:noProof/>
            <w:webHidden/>
          </w:rPr>
          <w:fldChar w:fldCharType="separate"/>
        </w:r>
        <w:r w:rsidR="00264804">
          <w:rPr>
            <w:noProof/>
            <w:webHidden/>
          </w:rPr>
          <w:t>10</w:t>
        </w:r>
        <w:r w:rsidR="005341D2">
          <w:rPr>
            <w:noProof/>
            <w:webHidden/>
          </w:rPr>
          <w:fldChar w:fldCharType="end"/>
        </w:r>
      </w:hyperlink>
    </w:p>
    <w:p w14:paraId="2EE45433"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15" w:history="1">
        <w:r w:rsidR="005341D2" w:rsidRPr="00A33739">
          <w:rPr>
            <w:rStyle w:val="Hyperlink"/>
            <w:noProof/>
          </w:rPr>
          <w:t>3.2 Measure Load Shapes</w:t>
        </w:r>
        <w:r w:rsidR="005341D2">
          <w:rPr>
            <w:noProof/>
            <w:webHidden/>
          </w:rPr>
          <w:tab/>
        </w:r>
        <w:r w:rsidR="005341D2">
          <w:rPr>
            <w:noProof/>
            <w:webHidden/>
          </w:rPr>
          <w:fldChar w:fldCharType="begin"/>
        </w:r>
        <w:r w:rsidR="005341D2">
          <w:rPr>
            <w:noProof/>
            <w:webHidden/>
          </w:rPr>
          <w:instrText xml:space="preserve"> PAGEREF _Toc468797915 \h </w:instrText>
        </w:r>
        <w:r w:rsidR="005341D2">
          <w:rPr>
            <w:noProof/>
            <w:webHidden/>
          </w:rPr>
        </w:r>
        <w:r w:rsidR="005341D2">
          <w:rPr>
            <w:noProof/>
            <w:webHidden/>
          </w:rPr>
          <w:fldChar w:fldCharType="separate"/>
        </w:r>
        <w:r w:rsidR="00264804">
          <w:rPr>
            <w:noProof/>
            <w:webHidden/>
          </w:rPr>
          <w:t>10</w:t>
        </w:r>
        <w:r w:rsidR="005341D2">
          <w:rPr>
            <w:noProof/>
            <w:webHidden/>
          </w:rPr>
          <w:fldChar w:fldCharType="end"/>
        </w:r>
      </w:hyperlink>
    </w:p>
    <w:p w14:paraId="087EE632" w14:textId="77777777" w:rsidR="005341D2" w:rsidRDefault="001B5F91">
      <w:pPr>
        <w:pStyle w:val="TOC1"/>
        <w:tabs>
          <w:tab w:val="right" w:leader="dot" w:pos="9350"/>
        </w:tabs>
        <w:rPr>
          <w:rFonts w:asciiTheme="minorHAnsi" w:eastAsiaTheme="minorEastAsia" w:hAnsiTheme="minorHAnsi" w:cstheme="minorBidi"/>
          <w:noProof/>
          <w:sz w:val="22"/>
          <w:szCs w:val="22"/>
        </w:rPr>
      </w:pPr>
      <w:hyperlink w:anchor="_Toc468797916" w:history="1">
        <w:r w:rsidR="005341D2" w:rsidRPr="00A33739">
          <w:rPr>
            <w:rStyle w:val="Hyperlink"/>
            <w:noProof/>
          </w:rPr>
          <w:t>Section 4. Base Case &amp; Measure Costs</w:t>
        </w:r>
        <w:r w:rsidR="005341D2">
          <w:rPr>
            <w:noProof/>
            <w:webHidden/>
          </w:rPr>
          <w:tab/>
        </w:r>
        <w:r w:rsidR="005341D2">
          <w:rPr>
            <w:noProof/>
            <w:webHidden/>
          </w:rPr>
          <w:fldChar w:fldCharType="begin"/>
        </w:r>
        <w:r w:rsidR="005341D2">
          <w:rPr>
            <w:noProof/>
            <w:webHidden/>
          </w:rPr>
          <w:instrText xml:space="preserve"> PAGEREF _Toc468797916 \h </w:instrText>
        </w:r>
        <w:r w:rsidR="005341D2">
          <w:rPr>
            <w:noProof/>
            <w:webHidden/>
          </w:rPr>
        </w:r>
        <w:r w:rsidR="005341D2">
          <w:rPr>
            <w:noProof/>
            <w:webHidden/>
          </w:rPr>
          <w:fldChar w:fldCharType="separate"/>
        </w:r>
        <w:r w:rsidR="00264804">
          <w:rPr>
            <w:noProof/>
            <w:webHidden/>
          </w:rPr>
          <w:t>11</w:t>
        </w:r>
        <w:r w:rsidR="005341D2">
          <w:rPr>
            <w:noProof/>
            <w:webHidden/>
          </w:rPr>
          <w:fldChar w:fldCharType="end"/>
        </w:r>
      </w:hyperlink>
    </w:p>
    <w:p w14:paraId="0751D273"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17" w:history="1">
        <w:r w:rsidR="005341D2" w:rsidRPr="00A33739">
          <w:rPr>
            <w:rStyle w:val="Hyperlink"/>
            <w:noProof/>
          </w:rPr>
          <w:t>4.1 Base Case Costs</w:t>
        </w:r>
        <w:r w:rsidR="005341D2">
          <w:rPr>
            <w:noProof/>
            <w:webHidden/>
          </w:rPr>
          <w:tab/>
        </w:r>
        <w:r w:rsidR="005341D2">
          <w:rPr>
            <w:noProof/>
            <w:webHidden/>
          </w:rPr>
          <w:fldChar w:fldCharType="begin"/>
        </w:r>
        <w:r w:rsidR="005341D2">
          <w:rPr>
            <w:noProof/>
            <w:webHidden/>
          </w:rPr>
          <w:instrText xml:space="preserve"> PAGEREF _Toc468797917 \h </w:instrText>
        </w:r>
        <w:r w:rsidR="005341D2">
          <w:rPr>
            <w:noProof/>
            <w:webHidden/>
          </w:rPr>
        </w:r>
        <w:r w:rsidR="005341D2">
          <w:rPr>
            <w:noProof/>
            <w:webHidden/>
          </w:rPr>
          <w:fldChar w:fldCharType="separate"/>
        </w:r>
        <w:r w:rsidR="00264804">
          <w:rPr>
            <w:noProof/>
            <w:webHidden/>
          </w:rPr>
          <w:t>11</w:t>
        </w:r>
        <w:r w:rsidR="005341D2">
          <w:rPr>
            <w:noProof/>
            <w:webHidden/>
          </w:rPr>
          <w:fldChar w:fldCharType="end"/>
        </w:r>
      </w:hyperlink>
    </w:p>
    <w:p w14:paraId="690347C9"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18" w:history="1">
        <w:r w:rsidR="005341D2" w:rsidRPr="00A33739">
          <w:rPr>
            <w:rStyle w:val="Hyperlink"/>
            <w:noProof/>
          </w:rPr>
          <w:t>4.2 Measure Costs</w:t>
        </w:r>
        <w:r w:rsidR="005341D2">
          <w:rPr>
            <w:noProof/>
            <w:webHidden/>
          </w:rPr>
          <w:tab/>
        </w:r>
        <w:r w:rsidR="005341D2">
          <w:rPr>
            <w:noProof/>
            <w:webHidden/>
          </w:rPr>
          <w:fldChar w:fldCharType="begin"/>
        </w:r>
        <w:r w:rsidR="005341D2">
          <w:rPr>
            <w:noProof/>
            <w:webHidden/>
          </w:rPr>
          <w:instrText xml:space="preserve"> PAGEREF _Toc468797918 \h </w:instrText>
        </w:r>
        <w:r w:rsidR="005341D2">
          <w:rPr>
            <w:noProof/>
            <w:webHidden/>
          </w:rPr>
        </w:r>
        <w:r w:rsidR="005341D2">
          <w:rPr>
            <w:noProof/>
            <w:webHidden/>
          </w:rPr>
          <w:fldChar w:fldCharType="separate"/>
        </w:r>
        <w:r w:rsidR="00264804">
          <w:rPr>
            <w:noProof/>
            <w:webHidden/>
          </w:rPr>
          <w:t>11</w:t>
        </w:r>
        <w:r w:rsidR="005341D2">
          <w:rPr>
            <w:noProof/>
            <w:webHidden/>
          </w:rPr>
          <w:fldChar w:fldCharType="end"/>
        </w:r>
      </w:hyperlink>
    </w:p>
    <w:p w14:paraId="3DE5EB32" w14:textId="77777777" w:rsidR="005341D2" w:rsidRDefault="001B5F91">
      <w:pPr>
        <w:pStyle w:val="TOC2"/>
        <w:tabs>
          <w:tab w:val="right" w:leader="dot" w:pos="9350"/>
        </w:tabs>
        <w:rPr>
          <w:rFonts w:asciiTheme="minorHAnsi" w:eastAsiaTheme="minorEastAsia" w:hAnsiTheme="minorHAnsi" w:cstheme="minorBidi"/>
          <w:noProof/>
          <w:sz w:val="22"/>
          <w:szCs w:val="22"/>
        </w:rPr>
      </w:pPr>
      <w:hyperlink w:anchor="_Toc468797919" w:history="1">
        <w:r w:rsidR="005341D2" w:rsidRPr="00A33739">
          <w:rPr>
            <w:rStyle w:val="Hyperlink"/>
            <w:noProof/>
          </w:rPr>
          <w:t>4.3 Incremental &amp; Full Measure Costs</w:t>
        </w:r>
        <w:r w:rsidR="005341D2">
          <w:rPr>
            <w:noProof/>
            <w:webHidden/>
          </w:rPr>
          <w:tab/>
        </w:r>
        <w:r w:rsidR="005341D2">
          <w:rPr>
            <w:noProof/>
            <w:webHidden/>
          </w:rPr>
          <w:fldChar w:fldCharType="begin"/>
        </w:r>
        <w:r w:rsidR="005341D2">
          <w:rPr>
            <w:noProof/>
            <w:webHidden/>
          </w:rPr>
          <w:instrText xml:space="preserve"> PAGEREF _Toc468797919 \h </w:instrText>
        </w:r>
        <w:r w:rsidR="005341D2">
          <w:rPr>
            <w:noProof/>
            <w:webHidden/>
          </w:rPr>
        </w:r>
        <w:r w:rsidR="005341D2">
          <w:rPr>
            <w:noProof/>
            <w:webHidden/>
          </w:rPr>
          <w:fldChar w:fldCharType="separate"/>
        </w:r>
        <w:r w:rsidR="00264804">
          <w:rPr>
            <w:noProof/>
            <w:webHidden/>
          </w:rPr>
          <w:t>12</w:t>
        </w:r>
        <w:r w:rsidR="005341D2">
          <w:rPr>
            <w:noProof/>
            <w:webHidden/>
          </w:rPr>
          <w:fldChar w:fldCharType="end"/>
        </w:r>
      </w:hyperlink>
    </w:p>
    <w:p w14:paraId="387CBCB3" w14:textId="77777777" w:rsidR="005341D2" w:rsidRDefault="001B5F91">
      <w:pPr>
        <w:pStyle w:val="TOC3"/>
        <w:tabs>
          <w:tab w:val="right" w:leader="dot" w:pos="9350"/>
        </w:tabs>
        <w:rPr>
          <w:rFonts w:asciiTheme="minorHAnsi" w:eastAsiaTheme="minorEastAsia" w:hAnsiTheme="minorHAnsi" w:cstheme="minorBidi"/>
          <w:noProof/>
          <w:sz w:val="22"/>
          <w:szCs w:val="22"/>
        </w:rPr>
      </w:pPr>
      <w:hyperlink w:anchor="_Toc468797920" w:history="1">
        <w:r w:rsidR="005341D2" w:rsidRPr="00A33739">
          <w:rPr>
            <w:rStyle w:val="Hyperlink"/>
            <w:noProof/>
          </w:rPr>
          <w:t>4.3.1 Full Measure Cost</w:t>
        </w:r>
        <w:r w:rsidR="005341D2">
          <w:rPr>
            <w:noProof/>
            <w:webHidden/>
          </w:rPr>
          <w:tab/>
        </w:r>
        <w:r w:rsidR="005341D2">
          <w:rPr>
            <w:noProof/>
            <w:webHidden/>
          </w:rPr>
          <w:fldChar w:fldCharType="begin"/>
        </w:r>
        <w:r w:rsidR="005341D2">
          <w:rPr>
            <w:noProof/>
            <w:webHidden/>
          </w:rPr>
          <w:instrText xml:space="preserve"> PAGEREF _Toc468797920 \h </w:instrText>
        </w:r>
        <w:r w:rsidR="005341D2">
          <w:rPr>
            <w:noProof/>
            <w:webHidden/>
          </w:rPr>
        </w:r>
        <w:r w:rsidR="005341D2">
          <w:rPr>
            <w:noProof/>
            <w:webHidden/>
          </w:rPr>
          <w:fldChar w:fldCharType="separate"/>
        </w:r>
        <w:r w:rsidR="00264804">
          <w:rPr>
            <w:noProof/>
            <w:webHidden/>
          </w:rPr>
          <w:t>12</w:t>
        </w:r>
        <w:r w:rsidR="005341D2">
          <w:rPr>
            <w:noProof/>
            <w:webHidden/>
          </w:rPr>
          <w:fldChar w:fldCharType="end"/>
        </w:r>
      </w:hyperlink>
    </w:p>
    <w:p w14:paraId="245FE935" w14:textId="77777777" w:rsidR="005341D2" w:rsidRDefault="001B5F91">
      <w:pPr>
        <w:pStyle w:val="TOC3"/>
        <w:tabs>
          <w:tab w:val="right" w:leader="dot" w:pos="9350"/>
        </w:tabs>
        <w:rPr>
          <w:rFonts w:asciiTheme="minorHAnsi" w:eastAsiaTheme="minorEastAsia" w:hAnsiTheme="minorHAnsi" w:cstheme="minorBidi"/>
          <w:noProof/>
          <w:sz w:val="22"/>
          <w:szCs w:val="22"/>
        </w:rPr>
      </w:pPr>
      <w:hyperlink w:anchor="_Toc468797921" w:history="1">
        <w:r w:rsidR="005341D2" w:rsidRPr="00A33739">
          <w:rPr>
            <w:rStyle w:val="Hyperlink"/>
            <w:noProof/>
          </w:rPr>
          <w:t>4.3.2 Incremental Measure Costs</w:t>
        </w:r>
        <w:r w:rsidR="005341D2">
          <w:rPr>
            <w:noProof/>
            <w:webHidden/>
          </w:rPr>
          <w:tab/>
        </w:r>
        <w:r w:rsidR="005341D2">
          <w:rPr>
            <w:noProof/>
            <w:webHidden/>
          </w:rPr>
          <w:fldChar w:fldCharType="begin"/>
        </w:r>
        <w:r w:rsidR="005341D2">
          <w:rPr>
            <w:noProof/>
            <w:webHidden/>
          </w:rPr>
          <w:instrText xml:space="preserve"> PAGEREF _Toc468797921 \h </w:instrText>
        </w:r>
        <w:r w:rsidR="005341D2">
          <w:rPr>
            <w:noProof/>
            <w:webHidden/>
          </w:rPr>
        </w:r>
        <w:r w:rsidR="005341D2">
          <w:rPr>
            <w:noProof/>
            <w:webHidden/>
          </w:rPr>
          <w:fldChar w:fldCharType="separate"/>
        </w:r>
        <w:r w:rsidR="00264804">
          <w:rPr>
            <w:noProof/>
            <w:webHidden/>
          </w:rPr>
          <w:t>13</w:t>
        </w:r>
        <w:r w:rsidR="005341D2">
          <w:rPr>
            <w:noProof/>
            <w:webHidden/>
          </w:rPr>
          <w:fldChar w:fldCharType="end"/>
        </w:r>
      </w:hyperlink>
    </w:p>
    <w:p w14:paraId="0E82695A" w14:textId="77777777" w:rsidR="005341D2" w:rsidRDefault="001B5F91">
      <w:pPr>
        <w:pStyle w:val="TOC1"/>
        <w:tabs>
          <w:tab w:val="right" w:leader="dot" w:pos="9350"/>
        </w:tabs>
        <w:rPr>
          <w:rFonts w:asciiTheme="minorHAnsi" w:eastAsiaTheme="minorEastAsia" w:hAnsiTheme="minorHAnsi" w:cstheme="minorBidi"/>
          <w:noProof/>
          <w:sz w:val="22"/>
          <w:szCs w:val="22"/>
        </w:rPr>
      </w:pPr>
      <w:hyperlink w:anchor="_Toc468797922" w:history="1">
        <w:r w:rsidR="005341D2" w:rsidRPr="00A33739">
          <w:rPr>
            <w:rStyle w:val="Hyperlink"/>
            <w:noProof/>
          </w:rPr>
          <w:t>References:</w:t>
        </w:r>
        <w:r w:rsidR="005341D2">
          <w:rPr>
            <w:noProof/>
            <w:webHidden/>
          </w:rPr>
          <w:tab/>
        </w:r>
        <w:r w:rsidR="005341D2">
          <w:rPr>
            <w:noProof/>
            <w:webHidden/>
          </w:rPr>
          <w:fldChar w:fldCharType="begin"/>
        </w:r>
        <w:r w:rsidR="005341D2">
          <w:rPr>
            <w:noProof/>
            <w:webHidden/>
          </w:rPr>
          <w:instrText xml:space="preserve"> PAGEREF _Toc468797922 \h </w:instrText>
        </w:r>
        <w:r w:rsidR="005341D2">
          <w:rPr>
            <w:noProof/>
            <w:webHidden/>
          </w:rPr>
        </w:r>
        <w:r w:rsidR="005341D2">
          <w:rPr>
            <w:noProof/>
            <w:webHidden/>
          </w:rPr>
          <w:fldChar w:fldCharType="separate"/>
        </w:r>
        <w:r w:rsidR="00264804">
          <w:rPr>
            <w:noProof/>
            <w:webHidden/>
          </w:rPr>
          <w:t>14</w:t>
        </w:r>
        <w:r w:rsidR="005341D2">
          <w:rPr>
            <w:noProof/>
            <w:webHidden/>
          </w:rPr>
          <w:fldChar w:fldCharType="end"/>
        </w:r>
      </w:hyperlink>
    </w:p>
    <w:p w14:paraId="5EB8A2B5" w14:textId="77777777" w:rsidR="00ED21EE" w:rsidRDefault="009F6F8B" w:rsidP="00ED21EE">
      <w:pPr>
        <w:pStyle w:val="Heading1"/>
      </w:pPr>
      <w:r>
        <w:rPr>
          <w:rFonts w:ascii="Times New Roman" w:hAnsi="Times New Roman" w:cs="Times New Roman"/>
          <w:b w:val="0"/>
          <w:bCs w:val="0"/>
          <w:kern w:val="0"/>
          <w:sz w:val="24"/>
          <w:szCs w:val="24"/>
        </w:rPr>
        <w:fldChar w:fldCharType="end"/>
      </w:r>
      <w:r w:rsidR="006559C8">
        <w:br w:type="page"/>
      </w:r>
      <w:bookmarkStart w:id="8" w:name="_Toc172205729"/>
      <w:bookmarkStart w:id="9" w:name="_Toc468797899"/>
      <w:r w:rsidR="00ED21EE">
        <w:lastRenderedPageBreak/>
        <w:t>List of Tables</w:t>
      </w:r>
      <w:bookmarkEnd w:id="8"/>
      <w:bookmarkEnd w:id="9"/>
    </w:p>
    <w:p w14:paraId="657C31F4" w14:textId="77777777" w:rsidR="00DE02D4" w:rsidRDefault="00ED21EE">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68795519" w:history="1">
        <w:r w:rsidR="00DE02D4" w:rsidRPr="00155932">
          <w:rPr>
            <w:rStyle w:val="Hyperlink"/>
            <w:noProof/>
          </w:rPr>
          <w:t>Table 1 - LED Ambient Commercial Fixtures &amp; Retrofit Kits Minimum Measure Efficacies</w:t>
        </w:r>
        <w:r w:rsidR="00DE02D4">
          <w:rPr>
            <w:noProof/>
            <w:webHidden/>
          </w:rPr>
          <w:tab/>
        </w:r>
        <w:r w:rsidR="00DE02D4">
          <w:rPr>
            <w:noProof/>
            <w:webHidden/>
          </w:rPr>
          <w:fldChar w:fldCharType="begin"/>
        </w:r>
        <w:r w:rsidR="00DE02D4">
          <w:rPr>
            <w:noProof/>
            <w:webHidden/>
          </w:rPr>
          <w:instrText xml:space="preserve"> PAGEREF _Toc468795519 \h </w:instrText>
        </w:r>
        <w:r w:rsidR="00DE02D4">
          <w:rPr>
            <w:noProof/>
            <w:webHidden/>
          </w:rPr>
        </w:r>
        <w:r w:rsidR="00DE02D4">
          <w:rPr>
            <w:noProof/>
            <w:webHidden/>
          </w:rPr>
          <w:fldChar w:fldCharType="separate"/>
        </w:r>
        <w:r w:rsidR="00264804">
          <w:rPr>
            <w:noProof/>
            <w:webHidden/>
          </w:rPr>
          <w:t>1</w:t>
        </w:r>
        <w:r w:rsidR="00DE02D4">
          <w:rPr>
            <w:noProof/>
            <w:webHidden/>
          </w:rPr>
          <w:fldChar w:fldCharType="end"/>
        </w:r>
      </w:hyperlink>
    </w:p>
    <w:p w14:paraId="68953E4C" w14:textId="77777777" w:rsidR="00DE02D4" w:rsidRDefault="001B5F91">
      <w:pPr>
        <w:pStyle w:val="TableofFigures"/>
        <w:tabs>
          <w:tab w:val="right" w:leader="dot" w:pos="9350"/>
        </w:tabs>
        <w:rPr>
          <w:rFonts w:asciiTheme="minorHAnsi" w:eastAsiaTheme="minorEastAsia" w:hAnsiTheme="minorHAnsi" w:cstheme="minorBidi"/>
          <w:noProof/>
          <w:sz w:val="22"/>
          <w:szCs w:val="22"/>
        </w:rPr>
      </w:pPr>
      <w:hyperlink w:anchor="_Toc468795520" w:history="1">
        <w:r w:rsidR="00DE02D4" w:rsidRPr="00155932">
          <w:rPr>
            <w:rStyle w:val="Hyperlink"/>
            <w:noProof/>
          </w:rPr>
          <w:t>Table 2 - Measure Application Type</w:t>
        </w:r>
        <w:r w:rsidR="00DE02D4">
          <w:rPr>
            <w:noProof/>
            <w:webHidden/>
          </w:rPr>
          <w:tab/>
        </w:r>
        <w:r w:rsidR="00DE02D4">
          <w:rPr>
            <w:noProof/>
            <w:webHidden/>
          </w:rPr>
          <w:fldChar w:fldCharType="begin"/>
        </w:r>
        <w:r w:rsidR="00DE02D4">
          <w:rPr>
            <w:noProof/>
            <w:webHidden/>
          </w:rPr>
          <w:instrText xml:space="preserve"> PAGEREF _Toc468795520 \h </w:instrText>
        </w:r>
        <w:r w:rsidR="00DE02D4">
          <w:rPr>
            <w:noProof/>
            <w:webHidden/>
          </w:rPr>
        </w:r>
        <w:r w:rsidR="00DE02D4">
          <w:rPr>
            <w:noProof/>
            <w:webHidden/>
          </w:rPr>
          <w:fldChar w:fldCharType="separate"/>
        </w:r>
        <w:r w:rsidR="00264804">
          <w:rPr>
            <w:noProof/>
            <w:webHidden/>
          </w:rPr>
          <w:t>3</w:t>
        </w:r>
        <w:r w:rsidR="00DE02D4">
          <w:rPr>
            <w:noProof/>
            <w:webHidden/>
          </w:rPr>
          <w:fldChar w:fldCharType="end"/>
        </w:r>
      </w:hyperlink>
    </w:p>
    <w:p w14:paraId="4083CF96" w14:textId="77777777" w:rsidR="00DE02D4" w:rsidRDefault="001B5F91">
      <w:pPr>
        <w:pStyle w:val="TableofFigures"/>
        <w:tabs>
          <w:tab w:val="right" w:leader="dot" w:pos="9350"/>
        </w:tabs>
        <w:rPr>
          <w:rFonts w:asciiTheme="minorHAnsi" w:eastAsiaTheme="minorEastAsia" w:hAnsiTheme="minorHAnsi" w:cstheme="minorBidi"/>
          <w:noProof/>
          <w:sz w:val="22"/>
          <w:szCs w:val="22"/>
        </w:rPr>
      </w:pPr>
      <w:hyperlink w:anchor="_Toc468795521" w:history="1">
        <w:r w:rsidR="00DE02D4" w:rsidRPr="00155932">
          <w:rPr>
            <w:rStyle w:val="Hyperlink"/>
            <w:noProof/>
          </w:rPr>
          <w:t>Table 3 - LED Ambient Commercial Fixtures &amp; Retrofit Kits Base and Measure Wattages</w:t>
        </w:r>
        <w:r w:rsidR="00DE02D4">
          <w:rPr>
            <w:noProof/>
            <w:webHidden/>
          </w:rPr>
          <w:tab/>
        </w:r>
        <w:r w:rsidR="00DE02D4">
          <w:rPr>
            <w:noProof/>
            <w:webHidden/>
          </w:rPr>
          <w:fldChar w:fldCharType="begin"/>
        </w:r>
        <w:r w:rsidR="00DE02D4">
          <w:rPr>
            <w:noProof/>
            <w:webHidden/>
          </w:rPr>
          <w:instrText xml:space="preserve"> PAGEREF _Toc468795521 \h </w:instrText>
        </w:r>
        <w:r w:rsidR="00DE02D4">
          <w:rPr>
            <w:noProof/>
            <w:webHidden/>
          </w:rPr>
        </w:r>
        <w:r w:rsidR="00DE02D4">
          <w:rPr>
            <w:noProof/>
            <w:webHidden/>
          </w:rPr>
          <w:fldChar w:fldCharType="separate"/>
        </w:r>
        <w:r w:rsidR="00264804">
          <w:rPr>
            <w:noProof/>
            <w:webHidden/>
          </w:rPr>
          <w:t>4</w:t>
        </w:r>
        <w:r w:rsidR="00DE02D4">
          <w:rPr>
            <w:noProof/>
            <w:webHidden/>
          </w:rPr>
          <w:fldChar w:fldCharType="end"/>
        </w:r>
      </w:hyperlink>
    </w:p>
    <w:p w14:paraId="1BBF8F80" w14:textId="77777777" w:rsidR="00DE02D4" w:rsidRDefault="001B5F91">
      <w:pPr>
        <w:pStyle w:val="TableofFigures"/>
        <w:tabs>
          <w:tab w:val="right" w:leader="dot" w:pos="9350"/>
        </w:tabs>
        <w:rPr>
          <w:rFonts w:asciiTheme="minorHAnsi" w:eastAsiaTheme="minorEastAsia" w:hAnsiTheme="minorHAnsi" w:cstheme="minorBidi"/>
          <w:noProof/>
          <w:sz w:val="22"/>
          <w:szCs w:val="22"/>
        </w:rPr>
      </w:pPr>
      <w:hyperlink w:anchor="_Toc468795522" w:history="1">
        <w:r w:rsidR="00DE02D4" w:rsidRPr="00155932">
          <w:rPr>
            <w:rStyle w:val="Hyperlink"/>
            <w:noProof/>
          </w:rPr>
          <w:t>Table 4 - Net-to-Gross Ratios</w:t>
        </w:r>
        <w:r w:rsidR="00DE02D4">
          <w:rPr>
            <w:noProof/>
            <w:webHidden/>
          </w:rPr>
          <w:tab/>
        </w:r>
        <w:r w:rsidR="00DE02D4">
          <w:rPr>
            <w:noProof/>
            <w:webHidden/>
          </w:rPr>
          <w:fldChar w:fldCharType="begin"/>
        </w:r>
        <w:r w:rsidR="00DE02D4">
          <w:rPr>
            <w:noProof/>
            <w:webHidden/>
          </w:rPr>
          <w:instrText xml:space="preserve"> PAGEREF _Toc468795522 \h </w:instrText>
        </w:r>
        <w:r w:rsidR="00DE02D4">
          <w:rPr>
            <w:noProof/>
            <w:webHidden/>
          </w:rPr>
        </w:r>
        <w:r w:rsidR="00DE02D4">
          <w:rPr>
            <w:noProof/>
            <w:webHidden/>
          </w:rPr>
          <w:fldChar w:fldCharType="separate"/>
        </w:r>
        <w:r w:rsidR="00264804">
          <w:rPr>
            <w:noProof/>
            <w:webHidden/>
          </w:rPr>
          <w:t>5</w:t>
        </w:r>
        <w:r w:rsidR="00DE02D4">
          <w:rPr>
            <w:noProof/>
            <w:webHidden/>
          </w:rPr>
          <w:fldChar w:fldCharType="end"/>
        </w:r>
      </w:hyperlink>
    </w:p>
    <w:p w14:paraId="1EF0EB75" w14:textId="77777777" w:rsidR="00DE02D4" w:rsidRDefault="001B5F91">
      <w:pPr>
        <w:pStyle w:val="TableofFigures"/>
        <w:tabs>
          <w:tab w:val="right" w:leader="dot" w:pos="9350"/>
        </w:tabs>
        <w:rPr>
          <w:rFonts w:asciiTheme="minorHAnsi" w:eastAsiaTheme="minorEastAsia" w:hAnsiTheme="minorHAnsi" w:cstheme="minorBidi"/>
          <w:noProof/>
          <w:sz w:val="22"/>
          <w:szCs w:val="22"/>
        </w:rPr>
      </w:pPr>
      <w:hyperlink w:anchor="_Toc468795523" w:history="1">
        <w:r w:rsidR="00DE02D4" w:rsidRPr="00155932">
          <w:rPr>
            <w:rStyle w:val="Hyperlink"/>
            <w:noProof/>
          </w:rPr>
          <w:t>Table 5 - Installation Rate</w:t>
        </w:r>
        <w:r w:rsidR="00DE02D4">
          <w:rPr>
            <w:noProof/>
            <w:webHidden/>
          </w:rPr>
          <w:tab/>
        </w:r>
        <w:r w:rsidR="00DE02D4">
          <w:rPr>
            <w:noProof/>
            <w:webHidden/>
          </w:rPr>
          <w:fldChar w:fldCharType="begin"/>
        </w:r>
        <w:r w:rsidR="00DE02D4">
          <w:rPr>
            <w:noProof/>
            <w:webHidden/>
          </w:rPr>
          <w:instrText xml:space="preserve"> PAGEREF _Toc468795523 \h </w:instrText>
        </w:r>
        <w:r w:rsidR="00DE02D4">
          <w:rPr>
            <w:noProof/>
            <w:webHidden/>
          </w:rPr>
        </w:r>
        <w:r w:rsidR="00DE02D4">
          <w:rPr>
            <w:noProof/>
            <w:webHidden/>
          </w:rPr>
          <w:fldChar w:fldCharType="separate"/>
        </w:r>
        <w:r w:rsidR="00264804">
          <w:rPr>
            <w:noProof/>
            <w:webHidden/>
          </w:rPr>
          <w:t>5</w:t>
        </w:r>
        <w:r w:rsidR="00DE02D4">
          <w:rPr>
            <w:noProof/>
            <w:webHidden/>
          </w:rPr>
          <w:fldChar w:fldCharType="end"/>
        </w:r>
      </w:hyperlink>
    </w:p>
    <w:p w14:paraId="1B85A5B2" w14:textId="77777777" w:rsidR="00DE02D4" w:rsidRDefault="001B5F91">
      <w:pPr>
        <w:pStyle w:val="TableofFigures"/>
        <w:tabs>
          <w:tab w:val="right" w:leader="dot" w:pos="9350"/>
        </w:tabs>
        <w:rPr>
          <w:rFonts w:asciiTheme="minorHAnsi" w:eastAsiaTheme="minorEastAsia" w:hAnsiTheme="minorHAnsi" w:cstheme="minorBidi"/>
          <w:noProof/>
          <w:sz w:val="22"/>
          <w:szCs w:val="22"/>
        </w:rPr>
      </w:pPr>
      <w:hyperlink w:anchor="_Toc468795524" w:history="1">
        <w:r w:rsidR="00DE02D4" w:rsidRPr="00155932">
          <w:rPr>
            <w:rStyle w:val="Hyperlink"/>
            <w:noProof/>
          </w:rPr>
          <w:t>Table 6 - LED Ambient Commercial Fixtures &amp; Retrofit Kits Base and Measure Wattages</w:t>
        </w:r>
        <w:r w:rsidR="00DE02D4">
          <w:rPr>
            <w:noProof/>
            <w:webHidden/>
          </w:rPr>
          <w:tab/>
        </w:r>
        <w:r w:rsidR="00DE02D4">
          <w:rPr>
            <w:noProof/>
            <w:webHidden/>
          </w:rPr>
          <w:fldChar w:fldCharType="begin"/>
        </w:r>
        <w:r w:rsidR="00DE02D4">
          <w:rPr>
            <w:noProof/>
            <w:webHidden/>
          </w:rPr>
          <w:instrText xml:space="preserve"> PAGEREF _Toc468795524 \h </w:instrText>
        </w:r>
        <w:r w:rsidR="00DE02D4">
          <w:rPr>
            <w:noProof/>
            <w:webHidden/>
          </w:rPr>
        </w:r>
        <w:r w:rsidR="00DE02D4">
          <w:rPr>
            <w:noProof/>
            <w:webHidden/>
          </w:rPr>
          <w:fldChar w:fldCharType="separate"/>
        </w:r>
        <w:r w:rsidR="00264804">
          <w:rPr>
            <w:noProof/>
            <w:webHidden/>
          </w:rPr>
          <w:t>8</w:t>
        </w:r>
        <w:r w:rsidR="00DE02D4">
          <w:rPr>
            <w:noProof/>
            <w:webHidden/>
          </w:rPr>
          <w:fldChar w:fldCharType="end"/>
        </w:r>
      </w:hyperlink>
    </w:p>
    <w:p w14:paraId="71326E5C" w14:textId="77777777" w:rsidR="00DE02D4" w:rsidRDefault="001B5F91">
      <w:pPr>
        <w:pStyle w:val="TableofFigures"/>
        <w:tabs>
          <w:tab w:val="right" w:leader="dot" w:pos="9350"/>
        </w:tabs>
        <w:rPr>
          <w:rFonts w:asciiTheme="minorHAnsi" w:eastAsiaTheme="minorEastAsia" w:hAnsiTheme="minorHAnsi" w:cstheme="minorBidi"/>
          <w:noProof/>
          <w:sz w:val="22"/>
          <w:szCs w:val="22"/>
        </w:rPr>
      </w:pPr>
      <w:hyperlink w:anchor="_Toc468795525" w:history="1">
        <w:r w:rsidR="00DE02D4" w:rsidRPr="00155932">
          <w:rPr>
            <w:rStyle w:val="Hyperlink"/>
            <w:noProof/>
          </w:rPr>
          <w:t>Table 7 - LED Ambient Commercial Fixtures &amp; Retrofit Kits Base Case Cost Table</w:t>
        </w:r>
        <w:r w:rsidR="00DE02D4">
          <w:rPr>
            <w:noProof/>
            <w:webHidden/>
          </w:rPr>
          <w:tab/>
        </w:r>
        <w:r w:rsidR="00DE02D4">
          <w:rPr>
            <w:noProof/>
            <w:webHidden/>
          </w:rPr>
          <w:fldChar w:fldCharType="begin"/>
        </w:r>
        <w:r w:rsidR="00DE02D4">
          <w:rPr>
            <w:noProof/>
            <w:webHidden/>
          </w:rPr>
          <w:instrText xml:space="preserve"> PAGEREF _Toc468795525 \h </w:instrText>
        </w:r>
        <w:r w:rsidR="00DE02D4">
          <w:rPr>
            <w:noProof/>
            <w:webHidden/>
          </w:rPr>
        </w:r>
        <w:r w:rsidR="00DE02D4">
          <w:rPr>
            <w:noProof/>
            <w:webHidden/>
          </w:rPr>
          <w:fldChar w:fldCharType="separate"/>
        </w:r>
        <w:r w:rsidR="00264804">
          <w:rPr>
            <w:noProof/>
            <w:webHidden/>
          </w:rPr>
          <w:t>11</w:t>
        </w:r>
        <w:r w:rsidR="00DE02D4">
          <w:rPr>
            <w:noProof/>
            <w:webHidden/>
          </w:rPr>
          <w:fldChar w:fldCharType="end"/>
        </w:r>
      </w:hyperlink>
    </w:p>
    <w:p w14:paraId="36C0B150" w14:textId="77777777" w:rsidR="00DE02D4" w:rsidRDefault="001B5F91">
      <w:pPr>
        <w:pStyle w:val="TableofFigures"/>
        <w:tabs>
          <w:tab w:val="right" w:leader="dot" w:pos="9350"/>
        </w:tabs>
        <w:rPr>
          <w:rFonts w:asciiTheme="minorHAnsi" w:eastAsiaTheme="minorEastAsia" w:hAnsiTheme="minorHAnsi" w:cstheme="minorBidi"/>
          <w:noProof/>
          <w:sz w:val="22"/>
          <w:szCs w:val="22"/>
        </w:rPr>
      </w:pPr>
      <w:hyperlink w:anchor="_Toc468795526" w:history="1">
        <w:r w:rsidR="00DE02D4" w:rsidRPr="00155932">
          <w:rPr>
            <w:rStyle w:val="Hyperlink"/>
            <w:noProof/>
          </w:rPr>
          <w:t>Table 8 - LED Ambient Commercial Fixtures &amp; Retrofit Kits Measure Cost Table</w:t>
        </w:r>
        <w:r w:rsidR="00DE02D4">
          <w:rPr>
            <w:noProof/>
            <w:webHidden/>
          </w:rPr>
          <w:tab/>
        </w:r>
        <w:r w:rsidR="00DE02D4">
          <w:rPr>
            <w:noProof/>
            <w:webHidden/>
          </w:rPr>
          <w:fldChar w:fldCharType="begin"/>
        </w:r>
        <w:r w:rsidR="00DE02D4">
          <w:rPr>
            <w:noProof/>
            <w:webHidden/>
          </w:rPr>
          <w:instrText xml:space="preserve"> PAGEREF _Toc468795526 \h </w:instrText>
        </w:r>
        <w:r w:rsidR="00DE02D4">
          <w:rPr>
            <w:noProof/>
            <w:webHidden/>
          </w:rPr>
        </w:r>
        <w:r w:rsidR="00DE02D4">
          <w:rPr>
            <w:noProof/>
            <w:webHidden/>
          </w:rPr>
          <w:fldChar w:fldCharType="separate"/>
        </w:r>
        <w:r w:rsidR="00264804">
          <w:rPr>
            <w:noProof/>
            <w:webHidden/>
          </w:rPr>
          <w:t>11</w:t>
        </w:r>
        <w:r w:rsidR="00DE02D4">
          <w:rPr>
            <w:noProof/>
            <w:webHidden/>
          </w:rPr>
          <w:fldChar w:fldCharType="end"/>
        </w:r>
      </w:hyperlink>
    </w:p>
    <w:p w14:paraId="195F2780" w14:textId="77777777" w:rsidR="00DE02D4" w:rsidRDefault="001B5F91">
      <w:pPr>
        <w:pStyle w:val="TableofFigures"/>
        <w:tabs>
          <w:tab w:val="right" w:leader="dot" w:pos="9350"/>
        </w:tabs>
        <w:rPr>
          <w:rFonts w:asciiTheme="minorHAnsi" w:eastAsiaTheme="minorEastAsia" w:hAnsiTheme="minorHAnsi" w:cstheme="minorBidi"/>
          <w:noProof/>
          <w:sz w:val="22"/>
          <w:szCs w:val="22"/>
        </w:rPr>
      </w:pPr>
      <w:hyperlink w:anchor="_Toc468795527" w:history="1">
        <w:r w:rsidR="00DE02D4" w:rsidRPr="00155932">
          <w:rPr>
            <w:rStyle w:val="Hyperlink"/>
            <w:noProof/>
          </w:rPr>
          <w:t>Table 9 - LED Ambient Commercial Fixtures &amp; Retrofit Kits Full Measure Cost</w:t>
        </w:r>
        <w:r w:rsidR="00DE02D4">
          <w:rPr>
            <w:noProof/>
            <w:webHidden/>
          </w:rPr>
          <w:tab/>
        </w:r>
        <w:r w:rsidR="00DE02D4">
          <w:rPr>
            <w:noProof/>
            <w:webHidden/>
          </w:rPr>
          <w:fldChar w:fldCharType="begin"/>
        </w:r>
        <w:r w:rsidR="00DE02D4">
          <w:rPr>
            <w:noProof/>
            <w:webHidden/>
          </w:rPr>
          <w:instrText xml:space="preserve"> PAGEREF _Toc468795527 \h </w:instrText>
        </w:r>
        <w:r w:rsidR="00DE02D4">
          <w:rPr>
            <w:noProof/>
            <w:webHidden/>
          </w:rPr>
        </w:r>
        <w:r w:rsidR="00DE02D4">
          <w:rPr>
            <w:noProof/>
            <w:webHidden/>
          </w:rPr>
          <w:fldChar w:fldCharType="separate"/>
        </w:r>
        <w:r w:rsidR="00264804">
          <w:rPr>
            <w:noProof/>
            <w:webHidden/>
          </w:rPr>
          <w:t>12</w:t>
        </w:r>
        <w:r w:rsidR="00DE02D4">
          <w:rPr>
            <w:noProof/>
            <w:webHidden/>
          </w:rPr>
          <w:fldChar w:fldCharType="end"/>
        </w:r>
      </w:hyperlink>
    </w:p>
    <w:p w14:paraId="727B2061" w14:textId="77777777" w:rsidR="00DE02D4" w:rsidRDefault="001B5F91">
      <w:pPr>
        <w:pStyle w:val="TableofFigures"/>
        <w:tabs>
          <w:tab w:val="right" w:leader="dot" w:pos="9350"/>
        </w:tabs>
        <w:rPr>
          <w:rFonts w:asciiTheme="minorHAnsi" w:eastAsiaTheme="minorEastAsia" w:hAnsiTheme="minorHAnsi" w:cstheme="minorBidi"/>
          <w:noProof/>
          <w:sz w:val="22"/>
          <w:szCs w:val="22"/>
        </w:rPr>
      </w:pPr>
      <w:hyperlink w:anchor="_Toc468795528" w:history="1">
        <w:r w:rsidR="00DE02D4" w:rsidRPr="00155932">
          <w:rPr>
            <w:rStyle w:val="Hyperlink"/>
            <w:noProof/>
          </w:rPr>
          <w:t>Table 10 - LED Ambient Commercial Fixtures &amp; Retrofit Kits Incremental Cost</w:t>
        </w:r>
        <w:r w:rsidR="00DE02D4">
          <w:rPr>
            <w:noProof/>
            <w:webHidden/>
          </w:rPr>
          <w:tab/>
        </w:r>
        <w:r w:rsidR="00DE02D4">
          <w:rPr>
            <w:noProof/>
            <w:webHidden/>
          </w:rPr>
          <w:fldChar w:fldCharType="begin"/>
        </w:r>
        <w:r w:rsidR="00DE02D4">
          <w:rPr>
            <w:noProof/>
            <w:webHidden/>
          </w:rPr>
          <w:instrText xml:space="preserve"> PAGEREF _Toc468795528 \h </w:instrText>
        </w:r>
        <w:r w:rsidR="00DE02D4">
          <w:rPr>
            <w:noProof/>
            <w:webHidden/>
          </w:rPr>
        </w:r>
        <w:r w:rsidR="00DE02D4">
          <w:rPr>
            <w:noProof/>
            <w:webHidden/>
          </w:rPr>
          <w:fldChar w:fldCharType="separate"/>
        </w:r>
        <w:r w:rsidR="00264804">
          <w:rPr>
            <w:noProof/>
            <w:webHidden/>
          </w:rPr>
          <w:t>13</w:t>
        </w:r>
        <w:r w:rsidR="00DE02D4">
          <w:rPr>
            <w:noProof/>
            <w:webHidden/>
          </w:rPr>
          <w:fldChar w:fldCharType="end"/>
        </w:r>
      </w:hyperlink>
    </w:p>
    <w:p w14:paraId="5EB8A2C0" w14:textId="77777777" w:rsidR="005A1F9D" w:rsidRDefault="00ED21EE" w:rsidP="005A1F9D">
      <w:r>
        <w:fldChar w:fldCharType="end"/>
      </w:r>
      <w:r w:rsidR="005A1F9D" w:rsidRPr="005A1F9D">
        <w:t xml:space="preserve"> </w:t>
      </w:r>
    </w:p>
    <w:p w14:paraId="5EB8A2C1" w14:textId="77777777" w:rsidR="00851FAF" w:rsidRDefault="00851FAF" w:rsidP="00ED21EE">
      <w:pPr>
        <w:pStyle w:val="Heading1"/>
        <w:sectPr w:rsidR="00851FAF" w:rsidSect="00262365">
          <w:endnotePr>
            <w:numFmt w:val="decimal"/>
          </w:endnotePr>
          <w:pgSz w:w="12240" w:h="15840"/>
          <w:pgMar w:top="1440" w:right="1440" w:bottom="1440" w:left="1440" w:header="720" w:footer="720" w:gutter="0"/>
          <w:pgNumType w:fmt="lowerRoman" w:chapStyle="1"/>
          <w:cols w:space="720"/>
          <w:docGrid w:linePitch="360"/>
        </w:sectPr>
      </w:pPr>
      <w:bookmarkStart w:id="10" w:name="_Toc172205732"/>
    </w:p>
    <w:p w14:paraId="5EB8A2C2" w14:textId="77777777" w:rsidR="00ED21EE" w:rsidRDefault="00ED21EE" w:rsidP="00ED21EE">
      <w:pPr>
        <w:pStyle w:val="Heading1"/>
      </w:pPr>
      <w:bookmarkStart w:id="11" w:name="_Toc468797900"/>
      <w:proofErr w:type="gramStart"/>
      <w:r>
        <w:lastRenderedPageBreak/>
        <w:t>Section 1.</w:t>
      </w:r>
      <w:proofErr w:type="gramEnd"/>
      <w:r>
        <w:t xml:space="preserve"> General Measure &amp; Baseline Data</w:t>
      </w:r>
      <w:bookmarkEnd w:id="11"/>
    </w:p>
    <w:p w14:paraId="5EB8A2C3" w14:textId="77777777" w:rsidR="00E71EF1" w:rsidRDefault="001248A3" w:rsidP="001248A3">
      <w:pPr>
        <w:pStyle w:val="Heading2"/>
      </w:pPr>
      <w:bookmarkStart w:id="12" w:name="_Toc468797901"/>
      <w:bookmarkEnd w:id="10"/>
      <w:r>
        <w:t xml:space="preserve">1.1 </w:t>
      </w:r>
      <w:r w:rsidR="008C6AD1">
        <w:t xml:space="preserve">Product </w:t>
      </w:r>
      <w:r w:rsidR="00E71EF1" w:rsidRPr="001248A3">
        <w:t>Measure Description &amp; Background</w:t>
      </w:r>
      <w:bookmarkEnd w:id="12"/>
    </w:p>
    <w:p w14:paraId="5EB8A2C4" w14:textId="77777777" w:rsidR="0037707D" w:rsidRDefault="00521920" w:rsidP="00872913">
      <w:pPr>
        <w:rPr>
          <w:rFonts w:ascii="Arial" w:hAnsi="Arial" w:cs="Arial"/>
          <w:b/>
          <w:i/>
        </w:rPr>
      </w:pPr>
      <w:r w:rsidRPr="00521920">
        <w:rPr>
          <w:rFonts w:ascii="Arial" w:hAnsi="Arial" w:cs="Arial"/>
          <w:b/>
          <w:i/>
        </w:rPr>
        <w:t>Catalog Description</w:t>
      </w:r>
      <w:r w:rsidR="00476B67">
        <w:rPr>
          <w:rFonts w:ascii="Arial" w:hAnsi="Arial" w:cs="Arial"/>
          <w:b/>
          <w:i/>
        </w:rPr>
        <w:t xml:space="preserve"> </w:t>
      </w:r>
    </w:p>
    <w:p w14:paraId="5EB8A2C5" w14:textId="77777777" w:rsidR="0037707D" w:rsidRDefault="005460ED" w:rsidP="00872913">
      <w:pPr>
        <w:rPr>
          <w:rFonts w:ascii="Arial" w:hAnsi="Arial" w:cs="Arial"/>
          <w:sz w:val="20"/>
        </w:rPr>
      </w:pPr>
      <w:r w:rsidRPr="0008537D">
        <w:rPr>
          <w:rFonts w:ascii="Arial" w:hAnsi="Arial" w:cs="Arial"/>
          <w:sz w:val="20"/>
        </w:rPr>
        <w:t xml:space="preserve">Light Emitting Diode (LED) </w:t>
      </w:r>
      <w:r>
        <w:rPr>
          <w:rFonts w:ascii="Arial" w:hAnsi="Arial" w:cs="Arial"/>
          <w:sz w:val="20"/>
        </w:rPr>
        <w:t xml:space="preserve">Ambient Commercial </w:t>
      </w:r>
      <w:r w:rsidRPr="005C31D5">
        <w:rPr>
          <w:rFonts w:ascii="Arial" w:hAnsi="Arial" w:cs="Arial"/>
          <w:sz w:val="20"/>
        </w:rPr>
        <w:t>Fixtures and Retrofit Kits</w:t>
      </w:r>
    </w:p>
    <w:p w14:paraId="5EB8A2C6" w14:textId="77777777" w:rsidR="005460ED" w:rsidRDefault="005460ED" w:rsidP="00872913">
      <w:pPr>
        <w:rPr>
          <w:rFonts w:ascii="Arial" w:hAnsi="Arial" w:cs="Arial"/>
          <w:sz w:val="20"/>
        </w:rPr>
      </w:pPr>
    </w:p>
    <w:p w14:paraId="5EB8A2C7" w14:textId="77777777" w:rsidR="005B5BB4" w:rsidRPr="005B5BB4" w:rsidRDefault="005B5BB4" w:rsidP="005B5BB4">
      <w:pPr>
        <w:widowControl w:val="0"/>
        <w:autoSpaceDE w:val="0"/>
        <w:autoSpaceDN w:val="0"/>
        <w:adjustRightInd w:val="0"/>
        <w:spacing w:line="360" w:lineRule="auto"/>
        <w:rPr>
          <w:rFonts w:ascii="Arial" w:hAnsi="Arial" w:cs="Arial"/>
          <w:b/>
          <w:color w:val="000000"/>
        </w:rPr>
      </w:pPr>
      <w:r w:rsidRPr="005B5BB4">
        <w:rPr>
          <w:rFonts w:ascii="Arial" w:hAnsi="Arial" w:cs="Arial"/>
          <w:b/>
          <w:color w:val="000000"/>
        </w:rPr>
        <w:t>Requirements:</w:t>
      </w:r>
    </w:p>
    <w:p w14:paraId="5EB8A2C8" w14:textId="77777777" w:rsidR="0037707D" w:rsidRDefault="00452CA5" w:rsidP="00D12AFE">
      <w:pPr>
        <w:widowControl w:val="0"/>
        <w:numPr>
          <w:ilvl w:val="0"/>
          <w:numId w:val="18"/>
        </w:numPr>
        <w:autoSpaceDE w:val="0"/>
        <w:autoSpaceDN w:val="0"/>
        <w:adjustRightInd w:val="0"/>
        <w:spacing w:line="360" w:lineRule="auto"/>
        <w:rPr>
          <w:rFonts w:ascii="Arial" w:hAnsi="Arial" w:cs="Arial"/>
          <w:color w:val="000000"/>
          <w:sz w:val="20"/>
        </w:rPr>
      </w:pPr>
      <w:r w:rsidRPr="00EB572D">
        <w:rPr>
          <w:rFonts w:ascii="Arial" w:hAnsi="Arial" w:cs="Arial"/>
          <w:color w:val="000000"/>
          <w:sz w:val="20"/>
        </w:rPr>
        <w:t>Must be a one for one replacement</w:t>
      </w:r>
      <w:r w:rsidR="00EB572D">
        <w:rPr>
          <w:rFonts w:ascii="Arial" w:hAnsi="Arial" w:cs="Arial"/>
          <w:color w:val="000000"/>
          <w:sz w:val="20"/>
        </w:rPr>
        <w:t xml:space="preserve"> for a</w:t>
      </w:r>
      <w:r w:rsidR="00D12AFE" w:rsidRPr="00EB572D">
        <w:rPr>
          <w:rFonts w:ascii="Arial" w:hAnsi="Arial" w:cs="Arial"/>
          <w:color w:val="000000"/>
          <w:sz w:val="20"/>
        </w:rPr>
        <w:t xml:space="preserve"> </w:t>
      </w:r>
      <w:r w:rsidR="00EA17FD" w:rsidRPr="00EB572D">
        <w:rPr>
          <w:rFonts w:ascii="Arial" w:hAnsi="Arial" w:cs="Arial"/>
          <w:color w:val="000000"/>
          <w:sz w:val="20"/>
        </w:rPr>
        <w:t xml:space="preserve">Linear Fluorescent Fixture with </w:t>
      </w:r>
      <w:r w:rsidR="00EB572D" w:rsidRPr="00EB572D">
        <w:rPr>
          <w:rFonts w:ascii="Arial" w:hAnsi="Arial" w:cs="Arial"/>
          <w:color w:val="000000"/>
          <w:sz w:val="20"/>
        </w:rPr>
        <w:t xml:space="preserve">T8 or T5 </w:t>
      </w:r>
      <w:r w:rsidR="00286B3C" w:rsidRPr="00EB572D">
        <w:rPr>
          <w:rFonts w:ascii="Arial" w:hAnsi="Arial" w:cs="Arial"/>
          <w:color w:val="000000"/>
          <w:sz w:val="20"/>
        </w:rPr>
        <w:t>lamp</w:t>
      </w:r>
      <w:r w:rsidR="00EB572D" w:rsidRPr="00EB572D">
        <w:rPr>
          <w:rFonts w:ascii="Arial" w:hAnsi="Arial" w:cs="Arial"/>
          <w:color w:val="000000"/>
          <w:sz w:val="20"/>
        </w:rPr>
        <w:t>s</w:t>
      </w:r>
      <w:r w:rsidR="00286B3C" w:rsidRPr="00EB572D">
        <w:rPr>
          <w:rFonts w:ascii="Arial" w:hAnsi="Arial" w:cs="Arial"/>
          <w:color w:val="000000"/>
          <w:sz w:val="20"/>
        </w:rPr>
        <w:t xml:space="preserve"> </w:t>
      </w:r>
    </w:p>
    <w:p w14:paraId="5EB8A2C9" w14:textId="77777777" w:rsidR="001D5155" w:rsidRDefault="001D5155" w:rsidP="001D5155">
      <w:pPr>
        <w:numPr>
          <w:ilvl w:val="0"/>
          <w:numId w:val="18"/>
        </w:numPr>
        <w:autoSpaceDE w:val="0"/>
        <w:autoSpaceDN w:val="0"/>
        <w:spacing w:line="360" w:lineRule="auto"/>
        <w:rPr>
          <w:rFonts w:ascii="Arial" w:hAnsi="Arial" w:cs="Arial"/>
          <w:color w:val="000000"/>
          <w:sz w:val="20"/>
          <w:szCs w:val="20"/>
        </w:rPr>
      </w:pPr>
      <w:r>
        <w:rPr>
          <w:rFonts w:ascii="Arial" w:hAnsi="Arial" w:cs="Arial"/>
          <w:color w:val="000000"/>
          <w:sz w:val="20"/>
          <w:szCs w:val="20"/>
        </w:rPr>
        <w:t xml:space="preserve">Must be </w:t>
      </w:r>
      <w:r w:rsidR="00077C32">
        <w:rPr>
          <w:rFonts w:ascii="Arial" w:hAnsi="Arial" w:cs="Arial"/>
          <w:color w:val="000000"/>
          <w:sz w:val="20"/>
          <w:szCs w:val="20"/>
        </w:rPr>
        <w:t>a</w:t>
      </w:r>
      <w:r>
        <w:rPr>
          <w:rFonts w:ascii="Arial" w:hAnsi="Arial" w:cs="Arial"/>
          <w:color w:val="000000"/>
          <w:sz w:val="20"/>
          <w:szCs w:val="20"/>
        </w:rPr>
        <w:t xml:space="preserve"> Design Lights Consortium (DLC) </w:t>
      </w:r>
      <w:r w:rsidR="00077C32">
        <w:rPr>
          <w:rFonts w:ascii="Arial" w:hAnsi="Arial" w:cs="Arial"/>
          <w:color w:val="000000"/>
          <w:sz w:val="20"/>
          <w:szCs w:val="20"/>
        </w:rPr>
        <w:t>approved N</w:t>
      </w:r>
      <w:r>
        <w:rPr>
          <w:rFonts w:ascii="Arial" w:hAnsi="Arial" w:cs="Arial"/>
          <w:color w:val="000000"/>
          <w:sz w:val="20"/>
          <w:szCs w:val="20"/>
        </w:rPr>
        <w:t xml:space="preserve">ew Luminaire or </w:t>
      </w:r>
      <w:r w:rsidR="000B03C9">
        <w:rPr>
          <w:rFonts w:ascii="Arial" w:hAnsi="Arial" w:cs="Arial"/>
          <w:color w:val="000000"/>
          <w:sz w:val="20"/>
          <w:szCs w:val="20"/>
        </w:rPr>
        <w:t>a</w:t>
      </w:r>
      <w:r w:rsidR="006F0984">
        <w:rPr>
          <w:rFonts w:ascii="Arial" w:hAnsi="Arial" w:cs="Arial"/>
          <w:color w:val="000000"/>
          <w:sz w:val="20"/>
          <w:szCs w:val="20"/>
        </w:rPr>
        <w:t>n Integrated</w:t>
      </w:r>
      <w:r w:rsidR="000B03C9">
        <w:rPr>
          <w:rFonts w:ascii="Arial" w:hAnsi="Arial" w:cs="Arial"/>
          <w:color w:val="000000"/>
          <w:sz w:val="20"/>
          <w:szCs w:val="20"/>
        </w:rPr>
        <w:t xml:space="preserve"> </w:t>
      </w:r>
      <w:r>
        <w:rPr>
          <w:rFonts w:ascii="Arial" w:hAnsi="Arial" w:cs="Arial"/>
          <w:color w:val="000000"/>
          <w:sz w:val="20"/>
          <w:szCs w:val="20"/>
        </w:rPr>
        <w:t>Retrofit Kit</w:t>
      </w:r>
      <w:r w:rsidR="00077C32">
        <w:rPr>
          <w:rFonts w:ascii="Arial" w:hAnsi="Arial" w:cs="Arial"/>
          <w:color w:val="000000"/>
          <w:sz w:val="20"/>
          <w:szCs w:val="20"/>
        </w:rPr>
        <w:t>, listed on the PG&amp;E qualified product list as</w:t>
      </w:r>
      <w:r>
        <w:rPr>
          <w:rFonts w:ascii="Arial" w:hAnsi="Arial" w:cs="Arial"/>
          <w:color w:val="000000"/>
          <w:sz w:val="20"/>
          <w:szCs w:val="20"/>
        </w:rPr>
        <w:t xml:space="preserve"> </w:t>
      </w:r>
      <w:r w:rsidR="00077C32">
        <w:rPr>
          <w:rFonts w:ascii="Arial" w:hAnsi="Arial" w:cs="Arial"/>
          <w:color w:val="000000"/>
          <w:sz w:val="20"/>
          <w:szCs w:val="20"/>
        </w:rPr>
        <w:t>Luminaires/</w:t>
      </w:r>
      <w:r w:rsidR="006F0984">
        <w:rPr>
          <w:rFonts w:ascii="Arial" w:hAnsi="Arial" w:cs="Arial"/>
          <w:color w:val="000000"/>
          <w:sz w:val="20"/>
          <w:szCs w:val="20"/>
        </w:rPr>
        <w:t xml:space="preserve">Integrated </w:t>
      </w:r>
      <w:r w:rsidR="00077C32">
        <w:rPr>
          <w:rFonts w:ascii="Arial" w:hAnsi="Arial" w:cs="Arial"/>
          <w:color w:val="000000"/>
          <w:sz w:val="20"/>
          <w:szCs w:val="20"/>
        </w:rPr>
        <w:t xml:space="preserve">Retrofit Kits for </w:t>
      </w:r>
      <w:r>
        <w:rPr>
          <w:rFonts w:ascii="Arial" w:hAnsi="Arial" w:cs="Arial"/>
          <w:color w:val="000000"/>
          <w:sz w:val="20"/>
          <w:szCs w:val="20"/>
        </w:rPr>
        <w:t>Ambient Lighting of Interior Commercial Spaces in one of the following sizes: 2x4, 2x2, 1x4</w:t>
      </w:r>
    </w:p>
    <w:p w14:paraId="5EB8A2CA" w14:textId="77777777" w:rsidR="004C3B88" w:rsidRDefault="004C3B88" w:rsidP="00EB572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 xml:space="preserve">Must be listed as DLC Premium by the Design Lights Consortium </w:t>
      </w:r>
    </w:p>
    <w:p w14:paraId="5EB8A2CB" w14:textId="77777777" w:rsidR="00EB572D" w:rsidRDefault="00EB572D" w:rsidP="00EB572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DLC-listed ini</w:t>
      </w:r>
      <w:r w:rsidR="008F5A5D">
        <w:rPr>
          <w:rFonts w:ascii="Arial" w:hAnsi="Arial" w:cs="Arial"/>
          <w:color w:val="000000"/>
          <w:sz w:val="20"/>
        </w:rPr>
        <w:t xml:space="preserve">tial light output must be ≥ </w:t>
      </w:r>
      <w:r>
        <w:rPr>
          <w:rFonts w:ascii="Arial" w:hAnsi="Arial" w:cs="Arial"/>
          <w:color w:val="000000"/>
          <w:sz w:val="20"/>
        </w:rPr>
        <w:t>2</w:t>
      </w:r>
      <w:r w:rsidR="008F5A5D">
        <w:rPr>
          <w:rFonts w:ascii="Arial" w:hAnsi="Arial" w:cs="Arial"/>
          <w:color w:val="000000"/>
          <w:sz w:val="20"/>
        </w:rPr>
        <w:t>200</w:t>
      </w:r>
      <w:r>
        <w:rPr>
          <w:rFonts w:ascii="Arial" w:hAnsi="Arial" w:cs="Arial"/>
          <w:color w:val="000000"/>
          <w:sz w:val="20"/>
        </w:rPr>
        <w:t xml:space="preserve"> </w:t>
      </w:r>
      <w:r w:rsidR="008F5A5D">
        <w:rPr>
          <w:rFonts w:ascii="Arial" w:hAnsi="Arial" w:cs="Arial"/>
          <w:color w:val="000000"/>
          <w:sz w:val="20"/>
        </w:rPr>
        <w:t>lm and ≤</w:t>
      </w:r>
      <w:r>
        <w:rPr>
          <w:rFonts w:ascii="Arial" w:hAnsi="Arial" w:cs="Arial"/>
          <w:color w:val="000000"/>
          <w:sz w:val="20"/>
        </w:rPr>
        <w:t xml:space="preserve"> 650</w:t>
      </w:r>
      <w:r w:rsidR="008F5A5D">
        <w:rPr>
          <w:rFonts w:ascii="Arial" w:hAnsi="Arial" w:cs="Arial"/>
          <w:color w:val="000000"/>
          <w:sz w:val="20"/>
        </w:rPr>
        <w:t>0</w:t>
      </w:r>
      <w:r>
        <w:rPr>
          <w:rFonts w:ascii="Arial" w:hAnsi="Arial" w:cs="Arial"/>
          <w:color w:val="000000"/>
          <w:sz w:val="20"/>
        </w:rPr>
        <w:t xml:space="preserve"> lm</w:t>
      </w:r>
    </w:p>
    <w:p w14:paraId="5EB8A2CC" w14:textId="77777777" w:rsidR="00EB572D" w:rsidRDefault="00077C32" w:rsidP="0037707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Linear</w:t>
      </w:r>
      <w:r w:rsidR="00EB572D">
        <w:rPr>
          <w:rFonts w:ascii="Arial" w:hAnsi="Arial" w:cs="Arial"/>
          <w:color w:val="000000"/>
          <w:sz w:val="20"/>
        </w:rPr>
        <w:t xml:space="preserve"> LED </w:t>
      </w:r>
      <w:r>
        <w:rPr>
          <w:rFonts w:ascii="Arial" w:hAnsi="Arial" w:cs="Arial"/>
          <w:color w:val="000000"/>
          <w:sz w:val="20"/>
        </w:rPr>
        <w:t>replacement lamps</w:t>
      </w:r>
      <w:r w:rsidR="00EB572D">
        <w:rPr>
          <w:rFonts w:ascii="Arial" w:hAnsi="Arial" w:cs="Arial"/>
          <w:color w:val="000000"/>
          <w:sz w:val="20"/>
        </w:rPr>
        <w:t xml:space="preserve"> do not qualify</w:t>
      </w:r>
    </w:p>
    <w:p w14:paraId="5EB8A2CD" w14:textId="77777777" w:rsidR="007A7EF5" w:rsidRPr="009A72B0" w:rsidRDefault="007A7EF5" w:rsidP="0037707D">
      <w:pPr>
        <w:widowControl w:val="0"/>
        <w:numPr>
          <w:ilvl w:val="0"/>
          <w:numId w:val="18"/>
        </w:numPr>
        <w:autoSpaceDE w:val="0"/>
        <w:autoSpaceDN w:val="0"/>
        <w:adjustRightInd w:val="0"/>
        <w:spacing w:line="360" w:lineRule="auto"/>
        <w:rPr>
          <w:rFonts w:ascii="Arial" w:hAnsi="Arial" w:cs="Arial"/>
          <w:sz w:val="20"/>
        </w:rPr>
      </w:pPr>
      <w:r w:rsidRPr="009A72B0">
        <w:rPr>
          <w:rFonts w:ascii="Arial" w:hAnsi="Arial" w:cs="Arial"/>
          <w:sz w:val="20"/>
        </w:rPr>
        <w:t>LED Linear Retrofit kits on the PG&amp;E QPL do not qualify.</w:t>
      </w:r>
    </w:p>
    <w:p w14:paraId="5EB8A2CE" w14:textId="77777777" w:rsidR="00EB572D" w:rsidRPr="00EB572D" w:rsidRDefault="00077C32" w:rsidP="00EB572D">
      <w:pPr>
        <w:widowControl w:val="0"/>
        <w:numPr>
          <w:ilvl w:val="0"/>
          <w:numId w:val="18"/>
        </w:numPr>
        <w:autoSpaceDE w:val="0"/>
        <w:autoSpaceDN w:val="0"/>
        <w:adjustRightInd w:val="0"/>
        <w:spacing w:line="360" w:lineRule="auto"/>
        <w:rPr>
          <w:rFonts w:ascii="Arial" w:hAnsi="Arial" w:cs="Arial"/>
          <w:color w:val="000000"/>
          <w:sz w:val="20"/>
        </w:rPr>
      </w:pPr>
      <w:r w:rsidRPr="009A72B0">
        <w:rPr>
          <w:rFonts w:ascii="Arial" w:hAnsi="Arial" w:cs="Arial"/>
          <w:sz w:val="20"/>
        </w:rPr>
        <w:t xml:space="preserve">Only </w:t>
      </w:r>
      <w:r w:rsidR="00EB572D" w:rsidRPr="009A72B0">
        <w:rPr>
          <w:rFonts w:ascii="Arial" w:hAnsi="Arial" w:cs="Arial"/>
          <w:sz w:val="20"/>
        </w:rPr>
        <w:t xml:space="preserve">Fixtures and </w:t>
      </w:r>
      <w:r w:rsidRPr="009A72B0">
        <w:rPr>
          <w:rFonts w:ascii="Arial" w:hAnsi="Arial" w:cs="Arial"/>
          <w:sz w:val="20"/>
        </w:rPr>
        <w:t xml:space="preserve">Retrofit </w:t>
      </w:r>
      <w:r w:rsidR="00EB572D" w:rsidRPr="009A72B0">
        <w:rPr>
          <w:rFonts w:ascii="Arial" w:hAnsi="Arial" w:cs="Arial"/>
          <w:sz w:val="20"/>
        </w:rPr>
        <w:t>kits that</w:t>
      </w:r>
      <w:r w:rsidR="009A72B0">
        <w:rPr>
          <w:rFonts w:ascii="Arial" w:hAnsi="Arial" w:cs="Arial"/>
          <w:sz w:val="20"/>
        </w:rPr>
        <w:t xml:space="preserve"> </w:t>
      </w:r>
      <w:r w:rsidR="007A7EF5" w:rsidRPr="009A72B0">
        <w:rPr>
          <w:rFonts w:ascii="Arial" w:hAnsi="Arial" w:cs="Arial"/>
          <w:sz w:val="20"/>
        </w:rPr>
        <w:t>include new</w:t>
      </w:r>
      <w:r w:rsidR="007A7EF5" w:rsidRPr="007A7EF5">
        <w:rPr>
          <w:rFonts w:ascii="Arial" w:hAnsi="Arial" w:cs="Arial"/>
          <w:color w:val="FF0000"/>
          <w:sz w:val="20"/>
        </w:rPr>
        <w:t xml:space="preserve"> </w:t>
      </w:r>
      <w:r w:rsidR="00EB572D" w:rsidRPr="00EB572D">
        <w:rPr>
          <w:rFonts w:ascii="Arial" w:hAnsi="Arial" w:cs="Arial"/>
          <w:color w:val="000000"/>
          <w:sz w:val="20"/>
        </w:rPr>
        <w:t>lenses between the LED package and the viewer qualify.</w:t>
      </w:r>
    </w:p>
    <w:p w14:paraId="5EB8A2CF" w14:textId="77777777" w:rsidR="0037707D" w:rsidRDefault="0044620E" w:rsidP="0037707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sz w:val="20"/>
          <w:szCs w:val="20"/>
        </w:rPr>
        <w:t xml:space="preserve">Self-ballasted </w:t>
      </w:r>
      <w:r w:rsidR="00EB572D">
        <w:rPr>
          <w:rFonts w:ascii="Arial" w:hAnsi="Arial" w:cs="Arial"/>
          <w:sz w:val="20"/>
          <w:szCs w:val="20"/>
        </w:rPr>
        <w:t xml:space="preserve">or </w:t>
      </w:r>
      <w:r>
        <w:rPr>
          <w:rFonts w:ascii="Arial" w:hAnsi="Arial" w:cs="Arial"/>
          <w:sz w:val="20"/>
          <w:szCs w:val="20"/>
        </w:rPr>
        <w:t>screw-based lamps do not qualify.</w:t>
      </w:r>
      <w:r w:rsidR="00D12AFE">
        <w:rPr>
          <w:rFonts w:ascii="Arial" w:hAnsi="Arial" w:cs="Arial"/>
          <w:color w:val="000000"/>
          <w:sz w:val="20"/>
        </w:rPr>
        <w:t xml:space="preserve"> </w:t>
      </w:r>
    </w:p>
    <w:p w14:paraId="5EB8A2D0" w14:textId="77777777" w:rsidR="00EB572D" w:rsidRPr="00EB572D" w:rsidRDefault="00EB572D" w:rsidP="00EB572D">
      <w:pPr>
        <w:widowControl w:val="0"/>
        <w:numPr>
          <w:ilvl w:val="0"/>
          <w:numId w:val="18"/>
        </w:numPr>
        <w:autoSpaceDE w:val="0"/>
        <w:autoSpaceDN w:val="0"/>
        <w:adjustRightInd w:val="0"/>
        <w:spacing w:line="360" w:lineRule="auto"/>
        <w:rPr>
          <w:rFonts w:ascii="Arial" w:hAnsi="Arial" w:cs="Arial"/>
          <w:color w:val="000000"/>
          <w:sz w:val="20"/>
        </w:rPr>
      </w:pPr>
      <w:r w:rsidRPr="00EB572D">
        <w:rPr>
          <w:rFonts w:ascii="Arial" w:hAnsi="Arial" w:cs="Arial"/>
          <w:color w:val="000000"/>
          <w:sz w:val="20"/>
        </w:rPr>
        <w:t>5-year warranty minimum</w:t>
      </w:r>
    </w:p>
    <w:p w14:paraId="5EB8A2D1" w14:textId="77777777" w:rsidR="00EB572D" w:rsidRDefault="00F36736" w:rsidP="00F36736">
      <w:pPr>
        <w:widowControl w:val="0"/>
        <w:numPr>
          <w:ilvl w:val="0"/>
          <w:numId w:val="18"/>
        </w:numPr>
        <w:autoSpaceDE w:val="0"/>
        <w:autoSpaceDN w:val="0"/>
        <w:adjustRightInd w:val="0"/>
        <w:spacing w:line="360" w:lineRule="auto"/>
        <w:rPr>
          <w:rFonts w:ascii="Arial" w:hAnsi="Arial" w:cs="Arial"/>
          <w:color w:val="000000"/>
          <w:sz w:val="20"/>
        </w:rPr>
      </w:pPr>
      <w:r w:rsidRPr="00F36736">
        <w:rPr>
          <w:rFonts w:ascii="Arial" w:hAnsi="Arial" w:cs="Arial"/>
          <w:color w:val="000000"/>
          <w:sz w:val="20"/>
        </w:rPr>
        <w:t>Must meet the minimum efficacy requirements listed in Table 1.</w:t>
      </w:r>
    </w:p>
    <w:p w14:paraId="5EB8A2D2" w14:textId="77777777" w:rsidR="00D151D0" w:rsidRDefault="00D151D0" w:rsidP="00381702">
      <w:pPr>
        <w:pStyle w:val="Caption"/>
        <w:ind w:left="216"/>
        <w:jc w:val="center"/>
      </w:pPr>
    </w:p>
    <w:p w14:paraId="5EB8A2D3" w14:textId="77777777" w:rsidR="00BF5F96" w:rsidRDefault="00BF5F96" w:rsidP="00381702">
      <w:pPr>
        <w:pStyle w:val="Caption"/>
        <w:ind w:left="216"/>
        <w:jc w:val="center"/>
      </w:pPr>
      <w:bookmarkStart w:id="13" w:name="_Toc468795519"/>
      <w:r>
        <w:t xml:space="preserve">Table </w:t>
      </w:r>
      <w:fldSimple w:instr=" SEQ Table \* ARABIC ">
        <w:r w:rsidR="00264804">
          <w:rPr>
            <w:noProof/>
          </w:rPr>
          <w:t>1</w:t>
        </w:r>
      </w:fldSimple>
      <w:r>
        <w:t xml:space="preserve"> -</w:t>
      </w:r>
      <w:r w:rsidRPr="00E97091">
        <w:t xml:space="preserve"> </w:t>
      </w:r>
      <w:r>
        <w:t>LED Ambient Commercial Fixtures &amp; Retrofit Kits Minimum Measure Efficacies</w:t>
      </w:r>
      <w:bookmarkEnd w:id="13"/>
    </w:p>
    <w:tbl>
      <w:tblPr>
        <w:tblW w:w="8100" w:type="dxa"/>
        <w:jc w:val="center"/>
        <w:tblInd w:w="378" w:type="dxa"/>
        <w:tblLook w:val="04A0" w:firstRow="1" w:lastRow="0" w:firstColumn="1" w:lastColumn="0" w:noHBand="0" w:noVBand="1"/>
      </w:tblPr>
      <w:tblGrid>
        <w:gridCol w:w="960"/>
        <w:gridCol w:w="7140"/>
      </w:tblGrid>
      <w:tr w:rsidR="009A72B0" w14:paraId="5EB8A2D6" w14:textId="77777777" w:rsidTr="004C3B88">
        <w:trPr>
          <w:trHeight w:val="230"/>
          <w:jc w:val="center"/>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B8A2D4" w14:textId="77777777" w:rsidR="009A72B0" w:rsidRPr="00D151D0" w:rsidRDefault="009A72B0">
            <w:pPr>
              <w:jc w:val="center"/>
              <w:rPr>
                <w:rFonts w:ascii="Arial" w:hAnsi="Arial" w:cs="Arial"/>
                <w:sz w:val="16"/>
                <w:szCs w:val="16"/>
              </w:rPr>
            </w:pPr>
            <w:r w:rsidRPr="00D151D0">
              <w:rPr>
                <w:rFonts w:ascii="Arial" w:hAnsi="Arial" w:cs="Arial"/>
                <w:sz w:val="16"/>
                <w:szCs w:val="16"/>
              </w:rPr>
              <w:t>LT042</w:t>
            </w:r>
          </w:p>
        </w:tc>
        <w:tc>
          <w:tcPr>
            <w:tcW w:w="7140" w:type="dxa"/>
            <w:tcBorders>
              <w:top w:val="single" w:sz="4" w:space="0" w:color="auto"/>
              <w:left w:val="nil"/>
              <w:bottom w:val="single" w:sz="4" w:space="0" w:color="auto"/>
              <w:right w:val="single" w:sz="4" w:space="0" w:color="auto"/>
            </w:tcBorders>
            <w:shd w:val="clear" w:color="000000" w:fill="FFFFFF"/>
            <w:noWrap/>
            <w:vAlign w:val="bottom"/>
            <w:hideMark/>
          </w:tcPr>
          <w:p w14:paraId="5EB8A2D5" w14:textId="77777777" w:rsidR="009A72B0" w:rsidRPr="00D151D0" w:rsidRDefault="009A72B0">
            <w:pPr>
              <w:rPr>
                <w:rFonts w:ascii="Arial" w:hAnsi="Arial" w:cs="Arial"/>
                <w:sz w:val="16"/>
                <w:szCs w:val="16"/>
              </w:rPr>
            </w:pPr>
            <w:r w:rsidRPr="00D151D0">
              <w:rPr>
                <w:rFonts w:ascii="Arial" w:hAnsi="Arial" w:cs="Arial"/>
                <w:sz w:val="16"/>
                <w:szCs w:val="16"/>
              </w:rPr>
              <w:t>2x4 LED new Luminaire rated ≥110 and &lt;125 LPW, Ambient Interior Commercial Spaces</w:t>
            </w:r>
          </w:p>
        </w:tc>
      </w:tr>
      <w:tr w:rsidR="009A72B0" w14:paraId="5EB8A2D9" w14:textId="77777777"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B8A2D7" w14:textId="77777777" w:rsidR="009A72B0" w:rsidRPr="00D151D0" w:rsidRDefault="009A72B0">
            <w:pPr>
              <w:jc w:val="center"/>
              <w:rPr>
                <w:rFonts w:ascii="Arial" w:hAnsi="Arial" w:cs="Arial"/>
                <w:sz w:val="16"/>
                <w:szCs w:val="16"/>
              </w:rPr>
            </w:pPr>
            <w:r w:rsidRPr="00D151D0">
              <w:rPr>
                <w:rFonts w:ascii="Arial" w:hAnsi="Arial" w:cs="Arial"/>
                <w:sz w:val="16"/>
                <w:szCs w:val="16"/>
              </w:rPr>
              <w:t>LT043</w:t>
            </w:r>
          </w:p>
        </w:tc>
        <w:tc>
          <w:tcPr>
            <w:tcW w:w="7140" w:type="dxa"/>
            <w:tcBorders>
              <w:top w:val="nil"/>
              <w:left w:val="nil"/>
              <w:bottom w:val="single" w:sz="4" w:space="0" w:color="auto"/>
              <w:right w:val="single" w:sz="4" w:space="0" w:color="auto"/>
            </w:tcBorders>
            <w:shd w:val="clear" w:color="000000" w:fill="FFFFFF"/>
            <w:noWrap/>
            <w:vAlign w:val="bottom"/>
            <w:hideMark/>
          </w:tcPr>
          <w:p w14:paraId="5EB8A2D8" w14:textId="77777777" w:rsidR="009A72B0" w:rsidRPr="00D151D0" w:rsidRDefault="009A72B0">
            <w:pPr>
              <w:rPr>
                <w:rFonts w:ascii="Arial" w:hAnsi="Arial" w:cs="Arial"/>
                <w:sz w:val="16"/>
                <w:szCs w:val="16"/>
              </w:rPr>
            </w:pPr>
            <w:r w:rsidRPr="00D151D0">
              <w:rPr>
                <w:rFonts w:ascii="Arial" w:hAnsi="Arial" w:cs="Arial"/>
                <w:sz w:val="16"/>
                <w:szCs w:val="16"/>
              </w:rPr>
              <w:t>2x4 LED new Luminaire rated ≥125 LPW, Ambient Interior Commercial Spaces</w:t>
            </w:r>
          </w:p>
        </w:tc>
      </w:tr>
      <w:tr w:rsidR="009A72B0" w14:paraId="5EB8A2DC" w14:textId="77777777"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B8A2DA" w14:textId="77777777" w:rsidR="009A72B0" w:rsidRPr="00D151D0" w:rsidRDefault="009A72B0">
            <w:pPr>
              <w:jc w:val="center"/>
              <w:rPr>
                <w:rFonts w:ascii="Arial" w:hAnsi="Arial" w:cs="Arial"/>
                <w:sz w:val="16"/>
                <w:szCs w:val="16"/>
              </w:rPr>
            </w:pPr>
            <w:r w:rsidRPr="00D151D0">
              <w:rPr>
                <w:rFonts w:ascii="Arial" w:hAnsi="Arial" w:cs="Arial"/>
                <w:sz w:val="16"/>
                <w:szCs w:val="16"/>
              </w:rPr>
              <w:t>LT046</w:t>
            </w:r>
          </w:p>
        </w:tc>
        <w:tc>
          <w:tcPr>
            <w:tcW w:w="7140" w:type="dxa"/>
            <w:tcBorders>
              <w:top w:val="nil"/>
              <w:left w:val="nil"/>
              <w:bottom w:val="single" w:sz="4" w:space="0" w:color="auto"/>
              <w:right w:val="single" w:sz="4" w:space="0" w:color="auto"/>
            </w:tcBorders>
            <w:shd w:val="clear" w:color="000000" w:fill="FFFFFF"/>
            <w:noWrap/>
            <w:vAlign w:val="bottom"/>
            <w:hideMark/>
          </w:tcPr>
          <w:p w14:paraId="5EB8A2DB" w14:textId="77777777" w:rsidR="009A72B0" w:rsidRPr="00D151D0" w:rsidRDefault="009A72B0">
            <w:pPr>
              <w:rPr>
                <w:rFonts w:ascii="Arial" w:hAnsi="Arial" w:cs="Arial"/>
                <w:sz w:val="16"/>
                <w:szCs w:val="16"/>
              </w:rPr>
            </w:pPr>
            <w:r w:rsidRPr="00D151D0">
              <w:rPr>
                <w:rFonts w:ascii="Arial" w:hAnsi="Arial" w:cs="Arial"/>
                <w:sz w:val="16"/>
                <w:szCs w:val="16"/>
              </w:rPr>
              <w:t>2x2 LED new Luminaire rated ≥110 and &lt;125 LPW, Ambient Interior Commercial Spaces</w:t>
            </w:r>
          </w:p>
        </w:tc>
      </w:tr>
      <w:tr w:rsidR="009A72B0" w14:paraId="5EB8A2DF" w14:textId="77777777"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B8A2DD" w14:textId="77777777" w:rsidR="009A72B0" w:rsidRPr="00D151D0" w:rsidRDefault="009A72B0">
            <w:pPr>
              <w:jc w:val="center"/>
              <w:rPr>
                <w:rFonts w:ascii="Arial" w:hAnsi="Arial" w:cs="Arial"/>
                <w:sz w:val="16"/>
                <w:szCs w:val="16"/>
              </w:rPr>
            </w:pPr>
            <w:r w:rsidRPr="00D151D0">
              <w:rPr>
                <w:rFonts w:ascii="Arial" w:hAnsi="Arial" w:cs="Arial"/>
                <w:sz w:val="16"/>
                <w:szCs w:val="16"/>
              </w:rPr>
              <w:t>LT047</w:t>
            </w:r>
          </w:p>
        </w:tc>
        <w:tc>
          <w:tcPr>
            <w:tcW w:w="7140" w:type="dxa"/>
            <w:tcBorders>
              <w:top w:val="nil"/>
              <w:left w:val="nil"/>
              <w:bottom w:val="single" w:sz="4" w:space="0" w:color="auto"/>
              <w:right w:val="single" w:sz="4" w:space="0" w:color="auto"/>
            </w:tcBorders>
            <w:shd w:val="clear" w:color="000000" w:fill="FFFFFF"/>
            <w:noWrap/>
            <w:vAlign w:val="bottom"/>
            <w:hideMark/>
          </w:tcPr>
          <w:p w14:paraId="5EB8A2DE" w14:textId="77777777" w:rsidR="009A72B0" w:rsidRPr="00D151D0" w:rsidRDefault="009A72B0">
            <w:pPr>
              <w:rPr>
                <w:rFonts w:ascii="Arial" w:hAnsi="Arial" w:cs="Arial"/>
                <w:sz w:val="16"/>
                <w:szCs w:val="16"/>
              </w:rPr>
            </w:pPr>
            <w:r w:rsidRPr="00D151D0">
              <w:rPr>
                <w:rFonts w:ascii="Arial" w:hAnsi="Arial" w:cs="Arial"/>
                <w:sz w:val="16"/>
                <w:szCs w:val="16"/>
              </w:rPr>
              <w:t>2x2 LED new Luminaire rated ≥125 LPW, Ambient Interior Commercial Spaces</w:t>
            </w:r>
          </w:p>
        </w:tc>
      </w:tr>
      <w:tr w:rsidR="009A72B0" w14:paraId="5EB8A2E2" w14:textId="77777777"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B8A2E0" w14:textId="77777777" w:rsidR="009A72B0" w:rsidRPr="00D151D0" w:rsidRDefault="009A72B0">
            <w:pPr>
              <w:jc w:val="center"/>
              <w:rPr>
                <w:rFonts w:ascii="Arial" w:hAnsi="Arial" w:cs="Arial"/>
                <w:sz w:val="16"/>
                <w:szCs w:val="16"/>
              </w:rPr>
            </w:pPr>
            <w:r w:rsidRPr="00D151D0">
              <w:rPr>
                <w:rFonts w:ascii="Arial" w:hAnsi="Arial" w:cs="Arial"/>
                <w:sz w:val="16"/>
                <w:szCs w:val="16"/>
              </w:rPr>
              <w:t>LT050</w:t>
            </w:r>
          </w:p>
        </w:tc>
        <w:tc>
          <w:tcPr>
            <w:tcW w:w="7140" w:type="dxa"/>
            <w:tcBorders>
              <w:top w:val="nil"/>
              <w:left w:val="nil"/>
              <w:bottom w:val="single" w:sz="4" w:space="0" w:color="auto"/>
              <w:right w:val="single" w:sz="4" w:space="0" w:color="auto"/>
            </w:tcBorders>
            <w:shd w:val="clear" w:color="000000" w:fill="FFFFFF"/>
            <w:noWrap/>
            <w:vAlign w:val="bottom"/>
            <w:hideMark/>
          </w:tcPr>
          <w:p w14:paraId="5EB8A2E1" w14:textId="77777777" w:rsidR="009A72B0" w:rsidRPr="00D151D0" w:rsidRDefault="009A72B0">
            <w:pPr>
              <w:rPr>
                <w:rFonts w:ascii="Arial" w:hAnsi="Arial" w:cs="Arial"/>
                <w:sz w:val="16"/>
                <w:szCs w:val="16"/>
              </w:rPr>
            </w:pPr>
            <w:r w:rsidRPr="00D151D0">
              <w:rPr>
                <w:rFonts w:ascii="Arial" w:hAnsi="Arial" w:cs="Arial"/>
                <w:sz w:val="16"/>
                <w:szCs w:val="16"/>
              </w:rPr>
              <w:t>1x4 LED new Luminaire rated ≥110 and &lt;125 LPW, Ambient Interior Commercial Spaces</w:t>
            </w:r>
          </w:p>
        </w:tc>
      </w:tr>
      <w:tr w:rsidR="009A72B0" w14:paraId="5EB8A2E5" w14:textId="77777777"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B8A2E3" w14:textId="77777777" w:rsidR="009A72B0" w:rsidRPr="00D151D0" w:rsidRDefault="009A72B0">
            <w:pPr>
              <w:jc w:val="center"/>
              <w:rPr>
                <w:rFonts w:ascii="Arial" w:hAnsi="Arial" w:cs="Arial"/>
                <w:sz w:val="16"/>
                <w:szCs w:val="16"/>
              </w:rPr>
            </w:pPr>
            <w:r w:rsidRPr="00D151D0">
              <w:rPr>
                <w:rFonts w:ascii="Arial" w:hAnsi="Arial" w:cs="Arial"/>
                <w:sz w:val="16"/>
                <w:szCs w:val="16"/>
              </w:rPr>
              <w:t>LT051</w:t>
            </w:r>
          </w:p>
        </w:tc>
        <w:tc>
          <w:tcPr>
            <w:tcW w:w="7140" w:type="dxa"/>
            <w:tcBorders>
              <w:top w:val="nil"/>
              <w:left w:val="nil"/>
              <w:bottom w:val="single" w:sz="4" w:space="0" w:color="auto"/>
              <w:right w:val="single" w:sz="4" w:space="0" w:color="auto"/>
            </w:tcBorders>
            <w:shd w:val="clear" w:color="000000" w:fill="FFFFFF"/>
            <w:noWrap/>
            <w:vAlign w:val="bottom"/>
            <w:hideMark/>
          </w:tcPr>
          <w:p w14:paraId="5EB8A2E4" w14:textId="77777777" w:rsidR="009A72B0" w:rsidRPr="00D151D0" w:rsidRDefault="009A72B0">
            <w:pPr>
              <w:rPr>
                <w:rFonts w:ascii="Arial" w:hAnsi="Arial" w:cs="Arial"/>
                <w:sz w:val="16"/>
                <w:szCs w:val="16"/>
              </w:rPr>
            </w:pPr>
            <w:r w:rsidRPr="00D151D0">
              <w:rPr>
                <w:rFonts w:ascii="Arial" w:hAnsi="Arial" w:cs="Arial"/>
                <w:sz w:val="16"/>
                <w:szCs w:val="16"/>
              </w:rPr>
              <w:t>1x4 LED new Luminaire rated ≥125 LPW, Ambient Interior Commercial Spaces</w:t>
            </w:r>
          </w:p>
        </w:tc>
      </w:tr>
      <w:tr w:rsidR="009A72B0" w14:paraId="5EB8A2E8" w14:textId="77777777"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B8A2E6" w14:textId="77777777" w:rsidR="009A72B0" w:rsidRPr="00D151D0" w:rsidRDefault="009A72B0">
            <w:pPr>
              <w:jc w:val="center"/>
              <w:rPr>
                <w:rFonts w:ascii="Arial" w:hAnsi="Arial" w:cs="Arial"/>
                <w:sz w:val="16"/>
                <w:szCs w:val="16"/>
              </w:rPr>
            </w:pPr>
            <w:r w:rsidRPr="00D151D0">
              <w:rPr>
                <w:rFonts w:ascii="Arial" w:hAnsi="Arial" w:cs="Arial"/>
                <w:sz w:val="16"/>
                <w:szCs w:val="16"/>
              </w:rPr>
              <w:t>LT054</w:t>
            </w:r>
          </w:p>
        </w:tc>
        <w:tc>
          <w:tcPr>
            <w:tcW w:w="7140" w:type="dxa"/>
            <w:tcBorders>
              <w:top w:val="nil"/>
              <w:left w:val="nil"/>
              <w:bottom w:val="single" w:sz="4" w:space="0" w:color="auto"/>
              <w:right w:val="single" w:sz="4" w:space="0" w:color="auto"/>
            </w:tcBorders>
            <w:shd w:val="clear" w:color="000000" w:fill="FFFFFF"/>
            <w:noWrap/>
            <w:vAlign w:val="bottom"/>
            <w:hideMark/>
          </w:tcPr>
          <w:p w14:paraId="5EB8A2E7" w14:textId="77777777" w:rsidR="009A72B0" w:rsidRPr="00D151D0" w:rsidRDefault="009A72B0">
            <w:pPr>
              <w:rPr>
                <w:rFonts w:ascii="Arial" w:hAnsi="Arial" w:cs="Arial"/>
                <w:sz w:val="16"/>
                <w:szCs w:val="16"/>
              </w:rPr>
            </w:pPr>
            <w:r w:rsidRPr="00D151D0">
              <w:rPr>
                <w:rFonts w:ascii="Arial" w:hAnsi="Arial" w:cs="Arial"/>
                <w:sz w:val="16"/>
                <w:szCs w:val="16"/>
              </w:rPr>
              <w:t>2x4 LED Integrated retrofit kit rated ≥110 and &lt;125 LPW, Ambient Interior Commercial Spaces</w:t>
            </w:r>
          </w:p>
        </w:tc>
      </w:tr>
      <w:tr w:rsidR="009A72B0" w14:paraId="5EB8A2EB" w14:textId="77777777"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B8A2E9" w14:textId="77777777" w:rsidR="009A72B0" w:rsidRPr="00D151D0" w:rsidRDefault="009A72B0">
            <w:pPr>
              <w:jc w:val="center"/>
              <w:rPr>
                <w:rFonts w:ascii="Arial" w:hAnsi="Arial" w:cs="Arial"/>
                <w:sz w:val="16"/>
                <w:szCs w:val="16"/>
              </w:rPr>
            </w:pPr>
            <w:r w:rsidRPr="00D151D0">
              <w:rPr>
                <w:rFonts w:ascii="Arial" w:hAnsi="Arial" w:cs="Arial"/>
                <w:sz w:val="16"/>
                <w:szCs w:val="16"/>
              </w:rPr>
              <w:t>LT055</w:t>
            </w:r>
          </w:p>
        </w:tc>
        <w:tc>
          <w:tcPr>
            <w:tcW w:w="7140" w:type="dxa"/>
            <w:tcBorders>
              <w:top w:val="nil"/>
              <w:left w:val="nil"/>
              <w:bottom w:val="single" w:sz="4" w:space="0" w:color="auto"/>
              <w:right w:val="single" w:sz="4" w:space="0" w:color="auto"/>
            </w:tcBorders>
            <w:shd w:val="clear" w:color="000000" w:fill="FFFFFF"/>
            <w:noWrap/>
            <w:vAlign w:val="bottom"/>
            <w:hideMark/>
          </w:tcPr>
          <w:p w14:paraId="5EB8A2EA" w14:textId="77777777" w:rsidR="009A72B0" w:rsidRPr="00D151D0" w:rsidRDefault="009A72B0">
            <w:pPr>
              <w:rPr>
                <w:rFonts w:ascii="Arial" w:hAnsi="Arial" w:cs="Arial"/>
                <w:sz w:val="16"/>
                <w:szCs w:val="16"/>
              </w:rPr>
            </w:pPr>
            <w:r w:rsidRPr="00D151D0">
              <w:rPr>
                <w:rFonts w:ascii="Arial" w:hAnsi="Arial" w:cs="Arial"/>
                <w:sz w:val="16"/>
                <w:szCs w:val="16"/>
              </w:rPr>
              <w:t>2x4 LED Integrated retrofit kit rated ≥125 LPW, Ambient Interior Commercial Spaces</w:t>
            </w:r>
          </w:p>
        </w:tc>
      </w:tr>
      <w:tr w:rsidR="009A72B0" w14:paraId="5EB8A2EE" w14:textId="77777777"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B8A2EC" w14:textId="77777777" w:rsidR="009A72B0" w:rsidRPr="00D151D0" w:rsidRDefault="009A72B0">
            <w:pPr>
              <w:jc w:val="center"/>
              <w:rPr>
                <w:rFonts w:ascii="Arial" w:hAnsi="Arial" w:cs="Arial"/>
                <w:sz w:val="16"/>
                <w:szCs w:val="16"/>
              </w:rPr>
            </w:pPr>
            <w:r w:rsidRPr="00D151D0">
              <w:rPr>
                <w:rFonts w:ascii="Arial" w:hAnsi="Arial" w:cs="Arial"/>
                <w:sz w:val="16"/>
                <w:szCs w:val="16"/>
              </w:rPr>
              <w:t>LT058</w:t>
            </w:r>
          </w:p>
        </w:tc>
        <w:tc>
          <w:tcPr>
            <w:tcW w:w="7140" w:type="dxa"/>
            <w:tcBorders>
              <w:top w:val="nil"/>
              <w:left w:val="nil"/>
              <w:bottom w:val="single" w:sz="4" w:space="0" w:color="auto"/>
              <w:right w:val="single" w:sz="4" w:space="0" w:color="auto"/>
            </w:tcBorders>
            <w:shd w:val="clear" w:color="000000" w:fill="FFFFFF"/>
            <w:noWrap/>
            <w:vAlign w:val="bottom"/>
            <w:hideMark/>
          </w:tcPr>
          <w:p w14:paraId="5EB8A2ED" w14:textId="77777777" w:rsidR="009A72B0" w:rsidRPr="00D151D0" w:rsidRDefault="009A72B0">
            <w:pPr>
              <w:rPr>
                <w:rFonts w:ascii="Arial" w:hAnsi="Arial" w:cs="Arial"/>
                <w:sz w:val="16"/>
                <w:szCs w:val="16"/>
              </w:rPr>
            </w:pPr>
            <w:r w:rsidRPr="00D151D0">
              <w:rPr>
                <w:rFonts w:ascii="Arial" w:hAnsi="Arial" w:cs="Arial"/>
                <w:sz w:val="16"/>
                <w:szCs w:val="16"/>
              </w:rPr>
              <w:t>2x2 LED Integrated retrofit kit rated ≥110 and &lt;125 LPW, Ambient Interior Commercial Spaces</w:t>
            </w:r>
          </w:p>
        </w:tc>
      </w:tr>
      <w:tr w:rsidR="009A72B0" w14:paraId="5EB8A2F1" w14:textId="77777777"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B8A2EF" w14:textId="77777777" w:rsidR="009A72B0" w:rsidRPr="00D151D0" w:rsidRDefault="009A72B0">
            <w:pPr>
              <w:jc w:val="center"/>
              <w:rPr>
                <w:rFonts w:ascii="Arial" w:hAnsi="Arial" w:cs="Arial"/>
                <w:sz w:val="16"/>
                <w:szCs w:val="16"/>
              </w:rPr>
            </w:pPr>
            <w:r w:rsidRPr="00D151D0">
              <w:rPr>
                <w:rFonts w:ascii="Arial" w:hAnsi="Arial" w:cs="Arial"/>
                <w:sz w:val="16"/>
                <w:szCs w:val="16"/>
              </w:rPr>
              <w:t>LT059</w:t>
            </w:r>
          </w:p>
        </w:tc>
        <w:tc>
          <w:tcPr>
            <w:tcW w:w="7140" w:type="dxa"/>
            <w:tcBorders>
              <w:top w:val="nil"/>
              <w:left w:val="nil"/>
              <w:bottom w:val="single" w:sz="4" w:space="0" w:color="auto"/>
              <w:right w:val="single" w:sz="4" w:space="0" w:color="auto"/>
            </w:tcBorders>
            <w:shd w:val="clear" w:color="000000" w:fill="FFFFFF"/>
            <w:noWrap/>
            <w:vAlign w:val="bottom"/>
            <w:hideMark/>
          </w:tcPr>
          <w:p w14:paraId="5EB8A2F0" w14:textId="77777777" w:rsidR="009A72B0" w:rsidRPr="00D151D0" w:rsidRDefault="009A72B0">
            <w:pPr>
              <w:rPr>
                <w:rFonts w:ascii="Arial" w:hAnsi="Arial" w:cs="Arial"/>
                <w:sz w:val="16"/>
                <w:szCs w:val="16"/>
              </w:rPr>
            </w:pPr>
            <w:r w:rsidRPr="00D151D0">
              <w:rPr>
                <w:rFonts w:ascii="Arial" w:hAnsi="Arial" w:cs="Arial"/>
                <w:sz w:val="16"/>
                <w:szCs w:val="16"/>
              </w:rPr>
              <w:t>2x2 LED Integrated retrofit kit rated ≥125 LPW, Ambient Interior Commercial Spaces</w:t>
            </w:r>
          </w:p>
        </w:tc>
      </w:tr>
      <w:tr w:rsidR="009A72B0" w14:paraId="5EB8A2F4" w14:textId="77777777"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B8A2F2" w14:textId="77777777" w:rsidR="009A72B0" w:rsidRPr="00D151D0" w:rsidRDefault="009A72B0">
            <w:pPr>
              <w:jc w:val="center"/>
              <w:rPr>
                <w:rFonts w:ascii="Arial" w:hAnsi="Arial" w:cs="Arial"/>
                <w:sz w:val="16"/>
                <w:szCs w:val="16"/>
              </w:rPr>
            </w:pPr>
            <w:r w:rsidRPr="00D151D0">
              <w:rPr>
                <w:rFonts w:ascii="Arial" w:hAnsi="Arial" w:cs="Arial"/>
                <w:sz w:val="16"/>
                <w:szCs w:val="16"/>
              </w:rPr>
              <w:t>LT062</w:t>
            </w:r>
          </w:p>
        </w:tc>
        <w:tc>
          <w:tcPr>
            <w:tcW w:w="7140" w:type="dxa"/>
            <w:tcBorders>
              <w:top w:val="nil"/>
              <w:left w:val="nil"/>
              <w:bottom w:val="single" w:sz="4" w:space="0" w:color="auto"/>
              <w:right w:val="single" w:sz="4" w:space="0" w:color="auto"/>
            </w:tcBorders>
            <w:shd w:val="clear" w:color="000000" w:fill="FFFFFF"/>
            <w:noWrap/>
            <w:vAlign w:val="bottom"/>
            <w:hideMark/>
          </w:tcPr>
          <w:p w14:paraId="5EB8A2F3" w14:textId="77777777" w:rsidR="009A72B0" w:rsidRPr="00D151D0" w:rsidRDefault="009A72B0">
            <w:pPr>
              <w:rPr>
                <w:rFonts w:ascii="Arial" w:hAnsi="Arial" w:cs="Arial"/>
                <w:sz w:val="16"/>
                <w:szCs w:val="16"/>
              </w:rPr>
            </w:pPr>
            <w:r w:rsidRPr="00D151D0">
              <w:rPr>
                <w:rFonts w:ascii="Arial" w:hAnsi="Arial" w:cs="Arial"/>
                <w:sz w:val="16"/>
                <w:szCs w:val="16"/>
              </w:rPr>
              <w:t>1x4 LED Integrated retrofit kit rated ≥110 and &lt;125 LPW, Ambient Interior Commercial Spaces</w:t>
            </w:r>
          </w:p>
        </w:tc>
      </w:tr>
      <w:tr w:rsidR="009A72B0" w14:paraId="5EB8A2F7" w14:textId="77777777"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B8A2F5" w14:textId="77777777" w:rsidR="009A72B0" w:rsidRPr="00D151D0" w:rsidRDefault="009A72B0">
            <w:pPr>
              <w:jc w:val="center"/>
              <w:rPr>
                <w:rFonts w:ascii="Arial" w:hAnsi="Arial" w:cs="Arial"/>
                <w:sz w:val="16"/>
                <w:szCs w:val="16"/>
              </w:rPr>
            </w:pPr>
            <w:r w:rsidRPr="00D151D0">
              <w:rPr>
                <w:rFonts w:ascii="Arial" w:hAnsi="Arial" w:cs="Arial"/>
                <w:sz w:val="16"/>
                <w:szCs w:val="16"/>
              </w:rPr>
              <w:t>LT063</w:t>
            </w:r>
          </w:p>
        </w:tc>
        <w:tc>
          <w:tcPr>
            <w:tcW w:w="7140" w:type="dxa"/>
            <w:tcBorders>
              <w:top w:val="nil"/>
              <w:left w:val="nil"/>
              <w:bottom w:val="single" w:sz="4" w:space="0" w:color="auto"/>
              <w:right w:val="single" w:sz="4" w:space="0" w:color="auto"/>
            </w:tcBorders>
            <w:shd w:val="clear" w:color="000000" w:fill="FFFFFF"/>
            <w:noWrap/>
            <w:vAlign w:val="bottom"/>
            <w:hideMark/>
          </w:tcPr>
          <w:p w14:paraId="5EB8A2F6" w14:textId="77777777" w:rsidR="009A72B0" w:rsidRPr="00D151D0" w:rsidRDefault="009A72B0">
            <w:pPr>
              <w:rPr>
                <w:rFonts w:ascii="Arial" w:hAnsi="Arial" w:cs="Arial"/>
                <w:sz w:val="16"/>
                <w:szCs w:val="16"/>
              </w:rPr>
            </w:pPr>
            <w:r w:rsidRPr="00D151D0">
              <w:rPr>
                <w:rFonts w:ascii="Arial" w:hAnsi="Arial" w:cs="Arial"/>
                <w:sz w:val="16"/>
                <w:szCs w:val="16"/>
              </w:rPr>
              <w:t>1x4 LED Integrated retrofit kit rated ≥125 LPW, Ambient Interior Commercial Spaces</w:t>
            </w:r>
          </w:p>
        </w:tc>
      </w:tr>
    </w:tbl>
    <w:p w14:paraId="5EB8A2F8" w14:textId="77777777" w:rsidR="00BF5F96" w:rsidRPr="007A7EF5" w:rsidRDefault="00BF5F96" w:rsidP="00BF5F96">
      <w:pPr>
        <w:widowControl w:val="0"/>
        <w:autoSpaceDE w:val="0"/>
        <w:autoSpaceDN w:val="0"/>
        <w:adjustRightInd w:val="0"/>
        <w:spacing w:line="360" w:lineRule="auto"/>
        <w:rPr>
          <w:rFonts w:ascii="Arial" w:hAnsi="Arial" w:cs="Arial"/>
          <w:color w:val="FF0000"/>
          <w:sz w:val="20"/>
        </w:rPr>
      </w:pPr>
    </w:p>
    <w:p w14:paraId="5EB8A2F9" w14:textId="77777777" w:rsidR="00521920" w:rsidRDefault="00521920" w:rsidP="00872913">
      <w:pPr>
        <w:rPr>
          <w:rFonts w:ascii="Arial" w:hAnsi="Arial" w:cs="Arial"/>
          <w:b/>
          <w:i/>
        </w:rPr>
      </w:pPr>
      <w:r>
        <w:rPr>
          <w:rFonts w:ascii="Arial" w:hAnsi="Arial" w:cs="Arial"/>
          <w:b/>
          <w:i/>
        </w:rPr>
        <w:t>Program Restrictions and Guidelines</w:t>
      </w:r>
    </w:p>
    <w:p w14:paraId="5EB8A2FA" w14:textId="77777777" w:rsidR="00C50281" w:rsidRDefault="005B5BB4" w:rsidP="00C50281">
      <w:pPr>
        <w:rPr>
          <w:rFonts w:ascii="Arial" w:hAnsi="Arial" w:cs="Arial"/>
          <w:sz w:val="20"/>
        </w:rPr>
      </w:pPr>
      <w:r w:rsidRPr="0008537D">
        <w:rPr>
          <w:rFonts w:ascii="Arial" w:hAnsi="Arial" w:cs="Arial"/>
          <w:sz w:val="20"/>
        </w:rPr>
        <w:t xml:space="preserve">This workpaper details the replacement of </w:t>
      </w:r>
      <w:r w:rsidR="00E04625">
        <w:rPr>
          <w:rFonts w:ascii="Arial" w:hAnsi="Arial" w:cs="Arial"/>
          <w:sz w:val="20"/>
        </w:rPr>
        <w:t>l</w:t>
      </w:r>
      <w:r w:rsidR="00B67AB6">
        <w:rPr>
          <w:rFonts w:ascii="Arial" w:hAnsi="Arial" w:cs="Arial"/>
          <w:sz w:val="20"/>
        </w:rPr>
        <w:t>inear fluorescent</w:t>
      </w:r>
      <w:r w:rsidR="00822225">
        <w:rPr>
          <w:rFonts w:ascii="Arial" w:hAnsi="Arial" w:cs="Arial"/>
          <w:sz w:val="20"/>
        </w:rPr>
        <w:t xml:space="preserve"> fixtures</w:t>
      </w:r>
      <w:r w:rsidRPr="0008537D">
        <w:rPr>
          <w:rFonts w:ascii="Arial" w:hAnsi="Arial" w:cs="Arial"/>
          <w:sz w:val="20"/>
        </w:rPr>
        <w:t xml:space="preserve"> with LED </w:t>
      </w:r>
      <w:r w:rsidR="00C27933">
        <w:rPr>
          <w:rFonts w:ascii="Arial" w:hAnsi="Arial" w:cs="Arial"/>
          <w:sz w:val="20"/>
        </w:rPr>
        <w:t>Ambient Commercial</w:t>
      </w:r>
      <w:r w:rsidR="002E6C39" w:rsidRPr="002E6C39">
        <w:rPr>
          <w:rFonts w:ascii="Arial" w:hAnsi="Arial" w:cs="Arial"/>
          <w:sz w:val="20"/>
        </w:rPr>
        <w:t xml:space="preserve"> Fixtures &amp;</w:t>
      </w:r>
      <w:r w:rsidR="006F0984">
        <w:rPr>
          <w:rFonts w:ascii="Arial" w:hAnsi="Arial" w:cs="Arial"/>
          <w:sz w:val="20"/>
        </w:rPr>
        <w:t xml:space="preserve"> Integrated</w:t>
      </w:r>
      <w:r w:rsidR="002E6C39" w:rsidRPr="002E6C39">
        <w:rPr>
          <w:rFonts w:ascii="Arial" w:hAnsi="Arial" w:cs="Arial"/>
          <w:sz w:val="20"/>
        </w:rPr>
        <w:t xml:space="preserve"> Retrofit Kits</w:t>
      </w:r>
      <w:r w:rsidRPr="0008537D">
        <w:rPr>
          <w:rFonts w:ascii="Arial" w:hAnsi="Arial" w:cs="Arial"/>
          <w:sz w:val="20"/>
        </w:rPr>
        <w:t>.</w:t>
      </w:r>
      <w:r w:rsidR="009A3B09" w:rsidRPr="009A3B09">
        <w:t xml:space="preserve"> </w:t>
      </w:r>
      <w:r w:rsidR="00CB4218" w:rsidRPr="00670AC3">
        <w:rPr>
          <w:rFonts w:ascii="Arial" w:hAnsi="Arial" w:cs="Arial"/>
          <w:sz w:val="20"/>
        </w:rPr>
        <w:t xml:space="preserve">The </w:t>
      </w:r>
      <w:r w:rsidR="009B2260">
        <w:rPr>
          <w:rFonts w:ascii="Arial" w:hAnsi="Arial" w:cs="Arial"/>
          <w:sz w:val="20"/>
        </w:rPr>
        <w:t xml:space="preserve">workpaper </w:t>
      </w:r>
      <w:r w:rsidR="00E55167">
        <w:rPr>
          <w:rFonts w:ascii="Arial" w:hAnsi="Arial" w:cs="Arial"/>
          <w:sz w:val="20"/>
        </w:rPr>
        <w:t>offers</w:t>
      </w:r>
      <w:r w:rsidR="004337F8">
        <w:rPr>
          <w:rFonts w:ascii="Arial" w:hAnsi="Arial" w:cs="Arial"/>
          <w:sz w:val="20"/>
        </w:rPr>
        <w:t xml:space="preserve"> deliv</w:t>
      </w:r>
      <w:r w:rsidR="00E55167">
        <w:rPr>
          <w:rFonts w:ascii="Arial" w:hAnsi="Arial" w:cs="Arial"/>
          <w:sz w:val="20"/>
        </w:rPr>
        <w:t xml:space="preserve">ery methods for non-residential </w:t>
      </w:r>
      <w:r w:rsidR="009B2260">
        <w:rPr>
          <w:rFonts w:ascii="Arial" w:hAnsi="Arial" w:cs="Arial"/>
          <w:sz w:val="20"/>
        </w:rPr>
        <w:t>customers</w:t>
      </w:r>
      <w:r w:rsidR="00D12433">
        <w:rPr>
          <w:rFonts w:ascii="Arial" w:hAnsi="Arial" w:cs="Arial"/>
          <w:sz w:val="20"/>
        </w:rPr>
        <w:t xml:space="preserve"> through </w:t>
      </w:r>
      <w:r w:rsidR="00E55167">
        <w:rPr>
          <w:rFonts w:ascii="Arial" w:hAnsi="Arial" w:cs="Arial"/>
          <w:sz w:val="20"/>
        </w:rPr>
        <w:t>Upstream</w:t>
      </w:r>
      <w:r w:rsidR="00D93D13">
        <w:rPr>
          <w:rFonts w:ascii="Arial" w:hAnsi="Arial" w:cs="Arial"/>
          <w:sz w:val="20"/>
        </w:rPr>
        <w:t>/Midstream</w:t>
      </w:r>
      <w:r w:rsidR="00E55167">
        <w:rPr>
          <w:rFonts w:ascii="Arial" w:hAnsi="Arial" w:cs="Arial"/>
          <w:sz w:val="20"/>
        </w:rPr>
        <w:t xml:space="preserve">, </w:t>
      </w:r>
      <w:r w:rsidR="00D46E0B">
        <w:rPr>
          <w:rFonts w:ascii="Arial" w:hAnsi="Arial" w:cs="Arial"/>
          <w:sz w:val="20"/>
        </w:rPr>
        <w:t>Downstream</w:t>
      </w:r>
      <w:r w:rsidR="00D93D13">
        <w:rPr>
          <w:rFonts w:ascii="Arial" w:hAnsi="Arial" w:cs="Arial"/>
          <w:sz w:val="20"/>
        </w:rPr>
        <w:t>,</w:t>
      </w:r>
      <w:r w:rsidR="00CB4218" w:rsidRPr="00670AC3">
        <w:rPr>
          <w:rFonts w:ascii="Arial" w:hAnsi="Arial" w:cs="Arial"/>
          <w:sz w:val="20"/>
        </w:rPr>
        <w:t xml:space="preserve"> </w:t>
      </w:r>
      <w:r w:rsidR="009B2260">
        <w:rPr>
          <w:rFonts w:ascii="Arial" w:hAnsi="Arial" w:cs="Arial"/>
          <w:sz w:val="20"/>
        </w:rPr>
        <w:t>or Direct Install</w:t>
      </w:r>
      <w:r w:rsidR="00D12433">
        <w:rPr>
          <w:rFonts w:ascii="Arial" w:hAnsi="Arial" w:cs="Arial"/>
          <w:sz w:val="20"/>
        </w:rPr>
        <w:t xml:space="preserve"> Deemed programs.</w:t>
      </w:r>
    </w:p>
    <w:p w14:paraId="5EB8A2FB" w14:textId="77777777" w:rsidR="00C50281" w:rsidRDefault="00C50281" w:rsidP="00C50281">
      <w:pPr>
        <w:rPr>
          <w:rFonts w:ascii="Arial" w:hAnsi="Arial" w:cs="Arial"/>
          <w:sz w:val="20"/>
        </w:rPr>
      </w:pPr>
    </w:p>
    <w:p w14:paraId="5EB8A2FC" w14:textId="77777777" w:rsidR="00C50281" w:rsidRPr="00C50281" w:rsidRDefault="00C50281" w:rsidP="00C50281">
      <w:pPr>
        <w:rPr>
          <w:rFonts w:ascii="Arial" w:hAnsi="Arial" w:cs="Arial"/>
          <w:sz w:val="20"/>
        </w:rPr>
      </w:pPr>
      <w:r w:rsidRPr="009A72B0">
        <w:rPr>
          <w:rFonts w:ascii="Arial" w:hAnsi="Arial" w:cs="Arial"/>
          <w:sz w:val="20"/>
          <w:szCs w:val="20"/>
        </w:rPr>
        <w:t xml:space="preserve">The LED fixture or </w:t>
      </w:r>
      <w:r w:rsidR="007A7EF5" w:rsidRPr="009A72B0">
        <w:rPr>
          <w:rFonts w:ascii="Arial" w:hAnsi="Arial" w:cs="Arial"/>
          <w:sz w:val="20"/>
          <w:szCs w:val="20"/>
        </w:rPr>
        <w:t xml:space="preserve">integrated </w:t>
      </w:r>
      <w:r w:rsidRPr="009A72B0">
        <w:rPr>
          <w:rFonts w:ascii="Arial" w:hAnsi="Arial" w:cs="Arial"/>
          <w:sz w:val="20"/>
          <w:szCs w:val="20"/>
        </w:rPr>
        <w:t>retrofit kit must replace</w:t>
      </w:r>
      <w:r w:rsidR="007A7EF5" w:rsidRPr="009A72B0">
        <w:rPr>
          <w:rFonts w:ascii="Arial" w:hAnsi="Arial" w:cs="Arial"/>
          <w:sz w:val="20"/>
          <w:szCs w:val="20"/>
        </w:rPr>
        <w:t xml:space="preserve"> a</w:t>
      </w:r>
      <w:r w:rsidRPr="009A72B0">
        <w:rPr>
          <w:rFonts w:ascii="Arial" w:hAnsi="Arial" w:cs="Arial"/>
          <w:sz w:val="20"/>
          <w:szCs w:val="20"/>
        </w:rPr>
        <w:t xml:space="preserve"> linear fluorescent </w:t>
      </w:r>
      <w:r w:rsidR="00705A0C" w:rsidRPr="009A72B0">
        <w:rPr>
          <w:rFonts w:ascii="Arial" w:hAnsi="Arial" w:cs="Arial"/>
          <w:sz w:val="20"/>
          <w:szCs w:val="20"/>
        </w:rPr>
        <w:t>fixture on a 1-for-1 basis.</w:t>
      </w:r>
    </w:p>
    <w:p w14:paraId="5EB8A2FD" w14:textId="77777777" w:rsidR="00C8399F" w:rsidRDefault="00C8399F" w:rsidP="00CB4218">
      <w:pPr>
        <w:rPr>
          <w:rFonts w:ascii="Arial" w:hAnsi="Arial" w:cs="Arial"/>
          <w:sz w:val="20"/>
        </w:rPr>
      </w:pPr>
    </w:p>
    <w:p w14:paraId="5EB8A2FE" w14:textId="77777777" w:rsidR="00C8399F" w:rsidRPr="00C10056" w:rsidRDefault="00C8399F" w:rsidP="00CB4218">
      <w:pPr>
        <w:rPr>
          <w:rFonts w:ascii="Arial" w:hAnsi="Arial" w:cs="Arial"/>
          <w:sz w:val="20"/>
        </w:rPr>
      </w:pPr>
      <w:r w:rsidRPr="00C10056">
        <w:rPr>
          <w:rFonts w:ascii="Arial" w:hAnsi="Arial" w:cs="Arial"/>
          <w:sz w:val="20"/>
        </w:rPr>
        <w:t xml:space="preserve">DLC requirements for </w:t>
      </w:r>
      <w:r w:rsidR="006F0984">
        <w:rPr>
          <w:rFonts w:ascii="Arial" w:hAnsi="Arial" w:cs="Arial"/>
          <w:sz w:val="20"/>
        </w:rPr>
        <w:t xml:space="preserve">Integrated </w:t>
      </w:r>
      <w:r w:rsidR="00705A0C">
        <w:rPr>
          <w:rFonts w:ascii="Arial" w:hAnsi="Arial" w:cs="Arial"/>
          <w:sz w:val="20"/>
        </w:rPr>
        <w:t xml:space="preserve">Retrofit Kits and </w:t>
      </w:r>
      <w:r w:rsidR="00705A0C" w:rsidRPr="00705A0C">
        <w:rPr>
          <w:rFonts w:ascii="Arial" w:hAnsi="Arial" w:cs="Arial"/>
          <w:sz w:val="20"/>
        </w:rPr>
        <w:t>Luminaires for Ambient Lighting of Interior Commercial Spaces</w:t>
      </w:r>
      <w:r w:rsidRPr="00C10056">
        <w:rPr>
          <w:rFonts w:ascii="Arial" w:hAnsi="Arial" w:cs="Arial"/>
          <w:sz w:val="20"/>
        </w:rPr>
        <w:t xml:space="preserve"> include:</w:t>
      </w:r>
    </w:p>
    <w:p w14:paraId="5EB8A2FF" w14:textId="77777777"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lastRenderedPageBreak/>
        <w:t>5-year warranty</w:t>
      </w:r>
    </w:p>
    <w:p w14:paraId="5EB8A300" w14:textId="77777777" w:rsidR="00C8399F" w:rsidRDefault="00C8399F" w:rsidP="00C8399F">
      <w:pPr>
        <w:pStyle w:val="ListParagraph"/>
        <w:numPr>
          <w:ilvl w:val="0"/>
          <w:numId w:val="24"/>
        </w:numPr>
        <w:rPr>
          <w:rFonts w:ascii="Arial" w:hAnsi="Arial" w:cs="Arial"/>
          <w:sz w:val="20"/>
        </w:rPr>
      </w:pPr>
      <w:r w:rsidRPr="00C10056">
        <w:rPr>
          <w:rFonts w:ascii="Arial" w:hAnsi="Arial" w:cs="Arial"/>
          <w:sz w:val="20"/>
        </w:rPr>
        <w:t>5</w:t>
      </w:r>
      <w:r w:rsidR="00705A0C">
        <w:rPr>
          <w:rFonts w:ascii="Arial" w:hAnsi="Arial" w:cs="Arial"/>
          <w:sz w:val="20"/>
        </w:rPr>
        <w:t>0</w:t>
      </w:r>
      <w:r w:rsidRPr="00C10056">
        <w:rPr>
          <w:rFonts w:ascii="Arial" w:hAnsi="Arial" w:cs="Arial"/>
          <w:sz w:val="20"/>
        </w:rPr>
        <w:t>,000 hour L70 Lumen Maintenance</w:t>
      </w:r>
    </w:p>
    <w:p w14:paraId="5EB8A301" w14:textId="77777777" w:rsidR="008508EB" w:rsidRPr="00C10056" w:rsidRDefault="008508EB" w:rsidP="00C8399F">
      <w:pPr>
        <w:pStyle w:val="ListParagraph"/>
        <w:numPr>
          <w:ilvl w:val="0"/>
          <w:numId w:val="24"/>
        </w:numPr>
        <w:rPr>
          <w:rFonts w:ascii="Arial" w:hAnsi="Arial" w:cs="Arial"/>
          <w:sz w:val="20"/>
        </w:rPr>
      </w:pPr>
      <w:r>
        <w:rPr>
          <w:rFonts w:ascii="Arial" w:hAnsi="Arial" w:cs="Arial"/>
          <w:sz w:val="20"/>
        </w:rPr>
        <w:t>36,000 hour L90 Lumen Maintenance</w:t>
      </w:r>
    </w:p>
    <w:p w14:paraId="5EB8A302" w14:textId="77777777" w:rsidR="00C8399F" w:rsidRPr="00C10056" w:rsidRDefault="00705A0C" w:rsidP="00C8399F">
      <w:pPr>
        <w:pStyle w:val="ListParagraph"/>
        <w:numPr>
          <w:ilvl w:val="0"/>
          <w:numId w:val="24"/>
        </w:numPr>
        <w:rPr>
          <w:rFonts w:ascii="Arial" w:hAnsi="Arial" w:cs="Arial"/>
          <w:sz w:val="20"/>
        </w:rPr>
      </w:pPr>
      <w:r>
        <w:rPr>
          <w:rFonts w:ascii="Arial" w:hAnsi="Arial" w:cs="Arial"/>
          <w:sz w:val="20"/>
        </w:rPr>
        <w:t>≥ 8</w:t>
      </w:r>
      <w:r w:rsidR="00C8399F" w:rsidRPr="00C10056">
        <w:rPr>
          <w:rFonts w:ascii="Arial" w:hAnsi="Arial" w:cs="Arial"/>
          <w:sz w:val="20"/>
        </w:rPr>
        <w:t>0 Color Rendering Index (CRI)</w:t>
      </w:r>
    </w:p>
    <w:p w14:paraId="5EB8A303" w14:textId="77777777"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 xml:space="preserve">≥ </w:t>
      </w:r>
      <w:r w:rsidR="008508EB">
        <w:rPr>
          <w:rFonts w:ascii="Arial" w:hAnsi="Arial" w:cs="Arial"/>
          <w:sz w:val="20"/>
        </w:rPr>
        <w:t>110</w:t>
      </w:r>
      <w:r w:rsidRPr="00C10056">
        <w:rPr>
          <w:rFonts w:ascii="Arial" w:hAnsi="Arial" w:cs="Arial"/>
          <w:sz w:val="20"/>
        </w:rPr>
        <w:t xml:space="preserve"> lumens / Watt</w:t>
      </w:r>
    </w:p>
    <w:p w14:paraId="5EB8A304" w14:textId="77777777" w:rsidR="00C8399F" w:rsidRPr="00C10056" w:rsidRDefault="00705A0C" w:rsidP="00C8399F">
      <w:pPr>
        <w:pStyle w:val="ListParagraph"/>
        <w:numPr>
          <w:ilvl w:val="0"/>
          <w:numId w:val="24"/>
        </w:numPr>
        <w:rPr>
          <w:rFonts w:ascii="Arial" w:hAnsi="Arial" w:cs="Arial"/>
          <w:sz w:val="20"/>
        </w:rPr>
      </w:pPr>
      <w:r>
        <w:rPr>
          <w:rFonts w:ascii="Arial" w:hAnsi="Arial" w:cs="Arial"/>
          <w:sz w:val="20"/>
        </w:rPr>
        <w:t>≤ 50</w:t>
      </w:r>
      <w:r w:rsidR="00C8399F" w:rsidRPr="00C10056">
        <w:rPr>
          <w:rFonts w:ascii="Arial" w:hAnsi="Arial" w:cs="Arial"/>
          <w:sz w:val="20"/>
        </w:rPr>
        <w:t>00 Kelvin Correlated Color Temperature (CCT)</w:t>
      </w:r>
    </w:p>
    <w:p w14:paraId="5EB8A305" w14:textId="77777777" w:rsidR="00705A0C" w:rsidRPr="00705A0C" w:rsidRDefault="00705A0C" w:rsidP="00705A0C">
      <w:pPr>
        <w:pStyle w:val="ListParagraph"/>
        <w:numPr>
          <w:ilvl w:val="0"/>
          <w:numId w:val="24"/>
        </w:numPr>
        <w:rPr>
          <w:rFonts w:ascii="Arial" w:hAnsi="Arial" w:cs="Arial"/>
          <w:sz w:val="20"/>
        </w:rPr>
      </w:pPr>
      <w:r w:rsidRPr="00705A0C">
        <w:rPr>
          <w:rFonts w:ascii="Arial" w:hAnsi="Arial" w:cs="Arial"/>
          <w:sz w:val="20"/>
        </w:rPr>
        <w:t xml:space="preserve">Spacing Criteria from 1.0 to 2.0 in both the 0-180° and </w:t>
      </w:r>
      <w:r>
        <w:rPr>
          <w:rFonts w:ascii="Arial" w:hAnsi="Arial" w:cs="Arial"/>
          <w:sz w:val="20"/>
        </w:rPr>
        <w:t>90-270° directions</w:t>
      </w:r>
    </w:p>
    <w:p w14:paraId="5EB8A306" w14:textId="77777777" w:rsidR="00C8399F" w:rsidRPr="00C10056" w:rsidRDefault="00705A0C" w:rsidP="00705A0C">
      <w:pPr>
        <w:pStyle w:val="ListParagraph"/>
        <w:numPr>
          <w:ilvl w:val="0"/>
          <w:numId w:val="24"/>
        </w:numPr>
        <w:rPr>
          <w:rFonts w:ascii="Arial" w:hAnsi="Arial" w:cs="Arial"/>
          <w:sz w:val="20"/>
        </w:rPr>
      </w:pPr>
      <w:r w:rsidRPr="00705A0C">
        <w:rPr>
          <w:rFonts w:ascii="Arial" w:hAnsi="Arial" w:cs="Arial"/>
          <w:sz w:val="20"/>
        </w:rPr>
        <w:t>≥75%</w:t>
      </w:r>
      <w:r>
        <w:rPr>
          <w:rFonts w:ascii="Arial" w:hAnsi="Arial" w:cs="Arial"/>
          <w:sz w:val="20"/>
        </w:rPr>
        <w:t xml:space="preserve"> of Lumen Output in the</w:t>
      </w:r>
      <w:r w:rsidRPr="00705A0C">
        <w:rPr>
          <w:rFonts w:ascii="Arial" w:hAnsi="Arial" w:cs="Arial"/>
          <w:sz w:val="20"/>
        </w:rPr>
        <w:t xml:space="preserve"> 0-60°</w:t>
      </w:r>
      <w:r>
        <w:rPr>
          <w:rFonts w:ascii="Arial" w:hAnsi="Arial" w:cs="Arial"/>
          <w:sz w:val="20"/>
        </w:rPr>
        <w:t xml:space="preserve"> zone</w:t>
      </w:r>
    </w:p>
    <w:p w14:paraId="5EB8A307" w14:textId="77777777" w:rsidR="00CB4218" w:rsidRPr="00C10056" w:rsidRDefault="00CB4218" w:rsidP="00CB4218">
      <w:pPr>
        <w:rPr>
          <w:rFonts w:ascii="Arial" w:hAnsi="Arial" w:cs="Arial"/>
          <w:sz w:val="20"/>
        </w:rPr>
      </w:pPr>
    </w:p>
    <w:tbl>
      <w:tblPr>
        <w:tblW w:w="6232" w:type="dxa"/>
        <w:jc w:val="center"/>
        <w:tblInd w:w="-3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tblGrid>
      <w:tr w:rsidR="00822225" w:rsidRPr="00C10056" w14:paraId="5EB8A309" w14:textId="77777777" w:rsidTr="00822225">
        <w:trPr>
          <w:trHeight w:val="305"/>
          <w:jc w:val="center"/>
        </w:trPr>
        <w:tc>
          <w:tcPr>
            <w:tcW w:w="6232" w:type="dxa"/>
            <w:shd w:val="clear" w:color="auto" w:fill="auto"/>
            <w:vAlign w:val="bottom"/>
          </w:tcPr>
          <w:p w14:paraId="5EB8A308" w14:textId="77777777" w:rsidR="00822225" w:rsidRPr="00C10056" w:rsidRDefault="009B2260" w:rsidP="00A95196">
            <w:pPr>
              <w:jc w:val="center"/>
              <w:rPr>
                <w:rFonts w:ascii="Arial" w:hAnsi="Arial" w:cs="Arial"/>
                <w:b/>
                <w:sz w:val="20"/>
              </w:rPr>
            </w:pPr>
            <w:r>
              <w:rPr>
                <w:rFonts w:ascii="Arial" w:hAnsi="Arial" w:cs="Arial"/>
                <w:b/>
                <w:sz w:val="20"/>
              </w:rPr>
              <w:t>DLC Categories Eligible under this Workpaper:</w:t>
            </w:r>
          </w:p>
        </w:tc>
      </w:tr>
      <w:tr w:rsidR="00822225" w:rsidRPr="00C10056" w14:paraId="5EB8A311" w14:textId="77777777" w:rsidTr="00822225">
        <w:trPr>
          <w:jc w:val="center"/>
        </w:trPr>
        <w:tc>
          <w:tcPr>
            <w:tcW w:w="6232" w:type="dxa"/>
            <w:shd w:val="clear" w:color="auto" w:fill="auto"/>
            <w:vAlign w:val="center"/>
          </w:tcPr>
          <w:p w14:paraId="5EB8A30A" w14:textId="77777777" w:rsidR="00822225" w:rsidRPr="00C10056" w:rsidRDefault="00822225" w:rsidP="00D12AFE">
            <w:pPr>
              <w:numPr>
                <w:ilvl w:val="0"/>
                <w:numId w:val="22"/>
              </w:numPr>
              <w:rPr>
                <w:rFonts w:ascii="Arial" w:hAnsi="Arial" w:cs="Arial"/>
                <w:sz w:val="20"/>
              </w:rPr>
            </w:pPr>
            <w:r w:rsidRPr="00C10056">
              <w:rPr>
                <w:rFonts w:ascii="Arial" w:hAnsi="Arial" w:cs="Arial"/>
                <w:sz w:val="20"/>
              </w:rPr>
              <w:t xml:space="preserve">Must be on </w:t>
            </w:r>
            <w:r w:rsidR="0042647B">
              <w:rPr>
                <w:rFonts w:ascii="Arial" w:hAnsi="Arial" w:cs="Arial"/>
                <w:sz w:val="20"/>
              </w:rPr>
              <w:t>PG&amp;E</w:t>
            </w:r>
            <w:r w:rsidRPr="00C10056">
              <w:rPr>
                <w:rFonts w:ascii="Arial" w:hAnsi="Arial" w:cs="Arial"/>
                <w:sz w:val="20"/>
              </w:rPr>
              <w:t xml:space="preserve"> Qualified Products List</w:t>
            </w:r>
            <w:r w:rsidR="0049390F">
              <w:rPr>
                <w:rFonts w:ascii="Arial" w:hAnsi="Arial" w:cs="Arial"/>
                <w:sz w:val="20"/>
              </w:rPr>
              <w:t>, in one</w:t>
            </w:r>
            <w:r w:rsidR="0049390F" w:rsidRPr="00E20F5E">
              <w:rPr>
                <w:rFonts w:ascii="Arial" w:hAnsi="Arial" w:cs="Arial"/>
                <w:sz w:val="20"/>
              </w:rPr>
              <w:t xml:space="preserve"> of 6</w:t>
            </w:r>
            <w:r w:rsidRPr="00E20F5E">
              <w:rPr>
                <w:rFonts w:ascii="Arial" w:hAnsi="Arial" w:cs="Arial"/>
                <w:sz w:val="20"/>
              </w:rPr>
              <w:t xml:space="preserve"> </w:t>
            </w:r>
            <w:r w:rsidR="007A7EF5" w:rsidRPr="00E20F5E">
              <w:rPr>
                <w:rFonts w:ascii="Arial" w:hAnsi="Arial" w:cs="Arial"/>
                <w:sz w:val="20"/>
              </w:rPr>
              <w:t xml:space="preserve">DLC </w:t>
            </w:r>
            <w:r w:rsidRPr="00C10056">
              <w:rPr>
                <w:rFonts w:ascii="Arial" w:hAnsi="Arial" w:cs="Arial"/>
                <w:sz w:val="20"/>
              </w:rPr>
              <w:t>categories:</w:t>
            </w:r>
          </w:p>
          <w:p w14:paraId="5EB8A30B" w14:textId="77777777" w:rsidR="0049390F" w:rsidRDefault="0049390F" w:rsidP="0049390F">
            <w:pPr>
              <w:numPr>
                <w:ilvl w:val="1"/>
                <w:numId w:val="22"/>
              </w:numPr>
              <w:rPr>
                <w:rFonts w:ascii="Arial" w:hAnsi="Arial" w:cs="Arial"/>
                <w:sz w:val="20"/>
              </w:rPr>
            </w:pPr>
            <w:r w:rsidRPr="0049390F">
              <w:rPr>
                <w:rFonts w:ascii="Arial" w:hAnsi="Arial" w:cs="Arial"/>
                <w:sz w:val="20"/>
              </w:rPr>
              <w:t>2x2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14:paraId="5EB8A30C" w14:textId="77777777" w:rsidR="0049390F" w:rsidRDefault="006F0984" w:rsidP="0049390F">
            <w:pPr>
              <w:numPr>
                <w:ilvl w:val="1"/>
                <w:numId w:val="22"/>
              </w:numPr>
              <w:rPr>
                <w:rFonts w:ascii="Arial" w:hAnsi="Arial" w:cs="Arial"/>
                <w:sz w:val="20"/>
              </w:rPr>
            </w:pPr>
            <w:r>
              <w:rPr>
                <w:rFonts w:ascii="Arial" w:hAnsi="Arial" w:cs="Arial"/>
                <w:sz w:val="20"/>
              </w:rPr>
              <w:t xml:space="preserve">Integrated </w:t>
            </w:r>
            <w:r w:rsidR="0049390F" w:rsidRPr="0049390F">
              <w:rPr>
                <w:rFonts w:ascii="Arial" w:hAnsi="Arial" w:cs="Arial"/>
                <w:sz w:val="20"/>
              </w:rPr>
              <w:t>Retrofit Kits for 2x2 Luminaires for Ambient Lighting of Interior Commercial Spaces</w:t>
            </w:r>
            <w:r>
              <w:rPr>
                <w:rFonts w:ascii="Arial" w:hAnsi="Arial" w:cs="Arial"/>
                <w:sz w:val="20"/>
              </w:rPr>
              <w:tab/>
            </w:r>
            <w:r>
              <w:rPr>
                <w:rFonts w:ascii="Arial" w:hAnsi="Arial" w:cs="Arial"/>
                <w:sz w:val="20"/>
              </w:rPr>
              <w:tab/>
            </w:r>
          </w:p>
          <w:p w14:paraId="5EB8A30D" w14:textId="77777777" w:rsidR="0049390F" w:rsidRDefault="0049390F" w:rsidP="0049390F">
            <w:pPr>
              <w:numPr>
                <w:ilvl w:val="1"/>
                <w:numId w:val="22"/>
              </w:numPr>
              <w:rPr>
                <w:rFonts w:ascii="Arial" w:hAnsi="Arial" w:cs="Arial"/>
                <w:sz w:val="20"/>
              </w:rPr>
            </w:pPr>
            <w:r w:rsidRPr="0049390F">
              <w:rPr>
                <w:rFonts w:ascii="Arial" w:hAnsi="Arial" w:cs="Arial"/>
                <w:sz w:val="20"/>
              </w:rPr>
              <w:t>1x4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14:paraId="5EB8A30E" w14:textId="77777777" w:rsidR="0049390F" w:rsidRDefault="006F0984" w:rsidP="0049390F">
            <w:pPr>
              <w:numPr>
                <w:ilvl w:val="1"/>
                <w:numId w:val="22"/>
              </w:numPr>
              <w:rPr>
                <w:rFonts w:ascii="Arial" w:hAnsi="Arial" w:cs="Arial"/>
                <w:sz w:val="20"/>
              </w:rPr>
            </w:pPr>
            <w:r>
              <w:rPr>
                <w:rFonts w:ascii="Arial" w:hAnsi="Arial" w:cs="Arial"/>
                <w:sz w:val="20"/>
              </w:rPr>
              <w:t xml:space="preserve">Integrated </w:t>
            </w:r>
            <w:r w:rsidR="0049390F" w:rsidRPr="0049390F">
              <w:rPr>
                <w:rFonts w:ascii="Arial" w:hAnsi="Arial" w:cs="Arial"/>
                <w:sz w:val="20"/>
              </w:rPr>
              <w:t>Retrofit Kits for 1x4 Luminaires for Ambient Lighting of Interior Commercial Spaces</w:t>
            </w:r>
            <w:r>
              <w:rPr>
                <w:rFonts w:ascii="Arial" w:hAnsi="Arial" w:cs="Arial"/>
                <w:sz w:val="20"/>
              </w:rPr>
              <w:tab/>
            </w:r>
            <w:r>
              <w:rPr>
                <w:rFonts w:ascii="Arial" w:hAnsi="Arial" w:cs="Arial"/>
                <w:sz w:val="20"/>
              </w:rPr>
              <w:tab/>
            </w:r>
          </w:p>
          <w:p w14:paraId="5EB8A30F" w14:textId="77777777" w:rsidR="0049390F" w:rsidRDefault="0049390F" w:rsidP="0049390F">
            <w:pPr>
              <w:numPr>
                <w:ilvl w:val="1"/>
                <w:numId w:val="22"/>
              </w:numPr>
              <w:rPr>
                <w:rFonts w:ascii="Arial" w:hAnsi="Arial" w:cs="Arial"/>
                <w:sz w:val="20"/>
              </w:rPr>
            </w:pPr>
            <w:r w:rsidRPr="0049390F">
              <w:rPr>
                <w:rFonts w:ascii="Arial" w:hAnsi="Arial" w:cs="Arial"/>
                <w:sz w:val="20"/>
              </w:rPr>
              <w:t>2x4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14:paraId="5EB8A310" w14:textId="77777777" w:rsidR="00822225" w:rsidRPr="0049390F" w:rsidRDefault="006F0984" w:rsidP="0049390F">
            <w:pPr>
              <w:numPr>
                <w:ilvl w:val="1"/>
                <w:numId w:val="22"/>
              </w:numPr>
              <w:rPr>
                <w:rFonts w:ascii="Arial" w:hAnsi="Arial" w:cs="Arial"/>
                <w:sz w:val="20"/>
              </w:rPr>
            </w:pPr>
            <w:r>
              <w:rPr>
                <w:rFonts w:ascii="Arial" w:hAnsi="Arial" w:cs="Arial"/>
                <w:sz w:val="20"/>
              </w:rPr>
              <w:t xml:space="preserve">Integrated </w:t>
            </w:r>
            <w:r w:rsidR="0049390F" w:rsidRPr="0049390F">
              <w:rPr>
                <w:rFonts w:ascii="Arial" w:hAnsi="Arial" w:cs="Arial"/>
                <w:sz w:val="20"/>
              </w:rPr>
              <w:t>Retrofit Kits for 2x4 Luminaires for Ambient Lighting of Interior Commercial Spaces</w:t>
            </w:r>
            <w:r w:rsidR="0049390F" w:rsidRPr="0049390F">
              <w:rPr>
                <w:rFonts w:ascii="Arial" w:hAnsi="Arial" w:cs="Arial"/>
                <w:sz w:val="20"/>
              </w:rPr>
              <w:tab/>
            </w:r>
            <w:r w:rsidR="0049390F" w:rsidRPr="0049390F">
              <w:rPr>
                <w:rFonts w:ascii="Arial" w:hAnsi="Arial" w:cs="Arial"/>
                <w:sz w:val="20"/>
              </w:rPr>
              <w:tab/>
            </w:r>
          </w:p>
        </w:tc>
      </w:tr>
    </w:tbl>
    <w:p w14:paraId="5EB8A312" w14:textId="77777777" w:rsidR="00CB4218" w:rsidRPr="00C10056" w:rsidRDefault="00CB4218" w:rsidP="00CB4218">
      <w:pPr>
        <w:rPr>
          <w:rFonts w:ascii="Arial" w:hAnsi="Arial" w:cs="Arial"/>
          <w:sz w:val="20"/>
        </w:rPr>
      </w:pPr>
    </w:p>
    <w:p w14:paraId="5EB8A313" w14:textId="77777777" w:rsidR="00787D07" w:rsidRDefault="00787D07" w:rsidP="006F0984">
      <w:pPr>
        <w:rPr>
          <w:rFonts w:ascii="Arial" w:hAnsi="Arial" w:cs="Arial"/>
          <w:sz w:val="20"/>
          <w:szCs w:val="20"/>
        </w:rPr>
      </w:pPr>
      <w:r w:rsidRPr="006F0984">
        <w:rPr>
          <w:rFonts w:ascii="Arial" w:hAnsi="Arial" w:cs="Arial"/>
          <w:sz w:val="20"/>
          <w:szCs w:val="20"/>
        </w:rPr>
        <w:t>Products must meet exact technical require</w:t>
      </w:r>
      <w:r w:rsidRPr="00E20F5E">
        <w:rPr>
          <w:rFonts w:ascii="Arial" w:hAnsi="Arial" w:cs="Arial"/>
          <w:sz w:val="20"/>
          <w:szCs w:val="20"/>
        </w:rPr>
        <w:t>ments listed on DLC fo</w:t>
      </w:r>
      <w:r w:rsidRPr="006F0984">
        <w:rPr>
          <w:rFonts w:ascii="Arial" w:hAnsi="Arial" w:cs="Arial"/>
          <w:sz w:val="20"/>
          <w:szCs w:val="20"/>
        </w:rPr>
        <w:t>r these product categories stated above.</w:t>
      </w:r>
    </w:p>
    <w:p w14:paraId="5EB8A314" w14:textId="77777777" w:rsidR="00787D07" w:rsidRDefault="00787D07" w:rsidP="006F0984">
      <w:pPr>
        <w:rPr>
          <w:rFonts w:ascii="Arial" w:hAnsi="Arial" w:cs="Arial"/>
          <w:sz w:val="20"/>
          <w:szCs w:val="20"/>
        </w:rPr>
      </w:pPr>
    </w:p>
    <w:p w14:paraId="5EB8A315" w14:textId="77777777" w:rsidR="00CB4218" w:rsidRPr="00C10056" w:rsidRDefault="00CB4218" w:rsidP="00CB4218">
      <w:pPr>
        <w:ind w:left="360"/>
        <w:rPr>
          <w:rFonts w:ascii="Arial" w:hAnsi="Arial" w:cs="Arial"/>
          <w:b/>
          <w:sz w:val="20"/>
        </w:rPr>
      </w:pPr>
      <w:r w:rsidRPr="00C10056">
        <w:rPr>
          <w:rFonts w:ascii="Arial" w:hAnsi="Arial" w:cs="Arial"/>
          <w:b/>
          <w:sz w:val="20"/>
        </w:rPr>
        <w:t xml:space="preserve">Terms and Conditions: </w:t>
      </w:r>
    </w:p>
    <w:p w14:paraId="5EB8A316" w14:textId="77777777" w:rsidR="00CB4218" w:rsidRPr="00C10056" w:rsidRDefault="00CB4218" w:rsidP="00CB4218">
      <w:pPr>
        <w:ind w:left="360"/>
        <w:rPr>
          <w:rFonts w:ascii="Arial" w:hAnsi="Arial" w:cs="Arial"/>
          <w:sz w:val="20"/>
        </w:rPr>
      </w:pPr>
      <w:r w:rsidRPr="00C10056">
        <w:rPr>
          <w:rFonts w:ascii="Arial" w:hAnsi="Arial" w:cs="Arial"/>
          <w:sz w:val="20"/>
        </w:rPr>
        <w:t xml:space="preserve">The customer must be a non-residential PG&amp;E electric customer. </w:t>
      </w:r>
    </w:p>
    <w:p w14:paraId="5EB8A317" w14:textId="77777777" w:rsidR="00D46E0B" w:rsidRPr="00C10056" w:rsidRDefault="00D46E0B" w:rsidP="00CB4218">
      <w:pPr>
        <w:ind w:left="360"/>
        <w:rPr>
          <w:rFonts w:ascii="Arial" w:hAnsi="Arial" w:cs="Arial"/>
          <w:sz w:val="20"/>
        </w:rPr>
      </w:pPr>
    </w:p>
    <w:p w14:paraId="5EB8A318" w14:textId="77777777" w:rsidR="00CB4218" w:rsidRPr="00C10056" w:rsidRDefault="00CB4218" w:rsidP="00CB4218">
      <w:pPr>
        <w:ind w:left="360"/>
        <w:rPr>
          <w:rFonts w:ascii="Arial" w:hAnsi="Arial" w:cs="Arial"/>
          <w:b/>
          <w:sz w:val="20"/>
        </w:rPr>
      </w:pPr>
      <w:r w:rsidRPr="00C10056">
        <w:rPr>
          <w:rFonts w:ascii="Arial" w:hAnsi="Arial" w:cs="Arial"/>
          <w:b/>
          <w:sz w:val="20"/>
        </w:rPr>
        <w:t xml:space="preserve">Market Applicability: </w:t>
      </w:r>
    </w:p>
    <w:p w14:paraId="5EB8A319" w14:textId="77777777" w:rsidR="00CB4218" w:rsidRPr="00C10056" w:rsidRDefault="00CB4218" w:rsidP="00CB4218">
      <w:pPr>
        <w:ind w:left="360"/>
        <w:rPr>
          <w:rFonts w:ascii="Arial" w:hAnsi="Arial" w:cs="Arial"/>
          <w:sz w:val="20"/>
        </w:rPr>
      </w:pPr>
      <w:r w:rsidRPr="00C10056">
        <w:rPr>
          <w:rFonts w:ascii="Arial" w:hAnsi="Arial" w:cs="Arial"/>
          <w:sz w:val="20"/>
        </w:rPr>
        <w:t xml:space="preserve">The customer must be a non-residential </w:t>
      </w:r>
      <w:r w:rsidR="00D46E0B" w:rsidRPr="00C10056">
        <w:rPr>
          <w:rFonts w:ascii="Arial" w:hAnsi="Arial" w:cs="Arial"/>
          <w:sz w:val="20"/>
        </w:rPr>
        <w:t>PG&amp;E electric customer.</w:t>
      </w:r>
    </w:p>
    <w:p w14:paraId="5EB8A31A" w14:textId="77777777" w:rsidR="00CB4218" w:rsidRPr="00C10056" w:rsidRDefault="00CB4218" w:rsidP="00CB4218">
      <w:pPr>
        <w:ind w:left="360"/>
        <w:rPr>
          <w:rFonts w:ascii="Arial" w:hAnsi="Arial" w:cs="Arial"/>
          <w:sz w:val="20"/>
        </w:rPr>
      </w:pPr>
    </w:p>
    <w:p w14:paraId="5EB8A31B" w14:textId="77777777" w:rsidR="00CB4218" w:rsidRPr="00C10056" w:rsidRDefault="00CB4218" w:rsidP="00CB4218">
      <w:pPr>
        <w:ind w:left="360"/>
        <w:rPr>
          <w:rFonts w:ascii="Arial" w:hAnsi="Arial" w:cs="Arial"/>
          <w:b/>
          <w:sz w:val="20"/>
        </w:rPr>
      </w:pPr>
      <w:r w:rsidRPr="00C10056">
        <w:rPr>
          <w:rFonts w:ascii="Arial" w:hAnsi="Arial" w:cs="Arial"/>
          <w:b/>
          <w:sz w:val="20"/>
        </w:rPr>
        <w:t xml:space="preserve">Type of Transaction: </w:t>
      </w:r>
    </w:p>
    <w:p w14:paraId="5EB8A31C" w14:textId="77777777" w:rsidR="00CB4218" w:rsidRDefault="00CB4218" w:rsidP="00CB4218">
      <w:pPr>
        <w:ind w:left="360"/>
        <w:rPr>
          <w:rFonts w:ascii="Arial" w:hAnsi="Arial" w:cs="Arial"/>
          <w:sz w:val="20"/>
          <w:szCs w:val="20"/>
        </w:rPr>
      </w:pPr>
      <w:r w:rsidRPr="00C10056">
        <w:rPr>
          <w:rFonts w:ascii="Arial" w:hAnsi="Arial" w:cs="Arial"/>
          <w:sz w:val="20"/>
        </w:rPr>
        <w:t>The applicable types of transactions include Replace on Burnout</w:t>
      </w:r>
      <w:r w:rsidR="008C43DA">
        <w:rPr>
          <w:rFonts w:ascii="Arial" w:hAnsi="Arial" w:cs="Arial"/>
          <w:sz w:val="20"/>
        </w:rPr>
        <w:t xml:space="preserve"> or New Construction</w:t>
      </w:r>
      <w:r w:rsidRPr="00C10056">
        <w:rPr>
          <w:rFonts w:ascii="Arial" w:hAnsi="Arial" w:cs="Arial"/>
          <w:sz w:val="20"/>
        </w:rPr>
        <w:t>.</w:t>
      </w:r>
      <w:r w:rsidRPr="00C10056">
        <w:rPr>
          <w:rFonts w:ascii="Arial" w:hAnsi="Arial" w:cs="Arial"/>
          <w:sz w:val="20"/>
          <w:szCs w:val="20"/>
        </w:rPr>
        <w:t xml:space="preserve"> The rebate incentivizes the choice of energy efficient equipment over the base case </w:t>
      </w:r>
      <w:r w:rsidR="00D46E0B" w:rsidRPr="00C10056">
        <w:rPr>
          <w:rFonts w:ascii="Arial" w:hAnsi="Arial" w:cs="Arial"/>
          <w:sz w:val="20"/>
          <w:szCs w:val="20"/>
        </w:rPr>
        <w:t xml:space="preserve">equipment, which </w:t>
      </w:r>
      <w:r w:rsidR="00AE2EBA" w:rsidRPr="00C10056">
        <w:rPr>
          <w:rFonts w:ascii="Arial" w:hAnsi="Arial" w:cs="Arial"/>
          <w:sz w:val="20"/>
          <w:szCs w:val="20"/>
        </w:rPr>
        <w:t xml:space="preserve">is </w:t>
      </w:r>
      <w:r w:rsidR="00D46E0B" w:rsidRPr="00C10056">
        <w:rPr>
          <w:rFonts w:ascii="Arial" w:hAnsi="Arial" w:cs="Arial"/>
          <w:sz w:val="20"/>
          <w:szCs w:val="20"/>
        </w:rPr>
        <w:t xml:space="preserve">a </w:t>
      </w:r>
      <w:r w:rsidR="0049390F">
        <w:rPr>
          <w:rFonts w:ascii="Arial" w:hAnsi="Arial" w:cs="Arial"/>
          <w:sz w:val="20"/>
          <w:szCs w:val="20"/>
        </w:rPr>
        <w:t>Linear Fluorescent</w:t>
      </w:r>
      <w:r w:rsidR="00AE2EBA" w:rsidRPr="00C10056">
        <w:rPr>
          <w:rFonts w:ascii="Arial" w:hAnsi="Arial" w:cs="Arial"/>
          <w:sz w:val="20"/>
          <w:szCs w:val="20"/>
        </w:rPr>
        <w:t xml:space="preserve"> T8 </w:t>
      </w:r>
      <w:r w:rsidR="0049390F">
        <w:rPr>
          <w:rFonts w:ascii="Arial" w:hAnsi="Arial" w:cs="Arial"/>
          <w:sz w:val="20"/>
          <w:szCs w:val="20"/>
        </w:rPr>
        <w:t>fixture or retrofit kit.</w:t>
      </w:r>
    </w:p>
    <w:p w14:paraId="5EB8A31D" w14:textId="77777777" w:rsidR="0057057B" w:rsidRDefault="0057057B" w:rsidP="00CB4218">
      <w:pPr>
        <w:ind w:left="360"/>
        <w:rPr>
          <w:rFonts w:ascii="Arial" w:hAnsi="Arial" w:cs="Arial"/>
          <w:sz w:val="20"/>
          <w:szCs w:val="20"/>
        </w:rPr>
      </w:pPr>
    </w:p>
    <w:p w14:paraId="5EB8A31E" w14:textId="77777777" w:rsidR="00521920" w:rsidRDefault="00806070" w:rsidP="00C8399F">
      <w:pPr>
        <w:pStyle w:val="Heading2"/>
      </w:pPr>
      <w:bookmarkStart w:id="14" w:name="_Toc468797902"/>
      <w:r w:rsidRPr="00C10056">
        <w:t xml:space="preserve">1.2 Product </w:t>
      </w:r>
      <w:r w:rsidR="00521920" w:rsidRPr="00C10056">
        <w:t>Technical Description</w:t>
      </w:r>
      <w:bookmarkEnd w:id="14"/>
    </w:p>
    <w:p w14:paraId="5EB8A31F" w14:textId="77777777" w:rsidR="0014799F" w:rsidRDefault="0014799F" w:rsidP="0014799F"/>
    <w:p w14:paraId="5EB8A320" w14:textId="77777777" w:rsidR="001F2CDE" w:rsidRDefault="001F2CDE" w:rsidP="0014799F">
      <w:pPr>
        <w:rPr>
          <w:rFonts w:ascii="Arial" w:hAnsi="Arial" w:cs="Arial"/>
          <w:sz w:val="20"/>
        </w:rPr>
      </w:pPr>
      <w:r w:rsidRPr="00C10056">
        <w:rPr>
          <w:rFonts w:ascii="Arial" w:hAnsi="Arial" w:cs="Arial"/>
          <w:sz w:val="20"/>
        </w:rPr>
        <w:t xml:space="preserve">Light emitting diode (LED) sources have improved over the past decade making them an efficient and reliable lighting technology. Many LED products </w:t>
      </w:r>
      <w:r w:rsidRPr="00A36F2B">
        <w:rPr>
          <w:rFonts w:ascii="Arial" w:hAnsi="Arial" w:cs="Arial"/>
          <w:sz w:val="20"/>
        </w:rPr>
        <w:t>have successfully replaced</w:t>
      </w:r>
      <w:r w:rsidRPr="00C10056">
        <w:rPr>
          <w:rFonts w:ascii="Arial" w:hAnsi="Arial" w:cs="Arial"/>
          <w:sz w:val="20"/>
        </w:rPr>
        <w:t xml:space="preserve"> other lighting sources</w:t>
      </w:r>
      <w:r w:rsidR="00051043">
        <w:rPr>
          <w:rFonts w:ascii="Arial" w:hAnsi="Arial" w:cs="Arial"/>
          <w:sz w:val="20"/>
        </w:rPr>
        <w:t xml:space="preserve"> in some applications</w:t>
      </w:r>
      <w:r w:rsidRPr="00C10056">
        <w:rPr>
          <w:rFonts w:ascii="Arial" w:hAnsi="Arial" w:cs="Arial"/>
          <w:sz w:val="20"/>
        </w:rPr>
        <w:t xml:space="preserve"> and made their way into the market through continuous improvement and compete with more established sources across many applications.</w:t>
      </w:r>
    </w:p>
    <w:p w14:paraId="5EB8A321" w14:textId="77777777" w:rsidR="001F2CDE" w:rsidRDefault="001F2CDE" w:rsidP="0014799F">
      <w:pPr>
        <w:rPr>
          <w:rFonts w:ascii="Arial" w:hAnsi="Arial" w:cs="Arial"/>
          <w:sz w:val="20"/>
        </w:rPr>
      </w:pPr>
    </w:p>
    <w:p w14:paraId="5EB8A322" w14:textId="77777777" w:rsidR="001F2CDE" w:rsidRDefault="001F2CDE" w:rsidP="0014799F">
      <w:pPr>
        <w:rPr>
          <w:rFonts w:ascii="Arial" w:hAnsi="Arial" w:cs="Arial"/>
          <w:sz w:val="20"/>
        </w:rPr>
      </w:pPr>
      <w:r w:rsidRPr="004B14B6">
        <w:rPr>
          <w:rFonts w:ascii="Arial" w:hAnsi="Arial" w:cs="Arial"/>
          <w:sz w:val="20"/>
        </w:rPr>
        <w:t>Recessed</w:t>
      </w:r>
      <w:r w:rsidR="004B14B6" w:rsidRPr="00E20F5E">
        <w:rPr>
          <w:rFonts w:ascii="Arial" w:hAnsi="Arial" w:cs="Arial"/>
          <w:sz w:val="20"/>
        </w:rPr>
        <w:t xml:space="preserve"> rectangular light</w:t>
      </w:r>
      <w:r w:rsidRPr="00E20F5E">
        <w:rPr>
          <w:rFonts w:ascii="Arial" w:hAnsi="Arial" w:cs="Arial"/>
          <w:sz w:val="20"/>
        </w:rPr>
        <w:t xml:space="preserve"> fixtur</w:t>
      </w:r>
      <w:r w:rsidRPr="00C10056">
        <w:rPr>
          <w:rFonts w:ascii="Arial" w:hAnsi="Arial" w:cs="Arial"/>
          <w:sz w:val="20"/>
        </w:rPr>
        <w:t>es</w:t>
      </w:r>
      <w:r>
        <w:rPr>
          <w:rFonts w:ascii="Arial" w:hAnsi="Arial" w:cs="Arial"/>
          <w:sz w:val="20"/>
        </w:rPr>
        <w:t>, sometimes known as troffers,</w:t>
      </w:r>
      <w:r w:rsidRPr="00C10056">
        <w:rPr>
          <w:rFonts w:ascii="Arial" w:hAnsi="Arial" w:cs="Arial"/>
          <w:sz w:val="20"/>
        </w:rPr>
        <w:t xml:space="preserve"> have traditionally used </w:t>
      </w:r>
      <w:r>
        <w:rPr>
          <w:rFonts w:ascii="Arial" w:hAnsi="Arial" w:cs="Arial"/>
          <w:sz w:val="20"/>
        </w:rPr>
        <w:t>linear fluorescent light sources: T8 lamps predominate currently, with small T5 market share and a diminishing T12 presence in non-residential building stock. Similar fixture shapes are in use for much less common surface mountings in non-residential buildings, for spaces where recessed ceiling space is unavailable but ease of maintenance dictates a common lamp type. 4 foot lamps predominate, with 2 foot or U-bent 4 foot lamps also common.</w:t>
      </w:r>
    </w:p>
    <w:p w14:paraId="5EB8A323" w14:textId="77777777" w:rsidR="001F2CDE" w:rsidRDefault="001F2CDE" w:rsidP="0014799F">
      <w:pPr>
        <w:rPr>
          <w:rFonts w:ascii="Arial" w:hAnsi="Arial" w:cs="Arial"/>
          <w:sz w:val="20"/>
          <w:highlight w:val="yellow"/>
        </w:rPr>
      </w:pPr>
    </w:p>
    <w:p w14:paraId="5EB8A324" w14:textId="77777777" w:rsidR="0014799F" w:rsidRPr="0014799F" w:rsidRDefault="001F2CDE" w:rsidP="0014799F">
      <w:pPr>
        <w:rPr>
          <w:rFonts w:ascii="Arial" w:hAnsi="Arial" w:cs="Arial"/>
          <w:sz w:val="20"/>
          <w:highlight w:val="yellow"/>
        </w:rPr>
      </w:pPr>
      <w:r w:rsidRPr="001F2CDE">
        <w:rPr>
          <w:rFonts w:ascii="Arial" w:hAnsi="Arial" w:cs="Arial"/>
          <w:sz w:val="20"/>
        </w:rPr>
        <w:t>LED</w:t>
      </w:r>
      <w:r w:rsidR="0014799F" w:rsidRPr="001F2CDE">
        <w:rPr>
          <w:rFonts w:ascii="Arial" w:hAnsi="Arial" w:cs="Arial"/>
          <w:sz w:val="20"/>
        </w:rPr>
        <w:t xml:space="preserve"> products offer advantages over linear fluorescent products for the general commercial fixture market. LED chip efficacies now routinely surpass the best fluorescent lamp-and-ballast system efficacies, and the superior directional light control of LEDs allows even greater fixture efficacy improvements. LED products reduce maintenance costs relative to linear fluorescent products that require re</w:t>
      </w:r>
      <w:r w:rsidRPr="001F2CDE">
        <w:rPr>
          <w:rFonts w:ascii="Arial" w:hAnsi="Arial" w:cs="Arial"/>
          <w:sz w:val="20"/>
        </w:rPr>
        <w:t>-</w:t>
      </w:r>
      <w:r w:rsidR="0014799F" w:rsidRPr="001F2CDE">
        <w:rPr>
          <w:rFonts w:ascii="Arial" w:hAnsi="Arial" w:cs="Arial"/>
          <w:sz w:val="20"/>
        </w:rPr>
        <w:t>lamping.</w:t>
      </w:r>
      <w:r w:rsidR="0014799F" w:rsidRPr="001F2CDE">
        <w:rPr>
          <w:rFonts w:ascii="Arial" w:hAnsi="Arial" w:cs="Arial"/>
          <w:sz w:val="20"/>
          <w:szCs w:val="20"/>
        </w:rPr>
        <w:t xml:space="preserve"> Linear fluorescent lighting represents 72% of energy use in the commercial lighting sector and 80% of all commercial light fixtures, and therefore represents an enormous opportunity for potential LED savings.</w:t>
      </w:r>
      <w:r w:rsidR="00E41399">
        <w:rPr>
          <w:rStyle w:val="EndnoteReference"/>
          <w:rFonts w:ascii="Arial" w:hAnsi="Arial" w:cs="Arial"/>
          <w:sz w:val="20"/>
          <w:szCs w:val="20"/>
        </w:rPr>
        <w:endnoteReference w:id="1"/>
      </w:r>
    </w:p>
    <w:p w14:paraId="5EB8A325" w14:textId="77777777" w:rsidR="0014799F" w:rsidRPr="0014799F" w:rsidRDefault="0014799F" w:rsidP="0014799F">
      <w:pPr>
        <w:rPr>
          <w:rFonts w:ascii="Arial" w:hAnsi="Arial" w:cs="Arial"/>
          <w:sz w:val="20"/>
          <w:highlight w:val="yellow"/>
        </w:rPr>
      </w:pPr>
    </w:p>
    <w:p w14:paraId="5EB8A326" w14:textId="77777777" w:rsidR="0014799F" w:rsidRDefault="0014799F" w:rsidP="0014799F">
      <w:pPr>
        <w:rPr>
          <w:rFonts w:ascii="Arial" w:hAnsi="Arial" w:cs="Arial"/>
          <w:sz w:val="20"/>
        </w:rPr>
      </w:pPr>
      <w:r w:rsidRPr="001F2CDE">
        <w:rPr>
          <w:rFonts w:ascii="Arial" w:hAnsi="Arial" w:cs="Arial"/>
          <w:sz w:val="20"/>
        </w:rPr>
        <w:t xml:space="preserve">LED Ambient </w:t>
      </w:r>
      <w:r w:rsidR="001F2CDE" w:rsidRPr="001F2CDE">
        <w:rPr>
          <w:rFonts w:ascii="Arial" w:hAnsi="Arial" w:cs="Arial"/>
          <w:sz w:val="20"/>
        </w:rPr>
        <w:t>Commercial products</w:t>
      </w:r>
      <w:r w:rsidRPr="001F2CDE">
        <w:rPr>
          <w:rFonts w:ascii="Arial" w:hAnsi="Arial" w:cs="Arial"/>
          <w:sz w:val="20"/>
        </w:rPr>
        <w:t xml:space="preserve">, which are most commonly used in recessed ceilings but may also be surface-mounted or suspended, are available both as complete new fixtures (a.k.a. luminaires) and as </w:t>
      </w:r>
      <w:r w:rsidR="00F013FE" w:rsidRPr="009E22EA">
        <w:rPr>
          <w:rFonts w:ascii="Arial" w:hAnsi="Arial" w:cs="Arial"/>
          <w:sz w:val="20"/>
        </w:rPr>
        <w:t xml:space="preserve">integrated </w:t>
      </w:r>
      <w:r w:rsidRPr="009E22EA">
        <w:rPr>
          <w:rFonts w:ascii="Arial" w:hAnsi="Arial" w:cs="Arial"/>
          <w:sz w:val="20"/>
        </w:rPr>
        <w:t xml:space="preserve">retrofit </w:t>
      </w:r>
      <w:r w:rsidRPr="001F2CDE">
        <w:rPr>
          <w:rFonts w:ascii="Arial" w:hAnsi="Arial" w:cs="Arial"/>
          <w:sz w:val="20"/>
        </w:rPr>
        <w:t>kits. Both options include new LED chips, an LED driver or power supply, and optical control or lenses.  Retrofit kits allow these components to be fit into existing linear fluorescent metal housing, whereas new LED luminaires are sold complete with a new metal housing.</w:t>
      </w:r>
    </w:p>
    <w:p w14:paraId="5EB8A327" w14:textId="77777777" w:rsidR="0014799F" w:rsidRPr="0014799F" w:rsidRDefault="0014799F" w:rsidP="0014799F"/>
    <w:p w14:paraId="5EB8A328" w14:textId="77777777" w:rsidR="00F7335F" w:rsidRPr="00F7335F" w:rsidRDefault="00F7335F" w:rsidP="00917583">
      <w:pPr>
        <w:autoSpaceDE w:val="0"/>
        <w:autoSpaceDN w:val="0"/>
        <w:adjustRightInd w:val="0"/>
        <w:rPr>
          <w:rFonts w:ascii="Arial" w:hAnsi="Arial" w:cs="Arial"/>
          <w:sz w:val="20"/>
          <w:vertAlign w:val="superscript"/>
        </w:rPr>
      </w:pPr>
      <w:r>
        <w:rPr>
          <w:rFonts w:ascii="Arial" w:hAnsi="Arial" w:cs="Arial"/>
          <w:sz w:val="20"/>
        </w:rPr>
        <w:t xml:space="preserve">Two Emerging Technology reports commissioned by PG&amp;E’s ET Program have demonstrated savings potential from these measures and allowed PG&amp;E to refine the requirements and specifications for these measures: </w:t>
      </w:r>
      <w:r w:rsidRPr="00976985">
        <w:rPr>
          <w:rFonts w:ascii="Arial" w:hAnsi="Arial" w:cs="Arial"/>
          <w:sz w:val="20"/>
          <w:szCs w:val="20"/>
        </w:rPr>
        <w:t>ET12PGE1481</w:t>
      </w:r>
      <w:r>
        <w:rPr>
          <w:rFonts w:ascii="Arial" w:hAnsi="Arial" w:cs="Arial"/>
          <w:sz w:val="20"/>
          <w:szCs w:val="20"/>
        </w:rPr>
        <w:t xml:space="preserve"> and </w:t>
      </w:r>
      <w:r w:rsidRPr="00976985">
        <w:rPr>
          <w:rFonts w:ascii="Arial" w:hAnsi="Arial" w:cs="Arial"/>
          <w:sz w:val="20"/>
          <w:szCs w:val="20"/>
        </w:rPr>
        <w:t>ET11PGE3251</w:t>
      </w:r>
      <w:r>
        <w:rPr>
          <w:rFonts w:ascii="Arial" w:hAnsi="Arial" w:cs="Arial"/>
          <w:sz w:val="20"/>
          <w:szCs w:val="20"/>
        </w:rPr>
        <w:t>.</w:t>
      </w:r>
      <w:r w:rsidRPr="00F7335F">
        <w:rPr>
          <w:rFonts w:ascii="Arial" w:hAnsi="Arial" w:cs="Arial"/>
          <w:sz w:val="20"/>
          <w:szCs w:val="20"/>
          <w:vertAlign w:val="superscript"/>
        </w:rPr>
        <w:fldChar w:fldCharType="begin"/>
      </w:r>
      <w:r w:rsidRPr="00F7335F">
        <w:rPr>
          <w:rFonts w:ascii="Arial" w:hAnsi="Arial" w:cs="Arial"/>
          <w:sz w:val="20"/>
          <w:szCs w:val="20"/>
          <w:vertAlign w:val="superscript"/>
        </w:rPr>
        <w:instrText xml:space="preserve"> NOTEREF _Ref416193131 \h </w:instrText>
      </w:r>
      <w:r>
        <w:rPr>
          <w:rFonts w:ascii="Arial" w:hAnsi="Arial" w:cs="Arial"/>
          <w:sz w:val="20"/>
          <w:szCs w:val="20"/>
          <w:vertAlign w:val="superscript"/>
        </w:rPr>
        <w:instrText xml:space="preserve"> \* MERGEFORMAT </w:instrText>
      </w:r>
      <w:r w:rsidRPr="00F7335F">
        <w:rPr>
          <w:rFonts w:ascii="Arial" w:hAnsi="Arial" w:cs="Arial"/>
          <w:sz w:val="20"/>
          <w:szCs w:val="20"/>
          <w:vertAlign w:val="superscript"/>
        </w:rPr>
      </w:r>
      <w:r w:rsidRPr="00F7335F">
        <w:rPr>
          <w:rFonts w:ascii="Arial" w:hAnsi="Arial" w:cs="Arial"/>
          <w:sz w:val="20"/>
          <w:szCs w:val="20"/>
          <w:vertAlign w:val="superscript"/>
        </w:rPr>
        <w:fldChar w:fldCharType="separate"/>
      </w:r>
      <w:r w:rsidR="00264804">
        <w:rPr>
          <w:rFonts w:ascii="Arial" w:hAnsi="Arial" w:cs="Arial"/>
          <w:sz w:val="20"/>
          <w:szCs w:val="20"/>
          <w:vertAlign w:val="superscript"/>
        </w:rPr>
        <w:t>4</w:t>
      </w:r>
      <w:r w:rsidRPr="00F7335F">
        <w:rPr>
          <w:rFonts w:ascii="Arial" w:hAnsi="Arial" w:cs="Arial"/>
          <w:sz w:val="20"/>
          <w:szCs w:val="20"/>
          <w:vertAlign w:val="superscript"/>
        </w:rPr>
        <w:fldChar w:fldCharType="end"/>
      </w:r>
      <w:proofErr w:type="gramStart"/>
      <w:r w:rsidRPr="00F7335F">
        <w:rPr>
          <w:rFonts w:ascii="Arial" w:hAnsi="Arial" w:cs="Arial"/>
          <w:sz w:val="20"/>
          <w:szCs w:val="20"/>
          <w:vertAlign w:val="superscript"/>
        </w:rPr>
        <w:t>,</w:t>
      </w:r>
      <w:proofErr w:type="gramEnd"/>
      <w:r w:rsidRPr="00F7335F">
        <w:rPr>
          <w:rFonts w:ascii="Arial" w:hAnsi="Arial" w:cs="Arial"/>
          <w:sz w:val="20"/>
          <w:szCs w:val="20"/>
          <w:vertAlign w:val="superscript"/>
        </w:rPr>
        <w:fldChar w:fldCharType="begin"/>
      </w:r>
      <w:r w:rsidRPr="00F7335F">
        <w:rPr>
          <w:rFonts w:ascii="Arial" w:hAnsi="Arial" w:cs="Arial"/>
          <w:sz w:val="20"/>
          <w:szCs w:val="20"/>
          <w:vertAlign w:val="superscript"/>
        </w:rPr>
        <w:instrText xml:space="preserve"> NOTEREF _Ref416193138 \h </w:instrText>
      </w:r>
      <w:r>
        <w:rPr>
          <w:rFonts w:ascii="Arial" w:hAnsi="Arial" w:cs="Arial"/>
          <w:sz w:val="20"/>
          <w:szCs w:val="20"/>
          <w:vertAlign w:val="superscript"/>
        </w:rPr>
        <w:instrText xml:space="preserve"> \* MERGEFORMAT </w:instrText>
      </w:r>
      <w:r w:rsidRPr="00F7335F">
        <w:rPr>
          <w:rFonts w:ascii="Arial" w:hAnsi="Arial" w:cs="Arial"/>
          <w:sz w:val="20"/>
          <w:szCs w:val="20"/>
          <w:vertAlign w:val="superscript"/>
        </w:rPr>
      </w:r>
      <w:r w:rsidRPr="00F7335F">
        <w:rPr>
          <w:rFonts w:ascii="Arial" w:hAnsi="Arial" w:cs="Arial"/>
          <w:sz w:val="20"/>
          <w:szCs w:val="20"/>
          <w:vertAlign w:val="superscript"/>
        </w:rPr>
        <w:fldChar w:fldCharType="separate"/>
      </w:r>
      <w:r w:rsidR="00264804">
        <w:rPr>
          <w:rFonts w:ascii="Arial" w:hAnsi="Arial" w:cs="Arial"/>
          <w:sz w:val="20"/>
          <w:szCs w:val="20"/>
          <w:vertAlign w:val="superscript"/>
        </w:rPr>
        <w:t>5</w:t>
      </w:r>
      <w:r w:rsidRPr="00F7335F">
        <w:rPr>
          <w:rFonts w:ascii="Arial" w:hAnsi="Arial" w:cs="Arial"/>
          <w:sz w:val="20"/>
          <w:szCs w:val="20"/>
          <w:vertAlign w:val="superscript"/>
        </w:rPr>
        <w:fldChar w:fldCharType="end"/>
      </w:r>
    </w:p>
    <w:p w14:paraId="5EB8A329" w14:textId="77777777" w:rsidR="002A22A4" w:rsidRDefault="002A22A4" w:rsidP="00917583">
      <w:pPr>
        <w:autoSpaceDE w:val="0"/>
        <w:autoSpaceDN w:val="0"/>
        <w:adjustRightInd w:val="0"/>
        <w:rPr>
          <w:rFonts w:ascii="Arial" w:hAnsi="Arial" w:cs="Arial"/>
          <w:sz w:val="20"/>
        </w:rPr>
      </w:pPr>
    </w:p>
    <w:p w14:paraId="5EB8A32A" w14:textId="77777777" w:rsidR="002A22A4" w:rsidRDefault="002A22A4" w:rsidP="00917583">
      <w:pPr>
        <w:autoSpaceDE w:val="0"/>
        <w:autoSpaceDN w:val="0"/>
        <w:adjustRightInd w:val="0"/>
        <w:rPr>
          <w:rFonts w:ascii="Arial" w:hAnsi="Arial" w:cs="Arial"/>
          <w:sz w:val="20"/>
        </w:rPr>
      </w:pPr>
      <w:r>
        <w:rPr>
          <w:rFonts w:ascii="Arial" w:hAnsi="Arial" w:cs="Arial"/>
          <w:sz w:val="20"/>
        </w:rPr>
        <w:t xml:space="preserve">Improvements in LED technology, particularly </w:t>
      </w:r>
      <w:r w:rsidR="008F5A5D">
        <w:rPr>
          <w:rFonts w:ascii="Arial" w:hAnsi="Arial" w:cs="Arial"/>
          <w:sz w:val="20"/>
        </w:rPr>
        <w:t>improving efficacies able to compete with and exceed the best T8 lamp-and-ballast systems producing over 95 lumens per Watt</w:t>
      </w:r>
      <w:r>
        <w:rPr>
          <w:rFonts w:ascii="Arial" w:hAnsi="Arial" w:cs="Arial"/>
          <w:sz w:val="20"/>
        </w:rPr>
        <w:t xml:space="preserve">, have made </w:t>
      </w:r>
      <w:r w:rsidR="00332E5C">
        <w:rPr>
          <w:rFonts w:ascii="Arial" w:hAnsi="Arial" w:cs="Arial"/>
          <w:sz w:val="20"/>
        </w:rPr>
        <w:t xml:space="preserve">LED </w:t>
      </w:r>
      <w:r w:rsidR="008F5A5D">
        <w:rPr>
          <w:rFonts w:ascii="Arial" w:hAnsi="Arial" w:cs="Arial"/>
          <w:sz w:val="20"/>
        </w:rPr>
        <w:t xml:space="preserve">panel </w:t>
      </w:r>
      <w:r w:rsidR="00332E5C">
        <w:rPr>
          <w:rFonts w:ascii="Arial" w:hAnsi="Arial" w:cs="Arial"/>
          <w:sz w:val="20"/>
        </w:rPr>
        <w:t>fixtures feasible. These are fixt</w:t>
      </w:r>
      <w:r w:rsidR="008F5A5D">
        <w:rPr>
          <w:rFonts w:ascii="Arial" w:hAnsi="Arial" w:cs="Arial"/>
          <w:sz w:val="20"/>
        </w:rPr>
        <w:t>ures with output of at least 1,500 lumens.  Currently DLC requires</w:t>
      </w:r>
      <w:r w:rsidR="00332E5C">
        <w:rPr>
          <w:rFonts w:ascii="Arial" w:hAnsi="Arial" w:cs="Arial"/>
          <w:sz w:val="20"/>
        </w:rPr>
        <w:t xml:space="preserve"> LED </w:t>
      </w:r>
      <w:r w:rsidR="008F5A5D">
        <w:rPr>
          <w:rFonts w:ascii="Arial" w:hAnsi="Arial" w:cs="Arial"/>
          <w:sz w:val="20"/>
        </w:rPr>
        <w:t>panels and kits</w:t>
      </w:r>
      <w:r w:rsidR="00332E5C">
        <w:rPr>
          <w:rFonts w:ascii="Arial" w:hAnsi="Arial" w:cs="Arial"/>
          <w:sz w:val="20"/>
        </w:rPr>
        <w:t xml:space="preserve"> achieve output</w:t>
      </w:r>
      <w:r w:rsidR="008F5A5D">
        <w:rPr>
          <w:rFonts w:ascii="Arial" w:hAnsi="Arial" w:cs="Arial"/>
          <w:sz w:val="20"/>
        </w:rPr>
        <w:t xml:space="preserve"> of at least 1,500 lumens.  Panels eligible for these measure codes shall have initial light output rated between </w:t>
      </w:r>
      <w:r w:rsidR="008F5A5D">
        <w:rPr>
          <w:rFonts w:ascii="Arial" w:hAnsi="Arial" w:cs="Arial"/>
          <w:color w:val="000000"/>
          <w:sz w:val="20"/>
        </w:rPr>
        <w:t>2</w:t>
      </w:r>
      <w:r w:rsidR="00F013FE">
        <w:rPr>
          <w:rFonts w:ascii="Arial" w:hAnsi="Arial" w:cs="Arial"/>
          <w:color w:val="FF0000"/>
          <w:sz w:val="20"/>
        </w:rPr>
        <w:t>,</w:t>
      </w:r>
      <w:r w:rsidR="008F5A5D">
        <w:rPr>
          <w:rFonts w:ascii="Arial" w:hAnsi="Arial" w:cs="Arial"/>
          <w:color w:val="000000"/>
          <w:sz w:val="20"/>
        </w:rPr>
        <w:t>200 lumens and 6</w:t>
      </w:r>
      <w:r w:rsidR="00F013FE">
        <w:rPr>
          <w:rFonts w:ascii="Arial" w:hAnsi="Arial" w:cs="Arial"/>
          <w:color w:val="FF0000"/>
          <w:sz w:val="20"/>
        </w:rPr>
        <w:t>,</w:t>
      </w:r>
      <w:r w:rsidR="008F5A5D">
        <w:rPr>
          <w:rFonts w:ascii="Arial" w:hAnsi="Arial" w:cs="Arial"/>
          <w:color w:val="000000"/>
          <w:sz w:val="20"/>
        </w:rPr>
        <w:t xml:space="preserve">500 </w:t>
      </w:r>
      <w:r w:rsidR="00332E5C">
        <w:rPr>
          <w:rFonts w:ascii="Arial" w:hAnsi="Arial" w:cs="Arial"/>
          <w:sz w:val="20"/>
        </w:rPr>
        <w:t>lumens.</w:t>
      </w:r>
    </w:p>
    <w:p w14:paraId="5EB8A32B" w14:textId="77777777" w:rsidR="00332E5C" w:rsidRDefault="00332E5C" w:rsidP="00917583">
      <w:pPr>
        <w:autoSpaceDE w:val="0"/>
        <w:autoSpaceDN w:val="0"/>
        <w:adjustRightInd w:val="0"/>
        <w:rPr>
          <w:rFonts w:ascii="Arial" w:hAnsi="Arial" w:cs="Arial"/>
          <w:sz w:val="20"/>
        </w:rPr>
      </w:pPr>
    </w:p>
    <w:p w14:paraId="5EB8A32C" w14:textId="77777777" w:rsidR="00332E5C" w:rsidRDefault="00332E5C" w:rsidP="00917583">
      <w:pPr>
        <w:autoSpaceDE w:val="0"/>
        <w:autoSpaceDN w:val="0"/>
        <w:adjustRightInd w:val="0"/>
        <w:rPr>
          <w:rFonts w:ascii="Arial" w:hAnsi="Arial" w:cs="Arial"/>
          <w:sz w:val="20"/>
        </w:rPr>
      </w:pPr>
      <w:r w:rsidRPr="009E22EA">
        <w:rPr>
          <w:rFonts w:ascii="Arial" w:hAnsi="Arial" w:cs="Arial"/>
          <w:sz w:val="20"/>
        </w:rPr>
        <w:t xml:space="preserve">LED fixtures under this workpaper are assigned a measure code according to </w:t>
      </w:r>
      <w:r w:rsidR="008F5A5D" w:rsidRPr="009E22EA">
        <w:rPr>
          <w:rFonts w:ascii="Arial" w:hAnsi="Arial" w:cs="Arial"/>
          <w:sz w:val="20"/>
        </w:rPr>
        <w:t>efficacy</w:t>
      </w:r>
      <w:r w:rsidR="00F013FE" w:rsidRPr="009E22EA">
        <w:rPr>
          <w:rFonts w:ascii="Arial" w:hAnsi="Arial" w:cs="Arial"/>
          <w:sz w:val="20"/>
        </w:rPr>
        <w:t>, fixture type, and fixture size</w:t>
      </w:r>
      <w:r w:rsidRPr="009E22EA">
        <w:rPr>
          <w:rFonts w:ascii="Arial" w:hAnsi="Arial" w:cs="Arial"/>
          <w:sz w:val="20"/>
        </w:rPr>
        <w:t>.</w:t>
      </w:r>
      <w:r w:rsidR="008F5A5D" w:rsidRPr="009E22EA">
        <w:rPr>
          <w:rFonts w:ascii="Arial" w:hAnsi="Arial" w:cs="Arial"/>
          <w:sz w:val="20"/>
        </w:rPr>
        <w:t xml:space="preserve"> </w:t>
      </w:r>
      <w:r w:rsidR="008F5A5D">
        <w:rPr>
          <w:rFonts w:ascii="Arial" w:hAnsi="Arial" w:cs="Arial"/>
          <w:sz w:val="20"/>
        </w:rPr>
        <w:t>The energy impact common unit is the kilolumen of initial rated light output for the LED fixture, according to the DLC</w:t>
      </w:r>
      <w:r w:rsidR="007B2D41">
        <w:rPr>
          <w:rFonts w:ascii="Arial" w:hAnsi="Arial" w:cs="Arial"/>
          <w:sz w:val="20"/>
        </w:rPr>
        <w:t xml:space="preserve"> listing. </w:t>
      </w:r>
    </w:p>
    <w:p w14:paraId="5EB8A32D" w14:textId="77777777" w:rsidR="00EE3912" w:rsidRDefault="00EE3912" w:rsidP="00917583">
      <w:pPr>
        <w:autoSpaceDE w:val="0"/>
        <w:autoSpaceDN w:val="0"/>
        <w:adjustRightInd w:val="0"/>
        <w:rPr>
          <w:rFonts w:ascii="Arial" w:hAnsi="Arial" w:cs="Arial"/>
          <w:sz w:val="20"/>
        </w:rPr>
      </w:pPr>
    </w:p>
    <w:p w14:paraId="5EB8A32E" w14:textId="77777777" w:rsidR="00C7064F" w:rsidRDefault="00917583" w:rsidP="00332E5C">
      <w:pPr>
        <w:autoSpaceDE w:val="0"/>
        <w:autoSpaceDN w:val="0"/>
        <w:adjustRightInd w:val="0"/>
      </w:pPr>
      <w:r w:rsidRPr="0008537D">
        <w:rPr>
          <w:rFonts w:ascii="Arial" w:hAnsi="Arial" w:cs="Arial"/>
          <w:sz w:val="20"/>
        </w:rPr>
        <w:t xml:space="preserve">This workpaper describes the energy savings associated with </w:t>
      </w:r>
      <w:r w:rsidR="009E22EA" w:rsidRPr="009E22EA">
        <w:rPr>
          <w:rFonts w:ascii="Arial" w:hAnsi="Arial" w:cs="Arial"/>
          <w:sz w:val="20"/>
        </w:rPr>
        <w:t>the</w:t>
      </w:r>
      <w:r w:rsidRPr="0008537D">
        <w:rPr>
          <w:rFonts w:ascii="Arial" w:hAnsi="Arial" w:cs="Arial"/>
          <w:sz w:val="20"/>
        </w:rPr>
        <w:t xml:space="preserve"> replacement of </w:t>
      </w:r>
      <w:r w:rsidR="00B67AB6">
        <w:rPr>
          <w:rFonts w:ascii="Arial" w:hAnsi="Arial" w:cs="Arial"/>
          <w:sz w:val="20"/>
        </w:rPr>
        <w:t>linear fluorescent</w:t>
      </w:r>
      <w:r w:rsidR="00332E5C">
        <w:rPr>
          <w:rFonts w:ascii="Arial" w:hAnsi="Arial" w:cs="Arial"/>
          <w:sz w:val="20"/>
        </w:rPr>
        <w:t xml:space="preserve"> fixtures</w:t>
      </w:r>
      <w:r w:rsidRPr="0008537D">
        <w:rPr>
          <w:rFonts w:ascii="Arial" w:hAnsi="Arial" w:cs="Arial"/>
          <w:sz w:val="20"/>
        </w:rPr>
        <w:t>.</w:t>
      </w:r>
      <w:r w:rsidRPr="0008537D">
        <w:rPr>
          <w:sz w:val="20"/>
        </w:rPr>
        <w:t xml:space="preserve"> </w:t>
      </w:r>
    </w:p>
    <w:p w14:paraId="5EB8A32F" w14:textId="77777777" w:rsidR="00FA5F99" w:rsidRPr="00746B00" w:rsidRDefault="009C5CA7" w:rsidP="00FA5F99">
      <w:pPr>
        <w:pStyle w:val="Heading2"/>
      </w:pPr>
      <w:bookmarkStart w:id="15" w:name="_Toc468797903"/>
      <w:r>
        <w:t>1.</w:t>
      </w:r>
      <w:r w:rsidR="00806070">
        <w:t>3</w:t>
      </w:r>
      <w:r>
        <w:t xml:space="preserve"> </w:t>
      </w:r>
      <w:r w:rsidR="00FA5F99" w:rsidRPr="00746B00">
        <w:t>Measure Application Type</w:t>
      </w:r>
      <w:bookmarkEnd w:id="15"/>
    </w:p>
    <w:p w14:paraId="5EB8A330" w14:textId="77777777" w:rsidR="00FA5F99" w:rsidRPr="00502494" w:rsidRDefault="00FA5F99" w:rsidP="00FA5F99">
      <w:pPr>
        <w:rPr>
          <w:rFonts w:ascii="Arial" w:hAnsi="Arial" w:cs="Arial"/>
          <w:sz w:val="20"/>
          <w:szCs w:val="20"/>
        </w:rPr>
      </w:pPr>
      <w:r w:rsidRPr="00502494">
        <w:rPr>
          <w:rFonts w:ascii="Arial" w:hAnsi="Arial" w:cs="Arial"/>
          <w:sz w:val="20"/>
          <w:szCs w:val="20"/>
        </w:rPr>
        <w:t xml:space="preserve">The DEER Measure Cost Data Users Guide found on </w:t>
      </w:r>
      <w:hyperlink r:id="rId16" w:history="1">
        <w:r w:rsidRPr="00502494">
          <w:rPr>
            <w:rStyle w:val="Hyperlink"/>
            <w:rFonts w:ascii="Arial" w:hAnsi="Arial" w:cs="Arial"/>
            <w:sz w:val="20"/>
            <w:szCs w:val="20"/>
          </w:rPr>
          <w:t>www.deeresources.com</w:t>
        </w:r>
      </w:hyperlink>
      <w:r w:rsidRPr="00502494">
        <w:rPr>
          <w:rFonts w:ascii="Arial" w:hAnsi="Arial" w:cs="Arial"/>
          <w:sz w:val="20"/>
          <w:szCs w:val="20"/>
        </w:rPr>
        <w:t xml:space="preserve"> under </w:t>
      </w:r>
      <w:r w:rsidRPr="00502494">
        <w:rPr>
          <w:rFonts w:ascii="Arial" w:hAnsi="Arial" w:cs="Arial"/>
          <w:i/>
          <w:sz w:val="20"/>
          <w:szCs w:val="20"/>
        </w:rPr>
        <w:t>DEER2011 Database Format</w:t>
      </w:r>
      <w:r w:rsidRPr="00502494">
        <w:rPr>
          <w:rFonts w:ascii="Arial" w:hAnsi="Arial" w:cs="Arial"/>
          <w:sz w:val="20"/>
          <w:szCs w:val="20"/>
        </w:rPr>
        <w:t xml:space="preserve"> hyperlink, </w:t>
      </w:r>
      <w:r w:rsidRPr="00502494">
        <w:rPr>
          <w:rStyle w:val="breadcrumbs"/>
          <w:color w:val="333333"/>
          <w:sz w:val="20"/>
          <w:szCs w:val="20"/>
          <w:lang w:val="en-GB"/>
        </w:rPr>
        <w:t>DEER2011 for 13-14</w:t>
      </w:r>
      <w:r w:rsidRPr="00502494">
        <w:rPr>
          <w:rFonts w:ascii="Arial" w:hAnsi="Arial" w:cs="Arial"/>
          <w:color w:val="333333"/>
          <w:sz w:val="20"/>
          <w:szCs w:val="20"/>
          <w:lang w:val="en-GB"/>
        </w:rPr>
        <w:t>,</w:t>
      </w:r>
      <w:r w:rsidRPr="00502494">
        <w:rPr>
          <w:rFonts w:ascii="Arial" w:hAnsi="Arial" w:cs="Arial"/>
          <w:sz w:val="20"/>
          <w:szCs w:val="20"/>
        </w:rPr>
        <w:t xml:space="preserve"> spreadsheet </w:t>
      </w:r>
      <w:r w:rsidRPr="00502494">
        <w:rPr>
          <w:rFonts w:ascii="Arial" w:hAnsi="Arial" w:cs="Arial"/>
          <w:i/>
          <w:sz w:val="20"/>
          <w:szCs w:val="20"/>
        </w:rPr>
        <w:t>SPTdata_format-V0.97.xls</w:t>
      </w:r>
      <w:r w:rsidRPr="00502494">
        <w:rPr>
          <w:rFonts w:ascii="Arial" w:hAnsi="Arial" w:cs="Arial"/>
          <w:sz w:val="20"/>
          <w:szCs w:val="20"/>
        </w:rPr>
        <w:t>, defines the terms as follows:</w:t>
      </w:r>
    </w:p>
    <w:p w14:paraId="5EB8A331" w14:textId="77777777" w:rsidR="00FA5F99" w:rsidRPr="00746B00" w:rsidRDefault="00FA5F99" w:rsidP="00FA5F99">
      <w:pPr>
        <w:rPr>
          <w:rFonts w:ascii="Arial" w:hAnsi="Arial" w:cs="Arial"/>
          <w:i/>
        </w:rPr>
      </w:pPr>
    </w:p>
    <w:p w14:paraId="5EB8A332" w14:textId="77777777" w:rsidR="00FA5F99" w:rsidRPr="002E6C39" w:rsidRDefault="00FA5F99" w:rsidP="00FA5F99">
      <w:pPr>
        <w:pStyle w:val="Caption"/>
        <w:keepNext/>
        <w:rPr>
          <w:sz w:val="26"/>
          <w:szCs w:val="26"/>
        </w:rPr>
      </w:pPr>
      <w:bookmarkStart w:id="16" w:name="_Toc324427642"/>
      <w:bookmarkStart w:id="17" w:name="_Toc383697824"/>
      <w:bookmarkStart w:id="18" w:name="_Toc468795520"/>
      <w:r w:rsidRPr="002E6C39">
        <w:t xml:space="preserve">Table </w:t>
      </w:r>
      <w:fldSimple w:instr=" SEQ Table \* ARABIC ">
        <w:r w:rsidR="00264804">
          <w:rPr>
            <w:noProof/>
          </w:rPr>
          <w:t>2</w:t>
        </w:r>
      </w:fldSimple>
      <w:bookmarkStart w:id="19" w:name="RANGE!B222"/>
      <w:r w:rsidRPr="002E6C39">
        <w:rPr>
          <w:sz w:val="26"/>
          <w:szCs w:val="26"/>
        </w:rPr>
        <w:t xml:space="preserve"> </w:t>
      </w:r>
      <w:r w:rsidR="009F47C3">
        <w:rPr>
          <w:sz w:val="26"/>
          <w:szCs w:val="26"/>
        </w:rPr>
        <w:t xml:space="preserve">- </w:t>
      </w:r>
      <w:r w:rsidRPr="002E6C39">
        <w:t>Measure Application Type</w:t>
      </w:r>
      <w:bookmarkEnd w:id="16"/>
      <w:bookmarkEnd w:id="19"/>
      <w:r w:rsidRPr="002E6C39">
        <w:rPr>
          <w:rStyle w:val="EndnoteReference"/>
        </w:rPr>
        <w:endnoteReference w:id="2"/>
      </w:r>
      <w:bookmarkEnd w:id="17"/>
      <w:bookmarkEnd w:id="18"/>
    </w:p>
    <w:p w14:paraId="5EB8A333" w14:textId="77777777" w:rsidR="00FA5F99" w:rsidRDefault="00FA5F99" w:rsidP="00FA5F99">
      <w:pPr>
        <w:keepNext/>
        <w:rPr>
          <w:rFonts w:ascii="Arial" w:hAnsi="Arial" w:cs="Arial"/>
          <w:sz w:val="20"/>
          <w:szCs w:val="20"/>
        </w:rPr>
      </w:pPr>
      <w:proofErr w:type="gramStart"/>
      <w:r w:rsidRPr="0019745A">
        <w:rPr>
          <w:rFonts w:ascii="Arial" w:hAnsi="Arial" w:cs="Arial"/>
          <w:sz w:val="20"/>
          <w:szCs w:val="20"/>
        </w:rPr>
        <w:t xml:space="preserve">Identifies the measure application type in the Measure </w:t>
      </w:r>
      <w:r w:rsidR="009E22EA" w:rsidRPr="0019745A">
        <w:rPr>
          <w:rFonts w:ascii="Arial" w:hAnsi="Arial" w:cs="Arial"/>
          <w:sz w:val="20"/>
          <w:szCs w:val="20"/>
        </w:rPr>
        <w:t>Implementation</w:t>
      </w:r>
      <w:r w:rsidRPr="0019745A">
        <w:rPr>
          <w:rFonts w:ascii="Arial" w:hAnsi="Arial" w:cs="Arial"/>
          <w:sz w:val="20"/>
          <w:szCs w:val="20"/>
        </w:rPr>
        <w:t xml:space="preserve"> table in DEER2011.</w:t>
      </w:r>
      <w:proofErr w:type="gramEnd"/>
    </w:p>
    <w:p w14:paraId="5EB8A334" w14:textId="77777777" w:rsidR="00FA5F99" w:rsidRPr="00746B00" w:rsidRDefault="00FA5F99" w:rsidP="00FA5F99">
      <w:pPr>
        <w:keepNext/>
        <w:rPr>
          <w:rFonts w:ascii="Arial" w:hAnsi="Arial" w:cs="Arial"/>
        </w:rPr>
      </w:pPr>
    </w:p>
    <w:tbl>
      <w:tblPr>
        <w:tblW w:w="9090" w:type="dxa"/>
        <w:tblInd w:w="108" w:type="dxa"/>
        <w:tblLook w:val="04A0" w:firstRow="1" w:lastRow="0" w:firstColumn="1" w:lastColumn="0" w:noHBand="0" w:noVBand="1"/>
      </w:tblPr>
      <w:tblGrid>
        <w:gridCol w:w="900"/>
        <w:gridCol w:w="2610"/>
        <w:gridCol w:w="5580"/>
      </w:tblGrid>
      <w:tr w:rsidR="00FA5F99" w:rsidRPr="00746B00" w14:paraId="5EB8A338" w14:textId="77777777" w:rsidTr="005C31D5">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5EB8A335" w14:textId="77777777" w:rsidR="00FA5F99" w:rsidRPr="00746B00" w:rsidRDefault="00FA5F99" w:rsidP="005C31D5">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5EB8A336" w14:textId="77777777" w:rsidR="00FA5F99" w:rsidRPr="00746B00" w:rsidRDefault="00FA5F99" w:rsidP="005C31D5">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5EB8A337" w14:textId="77777777" w:rsidR="00FA5F99" w:rsidRPr="00746B00" w:rsidRDefault="00FA5F99" w:rsidP="005C31D5">
            <w:pPr>
              <w:keepNext/>
              <w:rPr>
                <w:rFonts w:ascii="Arial" w:hAnsi="Arial" w:cs="Arial"/>
                <w:b/>
                <w:color w:val="000000"/>
                <w:szCs w:val="22"/>
              </w:rPr>
            </w:pPr>
            <w:r w:rsidRPr="00746B00">
              <w:rPr>
                <w:rFonts w:ascii="Arial" w:hAnsi="Arial" w:cs="Arial"/>
                <w:b/>
                <w:color w:val="000000"/>
                <w:szCs w:val="22"/>
              </w:rPr>
              <w:t>Comment</w:t>
            </w:r>
          </w:p>
        </w:tc>
      </w:tr>
      <w:tr w:rsidR="00FA5F99" w:rsidRPr="00746B00" w14:paraId="5EB8A33C" w14:textId="77777777" w:rsidTr="005C31D5">
        <w:trPr>
          <w:trHeight w:val="600"/>
        </w:trPr>
        <w:tc>
          <w:tcPr>
            <w:tcW w:w="900" w:type="dxa"/>
            <w:tcBorders>
              <w:top w:val="nil"/>
              <w:left w:val="single" w:sz="4" w:space="0" w:color="auto"/>
              <w:bottom w:val="nil"/>
              <w:right w:val="nil"/>
            </w:tcBorders>
            <w:shd w:val="clear" w:color="auto" w:fill="auto"/>
            <w:noWrap/>
            <w:vAlign w:val="center"/>
            <w:hideMark/>
          </w:tcPr>
          <w:p w14:paraId="5EB8A339" w14:textId="77777777" w:rsidR="00FA5F99" w:rsidRPr="0019745A" w:rsidRDefault="00FA5F99" w:rsidP="005C31D5">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14:paraId="5EB8A33A" w14:textId="77777777" w:rsidR="00FA5F99" w:rsidRPr="0019745A" w:rsidRDefault="00FA5F99" w:rsidP="005C31D5">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14:paraId="5EB8A33B" w14:textId="77777777" w:rsidR="00FA5F99" w:rsidRPr="0019745A" w:rsidRDefault="00FA5F99" w:rsidP="005C31D5">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FA5F99" w:rsidRPr="00746B00" w14:paraId="5EB8A340" w14:textId="77777777" w:rsidTr="005C31D5">
        <w:trPr>
          <w:trHeight w:val="600"/>
        </w:trPr>
        <w:tc>
          <w:tcPr>
            <w:tcW w:w="900" w:type="dxa"/>
            <w:tcBorders>
              <w:top w:val="nil"/>
              <w:left w:val="single" w:sz="4" w:space="0" w:color="auto"/>
              <w:bottom w:val="nil"/>
              <w:right w:val="nil"/>
            </w:tcBorders>
            <w:shd w:val="clear" w:color="auto" w:fill="auto"/>
            <w:noWrap/>
            <w:vAlign w:val="center"/>
            <w:hideMark/>
          </w:tcPr>
          <w:p w14:paraId="5EB8A33D" w14:textId="77777777" w:rsidR="00FA5F99" w:rsidRPr="0019745A" w:rsidRDefault="00FA5F99" w:rsidP="005C31D5">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14:paraId="5EB8A33E" w14:textId="77777777" w:rsidR="00FA5F99" w:rsidRPr="0019745A" w:rsidRDefault="00FA5F99" w:rsidP="005C31D5">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14:paraId="5EB8A33F" w14:textId="77777777" w:rsidR="00FA5F99" w:rsidRPr="0019745A" w:rsidRDefault="00FA5F99" w:rsidP="005C31D5">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FA5F99" w:rsidRPr="00746B00" w14:paraId="5EB8A344" w14:textId="77777777" w:rsidTr="005C31D5">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5EB8A341" w14:textId="77777777" w:rsidR="00FA5F99" w:rsidRPr="0019745A" w:rsidRDefault="00FA5F99" w:rsidP="005C31D5">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14:paraId="5EB8A342" w14:textId="77777777" w:rsidR="00FA5F99" w:rsidRPr="0019745A" w:rsidRDefault="00FA5F99" w:rsidP="005C31D5">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5EB8A343" w14:textId="77777777" w:rsidR="00FA5F99" w:rsidRPr="0019745A" w:rsidRDefault="00FA5F99" w:rsidP="005C31D5">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14:paraId="5EB8A345" w14:textId="77777777" w:rsidR="009B2260" w:rsidRDefault="009B2260" w:rsidP="00FA5F99">
      <w:pPr>
        <w:rPr>
          <w:rFonts w:ascii="Arial" w:hAnsi="Arial" w:cs="Arial"/>
          <w:sz w:val="20"/>
          <w:szCs w:val="20"/>
        </w:rPr>
      </w:pPr>
    </w:p>
    <w:p w14:paraId="5EB8A346" w14:textId="77777777" w:rsidR="00FA5F99" w:rsidRPr="00D42B26" w:rsidRDefault="00FA5F99" w:rsidP="00FA5F99">
      <w:pPr>
        <w:rPr>
          <w:rFonts w:ascii="Arial" w:hAnsi="Arial" w:cs="Arial"/>
        </w:rPr>
      </w:pPr>
      <w:r w:rsidRPr="0019745A">
        <w:rPr>
          <w:rFonts w:ascii="Arial" w:hAnsi="Arial" w:cs="Arial"/>
          <w:sz w:val="20"/>
          <w:szCs w:val="20"/>
        </w:rPr>
        <w:t xml:space="preserve">All the measures within this workpaper are </w:t>
      </w:r>
      <w:r w:rsidR="009B2260">
        <w:rPr>
          <w:rFonts w:ascii="Arial" w:hAnsi="Arial" w:cs="Arial"/>
          <w:sz w:val="20"/>
          <w:szCs w:val="20"/>
        </w:rPr>
        <w:t xml:space="preserve">calculated for both </w:t>
      </w:r>
      <w:r w:rsidRPr="0019745A">
        <w:rPr>
          <w:rFonts w:ascii="Arial" w:hAnsi="Arial" w:cs="Arial"/>
          <w:sz w:val="20"/>
          <w:szCs w:val="20"/>
        </w:rPr>
        <w:t>ROB</w:t>
      </w:r>
      <w:r w:rsidR="009B2260">
        <w:rPr>
          <w:rFonts w:ascii="Arial" w:hAnsi="Arial" w:cs="Arial"/>
          <w:sz w:val="20"/>
          <w:szCs w:val="20"/>
        </w:rPr>
        <w:t xml:space="preserve"> and NC</w:t>
      </w:r>
      <w:r w:rsidRPr="0019745A">
        <w:rPr>
          <w:rFonts w:ascii="Arial" w:hAnsi="Arial" w:cs="Arial"/>
          <w:sz w:val="20"/>
          <w:szCs w:val="20"/>
        </w:rPr>
        <w:t xml:space="preserve">. </w:t>
      </w:r>
    </w:p>
    <w:p w14:paraId="5EB8A347" w14:textId="77777777" w:rsidR="00806070" w:rsidRDefault="005B5BB4" w:rsidP="00FA5F99">
      <w:pPr>
        <w:pStyle w:val="Heading2"/>
        <w:keepNext w:val="0"/>
      </w:pPr>
      <w:r>
        <w:rPr>
          <w:sz w:val="20"/>
          <w:szCs w:val="20"/>
        </w:rPr>
        <w:t xml:space="preserve"> </w:t>
      </w:r>
      <w:bookmarkStart w:id="20" w:name="_Toc468797904"/>
      <w:r w:rsidR="00806070">
        <w:t>1.4 Product Base Case and Measure Case Data</w:t>
      </w:r>
      <w:bookmarkEnd w:id="20"/>
    </w:p>
    <w:p w14:paraId="5EB8A348" w14:textId="77777777" w:rsidR="00BF50D8" w:rsidRDefault="00BF50D8" w:rsidP="005702B7">
      <w:pPr>
        <w:rPr>
          <w:rFonts w:ascii="Arial" w:hAnsi="Arial" w:cs="Arial"/>
          <w:sz w:val="20"/>
          <w:szCs w:val="20"/>
        </w:rPr>
      </w:pPr>
      <w:r w:rsidRPr="003B2621">
        <w:rPr>
          <w:rFonts w:ascii="Arial" w:hAnsi="Arial" w:cs="Arial"/>
          <w:sz w:val="20"/>
          <w:szCs w:val="20"/>
        </w:rPr>
        <w:lastRenderedPageBreak/>
        <w:t>Eligible</w:t>
      </w:r>
      <w:r w:rsidR="007B2D41" w:rsidRPr="003B2621">
        <w:rPr>
          <w:rFonts w:ascii="Arial" w:hAnsi="Arial" w:cs="Arial"/>
          <w:sz w:val="20"/>
          <w:szCs w:val="20"/>
        </w:rPr>
        <w:t xml:space="preserve"> </w:t>
      </w:r>
      <w:r w:rsidRPr="003B2621">
        <w:rPr>
          <w:rFonts w:ascii="Arial" w:hAnsi="Arial" w:cs="Arial"/>
          <w:sz w:val="20"/>
          <w:szCs w:val="20"/>
        </w:rPr>
        <w:t>m</w:t>
      </w:r>
      <w:r w:rsidR="007B2D41" w:rsidRPr="003B2621">
        <w:rPr>
          <w:rFonts w:ascii="Arial" w:hAnsi="Arial" w:cs="Arial"/>
          <w:sz w:val="20"/>
          <w:szCs w:val="20"/>
        </w:rPr>
        <w:t xml:space="preserve">easure </w:t>
      </w:r>
      <w:r w:rsidRPr="003B2621">
        <w:rPr>
          <w:rFonts w:ascii="Arial" w:hAnsi="Arial" w:cs="Arial"/>
          <w:sz w:val="20"/>
          <w:szCs w:val="20"/>
        </w:rPr>
        <w:t>c</w:t>
      </w:r>
      <w:r w:rsidR="007B2D41" w:rsidRPr="003B2621">
        <w:rPr>
          <w:rFonts w:ascii="Arial" w:hAnsi="Arial" w:cs="Arial"/>
          <w:sz w:val="20"/>
          <w:szCs w:val="20"/>
        </w:rPr>
        <w:t>ase fixtures for these measure codes are</w:t>
      </w:r>
      <w:r w:rsidRPr="003B2621">
        <w:rPr>
          <w:rFonts w:ascii="Arial" w:hAnsi="Arial" w:cs="Arial"/>
          <w:sz w:val="20"/>
          <w:szCs w:val="20"/>
        </w:rPr>
        <w:t xml:space="preserve"> LED</w:t>
      </w:r>
      <w:r w:rsidR="007B2D41" w:rsidRPr="003B2621">
        <w:rPr>
          <w:rFonts w:ascii="Arial" w:hAnsi="Arial" w:cs="Arial"/>
          <w:sz w:val="20"/>
          <w:szCs w:val="20"/>
        </w:rPr>
        <w:t xml:space="preserve"> pa</w:t>
      </w:r>
      <w:r w:rsidRPr="003B2621">
        <w:rPr>
          <w:rFonts w:ascii="Arial" w:hAnsi="Arial" w:cs="Arial"/>
          <w:sz w:val="20"/>
          <w:szCs w:val="20"/>
        </w:rPr>
        <w:t xml:space="preserve">nels </w:t>
      </w:r>
      <w:r w:rsidR="007B2D41" w:rsidRPr="003B2621">
        <w:rPr>
          <w:rFonts w:ascii="Arial" w:hAnsi="Arial" w:cs="Arial"/>
          <w:sz w:val="20"/>
          <w:szCs w:val="20"/>
        </w:rPr>
        <w:t>with initial light output between 2</w:t>
      </w:r>
      <w:r w:rsidR="00F013FE">
        <w:rPr>
          <w:rFonts w:ascii="Arial" w:hAnsi="Arial" w:cs="Arial"/>
          <w:color w:val="FF0000"/>
          <w:sz w:val="20"/>
          <w:szCs w:val="20"/>
        </w:rPr>
        <w:t>,</w:t>
      </w:r>
      <w:r w:rsidRPr="003B2621">
        <w:rPr>
          <w:rFonts w:ascii="Arial" w:hAnsi="Arial" w:cs="Arial"/>
          <w:sz w:val="20"/>
          <w:szCs w:val="20"/>
        </w:rPr>
        <w:t>200 and 6</w:t>
      </w:r>
      <w:r w:rsidR="00F013FE">
        <w:rPr>
          <w:rFonts w:ascii="Arial" w:hAnsi="Arial" w:cs="Arial"/>
          <w:color w:val="FF0000"/>
          <w:sz w:val="20"/>
          <w:szCs w:val="20"/>
        </w:rPr>
        <w:t>,</w:t>
      </w:r>
      <w:r w:rsidRPr="003B2621">
        <w:rPr>
          <w:rFonts w:ascii="Arial" w:hAnsi="Arial" w:cs="Arial"/>
          <w:sz w:val="20"/>
          <w:szCs w:val="20"/>
        </w:rPr>
        <w:t>500 lumens. Appropriate base case fixtures are linear fluorescent fixtures that will have equivalent maintained illuminance to those LEDs at th</w:t>
      </w:r>
      <w:r w:rsidR="00CA15C7">
        <w:rPr>
          <w:rFonts w:ascii="Arial" w:hAnsi="Arial" w:cs="Arial"/>
          <w:sz w:val="20"/>
          <w:szCs w:val="20"/>
        </w:rPr>
        <w:t>e end of effective useful life. The Effective Useful Life is 50,000 hours based on the DLC-minimum rated hours, except where this value exceeds the DEER run hours for a given building type over the</w:t>
      </w:r>
      <w:r w:rsidRPr="003B2621">
        <w:rPr>
          <w:rFonts w:ascii="Arial" w:hAnsi="Arial" w:cs="Arial"/>
          <w:sz w:val="20"/>
          <w:szCs w:val="20"/>
        </w:rPr>
        <w:t xml:space="preserve"> </w:t>
      </w:r>
      <w:r w:rsidR="00C87EF3">
        <w:rPr>
          <w:rFonts w:ascii="Arial" w:hAnsi="Arial" w:cs="Arial"/>
          <w:sz w:val="20"/>
          <w:szCs w:val="20"/>
        </w:rPr>
        <w:t>16</w:t>
      </w:r>
      <w:r w:rsidR="00CA15C7">
        <w:rPr>
          <w:rFonts w:ascii="Arial" w:hAnsi="Arial" w:cs="Arial"/>
          <w:sz w:val="20"/>
          <w:szCs w:val="20"/>
        </w:rPr>
        <w:t xml:space="preserve"> year </w:t>
      </w:r>
      <w:r w:rsidR="00F36736">
        <w:rPr>
          <w:rFonts w:ascii="Arial" w:hAnsi="Arial" w:cs="Arial"/>
          <w:sz w:val="20"/>
          <w:szCs w:val="20"/>
        </w:rPr>
        <w:t>DEER measure</w:t>
      </w:r>
      <w:r w:rsidR="00CA15C7">
        <w:rPr>
          <w:rFonts w:ascii="Arial" w:hAnsi="Arial" w:cs="Arial"/>
          <w:sz w:val="20"/>
          <w:szCs w:val="20"/>
        </w:rPr>
        <w:t xml:space="preserve"> maximum life, in which case the effective useful life is </w:t>
      </w:r>
      <w:r w:rsidR="00C87EF3">
        <w:rPr>
          <w:rFonts w:ascii="Arial" w:hAnsi="Arial" w:cs="Arial"/>
          <w:sz w:val="20"/>
          <w:szCs w:val="20"/>
        </w:rPr>
        <w:t>16</w:t>
      </w:r>
      <w:r w:rsidR="00CA15C7">
        <w:rPr>
          <w:rFonts w:ascii="Arial" w:hAnsi="Arial" w:cs="Arial"/>
          <w:sz w:val="20"/>
          <w:szCs w:val="20"/>
        </w:rPr>
        <w:t xml:space="preserve"> years</w:t>
      </w:r>
      <w:r w:rsidRPr="003B2621">
        <w:rPr>
          <w:rFonts w:ascii="Arial" w:hAnsi="Arial" w:cs="Arial"/>
          <w:sz w:val="20"/>
          <w:szCs w:val="20"/>
        </w:rPr>
        <w:t xml:space="preserve">. </w:t>
      </w:r>
      <w:r w:rsidR="007B2D41" w:rsidRPr="003B2621">
        <w:rPr>
          <w:rFonts w:ascii="Arial" w:hAnsi="Arial" w:cs="Arial"/>
          <w:sz w:val="20"/>
          <w:szCs w:val="20"/>
        </w:rPr>
        <w:t xml:space="preserve">Given the </w:t>
      </w:r>
      <w:r w:rsidRPr="003B2621">
        <w:rPr>
          <w:rFonts w:ascii="Arial" w:hAnsi="Arial" w:cs="Arial"/>
          <w:sz w:val="20"/>
          <w:szCs w:val="20"/>
        </w:rPr>
        <w:t xml:space="preserve">great number of variations on linear fluorescent lamp and ballast configurations and resultant light outputs, and that groupings made by wattage as in previous custom do not accurately reflect illumination between LED and linear fluorescent fixtures, the efficacy and wattages of both base case and measure case fixtures are not grouped by lamp and ballast configuration but characterized in units of </w:t>
      </w:r>
      <w:proofErr w:type="spellStart"/>
      <w:r w:rsidRPr="003B2621">
        <w:rPr>
          <w:rFonts w:ascii="Arial" w:hAnsi="Arial" w:cs="Arial"/>
          <w:sz w:val="20"/>
          <w:szCs w:val="20"/>
        </w:rPr>
        <w:t>kilolumens</w:t>
      </w:r>
      <w:proofErr w:type="spellEnd"/>
      <w:r w:rsidRPr="003B2621">
        <w:rPr>
          <w:rFonts w:ascii="Arial" w:hAnsi="Arial" w:cs="Arial"/>
          <w:sz w:val="20"/>
          <w:szCs w:val="20"/>
        </w:rPr>
        <w:t xml:space="preserve"> of initial  LED light output with energy impacts scaling with these kilolumen units.</w:t>
      </w:r>
      <w:r w:rsidR="00B36614" w:rsidRPr="003B2621">
        <w:rPr>
          <w:rFonts w:ascii="Arial" w:hAnsi="Arial" w:cs="Arial"/>
          <w:sz w:val="20"/>
          <w:szCs w:val="20"/>
        </w:rPr>
        <w:t xml:space="preserve"> Cost, wattage and savings are all in units of kilolumen.</w:t>
      </w:r>
    </w:p>
    <w:p w14:paraId="5EB8A349" w14:textId="77777777" w:rsidR="00085333" w:rsidRDefault="00085333" w:rsidP="005702B7">
      <w:pPr>
        <w:rPr>
          <w:rFonts w:ascii="Arial" w:hAnsi="Arial" w:cs="Arial"/>
          <w:sz w:val="20"/>
          <w:szCs w:val="20"/>
        </w:rPr>
      </w:pPr>
    </w:p>
    <w:p w14:paraId="5EB8A34A" w14:textId="77777777" w:rsidR="00085333" w:rsidRPr="00DD12F1" w:rsidRDefault="00085333" w:rsidP="00085333">
      <w:pPr>
        <w:pStyle w:val="Caption"/>
        <w:ind w:left="288"/>
        <w:jc w:val="center"/>
      </w:pPr>
      <w:bookmarkStart w:id="21" w:name="_Toc468795521"/>
      <w:r>
        <w:t xml:space="preserve">Table </w:t>
      </w:r>
      <w:fldSimple w:instr=" SEQ Table \* ARABIC ">
        <w:r w:rsidR="00264804">
          <w:rPr>
            <w:noProof/>
          </w:rPr>
          <w:t>3</w:t>
        </w:r>
      </w:fldSimple>
      <w:r>
        <w:t xml:space="preserve"> -</w:t>
      </w:r>
      <w:r w:rsidRPr="00E97091">
        <w:t xml:space="preserve"> </w:t>
      </w:r>
      <w:r>
        <w:t>LED Ambient Commercial Fixtures &amp; Retrofit Kits Base and Measure Wattages</w:t>
      </w:r>
      <w:bookmarkEnd w:id="21"/>
    </w:p>
    <w:tbl>
      <w:tblPr>
        <w:tblW w:w="9121" w:type="dxa"/>
        <w:jc w:val="center"/>
        <w:tblInd w:w="-814" w:type="dxa"/>
        <w:tblLayout w:type="fixed"/>
        <w:tblLook w:val="04A0" w:firstRow="1" w:lastRow="0" w:firstColumn="1" w:lastColumn="0" w:noHBand="0" w:noVBand="1"/>
      </w:tblPr>
      <w:tblGrid>
        <w:gridCol w:w="1552"/>
        <w:gridCol w:w="3099"/>
        <w:gridCol w:w="1350"/>
        <w:gridCol w:w="1350"/>
        <w:gridCol w:w="1770"/>
      </w:tblGrid>
      <w:tr w:rsidR="00085333" w14:paraId="5EB8A352" w14:textId="77777777" w:rsidTr="0009430D">
        <w:trPr>
          <w:trHeight w:val="862"/>
          <w:jc w:val="center"/>
        </w:trPr>
        <w:tc>
          <w:tcPr>
            <w:tcW w:w="1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B8A34B" w14:textId="77777777"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Measure Code</w:t>
            </w:r>
          </w:p>
        </w:tc>
        <w:tc>
          <w:tcPr>
            <w:tcW w:w="3099" w:type="dxa"/>
            <w:tcBorders>
              <w:top w:val="single" w:sz="4" w:space="0" w:color="auto"/>
              <w:left w:val="nil"/>
              <w:bottom w:val="single" w:sz="4" w:space="0" w:color="auto"/>
              <w:right w:val="single" w:sz="4" w:space="0" w:color="auto"/>
            </w:tcBorders>
            <w:shd w:val="clear" w:color="auto" w:fill="auto"/>
            <w:vAlign w:val="center"/>
            <w:hideMark/>
          </w:tcPr>
          <w:p w14:paraId="5EB8A34C" w14:textId="77777777"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Measure Description</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5EB8A34D" w14:textId="77777777"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Base Case system wattage</w:t>
            </w:r>
          </w:p>
          <w:p w14:paraId="5EB8A34E" w14:textId="77777777"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per kilolumen (COM)</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5EB8A34F" w14:textId="77777777" w:rsidR="00085333" w:rsidRPr="00705A0C" w:rsidRDefault="00085333" w:rsidP="006F0984">
            <w:pPr>
              <w:jc w:val="center"/>
              <w:rPr>
                <w:rFonts w:ascii="Arial" w:hAnsi="Arial" w:cs="Arial"/>
                <w:b/>
                <w:sz w:val="22"/>
                <w:szCs w:val="22"/>
              </w:rPr>
            </w:pPr>
            <w:r w:rsidRPr="00705A0C">
              <w:rPr>
                <w:rFonts w:ascii="Arial" w:hAnsi="Arial" w:cs="Arial"/>
                <w:b/>
                <w:sz w:val="22"/>
                <w:szCs w:val="22"/>
              </w:rPr>
              <w:t xml:space="preserve">LED Watts per </w:t>
            </w:r>
            <w:r>
              <w:rPr>
                <w:rFonts w:ascii="Arial" w:hAnsi="Arial" w:cs="Arial"/>
                <w:b/>
                <w:sz w:val="22"/>
                <w:szCs w:val="22"/>
              </w:rPr>
              <w:t>kilo</w:t>
            </w:r>
            <w:r w:rsidRPr="00705A0C">
              <w:rPr>
                <w:rFonts w:ascii="Arial" w:hAnsi="Arial" w:cs="Arial"/>
                <w:b/>
                <w:sz w:val="22"/>
                <w:szCs w:val="22"/>
              </w:rPr>
              <w:t>lumen</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5EB8A350" w14:textId="77777777" w:rsidR="00085333" w:rsidRDefault="00085333" w:rsidP="006F0984">
            <w:pPr>
              <w:jc w:val="center"/>
              <w:rPr>
                <w:rFonts w:ascii="Arial" w:hAnsi="Arial" w:cs="Arial"/>
                <w:b/>
                <w:sz w:val="22"/>
                <w:szCs w:val="22"/>
              </w:rPr>
            </w:pPr>
            <w:r w:rsidRPr="00705A0C">
              <w:rPr>
                <w:rFonts w:ascii="Arial" w:hAnsi="Arial" w:cs="Arial"/>
                <w:b/>
                <w:sz w:val="22"/>
                <w:szCs w:val="22"/>
              </w:rPr>
              <w:t xml:space="preserve">Delta Watts per </w:t>
            </w:r>
            <w:r>
              <w:rPr>
                <w:rFonts w:ascii="Arial" w:hAnsi="Arial" w:cs="Arial"/>
                <w:b/>
                <w:sz w:val="22"/>
                <w:szCs w:val="22"/>
              </w:rPr>
              <w:t>kilolumen</w:t>
            </w:r>
          </w:p>
          <w:p w14:paraId="5EB8A351" w14:textId="77777777" w:rsidR="00085333" w:rsidRPr="00705A0C" w:rsidRDefault="00085333" w:rsidP="006F0984">
            <w:pPr>
              <w:jc w:val="center"/>
              <w:rPr>
                <w:rFonts w:ascii="Arial" w:hAnsi="Arial" w:cs="Arial"/>
                <w:b/>
                <w:sz w:val="22"/>
                <w:szCs w:val="22"/>
              </w:rPr>
            </w:pPr>
            <w:r>
              <w:rPr>
                <w:rFonts w:ascii="Arial" w:hAnsi="Arial" w:cs="Arial"/>
                <w:b/>
                <w:sz w:val="22"/>
                <w:szCs w:val="22"/>
              </w:rPr>
              <w:t>(</w:t>
            </w:r>
            <w:r w:rsidRPr="00705A0C">
              <w:rPr>
                <w:rFonts w:ascii="Arial" w:hAnsi="Arial" w:cs="Arial"/>
                <w:b/>
                <w:sz w:val="22"/>
                <w:szCs w:val="22"/>
              </w:rPr>
              <w:t>COM)</w:t>
            </w:r>
          </w:p>
        </w:tc>
      </w:tr>
      <w:tr w:rsidR="00AC2B02" w:rsidRPr="009B2260" w14:paraId="5EB8A358" w14:textId="77777777" w:rsidTr="0009430D">
        <w:trPr>
          <w:trHeight w:val="250"/>
          <w:jc w:val="center"/>
        </w:trPr>
        <w:tc>
          <w:tcPr>
            <w:tcW w:w="1552" w:type="dxa"/>
            <w:tcBorders>
              <w:top w:val="nil"/>
              <w:left w:val="single" w:sz="4" w:space="0" w:color="auto"/>
              <w:bottom w:val="single" w:sz="4" w:space="0" w:color="auto"/>
              <w:right w:val="single" w:sz="4" w:space="0" w:color="auto"/>
            </w:tcBorders>
            <w:shd w:val="clear" w:color="auto" w:fill="auto"/>
            <w:noWrap/>
            <w:vAlign w:val="center"/>
          </w:tcPr>
          <w:p w14:paraId="5EB8A353" w14:textId="77777777" w:rsidR="00AC2B02" w:rsidRPr="009B2260" w:rsidRDefault="00AC2B02" w:rsidP="007A7EF5">
            <w:pPr>
              <w:jc w:val="center"/>
              <w:rPr>
                <w:rFonts w:ascii="Arial" w:hAnsi="Arial" w:cs="Arial"/>
                <w:color w:val="000000"/>
                <w:sz w:val="20"/>
                <w:szCs w:val="20"/>
              </w:rPr>
            </w:pPr>
            <w:r w:rsidRPr="009B2260">
              <w:rPr>
                <w:rFonts w:ascii="Arial" w:hAnsi="Arial" w:cs="Arial"/>
                <w:color w:val="000000"/>
                <w:sz w:val="20"/>
                <w:szCs w:val="20"/>
              </w:rPr>
              <w:t>LT0</w:t>
            </w:r>
            <w:r>
              <w:rPr>
                <w:rFonts w:ascii="Arial" w:hAnsi="Arial" w:cs="Arial"/>
                <w:color w:val="000000"/>
                <w:sz w:val="20"/>
                <w:szCs w:val="20"/>
              </w:rPr>
              <w:t>42, LT046, LT050, LT054, LT058, LT062</w:t>
            </w:r>
          </w:p>
        </w:tc>
        <w:tc>
          <w:tcPr>
            <w:tcW w:w="3099" w:type="dxa"/>
            <w:tcBorders>
              <w:top w:val="nil"/>
              <w:left w:val="nil"/>
              <w:bottom w:val="single" w:sz="4" w:space="0" w:color="auto"/>
              <w:right w:val="single" w:sz="4" w:space="0" w:color="auto"/>
            </w:tcBorders>
            <w:shd w:val="clear" w:color="auto" w:fill="auto"/>
            <w:noWrap/>
            <w:vAlign w:val="center"/>
          </w:tcPr>
          <w:p w14:paraId="5EB8A354" w14:textId="77777777" w:rsidR="00AC2B02" w:rsidRPr="009B2260" w:rsidRDefault="00AC2B02" w:rsidP="006F0984">
            <w:pPr>
              <w:rPr>
                <w:rFonts w:ascii="Arial" w:hAnsi="Arial" w:cs="Arial"/>
                <w:color w:val="000000"/>
                <w:sz w:val="18"/>
                <w:szCs w:val="20"/>
              </w:rPr>
            </w:pPr>
            <w:r w:rsidRPr="009B2260">
              <w:rPr>
                <w:rFonts w:ascii="Arial" w:hAnsi="Arial" w:cs="Arial"/>
                <w:color w:val="000000"/>
                <w:sz w:val="18"/>
                <w:szCs w:val="20"/>
              </w:rPr>
              <w:t>LED Luminaires/Retrofit Kits rated ≥110 and &lt;125 LPW, Ambient Interior Commercial Spaces</w:t>
            </w:r>
          </w:p>
        </w:tc>
        <w:tc>
          <w:tcPr>
            <w:tcW w:w="1350" w:type="dxa"/>
            <w:tcBorders>
              <w:top w:val="nil"/>
              <w:left w:val="nil"/>
              <w:bottom w:val="single" w:sz="4" w:space="0" w:color="auto"/>
              <w:right w:val="single" w:sz="4" w:space="0" w:color="auto"/>
            </w:tcBorders>
            <w:shd w:val="clear" w:color="auto" w:fill="auto"/>
            <w:noWrap/>
            <w:vAlign w:val="center"/>
          </w:tcPr>
          <w:p w14:paraId="5EB8A355" w14:textId="77777777"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14.8</w:t>
            </w:r>
          </w:p>
        </w:tc>
        <w:tc>
          <w:tcPr>
            <w:tcW w:w="1350" w:type="dxa"/>
            <w:tcBorders>
              <w:top w:val="nil"/>
              <w:left w:val="nil"/>
              <w:bottom w:val="single" w:sz="4" w:space="0" w:color="auto"/>
              <w:right w:val="single" w:sz="4" w:space="0" w:color="auto"/>
            </w:tcBorders>
            <w:shd w:val="clear" w:color="auto" w:fill="auto"/>
            <w:noWrap/>
            <w:vAlign w:val="center"/>
          </w:tcPr>
          <w:p w14:paraId="5EB8A356" w14:textId="77777777"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9.1</w:t>
            </w:r>
          </w:p>
        </w:tc>
        <w:tc>
          <w:tcPr>
            <w:tcW w:w="1770" w:type="dxa"/>
            <w:tcBorders>
              <w:top w:val="nil"/>
              <w:left w:val="nil"/>
              <w:bottom w:val="single" w:sz="4" w:space="0" w:color="auto"/>
              <w:right w:val="single" w:sz="4" w:space="0" w:color="auto"/>
            </w:tcBorders>
            <w:shd w:val="clear" w:color="auto" w:fill="auto"/>
            <w:noWrap/>
            <w:vAlign w:val="center"/>
          </w:tcPr>
          <w:p w14:paraId="5EB8A357" w14:textId="77777777"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5.7</w:t>
            </w:r>
          </w:p>
        </w:tc>
      </w:tr>
      <w:tr w:rsidR="00AC2B02" w:rsidRPr="009B2260" w14:paraId="5EB8A35E" w14:textId="77777777" w:rsidTr="0009430D">
        <w:trPr>
          <w:trHeight w:val="250"/>
          <w:jc w:val="center"/>
        </w:trPr>
        <w:tc>
          <w:tcPr>
            <w:tcW w:w="1552" w:type="dxa"/>
            <w:tcBorders>
              <w:top w:val="nil"/>
              <w:left w:val="single" w:sz="4" w:space="0" w:color="auto"/>
              <w:bottom w:val="single" w:sz="4" w:space="0" w:color="auto"/>
              <w:right w:val="single" w:sz="4" w:space="0" w:color="auto"/>
            </w:tcBorders>
            <w:shd w:val="clear" w:color="auto" w:fill="auto"/>
            <w:noWrap/>
            <w:vAlign w:val="center"/>
            <w:hideMark/>
          </w:tcPr>
          <w:p w14:paraId="5EB8A359" w14:textId="77777777" w:rsidR="00AC2B02" w:rsidRPr="009B2260" w:rsidRDefault="00AC2B02" w:rsidP="007A7EF5">
            <w:pPr>
              <w:jc w:val="center"/>
              <w:rPr>
                <w:rFonts w:ascii="Arial" w:hAnsi="Arial" w:cs="Arial"/>
                <w:color w:val="000000"/>
                <w:sz w:val="20"/>
                <w:szCs w:val="20"/>
              </w:rPr>
            </w:pPr>
            <w:r w:rsidRPr="009B2260">
              <w:rPr>
                <w:rFonts w:ascii="Arial" w:hAnsi="Arial" w:cs="Arial"/>
                <w:color w:val="000000"/>
                <w:sz w:val="20"/>
                <w:szCs w:val="20"/>
              </w:rPr>
              <w:t>LT0</w:t>
            </w:r>
            <w:r>
              <w:rPr>
                <w:rFonts w:ascii="Arial" w:hAnsi="Arial" w:cs="Arial"/>
                <w:color w:val="000000"/>
                <w:sz w:val="20"/>
                <w:szCs w:val="20"/>
              </w:rPr>
              <w:t>43, LT047, LT051, LT055, LT059, LT063</w:t>
            </w:r>
          </w:p>
        </w:tc>
        <w:tc>
          <w:tcPr>
            <w:tcW w:w="3099" w:type="dxa"/>
            <w:tcBorders>
              <w:top w:val="nil"/>
              <w:left w:val="nil"/>
              <w:bottom w:val="single" w:sz="4" w:space="0" w:color="auto"/>
              <w:right w:val="single" w:sz="4" w:space="0" w:color="auto"/>
            </w:tcBorders>
            <w:shd w:val="clear" w:color="auto" w:fill="auto"/>
            <w:noWrap/>
            <w:vAlign w:val="center"/>
            <w:hideMark/>
          </w:tcPr>
          <w:p w14:paraId="5EB8A35A" w14:textId="77777777" w:rsidR="00AC2B02" w:rsidRPr="009B2260" w:rsidRDefault="00AC2B02" w:rsidP="006F0984">
            <w:pPr>
              <w:rPr>
                <w:rFonts w:ascii="Arial" w:hAnsi="Arial" w:cs="Arial"/>
                <w:color w:val="000000"/>
                <w:sz w:val="18"/>
                <w:szCs w:val="20"/>
              </w:rPr>
            </w:pPr>
            <w:r w:rsidRPr="009B2260">
              <w:rPr>
                <w:rFonts w:ascii="Arial" w:hAnsi="Arial" w:cs="Arial"/>
                <w:color w:val="000000"/>
                <w:sz w:val="18"/>
                <w:szCs w:val="20"/>
              </w:rPr>
              <w:t>LED Luminaires/Retrofit Kits rated ≥125 LPW, Ambient Interior Commercial Spaces</w:t>
            </w:r>
          </w:p>
        </w:tc>
        <w:tc>
          <w:tcPr>
            <w:tcW w:w="1350" w:type="dxa"/>
            <w:tcBorders>
              <w:top w:val="nil"/>
              <w:left w:val="nil"/>
              <w:bottom w:val="single" w:sz="4" w:space="0" w:color="auto"/>
              <w:right w:val="single" w:sz="4" w:space="0" w:color="auto"/>
            </w:tcBorders>
            <w:shd w:val="clear" w:color="auto" w:fill="auto"/>
            <w:noWrap/>
            <w:vAlign w:val="center"/>
            <w:hideMark/>
          </w:tcPr>
          <w:p w14:paraId="5EB8A35B" w14:textId="77777777"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14.8</w:t>
            </w:r>
          </w:p>
        </w:tc>
        <w:tc>
          <w:tcPr>
            <w:tcW w:w="1350" w:type="dxa"/>
            <w:tcBorders>
              <w:top w:val="nil"/>
              <w:left w:val="nil"/>
              <w:bottom w:val="single" w:sz="4" w:space="0" w:color="auto"/>
              <w:right w:val="single" w:sz="4" w:space="0" w:color="auto"/>
            </w:tcBorders>
            <w:shd w:val="clear" w:color="auto" w:fill="auto"/>
            <w:noWrap/>
            <w:vAlign w:val="center"/>
            <w:hideMark/>
          </w:tcPr>
          <w:p w14:paraId="5EB8A35C" w14:textId="77777777"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8.0</w:t>
            </w:r>
          </w:p>
        </w:tc>
        <w:tc>
          <w:tcPr>
            <w:tcW w:w="1770" w:type="dxa"/>
            <w:tcBorders>
              <w:top w:val="nil"/>
              <w:left w:val="nil"/>
              <w:bottom w:val="single" w:sz="4" w:space="0" w:color="auto"/>
              <w:right w:val="single" w:sz="4" w:space="0" w:color="auto"/>
            </w:tcBorders>
            <w:shd w:val="clear" w:color="auto" w:fill="auto"/>
            <w:noWrap/>
            <w:vAlign w:val="center"/>
            <w:hideMark/>
          </w:tcPr>
          <w:p w14:paraId="5EB8A35D" w14:textId="77777777"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6.8</w:t>
            </w:r>
          </w:p>
        </w:tc>
      </w:tr>
    </w:tbl>
    <w:p w14:paraId="5EB8A35F" w14:textId="77777777" w:rsidR="00085333" w:rsidRPr="003B2621" w:rsidRDefault="00085333" w:rsidP="005702B7">
      <w:pPr>
        <w:rPr>
          <w:rFonts w:ascii="Arial" w:hAnsi="Arial" w:cs="Arial"/>
          <w:sz w:val="20"/>
          <w:szCs w:val="20"/>
        </w:rPr>
      </w:pPr>
    </w:p>
    <w:p w14:paraId="5EB8A360" w14:textId="77777777" w:rsidR="00E71EF1" w:rsidRDefault="001248A3" w:rsidP="008473DB">
      <w:pPr>
        <w:pStyle w:val="Heading3"/>
      </w:pPr>
      <w:bookmarkStart w:id="22" w:name="_Toc468797905"/>
      <w:r>
        <w:t>1.</w:t>
      </w:r>
      <w:r w:rsidR="00806070">
        <w:t>4.1</w:t>
      </w:r>
      <w:r w:rsidR="00FA595F">
        <w:t xml:space="preserve"> </w:t>
      </w:r>
      <w:r w:rsidR="00C069A2" w:rsidRPr="001248A3">
        <w:t xml:space="preserve">DEER </w:t>
      </w:r>
      <w:r w:rsidR="008C6AD1">
        <w:t>Base Case and Measure Case Information</w:t>
      </w:r>
      <w:bookmarkEnd w:id="22"/>
      <w:r w:rsidR="008C6AD1">
        <w:t xml:space="preserve"> </w:t>
      </w:r>
    </w:p>
    <w:p w14:paraId="5EB8A361" w14:textId="77777777" w:rsidR="00476B67" w:rsidRDefault="00AE2EAC" w:rsidP="009C5CA7">
      <w:pPr>
        <w:rPr>
          <w:rFonts w:ascii="Arial" w:hAnsi="Arial" w:cs="Arial"/>
          <w:sz w:val="20"/>
          <w:szCs w:val="20"/>
        </w:rPr>
      </w:pPr>
      <w:r w:rsidRPr="002574CF">
        <w:rPr>
          <w:rFonts w:ascii="Arial" w:hAnsi="Arial" w:cs="Arial"/>
          <w:sz w:val="20"/>
          <w:szCs w:val="20"/>
        </w:rPr>
        <w:t xml:space="preserve">The Database </w:t>
      </w:r>
      <w:r w:rsidR="00FC697F">
        <w:rPr>
          <w:rFonts w:ascii="Arial" w:hAnsi="Arial" w:cs="Arial"/>
          <w:sz w:val="20"/>
          <w:szCs w:val="20"/>
        </w:rPr>
        <w:t>for Energy Efficient Resources (</w:t>
      </w:r>
      <w:r w:rsidRPr="002574CF">
        <w:rPr>
          <w:rFonts w:ascii="Arial" w:hAnsi="Arial" w:cs="Arial"/>
          <w:sz w:val="20"/>
          <w:szCs w:val="20"/>
        </w:rPr>
        <w:t>DEER</w:t>
      </w:r>
      <w:r w:rsidR="00FC697F">
        <w:rPr>
          <w:rFonts w:ascii="Arial" w:hAnsi="Arial" w:cs="Arial"/>
          <w:sz w:val="20"/>
          <w:szCs w:val="20"/>
        </w:rPr>
        <w:t>)</w:t>
      </w:r>
      <w:r w:rsidR="00DC04E4">
        <w:rPr>
          <w:rFonts w:ascii="Arial" w:hAnsi="Arial" w:cs="Arial"/>
          <w:sz w:val="20"/>
          <w:szCs w:val="20"/>
        </w:rPr>
        <w:t xml:space="preserve"> 201</w:t>
      </w:r>
      <w:r w:rsidR="002870E2">
        <w:rPr>
          <w:rFonts w:ascii="Arial" w:hAnsi="Arial" w:cs="Arial"/>
          <w:sz w:val="20"/>
          <w:szCs w:val="20"/>
        </w:rPr>
        <w:t>6</w:t>
      </w:r>
      <w:r w:rsidR="00C54DA2">
        <w:rPr>
          <w:rFonts w:ascii="Arial" w:hAnsi="Arial" w:cs="Arial"/>
          <w:sz w:val="20"/>
          <w:szCs w:val="20"/>
        </w:rPr>
        <w:t xml:space="preserve"> </w:t>
      </w:r>
      <w:r w:rsidRPr="002574CF">
        <w:rPr>
          <w:rFonts w:ascii="Arial" w:hAnsi="Arial" w:cs="Arial"/>
          <w:sz w:val="20"/>
          <w:szCs w:val="20"/>
        </w:rPr>
        <w:t>does not address LED savings</w:t>
      </w:r>
      <w:r w:rsidR="00901955">
        <w:rPr>
          <w:rFonts w:ascii="Arial" w:hAnsi="Arial" w:cs="Arial"/>
          <w:sz w:val="20"/>
          <w:szCs w:val="20"/>
        </w:rPr>
        <w:t xml:space="preserve"> for </w:t>
      </w:r>
      <w:r w:rsidR="00B36614">
        <w:rPr>
          <w:rFonts w:ascii="Arial" w:hAnsi="Arial" w:cs="Arial"/>
          <w:sz w:val="20"/>
          <w:szCs w:val="20"/>
        </w:rPr>
        <w:t>panel fixtures and kits</w:t>
      </w:r>
      <w:r w:rsidRPr="002574CF">
        <w:rPr>
          <w:rFonts w:ascii="Arial" w:hAnsi="Arial" w:cs="Arial"/>
          <w:sz w:val="20"/>
          <w:szCs w:val="20"/>
        </w:rPr>
        <w:t>.</w:t>
      </w:r>
    </w:p>
    <w:p w14:paraId="5EB8A362" w14:textId="77777777" w:rsidR="002574CF" w:rsidRPr="002574CF" w:rsidRDefault="002574CF" w:rsidP="009C5CA7">
      <w:pPr>
        <w:rPr>
          <w:rFonts w:ascii="Arial" w:hAnsi="Arial" w:cs="Arial"/>
          <w:sz w:val="20"/>
          <w:szCs w:val="20"/>
        </w:rPr>
      </w:pPr>
    </w:p>
    <w:p w14:paraId="5EB8A363" w14:textId="77777777" w:rsidR="009C5CA7" w:rsidRPr="00D63232" w:rsidRDefault="009C5CA7" w:rsidP="007A5D2F">
      <w:r w:rsidRPr="00D63232">
        <w:rPr>
          <w:b/>
        </w:rPr>
        <w:t>Net-to-Gross Assumption:</w:t>
      </w:r>
      <w:r w:rsidR="00476B67" w:rsidRPr="009B1119">
        <w:rPr>
          <w:b/>
        </w:rPr>
        <w:t xml:space="preserve"> </w:t>
      </w:r>
    </w:p>
    <w:p w14:paraId="5EB8A364" w14:textId="77777777" w:rsidR="00F62D81" w:rsidRDefault="00B52BB4" w:rsidP="00F62D81">
      <w:pPr>
        <w:rPr>
          <w:rFonts w:ascii="Arial" w:hAnsi="Arial" w:cs="Arial"/>
          <w:sz w:val="20"/>
          <w:szCs w:val="20"/>
        </w:rPr>
      </w:pPr>
      <w:r w:rsidRPr="00DD2826">
        <w:rPr>
          <w:rFonts w:ascii="Arial" w:hAnsi="Arial" w:cs="Arial"/>
          <w:sz w:val="20"/>
          <w:szCs w:val="20"/>
        </w:rPr>
        <w:t>The NTG</w:t>
      </w:r>
      <w:r w:rsidR="00123C51">
        <w:rPr>
          <w:rFonts w:ascii="Arial" w:hAnsi="Arial" w:cs="Arial"/>
          <w:sz w:val="20"/>
          <w:szCs w:val="20"/>
        </w:rPr>
        <w:t>R</w:t>
      </w:r>
      <w:r w:rsidRPr="00DD2826">
        <w:rPr>
          <w:rFonts w:ascii="Arial" w:hAnsi="Arial" w:cs="Arial"/>
          <w:sz w:val="20"/>
          <w:szCs w:val="20"/>
        </w:rPr>
        <w:t xml:space="preserve"> value </w:t>
      </w:r>
      <w:r w:rsidR="00123C51">
        <w:rPr>
          <w:rFonts w:ascii="Arial" w:hAnsi="Arial" w:cs="Arial"/>
          <w:sz w:val="20"/>
          <w:szCs w:val="20"/>
        </w:rPr>
        <w:t xml:space="preserve">is </w:t>
      </w:r>
      <w:r w:rsidRPr="00DD2826">
        <w:rPr>
          <w:rFonts w:ascii="Arial" w:hAnsi="Arial" w:cs="Arial"/>
          <w:sz w:val="20"/>
          <w:szCs w:val="20"/>
        </w:rPr>
        <w:t>from DEER 201</w:t>
      </w:r>
      <w:r w:rsidR="00904F60">
        <w:rPr>
          <w:rFonts w:ascii="Arial" w:hAnsi="Arial" w:cs="Arial"/>
          <w:sz w:val="20"/>
          <w:szCs w:val="20"/>
        </w:rPr>
        <w:t>6</w:t>
      </w:r>
      <w:r w:rsidRPr="00BD33EA">
        <w:rPr>
          <w:rFonts w:ascii="Arial" w:hAnsi="Arial" w:cs="Arial"/>
          <w:sz w:val="20"/>
          <w:szCs w:val="20"/>
          <w:vertAlign w:val="superscript"/>
        </w:rPr>
        <w:endnoteReference w:id="3"/>
      </w:r>
      <w:r w:rsidRPr="00DD2826">
        <w:rPr>
          <w:rFonts w:ascii="Arial" w:hAnsi="Arial" w:cs="Arial"/>
          <w:sz w:val="20"/>
          <w:szCs w:val="20"/>
        </w:rPr>
        <w:t xml:space="preserve">. </w:t>
      </w:r>
      <w:r w:rsidR="00CA1504" w:rsidRPr="00CA1504">
        <w:rPr>
          <w:rFonts w:ascii="Arial" w:hAnsi="Arial" w:cs="Arial"/>
          <w:sz w:val="20"/>
          <w:szCs w:val="20"/>
        </w:rPr>
        <w:fldChar w:fldCharType="begin"/>
      </w:r>
      <w:r w:rsidR="00CA1504" w:rsidRPr="00CA1504">
        <w:rPr>
          <w:rFonts w:ascii="Arial" w:hAnsi="Arial" w:cs="Arial"/>
          <w:sz w:val="20"/>
          <w:szCs w:val="20"/>
        </w:rPr>
        <w:instrText xml:space="preserve"> REF _Ref438456728 \h  \* MERGEFORMAT </w:instrText>
      </w:r>
      <w:r w:rsidR="00CA1504" w:rsidRPr="00CA1504">
        <w:rPr>
          <w:rFonts w:ascii="Arial" w:hAnsi="Arial" w:cs="Arial"/>
          <w:sz w:val="20"/>
          <w:szCs w:val="20"/>
        </w:rPr>
      </w:r>
      <w:r w:rsidR="00CA1504" w:rsidRPr="00CA1504">
        <w:rPr>
          <w:rFonts w:ascii="Arial" w:hAnsi="Arial" w:cs="Arial"/>
          <w:sz w:val="20"/>
          <w:szCs w:val="20"/>
        </w:rPr>
        <w:fldChar w:fldCharType="separate"/>
      </w:r>
      <w:r w:rsidR="00264804" w:rsidRPr="00264804">
        <w:rPr>
          <w:rFonts w:ascii="Arial" w:hAnsi="Arial" w:cs="Arial"/>
          <w:sz w:val="20"/>
          <w:szCs w:val="20"/>
        </w:rPr>
        <w:t xml:space="preserve">Table </w:t>
      </w:r>
      <w:r w:rsidR="00264804" w:rsidRPr="00264804">
        <w:rPr>
          <w:rFonts w:ascii="Arial" w:hAnsi="Arial" w:cs="Arial"/>
          <w:noProof/>
          <w:sz w:val="20"/>
          <w:szCs w:val="20"/>
        </w:rPr>
        <w:t>4</w:t>
      </w:r>
      <w:r w:rsidR="00CA1504" w:rsidRPr="00CA1504">
        <w:rPr>
          <w:rFonts w:ascii="Arial" w:hAnsi="Arial" w:cs="Arial"/>
          <w:sz w:val="20"/>
          <w:szCs w:val="20"/>
        </w:rPr>
        <w:fldChar w:fldCharType="end"/>
      </w:r>
      <w:r w:rsidRPr="00DD2826">
        <w:rPr>
          <w:rFonts w:ascii="Arial" w:hAnsi="Arial" w:cs="Arial"/>
          <w:sz w:val="20"/>
          <w:szCs w:val="20"/>
        </w:rPr>
        <w:t xml:space="preserve"> summarizes all applicable Net-to-Gross ratios for programs that may be used by this measure.</w:t>
      </w:r>
    </w:p>
    <w:p w14:paraId="5EB8A365" w14:textId="77777777" w:rsidR="00B0102E" w:rsidRDefault="00B0102E" w:rsidP="00F62D81">
      <w:pPr>
        <w:rPr>
          <w:rFonts w:ascii="Arial" w:hAnsi="Arial" w:cs="Arial"/>
          <w:sz w:val="20"/>
          <w:szCs w:val="20"/>
        </w:rPr>
      </w:pPr>
    </w:p>
    <w:p w14:paraId="5EB8A366" w14:textId="77777777" w:rsidR="00B0102E" w:rsidRDefault="00B0102E" w:rsidP="00F62D81">
      <w:pPr>
        <w:rPr>
          <w:rFonts w:ascii="Arial" w:hAnsi="Arial" w:cs="Arial"/>
          <w:sz w:val="20"/>
          <w:szCs w:val="20"/>
        </w:rPr>
      </w:pPr>
      <w:r w:rsidRPr="00F707F5">
        <w:rPr>
          <w:rFonts w:ascii="Arial" w:hAnsi="Arial" w:cs="Arial"/>
          <w:sz w:val="20"/>
          <w:szCs w:val="20"/>
        </w:rPr>
        <w:t>The LED commercial lighting fixtures (troffer) product category is rapidly evolving as product quality continues to improve and price continues to come down. However, high initial cost and product quality variability are still enough of market barriers that a utility incentive program could help to address these barriers by providing incentives to reduce initial cost, coupled with product qualification standards. This will allow utilities to accelerate market adoption of high quality products. The long lifetime of LED products means that retrofits will occur far less frequently than before, increasing the importance of selecting high quality products and ensuring customer satisfaction.</w:t>
      </w:r>
    </w:p>
    <w:p w14:paraId="5EB8A367" w14:textId="77777777" w:rsidR="00F707F5" w:rsidRDefault="00F707F5" w:rsidP="00F62D81">
      <w:pPr>
        <w:rPr>
          <w:rFonts w:ascii="Arial" w:hAnsi="Arial" w:cs="Arial"/>
          <w:sz w:val="20"/>
          <w:szCs w:val="20"/>
        </w:rPr>
      </w:pPr>
    </w:p>
    <w:p w14:paraId="5EB8A368" w14:textId="77777777" w:rsidR="00B0102E" w:rsidRPr="00B0102E" w:rsidRDefault="00B0102E" w:rsidP="00B0102E">
      <w:pPr>
        <w:rPr>
          <w:rFonts w:ascii="Arial" w:hAnsi="Arial" w:cs="Arial"/>
          <w:b/>
          <w:i/>
        </w:rPr>
      </w:pPr>
      <w:r w:rsidRPr="00B0102E">
        <w:rPr>
          <w:rFonts w:ascii="Arial" w:hAnsi="Arial" w:cs="Arial"/>
          <w:b/>
          <w:i/>
        </w:rPr>
        <w:t>Emerging Technology Study for this Measure</w:t>
      </w:r>
    </w:p>
    <w:p w14:paraId="5EB8A369" w14:textId="77777777" w:rsidR="00B0102E" w:rsidRPr="00B0102E" w:rsidRDefault="00B0102E" w:rsidP="00B0102E">
      <w:pPr>
        <w:rPr>
          <w:rFonts w:ascii="Arial" w:hAnsi="Arial" w:cs="Arial"/>
          <w:sz w:val="20"/>
          <w:szCs w:val="20"/>
        </w:rPr>
      </w:pPr>
      <w:r w:rsidRPr="00B0102E">
        <w:rPr>
          <w:rFonts w:ascii="Arial" w:hAnsi="Arial" w:cs="Arial"/>
          <w:sz w:val="20"/>
          <w:szCs w:val="20"/>
        </w:rPr>
        <w:t xml:space="preserve">The LED commercial lighting fixtures (troffer) product category is rapidly evolving as product quality continues to improve and price continues to come down. However, high initial cost and product quality variability are significant concerns in this product segment. PG&amp;E commissioned two Emerging Technology (ET) studies to examine these products thoroughly before launching a deemed measure. </w:t>
      </w:r>
    </w:p>
    <w:p w14:paraId="5EB8A36A" w14:textId="77777777" w:rsidR="00B0102E" w:rsidRPr="00B0102E" w:rsidRDefault="00B0102E" w:rsidP="00B0102E">
      <w:pPr>
        <w:rPr>
          <w:rFonts w:ascii="Arial" w:hAnsi="Arial" w:cs="Arial"/>
          <w:sz w:val="20"/>
          <w:szCs w:val="20"/>
        </w:rPr>
      </w:pPr>
    </w:p>
    <w:p w14:paraId="5EB8A36B" w14:textId="77777777" w:rsidR="00B0102E" w:rsidRPr="00B0102E" w:rsidRDefault="00B0102E" w:rsidP="00B0102E">
      <w:pPr>
        <w:rPr>
          <w:rFonts w:ascii="Arial" w:hAnsi="Arial" w:cs="Arial"/>
          <w:sz w:val="20"/>
          <w:szCs w:val="20"/>
        </w:rPr>
      </w:pPr>
      <w:r w:rsidRPr="00B0102E">
        <w:rPr>
          <w:rFonts w:ascii="Arial" w:hAnsi="Arial" w:cs="Arial"/>
          <w:sz w:val="20"/>
          <w:szCs w:val="20"/>
        </w:rPr>
        <w:t>The goals of these studies included: evaluating product quality, developing information to address product cost concerns, determining the appropriate timing for launching a commercial deemed measure, and understanding customer satisfaction issues.</w:t>
      </w:r>
    </w:p>
    <w:p w14:paraId="5EB8A36C" w14:textId="77777777" w:rsidR="00B0102E" w:rsidRPr="00B0102E" w:rsidRDefault="00B0102E" w:rsidP="00B0102E">
      <w:pPr>
        <w:rPr>
          <w:rFonts w:ascii="Arial" w:hAnsi="Arial" w:cs="Arial"/>
          <w:sz w:val="20"/>
          <w:szCs w:val="20"/>
        </w:rPr>
      </w:pPr>
    </w:p>
    <w:p w14:paraId="5EB8A36D" w14:textId="77777777" w:rsidR="00B0102E" w:rsidRPr="00B0102E" w:rsidRDefault="00B0102E" w:rsidP="00B0102E">
      <w:pPr>
        <w:rPr>
          <w:rFonts w:ascii="Arial" w:hAnsi="Arial" w:cs="Arial"/>
          <w:sz w:val="20"/>
          <w:szCs w:val="20"/>
        </w:rPr>
      </w:pPr>
      <w:r w:rsidRPr="00B0102E">
        <w:rPr>
          <w:rFonts w:ascii="Arial" w:hAnsi="Arial" w:cs="Arial"/>
          <w:sz w:val="20"/>
          <w:szCs w:val="20"/>
        </w:rPr>
        <w:t>PG&amp;E’s ET Program initiated ET projects in 2011 and 2012 to study these measures.</w:t>
      </w:r>
    </w:p>
    <w:p w14:paraId="5EB8A36E" w14:textId="77777777" w:rsidR="00B0102E" w:rsidRPr="00B0102E" w:rsidRDefault="00B0102E" w:rsidP="00B0102E">
      <w:pPr>
        <w:rPr>
          <w:rFonts w:ascii="Arial" w:hAnsi="Arial" w:cs="Arial"/>
          <w:sz w:val="20"/>
          <w:szCs w:val="20"/>
        </w:rPr>
      </w:pPr>
    </w:p>
    <w:p w14:paraId="5EB8A36F" w14:textId="77777777" w:rsidR="00B0102E" w:rsidRPr="00B0102E" w:rsidRDefault="00B0102E" w:rsidP="00B0102E">
      <w:pPr>
        <w:rPr>
          <w:rFonts w:ascii="Arial" w:hAnsi="Arial" w:cs="Arial"/>
          <w:sz w:val="20"/>
          <w:szCs w:val="20"/>
        </w:rPr>
      </w:pPr>
      <w:r w:rsidRPr="00B0102E">
        <w:rPr>
          <w:rFonts w:ascii="Arial" w:hAnsi="Arial" w:cs="Arial"/>
          <w:sz w:val="20"/>
          <w:szCs w:val="20"/>
        </w:rPr>
        <w:t>Project ET12PGE1481 conducted a comprehensive LED retrofit in a retail store environment with multiple fixture and lamp types. It confirmed that completing a store-wide</w:t>
      </w:r>
      <w:r w:rsidR="001E727A">
        <w:rPr>
          <w:rFonts w:ascii="Arial" w:hAnsi="Arial" w:cs="Arial"/>
          <w:sz w:val="20"/>
          <w:szCs w:val="20"/>
        </w:rPr>
        <w:t xml:space="preserve">, comprehensive LED retrofit is </w:t>
      </w:r>
      <w:r w:rsidRPr="00B0102E">
        <w:rPr>
          <w:rFonts w:ascii="Arial" w:hAnsi="Arial" w:cs="Arial"/>
          <w:sz w:val="20"/>
          <w:szCs w:val="20"/>
        </w:rPr>
        <w:t>feasible. Overall, the project achieved a 58% reduction in energy use for LEDA eligible products, and 47% on a store-wide basis. The study participant was very satisfied with the energy savings, projected maintenance savings, and lighting quality provided by the LED products that were installed.</w:t>
      </w:r>
      <w:bookmarkStart w:id="23" w:name="_Ref416193131"/>
      <w:r w:rsidRPr="00B0102E">
        <w:rPr>
          <w:rStyle w:val="EndnoteReference"/>
          <w:rFonts w:ascii="Arial" w:hAnsi="Arial" w:cs="Arial"/>
          <w:sz w:val="20"/>
          <w:szCs w:val="20"/>
        </w:rPr>
        <w:endnoteReference w:id="4"/>
      </w:r>
      <w:bookmarkEnd w:id="23"/>
    </w:p>
    <w:p w14:paraId="5EB8A370" w14:textId="77777777" w:rsidR="00B0102E" w:rsidRPr="00B0102E" w:rsidRDefault="00B0102E" w:rsidP="00B0102E">
      <w:pPr>
        <w:rPr>
          <w:rFonts w:ascii="Arial" w:hAnsi="Arial" w:cs="Arial"/>
          <w:sz w:val="20"/>
          <w:szCs w:val="20"/>
        </w:rPr>
      </w:pPr>
    </w:p>
    <w:p w14:paraId="5EB8A371" w14:textId="77777777" w:rsidR="00B0102E" w:rsidRPr="00B0102E" w:rsidRDefault="00B0102E" w:rsidP="00B0102E">
      <w:pPr>
        <w:rPr>
          <w:rFonts w:ascii="Arial" w:hAnsi="Arial" w:cs="Arial"/>
          <w:sz w:val="20"/>
          <w:szCs w:val="20"/>
        </w:rPr>
      </w:pPr>
      <w:r w:rsidRPr="00B0102E">
        <w:rPr>
          <w:rFonts w:ascii="Arial" w:hAnsi="Arial" w:cs="Arial"/>
          <w:sz w:val="20"/>
          <w:szCs w:val="20"/>
        </w:rPr>
        <w:t xml:space="preserve">Project ET11PGE3251 demonstrated LED panel fixtures in an office lighting application with an Advanced Lighting Control System (ALCS). It demonstrated that it is easier to integrate controls with the latest LED products in the market which </w:t>
      </w:r>
      <w:r w:rsidR="00E25FF3">
        <w:rPr>
          <w:rFonts w:ascii="Arial" w:hAnsi="Arial" w:cs="Arial"/>
          <w:sz w:val="20"/>
          <w:szCs w:val="20"/>
        </w:rPr>
        <w:t>increases the potential for</w:t>
      </w:r>
      <w:r w:rsidRPr="00B0102E">
        <w:rPr>
          <w:rFonts w:ascii="Arial" w:hAnsi="Arial" w:cs="Arial"/>
          <w:sz w:val="20"/>
          <w:szCs w:val="20"/>
        </w:rPr>
        <w:t xml:space="preserve"> even deeper savings. An initial energy savings of 21% resulted from replacing fluorescent lighting with LED lighting in an office. A further energy savings of 41% resulted from adding the ALCS.</w:t>
      </w:r>
      <w:bookmarkStart w:id="24" w:name="_Ref416193138"/>
      <w:r w:rsidRPr="00B0102E">
        <w:rPr>
          <w:rStyle w:val="EndnoteReference"/>
          <w:rFonts w:ascii="Arial" w:hAnsi="Arial" w:cs="Arial"/>
          <w:sz w:val="20"/>
          <w:szCs w:val="20"/>
        </w:rPr>
        <w:endnoteReference w:id="5"/>
      </w:r>
      <w:bookmarkEnd w:id="24"/>
    </w:p>
    <w:p w14:paraId="5EB8A372" w14:textId="77777777" w:rsidR="00B0102E" w:rsidRPr="00B0102E" w:rsidRDefault="00B0102E" w:rsidP="00B0102E">
      <w:pPr>
        <w:rPr>
          <w:rFonts w:ascii="Arial" w:hAnsi="Arial" w:cs="Arial"/>
          <w:sz w:val="20"/>
          <w:szCs w:val="20"/>
        </w:rPr>
      </w:pPr>
      <w:r w:rsidRPr="00B0102E">
        <w:rPr>
          <w:rFonts w:ascii="Arial" w:hAnsi="Arial" w:cs="Arial"/>
          <w:sz w:val="20"/>
          <w:szCs w:val="20"/>
        </w:rPr>
        <w:t xml:space="preserve"> </w:t>
      </w:r>
    </w:p>
    <w:p w14:paraId="5EB8A373" w14:textId="77777777" w:rsidR="00B0102E" w:rsidRDefault="00B0102E" w:rsidP="00B0102E">
      <w:pPr>
        <w:rPr>
          <w:rFonts w:ascii="Arial" w:hAnsi="Arial" w:cs="Arial"/>
          <w:sz w:val="20"/>
          <w:szCs w:val="20"/>
        </w:rPr>
      </w:pPr>
      <w:r w:rsidRPr="00B0102E">
        <w:rPr>
          <w:rFonts w:ascii="Arial" w:hAnsi="Arial" w:cs="Arial"/>
          <w:sz w:val="20"/>
          <w:szCs w:val="20"/>
        </w:rPr>
        <w:t>These two ET projects together outlined the path forward for these projects in non-residential deemed programs.  The results suggested that a utility incentive program could help to address market barriers by providing incentives to reduce initial cost, coupled with rigorous product qualification standards. This will allow utilities to accelerate market adoption of high-quality products. The long lifetime of LED products means that retrofits will occur far less frequently than before, increasing the importance of selecting high-quality products and ensuring customer satisfaction.</w:t>
      </w:r>
    </w:p>
    <w:p w14:paraId="5EB8A374" w14:textId="77777777" w:rsidR="00B0102E" w:rsidRDefault="00B0102E" w:rsidP="00F62D81">
      <w:pPr>
        <w:rPr>
          <w:rFonts w:ascii="Arial" w:hAnsi="Arial" w:cs="Arial"/>
          <w:sz w:val="20"/>
          <w:szCs w:val="20"/>
        </w:rPr>
      </w:pPr>
    </w:p>
    <w:p w14:paraId="555ACCA4" w14:textId="62C8B972" w:rsidR="00D247DD" w:rsidRDefault="00A9717C" w:rsidP="00F62D81">
      <w:pPr>
        <w:rPr>
          <w:rFonts w:ascii="Arial" w:hAnsi="Arial" w:cs="Arial"/>
          <w:color w:val="000000" w:themeColor="text1"/>
          <w:sz w:val="20"/>
          <w:szCs w:val="20"/>
        </w:rPr>
      </w:pPr>
      <w:r w:rsidRPr="00CF48A4">
        <w:rPr>
          <w:rFonts w:ascii="Arial" w:hAnsi="Arial" w:cs="Arial"/>
          <w:color w:val="000000" w:themeColor="text1"/>
          <w:sz w:val="20"/>
          <w:szCs w:val="20"/>
        </w:rPr>
        <w:t xml:space="preserve">Based on the August 23, 2015 disposition, 0.85 </w:t>
      </w:r>
      <w:r w:rsidR="00D247DD">
        <w:rPr>
          <w:rFonts w:ascii="Arial" w:hAnsi="Arial" w:cs="Arial"/>
          <w:color w:val="000000" w:themeColor="text1"/>
          <w:sz w:val="20"/>
          <w:szCs w:val="20"/>
        </w:rPr>
        <w:t>ET_</w:t>
      </w:r>
      <w:r w:rsidRPr="00CF48A4">
        <w:rPr>
          <w:rFonts w:ascii="Arial" w:hAnsi="Arial" w:cs="Arial"/>
          <w:color w:val="000000" w:themeColor="text1"/>
          <w:sz w:val="20"/>
          <w:szCs w:val="20"/>
        </w:rPr>
        <w:t>NTG was used in direct</w:t>
      </w:r>
      <w:r w:rsidR="00CF48A4" w:rsidRPr="00CF48A4">
        <w:rPr>
          <w:rFonts w:ascii="Arial" w:hAnsi="Arial" w:cs="Arial"/>
          <w:color w:val="000000" w:themeColor="text1"/>
          <w:sz w:val="20"/>
          <w:szCs w:val="20"/>
        </w:rPr>
        <w:t xml:space="preserve"> install delivery channel.</w:t>
      </w:r>
      <w:r w:rsidR="00D247DD">
        <w:rPr>
          <w:rFonts w:ascii="Arial" w:hAnsi="Arial" w:cs="Arial"/>
          <w:color w:val="000000" w:themeColor="text1"/>
          <w:sz w:val="20"/>
          <w:szCs w:val="20"/>
        </w:rPr>
        <w:t xml:space="preserve"> </w:t>
      </w:r>
      <w:r w:rsidR="00D247DD" w:rsidRPr="00A9717C">
        <w:rPr>
          <w:rFonts w:ascii="Arial" w:hAnsi="Arial" w:cs="Arial"/>
          <w:color w:val="000000" w:themeColor="text1"/>
          <w:sz w:val="20"/>
          <w:szCs w:val="20"/>
        </w:rPr>
        <w:t>The upstream and downstream channels will use the 0.7 NTG as noted in the disposition.</w:t>
      </w:r>
      <w:r w:rsidR="00D247DD">
        <w:rPr>
          <w:rFonts w:ascii="Arial" w:hAnsi="Arial" w:cs="Arial"/>
          <w:color w:val="000000" w:themeColor="text1"/>
          <w:sz w:val="20"/>
          <w:szCs w:val="20"/>
        </w:rPr>
        <w:t xml:space="preserve"> The ET_NTG for Direct Install was effective to the portfolio since 10/1/2015 and expires on 12/31/2016. The</w:t>
      </w:r>
      <w:r w:rsidR="00C634A0">
        <w:rPr>
          <w:rFonts w:ascii="Arial" w:hAnsi="Arial" w:cs="Arial"/>
          <w:color w:val="000000" w:themeColor="text1"/>
          <w:sz w:val="20"/>
          <w:szCs w:val="20"/>
        </w:rPr>
        <w:t xml:space="preserve"> NTG for</w:t>
      </w:r>
      <w:r w:rsidR="00D247DD">
        <w:rPr>
          <w:rFonts w:ascii="Arial" w:hAnsi="Arial" w:cs="Arial"/>
          <w:color w:val="000000" w:themeColor="text1"/>
          <w:sz w:val="20"/>
          <w:szCs w:val="20"/>
        </w:rPr>
        <w:t xml:space="preserve"> All-Default&lt;=2yrs will be used until 10/1/2017 and will be changed</w:t>
      </w:r>
      <w:r w:rsidR="00C634A0">
        <w:rPr>
          <w:rFonts w:ascii="Arial" w:hAnsi="Arial" w:cs="Arial"/>
          <w:color w:val="000000" w:themeColor="text1"/>
          <w:sz w:val="20"/>
          <w:szCs w:val="20"/>
        </w:rPr>
        <w:t xml:space="preserve"> to 0.6 thereafter</w:t>
      </w:r>
      <w:r w:rsidR="00D247DD">
        <w:rPr>
          <w:rFonts w:ascii="Arial" w:hAnsi="Arial" w:cs="Arial"/>
          <w:color w:val="000000" w:themeColor="text1"/>
          <w:sz w:val="20"/>
          <w:szCs w:val="20"/>
        </w:rPr>
        <w:t>.</w:t>
      </w:r>
    </w:p>
    <w:p w14:paraId="5EB8A375" w14:textId="0408DB10" w:rsidR="001F21BD" w:rsidRPr="00A9717C" w:rsidRDefault="001F21BD" w:rsidP="00F62D81">
      <w:pPr>
        <w:rPr>
          <w:rFonts w:ascii="Arial" w:hAnsi="Arial" w:cs="Arial"/>
          <w:color w:val="000000" w:themeColor="text1"/>
          <w:sz w:val="20"/>
          <w:szCs w:val="20"/>
        </w:rPr>
      </w:pPr>
    </w:p>
    <w:p w14:paraId="5EB8A376" w14:textId="77777777" w:rsidR="00D719E9" w:rsidRPr="008F48E1" w:rsidRDefault="00D719E9" w:rsidP="00C81BD1">
      <w:pPr>
        <w:pStyle w:val="Caption"/>
        <w:jc w:val="center"/>
        <w:rPr>
          <w:rFonts w:ascii="Arial" w:hAnsi="Arial" w:cs="Arial"/>
        </w:rPr>
      </w:pPr>
      <w:bookmarkStart w:id="25" w:name="_Ref438456728"/>
      <w:bookmarkStart w:id="26" w:name="_Toc468795522"/>
      <w:r w:rsidRPr="00C81BD1">
        <w:t>Table</w:t>
      </w:r>
      <w:r w:rsidR="00DD12F1">
        <w:t xml:space="preserve"> </w:t>
      </w:r>
      <w:fldSimple w:instr=" SEQ Table \* ARABIC \s 1 ">
        <w:r w:rsidR="00264804">
          <w:rPr>
            <w:noProof/>
          </w:rPr>
          <w:t>4</w:t>
        </w:r>
      </w:fldSimple>
      <w:bookmarkEnd w:id="25"/>
      <w:r w:rsidR="00476B67" w:rsidRPr="00C81BD1">
        <w:t xml:space="preserve"> </w:t>
      </w:r>
      <w:r w:rsidR="00DD12F1">
        <w:t xml:space="preserve">- </w:t>
      </w:r>
      <w:r w:rsidR="00B61F2F" w:rsidRPr="00C81BD1">
        <w:t xml:space="preserve">Net-to-Gross </w:t>
      </w:r>
      <w:r w:rsidRPr="00C81BD1">
        <w:t>Ratios</w:t>
      </w:r>
      <w:bookmarkEnd w:id="26"/>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1983"/>
        <w:gridCol w:w="4371"/>
        <w:gridCol w:w="1132"/>
      </w:tblGrid>
      <w:tr w:rsidR="00A00551" w:rsidRPr="00CA1504" w14:paraId="5EB8A37B" w14:textId="77777777" w:rsidTr="00A00551">
        <w:tc>
          <w:tcPr>
            <w:tcW w:w="1047" w:type="pct"/>
            <w:shd w:val="pct20" w:color="000000" w:fill="FFFFFF"/>
          </w:tcPr>
          <w:p w14:paraId="5EB8A377" w14:textId="77777777"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Delivery Type</w:t>
            </w:r>
          </w:p>
        </w:tc>
        <w:tc>
          <w:tcPr>
            <w:tcW w:w="1047" w:type="pct"/>
            <w:shd w:val="pct20" w:color="000000" w:fill="FFFFFF"/>
          </w:tcPr>
          <w:p w14:paraId="5EB8A378" w14:textId="77777777"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NTGR_ID</w:t>
            </w:r>
          </w:p>
        </w:tc>
        <w:tc>
          <w:tcPr>
            <w:tcW w:w="2308" w:type="pct"/>
            <w:shd w:val="pct20" w:color="000000" w:fill="FFFFFF"/>
          </w:tcPr>
          <w:p w14:paraId="5EB8A379" w14:textId="77777777"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Description</w:t>
            </w:r>
          </w:p>
        </w:tc>
        <w:tc>
          <w:tcPr>
            <w:tcW w:w="598" w:type="pct"/>
            <w:shd w:val="pct20" w:color="000000" w:fill="FFFFFF"/>
          </w:tcPr>
          <w:p w14:paraId="5EB8A37A" w14:textId="77777777"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NTG</w:t>
            </w:r>
          </w:p>
        </w:tc>
      </w:tr>
      <w:tr w:rsidR="00A00551" w:rsidRPr="00196D7C" w14:paraId="5EB8A380" w14:textId="77777777" w:rsidTr="00A00551">
        <w:tc>
          <w:tcPr>
            <w:tcW w:w="1047" w:type="pct"/>
            <w:shd w:val="pct5" w:color="000000" w:fill="FFFFFF"/>
          </w:tcPr>
          <w:p w14:paraId="5EB8A37C" w14:textId="77777777" w:rsidR="00A00551" w:rsidRPr="00CA1504" w:rsidRDefault="00216409" w:rsidP="001F21BD">
            <w:pPr>
              <w:rPr>
                <w:rFonts w:ascii="Arial" w:hAnsi="Arial" w:cs="Arial"/>
                <w:sz w:val="18"/>
                <w:szCs w:val="18"/>
              </w:rPr>
            </w:pPr>
            <w:r w:rsidRPr="00CA1504">
              <w:rPr>
                <w:rFonts w:ascii="Arial" w:hAnsi="Arial" w:cs="Arial"/>
                <w:sz w:val="18"/>
                <w:szCs w:val="18"/>
              </w:rPr>
              <w:t>PreRebDown</w:t>
            </w:r>
            <w:r w:rsidR="00AD573D" w:rsidRPr="00CA1504">
              <w:rPr>
                <w:rFonts w:ascii="Arial" w:hAnsi="Arial" w:cs="Arial"/>
                <w:sz w:val="18"/>
                <w:szCs w:val="18"/>
              </w:rPr>
              <w:t>-201</w:t>
            </w:r>
            <w:r w:rsidR="001F21BD" w:rsidRPr="00CA1504">
              <w:rPr>
                <w:rFonts w:ascii="Arial" w:hAnsi="Arial" w:cs="Arial"/>
                <w:sz w:val="18"/>
                <w:szCs w:val="18"/>
              </w:rPr>
              <w:t>6</w:t>
            </w:r>
          </w:p>
        </w:tc>
        <w:tc>
          <w:tcPr>
            <w:tcW w:w="1047" w:type="pct"/>
            <w:shd w:val="pct5" w:color="000000" w:fill="FFFFFF"/>
          </w:tcPr>
          <w:p w14:paraId="5EB8A37D" w14:textId="77777777" w:rsidR="00A00551" w:rsidRPr="00CA1504" w:rsidRDefault="001F21BD" w:rsidP="005F63FF">
            <w:pPr>
              <w:rPr>
                <w:rFonts w:ascii="Arial" w:hAnsi="Arial" w:cs="Arial"/>
                <w:sz w:val="18"/>
                <w:szCs w:val="18"/>
              </w:rPr>
            </w:pPr>
            <w:r w:rsidRPr="00CA1504">
              <w:rPr>
                <w:rFonts w:ascii="Arial" w:hAnsi="Arial" w:cs="Arial"/>
                <w:sz w:val="18"/>
                <w:szCs w:val="18"/>
              </w:rPr>
              <w:t>All-Default&lt;=2yrs</w:t>
            </w:r>
          </w:p>
        </w:tc>
        <w:tc>
          <w:tcPr>
            <w:tcW w:w="2308" w:type="pct"/>
            <w:shd w:val="pct5" w:color="000000" w:fill="FFFFFF"/>
          </w:tcPr>
          <w:p w14:paraId="5EB8A37E" w14:textId="77777777" w:rsidR="00A00551" w:rsidRPr="00CA1504" w:rsidRDefault="001F21BD" w:rsidP="00C21125">
            <w:pPr>
              <w:rPr>
                <w:rFonts w:ascii="Arial" w:hAnsi="Arial" w:cs="Arial"/>
                <w:sz w:val="18"/>
                <w:szCs w:val="18"/>
              </w:rPr>
            </w:pPr>
            <w:r w:rsidRPr="00CA1504">
              <w:rPr>
                <w:rFonts w:ascii="Arial" w:hAnsi="Arial" w:cs="Arial"/>
                <w:sz w:val="18"/>
                <w:szCs w:val="18"/>
              </w:rPr>
              <w:t>All other EEM with no evaluated NTGR; new technology in program for 2 or fewer years</w:t>
            </w:r>
          </w:p>
        </w:tc>
        <w:tc>
          <w:tcPr>
            <w:tcW w:w="598" w:type="pct"/>
            <w:shd w:val="pct5" w:color="000000" w:fill="FFFFFF"/>
          </w:tcPr>
          <w:p w14:paraId="5EB8A37F" w14:textId="77777777" w:rsidR="00A00551" w:rsidRPr="00CA1504" w:rsidRDefault="001F21BD" w:rsidP="005F63FF">
            <w:pPr>
              <w:jc w:val="center"/>
              <w:rPr>
                <w:rFonts w:ascii="Arial" w:hAnsi="Arial" w:cs="Arial"/>
                <w:sz w:val="18"/>
                <w:szCs w:val="18"/>
              </w:rPr>
            </w:pPr>
            <w:r w:rsidRPr="00CA1504">
              <w:rPr>
                <w:rFonts w:ascii="Arial" w:hAnsi="Arial" w:cs="Arial"/>
                <w:sz w:val="18"/>
                <w:szCs w:val="18"/>
              </w:rPr>
              <w:t>0.7</w:t>
            </w:r>
          </w:p>
        </w:tc>
      </w:tr>
      <w:tr w:rsidR="00A00551" w:rsidRPr="00196D7C" w14:paraId="5EB8A385" w14:textId="77777777" w:rsidTr="00A00551">
        <w:tc>
          <w:tcPr>
            <w:tcW w:w="1047" w:type="pct"/>
            <w:shd w:val="pct5" w:color="000000" w:fill="FFFFFF"/>
          </w:tcPr>
          <w:p w14:paraId="5EB8A381" w14:textId="77777777" w:rsidR="00A00551" w:rsidRPr="00CA1504" w:rsidRDefault="00216409" w:rsidP="0066579A">
            <w:pPr>
              <w:rPr>
                <w:rFonts w:ascii="Arial" w:hAnsi="Arial" w:cs="Arial"/>
                <w:sz w:val="18"/>
                <w:szCs w:val="18"/>
              </w:rPr>
            </w:pPr>
            <w:proofErr w:type="spellStart"/>
            <w:r w:rsidRPr="00CA1504">
              <w:rPr>
                <w:rFonts w:ascii="Arial" w:hAnsi="Arial" w:cs="Arial"/>
                <w:sz w:val="18"/>
                <w:szCs w:val="18"/>
              </w:rPr>
              <w:t>DirInstall</w:t>
            </w:r>
            <w:proofErr w:type="spellEnd"/>
          </w:p>
        </w:tc>
        <w:tc>
          <w:tcPr>
            <w:tcW w:w="1047" w:type="pct"/>
            <w:shd w:val="pct5" w:color="000000" w:fill="FFFFFF"/>
          </w:tcPr>
          <w:p w14:paraId="5EB8A382" w14:textId="1D10A619" w:rsidR="00A00551" w:rsidRPr="00CA1504" w:rsidRDefault="00D412D8" w:rsidP="009F47C3">
            <w:pPr>
              <w:rPr>
                <w:rFonts w:ascii="Arial" w:hAnsi="Arial" w:cs="Arial"/>
                <w:sz w:val="18"/>
                <w:szCs w:val="18"/>
              </w:rPr>
            </w:pPr>
            <w:r w:rsidRPr="00CA1504">
              <w:rPr>
                <w:rFonts w:ascii="Arial" w:hAnsi="Arial" w:cs="Arial"/>
                <w:sz w:val="18"/>
                <w:szCs w:val="18"/>
              </w:rPr>
              <w:t>All-Default&lt;=2yrs</w:t>
            </w:r>
          </w:p>
        </w:tc>
        <w:tc>
          <w:tcPr>
            <w:tcW w:w="2308" w:type="pct"/>
            <w:shd w:val="pct5" w:color="000000" w:fill="FFFFFF"/>
          </w:tcPr>
          <w:p w14:paraId="5EB8A383" w14:textId="74DF035D" w:rsidR="00A00551" w:rsidRPr="00CA1504" w:rsidRDefault="00D412D8" w:rsidP="009F47C3">
            <w:pPr>
              <w:rPr>
                <w:rFonts w:ascii="Arial" w:hAnsi="Arial" w:cs="Arial"/>
                <w:sz w:val="18"/>
                <w:szCs w:val="18"/>
              </w:rPr>
            </w:pPr>
            <w:r w:rsidRPr="00CA1504">
              <w:rPr>
                <w:rFonts w:ascii="Arial" w:hAnsi="Arial" w:cs="Arial"/>
                <w:sz w:val="18"/>
                <w:szCs w:val="18"/>
              </w:rPr>
              <w:t>All other EEM with no evaluated NTGR; new technology in program for 2 or fewer years</w:t>
            </w:r>
          </w:p>
        </w:tc>
        <w:tc>
          <w:tcPr>
            <w:tcW w:w="598" w:type="pct"/>
            <w:shd w:val="pct5" w:color="000000" w:fill="FFFFFF"/>
          </w:tcPr>
          <w:p w14:paraId="5EB8A384" w14:textId="7D4E908A" w:rsidR="00A00551" w:rsidRPr="00CA1504" w:rsidRDefault="00D412D8" w:rsidP="009F47C3">
            <w:pPr>
              <w:jc w:val="center"/>
              <w:rPr>
                <w:rFonts w:ascii="Arial" w:hAnsi="Arial" w:cs="Arial"/>
                <w:sz w:val="18"/>
                <w:szCs w:val="18"/>
              </w:rPr>
            </w:pPr>
            <w:r>
              <w:rPr>
                <w:rFonts w:ascii="Arial" w:hAnsi="Arial" w:cs="Arial"/>
                <w:sz w:val="18"/>
                <w:szCs w:val="18"/>
              </w:rPr>
              <w:t>0.7</w:t>
            </w:r>
          </w:p>
        </w:tc>
      </w:tr>
      <w:tr w:rsidR="00AD573D" w:rsidRPr="003B2621" w14:paraId="5EB8A38A" w14:textId="77777777" w:rsidTr="00AD573D">
        <w:tc>
          <w:tcPr>
            <w:tcW w:w="1047" w:type="pct"/>
            <w:tcBorders>
              <w:top w:val="single" w:sz="4" w:space="0" w:color="auto"/>
              <w:left w:val="single" w:sz="4" w:space="0" w:color="auto"/>
              <w:bottom w:val="single" w:sz="4" w:space="0" w:color="auto"/>
              <w:right w:val="single" w:sz="4" w:space="0" w:color="auto"/>
            </w:tcBorders>
            <w:shd w:val="pct5" w:color="000000" w:fill="FFFFFF"/>
          </w:tcPr>
          <w:p w14:paraId="5EB8A386" w14:textId="77777777" w:rsidR="00AD573D" w:rsidRPr="00CA1504" w:rsidRDefault="001F21BD" w:rsidP="00D93D13">
            <w:pPr>
              <w:rPr>
                <w:rFonts w:ascii="Arial" w:hAnsi="Arial" w:cs="Arial"/>
                <w:sz w:val="18"/>
                <w:szCs w:val="18"/>
              </w:rPr>
            </w:pPr>
            <w:r w:rsidRPr="00CA1504">
              <w:rPr>
                <w:rFonts w:ascii="Arial" w:hAnsi="Arial" w:cs="Arial"/>
                <w:sz w:val="18"/>
                <w:szCs w:val="18"/>
              </w:rPr>
              <w:t>PreRebUp</w:t>
            </w:r>
            <w:r w:rsidR="00AD573D" w:rsidRPr="00CA1504">
              <w:rPr>
                <w:rFonts w:ascii="Arial" w:hAnsi="Arial" w:cs="Arial"/>
                <w:sz w:val="18"/>
                <w:szCs w:val="18"/>
              </w:rPr>
              <w:t>-2016</w:t>
            </w:r>
          </w:p>
        </w:tc>
        <w:tc>
          <w:tcPr>
            <w:tcW w:w="1047" w:type="pct"/>
            <w:tcBorders>
              <w:top w:val="single" w:sz="4" w:space="0" w:color="auto"/>
              <w:left w:val="single" w:sz="4" w:space="0" w:color="auto"/>
              <w:bottom w:val="single" w:sz="4" w:space="0" w:color="auto"/>
              <w:right w:val="single" w:sz="4" w:space="0" w:color="auto"/>
            </w:tcBorders>
            <w:shd w:val="pct5" w:color="000000" w:fill="FFFFFF"/>
          </w:tcPr>
          <w:p w14:paraId="5EB8A387" w14:textId="77777777" w:rsidR="00AD573D" w:rsidRPr="00CA1504" w:rsidRDefault="00AD573D" w:rsidP="00D93D13">
            <w:pPr>
              <w:rPr>
                <w:rFonts w:ascii="Arial" w:hAnsi="Arial" w:cs="Arial"/>
                <w:sz w:val="18"/>
                <w:szCs w:val="18"/>
              </w:rPr>
            </w:pPr>
            <w:r w:rsidRPr="00CA1504">
              <w:rPr>
                <w:rFonts w:ascii="Arial" w:hAnsi="Arial" w:cs="Arial"/>
                <w:sz w:val="18"/>
                <w:szCs w:val="18"/>
              </w:rPr>
              <w:t>All-Default&lt;=2yrs</w:t>
            </w:r>
          </w:p>
        </w:tc>
        <w:tc>
          <w:tcPr>
            <w:tcW w:w="2308" w:type="pct"/>
            <w:tcBorders>
              <w:top w:val="single" w:sz="4" w:space="0" w:color="auto"/>
              <w:left w:val="single" w:sz="4" w:space="0" w:color="auto"/>
              <w:bottom w:val="single" w:sz="4" w:space="0" w:color="auto"/>
              <w:right w:val="single" w:sz="4" w:space="0" w:color="auto"/>
            </w:tcBorders>
            <w:shd w:val="pct5" w:color="000000" w:fill="FFFFFF"/>
          </w:tcPr>
          <w:p w14:paraId="5EB8A388" w14:textId="77777777" w:rsidR="00AD573D" w:rsidRPr="00CA1504" w:rsidRDefault="00933767" w:rsidP="00D93D13">
            <w:pPr>
              <w:rPr>
                <w:rFonts w:ascii="Arial" w:hAnsi="Arial" w:cs="Arial"/>
                <w:sz w:val="18"/>
                <w:szCs w:val="18"/>
              </w:rPr>
            </w:pPr>
            <w:r w:rsidRPr="00CA1504">
              <w:rPr>
                <w:rFonts w:ascii="Arial" w:hAnsi="Arial" w:cs="Arial"/>
                <w:sz w:val="18"/>
                <w:szCs w:val="18"/>
              </w:rPr>
              <w:t xml:space="preserve">All other EEM with no evaluated NTGR; new technology in program for 2 or fewer years </w:t>
            </w:r>
          </w:p>
        </w:tc>
        <w:tc>
          <w:tcPr>
            <w:tcW w:w="598" w:type="pct"/>
            <w:tcBorders>
              <w:top w:val="single" w:sz="4" w:space="0" w:color="auto"/>
              <w:left w:val="single" w:sz="4" w:space="0" w:color="auto"/>
              <w:bottom w:val="single" w:sz="4" w:space="0" w:color="auto"/>
              <w:right w:val="single" w:sz="4" w:space="0" w:color="auto"/>
            </w:tcBorders>
            <w:shd w:val="pct5" w:color="000000" w:fill="FFFFFF"/>
          </w:tcPr>
          <w:p w14:paraId="5EB8A389" w14:textId="77777777" w:rsidR="00AD573D" w:rsidRPr="00CA1504" w:rsidRDefault="00AD573D" w:rsidP="00D93D13">
            <w:pPr>
              <w:jc w:val="center"/>
              <w:rPr>
                <w:rFonts w:ascii="Arial" w:hAnsi="Arial" w:cs="Arial"/>
                <w:sz w:val="18"/>
                <w:szCs w:val="18"/>
              </w:rPr>
            </w:pPr>
            <w:r w:rsidRPr="00CA1504">
              <w:rPr>
                <w:rFonts w:ascii="Arial" w:hAnsi="Arial" w:cs="Arial"/>
                <w:sz w:val="18"/>
                <w:szCs w:val="18"/>
              </w:rPr>
              <w:t>0.7</w:t>
            </w:r>
          </w:p>
        </w:tc>
      </w:tr>
    </w:tbl>
    <w:p w14:paraId="5EB8A38B" w14:textId="77777777" w:rsidR="008F48E1" w:rsidRDefault="008F48E1" w:rsidP="00435C34">
      <w:pPr>
        <w:ind w:left="720"/>
        <w:rPr>
          <w:rFonts w:ascii="Arial" w:hAnsi="Arial" w:cs="Arial"/>
          <w:sz w:val="20"/>
          <w:szCs w:val="20"/>
        </w:rPr>
      </w:pPr>
    </w:p>
    <w:p w14:paraId="5EB8A38C" w14:textId="77777777" w:rsidR="00CA1504" w:rsidRDefault="00CA1504" w:rsidP="00CA1504">
      <w:pPr>
        <w:tabs>
          <w:tab w:val="left" w:pos="6435"/>
        </w:tabs>
        <w:rPr>
          <w:rFonts w:ascii="Arial" w:hAnsi="Arial" w:cs="Arial"/>
          <w:b/>
          <w:sz w:val="20"/>
          <w:szCs w:val="20"/>
          <w:u w:val="single"/>
        </w:rPr>
      </w:pPr>
      <w:r>
        <w:rPr>
          <w:rFonts w:ascii="Arial" w:hAnsi="Arial" w:cs="Arial"/>
          <w:b/>
          <w:sz w:val="20"/>
          <w:szCs w:val="20"/>
          <w:u w:val="single"/>
        </w:rPr>
        <w:t>Installation Rate</w:t>
      </w:r>
    </w:p>
    <w:p w14:paraId="5EB8A38D" w14:textId="77777777" w:rsidR="00CA1504" w:rsidRPr="00CA1504" w:rsidRDefault="00CA1504" w:rsidP="00CA1504">
      <w:pPr>
        <w:rPr>
          <w:rFonts w:ascii="Arial" w:hAnsi="Arial" w:cs="Arial"/>
          <w:sz w:val="20"/>
          <w:szCs w:val="20"/>
        </w:rPr>
      </w:pPr>
      <w:r w:rsidRPr="00CA1504">
        <w:rPr>
          <w:rFonts w:ascii="Arial" w:hAnsi="Arial" w:cs="Arial"/>
          <w:sz w:val="20"/>
          <w:szCs w:val="20"/>
        </w:rPr>
        <w:t>The IR value</w:t>
      </w:r>
      <w:r>
        <w:rPr>
          <w:rFonts w:ascii="Arial" w:hAnsi="Arial" w:cs="Arial"/>
          <w:sz w:val="20"/>
          <w:szCs w:val="20"/>
        </w:rPr>
        <w:t xml:space="preserve"> was </w:t>
      </w:r>
      <w:r w:rsidRPr="00CA1504">
        <w:rPr>
          <w:rFonts w:ascii="Arial" w:hAnsi="Arial" w:cs="Arial"/>
          <w:sz w:val="20"/>
          <w:szCs w:val="20"/>
        </w:rPr>
        <w:t xml:space="preserve">obtained using the DEER READI tool. The relevant IR value for the measures in this work paper </w:t>
      </w:r>
      <w:r>
        <w:rPr>
          <w:rFonts w:ascii="Arial" w:hAnsi="Arial" w:cs="Arial"/>
          <w:sz w:val="20"/>
          <w:szCs w:val="20"/>
        </w:rPr>
        <w:t>is</w:t>
      </w:r>
      <w:r w:rsidRPr="00CA1504">
        <w:rPr>
          <w:rFonts w:ascii="Arial" w:hAnsi="Arial" w:cs="Arial"/>
          <w:sz w:val="20"/>
          <w:szCs w:val="20"/>
        </w:rPr>
        <w:t xml:space="preserve"> in the table below.</w:t>
      </w:r>
    </w:p>
    <w:p w14:paraId="5EB8A38E" w14:textId="77777777" w:rsidR="00CA1504" w:rsidRDefault="00CA1504" w:rsidP="00CA1504">
      <w:pPr>
        <w:pStyle w:val="Caption"/>
        <w:keepNext/>
        <w:jc w:val="center"/>
      </w:pPr>
      <w:bookmarkStart w:id="27" w:name="_Toc468795523"/>
      <w:r>
        <w:t xml:space="preserve">Table </w:t>
      </w:r>
      <w:fldSimple w:instr=" SEQ Table \* ARABIC ">
        <w:r w:rsidR="00264804">
          <w:rPr>
            <w:noProof/>
          </w:rPr>
          <w:t>5</w:t>
        </w:r>
      </w:fldSimple>
      <w:r>
        <w:t xml:space="preserve"> - Installation Rate</w:t>
      </w:r>
      <w:bookmarkEnd w:id="27"/>
    </w:p>
    <w:tbl>
      <w:tblPr>
        <w:tblStyle w:val="TableGrid1"/>
        <w:tblW w:w="5000" w:type="pct"/>
        <w:tblLook w:val="01E0" w:firstRow="1" w:lastRow="1" w:firstColumn="1" w:lastColumn="1" w:noHBand="0" w:noVBand="0"/>
      </w:tblPr>
      <w:tblGrid>
        <w:gridCol w:w="1355"/>
        <w:gridCol w:w="2663"/>
        <w:gridCol w:w="1292"/>
        <w:gridCol w:w="1616"/>
        <w:gridCol w:w="1390"/>
        <w:gridCol w:w="1260"/>
      </w:tblGrid>
      <w:tr w:rsidR="00CA1504" w:rsidRPr="00CA1504" w14:paraId="5EB8A395" w14:textId="77777777" w:rsidTr="00CA1504">
        <w:tc>
          <w:tcPr>
            <w:tcW w:w="707" w:type="pct"/>
            <w:shd w:val="clear" w:color="auto" w:fill="D9D9D9" w:themeFill="background1" w:themeFillShade="D9"/>
          </w:tcPr>
          <w:p w14:paraId="5EB8A38F" w14:textId="77777777" w:rsidR="00CA1504" w:rsidRPr="00CA1504" w:rsidRDefault="00CA1504" w:rsidP="004C3B88">
            <w:pPr>
              <w:rPr>
                <w:rFonts w:ascii="Arial" w:hAnsi="Arial" w:cs="Arial"/>
                <w:b/>
                <w:sz w:val="20"/>
                <w:szCs w:val="20"/>
              </w:rPr>
            </w:pPr>
            <w:r w:rsidRPr="00CA1504">
              <w:rPr>
                <w:rFonts w:ascii="Arial" w:hAnsi="Arial" w:cs="Arial"/>
                <w:b/>
                <w:sz w:val="20"/>
                <w:szCs w:val="20"/>
              </w:rPr>
              <w:t>GSIA ID</w:t>
            </w:r>
          </w:p>
        </w:tc>
        <w:tc>
          <w:tcPr>
            <w:tcW w:w="1390" w:type="pct"/>
            <w:shd w:val="clear" w:color="auto" w:fill="D9D9D9" w:themeFill="background1" w:themeFillShade="D9"/>
          </w:tcPr>
          <w:p w14:paraId="5EB8A390" w14:textId="77777777" w:rsidR="00CA1504" w:rsidRPr="00CA1504" w:rsidRDefault="00CA1504" w:rsidP="004C3B88">
            <w:pPr>
              <w:rPr>
                <w:rFonts w:ascii="Arial" w:hAnsi="Arial" w:cs="Arial"/>
                <w:b/>
                <w:sz w:val="20"/>
                <w:szCs w:val="20"/>
              </w:rPr>
            </w:pPr>
            <w:r w:rsidRPr="00CA1504">
              <w:rPr>
                <w:rFonts w:ascii="Arial" w:hAnsi="Arial" w:cs="Arial"/>
                <w:b/>
                <w:sz w:val="20"/>
                <w:szCs w:val="20"/>
              </w:rPr>
              <w:t>Description</w:t>
            </w:r>
          </w:p>
        </w:tc>
        <w:tc>
          <w:tcPr>
            <w:tcW w:w="674" w:type="pct"/>
            <w:shd w:val="clear" w:color="auto" w:fill="D9D9D9" w:themeFill="background1" w:themeFillShade="D9"/>
          </w:tcPr>
          <w:p w14:paraId="5EB8A391" w14:textId="77777777" w:rsidR="00CA1504" w:rsidRPr="00CA1504" w:rsidRDefault="00CA1504" w:rsidP="004C3B88">
            <w:pPr>
              <w:rPr>
                <w:rFonts w:ascii="Arial" w:hAnsi="Arial" w:cs="Arial"/>
                <w:b/>
                <w:sz w:val="20"/>
                <w:szCs w:val="20"/>
              </w:rPr>
            </w:pPr>
            <w:r w:rsidRPr="00CA1504">
              <w:rPr>
                <w:rFonts w:ascii="Arial" w:hAnsi="Arial" w:cs="Arial"/>
                <w:b/>
                <w:sz w:val="20"/>
                <w:szCs w:val="20"/>
              </w:rPr>
              <w:t>Sector</w:t>
            </w:r>
          </w:p>
        </w:tc>
        <w:tc>
          <w:tcPr>
            <w:tcW w:w="844" w:type="pct"/>
            <w:shd w:val="clear" w:color="auto" w:fill="D9D9D9" w:themeFill="background1" w:themeFillShade="D9"/>
          </w:tcPr>
          <w:p w14:paraId="5EB8A392" w14:textId="77777777" w:rsidR="00CA1504" w:rsidRPr="00CA1504" w:rsidRDefault="00CA1504" w:rsidP="004C3B88">
            <w:pPr>
              <w:rPr>
                <w:rFonts w:ascii="Arial" w:hAnsi="Arial" w:cs="Arial"/>
                <w:b/>
                <w:sz w:val="20"/>
                <w:szCs w:val="20"/>
              </w:rPr>
            </w:pPr>
            <w:r w:rsidRPr="00CA1504">
              <w:rPr>
                <w:rFonts w:ascii="Arial" w:hAnsi="Arial" w:cs="Arial"/>
                <w:b/>
                <w:sz w:val="20"/>
                <w:szCs w:val="20"/>
              </w:rPr>
              <w:t>BldgType</w:t>
            </w:r>
          </w:p>
        </w:tc>
        <w:tc>
          <w:tcPr>
            <w:tcW w:w="726" w:type="pct"/>
            <w:shd w:val="clear" w:color="auto" w:fill="D9D9D9" w:themeFill="background1" w:themeFillShade="D9"/>
          </w:tcPr>
          <w:p w14:paraId="5EB8A393" w14:textId="77777777" w:rsidR="00CA1504" w:rsidRPr="00CA1504" w:rsidRDefault="00CA1504" w:rsidP="004C3B88">
            <w:pPr>
              <w:rPr>
                <w:rFonts w:ascii="Arial" w:hAnsi="Arial" w:cs="Arial"/>
                <w:b/>
                <w:sz w:val="20"/>
                <w:szCs w:val="20"/>
              </w:rPr>
            </w:pPr>
            <w:r w:rsidRPr="00CA1504">
              <w:rPr>
                <w:rFonts w:ascii="Arial" w:hAnsi="Arial" w:cs="Arial"/>
                <w:b/>
                <w:sz w:val="20"/>
                <w:szCs w:val="20"/>
              </w:rPr>
              <w:t>ProgDelivID</w:t>
            </w:r>
          </w:p>
        </w:tc>
        <w:tc>
          <w:tcPr>
            <w:tcW w:w="658" w:type="pct"/>
            <w:shd w:val="clear" w:color="auto" w:fill="D9D9D9" w:themeFill="background1" w:themeFillShade="D9"/>
          </w:tcPr>
          <w:p w14:paraId="5EB8A394" w14:textId="77777777" w:rsidR="00CA1504" w:rsidRPr="00CA1504" w:rsidRDefault="00CA1504" w:rsidP="004C3B88">
            <w:pPr>
              <w:rPr>
                <w:rFonts w:ascii="Arial" w:hAnsi="Arial" w:cs="Arial"/>
                <w:b/>
                <w:sz w:val="20"/>
                <w:szCs w:val="20"/>
              </w:rPr>
            </w:pPr>
            <w:r w:rsidRPr="00CA1504">
              <w:rPr>
                <w:rFonts w:ascii="Arial" w:hAnsi="Arial" w:cs="Arial"/>
                <w:b/>
                <w:sz w:val="20"/>
                <w:szCs w:val="20"/>
              </w:rPr>
              <w:t>GSIAValue</w:t>
            </w:r>
          </w:p>
        </w:tc>
      </w:tr>
      <w:tr w:rsidR="00CA1504" w:rsidRPr="00CA1504" w14:paraId="5EB8A39C" w14:textId="77777777" w:rsidTr="00CA1504">
        <w:tc>
          <w:tcPr>
            <w:tcW w:w="707" w:type="pct"/>
          </w:tcPr>
          <w:p w14:paraId="5EB8A396" w14:textId="77777777" w:rsidR="00CA1504" w:rsidRPr="00CA1504" w:rsidRDefault="00CA1504" w:rsidP="004C3B88">
            <w:pPr>
              <w:rPr>
                <w:rFonts w:ascii="Arial" w:hAnsi="Arial" w:cs="Arial"/>
                <w:sz w:val="18"/>
                <w:szCs w:val="18"/>
              </w:rPr>
            </w:pPr>
            <w:r w:rsidRPr="00CA1504">
              <w:rPr>
                <w:rFonts w:ascii="Arial" w:hAnsi="Arial" w:cs="Arial"/>
                <w:sz w:val="18"/>
                <w:szCs w:val="18"/>
              </w:rPr>
              <w:t>Def-GSIA</w:t>
            </w:r>
          </w:p>
        </w:tc>
        <w:tc>
          <w:tcPr>
            <w:tcW w:w="1390" w:type="pct"/>
          </w:tcPr>
          <w:p w14:paraId="5EB8A397" w14:textId="77777777" w:rsidR="00CA1504" w:rsidRPr="00CA1504" w:rsidRDefault="00CA1504" w:rsidP="004C3B88">
            <w:pPr>
              <w:rPr>
                <w:rFonts w:ascii="Arial" w:hAnsi="Arial" w:cs="Arial"/>
                <w:sz w:val="18"/>
                <w:szCs w:val="18"/>
              </w:rPr>
            </w:pPr>
            <w:r w:rsidRPr="00CA1504">
              <w:rPr>
                <w:rFonts w:ascii="Arial" w:hAnsi="Arial" w:cs="Arial"/>
                <w:sz w:val="18"/>
                <w:szCs w:val="18"/>
              </w:rPr>
              <w:t>Default GSIA values</w:t>
            </w:r>
          </w:p>
        </w:tc>
        <w:tc>
          <w:tcPr>
            <w:tcW w:w="674" w:type="pct"/>
          </w:tcPr>
          <w:p w14:paraId="5EB8A398" w14:textId="77777777" w:rsidR="00CA1504" w:rsidRPr="00CA1504" w:rsidRDefault="00CA1504" w:rsidP="004C3B88">
            <w:pPr>
              <w:rPr>
                <w:rFonts w:ascii="Arial" w:hAnsi="Arial" w:cs="Arial"/>
                <w:sz w:val="18"/>
                <w:szCs w:val="18"/>
              </w:rPr>
            </w:pPr>
            <w:r w:rsidRPr="00CA1504">
              <w:rPr>
                <w:rFonts w:ascii="Arial" w:hAnsi="Arial" w:cs="Arial"/>
                <w:sz w:val="18"/>
                <w:szCs w:val="18"/>
              </w:rPr>
              <w:t>Any</w:t>
            </w:r>
          </w:p>
        </w:tc>
        <w:tc>
          <w:tcPr>
            <w:tcW w:w="844" w:type="pct"/>
          </w:tcPr>
          <w:p w14:paraId="5EB8A399" w14:textId="77777777" w:rsidR="00CA1504" w:rsidRPr="00CA1504" w:rsidRDefault="00CA1504" w:rsidP="004C3B88">
            <w:pPr>
              <w:rPr>
                <w:rFonts w:ascii="Arial" w:hAnsi="Arial" w:cs="Arial"/>
                <w:sz w:val="18"/>
                <w:szCs w:val="18"/>
              </w:rPr>
            </w:pPr>
            <w:r w:rsidRPr="00CA1504">
              <w:rPr>
                <w:rFonts w:ascii="Arial" w:hAnsi="Arial" w:cs="Arial"/>
                <w:sz w:val="18"/>
                <w:szCs w:val="18"/>
              </w:rPr>
              <w:t>Any</w:t>
            </w:r>
          </w:p>
        </w:tc>
        <w:tc>
          <w:tcPr>
            <w:tcW w:w="726" w:type="pct"/>
          </w:tcPr>
          <w:p w14:paraId="5EB8A39A" w14:textId="77777777" w:rsidR="00CA1504" w:rsidRPr="00CA1504" w:rsidRDefault="00CA1504" w:rsidP="004C3B88">
            <w:pPr>
              <w:rPr>
                <w:rFonts w:ascii="Arial" w:hAnsi="Arial" w:cs="Arial"/>
                <w:sz w:val="18"/>
                <w:szCs w:val="18"/>
              </w:rPr>
            </w:pPr>
            <w:r w:rsidRPr="00CA1504">
              <w:rPr>
                <w:rFonts w:ascii="Arial" w:hAnsi="Arial" w:cs="Arial"/>
                <w:sz w:val="18"/>
                <w:szCs w:val="18"/>
              </w:rPr>
              <w:t>Any</w:t>
            </w:r>
          </w:p>
        </w:tc>
        <w:tc>
          <w:tcPr>
            <w:tcW w:w="658" w:type="pct"/>
          </w:tcPr>
          <w:p w14:paraId="5EB8A39B" w14:textId="77777777" w:rsidR="00CA1504" w:rsidRPr="00CA1504" w:rsidRDefault="00CA1504" w:rsidP="004C3B88">
            <w:pPr>
              <w:rPr>
                <w:rFonts w:ascii="Arial" w:hAnsi="Arial" w:cs="Arial"/>
                <w:sz w:val="18"/>
                <w:szCs w:val="18"/>
              </w:rPr>
            </w:pPr>
            <w:r w:rsidRPr="00CA1504">
              <w:rPr>
                <w:rFonts w:ascii="Arial" w:hAnsi="Arial" w:cs="Arial"/>
                <w:sz w:val="18"/>
                <w:szCs w:val="18"/>
              </w:rPr>
              <w:t>1</w:t>
            </w:r>
          </w:p>
        </w:tc>
      </w:tr>
    </w:tbl>
    <w:p w14:paraId="5EB8A39D" w14:textId="77777777" w:rsidR="00CA1504" w:rsidRPr="00C61FFE" w:rsidRDefault="00CA1504" w:rsidP="00CA1504">
      <w:pPr>
        <w:rPr>
          <w:rFonts w:ascii="Arial" w:hAnsi="Arial" w:cs="Arial"/>
          <w:sz w:val="20"/>
          <w:szCs w:val="20"/>
        </w:rPr>
      </w:pPr>
    </w:p>
    <w:p w14:paraId="5EB8A39E" w14:textId="77777777" w:rsidR="00CA1504" w:rsidRDefault="00CA1504" w:rsidP="009B1119">
      <w:pPr>
        <w:tabs>
          <w:tab w:val="left" w:pos="6435"/>
        </w:tabs>
        <w:rPr>
          <w:rFonts w:ascii="Arial" w:hAnsi="Arial" w:cs="Arial"/>
          <w:b/>
          <w:sz w:val="20"/>
          <w:szCs w:val="20"/>
          <w:u w:val="single"/>
        </w:rPr>
      </w:pPr>
    </w:p>
    <w:p w14:paraId="5EB8A39F" w14:textId="77777777" w:rsidR="00DD2826" w:rsidRDefault="00DD2826" w:rsidP="009B1119">
      <w:pPr>
        <w:tabs>
          <w:tab w:val="left" w:pos="6435"/>
        </w:tabs>
        <w:rPr>
          <w:rFonts w:ascii="Arial" w:hAnsi="Arial" w:cs="Arial"/>
          <w:b/>
          <w:sz w:val="20"/>
          <w:szCs w:val="20"/>
          <w:u w:val="single"/>
        </w:rPr>
      </w:pPr>
      <w:r w:rsidRPr="009B1119">
        <w:rPr>
          <w:rFonts w:ascii="Arial" w:hAnsi="Arial" w:cs="Arial"/>
          <w:b/>
          <w:sz w:val="20"/>
          <w:szCs w:val="20"/>
          <w:u w:val="single"/>
        </w:rPr>
        <w:t>Effective Useful Life / Remaining Useful Life</w:t>
      </w:r>
    </w:p>
    <w:p w14:paraId="5EB8A3A0" w14:textId="77777777" w:rsidR="00F36736" w:rsidRPr="00D93D13" w:rsidRDefault="00FD7446" w:rsidP="00DD2826">
      <w:r>
        <w:rPr>
          <w:rFonts w:ascii="Arial" w:hAnsi="Arial" w:cs="Arial"/>
          <w:sz w:val="20"/>
          <w:szCs w:val="20"/>
        </w:rPr>
        <w:t>The rated life for t</w:t>
      </w:r>
      <w:r w:rsidR="00333996">
        <w:rPr>
          <w:rFonts w:ascii="Arial" w:hAnsi="Arial" w:cs="Arial"/>
          <w:sz w:val="20"/>
          <w:szCs w:val="20"/>
        </w:rPr>
        <w:t xml:space="preserve">hese products is assumed to be </w:t>
      </w:r>
      <w:r>
        <w:rPr>
          <w:rFonts w:ascii="Arial" w:hAnsi="Arial" w:cs="Arial"/>
          <w:sz w:val="20"/>
          <w:szCs w:val="20"/>
        </w:rPr>
        <w:t>5</w:t>
      </w:r>
      <w:r w:rsidR="00333996">
        <w:rPr>
          <w:rFonts w:ascii="Arial" w:hAnsi="Arial" w:cs="Arial"/>
          <w:sz w:val="20"/>
          <w:szCs w:val="20"/>
        </w:rPr>
        <w:t>0</w:t>
      </w:r>
      <w:r>
        <w:rPr>
          <w:rFonts w:ascii="Arial" w:hAnsi="Arial" w:cs="Arial"/>
          <w:sz w:val="20"/>
          <w:szCs w:val="20"/>
        </w:rPr>
        <w:t>,000 hours, the minimum DLC specification</w:t>
      </w:r>
      <w:r w:rsidR="00DD2826" w:rsidRPr="00DD2826">
        <w:rPr>
          <w:rFonts w:ascii="Arial" w:hAnsi="Arial" w:cs="Arial"/>
          <w:sz w:val="20"/>
          <w:szCs w:val="20"/>
        </w:rPr>
        <w:t xml:space="preserve">. </w:t>
      </w:r>
      <w:r>
        <w:rPr>
          <w:rFonts w:ascii="Arial" w:hAnsi="Arial" w:cs="Arial"/>
          <w:sz w:val="20"/>
          <w:szCs w:val="20"/>
        </w:rPr>
        <w:t>Rated life for DLC-</w:t>
      </w:r>
      <w:r w:rsidR="00015851">
        <w:rPr>
          <w:rFonts w:ascii="Arial" w:hAnsi="Arial" w:cs="Arial"/>
          <w:sz w:val="20"/>
          <w:szCs w:val="20"/>
        </w:rPr>
        <w:t xml:space="preserve">listed products varies between </w:t>
      </w:r>
      <w:r>
        <w:rPr>
          <w:rFonts w:ascii="Arial" w:hAnsi="Arial" w:cs="Arial"/>
          <w:sz w:val="20"/>
          <w:szCs w:val="20"/>
        </w:rPr>
        <w:t>5</w:t>
      </w:r>
      <w:r w:rsidR="00015851">
        <w:rPr>
          <w:rFonts w:ascii="Arial" w:hAnsi="Arial" w:cs="Arial"/>
          <w:sz w:val="20"/>
          <w:szCs w:val="20"/>
        </w:rPr>
        <w:t>0</w:t>
      </w:r>
      <w:r>
        <w:rPr>
          <w:rFonts w:ascii="Arial" w:hAnsi="Arial" w:cs="Arial"/>
          <w:sz w:val="20"/>
          <w:szCs w:val="20"/>
        </w:rPr>
        <w:t xml:space="preserve">,000 hours and </w:t>
      </w:r>
      <w:r w:rsidR="00333996">
        <w:rPr>
          <w:rFonts w:ascii="Arial" w:hAnsi="Arial" w:cs="Arial"/>
          <w:sz w:val="20"/>
          <w:szCs w:val="20"/>
        </w:rPr>
        <w:t>500</w:t>
      </w:r>
      <w:r>
        <w:rPr>
          <w:rFonts w:ascii="Arial" w:hAnsi="Arial" w:cs="Arial"/>
          <w:sz w:val="20"/>
          <w:szCs w:val="20"/>
        </w:rPr>
        <w:t>,000 hours</w:t>
      </w:r>
      <w:r w:rsidR="00F62F79">
        <w:rPr>
          <w:rFonts w:ascii="Arial" w:hAnsi="Arial" w:cs="Arial"/>
          <w:sz w:val="20"/>
          <w:szCs w:val="20"/>
        </w:rPr>
        <w:t xml:space="preserve">. </w:t>
      </w:r>
      <w:r w:rsidR="00DD2826" w:rsidRPr="00DD2826">
        <w:rPr>
          <w:rFonts w:ascii="Arial" w:hAnsi="Arial" w:cs="Arial"/>
          <w:sz w:val="20"/>
          <w:szCs w:val="20"/>
        </w:rPr>
        <w:t xml:space="preserve">Since the EUL is dependent on the </w:t>
      </w:r>
      <w:r w:rsidR="00333996">
        <w:rPr>
          <w:rFonts w:ascii="Arial" w:hAnsi="Arial" w:cs="Arial"/>
          <w:sz w:val="20"/>
          <w:szCs w:val="20"/>
        </w:rPr>
        <w:t xml:space="preserve">DEER </w:t>
      </w:r>
      <w:r w:rsidR="00DD2826" w:rsidRPr="00DD2826">
        <w:rPr>
          <w:rFonts w:ascii="Arial" w:hAnsi="Arial" w:cs="Arial"/>
          <w:sz w:val="20"/>
          <w:szCs w:val="20"/>
        </w:rPr>
        <w:t xml:space="preserve">hours of operation, the EUL </w:t>
      </w:r>
      <w:r w:rsidR="00CA15C7">
        <w:rPr>
          <w:rFonts w:ascii="Arial" w:hAnsi="Arial" w:cs="Arial"/>
          <w:sz w:val="20"/>
          <w:szCs w:val="20"/>
        </w:rPr>
        <w:t xml:space="preserve">expressed in years </w:t>
      </w:r>
      <w:r w:rsidR="00DD2826" w:rsidRPr="00DD2826">
        <w:rPr>
          <w:rFonts w:ascii="Arial" w:hAnsi="Arial" w:cs="Arial"/>
          <w:sz w:val="20"/>
          <w:szCs w:val="20"/>
        </w:rPr>
        <w:t xml:space="preserve">varies by building type. </w:t>
      </w:r>
      <w:r w:rsidR="00C27933">
        <w:rPr>
          <w:rFonts w:ascii="Arial" w:hAnsi="Arial" w:cs="Arial"/>
          <w:sz w:val="20"/>
          <w:szCs w:val="20"/>
        </w:rPr>
        <w:t>D</w:t>
      </w:r>
      <w:r w:rsidR="00F36736">
        <w:rPr>
          <w:rFonts w:ascii="Arial" w:hAnsi="Arial" w:cs="Arial"/>
          <w:sz w:val="20"/>
          <w:szCs w:val="20"/>
        </w:rPr>
        <w:t xml:space="preserve">EER </w:t>
      </w:r>
      <w:r w:rsidR="00C27933">
        <w:rPr>
          <w:rFonts w:ascii="Arial" w:hAnsi="Arial" w:cs="Arial"/>
          <w:sz w:val="20"/>
          <w:szCs w:val="20"/>
        </w:rPr>
        <w:t xml:space="preserve">sets an EUL </w:t>
      </w:r>
      <w:r w:rsidR="00F36736">
        <w:rPr>
          <w:rFonts w:ascii="Arial" w:hAnsi="Arial" w:cs="Arial"/>
          <w:sz w:val="20"/>
          <w:szCs w:val="20"/>
        </w:rPr>
        <w:t xml:space="preserve">maximum of </w:t>
      </w:r>
      <w:r w:rsidR="00C87EF3">
        <w:rPr>
          <w:rFonts w:ascii="Arial" w:hAnsi="Arial" w:cs="Arial"/>
          <w:sz w:val="20"/>
          <w:szCs w:val="20"/>
        </w:rPr>
        <w:t>16</w:t>
      </w:r>
      <w:r w:rsidR="00CA15C7">
        <w:rPr>
          <w:rFonts w:ascii="Arial" w:hAnsi="Arial" w:cs="Arial"/>
          <w:sz w:val="20"/>
          <w:szCs w:val="20"/>
        </w:rPr>
        <w:t xml:space="preserve"> years</w:t>
      </w:r>
      <w:r w:rsidR="00C27933">
        <w:rPr>
          <w:rFonts w:ascii="Arial" w:hAnsi="Arial" w:cs="Arial"/>
          <w:sz w:val="20"/>
          <w:szCs w:val="20"/>
        </w:rPr>
        <w:t xml:space="preserve"> for Interior Linear Fluorescent Fixtures, which this workpaper proposes applying to these LED fixtures and retrofit kits (16 year EUL maximum, equivalent of </w:t>
      </w:r>
      <w:r w:rsidR="00C27933" w:rsidRPr="00C27933">
        <w:rPr>
          <w:rFonts w:ascii="Arial" w:hAnsi="Arial" w:cs="Arial"/>
          <w:sz w:val="20"/>
          <w:szCs w:val="20"/>
        </w:rPr>
        <w:t>equiv</w:t>
      </w:r>
      <w:r w:rsidR="00C27933">
        <w:rPr>
          <w:rFonts w:ascii="Arial" w:hAnsi="Arial" w:cs="Arial"/>
          <w:sz w:val="20"/>
          <w:szCs w:val="20"/>
        </w:rPr>
        <w:t>alent o</w:t>
      </w:r>
      <w:r w:rsidR="00C27933" w:rsidRPr="00D93D13">
        <w:rPr>
          <w:rFonts w:ascii="Arial" w:hAnsi="Arial" w:cs="Arial"/>
          <w:sz w:val="20"/>
          <w:szCs w:val="20"/>
        </w:rPr>
        <w:t xml:space="preserve">f </w:t>
      </w:r>
      <w:r w:rsidR="00D93D13" w:rsidRPr="00D93D13">
        <w:rPr>
          <w:rFonts w:ascii="Arial" w:hAnsi="Arial" w:cs="Arial"/>
          <w:sz w:val="20"/>
          <w:szCs w:val="20"/>
        </w:rPr>
        <w:t>ILtg-Com-LED-50000hr+16yr and ILtg-Res-LED-50000hr+16yr, DEER2016</w:t>
      </w:r>
      <w:r w:rsidR="00C27933" w:rsidRPr="00D93D13">
        <w:rPr>
          <w:rFonts w:ascii="Arial" w:hAnsi="Arial" w:cs="Arial"/>
          <w:sz w:val="20"/>
          <w:szCs w:val="20"/>
        </w:rPr>
        <w:t>).</w:t>
      </w:r>
    </w:p>
    <w:p w14:paraId="5EB8A3A1" w14:textId="77777777" w:rsidR="00DD2826" w:rsidRPr="00DD2826" w:rsidRDefault="00CA15C7" w:rsidP="00DD2826">
      <w:pPr>
        <w:rPr>
          <w:rFonts w:ascii="Arial" w:hAnsi="Arial" w:cs="Arial"/>
          <w:sz w:val="20"/>
          <w:szCs w:val="20"/>
        </w:rPr>
      </w:pPr>
      <w:r>
        <w:rPr>
          <w:rFonts w:ascii="Arial" w:hAnsi="Arial" w:cs="Arial"/>
          <w:sz w:val="20"/>
          <w:szCs w:val="20"/>
        </w:rPr>
        <w:t xml:space="preserve"> </w:t>
      </w:r>
    </w:p>
    <w:p w14:paraId="5EB8A3A2" w14:textId="77777777" w:rsidR="00DD2826" w:rsidRPr="00DD2826" w:rsidRDefault="00DD2826" w:rsidP="00DD2826">
      <w:pPr>
        <w:rPr>
          <w:rFonts w:ascii="Arial" w:hAnsi="Arial" w:cs="Arial"/>
          <w:sz w:val="20"/>
          <w:szCs w:val="20"/>
        </w:rPr>
      </w:pPr>
      <w:r w:rsidRPr="00DD2826">
        <w:rPr>
          <w:rFonts w:ascii="Arial" w:hAnsi="Arial" w:cs="Arial"/>
          <w:sz w:val="20"/>
          <w:szCs w:val="20"/>
        </w:rPr>
        <w:t xml:space="preserve">The EUL is based on </w:t>
      </w:r>
      <w:r w:rsidR="006C2F62">
        <w:rPr>
          <w:rFonts w:ascii="Arial" w:hAnsi="Arial" w:cs="Arial"/>
          <w:sz w:val="20"/>
          <w:szCs w:val="20"/>
        </w:rPr>
        <w:t>5</w:t>
      </w:r>
      <w:r w:rsidR="00015851">
        <w:rPr>
          <w:rFonts w:ascii="Arial" w:hAnsi="Arial" w:cs="Arial"/>
          <w:sz w:val="20"/>
          <w:szCs w:val="20"/>
        </w:rPr>
        <w:t>0</w:t>
      </w:r>
      <w:r w:rsidR="006C2F62">
        <w:rPr>
          <w:rFonts w:ascii="Arial" w:hAnsi="Arial" w:cs="Arial"/>
          <w:sz w:val="20"/>
          <w:szCs w:val="20"/>
        </w:rPr>
        <w:t>,000</w:t>
      </w:r>
      <w:r w:rsidR="00FD7446">
        <w:rPr>
          <w:rFonts w:ascii="Arial" w:hAnsi="Arial" w:cs="Arial"/>
          <w:sz w:val="20"/>
          <w:szCs w:val="20"/>
        </w:rPr>
        <w:t xml:space="preserve"> hours rated fixture</w:t>
      </w:r>
      <w:r w:rsidRPr="00DD2826">
        <w:rPr>
          <w:rFonts w:ascii="Arial" w:hAnsi="Arial" w:cs="Arial"/>
          <w:sz w:val="20"/>
          <w:szCs w:val="20"/>
        </w:rPr>
        <w:t xml:space="preserve"> life divided by average annual hours of o</w:t>
      </w:r>
      <w:r w:rsidR="00015851">
        <w:rPr>
          <w:rFonts w:ascii="Arial" w:hAnsi="Arial" w:cs="Arial"/>
          <w:sz w:val="20"/>
          <w:szCs w:val="20"/>
        </w:rPr>
        <w:t xml:space="preserve">peration for each building type, with a maximum of </w:t>
      </w:r>
      <w:r w:rsidR="00C87EF3">
        <w:rPr>
          <w:rFonts w:ascii="Arial" w:hAnsi="Arial" w:cs="Arial"/>
          <w:sz w:val="20"/>
          <w:szCs w:val="20"/>
        </w:rPr>
        <w:t>16</w:t>
      </w:r>
      <w:r w:rsidR="00015851">
        <w:rPr>
          <w:rFonts w:ascii="Arial" w:hAnsi="Arial" w:cs="Arial"/>
          <w:sz w:val="20"/>
          <w:szCs w:val="20"/>
        </w:rPr>
        <w:t xml:space="preserve"> years</w:t>
      </w:r>
      <w:r w:rsidR="003B2621">
        <w:rPr>
          <w:rFonts w:ascii="Arial" w:hAnsi="Arial" w:cs="Arial"/>
          <w:sz w:val="20"/>
          <w:szCs w:val="20"/>
        </w:rPr>
        <w:t>:</w:t>
      </w:r>
    </w:p>
    <w:p w14:paraId="5EB8A3A3" w14:textId="77777777" w:rsidR="00DD2826" w:rsidRPr="00DD2826" w:rsidRDefault="00DD2826" w:rsidP="00DD2826">
      <w:pPr>
        <w:rPr>
          <w:rFonts w:ascii="Arial" w:hAnsi="Arial" w:cs="Arial"/>
          <w:sz w:val="20"/>
          <w:szCs w:val="20"/>
        </w:rPr>
      </w:pPr>
    </w:p>
    <w:p w14:paraId="5EB8A3A4" w14:textId="1F0E9AAB" w:rsidR="00DD2826" w:rsidRPr="00C61FFE" w:rsidRDefault="00DD2826" w:rsidP="00DD2826">
      <w:pPr>
        <w:rPr>
          <w:rFonts w:ascii="Arial" w:hAnsi="Arial" w:cs="Arial"/>
          <w:sz w:val="20"/>
          <w:szCs w:val="20"/>
        </w:rPr>
      </w:pPr>
      <w:r w:rsidRPr="00DD2826">
        <w:rPr>
          <w:rFonts w:ascii="Arial" w:hAnsi="Arial" w:cs="Arial"/>
          <w:sz w:val="20"/>
          <w:szCs w:val="20"/>
        </w:rPr>
        <w:tab/>
        <w:t>EUL = (</w:t>
      </w:r>
      <w:r w:rsidR="00DD12F1">
        <w:rPr>
          <w:rFonts w:ascii="Arial" w:hAnsi="Arial" w:cs="Arial"/>
          <w:sz w:val="20"/>
          <w:szCs w:val="20"/>
        </w:rPr>
        <w:t>DLC-Minimum Fixture</w:t>
      </w:r>
      <w:r w:rsidRPr="00DD2826">
        <w:rPr>
          <w:rFonts w:ascii="Arial" w:hAnsi="Arial" w:cs="Arial"/>
          <w:sz w:val="20"/>
          <w:szCs w:val="20"/>
        </w:rPr>
        <w:t xml:space="preserve"> Life (hours)) / (Average Operating Hours </w:t>
      </w:r>
      <w:r w:rsidR="007B5A28" w:rsidRPr="00DD2826">
        <w:rPr>
          <w:rFonts w:ascii="Arial" w:hAnsi="Arial" w:cs="Arial"/>
          <w:sz w:val="20"/>
          <w:szCs w:val="20"/>
        </w:rPr>
        <w:t>per</w:t>
      </w:r>
      <w:r w:rsidRPr="00DD2826">
        <w:rPr>
          <w:rFonts w:ascii="Arial" w:hAnsi="Arial" w:cs="Arial"/>
          <w:sz w:val="20"/>
          <w:szCs w:val="20"/>
        </w:rPr>
        <w:t xml:space="preserve"> Year)</w:t>
      </w:r>
    </w:p>
    <w:p w14:paraId="5EB8A3A6" w14:textId="77777777" w:rsidR="00F10368" w:rsidRPr="00F10368" w:rsidRDefault="00F10368" w:rsidP="00F10368"/>
    <w:p w14:paraId="5EB8A3A7" w14:textId="77777777" w:rsidR="002E0043" w:rsidRPr="002E0043" w:rsidRDefault="001248A3" w:rsidP="008473DB">
      <w:pPr>
        <w:pStyle w:val="Heading3"/>
      </w:pPr>
      <w:bookmarkStart w:id="28" w:name="_Toc468797906"/>
      <w:r>
        <w:lastRenderedPageBreak/>
        <w:t>1.</w:t>
      </w:r>
      <w:r w:rsidR="00FA595F">
        <w:t>4</w:t>
      </w:r>
      <w:r w:rsidR="00793646">
        <w:t>.2</w:t>
      </w:r>
      <w:r w:rsidR="00FA595F">
        <w:t xml:space="preserve"> </w:t>
      </w:r>
      <w:r w:rsidR="00E71EF1" w:rsidRPr="001248A3">
        <w:t xml:space="preserve">Codes &amp; Standards Requirements </w:t>
      </w:r>
      <w:r w:rsidR="009C5CA7">
        <w:t>Base Case and Measure Information</w:t>
      </w:r>
      <w:bookmarkEnd w:id="28"/>
    </w:p>
    <w:p w14:paraId="5EB8A3A8" w14:textId="77777777" w:rsidR="00640BB6" w:rsidRPr="00B13099" w:rsidRDefault="00EE53FF" w:rsidP="00B13099">
      <w:pPr>
        <w:rPr>
          <w:rFonts w:ascii="Arial" w:hAnsi="Arial" w:cs="Arial"/>
          <w:i/>
          <w:sz w:val="20"/>
          <w:szCs w:val="20"/>
        </w:rPr>
      </w:pPr>
      <w:r w:rsidRPr="00B13099">
        <w:rPr>
          <w:rFonts w:ascii="Arial" w:hAnsi="Arial" w:cs="Arial"/>
          <w:b/>
          <w:i/>
        </w:rPr>
        <w:t>Title 20:</w:t>
      </w:r>
      <w:r w:rsidRPr="00B13099">
        <w:rPr>
          <w:rFonts w:ascii="Arial" w:hAnsi="Arial" w:cs="Arial"/>
        </w:rPr>
        <w:t xml:space="preserve"> </w:t>
      </w:r>
      <w:r w:rsidR="00B13099" w:rsidRPr="00B13099">
        <w:rPr>
          <w:rFonts w:ascii="Arial" w:hAnsi="Arial" w:cs="Arial"/>
          <w:sz w:val="20"/>
          <w:szCs w:val="20"/>
        </w:rPr>
        <w:t>Th</w:t>
      </w:r>
      <w:r w:rsidRPr="00B13099">
        <w:rPr>
          <w:rFonts w:ascii="Arial" w:hAnsi="Arial" w:cs="Arial"/>
          <w:sz w:val="20"/>
          <w:szCs w:val="20"/>
        </w:rPr>
        <w:t>ese measures do not fall under Title 20</w:t>
      </w:r>
      <w:r w:rsidR="00CA1504">
        <w:rPr>
          <w:rFonts w:ascii="Arial" w:hAnsi="Arial" w:cs="Arial"/>
          <w:sz w:val="20"/>
          <w:szCs w:val="20"/>
        </w:rPr>
        <w:t xml:space="preserve"> [2015]</w:t>
      </w:r>
      <w:r w:rsidRPr="00B13099">
        <w:rPr>
          <w:rFonts w:ascii="Arial" w:hAnsi="Arial" w:cs="Arial"/>
          <w:sz w:val="20"/>
          <w:szCs w:val="20"/>
        </w:rPr>
        <w:t xml:space="preserve"> of the California Energy Regulations.</w:t>
      </w:r>
      <w:r w:rsidR="00476B67">
        <w:rPr>
          <w:rFonts w:ascii="Arial" w:hAnsi="Arial" w:cs="Arial"/>
          <w:sz w:val="20"/>
          <w:szCs w:val="20"/>
        </w:rPr>
        <w:t xml:space="preserve"> </w:t>
      </w:r>
    </w:p>
    <w:p w14:paraId="5EB8A3A9" w14:textId="77777777" w:rsidR="00EE53FF" w:rsidRPr="00B13099" w:rsidRDefault="00EE53FF" w:rsidP="00B13099">
      <w:pPr>
        <w:rPr>
          <w:i/>
        </w:rPr>
      </w:pPr>
      <w:r w:rsidRPr="00B13099">
        <w:rPr>
          <w:rFonts w:ascii="Arial" w:hAnsi="Arial" w:cs="Arial"/>
          <w:b/>
          <w:i/>
        </w:rPr>
        <w:t>Title 24:</w:t>
      </w:r>
      <w:r w:rsidRPr="00B13099">
        <w:t xml:space="preserve"> </w:t>
      </w:r>
      <w:r w:rsidR="00B13099" w:rsidRPr="00B13099">
        <w:rPr>
          <w:rFonts w:ascii="Arial" w:hAnsi="Arial" w:cs="Arial"/>
          <w:sz w:val="20"/>
          <w:szCs w:val="20"/>
        </w:rPr>
        <w:t xml:space="preserve">These measures do not fall </w:t>
      </w:r>
      <w:r w:rsidRPr="00B13099">
        <w:rPr>
          <w:rFonts w:ascii="Arial" w:hAnsi="Arial" w:cs="Arial"/>
          <w:sz w:val="20"/>
          <w:szCs w:val="20"/>
        </w:rPr>
        <w:t xml:space="preserve">under Title 24 </w:t>
      </w:r>
      <w:r w:rsidR="00CA1504">
        <w:rPr>
          <w:rFonts w:ascii="Arial" w:hAnsi="Arial" w:cs="Arial"/>
          <w:sz w:val="20"/>
          <w:szCs w:val="20"/>
        </w:rPr>
        <w:t xml:space="preserve">[2013] </w:t>
      </w:r>
      <w:r w:rsidRPr="00B13099">
        <w:rPr>
          <w:rFonts w:ascii="Arial" w:hAnsi="Arial" w:cs="Arial"/>
          <w:sz w:val="20"/>
          <w:szCs w:val="20"/>
        </w:rPr>
        <w:t>of th</w:t>
      </w:r>
      <w:r w:rsidR="00015851">
        <w:rPr>
          <w:rFonts w:ascii="Arial" w:hAnsi="Arial" w:cs="Arial"/>
          <w:sz w:val="20"/>
          <w:szCs w:val="20"/>
        </w:rPr>
        <w:t>e California Energy Regulations. The Lighting Power Densities of both measure and base case are capped by Title 24, but both measure and base cases are configured so as to be compliant with Title 24, with the measure capturing savings above Title 24 minimums.</w:t>
      </w:r>
    </w:p>
    <w:p w14:paraId="5EB8A3AA" w14:textId="77777777" w:rsidR="00DF145B" w:rsidRDefault="00EE53FF" w:rsidP="00DF145B">
      <w:pPr>
        <w:rPr>
          <w:rFonts w:ascii="Arial" w:hAnsi="Arial" w:cs="Arial"/>
          <w:sz w:val="20"/>
          <w:szCs w:val="20"/>
        </w:rPr>
      </w:pPr>
      <w:r w:rsidRPr="00B13099">
        <w:rPr>
          <w:rFonts w:ascii="Arial" w:hAnsi="Arial" w:cs="Arial"/>
          <w:b/>
          <w:i/>
        </w:rPr>
        <w:t>Federal Standards:</w:t>
      </w:r>
      <w:r w:rsidRPr="00B13099">
        <w:t xml:space="preserve"> </w:t>
      </w:r>
      <w:r w:rsidR="00B13099" w:rsidRPr="00B13099">
        <w:rPr>
          <w:rFonts w:ascii="Arial" w:hAnsi="Arial" w:cs="Arial"/>
          <w:sz w:val="20"/>
          <w:szCs w:val="20"/>
        </w:rPr>
        <w:t>These measure</w:t>
      </w:r>
      <w:r w:rsidR="001231EA">
        <w:rPr>
          <w:rFonts w:ascii="Arial" w:hAnsi="Arial" w:cs="Arial"/>
          <w:sz w:val="20"/>
          <w:szCs w:val="20"/>
        </w:rPr>
        <w:t xml:space="preserve"> case fixture</w:t>
      </w:r>
      <w:r w:rsidR="00B13099" w:rsidRPr="00B13099">
        <w:rPr>
          <w:rFonts w:ascii="Arial" w:hAnsi="Arial" w:cs="Arial"/>
          <w:sz w:val="20"/>
          <w:szCs w:val="20"/>
        </w:rPr>
        <w:t xml:space="preserve">s do not fall </w:t>
      </w:r>
      <w:r w:rsidRPr="00B13099">
        <w:rPr>
          <w:rFonts w:ascii="Arial" w:hAnsi="Arial" w:cs="Arial"/>
          <w:sz w:val="20"/>
          <w:szCs w:val="20"/>
        </w:rPr>
        <w:t>under Federal DOE or EPA Energy Regulations.</w:t>
      </w:r>
      <w:r w:rsidR="001231EA" w:rsidRPr="001231EA">
        <w:rPr>
          <w:rFonts w:ascii="Arial" w:hAnsi="Arial" w:cs="Arial"/>
          <w:sz w:val="20"/>
          <w:szCs w:val="20"/>
        </w:rPr>
        <w:t xml:space="preserve"> Both </w:t>
      </w:r>
      <w:r w:rsidR="00DF145B">
        <w:rPr>
          <w:rFonts w:ascii="Arial" w:hAnsi="Arial" w:cs="Arial"/>
          <w:sz w:val="20"/>
          <w:szCs w:val="20"/>
        </w:rPr>
        <w:t>General Service Fluorescent</w:t>
      </w:r>
      <w:r w:rsidR="001231EA" w:rsidRPr="001231EA">
        <w:rPr>
          <w:rFonts w:ascii="Arial" w:hAnsi="Arial" w:cs="Arial"/>
          <w:sz w:val="20"/>
          <w:szCs w:val="20"/>
        </w:rPr>
        <w:t xml:space="preserve"> lamps and ballasts are energy-using components of </w:t>
      </w:r>
      <w:r w:rsidR="00DF145B">
        <w:rPr>
          <w:rFonts w:ascii="Arial" w:hAnsi="Arial" w:cs="Arial"/>
          <w:sz w:val="20"/>
          <w:szCs w:val="20"/>
        </w:rPr>
        <w:t>linear fluorescent</w:t>
      </w:r>
      <w:r w:rsidR="001231EA" w:rsidRPr="001231EA">
        <w:rPr>
          <w:rFonts w:ascii="Arial" w:hAnsi="Arial" w:cs="Arial"/>
          <w:sz w:val="20"/>
          <w:szCs w:val="20"/>
        </w:rPr>
        <w:t xml:space="preserve"> fixtures</w:t>
      </w:r>
      <w:r w:rsidR="00DF145B">
        <w:rPr>
          <w:rFonts w:ascii="Arial" w:hAnsi="Arial" w:cs="Arial"/>
          <w:sz w:val="20"/>
          <w:szCs w:val="20"/>
        </w:rPr>
        <w:t xml:space="preserve"> and are regulated by Federal Standards.</w:t>
      </w:r>
    </w:p>
    <w:p w14:paraId="5EB8A3AB" w14:textId="77777777" w:rsidR="00DF145B" w:rsidRDefault="00DF145B" w:rsidP="00DF145B">
      <w:pPr>
        <w:rPr>
          <w:rFonts w:ascii="Arial" w:hAnsi="Arial" w:cs="Arial"/>
          <w:sz w:val="20"/>
          <w:szCs w:val="20"/>
        </w:rPr>
      </w:pPr>
    </w:p>
    <w:p w14:paraId="5EB8A3AC" w14:textId="77777777" w:rsidR="001231EA" w:rsidRDefault="00DF145B" w:rsidP="001231EA">
      <w:pPr>
        <w:pStyle w:val="ListParagraph"/>
        <w:numPr>
          <w:ilvl w:val="0"/>
          <w:numId w:val="25"/>
        </w:numPr>
        <w:rPr>
          <w:rFonts w:ascii="Arial" w:hAnsi="Arial" w:cs="Arial"/>
          <w:sz w:val="20"/>
          <w:szCs w:val="20"/>
        </w:rPr>
      </w:pPr>
      <w:r>
        <w:rPr>
          <w:rFonts w:ascii="Arial" w:hAnsi="Arial" w:cs="Arial"/>
          <w:sz w:val="20"/>
          <w:szCs w:val="20"/>
        </w:rPr>
        <w:t>4-foot medium bi-pin lamps ≤4500K are required to meet 89 LPW (2,848 lm per 32 Watt lamp)</w:t>
      </w:r>
      <w:r>
        <w:rPr>
          <w:rStyle w:val="EndnoteReference"/>
          <w:rFonts w:ascii="Arial" w:hAnsi="Arial" w:cs="Arial"/>
          <w:sz w:val="20"/>
          <w:szCs w:val="20"/>
        </w:rPr>
        <w:endnoteReference w:id="6"/>
      </w:r>
    </w:p>
    <w:p w14:paraId="5EB8A3AD" w14:textId="77777777" w:rsidR="00DF145B" w:rsidRDefault="008523E5" w:rsidP="008523E5">
      <w:pPr>
        <w:pStyle w:val="ListParagraph"/>
        <w:numPr>
          <w:ilvl w:val="0"/>
          <w:numId w:val="25"/>
        </w:numPr>
        <w:rPr>
          <w:rFonts w:ascii="Arial" w:hAnsi="Arial" w:cs="Arial"/>
          <w:sz w:val="20"/>
          <w:szCs w:val="20"/>
        </w:rPr>
      </w:pPr>
      <w:r>
        <w:rPr>
          <w:rFonts w:ascii="Arial" w:hAnsi="Arial" w:cs="Arial"/>
          <w:sz w:val="20"/>
          <w:szCs w:val="20"/>
        </w:rPr>
        <w:t>Ballasts for 4-foot medium bi-pin lamps are required by EPCA’s 2011 amendment to have a luminous efficacy no less than 0.993</w:t>
      </w:r>
      <w:r w:rsidRPr="008523E5">
        <w:rPr>
          <w:rFonts w:ascii="Arial" w:hAnsi="Arial" w:cs="Arial"/>
          <w:sz w:val="20"/>
          <w:szCs w:val="20"/>
        </w:rPr>
        <w:t xml:space="preserve">/(1 + </w:t>
      </w:r>
      <w:r>
        <w:rPr>
          <w:rFonts w:ascii="Arial" w:hAnsi="Arial" w:cs="Arial"/>
          <w:sz w:val="20"/>
          <w:szCs w:val="20"/>
        </w:rPr>
        <w:t xml:space="preserve">0.27  ͯ </w:t>
      </w:r>
      <w:r w:rsidRPr="008523E5">
        <w:rPr>
          <w:rFonts w:ascii="Arial" w:hAnsi="Arial" w:cs="Arial"/>
          <w:sz w:val="20"/>
          <w:szCs w:val="20"/>
        </w:rPr>
        <w:t xml:space="preserve"> total lamp arc power</w:t>
      </w:r>
      <w:r>
        <w:rPr>
          <w:rFonts w:ascii="Arial" w:hAnsi="Arial" w:cs="Arial"/>
          <w:sz w:val="20"/>
          <w:szCs w:val="20"/>
        </w:rPr>
        <w:t xml:space="preserve"> - 0.25</w:t>
      </w:r>
      <w:r w:rsidRPr="008523E5">
        <w:rPr>
          <w:rFonts w:ascii="Arial" w:hAnsi="Arial" w:cs="Arial"/>
          <w:sz w:val="20"/>
          <w:szCs w:val="20"/>
        </w:rPr>
        <w:t>)</w:t>
      </w:r>
      <w:r>
        <w:rPr>
          <w:rStyle w:val="EndnoteReference"/>
          <w:rFonts w:ascii="Arial" w:hAnsi="Arial" w:cs="Arial"/>
          <w:sz w:val="20"/>
          <w:szCs w:val="20"/>
        </w:rPr>
        <w:endnoteReference w:id="7"/>
      </w:r>
    </w:p>
    <w:p w14:paraId="5EB8A3AF" w14:textId="77777777" w:rsidR="002E0043" w:rsidRDefault="001248A3" w:rsidP="008473DB">
      <w:pPr>
        <w:pStyle w:val="Heading3"/>
      </w:pPr>
      <w:bookmarkStart w:id="29" w:name="_Toc468797907"/>
      <w:r w:rsidRPr="00F7225A">
        <w:t>1.4</w:t>
      </w:r>
      <w:r w:rsidR="00264B03" w:rsidRPr="00F7225A">
        <w:t>.3</w:t>
      </w:r>
      <w:r w:rsidR="00A02F0A" w:rsidRPr="00F7225A">
        <w:t xml:space="preserve"> </w:t>
      </w:r>
      <w:r w:rsidR="00C069A2" w:rsidRPr="00F7225A">
        <w:t>EM&amp;V</w:t>
      </w:r>
      <w:r w:rsidR="00755961" w:rsidRPr="00F7225A">
        <w:t xml:space="preserve">, Market </w:t>
      </w:r>
      <w:r w:rsidR="00755961">
        <w:t>Potential,</w:t>
      </w:r>
      <w:r w:rsidR="00C069A2" w:rsidRPr="001248A3">
        <w:t xml:space="preserve"> </w:t>
      </w:r>
      <w:r w:rsidR="0044337C">
        <w:t xml:space="preserve">and Other </w:t>
      </w:r>
      <w:r w:rsidR="00C069A2" w:rsidRPr="001248A3">
        <w:t>Studies</w:t>
      </w:r>
      <w:r w:rsidR="009C5CA7">
        <w:t xml:space="preserve"> – Base Case and Measure Case Information</w:t>
      </w:r>
      <w:bookmarkEnd w:id="29"/>
    </w:p>
    <w:p w14:paraId="5EB8A3B0" w14:textId="77777777" w:rsidR="009E2964" w:rsidRPr="00597C03" w:rsidRDefault="001E37BA" w:rsidP="008473DB">
      <w:pPr>
        <w:pStyle w:val="Heading4"/>
      </w:pPr>
      <w:r>
        <w:t>1.4.3.1 CALiPER Application Summary Report 1</w:t>
      </w:r>
      <w:r w:rsidR="008523E5">
        <w:t>3</w:t>
      </w:r>
      <w:r w:rsidR="003B2621">
        <w:t>:</w:t>
      </w:r>
      <w:r w:rsidR="00262365">
        <w:rPr>
          <w:rStyle w:val="EndnoteReference"/>
          <w:rFonts w:ascii="Arial" w:hAnsi="Arial" w:cs="Arial"/>
          <w:b w:val="0"/>
          <w:i w:val="0"/>
        </w:rPr>
        <w:endnoteReference w:id="8"/>
      </w:r>
    </w:p>
    <w:p w14:paraId="5EB8A3B1" w14:textId="77777777" w:rsidR="00736D00" w:rsidRDefault="00B00818" w:rsidP="00A35CF8">
      <w:pPr>
        <w:rPr>
          <w:rFonts w:ascii="Arial" w:hAnsi="Arial" w:cs="Arial"/>
          <w:sz w:val="20"/>
          <w:szCs w:val="20"/>
        </w:rPr>
      </w:pPr>
      <w:r w:rsidRPr="00B00818">
        <w:rPr>
          <w:rFonts w:ascii="Arial" w:hAnsi="Arial" w:cs="Arial"/>
          <w:sz w:val="20"/>
          <w:szCs w:val="20"/>
        </w:rPr>
        <w:t xml:space="preserve">A few of the conclusions that CALiPER reported </w:t>
      </w:r>
      <w:r w:rsidR="00C37145">
        <w:rPr>
          <w:rFonts w:ascii="Arial" w:hAnsi="Arial" w:cs="Arial"/>
          <w:sz w:val="20"/>
          <w:szCs w:val="20"/>
        </w:rPr>
        <w:t xml:space="preserve">in </w:t>
      </w:r>
      <w:r w:rsidR="008523E5">
        <w:rPr>
          <w:rFonts w:ascii="Arial" w:hAnsi="Arial" w:cs="Arial"/>
          <w:sz w:val="20"/>
          <w:szCs w:val="20"/>
        </w:rPr>
        <w:t>its</w:t>
      </w:r>
      <w:r w:rsidR="00C37145">
        <w:rPr>
          <w:rFonts w:ascii="Arial" w:hAnsi="Arial" w:cs="Arial"/>
          <w:sz w:val="20"/>
          <w:szCs w:val="20"/>
        </w:rPr>
        <w:t xml:space="preserve"> most recent application summary report </w:t>
      </w:r>
      <w:r w:rsidR="008523E5">
        <w:rPr>
          <w:rFonts w:ascii="Arial" w:hAnsi="Arial" w:cs="Arial"/>
          <w:sz w:val="20"/>
          <w:szCs w:val="20"/>
        </w:rPr>
        <w:t xml:space="preserve">on LED </w:t>
      </w:r>
      <w:r w:rsidR="004A5BE3">
        <w:rPr>
          <w:rFonts w:ascii="Arial" w:hAnsi="Arial" w:cs="Arial"/>
          <w:sz w:val="20"/>
          <w:szCs w:val="20"/>
        </w:rPr>
        <w:t>Panels</w:t>
      </w:r>
      <w:r w:rsidR="008523E5">
        <w:rPr>
          <w:rFonts w:ascii="Arial" w:hAnsi="Arial" w:cs="Arial"/>
          <w:sz w:val="20"/>
          <w:szCs w:val="20"/>
        </w:rPr>
        <w:t xml:space="preserve"> </w:t>
      </w:r>
      <w:r w:rsidR="004A5BE3">
        <w:rPr>
          <w:rFonts w:ascii="Arial" w:hAnsi="Arial" w:cs="Arial"/>
          <w:sz w:val="20"/>
          <w:szCs w:val="20"/>
        </w:rPr>
        <w:t>(#13</w:t>
      </w:r>
      <w:r w:rsidR="008523E5">
        <w:rPr>
          <w:rFonts w:ascii="Arial" w:hAnsi="Arial" w:cs="Arial"/>
          <w:sz w:val="20"/>
          <w:szCs w:val="20"/>
        </w:rPr>
        <w:t xml:space="preserve"> from 2011</w:t>
      </w:r>
      <w:r w:rsidR="00C37145">
        <w:rPr>
          <w:rFonts w:ascii="Arial" w:hAnsi="Arial" w:cs="Arial"/>
          <w:sz w:val="20"/>
          <w:szCs w:val="20"/>
        </w:rPr>
        <w:t xml:space="preserve">) from tests of </w:t>
      </w:r>
      <w:r w:rsidR="008523E5">
        <w:rPr>
          <w:rFonts w:ascii="Arial" w:hAnsi="Arial" w:cs="Arial"/>
          <w:sz w:val="20"/>
          <w:szCs w:val="20"/>
        </w:rPr>
        <w:t>6</w:t>
      </w:r>
      <w:r w:rsidR="00C37145">
        <w:rPr>
          <w:rFonts w:ascii="Arial" w:hAnsi="Arial" w:cs="Arial"/>
          <w:sz w:val="20"/>
          <w:szCs w:val="20"/>
        </w:rPr>
        <w:t xml:space="preserve"> LED </w:t>
      </w:r>
      <w:r w:rsidR="004A5BE3">
        <w:rPr>
          <w:rFonts w:ascii="Arial" w:hAnsi="Arial" w:cs="Arial"/>
          <w:sz w:val="20"/>
          <w:szCs w:val="20"/>
        </w:rPr>
        <w:t xml:space="preserve">2x2 </w:t>
      </w:r>
      <w:r w:rsidR="008523E5">
        <w:rPr>
          <w:rFonts w:ascii="Arial" w:hAnsi="Arial" w:cs="Arial"/>
          <w:sz w:val="20"/>
          <w:szCs w:val="20"/>
        </w:rPr>
        <w:t>troffer</w:t>
      </w:r>
      <w:r w:rsidR="00C37145">
        <w:rPr>
          <w:rFonts w:ascii="Arial" w:hAnsi="Arial" w:cs="Arial"/>
          <w:sz w:val="20"/>
          <w:szCs w:val="20"/>
        </w:rPr>
        <w:t xml:space="preserve"> fixtures</w:t>
      </w:r>
      <w:r w:rsidRPr="00B00818">
        <w:rPr>
          <w:rFonts w:ascii="Arial" w:hAnsi="Arial" w:cs="Arial"/>
          <w:sz w:val="20"/>
          <w:szCs w:val="20"/>
        </w:rPr>
        <w:t>:</w:t>
      </w:r>
    </w:p>
    <w:p w14:paraId="5EB8A3B2" w14:textId="77777777" w:rsidR="00C37145" w:rsidRDefault="00C37145" w:rsidP="00A35CF8">
      <w:pPr>
        <w:rPr>
          <w:rFonts w:ascii="Arial" w:hAnsi="Arial" w:cs="Arial"/>
          <w:sz w:val="20"/>
          <w:szCs w:val="20"/>
        </w:rPr>
      </w:pPr>
    </w:p>
    <w:p w14:paraId="5EB8A3B3" w14:textId="77777777" w:rsidR="00391C77" w:rsidRPr="00422D1A" w:rsidRDefault="004A5BE3" w:rsidP="00391C77">
      <w:pPr>
        <w:numPr>
          <w:ilvl w:val="0"/>
          <w:numId w:val="20"/>
        </w:numPr>
        <w:rPr>
          <w:rFonts w:ascii="Arial" w:hAnsi="Arial" w:cs="Arial"/>
          <w:sz w:val="20"/>
          <w:szCs w:val="20"/>
        </w:rPr>
      </w:pPr>
      <w:r>
        <w:rPr>
          <w:rFonts w:ascii="Arial" w:hAnsi="Arial" w:cs="Arial"/>
          <w:sz w:val="20"/>
          <w:szCs w:val="20"/>
        </w:rPr>
        <w:t>LED</w:t>
      </w:r>
      <w:r w:rsidR="003F7A9C" w:rsidRPr="00422D1A">
        <w:rPr>
          <w:rFonts w:ascii="Arial" w:hAnsi="Arial" w:cs="Arial"/>
          <w:sz w:val="20"/>
          <w:szCs w:val="20"/>
        </w:rPr>
        <w:t xml:space="preserve"> products tested </w:t>
      </w:r>
      <w:r>
        <w:rPr>
          <w:rFonts w:ascii="Arial" w:hAnsi="Arial" w:cs="Arial"/>
          <w:sz w:val="20"/>
          <w:szCs w:val="20"/>
        </w:rPr>
        <w:t>were more efficacious and produced more light output that some, but not all, of</w:t>
      </w:r>
      <w:r w:rsidR="003F7A9C" w:rsidRPr="00422D1A">
        <w:rPr>
          <w:rFonts w:ascii="Arial" w:hAnsi="Arial" w:cs="Arial"/>
          <w:sz w:val="20"/>
          <w:szCs w:val="20"/>
        </w:rPr>
        <w:t xml:space="preserve"> the</w:t>
      </w:r>
      <w:r>
        <w:rPr>
          <w:rFonts w:ascii="Arial" w:hAnsi="Arial" w:cs="Arial"/>
          <w:sz w:val="20"/>
          <w:szCs w:val="20"/>
        </w:rPr>
        <w:t xml:space="preserve"> fluorescent benchmark products</w:t>
      </w:r>
    </w:p>
    <w:p w14:paraId="5EB8A3B4" w14:textId="77777777" w:rsidR="003F7A9C" w:rsidRPr="00422D1A" w:rsidRDefault="004A5BE3" w:rsidP="00391C77">
      <w:pPr>
        <w:numPr>
          <w:ilvl w:val="0"/>
          <w:numId w:val="20"/>
        </w:numPr>
        <w:rPr>
          <w:rFonts w:ascii="Arial" w:hAnsi="Arial" w:cs="Arial"/>
          <w:sz w:val="20"/>
          <w:szCs w:val="20"/>
        </w:rPr>
      </w:pPr>
      <w:r>
        <w:rPr>
          <w:rFonts w:ascii="Arial" w:hAnsi="Arial" w:cs="Arial"/>
          <w:sz w:val="20"/>
          <w:szCs w:val="20"/>
        </w:rPr>
        <w:t>5 of 6</w:t>
      </w:r>
      <w:r w:rsidR="003F7A9C" w:rsidRPr="00422D1A">
        <w:rPr>
          <w:rFonts w:ascii="Arial" w:hAnsi="Arial" w:cs="Arial"/>
          <w:sz w:val="20"/>
          <w:szCs w:val="20"/>
        </w:rPr>
        <w:t xml:space="preserve"> products performed as claimed in product literature</w:t>
      </w:r>
      <w:r>
        <w:rPr>
          <w:rFonts w:ascii="Arial" w:hAnsi="Arial" w:cs="Arial"/>
          <w:sz w:val="20"/>
          <w:szCs w:val="20"/>
        </w:rPr>
        <w:t>, and one significantly underperformed</w:t>
      </w:r>
    </w:p>
    <w:p w14:paraId="5EB8A3B5" w14:textId="77777777" w:rsidR="00B00818" w:rsidRDefault="00B00818" w:rsidP="00A35CF8">
      <w:pPr>
        <w:rPr>
          <w:rFonts w:ascii="Arial" w:hAnsi="Arial" w:cs="Arial"/>
          <w:sz w:val="20"/>
          <w:szCs w:val="20"/>
          <w:highlight w:val="cyan"/>
        </w:rPr>
      </w:pPr>
    </w:p>
    <w:p w14:paraId="5EB8A3B6" w14:textId="77777777" w:rsidR="008523E5" w:rsidRDefault="008523E5" w:rsidP="00A35CF8">
      <w:pPr>
        <w:rPr>
          <w:rFonts w:ascii="Arial" w:hAnsi="Arial" w:cs="Arial"/>
          <w:sz w:val="20"/>
          <w:szCs w:val="20"/>
        </w:rPr>
      </w:pPr>
      <w:r w:rsidRPr="004A5BE3">
        <w:rPr>
          <w:rFonts w:ascii="Arial" w:hAnsi="Arial" w:cs="Arial"/>
          <w:sz w:val="20"/>
          <w:szCs w:val="20"/>
        </w:rPr>
        <w:t>5 LED troffers had been tested in a few previous CALiPER reports</w:t>
      </w:r>
      <w:r w:rsidR="003B2621">
        <w:rPr>
          <w:rFonts w:ascii="Arial" w:hAnsi="Arial" w:cs="Arial"/>
          <w:sz w:val="20"/>
          <w:szCs w:val="20"/>
        </w:rPr>
        <w:t xml:space="preserve"> in 2009 or earlier</w:t>
      </w:r>
      <w:r w:rsidRPr="004A5BE3">
        <w:rPr>
          <w:rFonts w:ascii="Arial" w:hAnsi="Arial" w:cs="Arial"/>
          <w:sz w:val="20"/>
          <w:szCs w:val="20"/>
        </w:rPr>
        <w:t xml:space="preserve">, with 4 of the 5 having efficacies similar to </w:t>
      </w:r>
      <w:r w:rsidR="004A5BE3" w:rsidRPr="004A5BE3">
        <w:rPr>
          <w:rFonts w:ascii="Arial" w:hAnsi="Arial" w:cs="Arial"/>
          <w:sz w:val="20"/>
          <w:szCs w:val="20"/>
        </w:rPr>
        <w:t>fluorescent benchmarks, and with t</w:t>
      </w:r>
      <w:r w:rsidR="003B2621">
        <w:rPr>
          <w:rFonts w:ascii="Arial" w:hAnsi="Arial" w:cs="Arial"/>
          <w:sz w:val="20"/>
          <w:szCs w:val="20"/>
        </w:rPr>
        <w:t>ypically lower spacing criteria.</w:t>
      </w:r>
    </w:p>
    <w:p w14:paraId="5EB8A3B7" w14:textId="77777777" w:rsidR="0014799F" w:rsidRDefault="0014799F" w:rsidP="00A35CF8">
      <w:pPr>
        <w:rPr>
          <w:rFonts w:ascii="Arial" w:hAnsi="Arial" w:cs="Arial"/>
          <w:sz w:val="20"/>
          <w:szCs w:val="20"/>
        </w:rPr>
      </w:pPr>
    </w:p>
    <w:p w14:paraId="5EB8A3B8" w14:textId="77777777" w:rsidR="00BF5F96" w:rsidRPr="00597C03" w:rsidRDefault="00BF5F96" w:rsidP="008473DB">
      <w:pPr>
        <w:pStyle w:val="Heading4"/>
      </w:pPr>
      <w:r>
        <w:t>1.4.3.2 PG&amp;E Emerging Technology Studies:</w:t>
      </w:r>
    </w:p>
    <w:p w14:paraId="5EB8A3B9" w14:textId="77777777" w:rsidR="00BF5F96" w:rsidRDefault="00BF5F96" w:rsidP="00BF5F96">
      <w:pPr>
        <w:rPr>
          <w:rFonts w:ascii="Arial" w:hAnsi="Arial" w:cs="Arial"/>
          <w:sz w:val="20"/>
          <w:szCs w:val="20"/>
        </w:rPr>
      </w:pPr>
      <w:r>
        <w:rPr>
          <w:rFonts w:ascii="Arial" w:hAnsi="Arial" w:cs="Arial"/>
          <w:sz w:val="20"/>
          <w:szCs w:val="20"/>
        </w:rPr>
        <w:t>PG&amp;E commissioned two Emerging Technology studies in recent years to identify and develop information on interior commercial applications.</w:t>
      </w:r>
    </w:p>
    <w:p w14:paraId="5EB8A3BA" w14:textId="77777777" w:rsidR="00BF5F96" w:rsidRDefault="00BF5F96" w:rsidP="00BF5F96">
      <w:pPr>
        <w:rPr>
          <w:rFonts w:ascii="Arial" w:hAnsi="Arial" w:cs="Arial"/>
          <w:sz w:val="20"/>
          <w:szCs w:val="20"/>
        </w:rPr>
      </w:pPr>
    </w:p>
    <w:p w14:paraId="5EB8A3BB" w14:textId="77777777" w:rsidR="00C70D93" w:rsidRPr="00976985" w:rsidRDefault="00C70D93" w:rsidP="00C70D93">
      <w:pPr>
        <w:rPr>
          <w:rFonts w:ascii="Arial" w:hAnsi="Arial" w:cs="Arial"/>
          <w:sz w:val="20"/>
          <w:szCs w:val="20"/>
        </w:rPr>
      </w:pPr>
      <w:r>
        <w:rPr>
          <w:rFonts w:ascii="Arial" w:hAnsi="Arial" w:cs="Arial"/>
          <w:sz w:val="20"/>
          <w:szCs w:val="20"/>
        </w:rPr>
        <w:t>P</w:t>
      </w:r>
      <w:r w:rsidRPr="00976985">
        <w:rPr>
          <w:rFonts w:ascii="Arial" w:hAnsi="Arial" w:cs="Arial"/>
          <w:sz w:val="20"/>
          <w:szCs w:val="20"/>
        </w:rPr>
        <w:t>roject ET12PGE1481</w:t>
      </w:r>
      <w:r>
        <w:rPr>
          <w:rFonts w:ascii="Arial" w:hAnsi="Arial" w:cs="Arial"/>
          <w:sz w:val="20"/>
          <w:szCs w:val="20"/>
        </w:rPr>
        <w:t xml:space="preserve"> conducted a comprehensive LED retrofit in a retail store environment with multiple fixture and lamp types. It</w:t>
      </w:r>
      <w:r w:rsidRPr="00976985">
        <w:rPr>
          <w:rFonts w:ascii="Arial" w:hAnsi="Arial" w:cs="Arial"/>
          <w:sz w:val="20"/>
          <w:szCs w:val="20"/>
        </w:rPr>
        <w:t xml:space="preserve"> confirmed that completing a store-wide, comprehensive LED retrofit is not only feasible, but cost-effective as well. Overall, the project achieved a 58% reduction in energy use for LEDA eligible products, and 47% on a store-wide basis. The study participant was very satisfied with the energy savings, projected maintenance savings, and lighting quality provided by the LED products that were installed.</w:t>
      </w:r>
      <w:r w:rsidRPr="00C70D93">
        <w:rPr>
          <w:rFonts w:ascii="Arial" w:hAnsi="Arial" w:cs="Arial"/>
          <w:sz w:val="20"/>
          <w:szCs w:val="20"/>
          <w:vertAlign w:val="superscript"/>
        </w:rPr>
        <w:fldChar w:fldCharType="begin"/>
      </w:r>
      <w:r w:rsidRPr="00C70D93">
        <w:rPr>
          <w:rFonts w:ascii="Arial" w:hAnsi="Arial" w:cs="Arial"/>
          <w:sz w:val="20"/>
          <w:szCs w:val="20"/>
          <w:vertAlign w:val="superscript"/>
        </w:rPr>
        <w:instrText xml:space="preserve"> NOTEREF _Ref416193131 \h </w:instrText>
      </w:r>
      <w:r>
        <w:rPr>
          <w:rFonts w:ascii="Arial" w:hAnsi="Arial" w:cs="Arial"/>
          <w:sz w:val="20"/>
          <w:szCs w:val="20"/>
          <w:vertAlign w:val="superscript"/>
        </w:rPr>
        <w:instrText xml:space="preserve"> \* MERGEFORMAT </w:instrText>
      </w:r>
      <w:r w:rsidRPr="00C70D93">
        <w:rPr>
          <w:rFonts w:ascii="Arial" w:hAnsi="Arial" w:cs="Arial"/>
          <w:sz w:val="20"/>
          <w:szCs w:val="20"/>
          <w:vertAlign w:val="superscript"/>
        </w:rPr>
      </w:r>
      <w:r w:rsidRPr="00C70D93">
        <w:rPr>
          <w:rFonts w:ascii="Arial" w:hAnsi="Arial" w:cs="Arial"/>
          <w:sz w:val="20"/>
          <w:szCs w:val="20"/>
          <w:vertAlign w:val="superscript"/>
        </w:rPr>
        <w:fldChar w:fldCharType="separate"/>
      </w:r>
      <w:r w:rsidR="00264804">
        <w:rPr>
          <w:rFonts w:ascii="Arial" w:hAnsi="Arial" w:cs="Arial"/>
          <w:sz w:val="20"/>
          <w:szCs w:val="20"/>
          <w:vertAlign w:val="superscript"/>
        </w:rPr>
        <w:t>4</w:t>
      </w:r>
      <w:r w:rsidRPr="00C70D93">
        <w:rPr>
          <w:rFonts w:ascii="Arial" w:hAnsi="Arial" w:cs="Arial"/>
          <w:sz w:val="20"/>
          <w:szCs w:val="20"/>
          <w:vertAlign w:val="superscript"/>
        </w:rPr>
        <w:fldChar w:fldCharType="end"/>
      </w:r>
    </w:p>
    <w:p w14:paraId="5EB8A3BC" w14:textId="77777777" w:rsidR="00C70D93" w:rsidRPr="00976985" w:rsidRDefault="00C70D93" w:rsidP="00C70D93">
      <w:pPr>
        <w:rPr>
          <w:rFonts w:ascii="Arial" w:hAnsi="Arial" w:cs="Arial"/>
          <w:sz w:val="20"/>
          <w:szCs w:val="20"/>
        </w:rPr>
      </w:pPr>
    </w:p>
    <w:p w14:paraId="5EB8A3BD" w14:textId="77777777" w:rsidR="00381702" w:rsidRDefault="00381702" w:rsidP="00C70D93">
      <w:pPr>
        <w:rPr>
          <w:rFonts w:ascii="Arial" w:hAnsi="Arial" w:cs="Arial"/>
          <w:sz w:val="20"/>
          <w:szCs w:val="20"/>
        </w:rPr>
      </w:pPr>
      <w:r>
        <w:rPr>
          <w:rFonts w:ascii="Arial" w:hAnsi="Arial" w:cs="Arial"/>
          <w:sz w:val="20"/>
          <w:szCs w:val="20"/>
        </w:rPr>
        <w:t>This project evaluated six different lighting applications in eight store study areas, evaluating energy consumption and lighting performance in each area. Interior applications included A-lamp shape, Directional, MR16, Decorative, Downlight, Troffer, and High-bay. The projects found cost-effective retrofit options store-wide, including a return-on-investment of 17.3% for measures eligible for the LEDA advanced incentive program.</w:t>
      </w:r>
    </w:p>
    <w:p w14:paraId="5EB8A3BE" w14:textId="77777777" w:rsidR="00381702" w:rsidRDefault="00381702" w:rsidP="00C70D93">
      <w:pPr>
        <w:rPr>
          <w:rFonts w:ascii="Arial" w:hAnsi="Arial" w:cs="Arial"/>
          <w:sz w:val="20"/>
          <w:szCs w:val="20"/>
        </w:rPr>
      </w:pPr>
    </w:p>
    <w:p w14:paraId="5EB8A3BF" w14:textId="77777777" w:rsidR="00C70D93" w:rsidRDefault="00C70D93" w:rsidP="00C70D93">
      <w:pPr>
        <w:rPr>
          <w:rFonts w:ascii="Arial" w:hAnsi="Arial" w:cs="Arial"/>
          <w:sz w:val="20"/>
          <w:szCs w:val="20"/>
        </w:rPr>
      </w:pPr>
      <w:r>
        <w:rPr>
          <w:rFonts w:ascii="Arial" w:hAnsi="Arial" w:cs="Arial"/>
          <w:sz w:val="20"/>
          <w:szCs w:val="20"/>
        </w:rPr>
        <w:t>Project</w:t>
      </w:r>
      <w:r w:rsidRPr="00976985">
        <w:rPr>
          <w:rFonts w:ascii="Arial" w:hAnsi="Arial" w:cs="Arial"/>
          <w:sz w:val="20"/>
          <w:szCs w:val="20"/>
        </w:rPr>
        <w:t xml:space="preserve"> ET11PGE3251</w:t>
      </w:r>
      <w:r>
        <w:rPr>
          <w:rFonts w:ascii="Arial" w:hAnsi="Arial" w:cs="Arial"/>
          <w:sz w:val="20"/>
          <w:szCs w:val="20"/>
        </w:rPr>
        <w:t xml:space="preserve"> demonstrated LED panel fixtures in an office lighting application with an Advanced Lighting Control System (ALCS). It demonstrated that it is </w:t>
      </w:r>
      <w:r w:rsidRPr="00976985">
        <w:rPr>
          <w:rFonts w:ascii="Arial" w:hAnsi="Arial" w:cs="Arial"/>
          <w:sz w:val="20"/>
          <w:szCs w:val="20"/>
        </w:rPr>
        <w:t xml:space="preserve">easier to integrate controls with the latest LED products in the market which can help achieve even deeper savings. An initial energy savings of 21% resulted from replacing fluorescent lighting with LED lighting in an office. A further energy savings of 41% resulted from adding </w:t>
      </w:r>
      <w:r>
        <w:rPr>
          <w:rFonts w:ascii="Arial" w:hAnsi="Arial" w:cs="Arial"/>
          <w:sz w:val="20"/>
          <w:szCs w:val="20"/>
        </w:rPr>
        <w:t xml:space="preserve">the </w:t>
      </w:r>
      <w:r w:rsidRPr="00976985">
        <w:rPr>
          <w:rFonts w:ascii="Arial" w:hAnsi="Arial" w:cs="Arial"/>
          <w:sz w:val="20"/>
          <w:szCs w:val="20"/>
        </w:rPr>
        <w:t>ALCS.</w:t>
      </w:r>
      <w:r w:rsidRPr="00C70D93">
        <w:rPr>
          <w:rFonts w:ascii="Arial" w:hAnsi="Arial" w:cs="Arial"/>
          <w:sz w:val="20"/>
          <w:szCs w:val="20"/>
          <w:vertAlign w:val="superscript"/>
        </w:rPr>
        <w:fldChar w:fldCharType="begin"/>
      </w:r>
      <w:r w:rsidRPr="00C70D93">
        <w:rPr>
          <w:rFonts w:ascii="Arial" w:hAnsi="Arial" w:cs="Arial"/>
          <w:sz w:val="20"/>
          <w:szCs w:val="20"/>
          <w:vertAlign w:val="superscript"/>
        </w:rPr>
        <w:instrText xml:space="preserve"> NOTEREF _Ref416193138 \h </w:instrText>
      </w:r>
      <w:r>
        <w:rPr>
          <w:rFonts w:ascii="Arial" w:hAnsi="Arial" w:cs="Arial"/>
          <w:sz w:val="20"/>
          <w:szCs w:val="20"/>
          <w:vertAlign w:val="superscript"/>
        </w:rPr>
        <w:instrText xml:space="preserve"> \* MERGEFORMAT </w:instrText>
      </w:r>
      <w:r w:rsidRPr="00C70D93">
        <w:rPr>
          <w:rFonts w:ascii="Arial" w:hAnsi="Arial" w:cs="Arial"/>
          <w:sz w:val="20"/>
          <w:szCs w:val="20"/>
          <w:vertAlign w:val="superscript"/>
        </w:rPr>
      </w:r>
      <w:r w:rsidRPr="00C70D93">
        <w:rPr>
          <w:rFonts w:ascii="Arial" w:hAnsi="Arial" w:cs="Arial"/>
          <w:sz w:val="20"/>
          <w:szCs w:val="20"/>
          <w:vertAlign w:val="superscript"/>
        </w:rPr>
        <w:fldChar w:fldCharType="separate"/>
      </w:r>
      <w:r w:rsidR="00264804">
        <w:rPr>
          <w:rFonts w:ascii="Arial" w:hAnsi="Arial" w:cs="Arial"/>
          <w:sz w:val="20"/>
          <w:szCs w:val="20"/>
          <w:vertAlign w:val="superscript"/>
        </w:rPr>
        <w:t>5</w:t>
      </w:r>
      <w:r w:rsidRPr="00C70D93">
        <w:rPr>
          <w:rFonts w:ascii="Arial" w:hAnsi="Arial" w:cs="Arial"/>
          <w:sz w:val="20"/>
          <w:szCs w:val="20"/>
          <w:vertAlign w:val="superscript"/>
        </w:rPr>
        <w:fldChar w:fldCharType="end"/>
      </w:r>
    </w:p>
    <w:p w14:paraId="5EB8A3C0" w14:textId="77777777" w:rsidR="00C70D93" w:rsidRDefault="00C70D93" w:rsidP="00C70D93">
      <w:pPr>
        <w:rPr>
          <w:rFonts w:ascii="Arial" w:hAnsi="Arial" w:cs="Arial"/>
          <w:sz w:val="20"/>
          <w:szCs w:val="20"/>
        </w:rPr>
      </w:pPr>
    </w:p>
    <w:p w14:paraId="5EB8A3C1" w14:textId="77777777" w:rsidR="00C70D93" w:rsidRDefault="00C70D93" w:rsidP="00C70D93">
      <w:pPr>
        <w:rPr>
          <w:rFonts w:ascii="Arial" w:hAnsi="Arial" w:cs="Arial"/>
          <w:sz w:val="20"/>
          <w:szCs w:val="20"/>
        </w:rPr>
      </w:pPr>
      <w:r>
        <w:rPr>
          <w:rFonts w:ascii="Arial" w:hAnsi="Arial" w:cs="Arial"/>
          <w:sz w:val="20"/>
          <w:szCs w:val="20"/>
        </w:rPr>
        <w:lastRenderedPageBreak/>
        <w:t xml:space="preserve">This study focused on a Class A commercial office space, and used a phased approach to study different levels of control (task-tuning, occupancy-sensing, daylight-sensing, individual dimming) in conjunction with LED fixtures.  The LED luminaires were found to be highly configurable for these multiple control strategies, making them attractive to customers at the leading edge of technology adoption in both the workplace data and lighting product segments. Customers </w:t>
      </w:r>
      <w:r w:rsidRPr="00C70D93">
        <w:rPr>
          <w:rFonts w:ascii="Arial" w:hAnsi="Arial" w:cs="Arial"/>
          <w:sz w:val="20"/>
          <w:szCs w:val="20"/>
        </w:rPr>
        <w:t>who have interest in</w:t>
      </w:r>
      <w:r>
        <w:rPr>
          <w:rFonts w:ascii="Arial" w:hAnsi="Arial" w:cs="Arial"/>
          <w:sz w:val="20"/>
          <w:szCs w:val="20"/>
        </w:rPr>
        <w:t xml:space="preserve"> </w:t>
      </w:r>
      <w:r w:rsidRPr="00C70D93">
        <w:rPr>
          <w:rFonts w:ascii="Arial" w:hAnsi="Arial" w:cs="Arial"/>
          <w:sz w:val="20"/>
          <w:szCs w:val="20"/>
        </w:rPr>
        <w:t>maximizing both individualized distributed environmental control and sustainable energy</w:t>
      </w:r>
      <w:r>
        <w:rPr>
          <w:rFonts w:ascii="Arial" w:hAnsi="Arial" w:cs="Arial"/>
          <w:sz w:val="20"/>
          <w:szCs w:val="20"/>
        </w:rPr>
        <w:t xml:space="preserve"> saving practices will be particularly attracted to these options. The payback on the combined luminaire and controls retrofit was very high (generally &gt; 50 years), but customers looking for workplace data benefits or already planning fixture replacement will see a lower incremental cost. The study recommended LED sources for this application based on several benefits: “</w:t>
      </w:r>
      <w:r w:rsidRPr="00C70D93">
        <w:rPr>
          <w:rFonts w:ascii="Arial" w:hAnsi="Arial" w:cs="Arial"/>
          <w:sz w:val="20"/>
          <w:szCs w:val="20"/>
        </w:rPr>
        <w:t>lighting</w:t>
      </w:r>
      <w:r>
        <w:rPr>
          <w:rFonts w:ascii="Arial" w:hAnsi="Arial" w:cs="Arial"/>
          <w:sz w:val="20"/>
          <w:szCs w:val="20"/>
        </w:rPr>
        <w:t xml:space="preserve"> </w:t>
      </w:r>
      <w:r w:rsidRPr="00C70D93">
        <w:rPr>
          <w:rFonts w:ascii="Arial" w:hAnsi="Arial" w:cs="Arial"/>
          <w:sz w:val="20"/>
          <w:szCs w:val="20"/>
        </w:rPr>
        <w:t>distribution, color rendering, and color temperature which are comparable to or better than</w:t>
      </w:r>
      <w:r>
        <w:rPr>
          <w:rFonts w:ascii="Arial" w:hAnsi="Arial" w:cs="Arial"/>
          <w:sz w:val="20"/>
          <w:szCs w:val="20"/>
        </w:rPr>
        <w:t xml:space="preserve"> </w:t>
      </w:r>
      <w:r w:rsidRPr="00C70D93">
        <w:rPr>
          <w:rFonts w:ascii="Arial" w:hAnsi="Arial" w:cs="Arial"/>
          <w:sz w:val="20"/>
          <w:szCs w:val="20"/>
        </w:rPr>
        <w:t>fluorescent sources</w:t>
      </w:r>
      <w:r>
        <w:rPr>
          <w:rFonts w:ascii="Arial" w:hAnsi="Arial" w:cs="Arial"/>
          <w:sz w:val="20"/>
          <w:szCs w:val="20"/>
        </w:rPr>
        <w:t>.”</w:t>
      </w:r>
    </w:p>
    <w:p w14:paraId="5EB8A3C2" w14:textId="77777777" w:rsidR="00B0102E" w:rsidRDefault="00B0102E" w:rsidP="00C70D93">
      <w:pPr>
        <w:rPr>
          <w:rFonts w:ascii="Arial" w:hAnsi="Arial" w:cs="Arial"/>
          <w:sz w:val="20"/>
          <w:szCs w:val="20"/>
        </w:rPr>
      </w:pPr>
    </w:p>
    <w:p w14:paraId="5EB8A3C4" w14:textId="2A414D0D" w:rsidR="00AC322F" w:rsidRPr="00B9723C" w:rsidRDefault="00B0102E" w:rsidP="00B9723C">
      <w:pPr>
        <w:rPr>
          <w:rFonts w:ascii="Arial" w:hAnsi="Arial" w:cs="Arial"/>
          <w:sz w:val="20"/>
          <w:szCs w:val="20"/>
        </w:rPr>
      </w:pPr>
      <w:r w:rsidRPr="00F707F5">
        <w:rPr>
          <w:rFonts w:ascii="Arial" w:hAnsi="Arial" w:cs="Arial"/>
          <w:sz w:val="20"/>
          <w:szCs w:val="20"/>
        </w:rPr>
        <w:t>Linear fluorescent lighting represents 72% of energy use in the commercial lighting sector and 80% of all commercial light fixtures, and therefore represents an enormous opportunity for potential LED savings. Due to the high efficacy of linear fluorescent lamps, there have only recently been suitable LED replacements for traditionally linear fluorescent applications, such as general purpose commercial lighting.</w:t>
      </w:r>
    </w:p>
    <w:p w14:paraId="5EB8A3C5" w14:textId="00E593F8" w:rsidR="009C5CA7" w:rsidRDefault="001248A3" w:rsidP="00A53D5C">
      <w:pPr>
        <w:pStyle w:val="Heading3"/>
      </w:pPr>
      <w:bookmarkStart w:id="30" w:name="_Toc468797908"/>
      <w:r w:rsidRPr="007F4313">
        <w:t>1.</w:t>
      </w:r>
      <w:r w:rsidR="00264B03" w:rsidRPr="007F4313">
        <w:t xml:space="preserve">4.4 </w:t>
      </w:r>
      <w:r w:rsidR="009C5CA7" w:rsidRPr="007F4313">
        <w:t xml:space="preserve">Assumptions and </w:t>
      </w:r>
      <w:r w:rsidR="00264B03" w:rsidRPr="007F4313">
        <w:t>Calculations from other sources</w:t>
      </w:r>
      <w:r w:rsidR="006B0474">
        <w:t xml:space="preserve"> – </w:t>
      </w:r>
      <w:r w:rsidR="00264B03" w:rsidRPr="007F4313">
        <w:t>Base and Measure Cases</w:t>
      </w:r>
      <w:bookmarkEnd w:id="30"/>
    </w:p>
    <w:p w14:paraId="5EB8A3C6" w14:textId="77777777" w:rsidR="000A1ADB" w:rsidRDefault="00262365" w:rsidP="007E4D1F">
      <w:pPr>
        <w:rPr>
          <w:rFonts w:ascii="Arial" w:hAnsi="Arial" w:cs="Arial"/>
          <w:sz w:val="20"/>
          <w:szCs w:val="20"/>
        </w:rPr>
      </w:pPr>
      <w:r>
        <w:rPr>
          <w:rFonts w:ascii="Arial" w:hAnsi="Arial" w:cs="Arial"/>
          <w:sz w:val="20"/>
          <w:szCs w:val="20"/>
        </w:rPr>
        <w:t xml:space="preserve">The fixture performance </w:t>
      </w:r>
      <w:r w:rsidR="002E6C39">
        <w:rPr>
          <w:rFonts w:ascii="Arial" w:hAnsi="Arial" w:cs="Arial"/>
          <w:sz w:val="20"/>
          <w:szCs w:val="20"/>
        </w:rPr>
        <w:t xml:space="preserve">in the applicable categories of the DLC list—LED </w:t>
      </w:r>
      <w:r w:rsidR="002E6C39" w:rsidRPr="002E6C39">
        <w:rPr>
          <w:rFonts w:ascii="Arial" w:hAnsi="Arial" w:cs="Arial"/>
          <w:sz w:val="20"/>
          <w:szCs w:val="20"/>
        </w:rPr>
        <w:t xml:space="preserve">Luminaires </w:t>
      </w:r>
      <w:r w:rsidR="002E6C39">
        <w:rPr>
          <w:rFonts w:ascii="Arial" w:hAnsi="Arial" w:cs="Arial"/>
          <w:sz w:val="20"/>
          <w:szCs w:val="20"/>
        </w:rPr>
        <w:t xml:space="preserve">and Retrofit Kits </w:t>
      </w:r>
      <w:r w:rsidR="002E6C39" w:rsidRPr="002E6C39">
        <w:rPr>
          <w:rFonts w:ascii="Arial" w:hAnsi="Arial" w:cs="Arial"/>
          <w:sz w:val="20"/>
          <w:szCs w:val="20"/>
        </w:rPr>
        <w:t>for Ambient Lighting of Interior Commercial Spaces</w:t>
      </w:r>
      <w:r w:rsidR="002E6C39">
        <w:rPr>
          <w:rFonts w:ascii="Arial" w:hAnsi="Arial" w:cs="Arial"/>
          <w:sz w:val="20"/>
          <w:szCs w:val="20"/>
        </w:rPr>
        <w:t xml:space="preserve">—was </w:t>
      </w:r>
      <w:r>
        <w:rPr>
          <w:rFonts w:ascii="Arial" w:hAnsi="Arial" w:cs="Arial"/>
          <w:sz w:val="20"/>
          <w:szCs w:val="20"/>
        </w:rPr>
        <w:t xml:space="preserve">analyzed to justify the </w:t>
      </w:r>
      <w:r w:rsidR="004A5BE3">
        <w:rPr>
          <w:rFonts w:ascii="Arial" w:hAnsi="Arial" w:cs="Arial"/>
          <w:sz w:val="20"/>
          <w:szCs w:val="20"/>
        </w:rPr>
        <w:t>light output</w:t>
      </w:r>
      <w:r>
        <w:rPr>
          <w:rFonts w:ascii="Arial" w:hAnsi="Arial" w:cs="Arial"/>
          <w:sz w:val="20"/>
          <w:szCs w:val="20"/>
        </w:rPr>
        <w:t xml:space="preserve"> equivalency assumptions.</w:t>
      </w:r>
      <w:r w:rsidR="000D22E1">
        <w:rPr>
          <w:rFonts w:ascii="Arial" w:hAnsi="Arial" w:cs="Arial"/>
          <w:sz w:val="20"/>
          <w:szCs w:val="20"/>
        </w:rPr>
        <w:t xml:space="preserve"> The </w:t>
      </w:r>
      <w:r w:rsidR="004A5BE3">
        <w:rPr>
          <w:rFonts w:ascii="Arial" w:hAnsi="Arial" w:cs="Arial"/>
          <w:sz w:val="20"/>
          <w:szCs w:val="20"/>
        </w:rPr>
        <w:t>6,840</w:t>
      </w:r>
      <w:r w:rsidR="000D22E1">
        <w:rPr>
          <w:rFonts w:ascii="Arial" w:hAnsi="Arial" w:cs="Arial"/>
          <w:sz w:val="20"/>
          <w:szCs w:val="20"/>
        </w:rPr>
        <w:t xml:space="preserve"> fixtures in these categories were analyzed for </w:t>
      </w:r>
      <w:r w:rsidR="004A5BE3">
        <w:rPr>
          <w:rFonts w:ascii="Arial" w:hAnsi="Arial" w:cs="Arial"/>
          <w:sz w:val="20"/>
          <w:szCs w:val="20"/>
        </w:rPr>
        <w:t>luminaire efficacy.</w:t>
      </w:r>
    </w:p>
    <w:p w14:paraId="5EB8A3C7" w14:textId="77777777" w:rsidR="000D22E1" w:rsidRDefault="000D22E1" w:rsidP="007E4D1F">
      <w:pPr>
        <w:rPr>
          <w:rFonts w:ascii="Arial" w:hAnsi="Arial" w:cs="Arial"/>
          <w:sz w:val="20"/>
          <w:szCs w:val="20"/>
        </w:rPr>
      </w:pPr>
    </w:p>
    <w:p w14:paraId="5EB8A3C8" w14:textId="77777777" w:rsidR="004A5BE3" w:rsidRPr="002574CF" w:rsidRDefault="004A5BE3" w:rsidP="004A5BE3">
      <w:pPr>
        <w:rPr>
          <w:rFonts w:ascii="Arial" w:hAnsi="Arial" w:cs="Arial"/>
          <w:sz w:val="20"/>
          <w:szCs w:val="20"/>
        </w:rPr>
      </w:pPr>
      <w:r w:rsidRPr="002574CF">
        <w:rPr>
          <w:b/>
        </w:rPr>
        <w:t>Delta Wattage Assumption (ΔW)</w:t>
      </w:r>
    </w:p>
    <w:p w14:paraId="5EB8A3C9" w14:textId="77777777" w:rsidR="004A5BE3" w:rsidRDefault="004A5BE3" w:rsidP="004A5BE3">
      <w:pPr>
        <w:rPr>
          <w:rFonts w:ascii="Arial" w:hAnsi="Arial" w:cs="Arial"/>
          <w:sz w:val="20"/>
          <w:szCs w:val="20"/>
        </w:rPr>
      </w:pPr>
      <w:r>
        <w:rPr>
          <w:rFonts w:ascii="Arial" w:hAnsi="Arial" w:cs="Arial"/>
          <w:sz w:val="20"/>
          <w:szCs w:val="20"/>
        </w:rPr>
        <w:t>The base case linear fluorescent fixtures were modeled across the DLC light output range according to the most common fixture type in a configuration meeting appropriate Federal lamp standards, Federal ballast standards, and California Title 24 (T24) interior commercial lumen power density (LPD) requirements. Rather than assume a single base case lamp-and-ballast-and-fixture combination as a base case, the efficacy of a standards-compliant base case fixture in terms of lumens per Watt (LPW) is used to calculate savings.</w:t>
      </w:r>
    </w:p>
    <w:p w14:paraId="5EB8A3CA" w14:textId="77777777" w:rsidR="004A5BE3" w:rsidRDefault="004A5BE3" w:rsidP="004A5BE3">
      <w:pPr>
        <w:rPr>
          <w:rFonts w:ascii="Arial" w:hAnsi="Arial" w:cs="Arial"/>
          <w:sz w:val="20"/>
          <w:szCs w:val="20"/>
        </w:rPr>
      </w:pPr>
    </w:p>
    <w:p w14:paraId="5EB8A3CB" w14:textId="77777777" w:rsidR="004A5BE3" w:rsidRDefault="004A5BE3" w:rsidP="004A5BE3">
      <w:pPr>
        <w:rPr>
          <w:rFonts w:ascii="Arial" w:hAnsi="Arial" w:cs="Arial"/>
          <w:sz w:val="20"/>
          <w:szCs w:val="20"/>
        </w:rPr>
      </w:pPr>
      <w:r>
        <w:rPr>
          <w:rFonts w:ascii="Arial" w:hAnsi="Arial" w:cs="Arial"/>
          <w:sz w:val="20"/>
          <w:szCs w:val="20"/>
        </w:rPr>
        <w:t>The code-compliant base case fixture model used is from the 2011 Codes and Standards Enhancement (CASE) Report for Indoor Lighting Controls.</w:t>
      </w:r>
      <w:r>
        <w:rPr>
          <w:rStyle w:val="EndnoteReference"/>
          <w:rFonts w:ascii="Arial" w:hAnsi="Arial" w:cs="Arial"/>
          <w:sz w:val="20"/>
          <w:szCs w:val="20"/>
        </w:rPr>
        <w:endnoteReference w:id="9"/>
      </w:r>
      <w:r>
        <w:rPr>
          <w:rFonts w:ascii="Arial" w:hAnsi="Arial" w:cs="Arial"/>
          <w:sz w:val="20"/>
          <w:szCs w:val="20"/>
        </w:rPr>
        <w:t xml:space="preserve"> This report developed the most thorough commercial interior lighting model available in California standards proceedings. The model used by </w:t>
      </w:r>
      <w:r w:rsidR="003B2621">
        <w:rPr>
          <w:rFonts w:ascii="Arial" w:hAnsi="Arial" w:cs="Arial"/>
          <w:sz w:val="20"/>
          <w:szCs w:val="20"/>
        </w:rPr>
        <w:t xml:space="preserve">CASE author </w:t>
      </w:r>
      <w:r>
        <w:rPr>
          <w:rFonts w:ascii="Arial" w:hAnsi="Arial" w:cs="Arial"/>
          <w:sz w:val="20"/>
          <w:szCs w:val="20"/>
        </w:rPr>
        <w:t xml:space="preserve">offers a </w:t>
      </w:r>
      <w:r w:rsidR="003B2621">
        <w:rPr>
          <w:rFonts w:ascii="Arial" w:hAnsi="Arial" w:cs="Arial"/>
          <w:sz w:val="20"/>
          <w:szCs w:val="20"/>
        </w:rPr>
        <w:t>combination</w:t>
      </w:r>
      <w:r>
        <w:rPr>
          <w:rFonts w:ascii="Arial" w:hAnsi="Arial" w:cs="Arial"/>
          <w:sz w:val="20"/>
          <w:szCs w:val="20"/>
        </w:rPr>
        <w:t xml:space="preserve"> of interior spaces: large open-plan areas as found in many offices, as well as small spaces typical of private offices or meeting rooms. The panel fixtures modeled are 2x4 3-lamp T8 parabolic fixtures, matching a typical parabolic luminaire with 74.7% fixture efficacy.</w:t>
      </w:r>
      <w:r>
        <w:rPr>
          <w:rStyle w:val="EndnoteReference"/>
          <w:rFonts w:ascii="Arial" w:hAnsi="Arial" w:cs="Arial"/>
          <w:sz w:val="20"/>
          <w:szCs w:val="20"/>
        </w:rPr>
        <w:endnoteReference w:id="10"/>
      </w:r>
    </w:p>
    <w:p w14:paraId="5EB8A3CC" w14:textId="77777777" w:rsidR="004A5BE3" w:rsidRDefault="004A5BE3" w:rsidP="004A5BE3">
      <w:pPr>
        <w:rPr>
          <w:rFonts w:ascii="Arial" w:hAnsi="Arial" w:cs="Arial"/>
          <w:sz w:val="20"/>
          <w:szCs w:val="20"/>
        </w:rPr>
      </w:pPr>
    </w:p>
    <w:p w14:paraId="5EB8A3CD" w14:textId="77777777" w:rsidR="004A5BE3" w:rsidRDefault="004A5BE3" w:rsidP="004A5BE3">
      <w:pPr>
        <w:rPr>
          <w:rFonts w:ascii="Arial" w:hAnsi="Arial" w:cs="Arial"/>
          <w:sz w:val="20"/>
          <w:szCs w:val="20"/>
        </w:rPr>
      </w:pPr>
      <w:r>
        <w:rPr>
          <w:rFonts w:ascii="Arial" w:hAnsi="Arial" w:cs="Arial"/>
          <w:sz w:val="20"/>
          <w:szCs w:val="20"/>
        </w:rPr>
        <w:t>The model was updated to 2013-T24 LPD specifications, which reduce LPDs for Office</w:t>
      </w:r>
      <w:r w:rsidR="005F63FF">
        <w:rPr>
          <w:rFonts w:ascii="Arial" w:hAnsi="Arial" w:cs="Arial"/>
          <w:sz w:val="20"/>
          <w:szCs w:val="20"/>
        </w:rPr>
        <w:t xml:space="preserve"> Building</w:t>
      </w:r>
      <w:r>
        <w:rPr>
          <w:rFonts w:ascii="Arial" w:hAnsi="Arial" w:cs="Arial"/>
          <w:sz w:val="20"/>
          <w:szCs w:val="20"/>
        </w:rPr>
        <w:t>s via the Complete Building Method from 0.9 W/sf to 0.8 W/sf.</w:t>
      </w:r>
      <w:r>
        <w:rPr>
          <w:rStyle w:val="EndnoteReference"/>
          <w:rFonts w:ascii="Arial" w:hAnsi="Arial" w:cs="Arial"/>
          <w:sz w:val="20"/>
          <w:szCs w:val="20"/>
        </w:rPr>
        <w:endnoteReference w:id="11"/>
      </w:r>
      <w:r>
        <w:rPr>
          <w:rFonts w:ascii="Arial" w:hAnsi="Arial" w:cs="Arial"/>
          <w:sz w:val="20"/>
          <w:szCs w:val="20"/>
        </w:rPr>
        <w:t xml:space="preserve"> </w:t>
      </w:r>
      <w:r w:rsidR="005F63FF">
        <w:rPr>
          <w:rFonts w:ascii="Arial" w:hAnsi="Arial" w:cs="Arial"/>
          <w:sz w:val="20"/>
          <w:szCs w:val="20"/>
        </w:rPr>
        <w:t>The 0.8 W/</w:t>
      </w:r>
      <w:proofErr w:type="spellStart"/>
      <w:r w:rsidR="005F63FF">
        <w:rPr>
          <w:rFonts w:ascii="Arial" w:hAnsi="Arial" w:cs="Arial"/>
          <w:sz w:val="20"/>
          <w:szCs w:val="20"/>
        </w:rPr>
        <w:t>s.f.</w:t>
      </w:r>
      <w:proofErr w:type="spellEnd"/>
      <w:r w:rsidR="005F63FF">
        <w:rPr>
          <w:rFonts w:ascii="Arial" w:hAnsi="Arial" w:cs="Arial"/>
          <w:sz w:val="20"/>
          <w:szCs w:val="20"/>
        </w:rPr>
        <w:t xml:space="preserve"> value used is </w:t>
      </w:r>
      <w:r w:rsidR="009C3703">
        <w:rPr>
          <w:rFonts w:ascii="Arial" w:hAnsi="Arial" w:cs="Arial"/>
          <w:sz w:val="20"/>
          <w:szCs w:val="20"/>
        </w:rPr>
        <w:t>lower than other applicable building types in Table 140.6-B of 2013-T24: 1.0 W/</w:t>
      </w:r>
      <w:proofErr w:type="spellStart"/>
      <w:r w:rsidR="009C3703">
        <w:rPr>
          <w:rFonts w:ascii="Arial" w:hAnsi="Arial" w:cs="Arial"/>
          <w:sz w:val="20"/>
          <w:szCs w:val="20"/>
        </w:rPr>
        <w:t>s.f.</w:t>
      </w:r>
      <w:proofErr w:type="spellEnd"/>
      <w:r w:rsidR="009C3703">
        <w:rPr>
          <w:rFonts w:ascii="Arial" w:hAnsi="Arial" w:cs="Arial"/>
          <w:sz w:val="20"/>
          <w:szCs w:val="20"/>
        </w:rPr>
        <w:t xml:space="preserve"> for General Commercial/Industrial Work Buildings, 1.2 W/</w:t>
      </w:r>
      <w:proofErr w:type="spellStart"/>
      <w:r w:rsidR="009C3703">
        <w:rPr>
          <w:rFonts w:ascii="Arial" w:hAnsi="Arial" w:cs="Arial"/>
          <w:sz w:val="20"/>
          <w:szCs w:val="20"/>
        </w:rPr>
        <w:t>s.f.</w:t>
      </w:r>
      <w:proofErr w:type="spellEnd"/>
      <w:r w:rsidR="009C3703">
        <w:rPr>
          <w:rFonts w:ascii="Arial" w:hAnsi="Arial" w:cs="Arial"/>
          <w:sz w:val="20"/>
          <w:szCs w:val="20"/>
        </w:rPr>
        <w:t xml:space="preserve"> for Restaurant Buildings, and 1.0 W/</w:t>
      </w:r>
      <w:proofErr w:type="spellStart"/>
      <w:r w:rsidR="009C3703">
        <w:rPr>
          <w:rFonts w:ascii="Arial" w:hAnsi="Arial" w:cs="Arial"/>
          <w:sz w:val="20"/>
          <w:szCs w:val="20"/>
        </w:rPr>
        <w:t>s.f.</w:t>
      </w:r>
      <w:proofErr w:type="spellEnd"/>
      <w:r w:rsidR="009C3703">
        <w:rPr>
          <w:rFonts w:ascii="Arial" w:hAnsi="Arial" w:cs="Arial"/>
          <w:sz w:val="20"/>
          <w:szCs w:val="20"/>
        </w:rPr>
        <w:t xml:space="preserve"> for School Buildings. </w:t>
      </w:r>
      <w:r>
        <w:rPr>
          <w:rFonts w:ascii="Arial" w:hAnsi="Arial" w:cs="Arial"/>
          <w:sz w:val="20"/>
          <w:szCs w:val="20"/>
        </w:rPr>
        <w:t xml:space="preserve">The model was changed to reflect Federal fluorescent lamp minimum standards with a 2950-lumen lamp, but the ballast was unchanged as it reflected </w:t>
      </w:r>
      <w:proofErr w:type="gramStart"/>
      <w:r>
        <w:rPr>
          <w:rFonts w:ascii="Arial" w:hAnsi="Arial" w:cs="Arial"/>
          <w:sz w:val="20"/>
          <w:szCs w:val="20"/>
        </w:rPr>
        <w:t>a premium</w:t>
      </w:r>
      <w:proofErr w:type="gramEnd"/>
      <w:r>
        <w:rPr>
          <w:rFonts w:ascii="Arial" w:hAnsi="Arial" w:cs="Arial"/>
          <w:sz w:val="20"/>
          <w:szCs w:val="20"/>
        </w:rPr>
        <w:t xml:space="preserve"> electronic ballast listed by the Consortium for Energy Efficiency’s HPT8 standard and the National Electrical Manufacturers Association’s NEMA Premium listing. The CASE Report model’s assumption for Light Loss of 9.7% was used. The model suggests that illumination from recessed fluorescent fixtures compliant with current code can be obtained at maintained fixture efficacy of 58.8 LPW. This </w:t>
      </w:r>
      <w:r w:rsidR="00FE34BD">
        <w:rPr>
          <w:rFonts w:ascii="Arial" w:hAnsi="Arial" w:cs="Arial"/>
          <w:sz w:val="20"/>
          <w:szCs w:val="20"/>
        </w:rPr>
        <w:t>figure is higher, accounting for 9.7% lumen depreciation, than the 5 fluorescent benchmark troffer fixtures tested in CALiPER Rounds 9 and 13 (all of which were 2x2 fixtures).</w:t>
      </w:r>
      <w:r w:rsidR="00FE34BD">
        <w:rPr>
          <w:rStyle w:val="EndnoteReference"/>
          <w:rFonts w:ascii="Arial" w:hAnsi="Arial" w:cs="Arial"/>
          <w:sz w:val="20"/>
          <w:szCs w:val="20"/>
        </w:rPr>
        <w:endnoteReference w:id="12"/>
      </w:r>
    </w:p>
    <w:p w14:paraId="5EB8A3CE" w14:textId="77777777" w:rsidR="004A5BE3" w:rsidRPr="002574CF" w:rsidRDefault="004A5BE3" w:rsidP="004A5BE3">
      <w:pPr>
        <w:rPr>
          <w:rFonts w:ascii="Arial" w:hAnsi="Arial" w:cs="Arial"/>
          <w:sz w:val="20"/>
          <w:szCs w:val="20"/>
        </w:rPr>
      </w:pPr>
    </w:p>
    <w:p w14:paraId="5EB8A3CF" w14:textId="77777777" w:rsidR="004A5BE3" w:rsidRDefault="004A5BE3" w:rsidP="004A5BE3">
      <w:pPr>
        <w:rPr>
          <w:rFonts w:ascii="Arial" w:hAnsi="Arial" w:cs="Arial"/>
          <w:sz w:val="20"/>
          <w:szCs w:val="20"/>
        </w:rPr>
      </w:pPr>
      <w:r>
        <w:rPr>
          <w:rFonts w:ascii="Arial" w:hAnsi="Arial" w:cs="Arial"/>
          <w:sz w:val="20"/>
          <w:szCs w:val="20"/>
        </w:rPr>
        <w:t>The</w:t>
      </w:r>
      <w:r w:rsidRPr="002574CF">
        <w:rPr>
          <w:rFonts w:ascii="Arial" w:hAnsi="Arial" w:cs="Arial"/>
          <w:sz w:val="20"/>
          <w:szCs w:val="20"/>
        </w:rPr>
        <w:t xml:space="preserve"> </w:t>
      </w:r>
      <w:bookmarkStart w:id="31" w:name="OLE_LINK8"/>
      <w:bookmarkStart w:id="32" w:name="OLE_LINK9"/>
      <w:r w:rsidRPr="002574CF">
        <w:rPr>
          <w:rFonts w:ascii="Arial" w:hAnsi="Arial" w:cs="Arial"/>
          <w:sz w:val="20"/>
          <w:szCs w:val="20"/>
        </w:rPr>
        <w:t xml:space="preserve">DOE Solid-State Lighting CALiPER </w:t>
      </w:r>
      <w:r>
        <w:rPr>
          <w:rFonts w:ascii="Arial" w:hAnsi="Arial" w:cs="Arial"/>
          <w:sz w:val="20"/>
          <w:szCs w:val="20"/>
        </w:rPr>
        <w:t xml:space="preserve">Reports have examined 12 LED panel fixtures combined in application summary reports 1, 5, 7, 9 and 13, but none of these tests are dated more recently than </w:t>
      </w:r>
      <w:r>
        <w:rPr>
          <w:rFonts w:ascii="Arial" w:hAnsi="Arial" w:cs="Arial"/>
          <w:sz w:val="20"/>
          <w:szCs w:val="20"/>
        </w:rPr>
        <w:lastRenderedPageBreak/>
        <w:t>September of 2011, making them of limited relevance for a workpaper in 2015 given LED improvements.</w:t>
      </w:r>
      <w:bookmarkEnd w:id="31"/>
      <w:bookmarkEnd w:id="32"/>
      <w:r>
        <w:rPr>
          <w:rFonts w:ascii="Arial" w:hAnsi="Arial" w:cs="Arial"/>
          <w:sz w:val="20"/>
          <w:szCs w:val="20"/>
        </w:rPr>
        <w:t xml:space="preserve"> Given their age, CALiPER reports were not used for determining equivalency.  </w:t>
      </w:r>
    </w:p>
    <w:p w14:paraId="5EB8A3D0" w14:textId="77777777" w:rsidR="004A5BE3" w:rsidRDefault="004A5BE3" w:rsidP="004A5BE3">
      <w:pPr>
        <w:rPr>
          <w:rFonts w:ascii="Arial" w:hAnsi="Arial" w:cs="Arial"/>
          <w:sz w:val="20"/>
          <w:szCs w:val="20"/>
        </w:rPr>
      </w:pPr>
    </w:p>
    <w:p w14:paraId="5EB8A3D1" w14:textId="77777777" w:rsidR="00FE34BD" w:rsidRDefault="00FE34BD" w:rsidP="004A5BE3">
      <w:pPr>
        <w:rPr>
          <w:rFonts w:ascii="Arial" w:hAnsi="Arial" w:cs="Arial"/>
          <w:sz w:val="20"/>
          <w:szCs w:val="20"/>
        </w:rPr>
      </w:pPr>
      <w:r>
        <w:rPr>
          <w:rFonts w:ascii="Arial" w:hAnsi="Arial" w:cs="Arial"/>
          <w:sz w:val="20"/>
          <w:szCs w:val="20"/>
        </w:rPr>
        <w:t xml:space="preserve">Initial LED lumen efficacy assumptions are set by the measure code minimum requirements, starting with </w:t>
      </w:r>
      <w:r w:rsidR="001022B5">
        <w:rPr>
          <w:rFonts w:ascii="Arial" w:hAnsi="Arial" w:cs="Arial"/>
          <w:sz w:val="20"/>
          <w:szCs w:val="20"/>
        </w:rPr>
        <w:t xml:space="preserve">110 </w:t>
      </w:r>
      <w:r>
        <w:rPr>
          <w:rFonts w:ascii="Arial" w:hAnsi="Arial" w:cs="Arial"/>
          <w:sz w:val="20"/>
          <w:szCs w:val="20"/>
        </w:rPr>
        <w:t xml:space="preserve">LPW for the lowest-efficacy measure code corresponding with DLC’s </w:t>
      </w:r>
      <w:r w:rsidR="001022B5">
        <w:rPr>
          <w:rFonts w:ascii="Arial" w:hAnsi="Arial" w:cs="Arial"/>
          <w:sz w:val="20"/>
          <w:szCs w:val="20"/>
        </w:rPr>
        <w:t xml:space="preserve">Premium tier </w:t>
      </w:r>
      <w:r>
        <w:rPr>
          <w:rFonts w:ascii="Arial" w:hAnsi="Arial" w:cs="Arial"/>
          <w:sz w:val="20"/>
          <w:szCs w:val="20"/>
        </w:rPr>
        <w:t xml:space="preserve">minimum efficacy.  Calculating the wattage corresponding to this efficacy for a unit of one kilolumen can be accomplished by dividing 1000 lumens by </w:t>
      </w:r>
      <w:r w:rsidR="001022B5">
        <w:rPr>
          <w:rFonts w:ascii="Arial" w:hAnsi="Arial" w:cs="Arial"/>
          <w:sz w:val="20"/>
          <w:szCs w:val="20"/>
        </w:rPr>
        <w:t>110</w:t>
      </w:r>
      <w:r>
        <w:rPr>
          <w:rFonts w:ascii="Arial" w:hAnsi="Arial" w:cs="Arial"/>
          <w:sz w:val="20"/>
          <w:szCs w:val="20"/>
        </w:rPr>
        <w:t xml:space="preserve"> lumens per watt, resulting in </w:t>
      </w:r>
      <w:r w:rsidR="001022B5">
        <w:rPr>
          <w:rFonts w:ascii="Arial" w:hAnsi="Arial" w:cs="Arial"/>
          <w:sz w:val="20"/>
          <w:szCs w:val="20"/>
        </w:rPr>
        <w:t>9.1</w:t>
      </w:r>
      <w:r>
        <w:rPr>
          <w:rFonts w:ascii="Arial" w:hAnsi="Arial" w:cs="Arial"/>
          <w:sz w:val="20"/>
          <w:szCs w:val="20"/>
        </w:rPr>
        <w:t xml:space="preserve"> Watts per kilolumen for the measure case.</w:t>
      </w:r>
      <w:r w:rsidR="00C55680">
        <w:rPr>
          <w:rFonts w:ascii="Arial" w:hAnsi="Arial" w:cs="Arial"/>
          <w:sz w:val="20"/>
          <w:szCs w:val="20"/>
        </w:rPr>
        <w:t xml:space="preserve"> The LED fixture performance calculation relies on the fact that test lamp performance for LED fixtures is measured via absolute photometry, compared to the relative photometry which is the standard for linear fluorescent fixtures. The practical implication of this is that the LED product efficacies found in the DLC </w:t>
      </w:r>
      <w:r w:rsidR="001022B5">
        <w:rPr>
          <w:rFonts w:ascii="Arial" w:hAnsi="Arial" w:cs="Arial"/>
          <w:sz w:val="20"/>
          <w:szCs w:val="20"/>
        </w:rPr>
        <w:t xml:space="preserve">Premium </w:t>
      </w:r>
      <w:r w:rsidR="00C55680">
        <w:rPr>
          <w:rFonts w:ascii="Arial" w:hAnsi="Arial" w:cs="Arial"/>
          <w:sz w:val="20"/>
          <w:szCs w:val="20"/>
        </w:rPr>
        <w:t xml:space="preserve">listing, </w:t>
      </w:r>
      <w:r w:rsidR="001022B5">
        <w:rPr>
          <w:rFonts w:ascii="Arial" w:hAnsi="Arial" w:cs="Arial"/>
          <w:sz w:val="20"/>
          <w:szCs w:val="20"/>
        </w:rPr>
        <w:t>110</w:t>
      </w:r>
      <w:r w:rsidR="00C55680">
        <w:rPr>
          <w:rFonts w:ascii="Arial" w:hAnsi="Arial" w:cs="Arial"/>
          <w:sz w:val="20"/>
          <w:szCs w:val="20"/>
        </w:rPr>
        <w:t xml:space="preserve"> LPW and higher, already reflect the light losses inside the fixture, giving </w:t>
      </w:r>
      <w:proofErr w:type="gramStart"/>
      <w:r w:rsidR="00C55680">
        <w:rPr>
          <w:rFonts w:ascii="Arial" w:hAnsi="Arial" w:cs="Arial"/>
          <w:sz w:val="20"/>
          <w:szCs w:val="20"/>
        </w:rPr>
        <w:t>an</w:t>
      </w:r>
      <w:proofErr w:type="gramEnd"/>
      <w:r w:rsidR="00C55680">
        <w:rPr>
          <w:rFonts w:ascii="Arial" w:hAnsi="Arial" w:cs="Arial"/>
          <w:sz w:val="20"/>
          <w:szCs w:val="20"/>
        </w:rPr>
        <w:t xml:space="preserve"> </w:t>
      </w:r>
      <w:r w:rsidR="001022B5">
        <w:rPr>
          <w:rFonts w:ascii="Arial" w:hAnsi="Arial" w:cs="Arial"/>
          <w:sz w:val="20"/>
          <w:szCs w:val="20"/>
        </w:rPr>
        <w:t>110</w:t>
      </w:r>
      <w:r w:rsidR="00C55680">
        <w:rPr>
          <w:rFonts w:ascii="Arial" w:hAnsi="Arial" w:cs="Arial"/>
          <w:sz w:val="20"/>
          <w:szCs w:val="20"/>
        </w:rPr>
        <w:t xml:space="preserve">-LPW LED fixture a significant advantage in supplying illumination over a fluorescent fixture with an </w:t>
      </w:r>
      <w:r w:rsidR="001022B5">
        <w:rPr>
          <w:rFonts w:ascii="Arial" w:hAnsi="Arial" w:cs="Arial"/>
          <w:sz w:val="20"/>
          <w:szCs w:val="20"/>
        </w:rPr>
        <w:t xml:space="preserve">110 </w:t>
      </w:r>
      <w:r w:rsidR="00C55680">
        <w:rPr>
          <w:rFonts w:ascii="Arial" w:hAnsi="Arial" w:cs="Arial"/>
          <w:sz w:val="20"/>
          <w:szCs w:val="20"/>
        </w:rPr>
        <w:t>LPW lamp-and-ballast system.</w:t>
      </w:r>
    </w:p>
    <w:p w14:paraId="5EB8A3D2" w14:textId="77777777" w:rsidR="00FE34BD" w:rsidRDefault="00FE34BD" w:rsidP="004A5BE3">
      <w:pPr>
        <w:rPr>
          <w:rFonts w:ascii="Arial" w:hAnsi="Arial" w:cs="Arial"/>
          <w:sz w:val="20"/>
          <w:szCs w:val="20"/>
        </w:rPr>
      </w:pPr>
    </w:p>
    <w:p w14:paraId="5EB8A3D3" w14:textId="77777777" w:rsidR="00205B34" w:rsidRDefault="004A5BE3" w:rsidP="004A5BE3">
      <w:pPr>
        <w:rPr>
          <w:rFonts w:ascii="Arial" w:hAnsi="Arial" w:cs="Arial"/>
          <w:sz w:val="20"/>
          <w:szCs w:val="20"/>
        </w:rPr>
      </w:pPr>
      <w:r>
        <w:rPr>
          <w:rFonts w:ascii="Arial" w:hAnsi="Arial" w:cs="Arial"/>
          <w:sz w:val="20"/>
          <w:szCs w:val="20"/>
        </w:rPr>
        <w:t xml:space="preserve">Maintained lumen output equivalency was based on the full list of DLC products and on LED lumen maintenance data from the Lighting Facts database. All 156 Lighting Facts fixtures with lumen maintenance information were considered as a full dataset, as well as the subset of 20 fixtures that were both DLC-listed and available with </w:t>
      </w:r>
      <w:r w:rsidR="00205B34">
        <w:rPr>
          <w:rFonts w:ascii="Arial" w:hAnsi="Arial" w:cs="Arial"/>
          <w:sz w:val="20"/>
          <w:szCs w:val="20"/>
        </w:rPr>
        <w:t xml:space="preserve">lumen maintenance values for the </w:t>
      </w:r>
      <w:r>
        <w:rPr>
          <w:rFonts w:ascii="Arial" w:hAnsi="Arial" w:cs="Arial"/>
          <w:sz w:val="20"/>
          <w:szCs w:val="20"/>
        </w:rPr>
        <w:t>25,000-hour</w:t>
      </w:r>
      <w:r w:rsidR="00205B34">
        <w:rPr>
          <w:rFonts w:ascii="Arial" w:hAnsi="Arial" w:cs="Arial"/>
          <w:sz w:val="20"/>
          <w:szCs w:val="20"/>
        </w:rPr>
        <w:t xml:space="preserve"> mark, the mid-point of the 50,000 DLC specification minimum</w:t>
      </w:r>
      <w:r>
        <w:rPr>
          <w:rFonts w:ascii="Arial" w:hAnsi="Arial" w:cs="Arial"/>
          <w:sz w:val="20"/>
          <w:szCs w:val="20"/>
        </w:rPr>
        <w:t>. The full dataset is provided in the calculations file for this workpaper. Analysis of both the full set and subset, in accordance with the LED lumen output extrapolation formula published in Federal rulemaking,</w:t>
      </w:r>
      <w:r>
        <w:rPr>
          <w:rStyle w:val="EndnoteReference"/>
          <w:rFonts w:ascii="Arial" w:hAnsi="Arial" w:cs="Arial"/>
          <w:sz w:val="20"/>
          <w:szCs w:val="20"/>
        </w:rPr>
        <w:endnoteReference w:id="13"/>
      </w:r>
      <w:r>
        <w:rPr>
          <w:rFonts w:ascii="Arial" w:hAnsi="Arial" w:cs="Arial"/>
          <w:sz w:val="20"/>
          <w:szCs w:val="20"/>
        </w:rPr>
        <w:t xml:space="preserve"> suggests LED fixture lumen maintenance at EUL of 8</w:t>
      </w:r>
      <w:r w:rsidR="00BB19E5">
        <w:rPr>
          <w:rFonts w:ascii="Arial" w:hAnsi="Arial" w:cs="Arial"/>
          <w:sz w:val="20"/>
          <w:szCs w:val="20"/>
        </w:rPr>
        <w:t>9</w:t>
      </w:r>
      <w:r>
        <w:rPr>
          <w:rFonts w:ascii="Arial" w:hAnsi="Arial" w:cs="Arial"/>
          <w:sz w:val="20"/>
          <w:szCs w:val="20"/>
        </w:rPr>
        <w:t>.</w:t>
      </w:r>
      <w:r w:rsidR="00BB19E5">
        <w:rPr>
          <w:rFonts w:ascii="Arial" w:hAnsi="Arial" w:cs="Arial"/>
          <w:sz w:val="20"/>
          <w:szCs w:val="20"/>
        </w:rPr>
        <w:t>6</w:t>
      </w:r>
      <w:r>
        <w:rPr>
          <w:rFonts w:ascii="Arial" w:hAnsi="Arial" w:cs="Arial"/>
          <w:sz w:val="20"/>
          <w:szCs w:val="20"/>
        </w:rPr>
        <w:t xml:space="preserve">% for the blended Commercial building type with </w:t>
      </w:r>
      <w:r w:rsidR="00D52446">
        <w:rPr>
          <w:rFonts w:ascii="Arial" w:hAnsi="Arial" w:cs="Arial"/>
          <w:sz w:val="20"/>
          <w:szCs w:val="20"/>
        </w:rPr>
        <w:t>2420</w:t>
      </w:r>
      <w:r>
        <w:rPr>
          <w:rFonts w:ascii="Arial" w:hAnsi="Arial" w:cs="Arial"/>
          <w:sz w:val="20"/>
          <w:szCs w:val="20"/>
        </w:rPr>
        <w:t xml:space="preserve"> DEER </w:t>
      </w:r>
      <w:r w:rsidR="00205B34">
        <w:rPr>
          <w:rFonts w:ascii="Arial" w:hAnsi="Arial" w:cs="Arial"/>
          <w:sz w:val="20"/>
          <w:szCs w:val="20"/>
        </w:rPr>
        <w:t xml:space="preserve">Measure </w:t>
      </w:r>
      <w:r>
        <w:rPr>
          <w:rFonts w:ascii="Arial" w:hAnsi="Arial" w:cs="Arial"/>
          <w:sz w:val="20"/>
          <w:szCs w:val="20"/>
        </w:rPr>
        <w:t>hours per year for</w:t>
      </w:r>
      <w:r w:rsidR="00205B34">
        <w:rPr>
          <w:rFonts w:ascii="Arial" w:hAnsi="Arial" w:cs="Arial"/>
          <w:sz w:val="20"/>
          <w:szCs w:val="20"/>
        </w:rPr>
        <w:t xml:space="preserve"> </w:t>
      </w:r>
      <w:r w:rsidR="00C87EF3">
        <w:rPr>
          <w:rFonts w:ascii="Arial" w:hAnsi="Arial" w:cs="Arial"/>
          <w:sz w:val="20"/>
          <w:szCs w:val="20"/>
        </w:rPr>
        <w:t>16</w:t>
      </w:r>
      <w:r w:rsidR="00205B34">
        <w:rPr>
          <w:rFonts w:ascii="Arial" w:hAnsi="Arial" w:cs="Arial"/>
          <w:sz w:val="20"/>
          <w:szCs w:val="20"/>
        </w:rPr>
        <w:t xml:space="preserve"> years, based on the following calculation:</w:t>
      </w:r>
    </w:p>
    <w:p w14:paraId="5EB8A3D4" w14:textId="77777777" w:rsidR="00205B34" w:rsidRDefault="00205B34" w:rsidP="004A5BE3">
      <w:pPr>
        <w:rPr>
          <w:rFonts w:ascii="Arial" w:hAnsi="Arial" w:cs="Arial"/>
          <w:sz w:val="20"/>
          <w:szCs w:val="20"/>
        </w:rPr>
      </w:pPr>
    </w:p>
    <w:p w14:paraId="5EB8A3D5" w14:textId="77777777" w:rsidR="00FE34BD" w:rsidRDefault="00205B34" w:rsidP="004A5BE3">
      <w:pPr>
        <w:rPr>
          <w:rFonts w:ascii="Arial" w:hAnsi="Arial" w:cs="Arial"/>
          <w:sz w:val="20"/>
          <w:szCs w:val="20"/>
        </w:rPr>
      </w:pPr>
      <w:r>
        <w:rPr>
          <w:rFonts w:ascii="Arial" w:hAnsi="Arial" w:cs="Arial"/>
          <w:sz w:val="20"/>
          <w:szCs w:val="20"/>
        </w:rPr>
        <w:tab/>
      </w:r>
      <w:r w:rsidR="004A5BE3">
        <w:rPr>
          <w:rFonts w:ascii="Arial" w:hAnsi="Arial" w:cs="Arial"/>
          <w:sz w:val="20"/>
          <w:szCs w:val="20"/>
        </w:rPr>
        <w:t xml:space="preserve"> </w:t>
      </w:r>
      <w:r w:rsidR="007E233C">
        <w:rPr>
          <w:rFonts w:ascii="Arial" w:hAnsi="Arial" w:cs="Arial"/>
          <w:sz w:val="20"/>
          <w:szCs w:val="20"/>
        </w:rPr>
        <w:t>C</w:t>
      </w:r>
      <w:r w:rsidR="00EE7FB1">
        <w:rPr>
          <w:rFonts w:ascii="Arial" w:hAnsi="Arial" w:cs="Arial"/>
          <w:sz w:val="20"/>
          <w:szCs w:val="20"/>
        </w:rPr>
        <w:t>om</w:t>
      </w:r>
      <w:r w:rsidR="007E233C">
        <w:rPr>
          <w:rFonts w:ascii="Arial" w:hAnsi="Arial" w:cs="Arial"/>
          <w:sz w:val="20"/>
          <w:szCs w:val="20"/>
        </w:rPr>
        <w:t xml:space="preserve"> </w:t>
      </w:r>
      <w:r>
        <w:rPr>
          <w:rFonts w:ascii="Arial" w:hAnsi="Arial" w:cs="Arial"/>
          <w:sz w:val="20"/>
          <w:szCs w:val="20"/>
        </w:rPr>
        <w:t>EUL hours per DEER</w:t>
      </w:r>
      <w:r>
        <w:rPr>
          <w:rFonts w:ascii="Arial" w:hAnsi="Arial" w:cs="Arial"/>
          <w:sz w:val="20"/>
          <w:szCs w:val="20"/>
        </w:rPr>
        <w:tab/>
        <w:t xml:space="preserve">= DEER Annual Measure </w:t>
      </w:r>
      <w:proofErr w:type="spellStart"/>
      <w:proofErr w:type="gramStart"/>
      <w:r>
        <w:rPr>
          <w:rFonts w:ascii="Arial" w:hAnsi="Arial" w:cs="Arial"/>
          <w:sz w:val="20"/>
          <w:szCs w:val="20"/>
        </w:rPr>
        <w:t>HOU</w:t>
      </w:r>
      <w:r w:rsidRPr="00EE7FB1">
        <w:rPr>
          <w:rFonts w:ascii="Arial" w:hAnsi="Arial" w:cs="Arial"/>
          <w:sz w:val="20"/>
          <w:szCs w:val="20"/>
          <w:vertAlign w:val="subscript"/>
        </w:rPr>
        <w:t>std</w:t>
      </w:r>
      <w:proofErr w:type="spellEnd"/>
      <w:r>
        <w:rPr>
          <w:rFonts w:ascii="Arial" w:hAnsi="Arial" w:cs="Arial"/>
          <w:sz w:val="20"/>
          <w:szCs w:val="20"/>
        </w:rPr>
        <w:t xml:space="preserve">  ͯ</w:t>
      </w:r>
      <w:proofErr w:type="gramEnd"/>
      <w:r>
        <w:rPr>
          <w:rFonts w:ascii="Arial" w:hAnsi="Arial" w:cs="Arial"/>
          <w:sz w:val="20"/>
          <w:szCs w:val="20"/>
        </w:rPr>
        <w:t xml:space="preserve">  EUL fixture maximum</w:t>
      </w:r>
    </w:p>
    <w:p w14:paraId="5EB8A3D6" w14:textId="77777777" w:rsidR="00205B34" w:rsidRDefault="00205B34" w:rsidP="004A5BE3">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E233C">
        <w:rPr>
          <w:rFonts w:ascii="Arial" w:hAnsi="Arial" w:cs="Arial"/>
          <w:sz w:val="20"/>
          <w:szCs w:val="20"/>
        </w:rPr>
        <w:tab/>
      </w:r>
      <w:r w:rsidR="00C87EF3">
        <w:rPr>
          <w:rFonts w:ascii="Arial" w:hAnsi="Arial" w:cs="Arial"/>
          <w:sz w:val="20"/>
          <w:szCs w:val="20"/>
        </w:rPr>
        <w:t xml:space="preserve">= </w:t>
      </w:r>
      <w:r w:rsidR="00D52446">
        <w:rPr>
          <w:rFonts w:ascii="Arial" w:hAnsi="Arial" w:cs="Arial"/>
          <w:sz w:val="20"/>
          <w:szCs w:val="20"/>
        </w:rPr>
        <w:t>2420</w:t>
      </w:r>
      <w:r w:rsidR="00C87EF3">
        <w:rPr>
          <w:rFonts w:ascii="Arial" w:hAnsi="Arial" w:cs="Arial"/>
          <w:sz w:val="20"/>
          <w:szCs w:val="20"/>
        </w:rPr>
        <w:t xml:space="preserve"> hours/</w:t>
      </w:r>
      <w:proofErr w:type="gramStart"/>
      <w:r w:rsidR="00C87EF3">
        <w:rPr>
          <w:rFonts w:ascii="Arial" w:hAnsi="Arial" w:cs="Arial"/>
          <w:sz w:val="20"/>
          <w:szCs w:val="20"/>
        </w:rPr>
        <w:t>year  ͯ</w:t>
      </w:r>
      <w:proofErr w:type="gramEnd"/>
      <w:r w:rsidR="00C87EF3">
        <w:rPr>
          <w:rFonts w:ascii="Arial" w:hAnsi="Arial" w:cs="Arial"/>
          <w:sz w:val="20"/>
          <w:szCs w:val="20"/>
        </w:rPr>
        <w:t xml:space="preserve">  16</w:t>
      </w:r>
      <w:r>
        <w:rPr>
          <w:rFonts w:ascii="Arial" w:hAnsi="Arial" w:cs="Arial"/>
          <w:sz w:val="20"/>
          <w:szCs w:val="20"/>
        </w:rPr>
        <w:t xml:space="preserve"> year maximum EUL</w:t>
      </w:r>
      <w:r w:rsidR="00C71263">
        <w:rPr>
          <w:rFonts w:ascii="Arial" w:hAnsi="Arial" w:cs="Arial"/>
          <w:sz w:val="20"/>
          <w:szCs w:val="20"/>
        </w:rPr>
        <w:t xml:space="preserve"> </w:t>
      </w:r>
    </w:p>
    <w:p w14:paraId="5EB8A3D7" w14:textId="77777777" w:rsidR="00C87EF3" w:rsidRDefault="007E233C" w:rsidP="004A5BE3">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D52446">
        <w:rPr>
          <w:rFonts w:ascii="Arial" w:hAnsi="Arial" w:cs="Arial"/>
          <w:sz w:val="20"/>
          <w:szCs w:val="20"/>
        </w:rPr>
        <w:t>38720</w:t>
      </w:r>
      <w:r>
        <w:rPr>
          <w:rFonts w:ascii="Arial" w:hAnsi="Arial" w:cs="Arial"/>
          <w:sz w:val="20"/>
          <w:szCs w:val="20"/>
        </w:rPr>
        <w:t xml:space="preserve"> hours</w:t>
      </w:r>
      <w:r w:rsidR="00C71263">
        <w:rPr>
          <w:rFonts w:ascii="Arial" w:hAnsi="Arial" w:cs="Arial"/>
          <w:sz w:val="20"/>
          <w:szCs w:val="20"/>
        </w:rPr>
        <w:t xml:space="preserve"> </w:t>
      </w:r>
    </w:p>
    <w:p w14:paraId="5EB8A3D8" w14:textId="77777777" w:rsidR="00C71263" w:rsidRDefault="00C87EF3" w:rsidP="00C87EF3">
      <w:pPr>
        <w:ind w:left="1440" w:firstLine="720"/>
        <w:rPr>
          <w:rFonts w:ascii="Arial" w:hAnsi="Arial" w:cs="Arial"/>
          <w:sz w:val="20"/>
          <w:szCs w:val="20"/>
        </w:rPr>
      </w:pPr>
      <w:r>
        <w:rPr>
          <w:rFonts w:ascii="Arial" w:hAnsi="Arial" w:cs="Arial"/>
          <w:sz w:val="20"/>
          <w:szCs w:val="20"/>
        </w:rPr>
        <w:t>This is less</w:t>
      </w:r>
      <w:r w:rsidR="00C71263">
        <w:rPr>
          <w:rFonts w:ascii="Arial" w:hAnsi="Arial" w:cs="Arial"/>
          <w:sz w:val="20"/>
          <w:szCs w:val="20"/>
        </w:rPr>
        <w:t xml:space="preserve"> than 50,000</w:t>
      </w:r>
      <w:r>
        <w:rPr>
          <w:rFonts w:ascii="Arial" w:hAnsi="Arial" w:cs="Arial"/>
          <w:sz w:val="20"/>
          <w:szCs w:val="20"/>
        </w:rPr>
        <w:t xml:space="preserve">, so </w:t>
      </w:r>
      <w:r w:rsidR="00D52446">
        <w:rPr>
          <w:rFonts w:ascii="Arial" w:hAnsi="Arial" w:cs="Arial"/>
          <w:sz w:val="20"/>
          <w:szCs w:val="20"/>
        </w:rPr>
        <w:t>38720</w:t>
      </w:r>
      <w:r w:rsidR="00C71263">
        <w:rPr>
          <w:rFonts w:ascii="Arial" w:hAnsi="Arial" w:cs="Arial"/>
          <w:sz w:val="20"/>
          <w:szCs w:val="20"/>
        </w:rPr>
        <w:t xml:space="preserve"> hour EUL is used for Com building type</w:t>
      </w:r>
    </w:p>
    <w:p w14:paraId="5EB8A3D9" w14:textId="77777777" w:rsidR="004A5BE3" w:rsidRDefault="004A5BE3" w:rsidP="004A5BE3">
      <w:pPr>
        <w:rPr>
          <w:rFonts w:ascii="Arial" w:hAnsi="Arial" w:cs="Arial"/>
          <w:sz w:val="20"/>
          <w:szCs w:val="20"/>
        </w:rPr>
      </w:pPr>
    </w:p>
    <w:p w14:paraId="5EB8A3DA" w14:textId="77777777" w:rsidR="004A5BE3" w:rsidRDefault="004A5BE3" w:rsidP="004A5BE3">
      <w:pPr>
        <w:rPr>
          <w:rFonts w:ascii="Arial" w:hAnsi="Arial" w:cs="Arial"/>
          <w:sz w:val="20"/>
          <w:szCs w:val="20"/>
        </w:rPr>
      </w:pPr>
      <w:r>
        <w:rPr>
          <w:rFonts w:ascii="Arial" w:hAnsi="Arial" w:cs="Arial"/>
          <w:sz w:val="20"/>
          <w:szCs w:val="20"/>
        </w:rPr>
        <w:t>LED lumen maintenance varies by building type due to differing DEER run hou</w:t>
      </w:r>
      <w:r w:rsidR="005454DC">
        <w:rPr>
          <w:rFonts w:ascii="Arial" w:hAnsi="Arial" w:cs="Arial"/>
          <w:sz w:val="20"/>
          <w:szCs w:val="20"/>
        </w:rPr>
        <w:t>rs. Motel annual run hours of 10</w:t>
      </w:r>
      <w:r w:rsidR="00747C2C">
        <w:rPr>
          <w:rFonts w:ascii="Arial" w:hAnsi="Arial" w:cs="Arial"/>
          <w:sz w:val="20"/>
          <w:szCs w:val="20"/>
        </w:rPr>
        <w:t>00</w:t>
      </w:r>
      <w:r>
        <w:rPr>
          <w:rFonts w:ascii="Arial" w:hAnsi="Arial" w:cs="Arial"/>
          <w:sz w:val="20"/>
          <w:szCs w:val="20"/>
        </w:rPr>
        <w:t xml:space="preserve"> result in </w:t>
      </w:r>
      <w:r w:rsidR="005454DC">
        <w:rPr>
          <w:rFonts w:ascii="Arial" w:hAnsi="Arial" w:cs="Arial"/>
          <w:sz w:val="20"/>
          <w:szCs w:val="20"/>
        </w:rPr>
        <w:t>16</w:t>
      </w:r>
      <w:r>
        <w:rPr>
          <w:rFonts w:ascii="Arial" w:hAnsi="Arial" w:cs="Arial"/>
          <w:sz w:val="20"/>
          <w:szCs w:val="20"/>
        </w:rPr>
        <w:t>,</w:t>
      </w:r>
      <w:r w:rsidR="00747C2C">
        <w:rPr>
          <w:rFonts w:ascii="Arial" w:hAnsi="Arial" w:cs="Arial"/>
          <w:sz w:val="20"/>
          <w:szCs w:val="20"/>
        </w:rPr>
        <w:t>00</w:t>
      </w:r>
      <w:r>
        <w:rPr>
          <w:rFonts w:ascii="Arial" w:hAnsi="Arial" w:cs="Arial"/>
          <w:sz w:val="20"/>
          <w:szCs w:val="20"/>
        </w:rPr>
        <w:t xml:space="preserve">0 run hours over </w:t>
      </w:r>
      <w:r w:rsidR="00C87EF3">
        <w:rPr>
          <w:rFonts w:ascii="Arial" w:hAnsi="Arial" w:cs="Arial"/>
          <w:sz w:val="20"/>
          <w:szCs w:val="20"/>
        </w:rPr>
        <w:t>16</w:t>
      </w:r>
      <w:r>
        <w:rPr>
          <w:rFonts w:ascii="Arial" w:hAnsi="Arial" w:cs="Arial"/>
          <w:sz w:val="20"/>
          <w:szCs w:val="20"/>
        </w:rPr>
        <w:t xml:space="preserve"> year </w:t>
      </w:r>
      <w:r w:rsidR="005454DC">
        <w:rPr>
          <w:rFonts w:ascii="Arial" w:hAnsi="Arial" w:cs="Arial"/>
          <w:sz w:val="20"/>
          <w:szCs w:val="20"/>
        </w:rPr>
        <w:t>EUL</w:t>
      </w:r>
      <w:r>
        <w:rPr>
          <w:rFonts w:ascii="Arial" w:hAnsi="Arial" w:cs="Arial"/>
          <w:sz w:val="20"/>
          <w:szCs w:val="20"/>
        </w:rPr>
        <w:t xml:space="preserve"> and thus 9</w:t>
      </w:r>
      <w:r w:rsidR="005454DC">
        <w:rPr>
          <w:rFonts w:ascii="Arial" w:hAnsi="Arial" w:cs="Arial"/>
          <w:sz w:val="20"/>
          <w:szCs w:val="20"/>
        </w:rPr>
        <w:t>5</w:t>
      </w:r>
      <w:r w:rsidR="00F36736">
        <w:rPr>
          <w:rFonts w:ascii="Arial" w:hAnsi="Arial" w:cs="Arial"/>
          <w:sz w:val="20"/>
          <w:szCs w:val="20"/>
        </w:rPr>
        <w:t>.</w:t>
      </w:r>
      <w:r w:rsidR="005454DC">
        <w:rPr>
          <w:rFonts w:ascii="Arial" w:hAnsi="Arial" w:cs="Arial"/>
          <w:sz w:val="20"/>
          <w:szCs w:val="20"/>
        </w:rPr>
        <w:t>5</w:t>
      </w:r>
      <w:r>
        <w:rPr>
          <w:rFonts w:ascii="Arial" w:hAnsi="Arial" w:cs="Arial"/>
          <w:sz w:val="20"/>
          <w:szCs w:val="20"/>
        </w:rPr>
        <w:t xml:space="preserve">% lumen maintenance. DEER annual run hours in </w:t>
      </w:r>
      <w:r w:rsidR="00C71263">
        <w:rPr>
          <w:rFonts w:ascii="Arial" w:hAnsi="Arial" w:cs="Arial"/>
          <w:sz w:val="20"/>
          <w:szCs w:val="20"/>
        </w:rPr>
        <w:t xml:space="preserve">half of the DEER building types, including </w:t>
      </w:r>
      <w:r>
        <w:rPr>
          <w:rFonts w:ascii="Arial" w:hAnsi="Arial" w:cs="Arial"/>
          <w:sz w:val="20"/>
          <w:szCs w:val="20"/>
        </w:rPr>
        <w:t>the Large Retail, Resta</w:t>
      </w:r>
      <w:r w:rsidR="00C71263">
        <w:rPr>
          <w:rFonts w:ascii="Arial" w:hAnsi="Arial" w:cs="Arial"/>
          <w:sz w:val="20"/>
          <w:szCs w:val="20"/>
        </w:rPr>
        <w:t xml:space="preserve">urant and Grocery, over </w:t>
      </w:r>
      <w:r w:rsidR="00C87EF3">
        <w:rPr>
          <w:rFonts w:ascii="Arial" w:hAnsi="Arial" w:cs="Arial"/>
          <w:sz w:val="20"/>
          <w:szCs w:val="20"/>
        </w:rPr>
        <w:t>16</w:t>
      </w:r>
      <w:r>
        <w:rPr>
          <w:rFonts w:ascii="Arial" w:hAnsi="Arial" w:cs="Arial"/>
          <w:sz w:val="20"/>
          <w:szCs w:val="20"/>
        </w:rPr>
        <w:t xml:space="preserve"> years will exceed 50,000 hours, so the 50,000 DLC-minimum rated life fix</w:t>
      </w:r>
      <w:r w:rsidR="00BB19E5">
        <w:rPr>
          <w:rFonts w:ascii="Arial" w:hAnsi="Arial" w:cs="Arial"/>
          <w:sz w:val="20"/>
          <w:szCs w:val="20"/>
        </w:rPr>
        <w:t>ture is used, along with an 89.6</w:t>
      </w:r>
      <w:r>
        <w:rPr>
          <w:rFonts w:ascii="Arial" w:hAnsi="Arial" w:cs="Arial"/>
          <w:sz w:val="20"/>
          <w:szCs w:val="20"/>
        </w:rPr>
        <w:t>% lumen maintenance figure.</w:t>
      </w:r>
      <w:r w:rsidR="007E233C">
        <w:rPr>
          <w:rFonts w:ascii="Arial" w:hAnsi="Arial" w:cs="Arial"/>
          <w:sz w:val="20"/>
          <w:szCs w:val="20"/>
        </w:rPr>
        <w:t xml:space="preserve"> The calculation, based on the Federal extrapolation formula, is </w:t>
      </w:r>
      <w:r w:rsidR="000361B6">
        <w:rPr>
          <w:rFonts w:ascii="Arial" w:hAnsi="Arial" w:cs="Arial"/>
          <w:sz w:val="20"/>
          <w:szCs w:val="20"/>
        </w:rPr>
        <w:t xml:space="preserve">taken across all 20 DLC-listed fixtures with 25,000-hour Lighting Facts data available, </w:t>
      </w:r>
      <w:r w:rsidR="007E233C">
        <w:rPr>
          <w:rFonts w:ascii="Arial" w:hAnsi="Arial" w:cs="Arial"/>
          <w:sz w:val="20"/>
          <w:szCs w:val="20"/>
        </w:rPr>
        <w:t>as follows:</w:t>
      </w:r>
    </w:p>
    <w:p w14:paraId="5EB8A3DB" w14:textId="77777777" w:rsidR="007E233C" w:rsidRDefault="007E233C" w:rsidP="004A5BE3">
      <w:pPr>
        <w:rPr>
          <w:rFonts w:ascii="Arial" w:hAnsi="Arial" w:cs="Arial"/>
          <w:sz w:val="20"/>
          <w:szCs w:val="20"/>
        </w:rPr>
      </w:pPr>
    </w:p>
    <w:p w14:paraId="5EB8A3DC" w14:textId="77777777" w:rsidR="000361B6" w:rsidRDefault="007E233C" w:rsidP="004A5BE3">
      <w:pPr>
        <w:rPr>
          <w:rFonts w:ascii="Arial" w:hAnsi="Arial" w:cs="Arial"/>
          <w:sz w:val="20"/>
          <w:szCs w:val="20"/>
        </w:rPr>
      </w:pPr>
      <w:r>
        <w:rPr>
          <w:rFonts w:ascii="Arial" w:hAnsi="Arial" w:cs="Arial"/>
          <w:sz w:val="20"/>
          <w:szCs w:val="20"/>
        </w:rPr>
        <w:t>Lumen Main</w:t>
      </w:r>
      <w:r w:rsidR="00EE7FB1">
        <w:rPr>
          <w:rFonts w:ascii="Arial" w:hAnsi="Arial" w:cs="Arial"/>
          <w:sz w:val="20"/>
          <w:szCs w:val="20"/>
        </w:rPr>
        <w:t>tenance at Com</w:t>
      </w:r>
      <w:r>
        <w:rPr>
          <w:rFonts w:ascii="Arial" w:hAnsi="Arial" w:cs="Arial"/>
          <w:sz w:val="20"/>
          <w:szCs w:val="20"/>
        </w:rPr>
        <w:t xml:space="preserve"> EUL =</w:t>
      </w:r>
      <m:oMath>
        <m:r>
          <m:rPr>
            <m:sty m:val="p"/>
          </m:rPr>
          <w:rPr>
            <w:rFonts w:ascii="Cambria Math" w:hAnsi="Cambria Math" w:cs="Arial"/>
            <w:sz w:val="20"/>
            <w:szCs w:val="20"/>
          </w:rPr>
          <w:br/>
        </m:r>
      </m:oMath>
      <m:oMathPara>
        <m:oMath>
          <m:sSup>
            <m:sSupPr>
              <m:ctrlPr>
                <w:rPr>
                  <w:rFonts w:ascii="Cambria Math" w:hAnsi="Cambria Math" w:cs="Arial"/>
                  <w:i/>
                  <w:sz w:val="20"/>
                  <w:szCs w:val="20"/>
                </w:rPr>
              </m:ctrlPr>
            </m:sSupPr>
            <m:e>
              <m:r>
                <w:rPr>
                  <w:rFonts w:ascii="Cambria Math" w:hAnsi="Cambria Math" w:cs="Arial"/>
                  <w:sz w:val="20"/>
                  <w:szCs w:val="20"/>
                </w:rPr>
                <m:t>e</m:t>
              </m:r>
            </m:e>
            <m:sup>
              <m:r>
                <w:rPr>
                  <w:rFonts w:ascii="Cambria Math" w:hAnsi="Cambria Math" w:cs="Arial"/>
                  <w:sz w:val="20"/>
                  <w:szCs w:val="20"/>
                </w:rPr>
                <m:t>ComEUL hours×</m:t>
              </m:r>
              <m:func>
                <m:funcPr>
                  <m:ctrlPr>
                    <w:rPr>
                      <w:rFonts w:ascii="Cambria Math" w:hAnsi="Cambria Math" w:cs="Arial"/>
                      <w:i/>
                      <w:sz w:val="20"/>
                      <w:szCs w:val="20"/>
                    </w:rPr>
                  </m:ctrlPr>
                </m:funcPr>
                <m:fName>
                  <m:r>
                    <m:rPr>
                      <m:sty m:val="p"/>
                    </m:rPr>
                    <w:rPr>
                      <w:rFonts w:ascii="Cambria Math" w:hAnsi="Cambria Math" w:cs="Arial"/>
                      <w:sz w:val="20"/>
                      <w:szCs w:val="20"/>
                    </w:rPr>
                    <m:t>ln</m:t>
                  </m:r>
                </m:fName>
                <m:e>
                  <m:r>
                    <w:rPr>
                      <w:rFonts w:ascii="Cambria Math" w:hAnsi="Cambria Math" w:cs="Arial"/>
                      <w:sz w:val="20"/>
                      <w:szCs w:val="20"/>
                    </w:rPr>
                    <m:t xml:space="preserve">Lumen Maintenance % @ 25,000 </m:t>
                  </m:r>
                  <m:r>
                    <w:rPr>
                      <w:rFonts w:ascii="Cambria Math" w:hAnsi="Cambria Math" w:cs="Arial"/>
                      <w:sz w:val="20"/>
                      <w:szCs w:val="20"/>
                    </w:rPr>
                    <m:t>hours</m:t>
                  </m:r>
                </m:e>
              </m:func>
              <m:r>
                <w:rPr>
                  <w:rFonts w:ascii="Cambria Math" w:hAnsi="Cambria Math" w:cs="Arial"/>
                  <w:sz w:val="20"/>
                  <w:szCs w:val="20"/>
                </w:rPr>
                <m:t xml:space="preserve">÷25,000 </m:t>
              </m:r>
              <m:r>
                <w:rPr>
                  <w:rFonts w:ascii="Cambria Math" w:hAnsi="Cambria Math" w:cs="Arial"/>
                  <w:sz w:val="20"/>
                  <w:szCs w:val="20"/>
                </w:rPr>
                <m:t xml:space="preserve">hours </m:t>
              </m:r>
            </m:sup>
          </m:sSup>
        </m:oMath>
      </m:oMathPara>
    </w:p>
    <w:p w14:paraId="5EB8A3DD" w14:textId="77777777" w:rsidR="000361B6" w:rsidRPr="000361B6" w:rsidRDefault="000361B6" w:rsidP="000361B6">
      <w:pPr>
        <w:ind w:left="2160"/>
        <w:rPr>
          <w:rFonts w:ascii="Arial" w:hAnsi="Arial" w:cs="Arial"/>
          <w:sz w:val="20"/>
          <w:szCs w:val="20"/>
        </w:rPr>
      </w:pPr>
      <w:r>
        <w:rPr>
          <w:rFonts w:ascii="Arial" w:hAnsi="Arial" w:cs="Arial"/>
          <w:sz w:val="20"/>
          <w:szCs w:val="20"/>
        </w:rPr>
        <w:t>=</w:t>
      </w:r>
      <m:oMath>
        <m:sSup>
          <m:sSupPr>
            <m:ctrlPr>
              <w:rPr>
                <w:rFonts w:ascii="Cambria Math" w:hAnsi="Cambria Math" w:cs="Arial"/>
                <w:i/>
                <w:sz w:val="20"/>
                <w:szCs w:val="20"/>
              </w:rPr>
            </m:ctrlPr>
          </m:sSupPr>
          <m:e>
            <m:r>
              <w:rPr>
                <w:rFonts w:ascii="Cambria Math" w:hAnsi="Cambria Math" w:cs="Arial"/>
                <w:sz w:val="20"/>
                <w:szCs w:val="20"/>
              </w:rPr>
              <m:t>e</m:t>
            </m:r>
          </m:e>
          <m:sup>
            <m:r>
              <w:rPr>
                <w:rFonts w:ascii="Cambria Math" w:hAnsi="Cambria Math" w:cs="Arial"/>
                <w:sz w:val="20"/>
                <w:szCs w:val="20"/>
              </w:rPr>
              <m:t>38,720×</m:t>
            </m:r>
            <m:func>
              <m:funcPr>
                <m:ctrlPr>
                  <w:rPr>
                    <w:rFonts w:ascii="Cambria Math" w:hAnsi="Cambria Math" w:cs="Arial"/>
                    <w:i/>
                    <w:sz w:val="20"/>
                    <w:szCs w:val="20"/>
                  </w:rPr>
                </m:ctrlPr>
              </m:funcPr>
              <m:fName>
                <m:r>
                  <m:rPr>
                    <m:sty m:val="p"/>
                  </m:rPr>
                  <w:rPr>
                    <w:rFonts w:ascii="Cambria Math" w:hAnsi="Cambria Math" w:cs="Arial"/>
                    <w:sz w:val="20"/>
                    <w:szCs w:val="20"/>
                  </w:rPr>
                  <m:t>ln</m:t>
                </m:r>
              </m:fName>
              <m:e>
                <m:r>
                  <w:rPr>
                    <w:rFonts w:ascii="Cambria Math" w:hAnsi="Cambria Math" w:cs="Arial"/>
                    <w:sz w:val="20"/>
                    <w:szCs w:val="20"/>
                  </w:rPr>
                  <m:t xml:space="preserve">93.12 </m:t>
                </m:r>
              </m:e>
            </m:func>
            <m:r>
              <w:rPr>
                <w:rFonts w:ascii="Cambria Math" w:hAnsi="Cambria Math" w:cs="Arial"/>
                <w:sz w:val="20"/>
                <w:szCs w:val="20"/>
              </w:rPr>
              <m:t>÷25,000</m:t>
            </m:r>
          </m:sup>
        </m:sSup>
      </m:oMath>
    </w:p>
    <w:p w14:paraId="5EB8A3E3" w14:textId="78CAEB12" w:rsidR="00D52446" w:rsidRPr="00D52446" w:rsidRDefault="00BB19E5" w:rsidP="00DE02D4">
      <w:pPr>
        <w:ind w:left="2160"/>
      </w:pPr>
      <w:r>
        <w:rPr>
          <w:rFonts w:ascii="Arial" w:hAnsi="Arial" w:cs="Arial"/>
          <w:sz w:val="20"/>
          <w:szCs w:val="20"/>
        </w:rPr>
        <w:t>=89</w:t>
      </w:r>
      <w:r w:rsidR="000361B6">
        <w:rPr>
          <w:rFonts w:ascii="Arial" w:hAnsi="Arial" w:cs="Arial"/>
          <w:sz w:val="20"/>
          <w:szCs w:val="20"/>
        </w:rPr>
        <w:t>.</w:t>
      </w:r>
      <w:r>
        <w:rPr>
          <w:rFonts w:ascii="Arial" w:hAnsi="Arial" w:cs="Arial"/>
          <w:sz w:val="20"/>
          <w:szCs w:val="20"/>
        </w:rPr>
        <w:t>6</w:t>
      </w:r>
      <w:r w:rsidR="000361B6">
        <w:rPr>
          <w:rFonts w:ascii="Arial" w:hAnsi="Arial" w:cs="Arial"/>
          <w:sz w:val="20"/>
          <w:szCs w:val="20"/>
        </w:rPr>
        <w:t>% lumen maintenance</w:t>
      </w:r>
    </w:p>
    <w:p w14:paraId="5EB8A3E4" w14:textId="77777777" w:rsidR="00C069A2" w:rsidRDefault="00CF3FF0" w:rsidP="00D211F3">
      <w:pPr>
        <w:pStyle w:val="Heading1"/>
      </w:pPr>
      <w:bookmarkStart w:id="33" w:name="_Toc468797909"/>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33"/>
    </w:p>
    <w:p w14:paraId="5EB8A3E5" w14:textId="77777777" w:rsidR="008832FA" w:rsidRDefault="007C1DEB" w:rsidP="001A3026">
      <w:pPr>
        <w:rPr>
          <w:rFonts w:ascii="Arial" w:hAnsi="Arial" w:cs="Arial"/>
          <w:sz w:val="20"/>
          <w:szCs w:val="20"/>
        </w:rPr>
      </w:pPr>
      <w:r>
        <w:rPr>
          <w:rFonts w:ascii="Arial" w:hAnsi="Arial" w:cs="Arial"/>
          <w:sz w:val="20"/>
          <w:szCs w:val="20"/>
        </w:rPr>
        <w:t xml:space="preserve">This workpaper </w:t>
      </w:r>
      <w:r w:rsidR="00FE34BD">
        <w:rPr>
          <w:rFonts w:ascii="Arial" w:hAnsi="Arial" w:cs="Arial"/>
          <w:sz w:val="20"/>
          <w:szCs w:val="20"/>
        </w:rPr>
        <w:t xml:space="preserve">does not group </w:t>
      </w:r>
      <w:r>
        <w:rPr>
          <w:rFonts w:ascii="Arial" w:hAnsi="Arial" w:cs="Arial"/>
          <w:sz w:val="20"/>
          <w:szCs w:val="20"/>
        </w:rPr>
        <w:t>base and measure case</w:t>
      </w:r>
      <w:r w:rsidR="00FE34BD">
        <w:rPr>
          <w:rFonts w:ascii="Arial" w:hAnsi="Arial" w:cs="Arial"/>
          <w:sz w:val="20"/>
          <w:szCs w:val="20"/>
        </w:rPr>
        <w:t xml:space="preserve"> fixtures by</w:t>
      </w:r>
      <w:r>
        <w:rPr>
          <w:rFonts w:ascii="Arial" w:hAnsi="Arial" w:cs="Arial"/>
          <w:sz w:val="20"/>
          <w:szCs w:val="20"/>
        </w:rPr>
        <w:t xml:space="preserve"> wattages.</w:t>
      </w:r>
      <w:r w:rsidR="00322FB9">
        <w:rPr>
          <w:rFonts w:ascii="Arial" w:hAnsi="Arial" w:cs="Arial"/>
          <w:sz w:val="20"/>
          <w:szCs w:val="20"/>
        </w:rPr>
        <w:t xml:space="preserve"> The base case </w:t>
      </w:r>
      <w:r w:rsidR="00FE34BD">
        <w:rPr>
          <w:rFonts w:ascii="Arial" w:hAnsi="Arial" w:cs="Arial"/>
          <w:sz w:val="20"/>
          <w:szCs w:val="20"/>
        </w:rPr>
        <w:t xml:space="preserve">and measure </w:t>
      </w:r>
      <w:r w:rsidR="00322FB9">
        <w:rPr>
          <w:rFonts w:ascii="Arial" w:hAnsi="Arial" w:cs="Arial"/>
          <w:sz w:val="20"/>
          <w:szCs w:val="20"/>
        </w:rPr>
        <w:t xml:space="preserve">wattages </w:t>
      </w:r>
      <w:r w:rsidR="00FE34BD">
        <w:rPr>
          <w:rFonts w:ascii="Arial" w:hAnsi="Arial" w:cs="Arial"/>
          <w:sz w:val="20"/>
          <w:szCs w:val="20"/>
        </w:rPr>
        <w:t xml:space="preserve">are determined by the methods described in section 1.4.4. </w:t>
      </w:r>
    </w:p>
    <w:p w14:paraId="5EB8A3E7" w14:textId="77777777" w:rsidR="003B44BB" w:rsidRDefault="003B44BB" w:rsidP="001A3026">
      <w:pPr>
        <w:rPr>
          <w:rFonts w:ascii="Arial" w:hAnsi="Arial" w:cs="Arial"/>
          <w:sz w:val="20"/>
          <w:szCs w:val="20"/>
        </w:rPr>
      </w:pPr>
    </w:p>
    <w:p w14:paraId="5EB8A3E8" w14:textId="77777777" w:rsidR="003B44BB" w:rsidRDefault="003B44BB" w:rsidP="003B44BB">
      <w:pPr>
        <w:pStyle w:val="Caption"/>
        <w:jc w:val="center"/>
      </w:pPr>
      <w:bookmarkStart w:id="34" w:name="_Toc468795524"/>
      <w:r>
        <w:t>Table</w:t>
      </w:r>
      <w:r w:rsidR="00DD12F1">
        <w:t xml:space="preserve"> </w:t>
      </w:r>
      <w:fldSimple w:instr=" SEQ Table \* ARABIC ">
        <w:r w:rsidR="00264804">
          <w:rPr>
            <w:noProof/>
          </w:rPr>
          <w:t>6</w:t>
        </w:r>
      </w:fldSimple>
      <w:r w:rsidR="00DD12F1">
        <w:t xml:space="preserve"> </w:t>
      </w:r>
      <w:r>
        <w:t>-</w:t>
      </w:r>
      <w:r w:rsidRPr="00E97091">
        <w:t xml:space="preserve"> </w:t>
      </w:r>
      <w:r w:rsidR="00322FB9">
        <w:t xml:space="preserve">LED </w:t>
      </w:r>
      <w:r w:rsidR="00C27933">
        <w:t>Ambient Commercial</w:t>
      </w:r>
      <w:r w:rsidR="002E6C39">
        <w:t xml:space="preserve"> Fixtures &amp; Retrofit Kits</w:t>
      </w:r>
      <w:r w:rsidR="00FD3F5C">
        <w:t xml:space="preserve"> </w:t>
      </w:r>
      <w:r>
        <w:t>Base and Measure Wattages</w:t>
      </w:r>
      <w:bookmarkEnd w:id="34"/>
    </w:p>
    <w:tbl>
      <w:tblPr>
        <w:tblStyle w:val="TableGrid"/>
        <w:tblW w:w="9468" w:type="dxa"/>
        <w:tblLook w:val="04A0" w:firstRow="1" w:lastRow="0" w:firstColumn="1" w:lastColumn="0" w:noHBand="0" w:noVBand="1"/>
      </w:tblPr>
      <w:tblGrid>
        <w:gridCol w:w="4158"/>
        <w:gridCol w:w="1260"/>
        <w:gridCol w:w="1920"/>
        <w:gridCol w:w="2130"/>
      </w:tblGrid>
      <w:tr w:rsidR="00BF5FB0" w14:paraId="5EB8A3ED" w14:textId="77777777" w:rsidTr="00DE02D4">
        <w:tc>
          <w:tcPr>
            <w:tcW w:w="4158" w:type="dxa"/>
            <w:vAlign w:val="bottom"/>
          </w:tcPr>
          <w:p w14:paraId="5EB8A3E9" w14:textId="77777777" w:rsidR="00BF5FB0" w:rsidRPr="00422D1A" w:rsidRDefault="00BF5FB0" w:rsidP="00C45648">
            <w:pPr>
              <w:jc w:val="center"/>
              <w:rPr>
                <w:rFonts w:ascii="Arial" w:hAnsi="Arial" w:cs="Arial"/>
                <w:b/>
                <w:bCs/>
                <w:color w:val="000000"/>
                <w:sz w:val="20"/>
                <w:szCs w:val="20"/>
              </w:rPr>
            </w:pPr>
            <w:r w:rsidRPr="00422D1A">
              <w:rPr>
                <w:rFonts w:ascii="Arial" w:hAnsi="Arial" w:cs="Arial"/>
                <w:b/>
                <w:bCs/>
                <w:color w:val="000000"/>
                <w:sz w:val="20"/>
                <w:szCs w:val="20"/>
              </w:rPr>
              <w:t>Base Case</w:t>
            </w:r>
          </w:p>
        </w:tc>
        <w:tc>
          <w:tcPr>
            <w:tcW w:w="1260" w:type="dxa"/>
            <w:vAlign w:val="bottom"/>
          </w:tcPr>
          <w:p w14:paraId="5EB8A3EA" w14:textId="77777777" w:rsidR="00BF5FB0" w:rsidRPr="00422D1A" w:rsidRDefault="00BF5FB0" w:rsidP="00C45648">
            <w:pPr>
              <w:jc w:val="center"/>
              <w:rPr>
                <w:rFonts w:ascii="Arial" w:hAnsi="Arial" w:cs="Arial"/>
                <w:b/>
                <w:sz w:val="20"/>
                <w:szCs w:val="20"/>
              </w:rPr>
            </w:pPr>
            <w:r w:rsidRPr="00422D1A">
              <w:rPr>
                <w:rFonts w:ascii="Arial" w:hAnsi="Arial" w:cs="Arial"/>
                <w:b/>
                <w:sz w:val="20"/>
                <w:szCs w:val="20"/>
              </w:rPr>
              <w:t>Base Case Wattage</w:t>
            </w:r>
          </w:p>
        </w:tc>
        <w:tc>
          <w:tcPr>
            <w:tcW w:w="1920" w:type="dxa"/>
            <w:vAlign w:val="bottom"/>
          </w:tcPr>
          <w:p w14:paraId="5EB8A3EB" w14:textId="77777777" w:rsidR="00BF5FB0" w:rsidRPr="00422D1A" w:rsidRDefault="00BF5FB0" w:rsidP="00BF5FB0">
            <w:pPr>
              <w:jc w:val="center"/>
              <w:rPr>
                <w:rFonts w:ascii="Arial" w:hAnsi="Arial" w:cs="Arial"/>
                <w:b/>
                <w:sz w:val="20"/>
                <w:szCs w:val="20"/>
              </w:rPr>
            </w:pPr>
            <w:r w:rsidRPr="00422D1A">
              <w:rPr>
                <w:rFonts w:ascii="Arial" w:hAnsi="Arial" w:cs="Arial"/>
                <w:b/>
                <w:sz w:val="20"/>
                <w:szCs w:val="20"/>
              </w:rPr>
              <w:t>Measure Case Wattage</w:t>
            </w:r>
          </w:p>
        </w:tc>
        <w:tc>
          <w:tcPr>
            <w:tcW w:w="2130" w:type="dxa"/>
            <w:vAlign w:val="bottom"/>
          </w:tcPr>
          <w:p w14:paraId="5EB8A3EC" w14:textId="77777777" w:rsidR="00BF5FB0" w:rsidRPr="00422D1A" w:rsidRDefault="00BF5FB0" w:rsidP="00C45648">
            <w:pPr>
              <w:jc w:val="center"/>
              <w:rPr>
                <w:rFonts w:ascii="Arial" w:hAnsi="Arial" w:cs="Arial"/>
                <w:b/>
                <w:sz w:val="20"/>
                <w:szCs w:val="20"/>
              </w:rPr>
            </w:pPr>
            <w:r w:rsidRPr="00422D1A">
              <w:rPr>
                <w:rFonts w:ascii="Arial" w:hAnsi="Arial" w:cs="Arial"/>
                <w:b/>
                <w:sz w:val="20"/>
                <w:szCs w:val="20"/>
              </w:rPr>
              <w:t>Delta Wattage</w:t>
            </w:r>
          </w:p>
        </w:tc>
      </w:tr>
      <w:tr w:rsidR="00661F2B" w:rsidRPr="00C27933" w14:paraId="5EB8A3F2" w14:textId="77777777" w:rsidTr="00DE02D4">
        <w:tc>
          <w:tcPr>
            <w:tcW w:w="4158" w:type="dxa"/>
            <w:vAlign w:val="center"/>
          </w:tcPr>
          <w:p w14:paraId="5EB8A3EE" w14:textId="77777777" w:rsidR="00661F2B" w:rsidRPr="00C27933" w:rsidRDefault="00661F2B">
            <w:pPr>
              <w:rPr>
                <w:rFonts w:ascii="Arial" w:hAnsi="Arial" w:cs="Arial"/>
                <w:color w:val="000000"/>
                <w:sz w:val="20"/>
                <w:szCs w:val="22"/>
              </w:rPr>
            </w:pPr>
            <w:r w:rsidRPr="00C27933">
              <w:rPr>
                <w:rFonts w:ascii="Arial" w:hAnsi="Arial" w:cs="Arial"/>
                <w:color w:val="000000"/>
                <w:sz w:val="20"/>
                <w:szCs w:val="22"/>
              </w:rPr>
              <w:t>LED Luminaires/Retrofit Kits rated ≥110 and &lt;125 LPW, Ambient Interior Commercial Spaces</w:t>
            </w:r>
          </w:p>
        </w:tc>
        <w:tc>
          <w:tcPr>
            <w:tcW w:w="1260" w:type="dxa"/>
            <w:vAlign w:val="center"/>
          </w:tcPr>
          <w:p w14:paraId="5EB8A3EF" w14:textId="77777777" w:rsidR="00661F2B" w:rsidRPr="00C27933" w:rsidRDefault="00661F2B" w:rsidP="00C060C8">
            <w:pPr>
              <w:jc w:val="center"/>
              <w:rPr>
                <w:rFonts w:ascii="Arial" w:hAnsi="Arial" w:cs="Arial"/>
                <w:color w:val="000000"/>
                <w:sz w:val="20"/>
                <w:szCs w:val="22"/>
              </w:rPr>
            </w:pPr>
            <w:r w:rsidRPr="00C27933">
              <w:rPr>
                <w:rFonts w:ascii="Arial" w:hAnsi="Arial" w:cs="Arial"/>
                <w:color w:val="000000"/>
                <w:sz w:val="20"/>
                <w:szCs w:val="22"/>
              </w:rPr>
              <w:t>14.8 – 15.9</w:t>
            </w:r>
          </w:p>
        </w:tc>
        <w:tc>
          <w:tcPr>
            <w:tcW w:w="1920" w:type="dxa"/>
            <w:vAlign w:val="center"/>
          </w:tcPr>
          <w:p w14:paraId="5EB8A3F0" w14:textId="77777777" w:rsidR="00661F2B" w:rsidRPr="00C27933" w:rsidRDefault="00661F2B">
            <w:pPr>
              <w:jc w:val="center"/>
              <w:rPr>
                <w:rFonts w:ascii="Arial" w:hAnsi="Arial" w:cs="Arial"/>
                <w:color w:val="000000"/>
                <w:sz w:val="20"/>
                <w:szCs w:val="22"/>
              </w:rPr>
            </w:pPr>
            <w:r w:rsidRPr="00C27933">
              <w:rPr>
                <w:rFonts w:ascii="Arial" w:hAnsi="Arial" w:cs="Arial"/>
                <w:color w:val="000000"/>
                <w:sz w:val="20"/>
                <w:szCs w:val="22"/>
              </w:rPr>
              <w:t>9.1</w:t>
            </w:r>
          </w:p>
        </w:tc>
        <w:tc>
          <w:tcPr>
            <w:tcW w:w="2130" w:type="dxa"/>
            <w:vAlign w:val="center"/>
          </w:tcPr>
          <w:p w14:paraId="5EB8A3F1" w14:textId="77777777" w:rsidR="00661F2B" w:rsidRPr="00C27933" w:rsidRDefault="00661F2B" w:rsidP="00661F2B">
            <w:pPr>
              <w:jc w:val="center"/>
              <w:rPr>
                <w:rFonts w:ascii="Arial" w:hAnsi="Arial" w:cs="Arial"/>
                <w:sz w:val="20"/>
                <w:szCs w:val="22"/>
              </w:rPr>
            </w:pPr>
            <w:r w:rsidRPr="00C27933">
              <w:rPr>
                <w:rFonts w:ascii="Arial" w:hAnsi="Arial" w:cs="Arial"/>
                <w:sz w:val="20"/>
                <w:szCs w:val="22"/>
              </w:rPr>
              <w:t>5.7 – 6.8</w:t>
            </w:r>
          </w:p>
        </w:tc>
      </w:tr>
      <w:tr w:rsidR="00661F2B" w:rsidRPr="00C27933" w14:paraId="5EB8A3F7" w14:textId="77777777" w:rsidTr="00DE02D4">
        <w:tc>
          <w:tcPr>
            <w:tcW w:w="4158" w:type="dxa"/>
            <w:vAlign w:val="center"/>
          </w:tcPr>
          <w:p w14:paraId="5EB8A3F3" w14:textId="77777777" w:rsidR="00661F2B" w:rsidRPr="00C27933" w:rsidRDefault="00661F2B">
            <w:pPr>
              <w:rPr>
                <w:rFonts w:ascii="Arial" w:hAnsi="Arial" w:cs="Arial"/>
                <w:color w:val="000000"/>
                <w:sz w:val="20"/>
                <w:szCs w:val="22"/>
              </w:rPr>
            </w:pPr>
            <w:r w:rsidRPr="00C27933">
              <w:rPr>
                <w:rFonts w:ascii="Arial" w:hAnsi="Arial" w:cs="Arial"/>
                <w:color w:val="000000"/>
                <w:sz w:val="20"/>
                <w:szCs w:val="22"/>
              </w:rPr>
              <w:t>LED Luminaires/Retrofit Kits rated ≥125 LPW, Ambient Interior Commercial Spaces</w:t>
            </w:r>
          </w:p>
        </w:tc>
        <w:tc>
          <w:tcPr>
            <w:tcW w:w="1260" w:type="dxa"/>
            <w:vAlign w:val="center"/>
          </w:tcPr>
          <w:p w14:paraId="5EB8A3F4" w14:textId="77777777" w:rsidR="00661F2B" w:rsidRPr="00C27933" w:rsidRDefault="00661F2B" w:rsidP="006F0984">
            <w:pPr>
              <w:jc w:val="center"/>
              <w:rPr>
                <w:rFonts w:ascii="Arial" w:hAnsi="Arial" w:cs="Arial"/>
                <w:color w:val="000000"/>
                <w:sz w:val="20"/>
                <w:szCs w:val="22"/>
              </w:rPr>
            </w:pPr>
            <w:r w:rsidRPr="00C27933">
              <w:rPr>
                <w:rFonts w:ascii="Arial" w:hAnsi="Arial" w:cs="Arial"/>
                <w:color w:val="000000"/>
                <w:sz w:val="20"/>
                <w:szCs w:val="22"/>
              </w:rPr>
              <w:t>14.8 – 15.9</w:t>
            </w:r>
          </w:p>
        </w:tc>
        <w:tc>
          <w:tcPr>
            <w:tcW w:w="1920" w:type="dxa"/>
            <w:vAlign w:val="center"/>
          </w:tcPr>
          <w:p w14:paraId="5EB8A3F5" w14:textId="77777777" w:rsidR="00661F2B" w:rsidRPr="00C27933" w:rsidRDefault="00661F2B">
            <w:pPr>
              <w:jc w:val="center"/>
              <w:rPr>
                <w:rFonts w:ascii="Arial" w:hAnsi="Arial" w:cs="Arial"/>
                <w:color w:val="000000"/>
                <w:sz w:val="20"/>
                <w:szCs w:val="22"/>
              </w:rPr>
            </w:pPr>
            <w:r w:rsidRPr="00C27933">
              <w:rPr>
                <w:rFonts w:ascii="Arial" w:hAnsi="Arial" w:cs="Arial"/>
                <w:color w:val="000000"/>
                <w:sz w:val="20"/>
                <w:szCs w:val="22"/>
              </w:rPr>
              <w:t>8.0</w:t>
            </w:r>
          </w:p>
        </w:tc>
        <w:tc>
          <w:tcPr>
            <w:tcW w:w="2130" w:type="dxa"/>
            <w:vAlign w:val="center"/>
          </w:tcPr>
          <w:p w14:paraId="5EB8A3F6" w14:textId="77777777" w:rsidR="00661F2B" w:rsidRPr="00C27933" w:rsidRDefault="00661F2B" w:rsidP="00C060C8">
            <w:pPr>
              <w:jc w:val="center"/>
              <w:rPr>
                <w:rFonts w:ascii="Arial" w:hAnsi="Arial" w:cs="Arial"/>
                <w:sz w:val="20"/>
                <w:szCs w:val="22"/>
              </w:rPr>
            </w:pPr>
            <w:r w:rsidRPr="00C27933">
              <w:rPr>
                <w:rFonts w:ascii="Arial" w:hAnsi="Arial" w:cs="Arial"/>
                <w:sz w:val="20"/>
                <w:szCs w:val="22"/>
              </w:rPr>
              <w:t>6.8 – 7.9</w:t>
            </w:r>
          </w:p>
        </w:tc>
      </w:tr>
      <w:tr w:rsidR="00661F2B" w14:paraId="5EB8A3F9" w14:textId="77777777" w:rsidTr="009D49EA">
        <w:tc>
          <w:tcPr>
            <w:tcW w:w="9468" w:type="dxa"/>
            <w:gridSpan w:val="4"/>
            <w:vAlign w:val="bottom"/>
          </w:tcPr>
          <w:p w14:paraId="5EB8A3F8" w14:textId="77777777" w:rsidR="00661F2B" w:rsidRDefault="00661F2B" w:rsidP="00C060C8">
            <w:pPr>
              <w:jc w:val="center"/>
              <w:rPr>
                <w:rFonts w:ascii="Arial" w:hAnsi="Arial" w:cs="Arial"/>
                <w:sz w:val="20"/>
                <w:szCs w:val="20"/>
              </w:rPr>
            </w:pPr>
            <w:r>
              <w:rPr>
                <w:rFonts w:ascii="Arial" w:hAnsi="Arial" w:cs="Arial"/>
                <w:sz w:val="20"/>
                <w:szCs w:val="20"/>
              </w:rPr>
              <w:t>Base case wattage varies by building type</w:t>
            </w:r>
          </w:p>
        </w:tc>
      </w:tr>
    </w:tbl>
    <w:p w14:paraId="5EB8A3FB" w14:textId="77777777" w:rsidR="00C069A2" w:rsidRDefault="00C069A2" w:rsidP="00D20486">
      <w:pPr>
        <w:pStyle w:val="Heading2"/>
      </w:pPr>
      <w:bookmarkStart w:id="35" w:name="_Toc468797910"/>
      <w:r>
        <w:lastRenderedPageBreak/>
        <w:t xml:space="preserve">2.1 </w:t>
      </w:r>
      <w:r w:rsidR="007878B9">
        <w:t xml:space="preserve">Electric </w:t>
      </w:r>
      <w:r>
        <w:t>Energy Savings Estimation Methodologies</w:t>
      </w:r>
      <w:bookmarkEnd w:id="35"/>
      <w:r w:rsidR="007C1DEB">
        <w:t xml:space="preserve"> </w:t>
      </w:r>
    </w:p>
    <w:p w14:paraId="5EB8A3FD" w14:textId="7C62AE33" w:rsidR="00E97091" w:rsidRDefault="00F65E84" w:rsidP="00BC2543">
      <w:pPr>
        <w:rPr>
          <w:rFonts w:ascii="Arial" w:hAnsi="Arial" w:cs="Arial"/>
          <w:sz w:val="20"/>
          <w:szCs w:val="20"/>
        </w:rPr>
      </w:pPr>
      <w:r w:rsidRPr="00F65E84">
        <w:rPr>
          <w:rFonts w:ascii="Arial" w:hAnsi="Arial" w:cs="Arial"/>
          <w:sz w:val="20"/>
          <w:szCs w:val="20"/>
        </w:rPr>
        <w:t xml:space="preserve">The lighting wattage difference (Watts </w:t>
      </w:r>
      <w:r w:rsidRPr="00CF48A4">
        <w:rPr>
          <w:rFonts w:ascii="Arial" w:hAnsi="Arial" w:cs="Arial"/>
          <w:sz w:val="20"/>
          <w:szCs w:val="20"/>
        </w:rPr>
        <w:t xml:space="preserve">per unit) is the difference between the electric demand of the base </w:t>
      </w:r>
      <w:r w:rsidR="00DB520B" w:rsidRPr="00CF48A4">
        <w:rPr>
          <w:rFonts w:ascii="Arial" w:hAnsi="Arial" w:cs="Arial"/>
          <w:sz w:val="20"/>
          <w:szCs w:val="20"/>
        </w:rPr>
        <w:t xml:space="preserve">case </w:t>
      </w:r>
      <w:r w:rsidRPr="00CF48A4">
        <w:rPr>
          <w:rFonts w:ascii="Arial" w:hAnsi="Arial" w:cs="Arial"/>
          <w:sz w:val="20"/>
          <w:szCs w:val="20"/>
        </w:rPr>
        <w:t xml:space="preserve">unit and the electric demand of the </w:t>
      </w:r>
      <w:r w:rsidR="00DB520B" w:rsidRPr="00CF48A4">
        <w:rPr>
          <w:rFonts w:ascii="Arial" w:hAnsi="Arial" w:cs="Arial"/>
          <w:sz w:val="20"/>
          <w:szCs w:val="20"/>
        </w:rPr>
        <w:t>measure case</w:t>
      </w:r>
      <w:r w:rsidRPr="00CF48A4">
        <w:rPr>
          <w:rFonts w:ascii="Arial" w:hAnsi="Arial" w:cs="Arial"/>
          <w:sz w:val="20"/>
          <w:szCs w:val="20"/>
        </w:rPr>
        <w:t xml:space="preserve"> unit. </w:t>
      </w:r>
      <w:r w:rsidR="00BB6191" w:rsidRPr="008443D6">
        <w:rPr>
          <w:rFonts w:ascii="Arial" w:hAnsi="Arial" w:cs="Arial"/>
          <w:sz w:val="20"/>
          <w:szCs w:val="20"/>
        </w:rPr>
        <w:t>The operating hours and interactive effects for Commercial were taken from DEER 2016 data. The operating hours and interactive effects for Residential were taken from DEER 2017.</w:t>
      </w:r>
    </w:p>
    <w:p w14:paraId="41B94A42" w14:textId="77777777" w:rsidR="00BB6191" w:rsidRDefault="00BB6191" w:rsidP="00BC2543">
      <w:pPr>
        <w:rPr>
          <w:rFonts w:ascii="Arial" w:hAnsi="Arial" w:cs="Arial"/>
          <w:sz w:val="20"/>
          <w:szCs w:val="20"/>
        </w:rPr>
      </w:pPr>
    </w:p>
    <w:p w14:paraId="5EB8A3FE" w14:textId="77777777" w:rsidR="00126A4E" w:rsidRPr="001A3026" w:rsidRDefault="00126A4E" w:rsidP="00CF3FF0">
      <w:pPr>
        <w:rPr>
          <w:rFonts w:ascii="Arial" w:hAnsi="Arial" w:cs="Arial"/>
          <w:sz w:val="20"/>
          <w:szCs w:val="20"/>
        </w:rPr>
      </w:pPr>
      <w:r w:rsidRPr="00CF3FF0">
        <w:rPr>
          <w:rFonts w:ascii="Arial" w:hAnsi="Arial" w:cs="Arial"/>
          <w:b/>
          <w:sz w:val="20"/>
          <w:szCs w:val="20"/>
        </w:rPr>
        <w:t>∆Watts/</w:t>
      </w:r>
      <w:r w:rsidR="00230617">
        <w:rPr>
          <w:rFonts w:ascii="Arial" w:hAnsi="Arial" w:cs="Arial"/>
          <w:b/>
          <w:sz w:val="20"/>
          <w:szCs w:val="20"/>
        </w:rPr>
        <w:t>kilolumen</w:t>
      </w:r>
      <w:r w:rsidRPr="00CF3FF0">
        <w:rPr>
          <w:rFonts w:ascii="Arial" w:hAnsi="Arial" w:cs="Arial"/>
          <w:b/>
          <w:sz w:val="20"/>
          <w:szCs w:val="20"/>
        </w:rPr>
        <w:t>:</w:t>
      </w:r>
      <w:r w:rsidR="00CF3FF0" w:rsidRPr="00CF3FF0" w:rsidDel="00CF3FF0">
        <w:rPr>
          <w:rFonts w:ascii="Arial" w:hAnsi="Arial" w:cs="Arial"/>
          <w:b/>
          <w:sz w:val="20"/>
          <w:szCs w:val="20"/>
        </w:rPr>
        <w:t xml:space="preserve"> </w:t>
      </w:r>
      <w:r w:rsidRPr="001A3026">
        <w:rPr>
          <w:rFonts w:ascii="Arial" w:hAnsi="Arial" w:cs="Arial"/>
          <w:sz w:val="20"/>
          <w:szCs w:val="20"/>
        </w:rPr>
        <w:t xml:space="preserve">The demand difference (watts per </w:t>
      </w:r>
      <w:r w:rsidR="00230617">
        <w:rPr>
          <w:rFonts w:ascii="Arial" w:hAnsi="Arial" w:cs="Arial"/>
          <w:sz w:val="20"/>
          <w:szCs w:val="20"/>
        </w:rPr>
        <w:t>kilolumen</w:t>
      </w:r>
      <w:r w:rsidRPr="001A3026">
        <w:rPr>
          <w:rFonts w:ascii="Arial" w:hAnsi="Arial" w:cs="Arial"/>
          <w:sz w:val="20"/>
          <w:szCs w:val="20"/>
        </w:rPr>
        <w:t xml:space="preserve">) is simply the difference between the electric demand of </w:t>
      </w:r>
      <w:r w:rsidR="00230617">
        <w:rPr>
          <w:rFonts w:ascii="Arial" w:hAnsi="Arial" w:cs="Arial"/>
          <w:sz w:val="20"/>
          <w:szCs w:val="20"/>
        </w:rPr>
        <w:t>a kilolumen unit of the</w:t>
      </w:r>
      <w:r w:rsidRPr="001A3026">
        <w:rPr>
          <w:rFonts w:ascii="Arial" w:hAnsi="Arial" w:cs="Arial"/>
          <w:sz w:val="20"/>
          <w:szCs w:val="20"/>
        </w:rPr>
        <w:t xml:space="preserve"> base </w:t>
      </w:r>
      <w:r w:rsidR="00DB520B">
        <w:rPr>
          <w:rFonts w:ascii="Arial" w:hAnsi="Arial" w:cs="Arial"/>
          <w:sz w:val="20"/>
          <w:szCs w:val="20"/>
        </w:rPr>
        <w:t xml:space="preserve">case </w:t>
      </w:r>
      <w:r w:rsidR="00230617">
        <w:rPr>
          <w:rFonts w:ascii="Arial" w:hAnsi="Arial" w:cs="Arial"/>
          <w:sz w:val="20"/>
          <w:szCs w:val="20"/>
        </w:rPr>
        <w:t>fixture</w:t>
      </w:r>
      <w:r w:rsidR="004F12E7" w:rsidRPr="001A3026">
        <w:rPr>
          <w:rFonts w:ascii="Arial" w:hAnsi="Arial" w:cs="Arial"/>
          <w:sz w:val="20"/>
          <w:szCs w:val="20"/>
        </w:rPr>
        <w:t xml:space="preserve"> </w:t>
      </w:r>
      <w:r w:rsidRPr="001A3026">
        <w:rPr>
          <w:rFonts w:ascii="Arial" w:hAnsi="Arial" w:cs="Arial"/>
          <w:sz w:val="20"/>
          <w:szCs w:val="20"/>
        </w:rPr>
        <w:t xml:space="preserve">and the electric demand of </w:t>
      </w:r>
      <w:r w:rsidR="00230617">
        <w:rPr>
          <w:rFonts w:ascii="Arial" w:hAnsi="Arial" w:cs="Arial"/>
          <w:sz w:val="20"/>
          <w:szCs w:val="20"/>
        </w:rPr>
        <w:t xml:space="preserve">a kilolumen unit of </w:t>
      </w:r>
      <w:r w:rsidRPr="001A3026">
        <w:rPr>
          <w:rFonts w:ascii="Arial" w:hAnsi="Arial" w:cs="Arial"/>
          <w:sz w:val="20"/>
          <w:szCs w:val="20"/>
        </w:rPr>
        <w:t xml:space="preserve">the </w:t>
      </w:r>
      <w:r w:rsidR="00DB520B">
        <w:rPr>
          <w:rFonts w:ascii="Arial" w:hAnsi="Arial" w:cs="Arial"/>
          <w:sz w:val="20"/>
          <w:szCs w:val="20"/>
        </w:rPr>
        <w:t>measure case</w:t>
      </w:r>
      <w:r w:rsidRPr="001A3026">
        <w:rPr>
          <w:rFonts w:ascii="Arial" w:hAnsi="Arial" w:cs="Arial"/>
          <w:sz w:val="20"/>
          <w:szCs w:val="20"/>
        </w:rPr>
        <w:t xml:space="preserve"> </w:t>
      </w:r>
      <w:r w:rsidR="00C45648">
        <w:rPr>
          <w:rFonts w:ascii="Arial" w:hAnsi="Arial" w:cs="Arial"/>
          <w:sz w:val="20"/>
          <w:szCs w:val="20"/>
        </w:rPr>
        <w:t>fixture</w:t>
      </w:r>
      <w:r w:rsidRPr="001A3026">
        <w:rPr>
          <w:rFonts w:ascii="Arial" w:hAnsi="Arial" w:cs="Arial"/>
          <w:sz w:val="20"/>
          <w:szCs w:val="20"/>
        </w:rPr>
        <w:t>.</w:t>
      </w:r>
    </w:p>
    <w:p w14:paraId="5EB8A3FF" w14:textId="77777777" w:rsidR="00126A4E" w:rsidRPr="00446895" w:rsidRDefault="00126A4E" w:rsidP="00CC34FF">
      <w:pPr>
        <w:ind w:left="720"/>
        <w:rPr>
          <w:rFonts w:ascii="Arial" w:hAnsi="Arial" w:cs="Arial"/>
          <w:sz w:val="20"/>
          <w:szCs w:val="20"/>
        </w:rPr>
      </w:pPr>
      <w:r w:rsidRPr="00446895">
        <w:rPr>
          <w:rFonts w:ascii="Arial" w:hAnsi="Arial" w:cs="Arial"/>
          <w:sz w:val="20"/>
          <w:szCs w:val="20"/>
        </w:rPr>
        <w:t>∆Watts/</w:t>
      </w:r>
      <w:r w:rsidR="00230617">
        <w:rPr>
          <w:rFonts w:ascii="Arial" w:hAnsi="Arial" w:cs="Arial"/>
          <w:sz w:val="20"/>
          <w:szCs w:val="20"/>
        </w:rPr>
        <w:t>kilolumen</w:t>
      </w:r>
      <w:r w:rsidR="00794E75" w:rsidRPr="00446895">
        <w:rPr>
          <w:rFonts w:ascii="Arial" w:hAnsi="Arial" w:cs="Arial"/>
          <w:sz w:val="20"/>
          <w:szCs w:val="20"/>
        </w:rPr>
        <w:t xml:space="preserve"> </w:t>
      </w:r>
      <w:r w:rsidRPr="00446895">
        <w:rPr>
          <w:rFonts w:ascii="Arial" w:hAnsi="Arial" w:cs="Arial"/>
          <w:sz w:val="20"/>
          <w:szCs w:val="20"/>
        </w:rPr>
        <w:t>= Base</w:t>
      </w:r>
      <w:r w:rsidR="001A3026" w:rsidRPr="00446895">
        <w:rPr>
          <w:rFonts w:ascii="Arial" w:hAnsi="Arial" w:cs="Arial"/>
          <w:sz w:val="20"/>
          <w:szCs w:val="20"/>
        </w:rPr>
        <w:t xml:space="preserve"> Case</w:t>
      </w:r>
      <w:r w:rsidRPr="00446895">
        <w:rPr>
          <w:rFonts w:ascii="Arial" w:hAnsi="Arial" w:cs="Arial"/>
          <w:sz w:val="20"/>
          <w:szCs w:val="20"/>
        </w:rPr>
        <w:t xml:space="preserve"> Watts/</w:t>
      </w:r>
      <w:r w:rsidR="00230617">
        <w:rPr>
          <w:rFonts w:ascii="Arial" w:hAnsi="Arial" w:cs="Arial"/>
          <w:sz w:val="20"/>
          <w:szCs w:val="20"/>
        </w:rPr>
        <w:t>kilolumen</w:t>
      </w:r>
      <w:r w:rsidR="00BB4412" w:rsidRPr="00446895">
        <w:rPr>
          <w:rFonts w:ascii="Arial" w:hAnsi="Arial" w:cs="Arial"/>
          <w:sz w:val="20"/>
          <w:szCs w:val="20"/>
        </w:rPr>
        <w:t xml:space="preserve"> </w:t>
      </w:r>
      <w:r w:rsidRPr="00446895">
        <w:rPr>
          <w:rFonts w:ascii="Arial" w:hAnsi="Arial" w:cs="Arial"/>
          <w:sz w:val="20"/>
          <w:szCs w:val="20"/>
        </w:rPr>
        <w:t>-</w:t>
      </w:r>
      <w:r w:rsidR="00476B67" w:rsidRPr="00446895">
        <w:rPr>
          <w:rFonts w:ascii="Arial" w:hAnsi="Arial" w:cs="Arial"/>
          <w:sz w:val="20"/>
          <w:szCs w:val="20"/>
        </w:rPr>
        <w:t xml:space="preserve"> </w:t>
      </w:r>
      <w:r w:rsidR="001A3026" w:rsidRPr="00446895">
        <w:rPr>
          <w:rFonts w:ascii="Arial" w:hAnsi="Arial" w:cs="Arial"/>
          <w:sz w:val="20"/>
          <w:szCs w:val="20"/>
        </w:rPr>
        <w:t xml:space="preserve">Measure Case </w:t>
      </w:r>
      <w:r w:rsidRPr="00446895">
        <w:rPr>
          <w:rFonts w:ascii="Arial" w:hAnsi="Arial" w:cs="Arial"/>
          <w:sz w:val="20"/>
          <w:szCs w:val="20"/>
        </w:rPr>
        <w:t>Watts</w:t>
      </w:r>
      <w:r w:rsidR="00AD322C" w:rsidRPr="00446895">
        <w:rPr>
          <w:rFonts w:ascii="Arial" w:hAnsi="Arial" w:cs="Arial"/>
          <w:sz w:val="20"/>
          <w:szCs w:val="20"/>
        </w:rPr>
        <w:t>/</w:t>
      </w:r>
      <w:r w:rsidR="00230617">
        <w:rPr>
          <w:rFonts w:ascii="Arial" w:hAnsi="Arial" w:cs="Arial"/>
          <w:sz w:val="20"/>
          <w:szCs w:val="20"/>
        </w:rPr>
        <w:t>kilolumen</w:t>
      </w:r>
    </w:p>
    <w:p w14:paraId="5EB8A400" w14:textId="77777777" w:rsidR="00126A4E" w:rsidRPr="00446895" w:rsidRDefault="00126A4E" w:rsidP="00126A4E">
      <w:pPr>
        <w:rPr>
          <w:rFonts w:ascii="Arial" w:hAnsi="Arial" w:cs="Arial"/>
          <w:sz w:val="20"/>
          <w:szCs w:val="20"/>
        </w:rPr>
      </w:pPr>
    </w:p>
    <w:p w14:paraId="5EB8A401" w14:textId="77777777" w:rsidR="00CC6DB2" w:rsidRPr="00446895" w:rsidRDefault="00CC6DB2" w:rsidP="00CC6DB2">
      <w:pPr>
        <w:rPr>
          <w:rFonts w:ascii="Arial" w:hAnsi="Arial" w:cs="Arial"/>
          <w:b/>
          <w:sz w:val="20"/>
          <w:szCs w:val="20"/>
        </w:rPr>
      </w:pPr>
      <w:r w:rsidRPr="00446895">
        <w:rPr>
          <w:rFonts w:ascii="Arial" w:hAnsi="Arial" w:cs="Arial"/>
          <w:b/>
          <w:sz w:val="20"/>
          <w:szCs w:val="20"/>
        </w:rPr>
        <w:t>Example:</w:t>
      </w:r>
    </w:p>
    <w:p w14:paraId="5EB8A402" w14:textId="719A0C92" w:rsidR="00CC6DB2" w:rsidRPr="00446895" w:rsidRDefault="00CC6DB2" w:rsidP="00CC6DB2">
      <w:pPr>
        <w:ind w:firstLine="720"/>
        <w:rPr>
          <w:rFonts w:ascii="Arial" w:hAnsi="Arial" w:cs="Arial"/>
          <w:sz w:val="20"/>
          <w:szCs w:val="20"/>
        </w:rPr>
      </w:pPr>
      <w:r w:rsidRPr="00446895">
        <w:rPr>
          <w:rFonts w:ascii="Arial" w:hAnsi="Arial" w:cs="Arial"/>
          <w:sz w:val="20"/>
          <w:szCs w:val="20"/>
        </w:rPr>
        <w:t>∆Watts/</w:t>
      </w:r>
      <w:r w:rsidR="00230617">
        <w:rPr>
          <w:rFonts w:ascii="Arial" w:hAnsi="Arial" w:cs="Arial"/>
          <w:sz w:val="20"/>
          <w:szCs w:val="20"/>
        </w:rPr>
        <w:t>kilolumen</w:t>
      </w:r>
      <w:r w:rsidRPr="00446895">
        <w:rPr>
          <w:rFonts w:ascii="Arial" w:hAnsi="Arial" w:cs="Arial"/>
          <w:sz w:val="20"/>
          <w:szCs w:val="20"/>
        </w:rPr>
        <w:t xml:space="preserve"> = </w:t>
      </w:r>
      <w:r w:rsidR="003B2621">
        <w:rPr>
          <w:rFonts w:ascii="Arial" w:hAnsi="Arial" w:cs="Arial"/>
          <w:sz w:val="20"/>
          <w:szCs w:val="20"/>
        </w:rPr>
        <w:t>1</w:t>
      </w:r>
      <w:r w:rsidR="00C71263">
        <w:rPr>
          <w:rFonts w:ascii="Arial" w:hAnsi="Arial" w:cs="Arial"/>
          <w:sz w:val="20"/>
          <w:szCs w:val="20"/>
        </w:rPr>
        <w:t>4.8</w:t>
      </w:r>
      <w:r w:rsidRPr="00446895">
        <w:rPr>
          <w:rFonts w:ascii="Arial" w:hAnsi="Arial" w:cs="Arial"/>
          <w:sz w:val="20"/>
          <w:szCs w:val="20"/>
        </w:rPr>
        <w:t xml:space="preserve"> W –</w:t>
      </w:r>
      <w:r w:rsidR="00C45648">
        <w:rPr>
          <w:rFonts w:ascii="Arial" w:hAnsi="Arial" w:cs="Arial"/>
          <w:sz w:val="20"/>
          <w:szCs w:val="20"/>
        </w:rPr>
        <w:t xml:space="preserve"> </w:t>
      </w:r>
      <w:r w:rsidR="001022B5">
        <w:rPr>
          <w:rFonts w:ascii="Arial" w:hAnsi="Arial" w:cs="Arial"/>
          <w:sz w:val="20"/>
          <w:szCs w:val="20"/>
        </w:rPr>
        <w:t>9.1</w:t>
      </w:r>
      <w:r w:rsidR="00923BC4" w:rsidRPr="00446895">
        <w:rPr>
          <w:rFonts w:ascii="Arial" w:hAnsi="Arial" w:cs="Arial"/>
          <w:sz w:val="20"/>
          <w:szCs w:val="20"/>
        </w:rPr>
        <w:t xml:space="preserve"> </w:t>
      </w:r>
      <w:r w:rsidRPr="00446895">
        <w:rPr>
          <w:rFonts w:ascii="Arial" w:hAnsi="Arial" w:cs="Arial"/>
          <w:sz w:val="20"/>
          <w:szCs w:val="20"/>
        </w:rPr>
        <w:t xml:space="preserve">W = </w:t>
      </w:r>
      <w:r w:rsidR="001022B5">
        <w:rPr>
          <w:rFonts w:ascii="Arial" w:hAnsi="Arial" w:cs="Arial"/>
          <w:sz w:val="20"/>
          <w:szCs w:val="20"/>
        </w:rPr>
        <w:t>5.7</w:t>
      </w:r>
      <w:r w:rsidRPr="00446895">
        <w:rPr>
          <w:rFonts w:ascii="Arial" w:hAnsi="Arial" w:cs="Arial"/>
          <w:sz w:val="20"/>
          <w:szCs w:val="20"/>
        </w:rPr>
        <w:t xml:space="preserve"> </w:t>
      </w:r>
    </w:p>
    <w:p w14:paraId="5EB8A403" w14:textId="77777777" w:rsidR="00CC6DB2" w:rsidRPr="00446895" w:rsidRDefault="00CC6DB2" w:rsidP="00CC6DB2">
      <w:pPr>
        <w:rPr>
          <w:rFonts w:ascii="Arial" w:hAnsi="Arial" w:cs="Arial"/>
          <w:sz w:val="20"/>
          <w:szCs w:val="20"/>
        </w:rPr>
      </w:pPr>
    </w:p>
    <w:p w14:paraId="5EB8A404" w14:textId="77777777" w:rsidR="00126A4E" w:rsidRPr="00446895" w:rsidRDefault="00B42822" w:rsidP="00CC6DB2">
      <w:pPr>
        <w:rPr>
          <w:rFonts w:ascii="Arial" w:hAnsi="Arial" w:cs="Arial"/>
          <w:b/>
          <w:sz w:val="20"/>
          <w:szCs w:val="20"/>
        </w:rPr>
      </w:pPr>
      <w:r w:rsidRPr="00446895">
        <w:rPr>
          <w:rFonts w:ascii="Arial" w:hAnsi="Arial" w:cs="Arial"/>
          <w:b/>
          <w:sz w:val="20"/>
          <w:szCs w:val="20"/>
        </w:rPr>
        <w:t>Annual Electric</w:t>
      </w:r>
      <w:r w:rsidR="00126A4E" w:rsidRPr="00446895">
        <w:rPr>
          <w:rFonts w:ascii="Arial" w:hAnsi="Arial" w:cs="Arial"/>
          <w:b/>
          <w:sz w:val="20"/>
          <w:szCs w:val="20"/>
        </w:rPr>
        <w:t xml:space="preserve"> Savings:</w:t>
      </w:r>
    </w:p>
    <w:p w14:paraId="5EB8A405" w14:textId="77777777" w:rsidR="00126A4E" w:rsidRPr="00446895" w:rsidRDefault="004203DD" w:rsidP="004F12E7">
      <w:pPr>
        <w:ind w:left="720"/>
        <w:rPr>
          <w:rFonts w:ascii="Arial" w:hAnsi="Arial" w:cs="Arial"/>
          <w:sz w:val="20"/>
          <w:szCs w:val="20"/>
        </w:rPr>
      </w:pPr>
      <w:r w:rsidRPr="00446895">
        <w:rPr>
          <w:rFonts w:ascii="Arial" w:hAnsi="Arial" w:cs="Arial"/>
          <w:sz w:val="20"/>
          <w:szCs w:val="20"/>
        </w:rPr>
        <w:t xml:space="preserve">Annual </w:t>
      </w:r>
      <w:r w:rsidR="00126A4E" w:rsidRPr="00446895">
        <w:rPr>
          <w:rFonts w:ascii="Arial" w:hAnsi="Arial" w:cs="Arial"/>
          <w:sz w:val="20"/>
          <w:szCs w:val="20"/>
        </w:rPr>
        <w:t>Energy Savings [kWh/</w:t>
      </w:r>
      <w:r w:rsidR="00230617">
        <w:rPr>
          <w:rFonts w:ascii="Arial" w:hAnsi="Arial" w:cs="Arial"/>
          <w:sz w:val="20"/>
          <w:szCs w:val="20"/>
        </w:rPr>
        <w:t>kilolumen</w:t>
      </w:r>
      <w:r w:rsidR="00126A4E" w:rsidRPr="00446895">
        <w:rPr>
          <w:rFonts w:ascii="Arial" w:hAnsi="Arial" w:cs="Arial"/>
          <w:sz w:val="20"/>
          <w:szCs w:val="20"/>
        </w:rPr>
        <w:t>] = (∆Watts/</w:t>
      </w:r>
      <w:r w:rsidR="00230617">
        <w:rPr>
          <w:rFonts w:ascii="Arial" w:hAnsi="Arial" w:cs="Arial"/>
          <w:sz w:val="20"/>
          <w:szCs w:val="20"/>
        </w:rPr>
        <w:t>kilolumen</w:t>
      </w:r>
      <w:r w:rsidR="00126A4E" w:rsidRPr="00446895">
        <w:rPr>
          <w:rFonts w:ascii="Arial" w:hAnsi="Arial" w:cs="Arial"/>
          <w:sz w:val="20"/>
          <w:szCs w:val="20"/>
        </w:rPr>
        <w:t>) x (</w:t>
      </w:r>
      <w:r w:rsidR="007F14BA" w:rsidRPr="00446895">
        <w:rPr>
          <w:rFonts w:ascii="Arial" w:hAnsi="Arial" w:cs="Arial"/>
          <w:sz w:val="20"/>
          <w:szCs w:val="20"/>
        </w:rPr>
        <w:t>A</w:t>
      </w:r>
      <w:r w:rsidR="00AD322C" w:rsidRPr="00446895">
        <w:rPr>
          <w:rFonts w:ascii="Arial" w:hAnsi="Arial" w:cs="Arial"/>
          <w:sz w:val="20"/>
          <w:szCs w:val="20"/>
        </w:rPr>
        <w:t xml:space="preserve">nnual </w:t>
      </w:r>
      <w:r w:rsidR="007F14BA" w:rsidRPr="00446895">
        <w:rPr>
          <w:rFonts w:ascii="Arial" w:hAnsi="Arial" w:cs="Arial"/>
          <w:sz w:val="20"/>
          <w:szCs w:val="20"/>
        </w:rPr>
        <w:t>H</w:t>
      </w:r>
      <w:r w:rsidR="00AD322C" w:rsidRPr="00446895">
        <w:rPr>
          <w:rFonts w:ascii="Arial" w:hAnsi="Arial" w:cs="Arial"/>
          <w:sz w:val="20"/>
          <w:szCs w:val="20"/>
        </w:rPr>
        <w:t xml:space="preserve">ours of </w:t>
      </w:r>
      <w:r w:rsidR="007F14BA" w:rsidRPr="00446895">
        <w:rPr>
          <w:rFonts w:ascii="Arial" w:hAnsi="Arial" w:cs="Arial"/>
          <w:sz w:val="20"/>
          <w:szCs w:val="20"/>
        </w:rPr>
        <w:t>O</w:t>
      </w:r>
      <w:r w:rsidR="00AD322C" w:rsidRPr="00446895">
        <w:rPr>
          <w:rFonts w:ascii="Arial" w:hAnsi="Arial" w:cs="Arial"/>
          <w:sz w:val="20"/>
          <w:szCs w:val="20"/>
        </w:rPr>
        <w:t>peration</w:t>
      </w:r>
      <w:r w:rsidR="00CC34FF" w:rsidRPr="00446895">
        <w:rPr>
          <w:rFonts w:ascii="Arial" w:hAnsi="Arial" w:cs="Arial"/>
          <w:sz w:val="20"/>
          <w:szCs w:val="20"/>
        </w:rPr>
        <w:t>)</w:t>
      </w:r>
      <w:r w:rsidR="00AD322C" w:rsidRPr="00446895">
        <w:rPr>
          <w:rFonts w:ascii="Arial" w:hAnsi="Arial" w:cs="Arial"/>
          <w:sz w:val="20"/>
          <w:szCs w:val="20"/>
        </w:rPr>
        <w:t xml:space="preserve"> x (Energy Interactive Effects) </w:t>
      </w:r>
      <w:r w:rsidR="007F14BA" w:rsidRPr="00446895">
        <w:rPr>
          <w:rFonts w:ascii="Arial" w:hAnsi="Arial" w:cs="Arial"/>
          <w:sz w:val="20"/>
          <w:szCs w:val="20"/>
        </w:rPr>
        <w:t>/ (</w:t>
      </w:r>
      <w:r w:rsidR="00126A4E" w:rsidRPr="00446895">
        <w:rPr>
          <w:rFonts w:ascii="Arial" w:hAnsi="Arial" w:cs="Arial"/>
          <w:sz w:val="20"/>
          <w:szCs w:val="20"/>
        </w:rPr>
        <w:t>1,000 Watts / kW</w:t>
      </w:r>
      <w:r w:rsidR="007F14BA" w:rsidRPr="00446895">
        <w:rPr>
          <w:rFonts w:ascii="Arial" w:hAnsi="Arial" w:cs="Arial"/>
          <w:sz w:val="20"/>
          <w:szCs w:val="20"/>
        </w:rPr>
        <w:t>)</w:t>
      </w:r>
    </w:p>
    <w:p w14:paraId="5EB8A406" w14:textId="77777777" w:rsidR="00DF284F" w:rsidRDefault="00DF284F" w:rsidP="00CC6DB2">
      <w:pPr>
        <w:ind w:left="720"/>
        <w:rPr>
          <w:rFonts w:ascii="Arial" w:hAnsi="Arial" w:cs="Arial"/>
          <w:b/>
          <w:sz w:val="20"/>
          <w:szCs w:val="20"/>
          <w:highlight w:val="cyan"/>
        </w:rPr>
      </w:pPr>
    </w:p>
    <w:p w14:paraId="5EB8A407" w14:textId="77777777" w:rsidR="00C069A2" w:rsidRDefault="0030550A" w:rsidP="002E0043">
      <w:pPr>
        <w:pStyle w:val="Heading2"/>
        <w:keepNext w:val="0"/>
      </w:pPr>
      <w:bookmarkStart w:id="36" w:name="_Toc468797911"/>
      <w:r>
        <w:t>2.2. Demand R</w:t>
      </w:r>
      <w:r w:rsidR="00C069A2">
        <w:t>eduction Estimation Methodologies</w:t>
      </w:r>
      <w:bookmarkEnd w:id="36"/>
    </w:p>
    <w:p w14:paraId="5EB8A408" w14:textId="64A69DD3" w:rsidR="00A95746" w:rsidRPr="00127BF4" w:rsidRDefault="00801249" w:rsidP="00801249">
      <w:pPr>
        <w:rPr>
          <w:rFonts w:ascii="Arial" w:hAnsi="Arial" w:cs="Arial"/>
          <w:i/>
          <w:color w:val="FF0000"/>
          <w:sz w:val="20"/>
          <w:szCs w:val="20"/>
        </w:rPr>
      </w:pPr>
      <w:r w:rsidRPr="00CF48A4">
        <w:rPr>
          <w:rFonts w:ascii="Arial" w:hAnsi="Arial" w:cs="Arial"/>
          <w:sz w:val="20"/>
          <w:szCs w:val="20"/>
        </w:rPr>
        <w:t>This measure includes HVAC interactive effects savings.</w:t>
      </w:r>
      <w:r w:rsidRPr="00CF48A4">
        <w:rPr>
          <w:rFonts w:ascii="Arial" w:hAnsi="Arial" w:cs="Arial"/>
          <w:color w:val="FF0000"/>
          <w:sz w:val="20"/>
          <w:szCs w:val="20"/>
        </w:rPr>
        <w:t xml:space="preserve"> </w:t>
      </w:r>
      <w:r w:rsidR="00BB6191" w:rsidRPr="008443D6">
        <w:rPr>
          <w:rFonts w:ascii="Arial" w:hAnsi="Arial" w:cs="Arial"/>
          <w:sz w:val="20"/>
          <w:szCs w:val="20"/>
        </w:rPr>
        <w:t>The operating hours and interactive effects for Commercial were taken from DEER 2016 data. The operating hours and interactive effects for Residential were taken from DEER 2017.</w:t>
      </w:r>
    </w:p>
    <w:p w14:paraId="5EB8A409" w14:textId="77777777" w:rsidR="00044570" w:rsidRDefault="00044570" w:rsidP="00EB46D0">
      <w:pPr>
        <w:rPr>
          <w:rFonts w:ascii="Arial" w:hAnsi="Arial" w:cs="Arial"/>
          <w:i/>
          <w:sz w:val="20"/>
          <w:szCs w:val="20"/>
        </w:rPr>
      </w:pPr>
    </w:p>
    <w:p w14:paraId="5EB8A40A" w14:textId="77777777" w:rsidR="00EB46D0" w:rsidRPr="00CF3FF0" w:rsidRDefault="00EB46D0" w:rsidP="00CF3FF0">
      <w:pPr>
        <w:rPr>
          <w:rFonts w:ascii="Arial" w:hAnsi="Arial" w:cs="Arial"/>
          <w:sz w:val="20"/>
          <w:szCs w:val="20"/>
        </w:rPr>
      </w:pPr>
      <w:r w:rsidRPr="00CF3FF0">
        <w:rPr>
          <w:rFonts w:ascii="Arial" w:hAnsi="Arial" w:cs="Arial"/>
          <w:b/>
          <w:sz w:val="20"/>
          <w:szCs w:val="20"/>
        </w:rPr>
        <w:t>∆Watts/</w:t>
      </w:r>
      <w:r w:rsidR="00230617">
        <w:rPr>
          <w:rFonts w:ascii="Arial" w:hAnsi="Arial" w:cs="Arial"/>
          <w:b/>
          <w:sz w:val="20"/>
          <w:szCs w:val="20"/>
        </w:rPr>
        <w:t>kilolumen</w:t>
      </w:r>
      <w:r w:rsidRPr="00CF3FF0">
        <w:rPr>
          <w:rFonts w:ascii="Arial" w:hAnsi="Arial" w:cs="Arial"/>
          <w:b/>
          <w:sz w:val="20"/>
          <w:szCs w:val="20"/>
        </w:rPr>
        <w:t>:</w:t>
      </w:r>
      <w:r w:rsidR="00CF3FF0">
        <w:rPr>
          <w:rFonts w:ascii="Arial" w:hAnsi="Arial" w:cs="Arial"/>
          <w:b/>
          <w:sz w:val="20"/>
          <w:szCs w:val="20"/>
        </w:rPr>
        <w:t xml:space="preserve"> </w:t>
      </w:r>
      <w:r w:rsidRPr="00CF3FF0">
        <w:rPr>
          <w:rFonts w:ascii="Arial" w:hAnsi="Arial" w:cs="Arial"/>
          <w:sz w:val="20"/>
          <w:szCs w:val="20"/>
        </w:rPr>
        <w:t xml:space="preserve">The demand difference (watts per </w:t>
      </w:r>
      <w:r w:rsidR="00230617">
        <w:rPr>
          <w:rFonts w:ascii="Arial" w:hAnsi="Arial" w:cs="Arial"/>
          <w:sz w:val="20"/>
          <w:szCs w:val="20"/>
        </w:rPr>
        <w:t>kilolumen</w:t>
      </w:r>
      <w:r w:rsidRPr="00CF3FF0">
        <w:rPr>
          <w:rFonts w:ascii="Arial" w:hAnsi="Arial" w:cs="Arial"/>
          <w:sz w:val="20"/>
          <w:szCs w:val="20"/>
        </w:rPr>
        <w:t xml:space="preserve">) is simply the difference between the electric demand of </w:t>
      </w:r>
      <w:r w:rsidR="00230617">
        <w:rPr>
          <w:rFonts w:ascii="Arial" w:hAnsi="Arial" w:cs="Arial"/>
          <w:sz w:val="20"/>
          <w:szCs w:val="20"/>
        </w:rPr>
        <w:t xml:space="preserve">a kilolumen unit of </w:t>
      </w:r>
      <w:r w:rsidRPr="00CF3FF0">
        <w:rPr>
          <w:rFonts w:ascii="Arial" w:hAnsi="Arial" w:cs="Arial"/>
          <w:sz w:val="20"/>
          <w:szCs w:val="20"/>
        </w:rPr>
        <w:t xml:space="preserve">the base </w:t>
      </w:r>
      <w:r w:rsidR="00C45648">
        <w:rPr>
          <w:rFonts w:ascii="Arial" w:hAnsi="Arial" w:cs="Arial"/>
          <w:sz w:val="20"/>
          <w:szCs w:val="20"/>
        </w:rPr>
        <w:t>fixture</w:t>
      </w:r>
      <w:r w:rsidR="004F12E7" w:rsidRPr="00CF3FF0">
        <w:rPr>
          <w:rFonts w:ascii="Arial" w:hAnsi="Arial" w:cs="Arial"/>
          <w:sz w:val="20"/>
          <w:szCs w:val="20"/>
        </w:rPr>
        <w:t xml:space="preserve"> </w:t>
      </w:r>
      <w:r w:rsidRPr="00CF3FF0">
        <w:rPr>
          <w:rFonts w:ascii="Arial" w:hAnsi="Arial" w:cs="Arial"/>
          <w:sz w:val="20"/>
          <w:szCs w:val="20"/>
        </w:rPr>
        <w:t xml:space="preserve">and the electric demand of </w:t>
      </w:r>
      <w:r w:rsidR="00230617">
        <w:rPr>
          <w:rFonts w:ascii="Arial" w:hAnsi="Arial" w:cs="Arial"/>
          <w:sz w:val="20"/>
          <w:szCs w:val="20"/>
        </w:rPr>
        <w:t xml:space="preserve">a kilolumen unit of </w:t>
      </w:r>
      <w:r w:rsidRPr="00CF3FF0">
        <w:rPr>
          <w:rFonts w:ascii="Arial" w:hAnsi="Arial" w:cs="Arial"/>
          <w:sz w:val="20"/>
          <w:szCs w:val="20"/>
        </w:rPr>
        <w:t xml:space="preserve">the energy efficient </w:t>
      </w:r>
      <w:r w:rsidR="00C45648">
        <w:rPr>
          <w:rFonts w:ascii="Arial" w:hAnsi="Arial" w:cs="Arial"/>
          <w:sz w:val="20"/>
          <w:szCs w:val="20"/>
        </w:rPr>
        <w:t>fixture</w:t>
      </w:r>
      <w:r w:rsidRPr="00CF3FF0">
        <w:rPr>
          <w:rFonts w:ascii="Arial" w:hAnsi="Arial" w:cs="Arial"/>
          <w:sz w:val="20"/>
          <w:szCs w:val="20"/>
        </w:rPr>
        <w:t>.</w:t>
      </w:r>
    </w:p>
    <w:p w14:paraId="5EB8A40B" w14:textId="77777777" w:rsidR="00EB46D0" w:rsidRPr="00CF3FF0" w:rsidRDefault="00EB46D0" w:rsidP="00EB46D0">
      <w:pPr>
        <w:ind w:left="720"/>
        <w:rPr>
          <w:rFonts w:ascii="Arial" w:hAnsi="Arial" w:cs="Arial"/>
          <w:i/>
          <w:sz w:val="20"/>
          <w:szCs w:val="20"/>
        </w:rPr>
      </w:pPr>
    </w:p>
    <w:p w14:paraId="5EB8A40C" w14:textId="77777777" w:rsidR="00EB46D0" w:rsidRDefault="00EB46D0" w:rsidP="00CC34FF">
      <w:pPr>
        <w:ind w:left="720"/>
        <w:rPr>
          <w:rFonts w:ascii="Arial" w:hAnsi="Arial" w:cs="Arial"/>
          <w:b/>
          <w:sz w:val="20"/>
          <w:szCs w:val="20"/>
        </w:rPr>
      </w:pPr>
      <w:r w:rsidRPr="00EA0340">
        <w:rPr>
          <w:rFonts w:ascii="Arial" w:hAnsi="Arial" w:cs="Arial"/>
          <w:b/>
          <w:sz w:val="20"/>
          <w:szCs w:val="20"/>
        </w:rPr>
        <w:t>∆Watts/</w:t>
      </w:r>
      <w:r w:rsidR="00230617">
        <w:rPr>
          <w:rFonts w:ascii="Arial" w:hAnsi="Arial" w:cs="Arial"/>
          <w:b/>
          <w:sz w:val="20"/>
          <w:szCs w:val="20"/>
        </w:rPr>
        <w:t>kilolumen</w:t>
      </w:r>
      <w:r w:rsidR="00794E75">
        <w:rPr>
          <w:rFonts w:ascii="Arial" w:hAnsi="Arial" w:cs="Arial"/>
          <w:b/>
          <w:sz w:val="20"/>
          <w:szCs w:val="20"/>
        </w:rPr>
        <w:t xml:space="preserve"> </w:t>
      </w:r>
      <w:r w:rsidRPr="00CF3FF0">
        <w:rPr>
          <w:rFonts w:ascii="Arial" w:hAnsi="Arial" w:cs="Arial"/>
          <w:b/>
          <w:sz w:val="20"/>
          <w:szCs w:val="20"/>
        </w:rPr>
        <w:t>= Base Watts/</w:t>
      </w:r>
      <w:r w:rsidR="00230617">
        <w:rPr>
          <w:rFonts w:ascii="Arial" w:hAnsi="Arial" w:cs="Arial"/>
          <w:b/>
          <w:sz w:val="20"/>
          <w:szCs w:val="20"/>
        </w:rPr>
        <w:t>kilolumen</w:t>
      </w:r>
      <w:r w:rsidR="00BB4412">
        <w:rPr>
          <w:rFonts w:ascii="Arial" w:hAnsi="Arial" w:cs="Arial"/>
          <w:b/>
          <w:sz w:val="20"/>
          <w:szCs w:val="20"/>
        </w:rPr>
        <w:t xml:space="preserve"> </w:t>
      </w:r>
      <w:r w:rsidRPr="00CF3FF0">
        <w:rPr>
          <w:rFonts w:ascii="Arial" w:hAnsi="Arial" w:cs="Arial"/>
          <w:b/>
          <w:sz w:val="20"/>
          <w:szCs w:val="20"/>
        </w:rPr>
        <w:t>-</w:t>
      </w:r>
      <w:r w:rsidR="00476B67">
        <w:rPr>
          <w:rFonts w:ascii="Arial" w:hAnsi="Arial" w:cs="Arial"/>
          <w:b/>
          <w:sz w:val="20"/>
          <w:szCs w:val="20"/>
        </w:rPr>
        <w:t xml:space="preserve"> </w:t>
      </w:r>
      <w:r w:rsidRPr="00CF3FF0">
        <w:rPr>
          <w:rFonts w:ascii="Arial" w:hAnsi="Arial" w:cs="Arial"/>
          <w:b/>
          <w:sz w:val="20"/>
          <w:szCs w:val="20"/>
        </w:rPr>
        <w:t>Energy Efficient Watts</w:t>
      </w:r>
      <w:r w:rsidR="00AD322C">
        <w:rPr>
          <w:rFonts w:ascii="Arial" w:hAnsi="Arial" w:cs="Arial"/>
          <w:b/>
          <w:sz w:val="20"/>
          <w:szCs w:val="20"/>
        </w:rPr>
        <w:t>/</w:t>
      </w:r>
      <w:r w:rsidR="00230617">
        <w:rPr>
          <w:rFonts w:ascii="Arial" w:hAnsi="Arial" w:cs="Arial"/>
          <w:b/>
          <w:sz w:val="20"/>
          <w:szCs w:val="20"/>
        </w:rPr>
        <w:t>kilolumen</w:t>
      </w:r>
    </w:p>
    <w:p w14:paraId="5EB8A40D" w14:textId="77777777" w:rsidR="00E23EC3" w:rsidRDefault="00E23EC3" w:rsidP="00CC34FF">
      <w:pPr>
        <w:ind w:left="720"/>
        <w:rPr>
          <w:rFonts w:ascii="Arial" w:hAnsi="Arial" w:cs="Arial"/>
          <w:b/>
          <w:sz w:val="20"/>
          <w:szCs w:val="20"/>
          <w:u w:val="single"/>
        </w:rPr>
      </w:pPr>
    </w:p>
    <w:p w14:paraId="5EB8A40E" w14:textId="77777777" w:rsidR="00E23EC3" w:rsidRPr="00EA0340" w:rsidRDefault="00E23EC3" w:rsidP="00E23EC3">
      <w:pPr>
        <w:rPr>
          <w:rFonts w:ascii="Arial" w:hAnsi="Arial" w:cs="Arial"/>
          <w:b/>
          <w:sz w:val="20"/>
          <w:szCs w:val="20"/>
        </w:rPr>
      </w:pPr>
      <w:r w:rsidRPr="00EA0340">
        <w:rPr>
          <w:rFonts w:ascii="Arial" w:hAnsi="Arial" w:cs="Arial"/>
          <w:b/>
          <w:sz w:val="20"/>
          <w:szCs w:val="20"/>
        </w:rPr>
        <w:t>Where:</w:t>
      </w:r>
    </w:p>
    <w:p w14:paraId="5EB8A40F" w14:textId="77777777" w:rsidR="00E23EC3" w:rsidRPr="004F12E7" w:rsidRDefault="00E23EC3" w:rsidP="00E23EC3">
      <w:pPr>
        <w:rPr>
          <w:rFonts w:ascii="Arial" w:hAnsi="Arial" w:cs="Arial"/>
          <w:b/>
          <w:sz w:val="20"/>
          <w:szCs w:val="20"/>
        </w:rPr>
      </w:pPr>
      <w:r>
        <w:rPr>
          <w:rFonts w:ascii="Arial" w:hAnsi="Arial" w:cs="Arial"/>
          <w:sz w:val="20"/>
          <w:szCs w:val="20"/>
        </w:rPr>
        <w:tab/>
      </w:r>
      <w:r w:rsidR="003F3419" w:rsidRPr="003F3419">
        <w:rPr>
          <w:rFonts w:ascii="Arial" w:hAnsi="Arial" w:cs="Arial"/>
          <w:sz w:val="20"/>
          <w:szCs w:val="20"/>
        </w:rPr>
        <w:t>Base Case Watts/</w:t>
      </w:r>
      <w:r w:rsidR="00230617">
        <w:rPr>
          <w:rFonts w:ascii="Arial" w:hAnsi="Arial" w:cs="Arial"/>
          <w:sz w:val="20"/>
          <w:szCs w:val="20"/>
        </w:rPr>
        <w:t>Kilolumen</w:t>
      </w:r>
      <w:r w:rsidR="003F3419" w:rsidRPr="003F3419">
        <w:rPr>
          <w:rFonts w:ascii="Arial" w:hAnsi="Arial" w:cs="Arial"/>
          <w:sz w:val="20"/>
          <w:szCs w:val="20"/>
        </w:rPr>
        <w:t xml:space="preserve"> represents code/industry standard base unit demand.</w:t>
      </w:r>
    </w:p>
    <w:p w14:paraId="5EB8A410" w14:textId="77777777" w:rsidR="00EB46D0" w:rsidRPr="00CF3FF0" w:rsidRDefault="00EB46D0" w:rsidP="00EB46D0">
      <w:pPr>
        <w:rPr>
          <w:rFonts w:ascii="Arial" w:hAnsi="Arial" w:cs="Arial"/>
          <w:i/>
          <w:sz w:val="20"/>
          <w:szCs w:val="20"/>
        </w:rPr>
      </w:pPr>
    </w:p>
    <w:p w14:paraId="5EB8A411" w14:textId="77777777" w:rsidR="003F3DED" w:rsidRPr="00CF3FF0" w:rsidRDefault="003F3DED" w:rsidP="003F3DED">
      <w:pPr>
        <w:rPr>
          <w:rFonts w:ascii="Arial" w:hAnsi="Arial" w:cs="Arial"/>
          <w:b/>
          <w:sz w:val="20"/>
          <w:szCs w:val="20"/>
        </w:rPr>
      </w:pPr>
      <w:r w:rsidRPr="00CF3FF0">
        <w:rPr>
          <w:rFonts w:ascii="Arial" w:hAnsi="Arial" w:cs="Arial"/>
          <w:b/>
          <w:sz w:val="20"/>
          <w:szCs w:val="20"/>
        </w:rPr>
        <w:t>Demand Reduction:</w:t>
      </w:r>
    </w:p>
    <w:p w14:paraId="5EB8A412" w14:textId="77777777" w:rsidR="003F3DED" w:rsidRPr="00F03117" w:rsidRDefault="003F3DED" w:rsidP="003F3DED">
      <w:pPr>
        <w:ind w:left="720"/>
        <w:rPr>
          <w:rFonts w:ascii="Arial" w:hAnsi="Arial" w:cs="Arial"/>
          <w:sz w:val="20"/>
          <w:szCs w:val="20"/>
        </w:rPr>
      </w:pPr>
      <w:r w:rsidRPr="00F03117">
        <w:rPr>
          <w:rFonts w:ascii="Arial" w:hAnsi="Arial" w:cs="Arial"/>
          <w:sz w:val="20"/>
          <w:szCs w:val="20"/>
        </w:rPr>
        <w:t>Demand Reduction [kW/</w:t>
      </w:r>
      <w:r w:rsidR="00230617">
        <w:rPr>
          <w:rFonts w:ascii="Arial" w:hAnsi="Arial" w:cs="Arial"/>
          <w:sz w:val="20"/>
          <w:szCs w:val="20"/>
        </w:rPr>
        <w:t>kilolumen</w:t>
      </w:r>
      <w:r w:rsidRPr="00F03117">
        <w:rPr>
          <w:rFonts w:ascii="Arial" w:hAnsi="Arial" w:cs="Arial"/>
          <w:sz w:val="20"/>
          <w:szCs w:val="20"/>
        </w:rPr>
        <w:t>] = (</w:t>
      </w:r>
      <w:r w:rsidR="00CC34FF" w:rsidRPr="00F03117">
        <w:rPr>
          <w:rFonts w:ascii="Arial" w:hAnsi="Arial" w:cs="Arial"/>
          <w:sz w:val="20"/>
          <w:szCs w:val="20"/>
        </w:rPr>
        <w:t>∆Watts/</w:t>
      </w:r>
      <w:r w:rsidR="00230617">
        <w:rPr>
          <w:rFonts w:ascii="Arial" w:hAnsi="Arial" w:cs="Arial"/>
          <w:sz w:val="20"/>
          <w:szCs w:val="20"/>
        </w:rPr>
        <w:t>kilolumen</w:t>
      </w:r>
      <w:r w:rsidR="00CC34FF" w:rsidRPr="00F03117">
        <w:rPr>
          <w:rFonts w:ascii="Arial" w:hAnsi="Arial" w:cs="Arial"/>
          <w:sz w:val="20"/>
          <w:szCs w:val="20"/>
        </w:rPr>
        <w:t>) x</w:t>
      </w:r>
      <w:r w:rsidRPr="00F03117">
        <w:rPr>
          <w:rFonts w:ascii="Arial" w:hAnsi="Arial" w:cs="Arial"/>
          <w:sz w:val="20"/>
          <w:szCs w:val="20"/>
        </w:rPr>
        <w:t xml:space="preserve"> (</w:t>
      </w:r>
      <w:r w:rsidR="00BB4412" w:rsidRPr="00F03117">
        <w:rPr>
          <w:rFonts w:ascii="Arial" w:hAnsi="Arial" w:cs="Arial"/>
          <w:sz w:val="20"/>
          <w:szCs w:val="20"/>
        </w:rPr>
        <w:t>L</w:t>
      </w:r>
      <w:r w:rsidR="00AD322C" w:rsidRPr="00F03117">
        <w:rPr>
          <w:rFonts w:ascii="Arial" w:hAnsi="Arial" w:cs="Arial"/>
          <w:sz w:val="20"/>
          <w:szCs w:val="20"/>
        </w:rPr>
        <w:t xml:space="preserve">ighting </w:t>
      </w:r>
      <w:r w:rsidR="00BB4412" w:rsidRPr="00F03117">
        <w:rPr>
          <w:rFonts w:ascii="Arial" w:hAnsi="Arial" w:cs="Arial"/>
          <w:sz w:val="20"/>
          <w:szCs w:val="20"/>
        </w:rPr>
        <w:t>C</w:t>
      </w:r>
      <w:r w:rsidR="00AD322C" w:rsidRPr="00F03117">
        <w:rPr>
          <w:rFonts w:ascii="Arial" w:hAnsi="Arial" w:cs="Arial"/>
          <w:sz w:val="20"/>
          <w:szCs w:val="20"/>
        </w:rPr>
        <w:t xml:space="preserve">oincident </w:t>
      </w:r>
      <w:r w:rsidR="00BB4412" w:rsidRPr="00F03117">
        <w:rPr>
          <w:rFonts w:ascii="Arial" w:hAnsi="Arial" w:cs="Arial"/>
          <w:sz w:val="20"/>
          <w:szCs w:val="20"/>
        </w:rPr>
        <w:t>D</w:t>
      </w:r>
      <w:r w:rsidR="00AD322C" w:rsidRPr="00F03117">
        <w:rPr>
          <w:rFonts w:ascii="Arial" w:hAnsi="Arial" w:cs="Arial"/>
          <w:sz w:val="20"/>
          <w:szCs w:val="20"/>
        </w:rPr>
        <w:t>emand</w:t>
      </w:r>
      <w:r w:rsidR="00BB4412" w:rsidRPr="00F03117">
        <w:rPr>
          <w:rFonts w:ascii="Arial" w:hAnsi="Arial" w:cs="Arial"/>
          <w:sz w:val="20"/>
          <w:szCs w:val="20"/>
        </w:rPr>
        <w:t>)</w:t>
      </w:r>
      <w:r w:rsidR="00AD322C" w:rsidRPr="00F03117">
        <w:rPr>
          <w:rFonts w:ascii="Arial" w:hAnsi="Arial" w:cs="Arial"/>
          <w:sz w:val="20"/>
          <w:szCs w:val="20"/>
        </w:rPr>
        <w:t xml:space="preserve"> x </w:t>
      </w:r>
      <w:r w:rsidR="00BB4412" w:rsidRPr="00F03117">
        <w:rPr>
          <w:rFonts w:ascii="Arial" w:hAnsi="Arial" w:cs="Arial"/>
          <w:sz w:val="20"/>
          <w:szCs w:val="20"/>
        </w:rPr>
        <w:t>(D</w:t>
      </w:r>
      <w:r w:rsidR="00AD322C" w:rsidRPr="00F03117">
        <w:rPr>
          <w:rFonts w:ascii="Arial" w:hAnsi="Arial" w:cs="Arial"/>
          <w:sz w:val="20"/>
          <w:szCs w:val="20"/>
        </w:rPr>
        <w:t xml:space="preserve">emand </w:t>
      </w:r>
      <w:r w:rsidR="00BB4412" w:rsidRPr="00F03117">
        <w:rPr>
          <w:rFonts w:ascii="Arial" w:hAnsi="Arial" w:cs="Arial"/>
          <w:sz w:val="20"/>
          <w:szCs w:val="20"/>
        </w:rPr>
        <w:t>I</w:t>
      </w:r>
      <w:r w:rsidR="00AD322C" w:rsidRPr="00F03117">
        <w:rPr>
          <w:rFonts w:ascii="Arial" w:hAnsi="Arial" w:cs="Arial"/>
          <w:sz w:val="20"/>
          <w:szCs w:val="20"/>
        </w:rPr>
        <w:t xml:space="preserve">nteractive </w:t>
      </w:r>
      <w:r w:rsidR="00BB4412" w:rsidRPr="00F03117">
        <w:rPr>
          <w:rFonts w:ascii="Arial" w:hAnsi="Arial" w:cs="Arial"/>
          <w:sz w:val="20"/>
          <w:szCs w:val="20"/>
        </w:rPr>
        <w:t>E</w:t>
      </w:r>
      <w:r w:rsidR="00AD322C" w:rsidRPr="00F03117">
        <w:rPr>
          <w:rFonts w:ascii="Arial" w:hAnsi="Arial" w:cs="Arial"/>
          <w:sz w:val="20"/>
          <w:szCs w:val="20"/>
        </w:rPr>
        <w:t>ffects</w:t>
      </w:r>
      <w:r w:rsidR="00794E75" w:rsidRPr="00F03117">
        <w:rPr>
          <w:rFonts w:ascii="Arial" w:hAnsi="Arial" w:cs="Arial"/>
          <w:sz w:val="20"/>
          <w:szCs w:val="20"/>
        </w:rPr>
        <w:t>) /</w:t>
      </w:r>
      <w:r w:rsidRPr="00F03117">
        <w:rPr>
          <w:rFonts w:ascii="Arial" w:hAnsi="Arial" w:cs="Arial"/>
          <w:sz w:val="20"/>
          <w:szCs w:val="20"/>
        </w:rPr>
        <w:t xml:space="preserve"> </w:t>
      </w:r>
      <w:r w:rsidR="00794E75" w:rsidRPr="00F03117">
        <w:rPr>
          <w:rFonts w:ascii="Arial" w:hAnsi="Arial" w:cs="Arial"/>
          <w:sz w:val="20"/>
          <w:szCs w:val="20"/>
        </w:rPr>
        <w:t>(</w:t>
      </w:r>
      <w:r w:rsidRPr="00F03117">
        <w:rPr>
          <w:rFonts w:ascii="Arial" w:hAnsi="Arial" w:cs="Arial"/>
          <w:sz w:val="20"/>
          <w:szCs w:val="20"/>
        </w:rPr>
        <w:t>1,000 Watts/kW</w:t>
      </w:r>
      <w:r w:rsidR="00794E75" w:rsidRPr="00F03117">
        <w:rPr>
          <w:rFonts w:ascii="Arial" w:hAnsi="Arial" w:cs="Arial"/>
          <w:sz w:val="20"/>
          <w:szCs w:val="20"/>
        </w:rPr>
        <w:t>)</w:t>
      </w:r>
    </w:p>
    <w:p w14:paraId="5EB8A413" w14:textId="77777777" w:rsidR="00DF284F" w:rsidRDefault="00DF284F" w:rsidP="003F3DED">
      <w:pPr>
        <w:ind w:left="720"/>
        <w:rPr>
          <w:rFonts w:ascii="Arial" w:hAnsi="Arial" w:cs="Arial"/>
          <w:b/>
          <w:sz w:val="20"/>
          <w:szCs w:val="20"/>
        </w:rPr>
      </w:pPr>
    </w:p>
    <w:p w14:paraId="5EB8A414" w14:textId="77777777" w:rsidR="007878B9" w:rsidRPr="00BF0332" w:rsidRDefault="00276ED1" w:rsidP="00BF0332">
      <w:pPr>
        <w:pStyle w:val="Heading2"/>
      </w:pPr>
      <w:bookmarkStart w:id="37" w:name="_Toc468797912"/>
      <w:r w:rsidRPr="00BF0332">
        <w:t xml:space="preserve">2.3. </w:t>
      </w:r>
      <w:r w:rsidR="007878B9" w:rsidRPr="00BF0332">
        <w:t>Gas Energy Savings Estimation Methodologies</w:t>
      </w:r>
      <w:bookmarkEnd w:id="37"/>
    </w:p>
    <w:p w14:paraId="5EB8A416" w14:textId="33CBB8DB" w:rsidR="00AD322C" w:rsidRDefault="00840D16" w:rsidP="00AD322C">
      <w:pPr>
        <w:rPr>
          <w:rFonts w:ascii="Arial" w:hAnsi="Arial" w:cs="Arial"/>
          <w:sz w:val="20"/>
          <w:szCs w:val="20"/>
        </w:rPr>
      </w:pPr>
      <w:r w:rsidRPr="00840D16">
        <w:rPr>
          <w:rFonts w:ascii="Arial" w:hAnsi="Arial" w:cs="Arial"/>
          <w:sz w:val="20"/>
          <w:szCs w:val="20"/>
        </w:rPr>
        <w:t xml:space="preserve">Gas estimates are entirely based on the estimated increased gas use through calculated interactive effects. This measure includes HVAC interactive effects </w:t>
      </w:r>
      <w:r w:rsidR="00B30D5C">
        <w:rPr>
          <w:rFonts w:ascii="Arial" w:hAnsi="Arial" w:cs="Arial"/>
          <w:sz w:val="20"/>
          <w:szCs w:val="20"/>
        </w:rPr>
        <w:t>impacts</w:t>
      </w:r>
      <w:r w:rsidRPr="00840D16">
        <w:rPr>
          <w:rFonts w:ascii="Arial" w:hAnsi="Arial" w:cs="Arial"/>
          <w:sz w:val="20"/>
          <w:szCs w:val="20"/>
        </w:rPr>
        <w:t xml:space="preserve">. </w:t>
      </w:r>
      <w:r w:rsidR="00BB6191" w:rsidRPr="008443D6">
        <w:rPr>
          <w:rFonts w:ascii="Arial" w:hAnsi="Arial" w:cs="Arial"/>
          <w:sz w:val="20"/>
          <w:szCs w:val="20"/>
        </w:rPr>
        <w:t>The operating hours and interactive effects for Commercial were taken from DEER 2016 data. The operating hours and interactive effects for Residential were taken from DEER 2017.</w:t>
      </w:r>
    </w:p>
    <w:p w14:paraId="018A5AD8" w14:textId="77777777" w:rsidR="00BB6191" w:rsidRDefault="00BB6191" w:rsidP="00AD322C">
      <w:pPr>
        <w:rPr>
          <w:rFonts w:ascii="Arial" w:hAnsi="Arial" w:cs="Arial"/>
          <w:i/>
          <w:sz w:val="20"/>
          <w:szCs w:val="20"/>
        </w:rPr>
      </w:pPr>
      <w:bookmarkStart w:id="38" w:name="_GoBack"/>
      <w:bookmarkEnd w:id="38"/>
    </w:p>
    <w:p w14:paraId="5EB8A417" w14:textId="77777777" w:rsidR="004203DD" w:rsidRPr="00CF3FF0" w:rsidRDefault="004203DD" w:rsidP="004203DD">
      <w:pPr>
        <w:rPr>
          <w:rFonts w:ascii="Arial" w:hAnsi="Arial" w:cs="Arial"/>
          <w:sz w:val="20"/>
          <w:szCs w:val="20"/>
        </w:rPr>
      </w:pPr>
      <w:r w:rsidRPr="00CF3FF0">
        <w:rPr>
          <w:rFonts w:ascii="Arial" w:hAnsi="Arial" w:cs="Arial"/>
          <w:b/>
          <w:sz w:val="20"/>
          <w:szCs w:val="20"/>
        </w:rPr>
        <w:t>∆Watts/</w:t>
      </w:r>
      <w:r w:rsidR="00230617">
        <w:rPr>
          <w:rFonts w:ascii="Arial" w:hAnsi="Arial" w:cs="Arial"/>
          <w:b/>
          <w:sz w:val="20"/>
          <w:szCs w:val="20"/>
        </w:rPr>
        <w:t>kilolumen</w:t>
      </w:r>
      <w:r w:rsidRPr="00CF3FF0">
        <w:rPr>
          <w:rFonts w:ascii="Arial" w:hAnsi="Arial" w:cs="Arial"/>
          <w:b/>
          <w:sz w:val="20"/>
          <w:szCs w:val="20"/>
        </w:rPr>
        <w:t>:</w:t>
      </w:r>
      <w:r>
        <w:rPr>
          <w:rFonts w:ascii="Arial" w:hAnsi="Arial" w:cs="Arial"/>
          <w:b/>
          <w:sz w:val="20"/>
          <w:szCs w:val="20"/>
        </w:rPr>
        <w:t xml:space="preserve"> </w:t>
      </w:r>
      <w:r w:rsidRPr="00CF3FF0">
        <w:rPr>
          <w:rFonts w:ascii="Arial" w:hAnsi="Arial" w:cs="Arial"/>
          <w:sz w:val="20"/>
          <w:szCs w:val="20"/>
        </w:rPr>
        <w:t xml:space="preserve">The demand difference (watts per </w:t>
      </w:r>
      <w:r w:rsidR="00230617">
        <w:rPr>
          <w:rFonts w:ascii="Arial" w:hAnsi="Arial" w:cs="Arial"/>
          <w:sz w:val="20"/>
          <w:szCs w:val="20"/>
        </w:rPr>
        <w:t>kilolumen</w:t>
      </w:r>
      <w:r w:rsidRPr="00CF3FF0">
        <w:rPr>
          <w:rFonts w:ascii="Arial" w:hAnsi="Arial" w:cs="Arial"/>
          <w:sz w:val="20"/>
          <w:szCs w:val="20"/>
        </w:rPr>
        <w:t>) is simply the difference between the electric demand of</w:t>
      </w:r>
      <w:r w:rsidR="00230617" w:rsidRPr="00230617">
        <w:rPr>
          <w:rFonts w:ascii="Arial" w:hAnsi="Arial" w:cs="Arial"/>
          <w:sz w:val="20"/>
          <w:szCs w:val="20"/>
        </w:rPr>
        <w:t xml:space="preserve"> </w:t>
      </w:r>
      <w:r w:rsidR="00230617">
        <w:rPr>
          <w:rFonts w:ascii="Arial" w:hAnsi="Arial" w:cs="Arial"/>
          <w:sz w:val="20"/>
          <w:szCs w:val="20"/>
        </w:rPr>
        <w:t>a kilolumen unit of</w:t>
      </w:r>
      <w:r w:rsidRPr="00CF3FF0">
        <w:rPr>
          <w:rFonts w:ascii="Arial" w:hAnsi="Arial" w:cs="Arial"/>
          <w:sz w:val="20"/>
          <w:szCs w:val="20"/>
        </w:rPr>
        <w:t xml:space="preserve"> the base </w:t>
      </w:r>
      <w:r w:rsidR="00C45648">
        <w:rPr>
          <w:rFonts w:ascii="Arial" w:hAnsi="Arial" w:cs="Arial"/>
          <w:sz w:val="20"/>
          <w:szCs w:val="20"/>
        </w:rPr>
        <w:t>fixture</w:t>
      </w:r>
      <w:r w:rsidRPr="00CF3FF0">
        <w:rPr>
          <w:rFonts w:ascii="Arial" w:hAnsi="Arial" w:cs="Arial"/>
          <w:sz w:val="20"/>
          <w:szCs w:val="20"/>
        </w:rPr>
        <w:t xml:space="preserve"> and the electric demand of</w:t>
      </w:r>
      <w:r w:rsidR="00230617" w:rsidRPr="00230617">
        <w:rPr>
          <w:rFonts w:ascii="Arial" w:hAnsi="Arial" w:cs="Arial"/>
          <w:sz w:val="20"/>
          <w:szCs w:val="20"/>
        </w:rPr>
        <w:t xml:space="preserve"> </w:t>
      </w:r>
      <w:r w:rsidR="00230617">
        <w:rPr>
          <w:rFonts w:ascii="Arial" w:hAnsi="Arial" w:cs="Arial"/>
          <w:sz w:val="20"/>
          <w:szCs w:val="20"/>
        </w:rPr>
        <w:t>a kilolumen unit of</w:t>
      </w:r>
      <w:r w:rsidRPr="00CF3FF0">
        <w:rPr>
          <w:rFonts w:ascii="Arial" w:hAnsi="Arial" w:cs="Arial"/>
          <w:sz w:val="20"/>
          <w:szCs w:val="20"/>
        </w:rPr>
        <w:t xml:space="preserve"> the energy efficient </w:t>
      </w:r>
      <w:r w:rsidR="00C45648">
        <w:rPr>
          <w:rFonts w:ascii="Arial" w:hAnsi="Arial" w:cs="Arial"/>
          <w:sz w:val="20"/>
          <w:szCs w:val="20"/>
        </w:rPr>
        <w:t>fixture</w:t>
      </w:r>
      <w:r w:rsidRPr="00CF3FF0">
        <w:rPr>
          <w:rFonts w:ascii="Arial" w:hAnsi="Arial" w:cs="Arial"/>
          <w:sz w:val="20"/>
          <w:szCs w:val="20"/>
        </w:rPr>
        <w:t>.</w:t>
      </w:r>
    </w:p>
    <w:p w14:paraId="5EB8A418" w14:textId="77777777" w:rsidR="004203DD" w:rsidRPr="00CF3FF0" w:rsidRDefault="004203DD" w:rsidP="004203DD">
      <w:pPr>
        <w:ind w:left="720"/>
        <w:rPr>
          <w:rFonts w:ascii="Arial" w:hAnsi="Arial" w:cs="Arial"/>
          <w:i/>
          <w:sz w:val="20"/>
          <w:szCs w:val="20"/>
        </w:rPr>
      </w:pPr>
    </w:p>
    <w:p w14:paraId="5EB8A419" w14:textId="77777777" w:rsidR="004203DD" w:rsidRDefault="004203DD" w:rsidP="004203DD">
      <w:pPr>
        <w:ind w:left="720"/>
        <w:rPr>
          <w:rFonts w:ascii="Arial" w:hAnsi="Arial" w:cs="Arial"/>
          <w:b/>
          <w:sz w:val="20"/>
          <w:szCs w:val="20"/>
        </w:rPr>
      </w:pPr>
      <w:r w:rsidRPr="00EA0340">
        <w:rPr>
          <w:rFonts w:ascii="Arial" w:hAnsi="Arial" w:cs="Arial"/>
          <w:b/>
          <w:sz w:val="20"/>
          <w:szCs w:val="20"/>
        </w:rPr>
        <w:t>∆Watts/</w:t>
      </w:r>
      <w:r w:rsidR="00230617">
        <w:rPr>
          <w:rFonts w:ascii="Arial" w:hAnsi="Arial" w:cs="Arial"/>
          <w:b/>
          <w:sz w:val="20"/>
          <w:szCs w:val="20"/>
        </w:rPr>
        <w:t>kilolumen</w:t>
      </w:r>
      <w:r>
        <w:rPr>
          <w:rFonts w:ascii="Arial" w:hAnsi="Arial" w:cs="Arial"/>
          <w:b/>
          <w:sz w:val="20"/>
          <w:szCs w:val="20"/>
        </w:rPr>
        <w:t xml:space="preserve"> </w:t>
      </w:r>
      <w:r w:rsidRPr="00CF3FF0">
        <w:rPr>
          <w:rFonts w:ascii="Arial" w:hAnsi="Arial" w:cs="Arial"/>
          <w:b/>
          <w:sz w:val="20"/>
          <w:szCs w:val="20"/>
        </w:rPr>
        <w:t>= Base Watts/</w:t>
      </w:r>
      <w:r w:rsidR="00230617">
        <w:rPr>
          <w:rFonts w:ascii="Arial" w:hAnsi="Arial" w:cs="Arial"/>
          <w:b/>
          <w:sz w:val="20"/>
          <w:szCs w:val="20"/>
        </w:rPr>
        <w:t>kilolumen</w:t>
      </w:r>
      <w:r>
        <w:rPr>
          <w:rFonts w:ascii="Arial" w:hAnsi="Arial" w:cs="Arial"/>
          <w:b/>
          <w:sz w:val="20"/>
          <w:szCs w:val="20"/>
        </w:rPr>
        <w:t xml:space="preserve"> </w:t>
      </w:r>
      <w:r w:rsidRPr="00CF3FF0">
        <w:rPr>
          <w:rFonts w:ascii="Arial" w:hAnsi="Arial" w:cs="Arial"/>
          <w:b/>
          <w:sz w:val="20"/>
          <w:szCs w:val="20"/>
        </w:rPr>
        <w:t>-</w:t>
      </w:r>
      <w:r>
        <w:rPr>
          <w:rFonts w:ascii="Arial" w:hAnsi="Arial" w:cs="Arial"/>
          <w:b/>
          <w:sz w:val="20"/>
          <w:szCs w:val="20"/>
        </w:rPr>
        <w:t xml:space="preserve"> </w:t>
      </w:r>
      <w:r w:rsidRPr="00CF3FF0">
        <w:rPr>
          <w:rFonts w:ascii="Arial" w:hAnsi="Arial" w:cs="Arial"/>
          <w:b/>
          <w:sz w:val="20"/>
          <w:szCs w:val="20"/>
        </w:rPr>
        <w:t>Energy Efficient Watts</w:t>
      </w:r>
      <w:r>
        <w:rPr>
          <w:rFonts w:ascii="Arial" w:hAnsi="Arial" w:cs="Arial"/>
          <w:b/>
          <w:sz w:val="20"/>
          <w:szCs w:val="20"/>
        </w:rPr>
        <w:t>/</w:t>
      </w:r>
      <w:r w:rsidR="00230617">
        <w:rPr>
          <w:rFonts w:ascii="Arial" w:hAnsi="Arial" w:cs="Arial"/>
          <w:b/>
          <w:sz w:val="20"/>
          <w:szCs w:val="20"/>
        </w:rPr>
        <w:t>kilolumen</w:t>
      </w:r>
    </w:p>
    <w:p w14:paraId="5EB8A41A" w14:textId="77777777" w:rsidR="004203DD" w:rsidRDefault="004203DD" w:rsidP="004203DD">
      <w:pPr>
        <w:ind w:left="720"/>
        <w:rPr>
          <w:rFonts w:ascii="Arial" w:hAnsi="Arial" w:cs="Arial"/>
          <w:b/>
          <w:sz w:val="20"/>
          <w:szCs w:val="20"/>
          <w:u w:val="single"/>
        </w:rPr>
      </w:pPr>
    </w:p>
    <w:p w14:paraId="5EB8A41B" w14:textId="77777777" w:rsidR="00AD322C" w:rsidRPr="00CF3FF0" w:rsidRDefault="00547480" w:rsidP="00AD322C">
      <w:pPr>
        <w:rPr>
          <w:rFonts w:ascii="Arial" w:hAnsi="Arial" w:cs="Arial"/>
          <w:b/>
          <w:sz w:val="20"/>
          <w:szCs w:val="20"/>
        </w:rPr>
      </w:pPr>
      <w:r>
        <w:rPr>
          <w:rFonts w:ascii="Arial" w:hAnsi="Arial" w:cs="Arial"/>
          <w:b/>
          <w:sz w:val="20"/>
          <w:szCs w:val="20"/>
        </w:rPr>
        <w:t>Annual Gas Savings</w:t>
      </w:r>
      <w:r w:rsidR="00AD322C" w:rsidRPr="00CF3FF0">
        <w:rPr>
          <w:rFonts w:ascii="Arial" w:hAnsi="Arial" w:cs="Arial"/>
          <w:b/>
          <w:sz w:val="20"/>
          <w:szCs w:val="20"/>
        </w:rPr>
        <w:t>:</w:t>
      </w:r>
    </w:p>
    <w:p w14:paraId="5EB8A41C" w14:textId="77777777" w:rsidR="00AD322C" w:rsidRPr="001A5C3F" w:rsidRDefault="004203DD" w:rsidP="00AD322C">
      <w:pPr>
        <w:rPr>
          <w:rFonts w:ascii="Arial" w:hAnsi="Arial" w:cs="Arial"/>
          <w:sz w:val="20"/>
          <w:szCs w:val="20"/>
        </w:rPr>
      </w:pPr>
      <w:r w:rsidRPr="001A5C3F">
        <w:rPr>
          <w:rFonts w:ascii="Arial" w:hAnsi="Arial" w:cs="Arial"/>
          <w:sz w:val="20"/>
          <w:szCs w:val="20"/>
        </w:rPr>
        <w:t xml:space="preserve">Annual </w:t>
      </w:r>
      <w:r w:rsidR="003C0071" w:rsidRPr="001A5C3F">
        <w:rPr>
          <w:rFonts w:ascii="Arial" w:hAnsi="Arial" w:cs="Arial"/>
          <w:sz w:val="20"/>
          <w:szCs w:val="20"/>
        </w:rPr>
        <w:t xml:space="preserve">Gas Savings </w:t>
      </w:r>
      <w:r w:rsidR="00AD322C" w:rsidRPr="001A5C3F">
        <w:rPr>
          <w:rFonts w:ascii="Arial" w:hAnsi="Arial" w:cs="Arial"/>
          <w:sz w:val="20"/>
          <w:szCs w:val="20"/>
        </w:rPr>
        <w:t>[</w:t>
      </w:r>
      <w:r w:rsidR="00547480" w:rsidRPr="001A5C3F">
        <w:rPr>
          <w:rFonts w:ascii="Arial" w:hAnsi="Arial" w:cs="Arial"/>
          <w:sz w:val="20"/>
          <w:szCs w:val="20"/>
        </w:rPr>
        <w:t>∆Therms/</w:t>
      </w:r>
      <w:r w:rsidR="00230617">
        <w:rPr>
          <w:rFonts w:ascii="Arial" w:hAnsi="Arial" w:cs="Arial"/>
          <w:sz w:val="20"/>
          <w:szCs w:val="20"/>
        </w:rPr>
        <w:t>kilolumen</w:t>
      </w:r>
      <w:r w:rsidR="00AD322C" w:rsidRPr="001A5C3F">
        <w:rPr>
          <w:rFonts w:ascii="Arial" w:hAnsi="Arial" w:cs="Arial"/>
          <w:sz w:val="20"/>
          <w:szCs w:val="20"/>
        </w:rPr>
        <w:t>] = (∆Watts/</w:t>
      </w:r>
      <w:r w:rsidR="00230617">
        <w:rPr>
          <w:rFonts w:ascii="Arial" w:hAnsi="Arial" w:cs="Arial"/>
          <w:sz w:val="20"/>
          <w:szCs w:val="20"/>
        </w:rPr>
        <w:t>kilolumen</w:t>
      </w:r>
      <w:r w:rsidR="00AD322C" w:rsidRPr="001A5C3F">
        <w:rPr>
          <w:rFonts w:ascii="Arial" w:hAnsi="Arial" w:cs="Arial"/>
          <w:sz w:val="20"/>
          <w:szCs w:val="20"/>
        </w:rPr>
        <w:t>) x (</w:t>
      </w:r>
      <w:r w:rsidR="00547480" w:rsidRPr="001A5C3F">
        <w:rPr>
          <w:rFonts w:ascii="Arial" w:hAnsi="Arial" w:cs="Arial"/>
          <w:sz w:val="20"/>
          <w:szCs w:val="20"/>
        </w:rPr>
        <w:t>Annual Hours of Operation)</w:t>
      </w:r>
      <w:r w:rsidR="00AD322C" w:rsidRPr="001A5C3F">
        <w:rPr>
          <w:rFonts w:ascii="Arial" w:hAnsi="Arial" w:cs="Arial"/>
          <w:sz w:val="20"/>
          <w:szCs w:val="20"/>
        </w:rPr>
        <w:t xml:space="preserve"> x </w:t>
      </w:r>
      <w:r w:rsidR="00547480" w:rsidRPr="001A5C3F">
        <w:rPr>
          <w:rFonts w:ascii="Arial" w:hAnsi="Arial" w:cs="Arial"/>
          <w:sz w:val="20"/>
          <w:szCs w:val="20"/>
        </w:rPr>
        <w:t>(Gas</w:t>
      </w:r>
      <w:r w:rsidR="00AD322C" w:rsidRPr="001A5C3F">
        <w:rPr>
          <w:rFonts w:ascii="Arial" w:hAnsi="Arial" w:cs="Arial"/>
          <w:sz w:val="20"/>
          <w:szCs w:val="20"/>
        </w:rPr>
        <w:t xml:space="preserve"> </w:t>
      </w:r>
      <w:r w:rsidR="00547480" w:rsidRPr="001A5C3F">
        <w:rPr>
          <w:rFonts w:ascii="Arial" w:hAnsi="Arial" w:cs="Arial"/>
          <w:sz w:val="20"/>
          <w:szCs w:val="20"/>
        </w:rPr>
        <w:t>I</w:t>
      </w:r>
      <w:r w:rsidR="00AD322C" w:rsidRPr="001A5C3F">
        <w:rPr>
          <w:rFonts w:ascii="Arial" w:hAnsi="Arial" w:cs="Arial"/>
          <w:sz w:val="20"/>
          <w:szCs w:val="20"/>
        </w:rPr>
        <w:t xml:space="preserve">nteractive </w:t>
      </w:r>
      <w:r w:rsidR="00547480" w:rsidRPr="001A5C3F">
        <w:rPr>
          <w:rFonts w:ascii="Arial" w:hAnsi="Arial" w:cs="Arial"/>
          <w:sz w:val="20"/>
          <w:szCs w:val="20"/>
        </w:rPr>
        <w:t>E</w:t>
      </w:r>
      <w:r w:rsidR="00AD322C" w:rsidRPr="001A5C3F">
        <w:rPr>
          <w:rFonts w:ascii="Arial" w:hAnsi="Arial" w:cs="Arial"/>
          <w:sz w:val="20"/>
          <w:szCs w:val="20"/>
        </w:rPr>
        <w:t>ffects)</w:t>
      </w:r>
      <w:r w:rsidR="00547480" w:rsidRPr="001A5C3F">
        <w:rPr>
          <w:rFonts w:ascii="Arial" w:hAnsi="Arial" w:cs="Arial"/>
          <w:sz w:val="20"/>
          <w:szCs w:val="20"/>
        </w:rPr>
        <w:t xml:space="preserve"> / 1</w:t>
      </w:r>
      <w:r w:rsidR="00AD322C" w:rsidRPr="001A5C3F">
        <w:rPr>
          <w:rFonts w:ascii="Arial" w:hAnsi="Arial" w:cs="Arial"/>
          <w:sz w:val="20"/>
          <w:szCs w:val="20"/>
        </w:rPr>
        <w:t>,000 Watts/kW</w:t>
      </w:r>
    </w:p>
    <w:p w14:paraId="5EB8A41D" w14:textId="77777777" w:rsidR="00DF284F" w:rsidRPr="001A5C3F" w:rsidRDefault="001C6C57" w:rsidP="00DF284F">
      <w:pPr>
        <w:ind w:left="720"/>
        <w:rPr>
          <w:rFonts w:ascii="Arial" w:hAnsi="Arial" w:cs="Arial"/>
          <w:sz w:val="20"/>
          <w:szCs w:val="20"/>
          <w:highlight w:val="cyan"/>
        </w:rPr>
      </w:pPr>
      <w:r>
        <w:rPr>
          <w:rFonts w:ascii="Arial" w:hAnsi="Arial" w:cs="Arial"/>
          <w:sz w:val="20"/>
          <w:szCs w:val="20"/>
        </w:rPr>
        <w:lastRenderedPageBreak/>
        <w:t xml:space="preserve"> </w:t>
      </w:r>
    </w:p>
    <w:p w14:paraId="5EB8A41E" w14:textId="77777777" w:rsidR="00B7164C" w:rsidRPr="003F7A9C" w:rsidRDefault="00C069A2" w:rsidP="00D20486">
      <w:pPr>
        <w:pStyle w:val="Heading1"/>
        <w:rPr>
          <w:sz w:val="28"/>
          <w:szCs w:val="28"/>
        </w:rPr>
      </w:pPr>
      <w:bookmarkStart w:id="39" w:name="_Toc468797913"/>
      <w:proofErr w:type="gramStart"/>
      <w:r w:rsidRPr="003F7A9C">
        <w:rPr>
          <w:sz w:val="28"/>
          <w:szCs w:val="28"/>
        </w:rPr>
        <w:t>Section 3</w:t>
      </w:r>
      <w:r w:rsidR="003129E8" w:rsidRPr="003F7A9C">
        <w:rPr>
          <w:sz w:val="28"/>
          <w:szCs w:val="28"/>
        </w:rPr>
        <w:t>.</w:t>
      </w:r>
      <w:proofErr w:type="gramEnd"/>
      <w:r w:rsidRPr="003F7A9C">
        <w:rPr>
          <w:sz w:val="28"/>
          <w:szCs w:val="28"/>
        </w:rPr>
        <w:t xml:space="preserve"> Load Shapes</w:t>
      </w:r>
      <w:bookmarkEnd w:id="39"/>
      <w:r w:rsidR="00844B27" w:rsidRPr="003F7A9C">
        <w:rPr>
          <w:sz w:val="28"/>
          <w:szCs w:val="28"/>
        </w:rPr>
        <w:t xml:space="preserve"> </w:t>
      </w:r>
    </w:p>
    <w:p w14:paraId="5EB8A41F" w14:textId="77777777" w:rsidR="00A06A54" w:rsidRPr="0008537D" w:rsidRDefault="00A06A54" w:rsidP="00A06A54">
      <w:pPr>
        <w:autoSpaceDE w:val="0"/>
        <w:autoSpaceDN w:val="0"/>
        <w:adjustRightInd w:val="0"/>
        <w:rPr>
          <w:rFonts w:ascii="Arial" w:hAnsi="Arial" w:cs="Arial"/>
          <w:sz w:val="20"/>
          <w:szCs w:val="20"/>
        </w:rPr>
      </w:pPr>
      <w:r w:rsidRPr="0008537D">
        <w:rPr>
          <w:rFonts w:ascii="Arial" w:hAnsi="Arial" w:cs="Arial"/>
          <w:sz w:val="20"/>
          <w:szCs w:val="20"/>
        </w:rPr>
        <w:t>Load Shapes are an important part of the life-cycle cost analysis of any energy efficiency program portfolio.</w:t>
      </w:r>
      <w:r w:rsidR="00A97045">
        <w:rPr>
          <w:rFonts w:ascii="Arial" w:hAnsi="Arial" w:cs="Arial"/>
          <w:sz w:val="20"/>
          <w:szCs w:val="20"/>
        </w:rPr>
        <w:t xml:space="preserve"> </w:t>
      </w:r>
      <w:r w:rsidRPr="0008537D">
        <w:rPr>
          <w:rFonts w:ascii="Arial" w:hAnsi="Arial" w:cs="Arial"/>
          <w:sz w:val="20"/>
          <w:szCs w:val="20"/>
        </w:rPr>
        <w:t>The net benefits associated with a measure are based on the amount of energy saved and the avoided cost per unit of energy saved.</w:t>
      </w:r>
      <w:r w:rsidR="00A97045">
        <w:rPr>
          <w:rFonts w:ascii="Arial" w:hAnsi="Arial" w:cs="Arial"/>
          <w:sz w:val="20"/>
          <w:szCs w:val="20"/>
        </w:rPr>
        <w:t xml:space="preserve"> </w:t>
      </w:r>
      <w:r w:rsidRPr="0008537D">
        <w:rPr>
          <w:rFonts w:ascii="Arial" w:hAnsi="Arial" w:cs="Arial"/>
          <w:sz w:val="20"/>
          <w:szCs w:val="20"/>
        </w:rPr>
        <w:t>For electricity, the avoided cost varies hourly over an entire year.</w:t>
      </w:r>
      <w:r w:rsidR="00A97045">
        <w:rPr>
          <w:rFonts w:ascii="Arial" w:hAnsi="Arial" w:cs="Arial"/>
          <w:sz w:val="20"/>
          <w:szCs w:val="20"/>
        </w:rPr>
        <w:t xml:space="preserve"> </w:t>
      </w:r>
      <w:r w:rsidRPr="0008537D">
        <w:rPr>
          <w:rFonts w:ascii="Arial" w:hAnsi="Arial" w:cs="Arial"/>
          <w:sz w:val="20"/>
          <w:szCs w:val="20"/>
        </w:rPr>
        <w:t>Thus, the net benefits calculation for a measure requires both the total annual energy savings (kWh) of the measure and the distribution of that savings over the year.</w:t>
      </w:r>
      <w:r w:rsidR="00A97045">
        <w:rPr>
          <w:rFonts w:ascii="Arial" w:hAnsi="Arial" w:cs="Arial"/>
          <w:sz w:val="20"/>
          <w:szCs w:val="20"/>
        </w:rPr>
        <w:t xml:space="preserve"> </w:t>
      </w:r>
      <w:r w:rsidRPr="0008537D">
        <w:rPr>
          <w:rFonts w:ascii="Arial" w:hAnsi="Arial" w:cs="Arial"/>
          <w:sz w:val="20"/>
          <w:szCs w:val="20"/>
        </w:rPr>
        <w:t>The distribution of savings over the year is represented by the measure’s load shape.</w:t>
      </w:r>
      <w:r w:rsidR="00A97045">
        <w:rPr>
          <w:rFonts w:ascii="Arial" w:hAnsi="Arial" w:cs="Arial"/>
          <w:sz w:val="20"/>
          <w:szCs w:val="20"/>
        </w:rPr>
        <w:t xml:space="preserve"> </w:t>
      </w:r>
      <w:r w:rsidRPr="0008537D">
        <w:rPr>
          <w:rFonts w:ascii="Arial" w:hAnsi="Arial" w:cs="Arial"/>
          <w:sz w:val="20"/>
          <w:szCs w:val="20"/>
        </w:rPr>
        <w:t>The measure’s load shape indicates what fraction of annual energy savings occurs in each time period of the year.</w:t>
      </w:r>
      <w:r w:rsidR="00A97045">
        <w:rPr>
          <w:rFonts w:ascii="Arial" w:hAnsi="Arial" w:cs="Arial"/>
          <w:sz w:val="20"/>
          <w:szCs w:val="20"/>
        </w:rPr>
        <w:t xml:space="preserve"> </w:t>
      </w:r>
      <w:r w:rsidRPr="0008537D">
        <w:rPr>
          <w:rFonts w:ascii="Arial" w:hAnsi="Arial" w:cs="Arial"/>
          <w:sz w:val="20"/>
          <w:szCs w:val="20"/>
        </w:rPr>
        <w:t>An hourly load shape indicates what fraction of annual savings occurs for each hour of the year.</w:t>
      </w:r>
      <w:r w:rsidR="00A97045">
        <w:rPr>
          <w:rFonts w:ascii="Arial" w:hAnsi="Arial" w:cs="Arial"/>
          <w:sz w:val="20"/>
          <w:szCs w:val="20"/>
        </w:rPr>
        <w:t xml:space="preserve"> </w:t>
      </w:r>
      <w:r w:rsidRPr="0008537D">
        <w:rPr>
          <w:rFonts w:ascii="Arial" w:hAnsi="Arial" w:cs="Arial"/>
          <w:sz w:val="20"/>
          <w:szCs w:val="20"/>
        </w:rPr>
        <w:t>A Time-of-Use (TOU) load shape indicates what fraction occurs within five or six broad time-of-use periods, typically defined by a specific utility rate tariff.</w:t>
      </w:r>
      <w:r w:rsidR="00A97045">
        <w:rPr>
          <w:rFonts w:ascii="Arial" w:hAnsi="Arial" w:cs="Arial"/>
          <w:sz w:val="20"/>
          <w:szCs w:val="20"/>
        </w:rPr>
        <w:t xml:space="preserve"> </w:t>
      </w:r>
      <w:r w:rsidRPr="0008537D">
        <w:rPr>
          <w:rFonts w:ascii="Arial" w:hAnsi="Arial" w:cs="Arial"/>
          <w:sz w:val="20"/>
          <w:szCs w:val="20"/>
        </w:rPr>
        <w:t>Formally, a load shape is a set of fractions summing to unity, one fraction for each hour or for each TOU period.</w:t>
      </w:r>
      <w:r w:rsidR="00A97045">
        <w:rPr>
          <w:rFonts w:ascii="Arial" w:hAnsi="Arial" w:cs="Arial"/>
          <w:sz w:val="20"/>
          <w:szCs w:val="20"/>
        </w:rPr>
        <w:t xml:space="preserve"> </w:t>
      </w:r>
      <w:r w:rsidRPr="0008537D">
        <w:rPr>
          <w:rFonts w:ascii="Arial" w:hAnsi="Arial" w:cs="Arial"/>
          <w:sz w:val="20"/>
          <w:szCs w:val="20"/>
        </w:rPr>
        <w:t xml:space="preserve">Multiplying the measure load shape with the hourly avoided cost stream determines the average avoided cost per kWh for use in the life cycle cost analysis that determines a measure’s Total Resource Cost (TRC) benefit. </w:t>
      </w:r>
    </w:p>
    <w:p w14:paraId="5EB8A420" w14:textId="77777777" w:rsidR="00B7164C" w:rsidRPr="007A4D97" w:rsidRDefault="00BF0332" w:rsidP="00B7164C">
      <w:pPr>
        <w:pStyle w:val="Heading2"/>
        <w:keepNext w:val="0"/>
      </w:pPr>
      <w:bookmarkStart w:id="40" w:name="_Toc173742996"/>
      <w:bookmarkStart w:id="41" w:name="_Toc468797914"/>
      <w:r w:rsidRPr="007A4D97">
        <w:t>3.1 Base Case</w:t>
      </w:r>
      <w:r w:rsidR="00B7164C" w:rsidRPr="007A4D97">
        <w:t xml:space="preserve"> Load Shapes</w:t>
      </w:r>
      <w:bookmarkEnd w:id="40"/>
      <w:bookmarkEnd w:id="41"/>
    </w:p>
    <w:p w14:paraId="5EB8A421" w14:textId="18C6CE01" w:rsidR="008840FA" w:rsidRPr="00A209A2" w:rsidRDefault="00B66898" w:rsidP="008840FA">
      <w:pPr>
        <w:rPr>
          <w:rFonts w:ascii="Arial" w:hAnsi="Arial" w:cs="Arial"/>
          <w:sz w:val="20"/>
          <w:szCs w:val="20"/>
        </w:rPr>
      </w:pPr>
      <w:bookmarkStart w:id="42" w:name="_Toc173742997"/>
      <w:r w:rsidRPr="00A209A2">
        <w:rPr>
          <w:rFonts w:ascii="Arial" w:hAnsi="Arial" w:cs="Arial"/>
          <w:sz w:val="20"/>
          <w:szCs w:val="20"/>
        </w:rPr>
        <w:t>T</w:t>
      </w:r>
      <w:r w:rsidR="008840FA" w:rsidRPr="00A209A2">
        <w:rPr>
          <w:rFonts w:ascii="Arial" w:hAnsi="Arial" w:cs="Arial"/>
          <w:sz w:val="20"/>
          <w:szCs w:val="20"/>
        </w:rPr>
        <w:t xml:space="preserve">he closest load shape chosen for this measure is the </w:t>
      </w:r>
      <w:r w:rsidR="00501673">
        <w:rPr>
          <w:rFonts w:ascii="Arial" w:hAnsi="Arial" w:cs="Arial"/>
          <w:sz w:val="20"/>
          <w:szCs w:val="20"/>
        </w:rPr>
        <w:t>“</w:t>
      </w:r>
      <w:proofErr w:type="spellStart"/>
      <w:r w:rsidR="008840FA" w:rsidRPr="00A209A2">
        <w:rPr>
          <w:rFonts w:ascii="Arial" w:hAnsi="Arial" w:cs="Arial"/>
          <w:sz w:val="20"/>
          <w:szCs w:val="20"/>
        </w:rPr>
        <w:t>DEER</w:t>
      </w:r>
      <w:proofErr w:type="gramStart"/>
      <w:r w:rsidR="008840FA" w:rsidRPr="00A209A2">
        <w:rPr>
          <w:rFonts w:ascii="Arial" w:hAnsi="Arial" w:cs="Arial"/>
          <w:sz w:val="20"/>
          <w:szCs w:val="20"/>
        </w:rPr>
        <w:t>:Indoor</w:t>
      </w:r>
      <w:proofErr w:type="gramEnd"/>
      <w:r w:rsidR="008840FA" w:rsidRPr="00A209A2">
        <w:rPr>
          <w:rFonts w:ascii="Arial" w:hAnsi="Arial" w:cs="Arial"/>
          <w:sz w:val="20"/>
          <w:szCs w:val="20"/>
        </w:rPr>
        <w:t>_</w:t>
      </w:r>
      <w:r w:rsidR="0079606B">
        <w:rPr>
          <w:rFonts w:ascii="Arial" w:hAnsi="Arial" w:cs="Arial"/>
          <w:sz w:val="20"/>
          <w:szCs w:val="20"/>
        </w:rPr>
        <w:t>Non-</w:t>
      </w:r>
      <w:r w:rsidR="008840FA" w:rsidRPr="00A209A2">
        <w:rPr>
          <w:rFonts w:ascii="Arial" w:hAnsi="Arial" w:cs="Arial"/>
          <w:sz w:val="20"/>
          <w:szCs w:val="20"/>
        </w:rPr>
        <w:t>CFL_Ltg</w:t>
      </w:r>
      <w:proofErr w:type="spellEnd"/>
      <w:r w:rsidR="00501673">
        <w:rPr>
          <w:rFonts w:ascii="Arial" w:hAnsi="Arial" w:cs="Arial"/>
          <w:sz w:val="20"/>
          <w:szCs w:val="20"/>
        </w:rPr>
        <w:t>”</w:t>
      </w:r>
      <w:r w:rsidR="008840FA" w:rsidRPr="00A209A2">
        <w:rPr>
          <w:rFonts w:ascii="Arial" w:hAnsi="Arial" w:cs="Arial"/>
          <w:sz w:val="20"/>
          <w:szCs w:val="20"/>
        </w:rPr>
        <w:t xml:space="preserve"> load shape.</w:t>
      </w:r>
      <w:r w:rsidR="00476B67" w:rsidRPr="00A209A2">
        <w:rPr>
          <w:rFonts w:ascii="Arial" w:hAnsi="Arial" w:cs="Arial"/>
          <w:sz w:val="20"/>
          <w:szCs w:val="20"/>
        </w:rPr>
        <w:t xml:space="preserve"> </w:t>
      </w:r>
    </w:p>
    <w:p w14:paraId="5EB8A422" w14:textId="77777777" w:rsidR="00B66898" w:rsidRPr="00A209A2" w:rsidRDefault="00B66898" w:rsidP="008840FA">
      <w:pPr>
        <w:pStyle w:val="Caption"/>
        <w:jc w:val="center"/>
        <w:rPr>
          <w:rFonts w:ascii="Arial" w:hAnsi="Arial" w:cs="Arial"/>
        </w:rPr>
      </w:pPr>
    </w:p>
    <w:p w14:paraId="5EB8A423" w14:textId="77777777" w:rsidR="00B7164C" w:rsidRPr="00A209A2" w:rsidRDefault="00B7164C" w:rsidP="00D20486">
      <w:pPr>
        <w:pStyle w:val="Heading2"/>
        <w:keepNext w:val="0"/>
      </w:pPr>
      <w:bookmarkStart w:id="43" w:name="_Toc468797915"/>
      <w:r w:rsidRPr="00A209A2">
        <w:t>3.2 Measure Load Shapes</w:t>
      </w:r>
      <w:bookmarkEnd w:id="42"/>
      <w:bookmarkEnd w:id="43"/>
    </w:p>
    <w:p w14:paraId="5EB8A424" w14:textId="77777777" w:rsidR="00B66898" w:rsidRPr="00A209A2" w:rsidRDefault="009B6201" w:rsidP="003C6DFA">
      <w:pPr>
        <w:rPr>
          <w:rFonts w:ascii="Arial" w:hAnsi="Arial" w:cs="Arial"/>
          <w:sz w:val="20"/>
          <w:szCs w:val="20"/>
        </w:rPr>
      </w:pPr>
      <w:r w:rsidRPr="00A209A2">
        <w:rPr>
          <w:rFonts w:ascii="Arial" w:hAnsi="Arial" w:cs="Arial"/>
          <w:sz w:val="20"/>
          <w:szCs w:val="20"/>
        </w:rPr>
        <w:t xml:space="preserve">The </w:t>
      </w:r>
      <w:r w:rsidR="00F47D9D" w:rsidRPr="00A209A2">
        <w:rPr>
          <w:rFonts w:ascii="Arial" w:hAnsi="Arial" w:cs="Arial"/>
          <w:sz w:val="20"/>
          <w:szCs w:val="20"/>
        </w:rPr>
        <w:t>measure load shape for this measure is</w:t>
      </w:r>
      <w:r w:rsidR="00AB2D9E" w:rsidRPr="00A209A2">
        <w:rPr>
          <w:rFonts w:ascii="Arial" w:hAnsi="Arial" w:cs="Arial"/>
          <w:sz w:val="20"/>
          <w:szCs w:val="20"/>
        </w:rPr>
        <w:t xml:space="preserve"> determined based o</w:t>
      </w:r>
      <w:r w:rsidR="00F47D9D" w:rsidRPr="00A209A2">
        <w:rPr>
          <w:rFonts w:ascii="Arial" w:hAnsi="Arial" w:cs="Arial"/>
          <w:sz w:val="20"/>
          <w:szCs w:val="20"/>
        </w:rPr>
        <w:t>n</w:t>
      </w:r>
      <w:r w:rsidR="00AB2D9E" w:rsidRPr="00A209A2">
        <w:rPr>
          <w:rFonts w:ascii="Arial" w:hAnsi="Arial" w:cs="Arial"/>
          <w:sz w:val="20"/>
          <w:szCs w:val="20"/>
        </w:rPr>
        <w:t xml:space="preserve"> the applicable </w:t>
      </w:r>
      <w:r w:rsidR="0079606B">
        <w:rPr>
          <w:rFonts w:ascii="Arial" w:hAnsi="Arial" w:cs="Arial"/>
          <w:sz w:val="20"/>
          <w:szCs w:val="20"/>
        </w:rPr>
        <w:t xml:space="preserve">non-residential </w:t>
      </w:r>
      <w:r w:rsidR="00AB2D9E" w:rsidRPr="00A209A2">
        <w:rPr>
          <w:rFonts w:ascii="Arial" w:hAnsi="Arial" w:cs="Arial"/>
          <w:sz w:val="20"/>
          <w:szCs w:val="20"/>
        </w:rPr>
        <w:t>market sector</w:t>
      </w:r>
      <w:r w:rsidR="00F47D9D" w:rsidRPr="00A209A2">
        <w:rPr>
          <w:rFonts w:ascii="Arial" w:hAnsi="Arial" w:cs="Arial"/>
          <w:sz w:val="20"/>
          <w:szCs w:val="20"/>
        </w:rPr>
        <w:t xml:space="preserve"> and the </w:t>
      </w:r>
      <w:r w:rsidR="00A209A2" w:rsidRPr="00A209A2">
        <w:rPr>
          <w:rFonts w:ascii="Arial" w:hAnsi="Arial" w:cs="Arial"/>
          <w:sz w:val="20"/>
          <w:szCs w:val="20"/>
        </w:rPr>
        <w:t>lighting</w:t>
      </w:r>
      <w:r w:rsidR="00F47D9D" w:rsidRPr="00A209A2">
        <w:rPr>
          <w:rFonts w:ascii="Arial" w:hAnsi="Arial" w:cs="Arial"/>
          <w:sz w:val="20"/>
          <w:szCs w:val="20"/>
        </w:rPr>
        <w:t xml:space="preserve"> end-use.</w:t>
      </w:r>
      <w:r w:rsidR="00476B67" w:rsidRPr="00A209A2">
        <w:rPr>
          <w:rFonts w:ascii="Arial" w:hAnsi="Arial" w:cs="Arial"/>
          <w:sz w:val="20"/>
          <w:szCs w:val="20"/>
        </w:rPr>
        <w:t xml:space="preserve"> </w:t>
      </w:r>
    </w:p>
    <w:p w14:paraId="5EB8A425" w14:textId="77777777" w:rsidR="00DF3395" w:rsidRPr="00A209A2" w:rsidRDefault="00B66898" w:rsidP="003C6DFA">
      <w:pPr>
        <w:rPr>
          <w:rFonts w:ascii="Arial" w:hAnsi="Arial" w:cs="Arial"/>
          <w:sz w:val="20"/>
          <w:szCs w:val="20"/>
        </w:rPr>
      </w:pPr>
      <w:r w:rsidRPr="00A209A2">
        <w:rPr>
          <w:rFonts w:ascii="Arial" w:hAnsi="Arial" w:cs="Arial"/>
          <w:sz w:val="20"/>
          <w:szCs w:val="20"/>
        </w:rPr>
        <w:t xml:space="preserve"> </w:t>
      </w:r>
    </w:p>
    <w:p w14:paraId="5EB8A426" w14:textId="77777777" w:rsidR="00D87EFF" w:rsidRDefault="00B66898" w:rsidP="00D87EFF">
      <w:pPr>
        <w:rPr>
          <w:rFonts w:ascii="Arial" w:hAnsi="Arial" w:cs="Arial"/>
          <w:sz w:val="20"/>
          <w:szCs w:val="20"/>
        </w:rPr>
      </w:pPr>
      <w:r w:rsidRPr="00A209A2">
        <w:rPr>
          <w:rFonts w:ascii="Arial" w:hAnsi="Arial" w:cs="Arial"/>
          <w:sz w:val="20"/>
          <w:szCs w:val="20"/>
        </w:rPr>
        <w:t>T</w:t>
      </w:r>
      <w:r w:rsidR="00D87EFF" w:rsidRPr="00A209A2">
        <w:rPr>
          <w:rFonts w:ascii="Arial" w:hAnsi="Arial" w:cs="Arial"/>
          <w:sz w:val="20"/>
          <w:szCs w:val="20"/>
        </w:rPr>
        <w:t xml:space="preserve">he closest load shape chosen for this measure is the </w:t>
      </w:r>
      <w:proofErr w:type="spellStart"/>
      <w:r w:rsidR="00D87EFF" w:rsidRPr="00A209A2">
        <w:rPr>
          <w:rFonts w:ascii="Arial" w:hAnsi="Arial" w:cs="Arial"/>
          <w:sz w:val="20"/>
          <w:szCs w:val="20"/>
        </w:rPr>
        <w:t>DEER</w:t>
      </w:r>
      <w:proofErr w:type="gramStart"/>
      <w:r w:rsidR="00D87EFF" w:rsidRPr="00A209A2">
        <w:rPr>
          <w:rFonts w:ascii="Arial" w:hAnsi="Arial" w:cs="Arial"/>
          <w:sz w:val="20"/>
          <w:szCs w:val="20"/>
        </w:rPr>
        <w:t>:Indoor</w:t>
      </w:r>
      <w:proofErr w:type="gramEnd"/>
      <w:r w:rsidR="00D87EFF" w:rsidRPr="00A209A2">
        <w:rPr>
          <w:rFonts w:ascii="Arial" w:hAnsi="Arial" w:cs="Arial"/>
          <w:sz w:val="20"/>
          <w:szCs w:val="20"/>
        </w:rPr>
        <w:t>_</w:t>
      </w:r>
      <w:r w:rsidR="0079606B">
        <w:rPr>
          <w:rFonts w:ascii="Arial" w:hAnsi="Arial" w:cs="Arial"/>
          <w:sz w:val="20"/>
          <w:szCs w:val="20"/>
        </w:rPr>
        <w:t>Non-</w:t>
      </w:r>
      <w:r w:rsidR="00D87EFF" w:rsidRPr="00A209A2">
        <w:rPr>
          <w:rFonts w:ascii="Arial" w:hAnsi="Arial" w:cs="Arial"/>
          <w:sz w:val="20"/>
          <w:szCs w:val="20"/>
        </w:rPr>
        <w:t>CFL_Ltg</w:t>
      </w:r>
      <w:proofErr w:type="spellEnd"/>
      <w:r w:rsidR="00D87EFF" w:rsidRPr="00A209A2">
        <w:rPr>
          <w:rFonts w:ascii="Arial" w:hAnsi="Arial" w:cs="Arial"/>
          <w:sz w:val="20"/>
          <w:szCs w:val="20"/>
        </w:rPr>
        <w:t xml:space="preserve"> load shape.</w:t>
      </w:r>
      <w:r w:rsidR="00476B67" w:rsidRPr="00A209A2">
        <w:rPr>
          <w:rFonts w:ascii="Arial" w:hAnsi="Arial" w:cs="Arial"/>
          <w:sz w:val="20"/>
          <w:szCs w:val="20"/>
        </w:rPr>
        <w:t xml:space="preserve"> </w:t>
      </w:r>
      <w:r w:rsidR="00D87EFF" w:rsidRPr="00A209A2">
        <w:rPr>
          <w:rFonts w:ascii="Arial" w:hAnsi="Arial" w:cs="Arial"/>
          <w:sz w:val="20"/>
          <w:szCs w:val="20"/>
        </w:rPr>
        <w:t>See the KEMA report [31] for a more thorough discussion regarding the load shapes for this measure.</w:t>
      </w:r>
    </w:p>
    <w:p w14:paraId="5EB8A428" w14:textId="77777777" w:rsidR="00250D6C" w:rsidRDefault="00250D6C" w:rsidP="00250D6C"/>
    <w:p w14:paraId="2935D4A4" w14:textId="5F34F739" w:rsidR="00FC1C09" w:rsidRDefault="00FC1C09" w:rsidP="00250D6C"/>
    <w:p w14:paraId="5D1FA790" w14:textId="7953586E" w:rsidR="00FC1C09" w:rsidRDefault="00A53D5C" w:rsidP="00250D6C">
      <w:r>
        <w:br w:type="page"/>
      </w:r>
    </w:p>
    <w:p w14:paraId="5EB8A42D" w14:textId="77777777" w:rsidR="0091058D" w:rsidRPr="0076572D" w:rsidRDefault="00C069A2" w:rsidP="006C1C28">
      <w:pPr>
        <w:pStyle w:val="Heading1"/>
        <w:keepLines/>
      </w:pPr>
      <w:bookmarkStart w:id="44" w:name="_Toc468797916"/>
      <w:proofErr w:type="gramStart"/>
      <w:r w:rsidRPr="0076572D">
        <w:lastRenderedPageBreak/>
        <w:t>Section 4</w:t>
      </w:r>
      <w:r w:rsidR="003129E8" w:rsidRPr="0076572D">
        <w:t>.</w:t>
      </w:r>
      <w:proofErr w:type="gramEnd"/>
      <w:r w:rsidRPr="0076572D">
        <w:t xml:space="preserve"> Base Case &amp; Measure Costs</w:t>
      </w:r>
      <w:bookmarkEnd w:id="44"/>
    </w:p>
    <w:p w14:paraId="5EB8A42E" w14:textId="77777777" w:rsidR="0094555E" w:rsidRPr="00EC4B0D" w:rsidRDefault="00505D2B" w:rsidP="0094555E">
      <w:pPr>
        <w:rPr>
          <w:rFonts w:ascii="Arial" w:hAnsi="Arial" w:cs="Arial"/>
          <w:sz w:val="20"/>
          <w:szCs w:val="20"/>
        </w:rPr>
      </w:pPr>
      <w:r>
        <w:rPr>
          <w:rFonts w:ascii="Arial" w:hAnsi="Arial" w:cs="Arial"/>
          <w:sz w:val="20"/>
          <w:szCs w:val="20"/>
        </w:rPr>
        <w:t>DEER 201</w:t>
      </w:r>
      <w:r w:rsidR="00CA1504">
        <w:rPr>
          <w:rFonts w:ascii="Arial" w:hAnsi="Arial" w:cs="Arial"/>
          <w:sz w:val="20"/>
          <w:szCs w:val="20"/>
        </w:rPr>
        <w:t>6</w:t>
      </w:r>
      <w:r w:rsidR="0094555E" w:rsidRPr="00EC4B0D">
        <w:rPr>
          <w:rFonts w:ascii="Arial" w:hAnsi="Arial" w:cs="Arial"/>
          <w:sz w:val="20"/>
          <w:szCs w:val="20"/>
        </w:rPr>
        <w:t xml:space="preserve"> does not have measure cost data for LED </w:t>
      </w:r>
      <w:r w:rsidR="0095234F" w:rsidRPr="00EC4B0D">
        <w:rPr>
          <w:rFonts w:ascii="Arial" w:hAnsi="Arial" w:cs="Arial"/>
          <w:sz w:val="20"/>
          <w:szCs w:val="20"/>
        </w:rPr>
        <w:t>fixtures</w:t>
      </w:r>
      <w:r w:rsidR="0094555E" w:rsidRPr="00EC4B0D">
        <w:rPr>
          <w:rFonts w:ascii="Arial" w:hAnsi="Arial" w:cs="Arial"/>
          <w:sz w:val="20"/>
          <w:szCs w:val="20"/>
        </w:rPr>
        <w:t>.</w:t>
      </w:r>
    </w:p>
    <w:p w14:paraId="5EB8A42F" w14:textId="77777777" w:rsidR="00D17F75" w:rsidRDefault="00C069A2" w:rsidP="00D17F75">
      <w:pPr>
        <w:pStyle w:val="Heading2"/>
      </w:pPr>
      <w:bookmarkStart w:id="45" w:name="_Toc468797917"/>
      <w:r w:rsidRPr="00DC6AFC">
        <w:t>4.1 Base Case Costs</w:t>
      </w:r>
      <w:bookmarkEnd w:id="45"/>
    </w:p>
    <w:p w14:paraId="5EB8A430" w14:textId="77777777" w:rsidR="00DD1C47" w:rsidRDefault="00D17F75" w:rsidP="0079606B">
      <w:pPr>
        <w:rPr>
          <w:rFonts w:ascii="Arial" w:hAnsi="Arial" w:cs="Arial"/>
          <w:sz w:val="20"/>
          <w:szCs w:val="20"/>
        </w:rPr>
      </w:pPr>
      <w:r w:rsidRPr="00EC4B0D">
        <w:rPr>
          <w:rFonts w:ascii="Arial" w:hAnsi="Arial" w:cs="Arial"/>
          <w:sz w:val="20"/>
          <w:szCs w:val="20"/>
        </w:rPr>
        <w:t>I</w:t>
      </w:r>
      <w:r w:rsidR="00BE06A4" w:rsidRPr="00EC4B0D">
        <w:rPr>
          <w:rFonts w:ascii="Arial" w:hAnsi="Arial" w:cs="Arial"/>
          <w:sz w:val="20"/>
          <w:szCs w:val="20"/>
        </w:rPr>
        <w:t xml:space="preserve">t is assumed the labor cost of replacing </w:t>
      </w:r>
      <w:r w:rsidR="00F1764E">
        <w:rPr>
          <w:rFonts w:ascii="Arial" w:hAnsi="Arial" w:cs="Arial"/>
          <w:sz w:val="20"/>
          <w:szCs w:val="20"/>
        </w:rPr>
        <w:t>the measure case</w:t>
      </w:r>
      <w:r w:rsidR="00BE06A4" w:rsidRPr="00EC4B0D">
        <w:rPr>
          <w:rFonts w:ascii="Arial" w:hAnsi="Arial" w:cs="Arial"/>
          <w:sz w:val="20"/>
          <w:szCs w:val="20"/>
        </w:rPr>
        <w:t xml:space="preserve"> </w:t>
      </w:r>
      <w:r w:rsidR="0079606B" w:rsidRPr="00EC4B0D">
        <w:rPr>
          <w:rFonts w:ascii="Arial" w:hAnsi="Arial" w:cs="Arial"/>
          <w:sz w:val="20"/>
          <w:szCs w:val="20"/>
        </w:rPr>
        <w:t xml:space="preserve">fixture would </w:t>
      </w:r>
      <w:r w:rsidR="00BE06A4" w:rsidRPr="00EC4B0D">
        <w:rPr>
          <w:rFonts w:ascii="Arial" w:hAnsi="Arial" w:cs="Arial"/>
          <w:sz w:val="20"/>
          <w:szCs w:val="20"/>
        </w:rPr>
        <w:t>be the same</w:t>
      </w:r>
      <w:r w:rsidR="00F1764E">
        <w:rPr>
          <w:rFonts w:ascii="Arial" w:hAnsi="Arial" w:cs="Arial"/>
          <w:sz w:val="20"/>
          <w:szCs w:val="20"/>
        </w:rPr>
        <w:t xml:space="preserve"> as the base case fixture</w:t>
      </w:r>
      <w:r w:rsidR="002E029C" w:rsidRPr="00EC4B0D">
        <w:rPr>
          <w:rFonts w:ascii="Arial" w:hAnsi="Arial" w:cs="Arial"/>
          <w:sz w:val="20"/>
          <w:szCs w:val="20"/>
        </w:rPr>
        <w:t>.</w:t>
      </w:r>
      <w:r w:rsidR="00BE06A4" w:rsidRPr="00EC4B0D">
        <w:rPr>
          <w:rFonts w:ascii="Arial" w:hAnsi="Arial" w:cs="Arial"/>
          <w:sz w:val="20"/>
          <w:szCs w:val="20"/>
        </w:rPr>
        <w:t xml:space="preserve"> </w:t>
      </w:r>
      <w:r w:rsidR="002E029C" w:rsidRPr="00EC4B0D">
        <w:rPr>
          <w:rFonts w:ascii="Arial" w:hAnsi="Arial" w:cs="Arial"/>
          <w:sz w:val="20"/>
          <w:szCs w:val="20"/>
        </w:rPr>
        <w:t>T</w:t>
      </w:r>
      <w:r w:rsidR="00BE06A4" w:rsidRPr="00EC4B0D">
        <w:rPr>
          <w:rFonts w:ascii="Arial" w:hAnsi="Arial" w:cs="Arial"/>
          <w:sz w:val="20"/>
          <w:szCs w:val="20"/>
        </w:rPr>
        <w:t>he base case</w:t>
      </w:r>
      <w:r w:rsidR="0079606B" w:rsidRPr="00EC4B0D">
        <w:rPr>
          <w:rFonts w:ascii="Arial" w:hAnsi="Arial" w:cs="Arial"/>
          <w:sz w:val="20"/>
          <w:szCs w:val="20"/>
        </w:rPr>
        <w:t xml:space="preserve"> and measure case</w:t>
      </w:r>
      <w:r w:rsidR="00BE06A4" w:rsidRPr="00EC4B0D">
        <w:rPr>
          <w:rFonts w:ascii="Arial" w:hAnsi="Arial" w:cs="Arial"/>
          <w:sz w:val="20"/>
          <w:szCs w:val="20"/>
        </w:rPr>
        <w:t xml:space="preserve"> cost</w:t>
      </w:r>
      <w:r w:rsidR="0079606B" w:rsidRPr="00EC4B0D">
        <w:rPr>
          <w:rFonts w:ascii="Arial" w:hAnsi="Arial" w:cs="Arial"/>
          <w:sz w:val="20"/>
          <w:szCs w:val="20"/>
        </w:rPr>
        <w:t>s</w:t>
      </w:r>
      <w:r w:rsidR="00BE06A4" w:rsidRPr="00EC4B0D">
        <w:rPr>
          <w:rFonts w:ascii="Arial" w:hAnsi="Arial" w:cs="Arial"/>
          <w:sz w:val="20"/>
          <w:szCs w:val="20"/>
        </w:rPr>
        <w:t xml:space="preserve"> </w:t>
      </w:r>
      <w:r w:rsidR="00F1764E">
        <w:rPr>
          <w:rFonts w:ascii="Arial" w:hAnsi="Arial" w:cs="Arial"/>
          <w:sz w:val="20"/>
          <w:szCs w:val="20"/>
        </w:rPr>
        <w:t>include just equipment costs</w:t>
      </w:r>
      <w:r w:rsidR="0079606B" w:rsidRPr="00EC4B0D">
        <w:rPr>
          <w:rFonts w:ascii="Arial" w:hAnsi="Arial" w:cs="Arial"/>
          <w:sz w:val="20"/>
          <w:szCs w:val="20"/>
        </w:rPr>
        <w:t xml:space="preserve">. </w:t>
      </w:r>
      <w:r w:rsidR="00321DB0" w:rsidRPr="00EC4B0D">
        <w:rPr>
          <w:rFonts w:ascii="Arial" w:hAnsi="Arial" w:cs="Arial"/>
          <w:sz w:val="20"/>
          <w:szCs w:val="20"/>
        </w:rPr>
        <w:t xml:space="preserve"> The base case costs are taken from </w:t>
      </w:r>
      <w:r w:rsidR="00C060C8">
        <w:rPr>
          <w:rFonts w:ascii="Arial" w:hAnsi="Arial" w:cs="Arial"/>
          <w:sz w:val="20"/>
          <w:szCs w:val="20"/>
        </w:rPr>
        <w:t>distributor catalogs and websites and confirmed with manufacturer representatives where possible</w:t>
      </w:r>
      <w:r w:rsidR="00F1764E">
        <w:rPr>
          <w:rFonts w:ascii="Arial" w:hAnsi="Arial" w:cs="Arial"/>
          <w:sz w:val="20"/>
          <w:szCs w:val="20"/>
        </w:rPr>
        <w:t>.</w:t>
      </w:r>
      <w:r w:rsidR="00DA6C19">
        <w:rPr>
          <w:rFonts w:ascii="Arial" w:hAnsi="Arial" w:cs="Arial"/>
          <w:sz w:val="20"/>
          <w:szCs w:val="20"/>
        </w:rPr>
        <w:t xml:space="preserve"> </w:t>
      </w:r>
    </w:p>
    <w:p w14:paraId="5EB8A431" w14:textId="77777777" w:rsidR="003E0160" w:rsidRPr="00EC4B0D" w:rsidRDefault="003E0160" w:rsidP="0079606B">
      <w:pPr>
        <w:rPr>
          <w:rFonts w:ascii="Arial" w:hAnsi="Arial" w:cs="Arial"/>
          <w:sz w:val="20"/>
          <w:szCs w:val="20"/>
        </w:rPr>
      </w:pPr>
    </w:p>
    <w:p w14:paraId="5EB8A432" w14:textId="6A7B8328" w:rsidR="000D22E1" w:rsidRDefault="000D22E1" w:rsidP="000D22E1">
      <w:pPr>
        <w:pStyle w:val="Caption"/>
        <w:jc w:val="center"/>
      </w:pPr>
      <w:bookmarkStart w:id="46" w:name="_Toc468795525"/>
      <w:r>
        <w:t xml:space="preserve">Table </w:t>
      </w:r>
      <w:fldSimple w:instr=" SEQ Table \* ARABIC ">
        <w:r w:rsidR="00264804">
          <w:rPr>
            <w:noProof/>
          </w:rPr>
          <w:t>7</w:t>
        </w:r>
      </w:fldSimple>
      <w:r w:rsidR="00EC7B5B">
        <w:rPr>
          <w:noProof/>
        </w:rPr>
        <w:t xml:space="preserve"> </w:t>
      </w:r>
      <w:r w:rsidR="00EC7B5B">
        <w:t xml:space="preserve">- </w:t>
      </w:r>
      <w:r>
        <w:t xml:space="preserve">LED </w:t>
      </w:r>
      <w:r w:rsidR="00C27933">
        <w:t xml:space="preserve">Ambient Commercial </w:t>
      </w:r>
      <w:r w:rsidR="002E6C39">
        <w:t xml:space="preserve">Fixtures &amp; Retrofit Kits </w:t>
      </w:r>
      <w:r>
        <w:t>Base Case Cost Table</w:t>
      </w:r>
      <w:bookmarkEnd w:id="46"/>
    </w:p>
    <w:tbl>
      <w:tblPr>
        <w:tblW w:w="837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6"/>
        <w:gridCol w:w="2014"/>
      </w:tblGrid>
      <w:tr w:rsidR="0049475B" w:rsidRPr="0008537D" w14:paraId="5EB8A435" w14:textId="77777777" w:rsidTr="003E0160">
        <w:trPr>
          <w:trHeight w:val="163"/>
        </w:trPr>
        <w:tc>
          <w:tcPr>
            <w:tcW w:w="6356" w:type="dxa"/>
            <w:vAlign w:val="center"/>
          </w:tcPr>
          <w:p w14:paraId="5EB8A433" w14:textId="77777777" w:rsidR="0049475B" w:rsidRPr="00422D1A" w:rsidRDefault="0049475B" w:rsidP="00686886">
            <w:pPr>
              <w:jc w:val="center"/>
              <w:rPr>
                <w:rFonts w:ascii="Arial" w:hAnsi="Arial" w:cs="Arial"/>
                <w:b/>
                <w:sz w:val="20"/>
                <w:szCs w:val="20"/>
              </w:rPr>
            </w:pPr>
            <w:r w:rsidRPr="00422D1A">
              <w:rPr>
                <w:rFonts w:ascii="Arial" w:hAnsi="Arial" w:cs="Arial"/>
                <w:b/>
                <w:sz w:val="20"/>
                <w:szCs w:val="20"/>
              </w:rPr>
              <w:t>Measure Description</w:t>
            </w:r>
          </w:p>
        </w:tc>
        <w:tc>
          <w:tcPr>
            <w:tcW w:w="2014" w:type="dxa"/>
            <w:vAlign w:val="center"/>
          </w:tcPr>
          <w:p w14:paraId="5EB8A434" w14:textId="77777777" w:rsidR="0049475B" w:rsidRPr="00422D1A" w:rsidRDefault="0049475B" w:rsidP="00686886">
            <w:pPr>
              <w:jc w:val="center"/>
              <w:rPr>
                <w:rFonts w:ascii="Arial" w:hAnsi="Arial" w:cs="Arial"/>
                <w:b/>
                <w:sz w:val="20"/>
                <w:szCs w:val="20"/>
              </w:rPr>
            </w:pPr>
            <w:r w:rsidRPr="00422D1A">
              <w:rPr>
                <w:rFonts w:ascii="Arial" w:hAnsi="Arial" w:cs="Arial"/>
                <w:b/>
                <w:sz w:val="20"/>
                <w:szCs w:val="20"/>
              </w:rPr>
              <w:t xml:space="preserve">Base Case </w:t>
            </w:r>
            <w:r>
              <w:rPr>
                <w:rFonts w:ascii="Arial" w:hAnsi="Arial" w:cs="Arial"/>
                <w:b/>
                <w:sz w:val="20"/>
                <w:szCs w:val="20"/>
              </w:rPr>
              <w:t xml:space="preserve">Equipment </w:t>
            </w:r>
            <w:r w:rsidRPr="00422D1A">
              <w:rPr>
                <w:rFonts w:ascii="Arial" w:hAnsi="Arial" w:cs="Arial"/>
                <w:b/>
                <w:sz w:val="20"/>
                <w:szCs w:val="20"/>
              </w:rPr>
              <w:t>Cost</w:t>
            </w:r>
          </w:p>
        </w:tc>
      </w:tr>
      <w:tr w:rsidR="0049475B" w:rsidRPr="00C27933" w14:paraId="5EB8A438" w14:textId="77777777" w:rsidTr="003E0160">
        <w:trPr>
          <w:trHeight w:val="163"/>
        </w:trPr>
        <w:tc>
          <w:tcPr>
            <w:tcW w:w="6356" w:type="dxa"/>
            <w:vAlign w:val="center"/>
          </w:tcPr>
          <w:p w14:paraId="5EB8A436" w14:textId="77777777" w:rsidR="0049475B" w:rsidRPr="00C27933" w:rsidRDefault="00C060C8" w:rsidP="00C27933">
            <w:pPr>
              <w:jc w:val="center"/>
              <w:rPr>
                <w:rFonts w:ascii="Arial" w:eastAsiaTheme="minorHAnsi" w:hAnsi="Arial" w:cs="Arial"/>
                <w:color w:val="000000"/>
                <w:sz w:val="20"/>
                <w:szCs w:val="16"/>
              </w:rPr>
            </w:pPr>
            <w:r w:rsidRPr="00C27933">
              <w:rPr>
                <w:rFonts w:ascii="Arial" w:eastAsiaTheme="minorHAnsi" w:hAnsi="Arial" w:cs="Arial"/>
                <w:color w:val="000000"/>
                <w:sz w:val="18"/>
                <w:szCs w:val="16"/>
              </w:rPr>
              <w:t xml:space="preserve">All LED </w:t>
            </w:r>
            <w:r w:rsidR="00C27933" w:rsidRPr="00C27933">
              <w:rPr>
                <w:rFonts w:ascii="Arial" w:eastAsiaTheme="minorHAnsi" w:hAnsi="Arial" w:cs="Arial"/>
                <w:color w:val="000000"/>
                <w:sz w:val="18"/>
                <w:szCs w:val="16"/>
              </w:rPr>
              <w:t xml:space="preserve">Luminaires/Retrofit Kits Measures for Ambient Interior Commercial Spaces </w:t>
            </w:r>
          </w:p>
        </w:tc>
        <w:tc>
          <w:tcPr>
            <w:tcW w:w="2014" w:type="dxa"/>
            <w:vAlign w:val="center"/>
          </w:tcPr>
          <w:p w14:paraId="5EB8A437" w14:textId="77777777" w:rsidR="0049475B" w:rsidRPr="00C27933" w:rsidRDefault="0049475B" w:rsidP="00D63E5C">
            <w:pPr>
              <w:jc w:val="center"/>
              <w:rPr>
                <w:rFonts w:ascii="Arial" w:hAnsi="Arial" w:cs="Arial"/>
                <w:sz w:val="20"/>
                <w:szCs w:val="16"/>
              </w:rPr>
            </w:pPr>
            <w:r w:rsidRPr="00C27933">
              <w:rPr>
                <w:rFonts w:ascii="Arial" w:hAnsi="Arial" w:cs="Arial"/>
                <w:sz w:val="20"/>
                <w:szCs w:val="16"/>
              </w:rPr>
              <w:t xml:space="preserve"> $    </w:t>
            </w:r>
            <w:r w:rsidR="000573E7" w:rsidRPr="00C27933">
              <w:rPr>
                <w:rFonts w:ascii="Arial" w:hAnsi="Arial" w:cs="Arial"/>
                <w:sz w:val="20"/>
                <w:szCs w:val="16"/>
              </w:rPr>
              <w:t>15.</w:t>
            </w:r>
            <w:r w:rsidR="00D63E5C">
              <w:rPr>
                <w:rFonts w:ascii="Arial" w:hAnsi="Arial" w:cs="Arial"/>
                <w:sz w:val="20"/>
                <w:szCs w:val="16"/>
              </w:rPr>
              <w:t>55</w:t>
            </w:r>
            <w:r w:rsidRPr="00C27933">
              <w:rPr>
                <w:rFonts w:ascii="Arial" w:hAnsi="Arial" w:cs="Arial"/>
                <w:sz w:val="20"/>
                <w:szCs w:val="16"/>
              </w:rPr>
              <w:t xml:space="preserve"> </w:t>
            </w:r>
          </w:p>
        </w:tc>
      </w:tr>
    </w:tbl>
    <w:p w14:paraId="5EB8A43A" w14:textId="77777777" w:rsidR="005910C8" w:rsidRDefault="005910C8" w:rsidP="002D12AC">
      <w:pPr>
        <w:pStyle w:val="Heading2"/>
        <w:keepLines/>
      </w:pPr>
      <w:bookmarkStart w:id="47" w:name="_Toc468797918"/>
      <w:r>
        <w:t>4.2 Measure Costs</w:t>
      </w:r>
      <w:bookmarkEnd w:id="47"/>
    </w:p>
    <w:p w14:paraId="5EB8A43B" w14:textId="77777777" w:rsidR="00DF0993" w:rsidRDefault="005910C8" w:rsidP="005910C8">
      <w:pPr>
        <w:rPr>
          <w:rFonts w:ascii="Arial" w:hAnsi="Arial" w:cs="Arial"/>
          <w:sz w:val="20"/>
          <w:szCs w:val="20"/>
        </w:rPr>
      </w:pPr>
      <w:r w:rsidRPr="00EC4B0D">
        <w:rPr>
          <w:rFonts w:ascii="Arial" w:hAnsi="Arial" w:cs="Arial"/>
          <w:sz w:val="20"/>
          <w:szCs w:val="20"/>
        </w:rPr>
        <w:t>The</w:t>
      </w:r>
      <w:r w:rsidR="00930D20" w:rsidRPr="00EC4B0D">
        <w:rPr>
          <w:rFonts w:ascii="Arial" w:hAnsi="Arial" w:cs="Arial"/>
          <w:sz w:val="20"/>
          <w:szCs w:val="20"/>
        </w:rPr>
        <w:t xml:space="preserve"> measure</w:t>
      </w:r>
      <w:r w:rsidRPr="00EC4B0D">
        <w:rPr>
          <w:rFonts w:ascii="Arial" w:hAnsi="Arial" w:cs="Arial"/>
          <w:sz w:val="20"/>
          <w:szCs w:val="20"/>
        </w:rPr>
        <w:t xml:space="preserve"> </w:t>
      </w:r>
      <w:r w:rsidR="00F1764E">
        <w:rPr>
          <w:rFonts w:ascii="Arial" w:hAnsi="Arial" w:cs="Arial"/>
          <w:sz w:val="20"/>
          <w:szCs w:val="20"/>
        </w:rPr>
        <w:t xml:space="preserve">equipment costs were developed </w:t>
      </w:r>
      <w:r w:rsidR="00C060C8" w:rsidRPr="00EC4B0D">
        <w:rPr>
          <w:rFonts w:ascii="Arial" w:hAnsi="Arial" w:cs="Arial"/>
          <w:sz w:val="20"/>
          <w:szCs w:val="20"/>
        </w:rPr>
        <w:t xml:space="preserve">from </w:t>
      </w:r>
      <w:r w:rsidR="00C060C8">
        <w:rPr>
          <w:rFonts w:ascii="Arial" w:hAnsi="Arial" w:cs="Arial"/>
          <w:sz w:val="20"/>
          <w:szCs w:val="20"/>
        </w:rPr>
        <w:t>California distributor catalogs and websites and confirmed with manufacturer representatives where possible.</w:t>
      </w:r>
      <w:r w:rsidRPr="00EC4B0D">
        <w:rPr>
          <w:rFonts w:ascii="Arial" w:hAnsi="Arial" w:cs="Arial"/>
          <w:sz w:val="20"/>
          <w:szCs w:val="20"/>
        </w:rPr>
        <w:t xml:space="preserve"> </w:t>
      </w:r>
      <w:r w:rsidR="00C728C4">
        <w:rPr>
          <w:rFonts w:ascii="Arial" w:hAnsi="Arial" w:cs="Arial"/>
          <w:sz w:val="20"/>
          <w:szCs w:val="20"/>
        </w:rPr>
        <w:t xml:space="preserve">There are no </w:t>
      </w:r>
      <w:r w:rsidR="001F624A">
        <w:rPr>
          <w:rFonts w:ascii="Arial" w:hAnsi="Arial" w:cs="Arial"/>
          <w:sz w:val="20"/>
          <w:szCs w:val="20"/>
        </w:rPr>
        <w:t>DLC products qualified for LT063</w:t>
      </w:r>
      <w:r w:rsidR="00C728C4">
        <w:rPr>
          <w:rFonts w:ascii="Arial" w:hAnsi="Arial" w:cs="Arial"/>
          <w:sz w:val="20"/>
          <w:szCs w:val="20"/>
        </w:rPr>
        <w:t>, 1x4 retrofit kits &gt; 125 LPW, so costs for this measure code are based on the new fixture costs in this shape and efficacy because retrofit kit and new luminaire prices are the same for the 2x2 and 2x4 sizes.</w:t>
      </w:r>
    </w:p>
    <w:p w14:paraId="5EB8A43C" w14:textId="77777777" w:rsidR="002F2115" w:rsidRDefault="002F2115" w:rsidP="005910C8">
      <w:pPr>
        <w:rPr>
          <w:rFonts w:ascii="Arial" w:hAnsi="Arial" w:cs="Arial"/>
          <w:sz w:val="20"/>
          <w:szCs w:val="20"/>
        </w:rPr>
      </w:pPr>
    </w:p>
    <w:p w14:paraId="5EB8A43D" w14:textId="77777777" w:rsidR="00DF0993" w:rsidRDefault="00DF0993" w:rsidP="00DF0993">
      <w:pPr>
        <w:pStyle w:val="Caption"/>
        <w:jc w:val="center"/>
      </w:pPr>
      <w:bookmarkStart w:id="48" w:name="_Toc468795526"/>
      <w:r>
        <w:t xml:space="preserve">Table </w:t>
      </w:r>
      <w:fldSimple w:instr=" SEQ Table \* ARABIC ">
        <w:r w:rsidR="00264804">
          <w:rPr>
            <w:noProof/>
          </w:rPr>
          <w:t>8</w:t>
        </w:r>
      </w:fldSimple>
      <w:r w:rsidR="00DD12F1">
        <w:rPr>
          <w:noProof/>
        </w:rPr>
        <w:t xml:space="preserve"> </w:t>
      </w:r>
      <w:r>
        <w:t>-</w:t>
      </w:r>
      <w:r w:rsidR="00DD12F1">
        <w:t xml:space="preserve"> </w:t>
      </w:r>
      <w:r w:rsidR="00E669B7">
        <w:t xml:space="preserve">LED </w:t>
      </w:r>
      <w:r w:rsidR="00C27933">
        <w:t>Ambient Commercial</w:t>
      </w:r>
      <w:r w:rsidR="002E6C39">
        <w:t xml:space="preserve"> Fixtures &amp; Retrofit Kits </w:t>
      </w:r>
      <w:r w:rsidR="000D22E1">
        <w:t xml:space="preserve">Measure </w:t>
      </w:r>
      <w:r>
        <w:t>Cost Table</w:t>
      </w:r>
      <w:bookmarkEnd w:id="48"/>
    </w:p>
    <w:tbl>
      <w:tblPr>
        <w:tblW w:w="901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6133"/>
        <w:gridCol w:w="1445"/>
      </w:tblGrid>
      <w:tr w:rsidR="00C20A59" w:rsidRPr="0008537D" w14:paraId="5EB8A441" w14:textId="77777777" w:rsidTr="00C20A59">
        <w:trPr>
          <w:trHeight w:val="181"/>
        </w:trPr>
        <w:tc>
          <w:tcPr>
            <w:tcW w:w="1440" w:type="dxa"/>
          </w:tcPr>
          <w:p w14:paraId="5EB8A43E" w14:textId="77777777" w:rsidR="00C20A59" w:rsidRPr="00422D1A" w:rsidRDefault="00C20A59" w:rsidP="00686886">
            <w:pPr>
              <w:jc w:val="center"/>
              <w:rPr>
                <w:rFonts w:ascii="Arial" w:hAnsi="Arial" w:cs="Arial"/>
                <w:b/>
                <w:sz w:val="20"/>
                <w:szCs w:val="20"/>
              </w:rPr>
            </w:pPr>
            <w:r w:rsidRPr="00422D1A">
              <w:rPr>
                <w:rFonts w:ascii="Arial" w:hAnsi="Arial" w:cs="Arial"/>
                <w:b/>
                <w:sz w:val="20"/>
                <w:szCs w:val="20"/>
              </w:rPr>
              <w:t>Measure</w:t>
            </w:r>
            <w:r>
              <w:rPr>
                <w:rFonts w:ascii="Arial" w:hAnsi="Arial" w:cs="Arial"/>
                <w:b/>
                <w:sz w:val="20"/>
                <w:szCs w:val="20"/>
              </w:rPr>
              <w:t xml:space="preserve"> Code</w:t>
            </w:r>
          </w:p>
        </w:tc>
        <w:tc>
          <w:tcPr>
            <w:tcW w:w="6133" w:type="dxa"/>
            <w:vAlign w:val="center"/>
          </w:tcPr>
          <w:p w14:paraId="5EB8A43F" w14:textId="77777777" w:rsidR="00C20A59" w:rsidRPr="00422D1A" w:rsidRDefault="00C20A59" w:rsidP="00686886">
            <w:pPr>
              <w:jc w:val="center"/>
              <w:rPr>
                <w:rFonts w:ascii="Arial" w:hAnsi="Arial" w:cs="Arial"/>
                <w:b/>
                <w:sz w:val="20"/>
                <w:szCs w:val="20"/>
              </w:rPr>
            </w:pPr>
            <w:r w:rsidRPr="00422D1A">
              <w:rPr>
                <w:rFonts w:ascii="Arial" w:hAnsi="Arial" w:cs="Arial"/>
                <w:b/>
                <w:sz w:val="20"/>
                <w:szCs w:val="20"/>
              </w:rPr>
              <w:t xml:space="preserve">Measure </w:t>
            </w:r>
            <w:r>
              <w:rPr>
                <w:rFonts w:ascii="Arial" w:hAnsi="Arial" w:cs="Arial"/>
                <w:b/>
                <w:sz w:val="20"/>
                <w:szCs w:val="20"/>
              </w:rPr>
              <w:t>Description</w:t>
            </w:r>
          </w:p>
        </w:tc>
        <w:tc>
          <w:tcPr>
            <w:tcW w:w="1445" w:type="dxa"/>
            <w:vAlign w:val="center"/>
          </w:tcPr>
          <w:p w14:paraId="5EB8A440" w14:textId="77777777" w:rsidR="00C20A59" w:rsidRPr="00422D1A" w:rsidRDefault="00C20A59" w:rsidP="00686886">
            <w:pPr>
              <w:jc w:val="center"/>
              <w:rPr>
                <w:rFonts w:ascii="Arial" w:hAnsi="Arial" w:cs="Arial"/>
                <w:b/>
                <w:sz w:val="20"/>
                <w:szCs w:val="20"/>
              </w:rPr>
            </w:pPr>
            <w:r>
              <w:rPr>
                <w:rFonts w:ascii="Arial" w:hAnsi="Arial" w:cs="Arial"/>
                <w:b/>
                <w:sz w:val="20"/>
                <w:szCs w:val="20"/>
              </w:rPr>
              <w:t>Measure Equipment Cost</w:t>
            </w:r>
          </w:p>
        </w:tc>
      </w:tr>
      <w:tr w:rsidR="00C20A59" w:rsidRPr="00F027AA" w14:paraId="5EB8A445" w14:textId="77777777" w:rsidTr="00C20A59">
        <w:trPr>
          <w:trHeight w:val="181"/>
        </w:trPr>
        <w:tc>
          <w:tcPr>
            <w:tcW w:w="1440" w:type="dxa"/>
          </w:tcPr>
          <w:p w14:paraId="5EB8A442" w14:textId="77777777" w:rsidR="00C20A59" w:rsidRPr="00C728C4" w:rsidRDefault="00C20A59" w:rsidP="00C20A59">
            <w:pPr>
              <w:jc w:val="center"/>
              <w:rPr>
                <w:rFonts w:ascii="Arial" w:hAnsi="Arial" w:cs="Arial"/>
                <w:sz w:val="20"/>
                <w:szCs w:val="22"/>
              </w:rPr>
            </w:pPr>
            <w:r>
              <w:rPr>
                <w:rFonts w:ascii="Arial" w:hAnsi="Arial" w:cs="Arial"/>
                <w:sz w:val="20"/>
                <w:szCs w:val="22"/>
              </w:rPr>
              <w:t>LT042</w:t>
            </w:r>
          </w:p>
        </w:tc>
        <w:tc>
          <w:tcPr>
            <w:tcW w:w="6133" w:type="dxa"/>
          </w:tcPr>
          <w:p w14:paraId="5EB8A443" w14:textId="77777777" w:rsidR="00C20A59" w:rsidRPr="001022B5" w:rsidRDefault="00C20A59">
            <w:pPr>
              <w:rPr>
                <w:rFonts w:ascii="Arial" w:hAnsi="Arial" w:cs="Arial"/>
                <w:color w:val="000000"/>
                <w:sz w:val="20"/>
                <w:szCs w:val="22"/>
              </w:rPr>
            </w:pPr>
            <w:r w:rsidRPr="00C728C4">
              <w:rPr>
                <w:rFonts w:ascii="Arial" w:hAnsi="Arial" w:cs="Arial"/>
                <w:sz w:val="20"/>
                <w:szCs w:val="22"/>
              </w:rPr>
              <w:t>2'x4' LED new Luminaire; rated ≥110 and &lt;125 LPW, Ambient Interior Commercial Spaces</w:t>
            </w:r>
          </w:p>
        </w:tc>
        <w:tc>
          <w:tcPr>
            <w:tcW w:w="1445" w:type="dxa"/>
            <w:vAlign w:val="center"/>
          </w:tcPr>
          <w:p w14:paraId="5EB8A444" w14:textId="77777777" w:rsidR="00C20A59" w:rsidRPr="00661F2B" w:rsidRDefault="00C20A59" w:rsidP="00C728C4">
            <w:pPr>
              <w:jc w:val="center"/>
              <w:rPr>
                <w:rFonts w:ascii="Arial" w:hAnsi="Arial" w:cs="Arial"/>
                <w:sz w:val="20"/>
                <w:szCs w:val="22"/>
              </w:rPr>
            </w:pPr>
            <w:r>
              <w:rPr>
                <w:rFonts w:ascii="Arial" w:hAnsi="Arial" w:cs="Arial"/>
                <w:b/>
                <w:bCs/>
                <w:sz w:val="20"/>
                <w:szCs w:val="20"/>
              </w:rPr>
              <w:t>$34.72</w:t>
            </w:r>
          </w:p>
        </w:tc>
      </w:tr>
      <w:tr w:rsidR="00C20A59" w:rsidRPr="00F027AA" w14:paraId="5EB8A449" w14:textId="77777777" w:rsidTr="00C20A59">
        <w:trPr>
          <w:trHeight w:val="181"/>
        </w:trPr>
        <w:tc>
          <w:tcPr>
            <w:tcW w:w="1440" w:type="dxa"/>
          </w:tcPr>
          <w:p w14:paraId="5EB8A446" w14:textId="77777777" w:rsidR="00C20A59" w:rsidRPr="00C728C4" w:rsidRDefault="00C20A59" w:rsidP="00C20A59">
            <w:pPr>
              <w:jc w:val="center"/>
              <w:rPr>
                <w:rFonts w:ascii="Arial" w:hAnsi="Arial" w:cs="Arial"/>
                <w:sz w:val="20"/>
                <w:szCs w:val="22"/>
              </w:rPr>
            </w:pPr>
            <w:r>
              <w:rPr>
                <w:rFonts w:ascii="Arial" w:hAnsi="Arial" w:cs="Arial"/>
                <w:sz w:val="20"/>
                <w:szCs w:val="22"/>
              </w:rPr>
              <w:t>LT043</w:t>
            </w:r>
          </w:p>
        </w:tc>
        <w:tc>
          <w:tcPr>
            <w:tcW w:w="6133" w:type="dxa"/>
          </w:tcPr>
          <w:p w14:paraId="5EB8A447" w14:textId="77777777" w:rsidR="00C20A59" w:rsidRPr="001022B5" w:rsidRDefault="00C20A59">
            <w:pPr>
              <w:rPr>
                <w:rFonts w:ascii="Arial" w:hAnsi="Arial" w:cs="Arial"/>
                <w:color w:val="000000"/>
                <w:sz w:val="20"/>
                <w:szCs w:val="22"/>
              </w:rPr>
            </w:pPr>
            <w:r w:rsidRPr="00C728C4">
              <w:rPr>
                <w:rFonts w:ascii="Arial" w:hAnsi="Arial" w:cs="Arial"/>
                <w:sz w:val="20"/>
                <w:szCs w:val="22"/>
              </w:rPr>
              <w:t>2'x4' LED new Luminaire; rated ≥125 LPW, Ambient Interior Commercial Spaces</w:t>
            </w:r>
          </w:p>
        </w:tc>
        <w:tc>
          <w:tcPr>
            <w:tcW w:w="1445" w:type="dxa"/>
            <w:vAlign w:val="center"/>
          </w:tcPr>
          <w:p w14:paraId="5EB8A448" w14:textId="77777777" w:rsidR="00C20A59" w:rsidRPr="00661F2B" w:rsidRDefault="00C20A59" w:rsidP="00C728C4">
            <w:pPr>
              <w:jc w:val="center"/>
              <w:rPr>
                <w:rFonts w:ascii="Arial" w:hAnsi="Arial" w:cs="Arial"/>
                <w:sz w:val="20"/>
                <w:szCs w:val="22"/>
              </w:rPr>
            </w:pPr>
            <w:r>
              <w:rPr>
                <w:rFonts w:ascii="Arial" w:hAnsi="Arial" w:cs="Arial"/>
                <w:b/>
                <w:bCs/>
                <w:sz w:val="20"/>
                <w:szCs w:val="20"/>
              </w:rPr>
              <w:t>$31.41</w:t>
            </w:r>
          </w:p>
        </w:tc>
      </w:tr>
      <w:tr w:rsidR="00C20A59" w:rsidRPr="00F027AA" w14:paraId="5EB8A44D" w14:textId="77777777" w:rsidTr="00C20A59">
        <w:trPr>
          <w:trHeight w:val="181"/>
        </w:trPr>
        <w:tc>
          <w:tcPr>
            <w:tcW w:w="1440" w:type="dxa"/>
          </w:tcPr>
          <w:p w14:paraId="5EB8A44A" w14:textId="77777777" w:rsidR="00C20A59" w:rsidRPr="00C728C4" w:rsidRDefault="00C20A59" w:rsidP="00C20A59">
            <w:pPr>
              <w:jc w:val="center"/>
              <w:rPr>
                <w:rFonts w:ascii="Arial" w:hAnsi="Arial" w:cs="Arial"/>
                <w:sz w:val="20"/>
                <w:szCs w:val="22"/>
              </w:rPr>
            </w:pPr>
            <w:r>
              <w:rPr>
                <w:rFonts w:ascii="Arial" w:hAnsi="Arial" w:cs="Arial"/>
                <w:sz w:val="20"/>
                <w:szCs w:val="22"/>
              </w:rPr>
              <w:t>LT046</w:t>
            </w:r>
          </w:p>
        </w:tc>
        <w:tc>
          <w:tcPr>
            <w:tcW w:w="6133" w:type="dxa"/>
          </w:tcPr>
          <w:p w14:paraId="5EB8A44B" w14:textId="77777777" w:rsidR="00C20A59" w:rsidRPr="001022B5" w:rsidRDefault="00C20A59">
            <w:pPr>
              <w:rPr>
                <w:rFonts w:ascii="Arial" w:hAnsi="Arial" w:cs="Arial"/>
                <w:color w:val="000000"/>
                <w:sz w:val="20"/>
                <w:szCs w:val="22"/>
              </w:rPr>
            </w:pPr>
            <w:r w:rsidRPr="00C728C4">
              <w:rPr>
                <w:rFonts w:ascii="Arial" w:hAnsi="Arial" w:cs="Arial"/>
                <w:sz w:val="20"/>
                <w:szCs w:val="22"/>
              </w:rPr>
              <w:t>2'x2' LED new Luminaire; rated ≥110 and &lt;125 LPW, Ambient Interior Commercial Spaces</w:t>
            </w:r>
          </w:p>
        </w:tc>
        <w:tc>
          <w:tcPr>
            <w:tcW w:w="1445" w:type="dxa"/>
            <w:vAlign w:val="center"/>
          </w:tcPr>
          <w:p w14:paraId="5EB8A44C" w14:textId="77777777" w:rsidR="00C20A59" w:rsidRPr="00661F2B" w:rsidRDefault="00C20A59" w:rsidP="00C728C4">
            <w:pPr>
              <w:jc w:val="center"/>
              <w:rPr>
                <w:rFonts w:ascii="Arial" w:hAnsi="Arial" w:cs="Arial"/>
                <w:sz w:val="20"/>
                <w:szCs w:val="22"/>
              </w:rPr>
            </w:pPr>
            <w:r>
              <w:rPr>
                <w:rFonts w:ascii="Arial" w:hAnsi="Arial" w:cs="Arial"/>
                <w:b/>
                <w:bCs/>
                <w:sz w:val="20"/>
                <w:szCs w:val="20"/>
              </w:rPr>
              <w:t>$33.10</w:t>
            </w:r>
          </w:p>
        </w:tc>
      </w:tr>
      <w:tr w:rsidR="00C20A59" w:rsidRPr="00F027AA" w14:paraId="5EB8A451" w14:textId="77777777" w:rsidTr="00C20A59">
        <w:trPr>
          <w:trHeight w:val="181"/>
        </w:trPr>
        <w:tc>
          <w:tcPr>
            <w:tcW w:w="1440" w:type="dxa"/>
          </w:tcPr>
          <w:p w14:paraId="5EB8A44E" w14:textId="77777777" w:rsidR="00C20A59" w:rsidRPr="00C728C4" w:rsidRDefault="00C20A59" w:rsidP="00C20A59">
            <w:pPr>
              <w:jc w:val="center"/>
              <w:rPr>
                <w:rFonts w:ascii="Arial" w:hAnsi="Arial" w:cs="Arial"/>
                <w:sz w:val="20"/>
                <w:szCs w:val="22"/>
              </w:rPr>
            </w:pPr>
            <w:r>
              <w:rPr>
                <w:rFonts w:ascii="Arial" w:hAnsi="Arial" w:cs="Arial"/>
                <w:sz w:val="20"/>
                <w:szCs w:val="22"/>
              </w:rPr>
              <w:t>LT047</w:t>
            </w:r>
          </w:p>
        </w:tc>
        <w:tc>
          <w:tcPr>
            <w:tcW w:w="6133" w:type="dxa"/>
          </w:tcPr>
          <w:p w14:paraId="5EB8A44F" w14:textId="77777777" w:rsidR="00C20A59" w:rsidRPr="001022B5" w:rsidRDefault="00C20A59">
            <w:pPr>
              <w:rPr>
                <w:rFonts w:ascii="Arial" w:hAnsi="Arial" w:cs="Arial"/>
                <w:color w:val="000000"/>
                <w:sz w:val="20"/>
                <w:szCs w:val="22"/>
              </w:rPr>
            </w:pPr>
            <w:r w:rsidRPr="00C728C4">
              <w:rPr>
                <w:rFonts w:ascii="Arial" w:hAnsi="Arial" w:cs="Arial"/>
                <w:sz w:val="20"/>
                <w:szCs w:val="22"/>
              </w:rPr>
              <w:t>2'x2' LED new Luminaire; rated ≥125 LPW, Ambient Interior Commercial Spaces</w:t>
            </w:r>
          </w:p>
        </w:tc>
        <w:tc>
          <w:tcPr>
            <w:tcW w:w="1445" w:type="dxa"/>
            <w:vAlign w:val="center"/>
          </w:tcPr>
          <w:p w14:paraId="5EB8A450" w14:textId="77777777" w:rsidR="00C20A59" w:rsidRPr="00661F2B" w:rsidRDefault="00C20A59" w:rsidP="00C728C4">
            <w:pPr>
              <w:jc w:val="center"/>
              <w:rPr>
                <w:rFonts w:ascii="Arial" w:hAnsi="Arial" w:cs="Arial"/>
                <w:sz w:val="20"/>
                <w:szCs w:val="22"/>
              </w:rPr>
            </w:pPr>
            <w:r>
              <w:rPr>
                <w:rFonts w:ascii="Arial" w:hAnsi="Arial" w:cs="Arial"/>
                <w:b/>
                <w:bCs/>
                <w:sz w:val="20"/>
                <w:szCs w:val="20"/>
              </w:rPr>
              <w:t>$37.48</w:t>
            </w:r>
          </w:p>
        </w:tc>
      </w:tr>
      <w:tr w:rsidR="00C20A59" w:rsidRPr="00F027AA" w14:paraId="5EB8A455" w14:textId="77777777" w:rsidTr="00C20A59">
        <w:trPr>
          <w:trHeight w:val="181"/>
        </w:trPr>
        <w:tc>
          <w:tcPr>
            <w:tcW w:w="1440" w:type="dxa"/>
          </w:tcPr>
          <w:p w14:paraId="5EB8A452" w14:textId="77777777" w:rsidR="00C20A59" w:rsidRPr="00C728C4" w:rsidRDefault="00C20A59" w:rsidP="00C20A59">
            <w:pPr>
              <w:jc w:val="center"/>
              <w:rPr>
                <w:rFonts w:ascii="Arial" w:hAnsi="Arial" w:cs="Arial"/>
                <w:sz w:val="20"/>
                <w:szCs w:val="22"/>
              </w:rPr>
            </w:pPr>
            <w:r>
              <w:rPr>
                <w:rFonts w:ascii="Arial" w:hAnsi="Arial" w:cs="Arial"/>
                <w:sz w:val="20"/>
                <w:szCs w:val="22"/>
              </w:rPr>
              <w:t>LT050</w:t>
            </w:r>
          </w:p>
        </w:tc>
        <w:tc>
          <w:tcPr>
            <w:tcW w:w="6133" w:type="dxa"/>
          </w:tcPr>
          <w:p w14:paraId="5EB8A453" w14:textId="77777777" w:rsidR="00C20A59" w:rsidRPr="001022B5" w:rsidRDefault="00C20A59">
            <w:pPr>
              <w:rPr>
                <w:rFonts w:ascii="Arial" w:hAnsi="Arial" w:cs="Arial"/>
                <w:color w:val="000000"/>
                <w:sz w:val="20"/>
                <w:szCs w:val="22"/>
              </w:rPr>
            </w:pPr>
            <w:r w:rsidRPr="00C728C4">
              <w:rPr>
                <w:rFonts w:ascii="Arial" w:hAnsi="Arial" w:cs="Arial"/>
                <w:sz w:val="20"/>
                <w:szCs w:val="22"/>
              </w:rPr>
              <w:t>1'x4' LED new Luminaire; rated ≥110 and &lt;125 LPW, Ambient Interior Commercial Spaces</w:t>
            </w:r>
          </w:p>
        </w:tc>
        <w:tc>
          <w:tcPr>
            <w:tcW w:w="1445" w:type="dxa"/>
            <w:vAlign w:val="center"/>
          </w:tcPr>
          <w:p w14:paraId="5EB8A454" w14:textId="77777777" w:rsidR="00C20A59" w:rsidRPr="00661F2B" w:rsidRDefault="00C20A59" w:rsidP="00C728C4">
            <w:pPr>
              <w:jc w:val="center"/>
              <w:rPr>
                <w:rFonts w:ascii="Arial" w:hAnsi="Arial" w:cs="Arial"/>
                <w:sz w:val="20"/>
                <w:szCs w:val="22"/>
              </w:rPr>
            </w:pPr>
            <w:r>
              <w:rPr>
                <w:rFonts w:ascii="Arial" w:hAnsi="Arial" w:cs="Arial"/>
                <w:b/>
                <w:bCs/>
                <w:sz w:val="20"/>
                <w:szCs w:val="20"/>
              </w:rPr>
              <w:t>$34.71</w:t>
            </w:r>
          </w:p>
        </w:tc>
      </w:tr>
      <w:tr w:rsidR="00C20A59" w:rsidRPr="00F027AA" w14:paraId="5EB8A459" w14:textId="77777777" w:rsidTr="00C20A59">
        <w:trPr>
          <w:trHeight w:val="181"/>
        </w:trPr>
        <w:tc>
          <w:tcPr>
            <w:tcW w:w="1440" w:type="dxa"/>
          </w:tcPr>
          <w:p w14:paraId="5EB8A456" w14:textId="77777777" w:rsidR="00C20A59" w:rsidRPr="00C728C4" w:rsidRDefault="00C20A59" w:rsidP="00C20A59">
            <w:pPr>
              <w:jc w:val="center"/>
              <w:rPr>
                <w:rFonts w:ascii="Arial" w:hAnsi="Arial" w:cs="Arial"/>
                <w:sz w:val="20"/>
                <w:szCs w:val="22"/>
              </w:rPr>
            </w:pPr>
            <w:r>
              <w:rPr>
                <w:rFonts w:ascii="Arial" w:hAnsi="Arial" w:cs="Arial"/>
                <w:sz w:val="20"/>
                <w:szCs w:val="22"/>
              </w:rPr>
              <w:t>LT051</w:t>
            </w:r>
          </w:p>
        </w:tc>
        <w:tc>
          <w:tcPr>
            <w:tcW w:w="6133" w:type="dxa"/>
          </w:tcPr>
          <w:p w14:paraId="5EB8A457" w14:textId="77777777" w:rsidR="00C20A59" w:rsidRPr="001022B5" w:rsidRDefault="00C20A59">
            <w:pPr>
              <w:rPr>
                <w:rFonts w:ascii="Arial" w:hAnsi="Arial" w:cs="Arial"/>
                <w:color w:val="000000"/>
                <w:sz w:val="20"/>
                <w:szCs w:val="22"/>
              </w:rPr>
            </w:pPr>
            <w:r w:rsidRPr="00C728C4">
              <w:rPr>
                <w:rFonts w:ascii="Arial" w:hAnsi="Arial" w:cs="Arial"/>
                <w:sz w:val="20"/>
                <w:szCs w:val="22"/>
              </w:rPr>
              <w:t>1'x4' LED new Luminaire; rated ≥125 LPW, Ambient Interior Commercial Spaces</w:t>
            </w:r>
          </w:p>
        </w:tc>
        <w:tc>
          <w:tcPr>
            <w:tcW w:w="1445" w:type="dxa"/>
            <w:vAlign w:val="center"/>
          </w:tcPr>
          <w:p w14:paraId="5EB8A458" w14:textId="77777777" w:rsidR="00C20A59" w:rsidRPr="00661F2B" w:rsidRDefault="00C20A59" w:rsidP="00C728C4">
            <w:pPr>
              <w:jc w:val="center"/>
              <w:rPr>
                <w:rFonts w:ascii="Arial" w:hAnsi="Arial" w:cs="Arial"/>
                <w:sz w:val="20"/>
                <w:szCs w:val="22"/>
              </w:rPr>
            </w:pPr>
            <w:r>
              <w:rPr>
                <w:rFonts w:ascii="Arial" w:hAnsi="Arial" w:cs="Arial"/>
                <w:b/>
                <w:bCs/>
                <w:sz w:val="20"/>
                <w:szCs w:val="20"/>
              </w:rPr>
              <w:t>$38.94</w:t>
            </w:r>
          </w:p>
        </w:tc>
      </w:tr>
      <w:tr w:rsidR="00C20A59" w:rsidRPr="00F027AA" w14:paraId="5EB8A45D" w14:textId="77777777" w:rsidTr="00C20A59">
        <w:trPr>
          <w:trHeight w:val="181"/>
        </w:trPr>
        <w:tc>
          <w:tcPr>
            <w:tcW w:w="1440" w:type="dxa"/>
          </w:tcPr>
          <w:p w14:paraId="5EB8A45A" w14:textId="77777777" w:rsidR="00C20A59" w:rsidRPr="00C728C4" w:rsidRDefault="00C20A59" w:rsidP="00C20A59">
            <w:pPr>
              <w:jc w:val="center"/>
              <w:rPr>
                <w:rFonts w:ascii="Arial" w:hAnsi="Arial" w:cs="Arial"/>
                <w:sz w:val="20"/>
                <w:szCs w:val="22"/>
              </w:rPr>
            </w:pPr>
            <w:r>
              <w:rPr>
                <w:rFonts w:ascii="Arial" w:hAnsi="Arial" w:cs="Arial"/>
                <w:sz w:val="20"/>
                <w:szCs w:val="22"/>
              </w:rPr>
              <w:t>LT054</w:t>
            </w:r>
          </w:p>
        </w:tc>
        <w:tc>
          <w:tcPr>
            <w:tcW w:w="6133" w:type="dxa"/>
          </w:tcPr>
          <w:p w14:paraId="5EB8A45B" w14:textId="77777777" w:rsidR="00C20A59" w:rsidRPr="001022B5" w:rsidRDefault="00C20A59">
            <w:pPr>
              <w:rPr>
                <w:rFonts w:ascii="Arial" w:hAnsi="Arial" w:cs="Arial"/>
                <w:color w:val="000000"/>
                <w:sz w:val="20"/>
                <w:szCs w:val="22"/>
              </w:rPr>
            </w:pPr>
            <w:r w:rsidRPr="00C728C4">
              <w:rPr>
                <w:rFonts w:ascii="Arial" w:hAnsi="Arial" w:cs="Arial"/>
                <w:sz w:val="20"/>
                <w:szCs w:val="22"/>
              </w:rPr>
              <w:t>2'x4' LED Integrated retrofit kit; rated ≥110 and &lt;125 LPW, Ambient Interior Commercial Spaces</w:t>
            </w:r>
          </w:p>
        </w:tc>
        <w:tc>
          <w:tcPr>
            <w:tcW w:w="1445" w:type="dxa"/>
            <w:vAlign w:val="center"/>
          </w:tcPr>
          <w:p w14:paraId="5EB8A45C" w14:textId="77777777" w:rsidR="00C20A59" w:rsidRPr="00661F2B" w:rsidRDefault="00C20A59" w:rsidP="00C728C4">
            <w:pPr>
              <w:jc w:val="center"/>
              <w:rPr>
                <w:rFonts w:ascii="Arial" w:hAnsi="Arial" w:cs="Arial"/>
                <w:sz w:val="20"/>
                <w:szCs w:val="22"/>
              </w:rPr>
            </w:pPr>
            <w:r>
              <w:rPr>
                <w:rFonts w:ascii="Arial" w:hAnsi="Arial" w:cs="Arial"/>
                <w:b/>
                <w:bCs/>
                <w:sz w:val="20"/>
                <w:szCs w:val="20"/>
              </w:rPr>
              <w:t>$35.05</w:t>
            </w:r>
          </w:p>
        </w:tc>
      </w:tr>
      <w:tr w:rsidR="00C20A59" w:rsidRPr="00F027AA" w14:paraId="5EB8A461" w14:textId="77777777" w:rsidTr="00C20A59">
        <w:trPr>
          <w:trHeight w:val="181"/>
        </w:trPr>
        <w:tc>
          <w:tcPr>
            <w:tcW w:w="1440" w:type="dxa"/>
          </w:tcPr>
          <w:p w14:paraId="5EB8A45E" w14:textId="77777777" w:rsidR="00C20A59" w:rsidRPr="00C728C4" w:rsidRDefault="00C20A59" w:rsidP="00C20A59">
            <w:pPr>
              <w:jc w:val="center"/>
              <w:rPr>
                <w:rFonts w:ascii="Arial" w:hAnsi="Arial" w:cs="Arial"/>
                <w:sz w:val="20"/>
                <w:szCs w:val="22"/>
              </w:rPr>
            </w:pPr>
            <w:r>
              <w:rPr>
                <w:rFonts w:ascii="Arial" w:hAnsi="Arial" w:cs="Arial"/>
                <w:sz w:val="20"/>
                <w:szCs w:val="22"/>
              </w:rPr>
              <w:t>LT055</w:t>
            </w:r>
          </w:p>
        </w:tc>
        <w:tc>
          <w:tcPr>
            <w:tcW w:w="6133" w:type="dxa"/>
          </w:tcPr>
          <w:p w14:paraId="5EB8A45F" w14:textId="77777777" w:rsidR="00C20A59" w:rsidRPr="001022B5" w:rsidRDefault="00C20A59">
            <w:pPr>
              <w:rPr>
                <w:rFonts w:ascii="Arial" w:hAnsi="Arial" w:cs="Arial"/>
                <w:color w:val="000000"/>
                <w:sz w:val="20"/>
                <w:szCs w:val="22"/>
              </w:rPr>
            </w:pPr>
            <w:r w:rsidRPr="00C728C4">
              <w:rPr>
                <w:rFonts w:ascii="Arial" w:hAnsi="Arial" w:cs="Arial"/>
                <w:sz w:val="20"/>
                <w:szCs w:val="22"/>
              </w:rPr>
              <w:t>2'x4' LED Integrated retrofit kit; rated ≥125 LPW, Ambient Interior Commercial Spaces</w:t>
            </w:r>
          </w:p>
        </w:tc>
        <w:tc>
          <w:tcPr>
            <w:tcW w:w="1445" w:type="dxa"/>
            <w:vAlign w:val="center"/>
          </w:tcPr>
          <w:p w14:paraId="5EB8A460" w14:textId="77777777" w:rsidR="00C20A59" w:rsidRPr="00661F2B" w:rsidRDefault="00C20A59" w:rsidP="00C728C4">
            <w:pPr>
              <w:jc w:val="center"/>
              <w:rPr>
                <w:rFonts w:ascii="Arial" w:hAnsi="Arial" w:cs="Arial"/>
                <w:sz w:val="20"/>
                <w:szCs w:val="22"/>
              </w:rPr>
            </w:pPr>
            <w:r>
              <w:rPr>
                <w:rFonts w:ascii="Arial" w:hAnsi="Arial" w:cs="Arial"/>
                <w:b/>
                <w:bCs/>
                <w:sz w:val="20"/>
                <w:szCs w:val="20"/>
              </w:rPr>
              <w:t>$31.28</w:t>
            </w:r>
          </w:p>
        </w:tc>
      </w:tr>
      <w:tr w:rsidR="00C20A59" w:rsidRPr="00F027AA" w14:paraId="5EB8A465" w14:textId="77777777" w:rsidTr="00C20A59">
        <w:trPr>
          <w:trHeight w:val="181"/>
        </w:trPr>
        <w:tc>
          <w:tcPr>
            <w:tcW w:w="1440" w:type="dxa"/>
          </w:tcPr>
          <w:p w14:paraId="5EB8A462" w14:textId="77777777" w:rsidR="00C20A59" w:rsidRPr="00C728C4" w:rsidRDefault="00C20A59" w:rsidP="00C20A59">
            <w:pPr>
              <w:jc w:val="center"/>
              <w:rPr>
                <w:rFonts w:ascii="Arial" w:hAnsi="Arial" w:cs="Arial"/>
                <w:sz w:val="20"/>
                <w:szCs w:val="22"/>
              </w:rPr>
            </w:pPr>
            <w:r>
              <w:rPr>
                <w:rFonts w:ascii="Arial" w:hAnsi="Arial" w:cs="Arial"/>
                <w:sz w:val="20"/>
                <w:szCs w:val="22"/>
              </w:rPr>
              <w:t>LT058</w:t>
            </w:r>
          </w:p>
        </w:tc>
        <w:tc>
          <w:tcPr>
            <w:tcW w:w="6133" w:type="dxa"/>
          </w:tcPr>
          <w:p w14:paraId="5EB8A463" w14:textId="77777777" w:rsidR="00C20A59" w:rsidRPr="001022B5" w:rsidRDefault="00C20A59">
            <w:pPr>
              <w:rPr>
                <w:rFonts w:ascii="Arial" w:hAnsi="Arial" w:cs="Arial"/>
                <w:color w:val="000000"/>
                <w:sz w:val="20"/>
                <w:szCs w:val="22"/>
              </w:rPr>
            </w:pPr>
            <w:r w:rsidRPr="00C728C4">
              <w:rPr>
                <w:rFonts w:ascii="Arial" w:hAnsi="Arial" w:cs="Arial"/>
                <w:sz w:val="20"/>
                <w:szCs w:val="22"/>
              </w:rPr>
              <w:t>2'x2' LED Integrated retrofit kit; rated ≥110 and &lt;125 LPW, Ambient Interior Commercial Spaces</w:t>
            </w:r>
          </w:p>
        </w:tc>
        <w:tc>
          <w:tcPr>
            <w:tcW w:w="1445" w:type="dxa"/>
            <w:vAlign w:val="center"/>
          </w:tcPr>
          <w:p w14:paraId="5EB8A464" w14:textId="77777777" w:rsidR="00C20A59" w:rsidRPr="00661F2B" w:rsidRDefault="00C20A59" w:rsidP="00C728C4">
            <w:pPr>
              <w:jc w:val="center"/>
              <w:rPr>
                <w:rFonts w:ascii="Arial" w:hAnsi="Arial" w:cs="Arial"/>
                <w:sz w:val="20"/>
                <w:szCs w:val="22"/>
              </w:rPr>
            </w:pPr>
            <w:r>
              <w:rPr>
                <w:rFonts w:ascii="Arial" w:hAnsi="Arial" w:cs="Arial"/>
                <w:b/>
                <w:bCs/>
                <w:sz w:val="20"/>
                <w:szCs w:val="20"/>
              </w:rPr>
              <w:t>$38.67</w:t>
            </w:r>
          </w:p>
        </w:tc>
      </w:tr>
      <w:tr w:rsidR="00C20A59" w:rsidRPr="00F027AA" w14:paraId="5EB8A469" w14:textId="77777777" w:rsidTr="00C20A59">
        <w:trPr>
          <w:trHeight w:val="181"/>
        </w:trPr>
        <w:tc>
          <w:tcPr>
            <w:tcW w:w="1440" w:type="dxa"/>
          </w:tcPr>
          <w:p w14:paraId="5EB8A466" w14:textId="77777777" w:rsidR="00C20A59" w:rsidRPr="00C728C4" w:rsidRDefault="00C20A59" w:rsidP="00C20A59">
            <w:pPr>
              <w:jc w:val="center"/>
              <w:rPr>
                <w:rFonts w:ascii="Arial" w:hAnsi="Arial" w:cs="Arial"/>
                <w:sz w:val="20"/>
                <w:szCs w:val="22"/>
              </w:rPr>
            </w:pPr>
            <w:r>
              <w:rPr>
                <w:rFonts w:ascii="Arial" w:hAnsi="Arial" w:cs="Arial"/>
                <w:sz w:val="20"/>
                <w:szCs w:val="22"/>
              </w:rPr>
              <w:t>LT059</w:t>
            </w:r>
          </w:p>
        </w:tc>
        <w:tc>
          <w:tcPr>
            <w:tcW w:w="6133" w:type="dxa"/>
          </w:tcPr>
          <w:p w14:paraId="5EB8A467" w14:textId="77777777" w:rsidR="00C20A59" w:rsidRPr="001022B5" w:rsidRDefault="00C20A59">
            <w:pPr>
              <w:rPr>
                <w:rFonts w:ascii="Arial" w:hAnsi="Arial" w:cs="Arial"/>
                <w:color w:val="000000"/>
                <w:sz w:val="20"/>
                <w:szCs w:val="22"/>
              </w:rPr>
            </w:pPr>
            <w:r w:rsidRPr="00C728C4">
              <w:rPr>
                <w:rFonts w:ascii="Arial" w:hAnsi="Arial" w:cs="Arial"/>
                <w:sz w:val="20"/>
                <w:szCs w:val="22"/>
              </w:rPr>
              <w:t>2'x2' LED Integrated retrofit kit; rated ≥125 LPW, Ambient Interior Commercial Spaces</w:t>
            </w:r>
          </w:p>
        </w:tc>
        <w:tc>
          <w:tcPr>
            <w:tcW w:w="1445" w:type="dxa"/>
            <w:vAlign w:val="center"/>
          </w:tcPr>
          <w:p w14:paraId="5EB8A468" w14:textId="77777777" w:rsidR="00C20A59" w:rsidRPr="00661F2B" w:rsidRDefault="00C20A59" w:rsidP="00C728C4">
            <w:pPr>
              <w:jc w:val="center"/>
              <w:rPr>
                <w:rFonts w:ascii="Arial" w:hAnsi="Arial" w:cs="Arial"/>
                <w:sz w:val="20"/>
                <w:szCs w:val="22"/>
              </w:rPr>
            </w:pPr>
            <w:r>
              <w:rPr>
                <w:rFonts w:ascii="Arial" w:hAnsi="Arial" w:cs="Arial"/>
                <w:b/>
                <w:bCs/>
                <w:sz w:val="20"/>
                <w:szCs w:val="20"/>
              </w:rPr>
              <w:t>$37.48</w:t>
            </w:r>
          </w:p>
        </w:tc>
      </w:tr>
      <w:tr w:rsidR="00C20A59" w:rsidRPr="00F027AA" w14:paraId="5EB8A46D" w14:textId="77777777" w:rsidTr="00C20A59">
        <w:trPr>
          <w:trHeight w:val="181"/>
        </w:trPr>
        <w:tc>
          <w:tcPr>
            <w:tcW w:w="1440" w:type="dxa"/>
          </w:tcPr>
          <w:p w14:paraId="5EB8A46A" w14:textId="77777777" w:rsidR="00C20A59" w:rsidRPr="00C728C4" w:rsidRDefault="00C20A59" w:rsidP="00C20A59">
            <w:pPr>
              <w:jc w:val="center"/>
              <w:rPr>
                <w:rFonts w:ascii="Arial" w:hAnsi="Arial" w:cs="Arial"/>
                <w:sz w:val="20"/>
                <w:szCs w:val="22"/>
              </w:rPr>
            </w:pPr>
            <w:r>
              <w:rPr>
                <w:rFonts w:ascii="Arial" w:hAnsi="Arial" w:cs="Arial"/>
                <w:sz w:val="20"/>
                <w:szCs w:val="22"/>
              </w:rPr>
              <w:t>LT062</w:t>
            </w:r>
          </w:p>
        </w:tc>
        <w:tc>
          <w:tcPr>
            <w:tcW w:w="6133" w:type="dxa"/>
          </w:tcPr>
          <w:p w14:paraId="5EB8A46B" w14:textId="77777777" w:rsidR="00C20A59" w:rsidRPr="001022B5" w:rsidRDefault="00C20A59">
            <w:pPr>
              <w:rPr>
                <w:rFonts w:ascii="Arial" w:hAnsi="Arial" w:cs="Arial"/>
                <w:color w:val="000000"/>
                <w:sz w:val="20"/>
                <w:szCs w:val="22"/>
              </w:rPr>
            </w:pPr>
            <w:r w:rsidRPr="00C728C4">
              <w:rPr>
                <w:rFonts w:ascii="Arial" w:hAnsi="Arial" w:cs="Arial"/>
                <w:sz w:val="20"/>
                <w:szCs w:val="22"/>
              </w:rPr>
              <w:t>1'x4' LED Integrated retrofit kit; rated ≥110 and &lt;125 LPW, Ambient Interior Commercial Spaces</w:t>
            </w:r>
          </w:p>
        </w:tc>
        <w:tc>
          <w:tcPr>
            <w:tcW w:w="1445" w:type="dxa"/>
            <w:vAlign w:val="center"/>
          </w:tcPr>
          <w:p w14:paraId="5EB8A46C" w14:textId="77777777" w:rsidR="00C20A59" w:rsidRPr="00661F2B" w:rsidRDefault="00C20A59" w:rsidP="00C728C4">
            <w:pPr>
              <w:jc w:val="center"/>
              <w:rPr>
                <w:rFonts w:ascii="Arial" w:hAnsi="Arial" w:cs="Arial"/>
                <w:sz w:val="20"/>
                <w:szCs w:val="22"/>
              </w:rPr>
            </w:pPr>
            <w:r>
              <w:rPr>
                <w:rFonts w:ascii="Arial" w:hAnsi="Arial" w:cs="Arial"/>
                <w:b/>
                <w:bCs/>
                <w:sz w:val="20"/>
                <w:szCs w:val="20"/>
              </w:rPr>
              <w:t>$40.83</w:t>
            </w:r>
          </w:p>
        </w:tc>
      </w:tr>
      <w:tr w:rsidR="00C20A59" w:rsidRPr="00F027AA" w14:paraId="5EB8A471" w14:textId="77777777" w:rsidTr="00C20A59">
        <w:trPr>
          <w:trHeight w:val="181"/>
        </w:trPr>
        <w:tc>
          <w:tcPr>
            <w:tcW w:w="1440" w:type="dxa"/>
          </w:tcPr>
          <w:p w14:paraId="5EB8A46E" w14:textId="77777777" w:rsidR="00C20A59" w:rsidRPr="00C728C4" w:rsidRDefault="00C20A59" w:rsidP="00C20A59">
            <w:pPr>
              <w:jc w:val="center"/>
              <w:rPr>
                <w:rFonts w:ascii="Arial" w:hAnsi="Arial" w:cs="Arial"/>
                <w:sz w:val="20"/>
                <w:szCs w:val="22"/>
              </w:rPr>
            </w:pPr>
            <w:r>
              <w:rPr>
                <w:rFonts w:ascii="Arial" w:hAnsi="Arial" w:cs="Arial"/>
                <w:sz w:val="20"/>
                <w:szCs w:val="22"/>
              </w:rPr>
              <w:t>LT063</w:t>
            </w:r>
          </w:p>
        </w:tc>
        <w:tc>
          <w:tcPr>
            <w:tcW w:w="6133" w:type="dxa"/>
          </w:tcPr>
          <w:p w14:paraId="5EB8A46F" w14:textId="77777777" w:rsidR="00C20A59" w:rsidRPr="001022B5" w:rsidRDefault="00C20A59">
            <w:pPr>
              <w:rPr>
                <w:rFonts w:ascii="Arial" w:hAnsi="Arial" w:cs="Arial"/>
                <w:color w:val="000000"/>
                <w:sz w:val="20"/>
                <w:szCs w:val="22"/>
              </w:rPr>
            </w:pPr>
            <w:r w:rsidRPr="00C728C4">
              <w:rPr>
                <w:rFonts w:ascii="Arial" w:hAnsi="Arial" w:cs="Arial"/>
                <w:sz w:val="20"/>
                <w:szCs w:val="22"/>
              </w:rPr>
              <w:t>1'x4' LED Integrated retrofit kit; rated ≥125 LPW, Ambient Interior Commercial Spaces</w:t>
            </w:r>
          </w:p>
        </w:tc>
        <w:tc>
          <w:tcPr>
            <w:tcW w:w="1445" w:type="dxa"/>
            <w:vAlign w:val="center"/>
          </w:tcPr>
          <w:p w14:paraId="5EB8A470" w14:textId="77777777" w:rsidR="00C20A59" w:rsidRPr="00661F2B" w:rsidRDefault="00C20A59" w:rsidP="00C728C4">
            <w:pPr>
              <w:jc w:val="center"/>
              <w:rPr>
                <w:rFonts w:ascii="Arial" w:hAnsi="Arial" w:cs="Arial"/>
                <w:sz w:val="20"/>
                <w:szCs w:val="22"/>
              </w:rPr>
            </w:pPr>
            <w:r>
              <w:rPr>
                <w:rFonts w:ascii="Arial" w:hAnsi="Arial" w:cs="Arial"/>
                <w:b/>
                <w:bCs/>
                <w:sz w:val="20"/>
                <w:szCs w:val="20"/>
              </w:rPr>
              <w:t>$38.94</w:t>
            </w:r>
          </w:p>
        </w:tc>
      </w:tr>
    </w:tbl>
    <w:p w14:paraId="5EB8A472" w14:textId="77777777" w:rsidR="0030550A" w:rsidRDefault="0030550A" w:rsidP="002D12AC">
      <w:pPr>
        <w:pStyle w:val="Heading2"/>
        <w:keepLines/>
      </w:pPr>
      <w:bookmarkStart w:id="49" w:name="_Toc468797919"/>
      <w:r>
        <w:lastRenderedPageBreak/>
        <w:t>4.3 Incremental &amp; Full Measure Costs</w:t>
      </w:r>
      <w:bookmarkEnd w:id="49"/>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034D0" w:rsidRPr="00746B00" w14:paraId="5EB8A479" w14:textId="77777777" w:rsidTr="005C31D5">
        <w:trPr>
          <w:trHeight w:val="255"/>
        </w:trPr>
        <w:tc>
          <w:tcPr>
            <w:tcW w:w="1305" w:type="dxa"/>
            <w:shd w:val="clear" w:color="auto" w:fill="0D0D0D"/>
            <w:noWrap/>
            <w:vAlign w:val="bottom"/>
          </w:tcPr>
          <w:p w14:paraId="5EB8A473"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Measure Application Type</w:t>
            </w:r>
          </w:p>
        </w:tc>
        <w:tc>
          <w:tcPr>
            <w:tcW w:w="3213" w:type="dxa"/>
            <w:shd w:val="clear" w:color="auto" w:fill="0D0D0D"/>
            <w:vAlign w:val="bottom"/>
          </w:tcPr>
          <w:p w14:paraId="5EB8A474"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Gross Measure Cost</w:t>
            </w:r>
          </w:p>
          <w:p w14:paraId="5EB8A475"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(RUL Period/First Baseline)</w:t>
            </w:r>
          </w:p>
        </w:tc>
        <w:tc>
          <w:tcPr>
            <w:tcW w:w="2070" w:type="dxa"/>
            <w:shd w:val="clear" w:color="auto" w:fill="0D0D0D"/>
            <w:noWrap/>
            <w:vAlign w:val="bottom"/>
          </w:tcPr>
          <w:p w14:paraId="5EB8A476"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Gross Measure Cost</w:t>
            </w:r>
          </w:p>
          <w:p w14:paraId="5EB8A477"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(EUL-RUL Period/ Second Baseline)</w:t>
            </w:r>
          </w:p>
        </w:tc>
        <w:tc>
          <w:tcPr>
            <w:tcW w:w="2970" w:type="dxa"/>
            <w:shd w:val="clear" w:color="auto" w:fill="0D0D0D"/>
            <w:noWrap/>
            <w:vAlign w:val="bottom"/>
          </w:tcPr>
          <w:p w14:paraId="5EB8A478" w14:textId="77777777" w:rsidR="003034D0" w:rsidRPr="002F2115" w:rsidRDefault="003034D0" w:rsidP="005C31D5">
            <w:pPr>
              <w:jc w:val="center"/>
              <w:rPr>
                <w:rFonts w:ascii="Arial" w:hAnsi="Arial" w:cs="Arial"/>
                <w:b/>
                <w:sz w:val="16"/>
                <w:szCs w:val="16"/>
              </w:rPr>
            </w:pPr>
            <w:r w:rsidRPr="002F2115">
              <w:rPr>
                <w:rFonts w:ascii="Arial" w:hAnsi="Arial" w:cs="Arial"/>
                <w:b/>
                <w:sz w:val="16"/>
                <w:szCs w:val="16"/>
              </w:rPr>
              <w:t>Incremental Measure Cost</w:t>
            </w:r>
          </w:p>
        </w:tc>
      </w:tr>
      <w:tr w:rsidR="003034D0" w:rsidRPr="00746B00" w14:paraId="5EB8A481" w14:textId="77777777" w:rsidTr="005C31D5">
        <w:trPr>
          <w:trHeight w:val="255"/>
        </w:trPr>
        <w:tc>
          <w:tcPr>
            <w:tcW w:w="1305" w:type="dxa"/>
            <w:shd w:val="pct20" w:color="000000" w:fill="FFFFFF"/>
            <w:noWrap/>
            <w:vAlign w:val="bottom"/>
          </w:tcPr>
          <w:p w14:paraId="5EB8A47A"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ER</w:t>
            </w:r>
          </w:p>
        </w:tc>
        <w:tc>
          <w:tcPr>
            <w:tcW w:w="3213" w:type="dxa"/>
            <w:shd w:val="pct20" w:color="000000" w:fill="FFFFFF"/>
            <w:vAlign w:val="bottom"/>
          </w:tcPr>
          <w:p w14:paraId="5EB8A47B"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5EB8A47C"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+Measure Labor Cost</w:t>
            </w:r>
          </w:p>
        </w:tc>
        <w:tc>
          <w:tcPr>
            <w:tcW w:w="2070" w:type="dxa"/>
            <w:shd w:val="pct20" w:color="000000" w:fill="FFFFFF"/>
            <w:noWrap/>
            <w:vAlign w:val="bottom"/>
          </w:tcPr>
          <w:p w14:paraId="5EB8A47D"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(-1)x(Base Equipment Cost</w:t>
            </w:r>
          </w:p>
          <w:p w14:paraId="5EB8A47E"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Labor Cost)</w:t>
            </w:r>
          </w:p>
        </w:tc>
        <w:tc>
          <w:tcPr>
            <w:tcW w:w="2970" w:type="dxa"/>
            <w:shd w:val="pct20" w:color="000000" w:fill="FFFFFF"/>
            <w:noWrap/>
            <w:vAlign w:val="bottom"/>
          </w:tcPr>
          <w:p w14:paraId="5EB8A47F"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5EB8A480"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r w:rsidR="003034D0" w:rsidRPr="00746B00" w14:paraId="5EB8A488" w14:textId="77777777" w:rsidTr="005C31D5">
        <w:trPr>
          <w:trHeight w:val="170"/>
        </w:trPr>
        <w:tc>
          <w:tcPr>
            <w:tcW w:w="1305" w:type="dxa"/>
            <w:shd w:val="pct5" w:color="000000" w:fill="FFFFFF"/>
            <w:noWrap/>
            <w:vAlign w:val="bottom"/>
          </w:tcPr>
          <w:p w14:paraId="5EB8A482"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ROB</w:t>
            </w:r>
          </w:p>
        </w:tc>
        <w:tc>
          <w:tcPr>
            <w:tcW w:w="3213" w:type="dxa"/>
            <w:shd w:val="pct5" w:color="000000" w:fill="FFFFFF"/>
            <w:vAlign w:val="bottom"/>
          </w:tcPr>
          <w:p w14:paraId="5EB8A483"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5EB8A484"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c>
          <w:tcPr>
            <w:tcW w:w="2070" w:type="dxa"/>
            <w:shd w:val="pct5" w:color="000000" w:fill="FFFFFF"/>
            <w:noWrap/>
            <w:vAlign w:val="bottom"/>
          </w:tcPr>
          <w:p w14:paraId="5EB8A485"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N/A</w:t>
            </w:r>
          </w:p>
        </w:tc>
        <w:tc>
          <w:tcPr>
            <w:tcW w:w="2970" w:type="dxa"/>
            <w:shd w:val="pct5" w:color="000000" w:fill="FFFFFF"/>
            <w:vAlign w:val="bottom"/>
          </w:tcPr>
          <w:p w14:paraId="5EB8A486"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5EB8A487"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r w:rsidR="003034D0" w:rsidRPr="00746B00" w14:paraId="5EB8A48F" w14:textId="77777777" w:rsidTr="005C31D5">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5EB8A489"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5EB8A48A"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5EB8A48B"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5EB8A48C"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5EB8A48D"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14:paraId="5EB8A48E" w14:textId="77777777"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bl>
    <w:p w14:paraId="5EB8A490" w14:textId="77777777" w:rsidR="003034D0" w:rsidRDefault="00B95781" w:rsidP="008473DB">
      <w:pPr>
        <w:pStyle w:val="Heading3"/>
      </w:pPr>
      <w:bookmarkStart w:id="50" w:name="_Toc383697822"/>
      <w:bookmarkStart w:id="51" w:name="_Toc468797920"/>
      <w:r w:rsidRPr="00746B00">
        <w:t>4.3.1 Full Measure Cost</w:t>
      </w:r>
      <w:bookmarkEnd w:id="50"/>
      <w:bookmarkEnd w:id="51"/>
    </w:p>
    <w:p w14:paraId="5EB8A491" w14:textId="77777777" w:rsidR="00970C80" w:rsidRDefault="00970C80" w:rsidP="00970C80">
      <w:pPr>
        <w:rPr>
          <w:rFonts w:ascii="Arial" w:hAnsi="Arial" w:cs="Arial"/>
          <w:sz w:val="20"/>
          <w:szCs w:val="20"/>
        </w:rPr>
      </w:pPr>
      <w:r>
        <w:rPr>
          <w:rFonts w:ascii="Arial" w:hAnsi="Arial" w:cs="Arial"/>
          <w:sz w:val="20"/>
          <w:szCs w:val="20"/>
        </w:rPr>
        <w:t xml:space="preserve">The Full </w:t>
      </w:r>
      <w:r w:rsidRPr="005B1DEA">
        <w:rPr>
          <w:rFonts w:ascii="Arial" w:hAnsi="Arial" w:cs="Arial"/>
          <w:sz w:val="20"/>
          <w:szCs w:val="20"/>
        </w:rPr>
        <w:t>Measure Cost is applicable to Direct Install programs.</w:t>
      </w:r>
      <w:r w:rsidR="003D1EB1">
        <w:rPr>
          <w:rFonts w:ascii="Arial" w:hAnsi="Arial" w:cs="Arial"/>
          <w:sz w:val="20"/>
          <w:szCs w:val="20"/>
        </w:rPr>
        <w:t xml:space="preserve"> There is an effort on updating systems to collect actual costs from implementers, till then the following costs will be used for direct install.</w:t>
      </w:r>
    </w:p>
    <w:p w14:paraId="5EB8A492" w14:textId="77777777" w:rsidR="00106A4C" w:rsidRPr="005B1DEA" w:rsidRDefault="00106A4C" w:rsidP="00970C80">
      <w:pPr>
        <w:rPr>
          <w:rFonts w:ascii="Arial" w:hAnsi="Arial" w:cs="Arial"/>
          <w:sz w:val="20"/>
          <w:szCs w:val="20"/>
        </w:rPr>
      </w:pPr>
    </w:p>
    <w:p w14:paraId="5EB8A493" w14:textId="77777777" w:rsidR="00BA1A39" w:rsidRDefault="00970C80" w:rsidP="00970C80">
      <w:pPr>
        <w:rPr>
          <w:rFonts w:ascii="Arial" w:hAnsi="Arial" w:cs="Arial"/>
          <w:sz w:val="20"/>
          <w:szCs w:val="20"/>
        </w:rPr>
      </w:pPr>
      <w:r>
        <w:rPr>
          <w:rFonts w:ascii="Arial" w:hAnsi="Arial" w:cs="Arial"/>
          <w:sz w:val="20"/>
          <w:szCs w:val="20"/>
        </w:rPr>
        <w:t>FMC</w:t>
      </w:r>
      <w:r w:rsidRPr="005B1DEA">
        <w:rPr>
          <w:rFonts w:ascii="Arial" w:hAnsi="Arial" w:cs="Arial"/>
          <w:sz w:val="20"/>
          <w:szCs w:val="20"/>
        </w:rPr>
        <w:t xml:space="preserve"> = Measure Equipment Cost + Measure Labor Cost</w:t>
      </w:r>
    </w:p>
    <w:p w14:paraId="5EB8A494" w14:textId="77777777" w:rsidR="00CE0DF1" w:rsidRDefault="00CE0DF1" w:rsidP="00970C80">
      <w:pPr>
        <w:rPr>
          <w:rFonts w:ascii="Arial" w:hAnsi="Arial" w:cs="Arial"/>
          <w:sz w:val="20"/>
          <w:szCs w:val="20"/>
        </w:rPr>
      </w:pPr>
    </w:p>
    <w:p w14:paraId="5EB8A4E4" w14:textId="530902B3" w:rsidR="00BA1A39" w:rsidRDefault="00BA1A39" w:rsidP="00BA1A39">
      <w:pPr>
        <w:pStyle w:val="Caption"/>
        <w:jc w:val="center"/>
      </w:pPr>
      <w:r>
        <w:t xml:space="preserve"> </w:t>
      </w:r>
      <w:bookmarkStart w:id="52" w:name="_Toc468795527"/>
      <w:r>
        <w:t xml:space="preserve">Table </w:t>
      </w:r>
      <w:fldSimple w:instr=" SEQ Table \* ARABIC ">
        <w:r w:rsidR="00264804">
          <w:rPr>
            <w:noProof/>
          </w:rPr>
          <w:t>9</w:t>
        </w:r>
      </w:fldSimple>
      <w:r w:rsidR="009C7023">
        <w:rPr>
          <w:noProof/>
        </w:rPr>
        <w:t xml:space="preserve"> </w:t>
      </w:r>
      <w:r w:rsidR="009C7023">
        <w:t xml:space="preserve">- </w:t>
      </w:r>
      <w:r w:rsidRPr="00BA1A39">
        <w:t>LED Ambient Commercial Fixtures &amp; Retrofit Kits Full Measure Cost</w:t>
      </w:r>
      <w:bookmarkEnd w:id="52"/>
    </w:p>
    <w:tbl>
      <w:tblPr>
        <w:tblpPr w:leftFromText="180" w:rightFromText="180" w:vertAnchor="text" w:horzAnchor="margin" w:tblpY="358"/>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5130"/>
        <w:gridCol w:w="1260"/>
        <w:gridCol w:w="1350"/>
        <w:gridCol w:w="1170"/>
      </w:tblGrid>
      <w:tr w:rsidR="00C21271" w:rsidRPr="0008537D" w14:paraId="0C0B914A" w14:textId="77777777" w:rsidTr="00884DF8">
        <w:trPr>
          <w:trHeight w:val="767"/>
        </w:trPr>
        <w:tc>
          <w:tcPr>
            <w:tcW w:w="1098" w:type="dxa"/>
          </w:tcPr>
          <w:p w14:paraId="1EDE4806" w14:textId="77777777" w:rsidR="00C21271" w:rsidRPr="00987508" w:rsidRDefault="00C21271" w:rsidP="00884DF8">
            <w:bookmarkStart w:id="53" w:name="_Toc324318376"/>
            <w:bookmarkStart w:id="54" w:name="_Toc324340505"/>
            <w:bookmarkStart w:id="55" w:name="_Toc381279689"/>
            <w:bookmarkStart w:id="56" w:name="_Toc383697823"/>
            <w:r w:rsidRPr="00987508">
              <w:t>Measure Code</w:t>
            </w:r>
          </w:p>
        </w:tc>
        <w:tc>
          <w:tcPr>
            <w:tcW w:w="5130" w:type="dxa"/>
          </w:tcPr>
          <w:p w14:paraId="507DD523" w14:textId="77777777" w:rsidR="00C21271" w:rsidRPr="00F06A4F" w:rsidRDefault="00C21271" w:rsidP="00884DF8">
            <w:r w:rsidRPr="00F06A4F">
              <w:t>Measure Description</w:t>
            </w:r>
          </w:p>
        </w:tc>
        <w:tc>
          <w:tcPr>
            <w:tcW w:w="1260" w:type="dxa"/>
            <w:vAlign w:val="center"/>
          </w:tcPr>
          <w:p w14:paraId="06667A15" w14:textId="77777777" w:rsidR="00C21271" w:rsidRPr="00422D1A" w:rsidRDefault="00C21271" w:rsidP="00884DF8">
            <w:pPr>
              <w:jc w:val="center"/>
              <w:rPr>
                <w:rFonts w:ascii="Arial" w:hAnsi="Arial" w:cs="Arial"/>
                <w:b/>
                <w:sz w:val="20"/>
                <w:szCs w:val="20"/>
              </w:rPr>
            </w:pPr>
            <w:r>
              <w:rPr>
                <w:rFonts w:ascii="Arial" w:hAnsi="Arial" w:cs="Arial"/>
                <w:b/>
                <w:sz w:val="20"/>
                <w:szCs w:val="20"/>
              </w:rPr>
              <w:t>Measure Equipment Cost</w:t>
            </w:r>
          </w:p>
        </w:tc>
        <w:tc>
          <w:tcPr>
            <w:tcW w:w="1350" w:type="dxa"/>
            <w:vAlign w:val="center"/>
          </w:tcPr>
          <w:p w14:paraId="24662D5B" w14:textId="77777777" w:rsidR="00C21271" w:rsidRDefault="00C21271" w:rsidP="00884DF8">
            <w:pPr>
              <w:jc w:val="center"/>
              <w:rPr>
                <w:rFonts w:ascii="Arial" w:hAnsi="Arial" w:cs="Arial"/>
                <w:b/>
                <w:sz w:val="20"/>
                <w:szCs w:val="20"/>
              </w:rPr>
            </w:pPr>
            <w:r>
              <w:rPr>
                <w:rFonts w:ascii="Arial" w:hAnsi="Arial" w:cs="Arial"/>
                <w:b/>
                <w:sz w:val="20"/>
                <w:szCs w:val="20"/>
              </w:rPr>
              <w:t>Measure Labor Cost</w:t>
            </w:r>
            <w:r>
              <w:rPr>
                <w:rStyle w:val="EndnoteReference"/>
                <w:rFonts w:ascii="Arial" w:hAnsi="Arial" w:cs="Arial"/>
                <w:b/>
                <w:sz w:val="20"/>
                <w:szCs w:val="20"/>
              </w:rPr>
              <w:endnoteReference w:id="14"/>
            </w:r>
          </w:p>
        </w:tc>
        <w:tc>
          <w:tcPr>
            <w:tcW w:w="1170" w:type="dxa"/>
            <w:vAlign w:val="center"/>
          </w:tcPr>
          <w:p w14:paraId="7EE6B899" w14:textId="77777777" w:rsidR="00C21271" w:rsidRDefault="00C21271" w:rsidP="00884DF8">
            <w:pPr>
              <w:jc w:val="center"/>
              <w:rPr>
                <w:rFonts w:ascii="Arial" w:hAnsi="Arial" w:cs="Arial"/>
                <w:b/>
                <w:sz w:val="20"/>
                <w:szCs w:val="20"/>
              </w:rPr>
            </w:pPr>
            <w:r>
              <w:rPr>
                <w:rFonts w:ascii="Arial" w:hAnsi="Arial" w:cs="Arial"/>
                <w:b/>
                <w:sz w:val="20"/>
                <w:szCs w:val="20"/>
              </w:rPr>
              <w:t>Full</w:t>
            </w:r>
          </w:p>
          <w:p w14:paraId="7444BCCA" w14:textId="77777777" w:rsidR="00C21271" w:rsidRPr="00422D1A" w:rsidRDefault="00C21271" w:rsidP="00884DF8">
            <w:pPr>
              <w:jc w:val="center"/>
              <w:rPr>
                <w:rFonts w:ascii="Arial" w:hAnsi="Arial" w:cs="Arial"/>
                <w:b/>
                <w:sz w:val="20"/>
                <w:szCs w:val="20"/>
              </w:rPr>
            </w:pPr>
            <w:r w:rsidRPr="00422D1A">
              <w:rPr>
                <w:rFonts w:ascii="Arial" w:hAnsi="Arial" w:cs="Arial"/>
                <w:b/>
                <w:sz w:val="20"/>
                <w:szCs w:val="20"/>
              </w:rPr>
              <w:t>Measure Cost</w:t>
            </w:r>
          </w:p>
        </w:tc>
      </w:tr>
      <w:tr w:rsidR="00C21271" w:rsidRPr="00A55E10" w14:paraId="463F622F" w14:textId="77777777" w:rsidTr="00884DF8">
        <w:trPr>
          <w:trHeight w:val="149"/>
        </w:trPr>
        <w:tc>
          <w:tcPr>
            <w:tcW w:w="1098" w:type="dxa"/>
          </w:tcPr>
          <w:p w14:paraId="32D179C2" w14:textId="77777777" w:rsidR="00C21271" w:rsidRPr="00987508" w:rsidRDefault="00C21271" w:rsidP="00884DF8">
            <w:r w:rsidRPr="00987508">
              <w:t>LT042</w:t>
            </w:r>
          </w:p>
        </w:tc>
        <w:tc>
          <w:tcPr>
            <w:tcW w:w="5130" w:type="dxa"/>
          </w:tcPr>
          <w:p w14:paraId="2938D1F5" w14:textId="77777777" w:rsidR="00C21271" w:rsidRPr="00F06A4F" w:rsidRDefault="00C21271" w:rsidP="00884DF8">
            <w:r w:rsidRPr="00F06A4F">
              <w:t>2'x4' LED new Luminaire; rated ≥110 and &lt;125 LPW, Ambient Interior Commercial Spaces</w:t>
            </w:r>
          </w:p>
        </w:tc>
        <w:tc>
          <w:tcPr>
            <w:tcW w:w="1260" w:type="dxa"/>
            <w:vAlign w:val="center"/>
          </w:tcPr>
          <w:p w14:paraId="03DB6C9D" w14:textId="77777777" w:rsidR="00C21271" w:rsidRPr="00661F2B" w:rsidRDefault="00C21271" w:rsidP="00884DF8">
            <w:pPr>
              <w:jc w:val="center"/>
              <w:rPr>
                <w:rFonts w:ascii="Arial" w:hAnsi="Arial" w:cs="Arial"/>
                <w:sz w:val="20"/>
                <w:szCs w:val="20"/>
              </w:rPr>
            </w:pPr>
            <w:r>
              <w:rPr>
                <w:rFonts w:ascii="Arial" w:hAnsi="Arial" w:cs="Arial"/>
                <w:b/>
                <w:bCs/>
                <w:sz w:val="20"/>
                <w:szCs w:val="20"/>
              </w:rPr>
              <w:t>$34.72</w:t>
            </w:r>
          </w:p>
        </w:tc>
        <w:tc>
          <w:tcPr>
            <w:tcW w:w="1350" w:type="dxa"/>
            <w:vAlign w:val="center"/>
          </w:tcPr>
          <w:p w14:paraId="13E276E3"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71F7B09D"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$61.78</w:t>
            </w:r>
          </w:p>
        </w:tc>
      </w:tr>
      <w:tr w:rsidR="00C21271" w:rsidRPr="00A55E10" w14:paraId="0CE44182" w14:textId="77777777" w:rsidTr="00884DF8">
        <w:trPr>
          <w:trHeight w:val="149"/>
        </w:trPr>
        <w:tc>
          <w:tcPr>
            <w:tcW w:w="1098" w:type="dxa"/>
          </w:tcPr>
          <w:p w14:paraId="08A67553" w14:textId="77777777" w:rsidR="00C21271" w:rsidRPr="00987508" w:rsidRDefault="00C21271" w:rsidP="00884DF8">
            <w:r w:rsidRPr="00987508">
              <w:t>LT043</w:t>
            </w:r>
          </w:p>
        </w:tc>
        <w:tc>
          <w:tcPr>
            <w:tcW w:w="5130" w:type="dxa"/>
          </w:tcPr>
          <w:p w14:paraId="74EFB93B" w14:textId="77777777" w:rsidR="00C21271" w:rsidRPr="00F06A4F" w:rsidRDefault="00C21271" w:rsidP="00884DF8">
            <w:r w:rsidRPr="00F06A4F">
              <w:t>2'x4' LED new Luminaire; rated ≥125 LPW, Ambient Interior Commercial Spaces</w:t>
            </w:r>
          </w:p>
        </w:tc>
        <w:tc>
          <w:tcPr>
            <w:tcW w:w="1260" w:type="dxa"/>
            <w:vAlign w:val="center"/>
          </w:tcPr>
          <w:p w14:paraId="2BA20299" w14:textId="77777777" w:rsidR="00C21271" w:rsidRPr="00661F2B" w:rsidRDefault="00C21271" w:rsidP="00884DF8">
            <w:pPr>
              <w:jc w:val="center"/>
              <w:rPr>
                <w:rFonts w:ascii="Arial" w:hAnsi="Arial" w:cs="Arial"/>
                <w:sz w:val="20"/>
                <w:szCs w:val="20"/>
              </w:rPr>
            </w:pPr>
            <w:r>
              <w:rPr>
                <w:rFonts w:ascii="Arial" w:hAnsi="Arial" w:cs="Arial"/>
                <w:b/>
                <w:bCs/>
                <w:sz w:val="20"/>
                <w:szCs w:val="20"/>
              </w:rPr>
              <w:t>$31.41</w:t>
            </w:r>
          </w:p>
        </w:tc>
        <w:tc>
          <w:tcPr>
            <w:tcW w:w="1350" w:type="dxa"/>
            <w:vAlign w:val="center"/>
          </w:tcPr>
          <w:p w14:paraId="014A6C4C"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1F294261"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$58.47</w:t>
            </w:r>
          </w:p>
        </w:tc>
      </w:tr>
      <w:tr w:rsidR="00C21271" w:rsidRPr="00A55E10" w14:paraId="097E0F8E" w14:textId="77777777" w:rsidTr="00884DF8">
        <w:trPr>
          <w:trHeight w:val="149"/>
        </w:trPr>
        <w:tc>
          <w:tcPr>
            <w:tcW w:w="1098" w:type="dxa"/>
          </w:tcPr>
          <w:p w14:paraId="2BB1D508" w14:textId="77777777" w:rsidR="00C21271" w:rsidRPr="00987508" w:rsidRDefault="00C21271" w:rsidP="00884DF8">
            <w:r w:rsidRPr="00987508">
              <w:t>LT046</w:t>
            </w:r>
          </w:p>
        </w:tc>
        <w:tc>
          <w:tcPr>
            <w:tcW w:w="5130" w:type="dxa"/>
          </w:tcPr>
          <w:p w14:paraId="604669F6" w14:textId="77777777" w:rsidR="00C21271" w:rsidRPr="00F06A4F" w:rsidRDefault="00C21271" w:rsidP="00884DF8">
            <w:r w:rsidRPr="00F06A4F">
              <w:t>2'x2' LED new Luminaire; rated ≥110 and &lt;125 LPW, Ambient Interior Commercial Spaces</w:t>
            </w:r>
          </w:p>
        </w:tc>
        <w:tc>
          <w:tcPr>
            <w:tcW w:w="1260" w:type="dxa"/>
            <w:vAlign w:val="center"/>
          </w:tcPr>
          <w:p w14:paraId="085BE098" w14:textId="77777777" w:rsidR="00C21271" w:rsidRPr="00661F2B" w:rsidRDefault="00C21271" w:rsidP="00884DF8">
            <w:pPr>
              <w:jc w:val="center"/>
              <w:rPr>
                <w:rFonts w:ascii="Arial" w:hAnsi="Arial" w:cs="Arial"/>
                <w:sz w:val="20"/>
                <w:szCs w:val="20"/>
              </w:rPr>
            </w:pPr>
            <w:r>
              <w:rPr>
                <w:rFonts w:ascii="Arial" w:hAnsi="Arial" w:cs="Arial"/>
                <w:b/>
                <w:bCs/>
                <w:sz w:val="20"/>
                <w:szCs w:val="20"/>
              </w:rPr>
              <w:t>$33.10</w:t>
            </w:r>
          </w:p>
        </w:tc>
        <w:tc>
          <w:tcPr>
            <w:tcW w:w="1350" w:type="dxa"/>
            <w:vAlign w:val="center"/>
          </w:tcPr>
          <w:p w14:paraId="47C3D753"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3F285628"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$60.16</w:t>
            </w:r>
          </w:p>
        </w:tc>
      </w:tr>
      <w:tr w:rsidR="00C21271" w:rsidRPr="00A55E10" w14:paraId="1E4B1978" w14:textId="77777777" w:rsidTr="00884DF8">
        <w:trPr>
          <w:trHeight w:val="149"/>
        </w:trPr>
        <w:tc>
          <w:tcPr>
            <w:tcW w:w="1098" w:type="dxa"/>
          </w:tcPr>
          <w:p w14:paraId="442777F4" w14:textId="77777777" w:rsidR="00C21271" w:rsidRPr="00987508" w:rsidRDefault="00C21271" w:rsidP="00884DF8">
            <w:r w:rsidRPr="00987508">
              <w:t>LT047</w:t>
            </w:r>
          </w:p>
        </w:tc>
        <w:tc>
          <w:tcPr>
            <w:tcW w:w="5130" w:type="dxa"/>
          </w:tcPr>
          <w:p w14:paraId="39319C6A" w14:textId="77777777" w:rsidR="00C21271" w:rsidRPr="00F06A4F" w:rsidRDefault="00C21271" w:rsidP="00884DF8">
            <w:r w:rsidRPr="00F06A4F">
              <w:t>2'x2' LED new Luminaire; rated ≥125 LPW, Ambient Interior Commercial Spaces</w:t>
            </w:r>
          </w:p>
        </w:tc>
        <w:tc>
          <w:tcPr>
            <w:tcW w:w="1260" w:type="dxa"/>
            <w:vAlign w:val="center"/>
          </w:tcPr>
          <w:p w14:paraId="3F4A6101" w14:textId="77777777" w:rsidR="00C21271" w:rsidRPr="00661F2B" w:rsidRDefault="00C21271" w:rsidP="00884DF8">
            <w:pPr>
              <w:jc w:val="center"/>
              <w:rPr>
                <w:rFonts w:ascii="Arial" w:hAnsi="Arial" w:cs="Arial"/>
                <w:sz w:val="20"/>
                <w:szCs w:val="20"/>
              </w:rPr>
            </w:pPr>
            <w:r>
              <w:rPr>
                <w:rFonts w:ascii="Arial" w:hAnsi="Arial" w:cs="Arial"/>
                <w:b/>
                <w:bCs/>
                <w:sz w:val="20"/>
                <w:szCs w:val="20"/>
              </w:rPr>
              <w:t>$37.48</w:t>
            </w:r>
          </w:p>
        </w:tc>
        <w:tc>
          <w:tcPr>
            <w:tcW w:w="1350" w:type="dxa"/>
            <w:vAlign w:val="center"/>
          </w:tcPr>
          <w:p w14:paraId="23783CAE"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56BCA677"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$64.54</w:t>
            </w:r>
          </w:p>
        </w:tc>
      </w:tr>
      <w:tr w:rsidR="00C21271" w:rsidRPr="00A55E10" w14:paraId="18D6D98C" w14:textId="77777777" w:rsidTr="00884DF8">
        <w:trPr>
          <w:trHeight w:val="149"/>
        </w:trPr>
        <w:tc>
          <w:tcPr>
            <w:tcW w:w="1098" w:type="dxa"/>
          </w:tcPr>
          <w:p w14:paraId="421CDC32" w14:textId="77777777" w:rsidR="00C21271" w:rsidRPr="00987508" w:rsidRDefault="00C21271" w:rsidP="00884DF8">
            <w:r w:rsidRPr="00987508">
              <w:t>LT050</w:t>
            </w:r>
          </w:p>
        </w:tc>
        <w:tc>
          <w:tcPr>
            <w:tcW w:w="5130" w:type="dxa"/>
          </w:tcPr>
          <w:p w14:paraId="68384E91" w14:textId="77777777" w:rsidR="00C21271" w:rsidRPr="00F06A4F" w:rsidRDefault="00C21271" w:rsidP="00884DF8">
            <w:r w:rsidRPr="00F06A4F">
              <w:t>1'x4' LED new Luminaire; rated ≥110 and &lt;125 LPW, Ambient Interior Commercial Spaces</w:t>
            </w:r>
          </w:p>
        </w:tc>
        <w:tc>
          <w:tcPr>
            <w:tcW w:w="1260" w:type="dxa"/>
            <w:vAlign w:val="center"/>
          </w:tcPr>
          <w:p w14:paraId="532AF9CD" w14:textId="77777777" w:rsidR="00C21271" w:rsidRPr="00661F2B" w:rsidRDefault="00C21271" w:rsidP="00884DF8">
            <w:pPr>
              <w:jc w:val="center"/>
              <w:rPr>
                <w:rFonts w:ascii="Arial" w:hAnsi="Arial" w:cs="Arial"/>
                <w:sz w:val="20"/>
                <w:szCs w:val="20"/>
              </w:rPr>
            </w:pPr>
            <w:r>
              <w:rPr>
                <w:rFonts w:ascii="Arial" w:hAnsi="Arial" w:cs="Arial"/>
                <w:b/>
                <w:bCs/>
                <w:sz w:val="20"/>
                <w:szCs w:val="20"/>
              </w:rPr>
              <w:t>$34.71</w:t>
            </w:r>
          </w:p>
        </w:tc>
        <w:tc>
          <w:tcPr>
            <w:tcW w:w="1350" w:type="dxa"/>
            <w:vAlign w:val="center"/>
          </w:tcPr>
          <w:p w14:paraId="32BE013E"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3E428436"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$61.77</w:t>
            </w:r>
          </w:p>
        </w:tc>
      </w:tr>
      <w:tr w:rsidR="00C21271" w:rsidRPr="00A55E10" w14:paraId="216A9201" w14:textId="77777777" w:rsidTr="00884DF8">
        <w:trPr>
          <w:trHeight w:val="149"/>
        </w:trPr>
        <w:tc>
          <w:tcPr>
            <w:tcW w:w="1098" w:type="dxa"/>
          </w:tcPr>
          <w:p w14:paraId="05647FBE" w14:textId="77777777" w:rsidR="00C21271" w:rsidRPr="00987508" w:rsidRDefault="00C21271" w:rsidP="00884DF8">
            <w:r w:rsidRPr="00987508">
              <w:t>LT051</w:t>
            </w:r>
          </w:p>
        </w:tc>
        <w:tc>
          <w:tcPr>
            <w:tcW w:w="5130" w:type="dxa"/>
          </w:tcPr>
          <w:p w14:paraId="7B85521E" w14:textId="77777777" w:rsidR="00C21271" w:rsidRPr="00F06A4F" w:rsidRDefault="00C21271" w:rsidP="00884DF8">
            <w:r w:rsidRPr="00F06A4F">
              <w:t>1'x4' LED new Luminaire; rated ≥125 LPW, Ambient Interior Commercial Spaces</w:t>
            </w:r>
          </w:p>
        </w:tc>
        <w:tc>
          <w:tcPr>
            <w:tcW w:w="1260" w:type="dxa"/>
            <w:vAlign w:val="center"/>
          </w:tcPr>
          <w:p w14:paraId="44AC4EA5" w14:textId="77777777" w:rsidR="00C21271" w:rsidRPr="00661F2B" w:rsidRDefault="00C21271" w:rsidP="00884DF8">
            <w:pPr>
              <w:jc w:val="center"/>
              <w:rPr>
                <w:rFonts w:ascii="Arial" w:hAnsi="Arial" w:cs="Arial"/>
                <w:sz w:val="20"/>
                <w:szCs w:val="20"/>
              </w:rPr>
            </w:pPr>
            <w:r>
              <w:rPr>
                <w:rFonts w:ascii="Arial" w:hAnsi="Arial" w:cs="Arial"/>
                <w:b/>
                <w:bCs/>
                <w:sz w:val="20"/>
                <w:szCs w:val="20"/>
              </w:rPr>
              <w:t>$38.94</w:t>
            </w:r>
          </w:p>
        </w:tc>
        <w:tc>
          <w:tcPr>
            <w:tcW w:w="1350" w:type="dxa"/>
            <w:vAlign w:val="center"/>
          </w:tcPr>
          <w:p w14:paraId="2151F2A0"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5FD5A011"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$66.00</w:t>
            </w:r>
          </w:p>
        </w:tc>
      </w:tr>
      <w:tr w:rsidR="00C21271" w:rsidRPr="00A55E10" w14:paraId="392C5739" w14:textId="77777777" w:rsidTr="00884DF8">
        <w:trPr>
          <w:trHeight w:val="149"/>
        </w:trPr>
        <w:tc>
          <w:tcPr>
            <w:tcW w:w="1098" w:type="dxa"/>
          </w:tcPr>
          <w:p w14:paraId="10700470" w14:textId="77777777" w:rsidR="00C21271" w:rsidRPr="00987508" w:rsidRDefault="00C21271" w:rsidP="00884DF8">
            <w:r w:rsidRPr="00987508">
              <w:t>LT054</w:t>
            </w:r>
          </w:p>
        </w:tc>
        <w:tc>
          <w:tcPr>
            <w:tcW w:w="5130" w:type="dxa"/>
          </w:tcPr>
          <w:p w14:paraId="3466E886" w14:textId="77777777" w:rsidR="00C21271" w:rsidRPr="00F06A4F" w:rsidRDefault="00C21271" w:rsidP="00884DF8">
            <w:r w:rsidRPr="00F06A4F">
              <w:t>2'x4' LED Integrated retrofit kit; rated ≥110 and &lt;125 LPW, Ambient Interior Commercial Spaces</w:t>
            </w:r>
          </w:p>
        </w:tc>
        <w:tc>
          <w:tcPr>
            <w:tcW w:w="1260" w:type="dxa"/>
            <w:vAlign w:val="center"/>
          </w:tcPr>
          <w:p w14:paraId="6AF31A1E" w14:textId="77777777" w:rsidR="00C21271" w:rsidRPr="00661F2B" w:rsidRDefault="00C21271" w:rsidP="00884DF8">
            <w:pPr>
              <w:jc w:val="center"/>
              <w:rPr>
                <w:rFonts w:ascii="Arial" w:hAnsi="Arial" w:cs="Arial"/>
                <w:sz w:val="20"/>
                <w:szCs w:val="20"/>
              </w:rPr>
            </w:pPr>
            <w:r>
              <w:rPr>
                <w:rFonts w:ascii="Arial" w:hAnsi="Arial" w:cs="Arial"/>
                <w:b/>
                <w:bCs/>
                <w:sz w:val="20"/>
                <w:szCs w:val="20"/>
              </w:rPr>
              <w:t>$35.05</w:t>
            </w:r>
          </w:p>
        </w:tc>
        <w:tc>
          <w:tcPr>
            <w:tcW w:w="1350" w:type="dxa"/>
            <w:vAlign w:val="center"/>
          </w:tcPr>
          <w:p w14:paraId="0B3DEF02"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6206C7D0"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$62.10</w:t>
            </w:r>
          </w:p>
        </w:tc>
      </w:tr>
      <w:tr w:rsidR="00C21271" w:rsidRPr="00A55E10" w14:paraId="5C5DE05C" w14:textId="77777777" w:rsidTr="00884DF8">
        <w:trPr>
          <w:trHeight w:val="149"/>
        </w:trPr>
        <w:tc>
          <w:tcPr>
            <w:tcW w:w="1098" w:type="dxa"/>
          </w:tcPr>
          <w:p w14:paraId="751AE551" w14:textId="77777777" w:rsidR="00C21271" w:rsidRPr="00987508" w:rsidRDefault="00C21271" w:rsidP="00884DF8">
            <w:r w:rsidRPr="00987508">
              <w:t>LT055</w:t>
            </w:r>
          </w:p>
        </w:tc>
        <w:tc>
          <w:tcPr>
            <w:tcW w:w="5130" w:type="dxa"/>
          </w:tcPr>
          <w:p w14:paraId="23DC5CCC" w14:textId="77777777" w:rsidR="00C21271" w:rsidRPr="00F06A4F" w:rsidRDefault="00C21271" w:rsidP="00884DF8">
            <w:r w:rsidRPr="00F06A4F">
              <w:t>2'x4' LED Integrated retrofit kit; rated ≥125 LPW, Ambient Interior Commercial Spaces</w:t>
            </w:r>
          </w:p>
        </w:tc>
        <w:tc>
          <w:tcPr>
            <w:tcW w:w="1260" w:type="dxa"/>
            <w:vAlign w:val="center"/>
          </w:tcPr>
          <w:p w14:paraId="57E0C810" w14:textId="77777777" w:rsidR="00C21271" w:rsidRPr="00661F2B" w:rsidRDefault="00C21271" w:rsidP="00884DF8">
            <w:pPr>
              <w:jc w:val="center"/>
              <w:rPr>
                <w:rFonts w:ascii="Arial" w:hAnsi="Arial" w:cs="Arial"/>
                <w:sz w:val="20"/>
                <w:szCs w:val="20"/>
              </w:rPr>
            </w:pPr>
            <w:r>
              <w:rPr>
                <w:rFonts w:ascii="Arial" w:hAnsi="Arial" w:cs="Arial"/>
                <w:b/>
                <w:bCs/>
                <w:sz w:val="20"/>
                <w:szCs w:val="20"/>
              </w:rPr>
              <w:t>$31.28</w:t>
            </w:r>
          </w:p>
        </w:tc>
        <w:tc>
          <w:tcPr>
            <w:tcW w:w="1350" w:type="dxa"/>
            <w:vAlign w:val="center"/>
          </w:tcPr>
          <w:p w14:paraId="6567F25D"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5FC9D0D8"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$58.34</w:t>
            </w:r>
          </w:p>
        </w:tc>
      </w:tr>
      <w:tr w:rsidR="00C21271" w:rsidRPr="00A55E10" w14:paraId="3DCBB98B" w14:textId="77777777" w:rsidTr="00884DF8">
        <w:trPr>
          <w:trHeight w:val="149"/>
        </w:trPr>
        <w:tc>
          <w:tcPr>
            <w:tcW w:w="1098" w:type="dxa"/>
          </w:tcPr>
          <w:p w14:paraId="187506DC" w14:textId="77777777" w:rsidR="00C21271" w:rsidRPr="00987508" w:rsidRDefault="00C21271" w:rsidP="00884DF8">
            <w:r w:rsidRPr="00987508">
              <w:t>LT058</w:t>
            </w:r>
          </w:p>
        </w:tc>
        <w:tc>
          <w:tcPr>
            <w:tcW w:w="5130" w:type="dxa"/>
          </w:tcPr>
          <w:p w14:paraId="5C94ECCD" w14:textId="77777777" w:rsidR="00C21271" w:rsidRPr="00F06A4F" w:rsidRDefault="00C21271" w:rsidP="00884DF8">
            <w:r w:rsidRPr="00F06A4F">
              <w:t>2'x2' LED Integrated retrofit kit; rated ≥110 and &lt;125 LPW, Ambient Interior Commercial Spaces</w:t>
            </w:r>
          </w:p>
        </w:tc>
        <w:tc>
          <w:tcPr>
            <w:tcW w:w="1260" w:type="dxa"/>
            <w:vAlign w:val="center"/>
          </w:tcPr>
          <w:p w14:paraId="584D6E3B" w14:textId="77777777" w:rsidR="00C21271" w:rsidRPr="00661F2B" w:rsidRDefault="00C21271" w:rsidP="00884DF8">
            <w:pPr>
              <w:jc w:val="center"/>
              <w:rPr>
                <w:rFonts w:ascii="Arial" w:hAnsi="Arial" w:cs="Arial"/>
                <w:sz w:val="20"/>
                <w:szCs w:val="20"/>
              </w:rPr>
            </w:pPr>
            <w:r>
              <w:rPr>
                <w:rFonts w:ascii="Arial" w:hAnsi="Arial" w:cs="Arial"/>
                <w:b/>
                <w:bCs/>
                <w:sz w:val="20"/>
                <w:szCs w:val="20"/>
              </w:rPr>
              <w:t>$38.67</w:t>
            </w:r>
          </w:p>
        </w:tc>
        <w:tc>
          <w:tcPr>
            <w:tcW w:w="1350" w:type="dxa"/>
            <w:vAlign w:val="center"/>
          </w:tcPr>
          <w:p w14:paraId="2D8AADA5"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3C344F1C"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$65.73</w:t>
            </w:r>
          </w:p>
        </w:tc>
      </w:tr>
      <w:tr w:rsidR="00C21271" w:rsidRPr="00A55E10" w14:paraId="478F5443" w14:textId="77777777" w:rsidTr="00884DF8">
        <w:trPr>
          <w:trHeight w:val="149"/>
        </w:trPr>
        <w:tc>
          <w:tcPr>
            <w:tcW w:w="1098" w:type="dxa"/>
          </w:tcPr>
          <w:p w14:paraId="4B99D134" w14:textId="77777777" w:rsidR="00C21271" w:rsidRPr="00987508" w:rsidRDefault="00C21271" w:rsidP="00884DF8">
            <w:r w:rsidRPr="00987508">
              <w:t>LT059</w:t>
            </w:r>
          </w:p>
        </w:tc>
        <w:tc>
          <w:tcPr>
            <w:tcW w:w="5130" w:type="dxa"/>
          </w:tcPr>
          <w:p w14:paraId="66FB8B35" w14:textId="77777777" w:rsidR="00C21271" w:rsidRPr="00F06A4F" w:rsidRDefault="00C21271" w:rsidP="00884DF8">
            <w:r w:rsidRPr="00F06A4F">
              <w:t>2'x2' LED Integrated retrofit kit; rated ≥125 LPW, Ambient Interior Commercial Spaces</w:t>
            </w:r>
          </w:p>
        </w:tc>
        <w:tc>
          <w:tcPr>
            <w:tcW w:w="1260" w:type="dxa"/>
            <w:vAlign w:val="center"/>
          </w:tcPr>
          <w:p w14:paraId="5B186FDB" w14:textId="77777777" w:rsidR="00C21271" w:rsidRPr="00661F2B" w:rsidRDefault="00C21271" w:rsidP="00884DF8">
            <w:pPr>
              <w:jc w:val="center"/>
              <w:rPr>
                <w:rFonts w:ascii="Arial" w:hAnsi="Arial" w:cs="Arial"/>
                <w:sz w:val="20"/>
                <w:szCs w:val="20"/>
              </w:rPr>
            </w:pPr>
            <w:r>
              <w:rPr>
                <w:rFonts w:ascii="Arial" w:hAnsi="Arial" w:cs="Arial"/>
                <w:b/>
                <w:bCs/>
                <w:sz w:val="20"/>
                <w:szCs w:val="20"/>
              </w:rPr>
              <w:t>$37.48</w:t>
            </w:r>
          </w:p>
        </w:tc>
        <w:tc>
          <w:tcPr>
            <w:tcW w:w="1350" w:type="dxa"/>
            <w:vAlign w:val="center"/>
          </w:tcPr>
          <w:p w14:paraId="53880B36"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2522EA9D"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$64.54</w:t>
            </w:r>
          </w:p>
        </w:tc>
      </w:tr>
      <w:tr w:rsidR="00C21271" w:rsidRPr="00A55E10" w14:paraId="46BB5214" w14:textId="77777777" w:rsidTr="00884DF8">
        <w:trPr>
          <w:trHeight w:val="149"/>
        </w:trPr>
        <w:tc>
          <w:tcPr>
            <w:tcW w:w="1098" w:type="dxa"/>
          </w:tcPr>
          <w:p w14:paraId="60A07644" w14:textId="77777777" w:rsidR="00C21271" w:rsidRPr="00987508" w:rsidRDefault="00C21271" w:rsidP="00884DF8">
            <w:r w:rsidRPr="00987508">
              <w:t>LT062</w:t>
            </w:r>
          </w:p>
        </w:tc>
        <w:tc>
          <w:tcPr>
            <w:tcW w:w="5130" w:type="dxa"/>
          </w:tcPr>
          <w:p w14:paraId="06E5E613" w14:textId="77777777" w:rsidR="00C21271" w:rsidRPr="00F06A4F" w:rsidRDefault="00C21271" w:rsidP="00884DF8">
            <w:r w:rsidRPr="00F06A4F">
              <w:t>1'x4' LED Integrated retrofit kit; rated ≥110 and &lt;125 LPW, Ambient Interior Commercial Spaces</w:t>
            </w:r>
          </w:p>
        </w:tc>
        <w:tc>
          <w:tcPr>
            <w:tcW w:w="1260" w:type="dxa"/>
            <w:vAlign w:val="center"/>
          </w:tcPr>
          <w:p w14:paraId="3CB81270" w14:textId="77777777" w:rsidR="00C21271" w:rsidRPr="00661F2B" w:rsidRDefault="00C21271" w:rsidP="00884DF8">
            <w:pPr>
              <w:jc w:val="center"/>
              <w:rPr>
                <w:rFonts w:ascii="Arial" w:hAnsi="Arial" w:cs="Arial"/>
                <w:sz w:val="20"/>
                <w:szCs w:val="20"/>
              </w:rPr>
            </w:pPr>
            <w:r>
              <w:rPr>
                <w:rFonts w:ascii="Arial" w:hAnsi="Arial" w:cs="Arial"/>
                <w:b/>
                <w:bCs/>
                <w:sz w:val="20"/>
                <w:szCs w:val="20"/>
              </w:rPr>
              <w:t>$40.83</w:t>
            </w:r>
          </w:p>
        </w:tc>
        <w:tc>
          <w:tcPr>
            <w:tcW w:w="1350" w:type="dxa"/>
            <w:vAlign w:val="center"/>
          </w:tcPr>
          <w:p w14:paraId="7CA81A9E"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5812079F"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$67.89</w:t>
            </w:r>
          </w:p>
        </w:tc>
      </w:tr>
      <w:tr w:rsidR="00C21271" w:rsidRPr="00A55E10" w14:paraId="49A9E3CD" w14:textId="77777777" w:rsidTr="00884DF8">
        <w:trPr>
          <w:trHeight w:val="149"/>
        </w:trPr>
        <w:tc>
          <w:tcPr>
            <w:tcW w:w="1098" w:type="dxa"/>
          </w:tcPr>
          <w:p w14:paraId="1B4891A6" w14:textId="77777777" w:rsidR="00C21271" w:rsidRDefault="00C21271" w:rsidP="00884DF8">
            <w:r w:rsidRPr="00987508">
              <w:t>LT063</w:t>
            </w:r>
          </w:p>
        </w:tc>
        <w:tc>
          <w:tcPr>
            <w:tcW w:w="5130" w:type="dxa"/>
          </w:tcPr>
          <w:p w14:paraId="4A08529D" w14:textId="77777777" w:rsidR="00C21271" w:rsidRDefault="00C21271" w:rsidP="00884DF8">
            <w:r w:rsidRPr="00F06A4F">
              <w:t>1'x4' LED Integrated retrofit kit; rated ≥125 LPW, Ambient Interior Commercial Spaces</w:t>
            </w:r>
          </w:p>
        </w:tc>
        <w:tc>
          <w:tcPr>
            <w:tcW w:w="1260" w:type="dxa"/>
            <w:vAlign w:val="center"/>
          </w:tcPr>
          <w:p w14:paraId="3C562B8D" w14:textId="77777777" w:rsidR="00C21271" w:rsidRPr="00661F2B" w:rsidRDefault="00C21271" w:rsidP="00884DF8">
            <w:pPr>
              <w:jc w:val="center"/>
              <w:rPr>
                <w:rFonts w:ascii="Arial" w:hAnsi="Arial" w:cs="Arial"/>
                <w:sz w:val="20"/>
                <w:szCs w:val="20"/>
              </w:rPr>
            </w:pPr>
            <w:r>
              <w:rPr>
                <w:rFonts w:ascii="Arial" w:hAnsi="Arial" w:cs="Arial"/>
                <w:b/>
                <w:bCs/>
                <w:sz w:val="20"/>
                <w:szCs w:val="20"/>
              </w:rPr>
              <w:t>$38.94</w:t>
            </w:r>
          </w:p>
        </w:tc>
        <w:tc>
          <w:tcPr>
            <w:tcW w:w="1350" w:type="dxa"/>
            <w:vAlign w:val="center"/>
          </w:tcPr>
          <w:p w14:paraId="50D183E2" w14:textId="77777777" w:rsidR="00C21271" w:rsidRPr="00661F2B" w:rsidRDefault="00C21271" w:rsidP="00884DF8">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14:paraId="10BD4FC5" w14:textId="77777777" w:rsidR="00C21271" w:rsidRPr="00661F2B" w:rsidRDefault="00C21271" w:rsidP="00884DF8">
            <w:pPr>
              <w:jc w:val="center"/>
              <w:rPr>
                <w:rFonts w:ascii="Arial" w:hAnsi="Arial" w:cs="Arial"/>
                <w:bCs/>
                <w:sz w:val="20"/>
                <w:szCs w:val="20"/>
              </w:rPr>
            </w:pPr>
            <w:r>
              <w:rPr>
                <w:rFonts w:ascii="Arial" w:hAnsi="Arial" w:cs="Arial"/>
                <w:b/>
                <w:bCs/>
                <w:sz w:val="20"/>
                <w:szCs w:val="20"/>
              </w:rPr>
              <w:t>$66.00</w:t>
            </w:r>
          </w:p>
        </w:tc>
      </w:tr>
    </w:tbl>
    <w:p w14:paraId="5EB8A4E5" w14:textId="77777777" w:rsidR="00137DF4" w:rsidRDefault="00137DF4" w:rsidP="00970C80">
      <w:pPr>
        <w:pStyle w:val="Heading2"/>
      </w:pPr>
    </w:p>
    <w:p w14:paraId="5EB8A4E6" w14:textId="77777777" w:rsidR="00970C80" w:rsidRPr="00970C80" w:rsidRDefault="00970C80" w:rsidP="008473DB">
      <w:pPr>
        <w:pStyle w:val="Heading3"/>
      </w:pPr>
      <w:bookmarkStart w:id="57" w:name="_Toc468797921"/>
      <w:r w:rsidRPr="00746B00">
        <w:t>4.3.2 Incremental Measure Costs</w:t>
      </w:r>
      <w:bookmarkEnd w:id="53"/>
      <w:bookmarkEnd w:id="54"/>
      <w:bookmarkEnd w:id="55"/>
      <w:bookmarkEnd w:id="56"/>
      <w:bookmarkEnd w:id="57"/>
    </w:p>
    <w:p w14:paraId="5EB8A4E7" w14:textId="77777777" w:rsidR="00686886" w:rsidRDefault="00B11E06" w:rsidP="00B11E06">
      <w:pPr>
        <w:rPr>
          <w:rFonts w:ascii="Arial" w:hAnsi="Arial" w:cs="Arial"/>
          <w:sz w:val="20"/>
          <w:szCs w:val="20"/>
        </w:rPr>
      </w:pPr>
      <w:r w:rsidRPr="00EC4B0D">
        <w:rPr>
          <w:rFonts w:ascii="Arial" w:hAnsi="Arial" w:cs="Arial"/>
          <w:sz w:val="20"/>
          <w:szCs w:val="20"/>
        </w:rPr>
        <w:t xml:space="preserve">The labor </w:t>
      </w:r>
      <w:r w:rsidR="00686886">
        <w:rPr>
          <w:rFonts w:ascii="Arial" w:hAnsi="Arial" w:cs="Arial"/>
          <w:sz w:val="20"/>
          <w:szCs w:val="20"/>
        </w:rPr>
        <w:t>costs for measure and base cases</w:t>
      </w:r>
      <w:r w:rsidRPr="00EC4B0D">
        <w:rPr>
          <w:rFonts w:ascii="Arial" w:hAnsi="Arial" w:cs="Arial"/>
          <w:sz w:val="20"/>
          <w:szCs w:val="20"/>
        </w:rPr>
        <w:t xml:space="preserve"> </w:t>
      </w:r>
      <w:r w:rsidR="00686886">
        <w:rPr>
          <w:rFonts w:ascii="Arial" w:hAnsi="Arial" w:cs="Arial"/>
          <w:sz w:val="20"/>
          <w:szCs w:val="20"/>
        </w:rPr>
        <w:t>are</w:t>
      </w:r>
      <w:r w:rsidRPr="00EC4B0D">
        <w:rPr>
          <w:rFonts w:ascii="Arial" w:hAnsi="Arial" w:cs="Arial"/>
          <w:sz w:val="20"/>
          <w:szCs w:val="20"/>
        </w:rPr>
        <w:t xml:space="preserve"> equivalent.</w:t>
      </w:r>
      <w:r w:rsidR="00686886">
        <w:rPr>
          <w:rFonts w:ascii="Arial" w:hAnsi="Arial" w:cs="Arial"/>
          <w:sz w:val="20"/>
          <w:szCs w:val="20"/>
        </w:rPr>
        <w:t xml:space="preserve"> </w:t>
      </w:r>
    </w:p>
    <w:p w14:paraId="5EB8A4E8" w14:textId="77777777" w:rsidR="00B11E06" w:rsidRDefault="00B11E06" w:rsidP="00B11E06">
      <w:pPr>
        <w:rPr>
          <w:rFonts w:ascii="Arial" w:hAnsi="Arial" w:cs="Arial"/>
          <w:sz w:val="20"/>
          <w:szCs w:val="20"/>
        </w:rPr>
      </w:pPr>
      <w:r w:rsidRPr="00EC4B0D">
        <w:rPr>
          <w:rFonts w:ascii="Arial" w:hAnsi="Arial" w:cs="Arial"/>
          <w:sz w:val="20"/>
          <w:szCs w:val="20"/>
        </w:rPr>
        <w:t>Incremental cost (INCR) = Measure Cost – Base Case Cost</w:t>
      </w:r>
    </w:p>
    <w:p w14:paraId="5EB8A4E9" w14:textId="77777777" w:rsidR="004A1B4A" w:rsidRDefault="004A1B4A" w:rsidP="00571DF6">
      <w:pPr>
        <w:pStyle w:val="Caption"/>
        <w:jc w:val="center"/>
      </w:pPr>
    </w:p>
    <w:p w14:paraId="5EB8A4EA" w14:textId="77777777" w:rsidR="00B11E06" w:rsidRDefault="00571DF6" w:rsidP="00571DF6">
      <w:pPr>
        <w:pStyle w:val="Caption"/>
        <w:jc w:val="center"/>
      </w:pPr>
      <w:bookmarkStart w:id="58" w:name="_Toc468795528"/>
      <w:r>
        <w:t xml:space="preserve">Table </w:t>
      </w:r>
      <w:fldSimple w:instr=" SEQ Table \* ARABIC ">
        <w:r w:rsidR="00264804">
          <w:rPr>
            <w:noProof/>
          </w:rPr>
          <w:t>10</w:t>
        </w:r>
      </w:fldSimple>
      <w:r w:rsidR="00DD12F1">
        <w:rPr>
          <w:noProof/>
        </w:rPr>
        <w:t xml:space="preserve"> </w:t>
      </w:r>
      <w:r w:rsidR="0020665C">
        <w:t>-</w:t>
      </w:r>
      <w:r w:rsidR="00DD12F1">
        <w:t xml:space="preserve"> </w:t>
      </w:r>
      <w:r w:rsidR="000D22E1">
        <w:t xml:space="preserve">LED </w:t>
      </w:r>
      <w:r w:rsidR="00C27933">
        <w:t>Ambient Commercial</w:t>
      </w:r>
      <w:r w:rsidR="002E6C39">
        <w:t xml:space="preserve"> Fixtures &amp; Retrofit Kits Incremental C</w:t>
      </w:r>
      <w:r>
        <w:t>ost</w:t>
      </w:r>
      <w:bookmarkEnd w:id="58"/>
    </w:p>
    <w:tbl>
      <w:tblPr>
        <w:tblW w:w="873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400"/>
        <w:gridCol w:w="2250"/>
      </w:tblGrid>
      <w:tr w:rsidR="001C476E" w:rsidRPr="0008537D" w14:paraId="5EB8A4EE" w14:textId="77777777" w:rsidTr="001C476E">
        <w:trPr>
          <w:trHeight w:val="154"/>
          <w:jc w:val="center"/>
        </w:trPr>
        <w:tc>
          <w:tcPr>
            <w:tcW w:w="1080" w:type="dxa"/>
          </w:tcPr>
          <w:p w14:paraId="5EB8A4EB" w14:textId="77777777" w:rsidR="001C476E" w:rsidRPr="00486131" w:rsidRDefault="001C476E" w:rsidP="001C476E">
            <w:pPr>
              <w:jc w:val="center"/>
            </w:pPr>
            <w:r w:rsidRPr="00486131">
              <w:t>Measure Code</w:t>
            </w:r>
          </w:p>
        </w:tc>
        <w:tc>
          <w:tcPr>
            <w:tcW w:w="5400" w:type="dxa"/>
            <w:vAlign w:val="center"/>
          </w:tcPr>
          <w:p w14:paraId="5EB8A4EC" w14:textId="77777777" w:rsidR="001C476E" w:rsidRPr="00422D1A" w:rsidRDefault="001C476E" w:rsidP="00686886">
            <w:pPr>
              <w:jc w:val="center"/>
              <w:rPr>
                <w:rFonts w:ascii="Arial" w:hAnsi="Arial" w:cs="Arial"/>
                <w:b/>
                <w:sz w:val="20"/>
                <w:szCs w:val="20"/>
              </w:rPr>
            </w:pPr>
            <w:r w:rsidRPr="00422D1A">
              <w:rPr>
                <w:rFonts w:ascii="Arial" w:hAnsi="Arial" w:cs="Arial"/>
                <w:b/>
                <w:sz w:val="20"/>
                <w:szCs w:val="20"/>
              </w:rPr>
              <w:t xml:space="preserve">Measure </w:t>
            </w:r>
            <w:r>
              <w:rPr>
                <w:rFonts w:ascii="Arial" w:hAnsi="Arial" w:cs="Arial"/>
                <w:b/>
                <w:sz w:val="20"/>
                <w:szCs w:val="20"/>
              </w:rPr>
              <w:t>Description</w:t>
            </w:r>
          </w:p>
        </w:tc>
        <w:tc>
          <w:tcPr>
            <w:tcW w:w="2250" w:type="dxa"/>
            <w:vAlign w:val="center"/>
          </w:tcPr>
          <w:p w14:paraId="5EB8A4ED" w14:textId="77777777" w:rsidR="001C476E" w:rsidRPr="00422D1A" w:rsidRDefault="001C476E" w:rsidP="00321DB0">
            <w:pPr>
              <w:jc w:val="center"/>
              <w:rPr>
                <w:rFonts w:ascii="Arial" w:hAnsi="Arial" w:cs="Arial"/>
                <w:b/>
                <w:sz w:val="20"/>
                <w:szCs w:val="20"/>
              </w:rPr>
            </w:pPr>
            <w:r w:rsidRPr="00422D1A">
              <w:rPr>
                <w:rFonts w:ascii="Arial" w:hAnsi="Arial" w:cs="Arial"/>
                <w:b/>
                <w:sz w:val="20"/>
                <w:szCs w:val="20"/>
              </w:rPr>
              <w:t>Incremental Measure Cost</w:t>
            </w:r>
          </w:p>
        </w:tc>
      </w:tr>
      <w:tr w:rsidR="001C476E" w:rsidRPr="00F027AA" w14:paraId="5EB8A4F2" w14:textId="77777777" w:rsidTr="001C476E">
        <w:trPr>
          <w:trHeight w:val="154"/>
          <w:jc w:val="center"/>
        </w:trPr>
        <w:tc>
          <w:tcPr>
            <w:tcW w:w="1080" w:type="dxa"/>
          </w:tcPr>
          <w:p w14:paraId="5EB8A4EF" w14:textId="77777777" w:rsidR="001C476E" w:rsidRPr="00486131" w:rsidRDefault="001C476E" w:rsidP="00CD3FDA">
            <w:r w:rsidRPr="00486131">
              <w:t>LT042</w:t>
            </w:r>
          </w:p>
        </w:tc>
        <w:tc>
          <w:tcPr>
            <w:tcW w:w="5400" w:type="dxa"/>
          </w:tcPr>
          <w:p w14:paraId="5EB8A4F0" w14:textId="77777777" w:rsidR="001C476E" w:rsidRPr="00661F2B" w:rsidRDefault="001C476E" w:rsidP="006F0984">
            <w:pPr>
              <w:rPr>
                <w:rFonts w:ascii="Arial" w:hAnsi="Arial" w:cs="Arial"/>
                <w:sz w:val="20"/>
                <w:szCs w:val="20"/>
              </w:rPr>
            </w:pPr>
            <w:r w:rsidRPr="00C728C4">
              <w:rPr>
                <w:rFonts w:ascii="Arial" w:hAnsi="Arial" w:cs="Arial"/>
                <w:sz w:val="20"/>
                <w:szCs w:val="22"/>
              </w:rPr>
              <w:t>2'x4' LED new Luminaire; rated ≥110 and &lt;125 LPW, Ambient Interior Commercial Spaces</w:t>
            </w:r>
          </w:p>
        </w:tc>
        <w:tc>
          <w:tcPr>
            <w:tcW w:w="2250" w:type="dxa"/>
            <w:vAlign w:val="center"/>
          </w:tcPr>
          <w:p w14:paraId="5EB8A4F1" w14:textId="77777777" w:rsidR="001C476E" w:rsidRPr="00661F2B" w:rsidRDefault="001C476E" w:rsidP="006E527D">
            <w:pPr>
              <w:jc w:val="center"/>
              <w:rPr>
                <w:rFonts w:ascii="Arial" w:hAnsi="Arial" w:cs="Arial"/>
                <w:bCs/>
                <w:sz w:val="20"/>
                <w:szCs w:val="20"/>
              </w:rPr>
            </w:pPr>
            <w:r>
              <w:rPr>
                <w:rFonts w:ascii="Arial" w:hAnsi="Arial" w:cs="Arial"/>
                <w:b/>
                <w:bCs/>
                <w:sz w:val="20"/>
                <w:szCs w:val="20"/>
              </w:rPr>
              <w:t>$19.</w:t>
            </w:r>
            <w:r w:rsidR="006E527D">
              <w:rPr>
                <w:rFonts w:ascii="Arial" w:hAnsi="Arial" w:cs="Arial"/>
                <w:b/>
                <w:bCs/>
                <w:sz w:val="20"/>
                <w:szCs w:val="20"/>
              </w:rPr>
              <w:t>17</w:t>
            </w:r>
          </w:p>
        </w:tc>
      </w:tr>
      <w:tr w:rsidR="001C476E" w:rsidRPr="00F027AA" w14:paraId="5EB8A4F6" w14:textId="77777777" w:rsidTr="001C476E">
        <w:trPr>
          <w:trHeight w:val="154"/>
          <w:jc w:val="center"/>
        </w:trPr>
        <w:tc>
          <w:tcPr>
            <w:tcW w:w="1080" w:type="dxa"/>
          </w:tcPr>
          <w:p w14:paraId="5EB8A4F3" w14:textId="77777777" w:rsidR="001C476E" w:rsidRPr="00486131" w:rsidRDefault="001C476E" w:rsidP="00CD3FDA">
            <w:r w:rsidRPr="00486131">
              <w:t>LT043</w:t>
            </w:r>
          </w:p>
        </w:tc>
        <w:tc>
          <w:tcPr>
            <w:tcW w:w="5400" w:type="dxa"/>
          </w:tcPr>
          <w:p w14:paraId="5EB8A4F4" w14:textId="77777777" w:rsidR="001C476E" w:rsidRPr="00661F2B" w:rsidRDefault="001C476E" w:rsidP="006F0984">
            <w:pPr>
              <w:rPr>
                <w:rFonts w:ascii="Arial" w:hAnsi="Arial" w:cs="Arial"/>
                <w:sz w:val="20"/>
                <w:szCs w:val="20"/>
              </w:rPr>
            </w:pPr>
            <w:r w:rsidRPr="00C728C4">
              <w:rPr>
                <w:rFonts w:ascii="Arial" w:hAnsi="Arial" w:cs="Arial"/>
                <w:sz w:val="20"/>
                <w:szCs w:val="22"/>
              </w:rPr>
              <w:t>2'x4' LED new Luminaire; rated ≥125 LPW, Ambient Interior Commercial Spaces</w:t>
            </w:r>
          </w:p>
        </w:tc>
        <w:tc>
          <w:tcPr>
            <w:tcW w:w="2250" w:type="dxa"/>
            <w:vAlign w:val="center"/>
          </w:tcPr>
          <w:p w14:paraId="5EB8A4F5" w14:textId="77777777" w:rsidR="001C476E" w:rsidRPr="00661F2B" w:rsidRDefault="001C476E" w:rsidP="006E527D">
            <w:pPr>
              <w:jc w:val="center"/>
              <w:rPr>
                <w:rFonts w:ascii="Arial" w:hAnsi="Arial" w:cs="Arial"/>
                <w:bCs/>
                <w:sz w:val="20"/>
                <w:szCs w:val="20"/>
              </w:rPr>
            </w:pPr>
            <w:r>
              <w:rPr>
                <w:rFonts w:ascii="Arial" w:hAnsi="Arial" w:cs="Arial"/>
                <w:b/>
                <w:bCs/>
                <w:sz w:val="20"/>
                <w:szCs w:val="20"/>
              </w:rPr>
              <w:t>$1</w:t>
            </w:r>
            <w:r w:rsidR="006E527D">
              <w:rPr>
                <w:rFonts w:ascii="Arial" w:hAnsi="Arial" w:cs="Arial"/>
                <w:b/>
                <w:bCs/>
                <w:sz w:val="20"/>
                <w:szCs w:val="20"/>
              </w:rPr>
              <w:t>5.86</w:t>
            </w:r>
          </w:p>
        </w:tc>
      </w:tr>
      <w:tr w:rsidR="001C476E" w:rsidRPr="00F027AA" w14:paraId="5EB8A4FA" w14:textId="77777777" w:rsidTr="001C476E">
        <w:trPr>
          <w:trHeight w:val="154"/>
          <w:jc w:val="center"/>
        </w:trPr>
        <w:tc>
          <w:tcPr>
            <w:tcW w:w="1080" w:type="dxa"/>
          </w:tcPr>
          <w:p w14:paraId="5EB8A4F7" w14:textId="77777777" w:rsidR="001C476E" w:rsidRPr="00486131" w:rsidRDefault="001C476E" w:rsidP="00CD3FDA">
            <w:r w:rsidRPr="00486131">
              <w:t>LT046</w:t>
            </w:r>
          </w:p>
        </w:tc>
        <w:tc>
          <w:tcPr>
            <w:tcW w:w="5400" w:type="dxa"/>
          </w:tcPr>
          <w:p w14:paraId="5EB8A4F8" w14:textId="77777777" w:rsidR="001C476E" w:rsidRPr="00661F2B" w:rsidRDefault="001C476E" w:rsidP="006F0984">
            <w:pPr>
              <w:rPr>
                <w:rFonts w:ascii="Arial" w:hAnsi="Arial" w:cs="Arial"/>
                <w:sz w:val="20"/>
                <w:szCs w:val="20"/>
              </w:rPr>
            </w:pPr>
            <w:r w:rsidRPr="00C728C4">
              <w:rPr>
                <w:rFonts w:ascii="Arial" w:hAnsi="Arial" w:cs="Arial"/>
                <w:sz w:val="20"/>
                <w:szCs w:val="22"/>
              </w:rPr>
              <w:t>2'x2' LED new Luminaire; rated ≥110 and &lt;125 LPW, Ambient Interior Commercial Spaces</w:t>
            </w:r>
          </w:p>
        </w:tc>
        <w:tc>
          <w:tcPr>
            <w:tcW w:w="2250" w:type="dxa"/>
            <w:vAlign w:val="center"/>
          </w:tcPr>
          <w:p w14:paraId="5EB8A4F9" w14:textId="77777777" w:rsidR="001C476E" w:rsidRPr="00661F2B" w:rsidRDefault="001C476E" w:rsidP="006E527D">
            <w:pPr>
              <w:jc w:val="center"/>
              <w:rPr>
                <w:rFonts w:ascii="Arial" w:hAnsi="Arial" w:cs="Arial"/>
                <w:bCs/>
                <w:sz w:val="20"/>
                <w:szCs w:val="20"/>
              </w:rPr>
            </w:pPr>
            <w:r>
              <w:rPr>
                <w:rFonts w:ascii="Arial" w:hAnsi="Arial" w:cs="Arial"/>
                <w:b/>
                <w:bCs/>
                <w:sz w:val="20"/>
                <w:szCs w:val="20"/>
              </w:rPr>
              <w:t>$1</w:t>
            </w:r>
            <w:r w:rsidR="006E527D">
              <w:rPr>
                <w:rFonts w:ascii="Arial" w:hAnsi="Arial" w:cs="Arial"/>
                <w:b/>
                <w:bCs/>
                <w:sz w:val="20"/>
                <w:szCs w:val="20"/>
              </w:rPr>
              <w:t>7.55</w:t>
            </w:r>
          </w:p>
        </w:tc>
      </w:tr>
      <w:tr w:rsidR="001C476E" w:rsidRPr="00F027AA" w14:paraId="5EB8A4FE" w14:textId="77777777" w:rsidTr="001C476E">
        <w:trPr>
          <w:trHeight w:val="154"/>
          <w:jc w:val="center"/>
        </w:trPr>
        <w:tc>
          <w:tcPr>
            <w:tcW w:w="1080" w:type="dxa"/>
          </w:tcPr>
          <w:p w14:paraId="5EB8A4FB" w14:textId="77777777" w:rsidR="001C476E" w:rsidRPr="00486131" w:rsidRDefault="001C476E" w:rsidP="00CD3FDA">
            <w:r w:rsidRPr="00486131">
              <w:t>LT047</w:t>
            </w:r>
          </w:p>
        </w:tc>
        <w:tc>
          <w:tcPr>
            <w:tcW w:w="5400" w:type="dxa"/>
          </w:tcPr>
          <w:p w14:paraId="5EB8A4FC" w14:textId="77777777" w:rsidR="001C476E" w:rsidRPr="00661F2B" w:rsidRDefault="001C476E" w:rsidP="006F0984">
            <w:pPr>
              <w:rPr>
                <w:rFonts w:ascii="Arial" w:hAnsi="Arial" w:cs="Arial"/>
                <w:sz w:val="20"/>
                <w:szCs w:val="20"/>
              </w:rPr>
            </w:pPr>
            <w:r w:rsidRPr="00C728C4">
              <w:rPr>
                <w:rFonts w:ascii="Arial" w:hAnsi="Arial" w:cs="Arial"/>
                <w:sz w:val="20"/>
                <w:szCs w:val="22"/>
              </w:rPr>
              <w:t>2'x2' LED new Luminaire; rated ≥125 LPW, Ambient Interior Commercial Spaces</w:t>
            </w:r>
          </w:p>
        </w:tc>
        <w:tc>
          <w:tcPr>
            <w:tcW w:w="2250" w:type="dxa"/>
            <w:vAlign w:val="center"/>
          </w:tcPr>
          <w:p w14:paraId="5EB8A4FD" w14:textId="77777777" w:rsidR="001C476E" w:rsidRPr="00661F2B" w:rsidRDefault="001C476E" w:rsidP="006E527D">
            <w:pPr>
              <w:jc w:val="center"/>
              <w:rPr>
                <w:rFonts w:ascii="Arial" w:hAnsi="Arial" w:cs="Arial"/>
                <w:bCs/>
                <w:sz w:val="20"/>
                <w:szCs w:val="20"/>
              </w:rPr>
            </w:pPr>
            <w:r>
              <w:rPr>
                <w:rFonts w:ascii="Arial" w:hAnsi="Arial" w:cs="Arial"/>
                <w:b/>
                <w:bCs/>
                <w:sz w:val="20"/>
                <w:szCs w:val="20"/>
              </w:rPr>
              <w:t>$2</w:t>
            </w:r>
            <w:r w:rsidR="006E527D">
              <w:rPr>
                <w:rFonts w:ascii="Arial" w:hAnsi="Arial" w:cs="Arial"/>
                <w:b/>
                <w:bCs/>
                <w:sz w:val="20"/>
                <w:szCs w:val="20"/>
              </w:rPr>
              <w:t>1.93</w:t>
            </w:r>
          </w:p>
        </w:tc>
      </w:tr>
      <w:tr w:rsidR="001C476E" w:rsidRPr="00F027AA" w14:paraId="5EB8A502" w14:textId="77777777" w:rsidTr="001C476E">
        <w:trPr>
          <w:trHeight w:val="154"/>
          <w:jc w:val="center"/>
        </w:trPr>
        <w:tc>
          <w:tcPr>
            <w:tcW w:w="1080" w:type="dxa"/>
          </w:tcPr>
          <w:p w14:paraId="5EB8A4FF" w14:textId="77777777" w:rsidR="001C476E" w:rsidRPr="00486131" w:rsidRDefault="001C476E" w:rsidP="00CD3FDA">
            <w:r w:rsidRPr="00486131">
              <w:t>LT050</w:t>
            </w:r>
          </w:p>
        </w:tc>
        <w:tc>
          <w:tcPr>
            <w:tcW w:w="5400" w:type="dxa"/>
          </w:tcPr>
          <w:p w14:paraId="5EB8A500" w14:textId="77777777" w:rsidR="001C476E" w:rsidRPr="00661F2B" w:rsidRDefault="001C476E" w:rsidP="006F0984">
            <w:pPr>
              <w:rPr>
                <w:rFonts w:ascii="Arial" w:hAnsi="Arial" w:cs="Arial"/>
                <w:sz w:val="20"/>
                <w:szCs w:val="20"/>
              </w:rPr>
            </w:pPr>
            <w:r w:rsidRPr="00C728C4">
              <w:rPr>
                <w:rFonts w:ascii="Arial" w:hAnsi="Arial" w:cs="Arial"/>
                <w:sz w:val="20"/>
                <w:szCs w:val="22"/>
              </w:rPr>
              <w:t>1'x4' LED new Luminaire; rated ≥110 and &lt;125 LPW, Ambient Interior Commercial Spaces</w:t>
            </w:r>
          </w:p>
        </w:tc>
        <w:tc>
          <w:tcPr>
            <w:tcW w:w="2250" w:type="dxa"/>
            <w:vAlign w:val="center"/>
          </w:tcPr>
          <w:p w14:paraId="5EB8A501" w14:textId="77777777" w:rsidR="001C476E" w:rsidRPr="00661F2B" w:rsidRDefault="001C476E" w:rsidP="006E527D">
            <w:pPr>
              <w:jc w:val="center"/>
              <w:rPr>
                <w:rFonts w:ascii="Arial" w:hAnsi="Arial" w:cs="Arial"/>
                <w:bCs/>
                <w:sz w:val="20"/>
                <w:szCs w:val="20"/>
              </w:rPr>
            </w:pPr>
            <w:r>
              <w:rPr>
                <w:rFonts w:ascii="Arial" w:hAnsi="Arial" w:cs="Arial"/>
                <w:b/>
                <w:bCs/>
                <w:sz w:val="20"/>
                <w:szCs w:val="20"/>
              </w:rPr>
              <w:t>$19.</w:t>
            </w:r>
            <w:r w:rsidR="006E527D">
              <w:rPr>
                <w:rFonts w:ascii="Arial" w:hAnsi="Arial" w:cs="Arial"/>
                <w:b/>
                <w:bCs/>
                <w:sz w:val="20"/>
                <w:szCs w:val="20"/>
              </w:rPr>
              <w:t>16</w:t>
            </w:r>
          </w:p>
        </w:tc>
      </w:tr>
      <w:tr w:rsidR="001C476E" w:rsidRPr="00F027AA" w14:paraId="5EB8A506" w14:textId="77777777" w:rsidTr="001C476E">
        <w:trPr>
          <w:trHeight w:val="154"/>
          <w:jc w:val="center"/>
        </w:trPr>
        <w:tc>
          <w:tcPr>
            <w:tcW w:w="1080" w:type="dxa"/>
          </w:tcPr>
          <w:p w14:paraId="5EB8A503" w14:textId="77777777" w:rsidR="001C476E" w:rsidRPr="00486131" w:rsidRDefault="001C476E" w:rsidP="00CD3FDA">
            <w:r w:rsidRPr="00486131">
              <w:t>LT051</w:t>
            </w:r>
          </w:p>
        </w:tc>
        <w:tc>
          <w:tcPr>
            <w:tcW w:w="5400" w:type="dxa"/>
          </w:tcPr>
          <w:p w14:paraId="5EB8A504" w14:textId="77777777" w:rsidR="001C476E" w:rsidRPr="00661F2B" w:rsidRDefault="001C476E" w:rsidP="006F0984">
            <w:pPr>
              <w:rPr>
                <w:rFonts w:ascii="Arial" w:hAnsi="Arial" w:cs="Arial"/>
                <w:sz w:val="20"/>
                <w:szCs w:val="20"/>
              </w:rPr>
            </w:pPr>
            <w:r w:rsidRPr="00C728C4">
              <w:rPr>
                <w:rFonts w:ascii="Arial" w:hAnsi="Arial" w:cs="Arial"/>
                <w:sz w:val="20"/>
                <w:szCs w:val="22"/>
              </w:rPr>
              <w:t>1'x4' LED new Luminaire; rated ≥125 LPW, Ambient Interior Commercial Spaces</w:t>
            </w:r>
          </w:p>
        </w:tc>
        <w:tc>
          <w:tcPr>
            <w:tcW w:w="2250" w:type="dxa"/>
            <w:vAlign w:val="center"/>
          </w:tcPr>
          <w:p w14:paraId="5EB8A505" w14:textId="77777777" w:rsidR="001C476E" w:rsidRPr="00661F2B" w:rsidRDefault="001C476E" w:rsidP="006E527D">
            <w:pPr>
              <w:jc w:val="center"/>
              <w:rPr>
                <w:rFonts w:ascii="Arial" w:hAnsi="Arial" w:cs="Arial"/>
                <w:bCs/>
                <w:sz w:val="20"/>
                <w:szCs w:val="20"/>
              </w:rPr>
            </w:pPr>
            <w:r>
              <w:rPr>
                <w:rFonts w:ascii="Arial" w:hAnsi="Arial" w:cs="Arial"/>
                <w:b/>
                <w:bCs/>
                <w:sz w:val="20"/>
                <w:szCs w:val="20"/>
              </w:rPr>
              <w:t>$23.</w:t>
            </w:r>
            <w:r w:rsidR="006E527D">
              <w:rPr>
                <w:rFonts w:ascii="Arial" w:hAnsi="Arial" w:cs="Arial"/>
                <w:b/>
                <w:bCs/>
                <w:sz w:val="20"/>
                <w:szCs w:val="20"/>
              </w:rPr>
              <w:t>39</w:t>
            </w:r>
          </w:p>
        </w:tc>
      </w:tr>
      <w:tr w:rsidR="001C476E" w:rsidRPr="00F027AA" w14:paraId="5EB8A50A" w14:textId="77777777" w:rsidTr="001C476E">
        <w:trPr>
          <w:trHeight w:val="154"/>
          <w:jc w:val="center"/>
        </w:trPr>
        <w:tc>
          <w:tcPr>
            <w:tcW w:w="1080" w:type="dxa"/>
          </w:tcPr>
          <w:p w14:paraId="5EB8A507" w14:textId="77777777" w:rsidR="001C476E" w:rsidRPr="00486131" w:rsidRDefault="001C476E" w:rsidP="00CD3FDA">
            <w:r w:rsidRPr="00486131">
              <w:t>LT054</w:t>
            </w:r>
          </w:p>
        </w:tc>
        <w:tc>
          <w:tcPr>
            <w:tcW w:w="5400" w:type="dxa"/>
          </w:tcPr>
          <w:p w14:paraId="5EB8A508" w14:textId="77777777" w:rsidR="001C476E" w:rsidRPr="00661F2B" w:rsidRDefault="001C476E" w:rsidP="006F0984">
            <w:pPr>
              <w:rPr>
                <w:rFonts w:ascii="Arial" w:hAnsi="Arial" w:cs="Arial"/>
                <w:sz w:val="20"/>
                <w:szCs w:val="20"/>
              </w:rPr>
            </w:pPr>
            <w:r w:rsidRPr="00C728C4">
              <w:rPr>
                <w:rFonts w:ascii="Arial" w:hAnsi="Arial" w:cs="Arial"/>
                <w:sz w:val="20"/>
                <w:szCs w:val="22"/>
              </w:rPr>
              <w:t>2'x4' LED Integrated retrofit kit; rated ≥110 and &lt;125 LPW, Ambient Interior Commercial Spaces</w:t>
            </w:r>
          </w:p>
        </w:tc>
        <w:tc>
          <w:tcPr>
            <w:tcW w:w="2250" w:type="dxa"/>
            <w:vAlign w:val="center"/>
          </w:tcPr>
          <w:p w14:paraId="5EB8A509" w14:textId="77777777" w:rsidR="001C476E" w:rsidRPr="00661F2B" w:rsidRDefault="001C476E" w:rsidP="00661F2B">
            <w:pPr>
              <w:jc w:val="center"/>
              <w:rPr>
                <w:rFonts w:ascii="Arial" w:hAnsi="Arial" w:cs="Arial"/>
                <w:bCs/>
                <w:sz w:val="20"/>
                <w:szCs w:val="20"/>
              </w:rPr>
            </w:pPr>
            <w:r>
              <w:rPr>
                <w:rFonts w:ascii="Arial" w:hAnsi="Arial" w:cs="Arial"/>
                <w:b/>
                <w:bCs/>
                <w:sz w:val="20"/>
                <w:szCs w:val="20"/>
              </w:rPr>
              <w:t>$19.</w:t>
            </w:r>
            <w:r w:rsidR="006E527D">
              <w:rPr>
                <w:rFonts w:ascii="Arial" w:hAnsi="Arial" w:cs="Arial"/>
                <w:b/>
                <w:bCs/>
                <w:sz w:val="20"/>
                <w:szCs w:val="20"/>
              </w:rPr>
              <w:t>49</w:t>
            </w:r>
          </w:p>
        </w:tc>
      </w:tr>
      <w:tr w:rsidR="001C476E" w:rsidRPr="00F027AA" w14:paraId="5EB8A50E" w14:textId="77777777" w:rsidTr="001C476E">
        <w:trPr>
          <w:trHeight w:val="154"/>
          <w:jc w:val="center"/>
        </w:trPr>
        <w:tc>
          <w:tcPr>
            <w:tcW w:w="1080" w:type="dxa"/>
          </w:tcPr>
          <w:p w14:paraId="5EB8A50B" w14:textId="77777777" w:rsidR="001C476E" w:rsidRPr="00486131" w:rsidRDefault="001C476E" w:rsidP="00CD3FDA">
            <w:r w:rsidRPr="00486131">
              <w:t>LT055</w:t>
            </w:r>
          </w:p>
        </w:tc>
        <w:tc>
          <w:tcPr>
            <w:tcW w:w="5400" w:type="dxa"/>
          </w:tcPr>
          <w:p w14:paraId="5EB8A50C" w14:textId="77777777" w:rsidR="001C476E" w:rsidRPr="00661F2B" w:rsidRDefault="001C476E" w:rsidP="006F0984">
            <w:pPr>
              <w:rPr>
                <w:rFonts w:ascii="Arial" w:hAnsi="Arial" w:cs="Arial"/>
                <w:sz w:val="20"/>
                <w:szCs w:val="20"/>
              </w:rPr>
            </w:pPr>
            <w:r w:rsidRPr="00C728C4">
              <w:rPr>
                <w:rFonts w:ascii="Arial" w:hAnsi="Arial" w:cs="Arial"/>
                <w:sz w:val="20"/>
                <w:szCs w:val="22"/>
              </w:rPr>
              <w:t>2'x4' LED Integrated retrofit kit; rated ≥125 LPW, Ambient Interior Commercial Spaces</w:t>
            </w:r>
          </w:p>
        </w:tc>
        <w:tc>
          <w:tcPr>
            <w:tcW w:w="2250" w:type="dxa"/>
            <w:vAlign w:val="center"/>
          </w:tcPr>
          <w:p w14:paraId="5EB8A50D" w14:textId="77777777" w:rsidR="001C476E" w:rsidRPr="00661F2B" w:rsidRDefault="001C476E" w:rsidP="006E527D">
            <w:pPr>
              <w:jc w:val="center"/>
              <w:rPr>
                <w:rFonts w:ascii="Arial" w:hAnsi="Arial" w:cs="Arial"/>
                <w:bCs/>
                <w:sz w:val="20"/>
                <w:szCs w:val="20"/>
              </w:rPr>
            </w:pPr>
            <w:r>
              <w:rPr>
                <w:rFonts w:ascii="Arial" w:hAnsi="Arial" w:cs="Arial"/>
                <w:b/>
                <w:bCs/>
                <w:sz w:val="20"/>
                <w:szCs w:val="20"/>
              </w:rPr>
              <w:t>$1</w:t>
            </w:r>
            <w:r w:rsidR="006E527D">
              <w:rPr>
                <w:rFonts w:ascii="Arial" w:hAnsi="Arial" w:cs="Arial"/>
                <w:b/>
                <w:bCs/>
                <w:sz w:val="20"/>
                <w:szCs w:val="20"/>
              </w:rPr>
              <w:t>5.73</w:t>
            </w:r>
          </w:p>
        </w:tc>
      </w:tr>
      <w:tr w:rsidR="001C476E" w:rsidRPr="00F027AA" w14:paraId="5EB8A512" w14:textId="77777777" w:rsidTr="001C476E">
        <w:trPr>
          <w:trHeight w:val="154"/>
          <w:jc w:val="center"/>
        </w:trPr>
        <w:tc>
          <w:tcPr>
            <w:tcW w:w="1080" w:type="dxa"/>
          </w:tcPr>
          <w:p w14:paraId="5EB8A50F" w14:textId="77777777" w:rsidR="001C476E" w:rsidRPr="00486131" w:rsidRDefault="001C476E" w:rsidP="00CD3FDA">
            <w:r w:rsidRPr="00486131">
              <w:t>LT058</w:t>
            </w:r>
          </w:p>
        </w:tc>
        <w:tc>
          <w:tcPr>
            <w:tcW w:w="5400" w:type="dxa"/>
          </w:tcPr>
          <w:p w14:paraId="5EB8A510" w14:textId="77777777" w:rsidR="001C476E" w:rsidRPr="00661F2B" w:rsidRDefault="001C476E" w:rsidP="006F0984">
            <w:pPr>
              <w:rPr>
                <w:rFonts w:ascii="Arial" w:hAnsi="Arial" w:cs="Arial"/>
                <w:sz w:val="20"/>
                <w:szCs w:val="20"/>
              </w:rPr>
            </w:pPr>
            <w:r w:rsidRPr="00C728C4">
              <w:rPr>
                <w:rFonts w:ascii="Arial" w:hAnsi="Arial" w:cs="Arial"/>
                <w:sz w:val="20"/>
                <w:szCs w:val="22"/>
              </w:rPr>
              <w:t>2'x2' LED Integrated retrofit kit; rated ≥110 and &lt;125 LPW, Ambient Interior Commercial Spaces</w:t>
            </w:r>
          </w:p>
        </w:tc>
        <w:tc>
          <w:tcPr>
            <w:tcW w:w="2250" w:type="dxa"/>
            <w:vAlign w:val="center"/>
          </w:tcPr>
          <w:p w14:paraId="5EB8A511" w14:textId="77777777" w:rsidR="001C476E" w:rsidRPr="00661F2B" w:rsidRDefault="001C476E" w:rsidP="00661F2B">
            <w:pPr>
              <w:jc w:val="center"/>
              <w:rPr>
                <w:rFonts w:ascii="Arial" w:hAnsi="Arial" w:cs="Arial"/>
                <w:bCs/>
                <w:sz w:val="20"/>
                <w:szCs w:val="20"/>
              </w:rPr>
            </w:pPr>
            <w:r>
              <w:rPr>
                <w:rFonts w:ascii="Arial" w:hAnsi="Arial" w:cs="Arial"/>
                <w:b/>
                <w:bCs/>
                <w:sz w:val="20"/>
                <w:szCs w:val="20"/>
              </w:rPr>
              <w:t>$23.</w:t>
            </w:r>
            <w:r w:rsidR="006E527D">
              <w:rPr>
                <w:rFonts w:ascii="Arial" w:hAnsi="Arial" w:cs="Arial"/>
                <w:b/>
                <w:bCs/>
                <w:sz w:val="20"/>
                <w:szCs w:val="20"/>
              </w:rPr>
              <w:t>12</w:t>
            </w:r>
          </w:p>
        </w:tc>
      </w:tr>
      <w:tr w:rsidR="001C476E" w:rsidRPr="00F027AA" w14:paraId="5EB8A516" w14:textId="77777777" w:rsidTr="001C476E">
        <w:trPr>
          <w:trHeight w:val="154"/>
          <w:jc w:val="center"/>
        </w:trPr>
        <w:tc>
          <w:tcPr>
            <w:tcW w:w="1080" w:type="dxa"/>
          </w:tcPr>
          <w:p w14:paraId="5EB8A513" w14:textId="77777777" w:rsidR="001C476E" w:rsidRPr="00486131" w:rsidRDefault="001C476E" w:rsidP="00CD3FDA">
            <w:r w:rsidRPr="00486131">
              <w:t>LT059</w:t>
            </w:r>
          </w:p>
        </w:tc>
        <w:tc>
          <w:tcPr>
            <w:tcW w:w="5400" w:type="dxa"/>
          </w:tcPr>
          <w:p w14:paraId="5EB8A514" w14:textId="77777777" w:rsidR="001C476E" w:rsidRPr="00661F2B" w:rsidRDefault="001C476E" w:rsidP="006F0984">
            <w:pPr>
              <w:rPr>
                <w:rFonts w:ascii="Arial" w:hAnsi="Arial" w:cs="Arial"/>
                <w:sz w:val="20"/>
                <w:szCs w:val="20"/>
              </w:rPr>
            </w:pPr>
            <w:r w:rsidRPr="00C728C4">
              <w:rPr>
                <w:rFonts w:ascii="Arial" w:hAnsi="Arial" w:cs="Arial"/>
                <w:sz w:val="20"/>
                <w:szCs w:val="22"/>
              </w:rPr>
              <w:t>2'x2' LED Integrated retrofit kit; rated ≥125 LPW, Ambient Interior Commercial Spaces</w:t>
            </w:r>
          </w:p>
        </w:tc>
        <w:tc>
          <w:tcPr>
            <w:tcW w:w="2250" w:type="dxa"/>
            <w:vAlign w:val="center"/>
          </w:tcPr>
          <w:p w14:paraId="5EB8A515" w14:textId="77777777" w:rsidR="001C476E" w:rsidRPr="00661F2B" w:rsidRDefault="001C476E" w:rsidP="006E527D">
            <w:pPr>
              <w:jc w:val="center"/>
              <w:rPr>
                <w:rFonts w:ascii="Arial" w:hAnsi="Arial" w:cs="Arial"/>
                <w:bCs/>
                <w:sz w:val="20"/>
                <w:szCs w:val="20"/>
              </w:rPr>
            </w:pPr>
            <w:r>
              <w:rPr>
                <w:rFonts w:ascii="Arial" w:hAnsi="Arial" w:cs="Arial"/>
                <w:b/>
                <w:bCs/>
                <w:sz w:val="20"/>
                <w:szCs w:val="20"/>
              </w:rPr>
              <w:t>$2</w:t>
            </w:r>
            <w:r w:rsidR="006E527D">
              <w:rPr>
                <w:rFonts w:ascii="Arial" w:hAnsi="Arial" w:cs="Arial"/>
                <w:b/>
                <w:bCs/>
                <w:sz w:val="20"/>
                <w:szCs w:val="20"/>
              </w:rPr>
              <w:t>1.93</w:t>
            </w:r>
          </w:p>
        </w:tc>
      </w:tr>
      <w:tr w:rsidR="001C476E" w:rsidRPr="00F027AA" w14:paraId="5EB8A51A" w14:textId="77777777" w:rsidTr="001C476E">
        <w:trPr>
          <w:trHeight w:val="154"/>
          <w:jc w:val="center"/>
        </w:trPr>
        <w:tc>
          <w:tcPr>
            <w:tcW w:w="1080" w:type="dxa"/>
          </w:tcPr>
          <w:p w14:paraId="5EB8A517" w14:textId="77777777" w:rsidR="001C476E" w:rsidRPr="00486131" w:rsidRDefault="001C476E" w:rsidP="00CD3FDA">
            <w:r w:rsidRPr="00486131">
              <w:t>LT062</w:t>
            </w:r>
          </w:p>
        </w:tc>
        <w:tc>
          <w:tcPr>
            <w:tcW w:w="5400" w:type="dxa"/>
          </w:tcPr>
          <w:p w14:paraId="5EB8A518" w14:textId="77777777" w:rsidR="001C476E" w:rsidRPr="00661F2B" w:rsidRDefault="001C476E" w:rsidP="006F0984">
            <w:pPr>
              <w:rPr>
                <w:rFonts w:ascii="Arial" w:hAnsi="Arial" w:cs="Arial"/>
                <w:sz w:val="20"/>
                <w:szCs w:val="20"/>
              </w:rPr>
            </w:pPr>
            <w:r w:rsidRPr="00C728C4">
              <w:rPr>
                <w:rFonts w:ascii="Arial" w:hAnsi="Arial" w:cs="Arial"/>
                <w:sz w:val="20"/>
                <w:szCs w:val="22"/>
              </w:rPr>
              <w:t>1'x4' LED Integrated retrofit kit; rated ≥110 and &lt;125 LPW, Ambient Interior Commercial Spaces</w:t>
            </w:r>
          </w:p>
        </w:tc>
        <w:tc>
          <w:tcPr>
            <w:tcW w:w="2250" w:type="dxa"/>
            <w:vAlign w:val="center"/>
          </w:tcPr>
          <w:p w14:paraId="5EB8A519" w14:textId="77777777" w:rsidR="001C476E" w:rsidRPr="00661F2B" w:rsidRDefault="001C476E" w:rsidP="00661F2B">
            <w:pPr>
              <w:jc w:val="center"/>
              <w:rPr>
                <w:rFonts w:ascii="Arial" w:hAnsi="Arial" w:cs="Arial"/>
                <w:bCs/>
                <w:sz w:val="20"/>
                <w:szCs w:val="20"/>
              </w:rPr>
            </w:pPr>
            <w:r>
              <w:rPr>
                <w:rFonts w:ascii="Arial" w:hAnsi="Arial" w:cs="Arial"/>
                <w:b/>
                <w:bCs/>
                <w:sz w:val="20"/>
                <w:szCs w:val="20"/>
              </w:rPr>
              <w:t>$25.</w:t>
            </w:r>
            <w:r w:rsidR="006E527D">
              <w:rPr>
                <w:rFonts w:ascii="Arial" w:hAnsi="Arial" w:cs="Arial"/>
                <w:b/>
                <w:bCs/>
                <w:sz w:val="20"/>
                <w:szCs w:val="20"/>
              </w:rPr>
              <w:t>28</w:t>
            </w:r>
          </w:p>
        </w:tc>
      </w:tr>
      <w:tr w:rsidR="001C476E" w:rsidRPr="00F027AA" w14:paraId="5EB8A51E" w14:textId="77777777" w:rsidTr="001C476E">
        <w:trPr>
          <w:trHeight w:val="154"/>
          <w:jc w:val="center"/>
        </w:trPr>
        <w:tc>
          <w:tcPr>
            <w:tcW w:w="1080" w:type="dxa"/>
          </w:tcPr>
          <w:p w14:paraId="5EB8A51B" w14:textId="77777777" w:rsidR="001C476E" w:rsidRDefault="001C476E" w:rsidP="00CD3FDA">
            <w:r w:rsidRPr="00486131">
              <w:t>LT063</w:t>
            </w:r>
          </w:p>
        </w:tc>
        <w:tc>
          <w:tcPr>
            <w:tcW w:w="5400" w:type="dxa"/>
          </w:tcPr>
          <w:p w14:paraId="5EB8A51C" w14:textId="77777777" w:rsidR="001C476E" w:rsidRPr="00661F2B" w:rsidRDefault="001C476E" w:rsidP="006F0984">
            <w:pPr>
              <w:rPr>
                <w:rFonts w:ascii="Arial" w:hAnsi="Arial" w:cs="Arial"/>
                <w:sz w:val="20"/>
                <w:szCs w:val="20"/>
              </w:rPr>
            </w:pPr>
            <w:r w:rsidRPr="00C728C4">
              <w:rPr>
                <w:rFonts w:ascii="Arial" w:hAnsi="Arial" w:cs="Arial"/>
                <w:sz w:val="20"/>
                <w:szCs w:val="22"/>
              </w:rPr>
              <w:t>1'x4' LED Integrated retrofit kit; rated ≥125 LPW, Ambient Interior Commercial Spaces</w:t>
            </w:r>
          </w:p>
        </w:tc>
        <w:tc>
          <w:tcPr>
            <w:tcW w:w="2250" w:type="dxa"/>
            <w:vAlign w:val="center"/>
          </w:tcPr>
          <w:p w14:paraId="5EB8A51D" w14:textId="77777777" w:rsidR="001C476E" w:rsidRPr="00661F2B" w:rsidRDefault="001C476E" w:rsidP="00661F2B">
            <w:pPr>
              <w:jc w:val="center"/>
              <w:rPr>
                <w:rFonts w:ascii="Arial" w:hAnsi="Arial" w:cs="Arial"/>
                <w:bCs/>
                <w:sz w:val="20"/>
                <w:szCs w:val="20"/>
              </w:rPr>
            </w:pPr>
            <w:r>
              <w:rPr>
                <w:rFonts w:ascii="Arial" w:hAnsi="Arial" w:cs="Arial"/>
                <w:b/>
                <w:bCs/>
                <w:sz w:val="20"/>
                <w:szCs w:val="20"/>
              </w:rPr>
              <w:t>$23.</w:t>
            </w:r>
            <w:r w:rsidR="006E527D">
              <w:rPr>
                <w:rFonts w:ascii="Arial" w:hAnsi="Arial" w:cs="Arial"/>
                <w:b/>
                <w:bCs/>
                <w:sz w:val="20"/>
                <w:szCs w:val="20"/>
              </w:rPr>
              <w:t>39</w:t>
            </w:r>
          </w:p>
        </w:tc>
      </w:tr>
    </w:tbl>
    <w:p w14:paraId="5EB8A51F" w14:textId="77777777" w:rsidR="002C48AF" w:rsidRDefault="002C48AF" w:rsidP="00EC4B0D">
      <w:pPr>
        <w:pStyle w:val="Heading1"/>
        <w:tabs>
          <w:tab w:val="left" w:pos="3495"/>
        </w:tabs>
      </w:pPr>
    </w:p>
    <w:p w14:paraId="5EB8A520" w14:textId="77777777" w:rsidR="002C48AF" w:rsidRDefault="002C48AF" w:rsidP="002C48AF"/>
    <w:p w14:paraId="5EB8A521" w14:textId="77777777" w:rsidR="002C48AF" w:rsidRDefault="002C48AF" w:rsidP="002C48AF"/>
    <w:p w14:paraId="5EB8A522" w14:textId="77777777" w:rsidR="002C48AF" w:rsidRPr="002C48AF" w:rsidRDefault="002C48AF" w:rsidP="002C48AF"/>
    <w:p w14:paraId="5EB8A523" w14:textId="77777777" w:rsidR="003E0160" w:rsidRDefault="003E0160" w:rsidP="00EC4B0D">
      <w:pPr>
        <w:pStyle w:val="Heading1"/>
        <w:tabs>
          <w:tab w:val="left" w:pos="3495"/>
        </w:tabs>
      </w:pPr>
    </w:p>
    <w:p w14:paraId="5EB8A524" w14:textId="77777777" w:rsidR="003E0160" w:rsidRDefault="003E0160" w:rsidP="003E0160"/>
    <w:p w14:paraId="5EB8A525" w14:textId="77777777" w:rsidR="003E0160" w:rsidRDefault="003E0160" w:rsidP="003E0160"/>
    <w:p w14:paraId="5EB8A526" w14:textId="77777777" w:rsidR="003E0160" w:rsidRDefault="003E0160" w:rsidP="003E0160"/>
    <w:p w14:paraId="5EB8A527" w14:textId="77777777" w:rsidR="003E0160" w:rsidRDefault="003E0160" w:rsidP="003E0160"/>
    <w:p w14:paraId="5EB8A528" w14:textId="77777777" w:rsidR="003E0160" w:rsidRDefault="003E0160" w:rsidP="003E0160"/>
    <w:p w14:paraId="5EB8A529" w14:textId="77777777" w:rsidR="003E0160" w:rsidRDefault="003E0160" w:rsidP="003E0160"/>
    <w:p w14:paraId="5EB8A52A" w14:textId="77777777" w:rsidR="003E0160" w:rsidRDefault="003E0160" w:rsidP="003E0160"/>
    <w:p w14:paraId="5EB8A52B" w14:textId="77777777" w:rsidR="003E0160" w:rsidRDefault="003E0160" w:rsidP="003E0160"/>
    <w:p w14:paraId="5EB8A52C" w14:textId="77777777" w:rsidR="009168A1" w:rsidRPr="000966CC" w:rsidRDefault="00DE0602" w:rsidP="00EC4B0D">
      <w:pPr>
        <w:pStyle w:val="Heading1"/>
        <w:tabs>
          <w:tab w:val="left" w:pos="3495"/>
        </w:tabs>
      </w:pPr>
      <w:bookmarkStart w:id="59" w:name="_Toc468797922"/>
      <w:r>
        <w:lastRenderedPageBreak/>
        <w:t>R</w:t>
      </w:r>
      <w:r w:rsidR="000966CC">
        <w:t>eferences</w:t>
      </w:r>
      <w:r w:rsidR="001946B1">
        <w:t>:</w:t>
      </w:r>
      <w:bookmarkEnd w:id="59"/>
      <w:r w:rsidR="00844B27">
        <w:t xml:space="preserve"> </w:t>
      </w:r>
      <w:r w:rsidR="00EC4B0D">
        <w:tab/>
      </w:r>
    </w:p>
    <w:sectPr w:rsidR="009168A1" w:rsidRPr="000966CC" w:rsidSect="00262365">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8A52F" w14:textId="77777777" w:rsidR="001B5F91" w:rsidRDefault="001B5F91">
      <w:r>
        <w:separator/>
      </w:r>
    </w:p>
  </w:endnote>
  <w:endnote w:type="continuationSeparator" w:id="0">
    <w:p w14:paraId="5EB8A530" w14:textId="77777777" w:rsidR="001B5F91" w:rsidRDefault="001B5F91">
      <w:r>
        <w:continuationSeparator/>
      </w:r>
    </w:p>
  </w:endnote>
  <w:endnote w:id="1">
    <w:p w14:paraId="5EB8A53B" w14:textId="77777777" w:rsidR="001B5F91" w:rsidRPr="00CA1504" w:rsidRDefault="001B5F91" w:rsidP="00E41399">
      <w:pPr>
        <w:rPr>
          <w:sz w:val="20"/>
          <w:szCs w:val="20"/>
        </w:rPr>
      </w:pPr>
      <w:r w:rsidRPr="00CA1504">
        <w:rPr>
          <w:rStyle w:val="breadcrumbs"/>
          <w:color w:val="333333"/>
          <w:sz w:val="20"/>
          <w:szCs w:val="20"/>
          <w:lang w:val="en-GB"/>
        </w:rPr>
        <w:endnoteRef/>
      </w:r>
      <w:r w:rsidRPr="00CA1504">
        <w:rPr>
          <w:rStyle w:val="breadcrumbs"/>
          <w:color w:val="333333"/>
          <w:sz w:val="20"/>
          <w:szCs w:val="20"/>
          <w:lang w:val="en-GB"/>
        </w:rPr>
        <w:t xml:space="preserve"> </w:t>
      </w:r>
      <w:proofErr w:type="gramStart"/>
      <w:r w:rsidRPr="00CA1504">
        <w:rPr>
          <w:rStyle w:val="breadcrumbs"/>
          <w:color w:val="333333"/>
          <w:sz w:val="20"/>
          <w:szCs w:val="20"/>
          <w:lang w:val="en-GB"/>
        </w:rPr>
        <w:t>US Department of Energy, “2010 U.S. Lighting Market Characterization,” prepared by Navigant Consulting.</w:t>
      </w:r>
      <w:proofErr w:type="gramEnd"/>
      <w:r w:rsidRPr="00CA1504">
        <w:rPr>
          <w:rStyle w:val="breadcrumbs"/>
          <w:color w:val="333333"/>
          <w:sz w:val="20"/>
          <w:szCs w:val="20"/>
          <w:lang w:val="en-GB"/>
        </w:rPr>
        <w:t xml:space="preserve"> January 2012. </w:t>
      </w:r>
      <w:proofErr w:type="gramStart"/>
      <w:r w:rsidRPr="00CA1504">
        <w:rPr>
          <w:rStyle w:val="breadcrumbs"/>
          <w:color w:val="333333"/>
          <w:sz w:val="20"/>
          <w:szCs w:val="20"/>
          <w:lang w:val="en-GB"/>
        </w:rPr>
        <w:t xml:space="preserve">Accessed at </w:t>
      </w:r>
      <w:hyperlink r:id="rId1" w:history="1">
        <w:r w:rsidRPr="00CA1504">
          <w:rPr>
            <w:rStyle w:val="breadcrumbs"/>
            <w:color w:val="333333"/>
            <w:sz w:val="20"/>
            <w:szCs w:val="20"/>
            <w:lang w:val="en-GB"/>
          </w:rPr>
          <w:t>http://apps1.eere.energy.gov/buildings/publications/pdfs/ssl/2010-lmc-final-jan-2012.pdf</w:t>
        </w:r>
      </w:hyperlink>
      <w:r w:rsidRPr="00CA1504">
        <w:rPr>
          <w:rStyle w:val="breadcrumbs"/>
          <w:color w:val="333333"/>
          <w:sz w:val="20"/>
          <w:szCs w:val="20"/>
          <w:lang w:val="en-GB"/>
        </w:rPr>
        <w:t>.</w:t>
      </w:r>
      <w:proofErr w:type="gramEnd"/>
      <w:r w:rsidRPr="00CA1504">
        <w:rPr>
          <w:rStyle w:val="breadcrumbs"/>
          <w:color w:val="333333"/>
          <w:sz w:val="20"/>
          <w:szCs w:val="20"/>
          <w:lang w:val="en-GB"/>
        </w:rPr>
        <w:t xml:space="preserve"> 72% energy use is shown in Table 4.8; 80% lamp penetration shown in Table 4.2.</w:t>
      </w:r>
    </w:p>
  </w:endnote>
  <w:endnote w:id="2">
    <w:p w14:paraId="5EB8A53C" w14:textId="77777777" w:rsidR="001B5F91" w:rsidRPr="00CA1504" w:rsidRDefault="001B5F91" w:rsidP="00FA5F99">
      <w:pPr>
        <w:pStyle w:val="EndnoteText"/>
      </w:pPr>
      <w:r w:rsidRPr="00CA1504">
        <w:rPr>
          <w:rStyle w:val="EndnoteReference"/>
        </w:rPr>
        <w:endnoteRef/>
      </w:r>
      <w:r w:rsidRPr="00CA1504">
        <w:t xml:space="preserve"> The DEER Measure Cost Data Users Guide found on </w:t>
      </w:r>
      <w:hyperlink r:id="rId2" w:history="1">
        <w:r w:rsidRPr="00CA1504">
          <w:rPr>
            <w:rStyle w:val="Hyperlink"/>
          </w:rPr>
          <w:t>www.deeresources.com</w:t>
        </w:r>
      </w:hyperlink>
      <w:r w:rsidRPr="00CA1504">
        <w:t xml:space="preserve"> under </w:t>
      </w:r>
      <w:r w:rsidRPr="00CA1504">
        <w:rPr>
          <w:i/>
        </w:rPr>
        <w:t>DEER2011 Database Format</w:t>
      </w:r>
      <w:r w:rsidRPr="00CA1504">
        <w:t xml:space="preserve"> hyperlink, </w:t>
      </w:r>
      <w:r w:rsidRPr="00CA1504">
        <w:rPr>
          <w:rStyle w:val="breadcrumbs"/>
          <w:color w:val="333333"/>
          <w:lang w:val="en-GB"/>
        </w:rPr>
        <w:t>DEER2011 for 13-14</w:t>
      </w:r>
      <w:r w:rsidRPr="00CA1504">
        <w:rPr>
          <w:color w:val="333333"/>
          <w:lang w:val="en-GB"/>
        </w:rPr>
        <w:t>,</w:t>
      </w:r>
      <w:r w:rsidRPr="00CA1504">
        <w:t xml:space="preserve"> spreadsheet </w:t>
      </w:r>
      <w:r w:rsidRPr="00CA1504">
        <w:rPr>
          <w:i/>
        </w:rPr>
        <w:t>SPTdata_format-V0.97.xls.</w:t>
      </w:r>
    </w:p>
  </w:endnote>
  <w:endnote w:id="3">
    <w:p w14:paraId="5EB8A53D" w14:textId="77777777" w:rsidR="001B5F91" w:rsidRPr="00CA1504" w:rsidRDefault="001B5F91">
      <w:pPr>
        <w:pStyle w:val="EndnoteText"/>
      </w:pPr>
      <w:r w:rsidRPr="00CA1504">
        <w:rPr>
          <w:rStyle w:val="EndnoteReference"/>
        </w:rPr>
        <w:endnoteRef/>
      </w:r>
      <w:r>
        <w:t xml:space="preserve"> DEER2016</w:t>
      </w:r>
      <w:r w:rsidRPr="00CA1504">
        <w:t>, see calculations workbook</w:t>
      </w:r>
    </w:p>
  </w:endnote>
  <w:endnote w:id="4">
    <w:p w14:paraId="5EB8A53E" w14:textId="77777777" w:rsidR="001B5F91" w:rsidRPr="00CA1504" w:rsidRDefault="001B5F91" w:rsidP="00B0102E">
      <w:pPr>
        <w:pStyle w:val="EndnoteText"/>
      </w:pPr>
      <w:r w:rsidRPr="00CA1504">
        <w:rPr>
          <w:rStyle w:val="EndnoteReference"/>
        </w:rPr>
        <w:endnoteRef/>
      </w:r>
      <w:r w:rsidRPr="00CA1504">
        <w:t xml:space="preserve"> A Comprehensive Store Retrofit to LED lighting in Common Lighting Applications. </w:t>
      </w:r>
      <w:proofErr w:type="gramStart"/>
      <w:r w:rsidRPr="00CA1504">
        <w:t>PG&amp;E Emerging Technologies Program.</w:t>
      </w:r>
      <w:proofErr w:type="gramEnd"/>
      <w:r w:rsidRPr="00CA1504">
        <w:t xml:space="preserve"> </w:t>
      </w:r>
      <w:proofErr w:type="gramStart"/>
      <w:r w:rsidRPr="00CA1504">
        <w:t xml:space="preserve">Accessed at </w:t>
      </w:r>
      <w:hyperlink r:id="rId3" w:history="1">
        <w:r w:rsidRPr="00CA1504">
          <w:rPr>
            <w:rStyle w:val="Hyperlink"/>
          </w:rPr>
          <w:t>http://www.etcc-ca.com/sites/default/files/reports/ET12PGE1481%20Retail%20LED%20updated%2003132014.pdf</w:t>
        </w:r>
      </w:hyperlink>
      <w:r w:rsidRPr="00CA1504">
        <w:t>.</w:t>
      </w:r>
      <w:proofErr w:type="gramEnd"/>
      <w:r w:rsidRPr="00CA1504">
        <w:t xml:space="preserve">  </w:t>
      </w:r>
    </w:p>
  </w:endnote>
  <w:endnote w:id="5">
    <w:p w14:paraId="5EB8A53F" w14:textId="77777777" w:rsidR="001B5F91" w:rsidRPr="00CA1504" w:rsidRDefault="001B5F91" w:rsidP="00B0102E">
      <w:pPr>
        <w:pStyle w:val="EndnoteText"/>
      </w:pPr>
      <w:r w:rsidRPr="00CA1504">
        <w:rPr>
          <w:rStyle w:val="EndnoteReference"/>
        </w:rPr>
        <w:endnoteRef/>
      </w:r>
      <w:r w:rsidRPr="00CA1504">
        <w:t xml:space="preserve"> LED Office Lighting and Advanced Lighting Control System (ALCS). </w:t>
      </w:r>
      <w:proofErr w:type="gramStart"/>
      <w:r w:rsidRPr="00CA1504">
        <w:t>PG&amp;E Emerging Technologies Program.</w:t>
      </w:r>
      <w:proofErr w:type="gramEnd"/>
      <w:r w:rsidRPr="00CA1504">
        <w:t xml:space="preserve"> </w:t>
      </w:r>
      <w:proofErr w:type="gramStart"/>
      <w:r w:rsidRPr="00CA1504">
        <w:t xml:space="preserve">Accessed at: </w:t>
      </w:r>
      <w:hyperlink r:id="rId4" w:history="1">
        <w:r w:rsidRPr="00CA1504">
          <w:rPr>
            <w:rStyle w:val="Hyperlink"/>
          </w:rPr>
          <w:t>http://www.etcc-ca.com/sites/default/files/reports/ET11PGE3251%20LED%20Office%20Lighting%20With%20ALCS.pdf</w:t>
        </w:r>
      </w:hyperlink>
      <w:r w:rsidRPr="00CA1504">
        <w:t>.</w:t>
      </w:r>
      <w:proofErr w:type="gramEnd"/>
      <w:r w:rsidRPr="00CA1504">
        <w:t xml:space="preserve"> </w:t>
      </w:r>
    </w:p>
  </w:endnote>
  <w:endnote w:id="6">
    <w:p w14:paraId="5EB8A540" w14:textId="77777777" w:rsidR="001B5F91" w:rsidRPr="00CA1504" w:rsidRDefault="001B5F91">
      <w:pPr>
        <w:pStyle w:val="EndnoteText"/>
      </w:pPr>
      <w:r w:rsidRPr="00CA1504">
        <w:rPr>
          <w:rStyle w:val="EndnoteReference"/>
        </w:rPr>
        <w:endnoteRef/>
      </w:r>
      <w:r w:rsidRPr="00CA1504">
        <w:rPr>
          <w:rStyle w:val="apple-converted-space"/>
          <w:color w:val="3C4349"/>
          <w:shd w:val="clear" w:color="auto" w:fill="FFFFFF"/>
        </w:rPr>
        <w:t xml:space="preserve"> </w:t>
      </w:r>
      <w:r w:rsidRPr="00CA1504">
        <w:rPr>
          <w:rStyle w:val="apple-converted-space"/>
          <w:shd w:val="clear" w:color="auto" w:fill="FFFFFF"/>
        </w:rPr>
        <w:t>Code of Federal Regulations </w:t>
      </w:r>
      <w:hyperlink r:id="rId5" w:tgtFrame="_self" w:history="1">
        <w:r w:rsidRPr="00CA1504">
          <w:rPr>
            <w:rStyle w:val="Hyperlink"/>
            <w:color w:val="auto"/>
            <w:bdr w:val="none" w:sz="0" w:space="0" w:color="auto" w:frame="1"/>
            <w:shd w:val="clear" w:color="auto" w:fill="FFFFFF"/>
          </w:rPr>
          <w:t>10 CFR 430.32(n)</w:t>
        </w:r>
      </w:hyperlink>
      <w:r w:rsidRPr="00CA1504">
        <w:t xml:space="preserve"> ; accessed at </w:t>
      </w:r>
      <w:hyperlink r:id="rId6" w:history="1">
        <w:r w:rsidRPr="00CA1504">
          <w:rPr>
            <w:rStyle w:val="Hyperlink"/>
          </w:rPr>
          <w:t>http://www1.eere.energy.gov/buildings/appliance_standards/product.aspx/productid/70</w:t>
        </w:r>
      </w:hyperlink>
      <w:r w:rsidRPr="00CA1504">
        <w:t xml:space="preserve"> </w:t>
      </w:r>
    </w:p>
  </w:endnote>
  <w:endnote w:id="7">
    <w:p w14:paraId="5EB8A541" w14:textId="77777777" w:rsidR="001B5F91" w:rsidRPr="00CA1504" w:rsidRDefault="001B5F91">
      <w:pPr>
        <w:pStyle w:val="EndnoteText"/>
      </w:pPr>
      <w:r w:rsidRPr="00CA1504">
        <w:rPr>
          <w:rStyle w:val="EndnoteReference"/>
        </w:rPr>
        <w:endnoteRef/>
      </w:r>
      <w:r w:rsidRPr="00CA1504">
        <w:t xml:space="preserve"> Fed Register 2011-28451.pdf ; accessed at </w:t>
      </w:r>
      <w:hyperlink r:id="rId7" w:history="1">
        <w:r w:rsidRPr="00CA1504">
          <w:rPr>
            <w:rStyle w:val="Hyperlink"/>
          </w:rPr>
          <w:t>http://www.gpo.gov/fdsys/pkg/FR-2011-11-14/pdf/2011-28451.pdf</w:t>
        </w:r>
      </w:hyperlink>
      <w:r w:rsidRPr="00CA1504">
        <w:t xml:space="preserve"> </w:t>
      </w:r>
    </w:p>
  </w:endnote>
  <w:endnote w:id="8">
    <w:p w14:paraId="5EB8A542" w14:textId="77777777" w:rsidR="001B5F91" w:rsidRPr="00CA1504" w:rsidRDefault="001B5F91">
      <w:pPr>
        <w:pStyle w:val="EndnoteText"/>
      </w:pPr>
      <w:r w:rsidRPr="00CA1504">
        <w:rPr>
          <w:rStyle w:val="EndnoteReference"/>
        </w:rPr>
        <w:endnoteRef/>
      </w:r>
      <w:r w:rsidRPr="00CA1504">
        <w:t xml:space="preserve"> CALiPER Summary Report Round 13. </w:t>
      </w:r>
      <w:proofErr w:type="gramStart"/>
      <w:r w:rsidRPr="00CA1504">
        <w:t>DOE.</w:t>
      </w:r>
      <w:proofErr w:type="gramEnd"/>
      <w:r w:rsidRPr="00CA1504">
        <w:t xml:space="preserve"> October 2011.</w:t>
      </w:r>
    </w:p>
  </w:endnote>
  <w:endnote w:id="9">
    <w:p w14:paraId="5EB8A543" w14:textId="77777777" w:rsidR="001B5F91" w:rsidRPr="00CA1504" w:rsidRDefault="001B5F91" w:rsidP="004A5BE3">
      <w:pPr>
        <w:pStyle w:val="EndnoteText"/>
      </w:pPr>
      <w:r w:rsidRPr="00CA1504">
        <w:rPr>
          <w:rStyle w:val="EndnoteReference"/>
        </w:rPr>
        <w:endnoteRef/>
      </w:r>
      <w:r w:rsidRPr="00CA1504">
        <w:t xml:space="preserve"> CASE_Nonres_Indoor_Lighting_Controls.pdf; accessed at </w:t>
      </w:r>
      <w:hyperlink r:id="rId8" w:history="1">
        <w:r w:rsidRPr="00CA1504">
          <w:rPr>
            <w:rStyle w:val="Hyperlink"/>
          </w:rPr>
          <w:t>http://www.energy.ca.gov/title24/2013standards/prerulemaking/documents/2011-04-04_workshop/review/Nonres_Indoor_Lighting_Controls.pdf</w:t>
        </w:r>
      </w:hyperlink>
      <w:r w:rsidRPr="00CA1504">
        <w:t xml:space="preserve"> </w:t>
      </w:r>
    </w:p>
  </w:endnote>
  <w:endnote w:id="10">
    <w:p w14:paraId="5EB8A544" w14:textId="77777777" w:rsidR="001B5F91" w:rsidRPr="00CA1504" w:rsidRDefault="001B5F91" w:rsidP="004A5BE3">
      <w:pPr>
        <w:pStyle w:val="EndnoteText"/>
      </w:pPr>
      <w:r w:rsidRPr="00CA1504">
        <w:rPr>
          <w:rStyle w:val="EndnoteReference"/>
        </w:rPr>
        <w:endnoteRef/>
      </w:r>
      <w:r w:rsidRPr="00CA1504">
        <w:t xml:space="preserve"> Cooper_2P2GAX332_3L_T8_18C_spec-sheet.pdf; accessed at </w:t>
      </w:r>
      <w:hyperlink r:id="rId9" w:history="1">
        <w:r w:rsidRPr="00CA1504">
          <w:rPr>
            <w:rStyle w:val="Hyperlink"/>
          </w:rPr>
          <w:t>http://www.cooperindustries.com/content/dam/public/lighting/products/documents/metalux/spec_sheets/090386_2P2GAX332_3L_T8_18C.pdf</w:t>
        </w:r>
      </w:hyperlink>
      <w:r w:rsidRPr="00CA1504">
        <w:t xml:space="preserve"> </w:t>
      </w:r>
    </w:p>
  </w:endnote>
  <w:endnote w:id="11">
    <w:p w14:paraId="5EB8A545" w14:textId="77777777" w:rsidR="001B5F91" w:rsidRPr="00CA1504" w:rsidRDefault="001B5F91" w:rsidP="004A5BE3">
      <w:pPr>
        <w:pStyle w:val="EndnoteText"/>
      </w:pPr>
      <w:r w:rsidRPr="00CA1504">
        <w:rPr>
          <w:rStyle w:val="EndnoteReference"/>
        </w:rPr>
        <w:endnoteRef/>
      </w:r>
      <w:r w:rsidRPr="00CA1504">
        <w:t xml:space="preserve"> CEC-Title24-2013.pdf, p. 205 (header indicating p. 190); accessed at </w:t>
      </w:r>
      <w:hyperlink r:id="rId10" w:history="1">
        <w:r w:rsidRPr="00CA1504">
          <w:rPr>
            <w:rStyle w:val="Hyperlink"/>
          </w:rPr>
          <w:t>http://www.energy.ca.gov/2012publications/CEC-400-2012-004/CEC-400-2012-004-CMF-REV2.pdf</w:t>
        </w:r>
      </w:hyperlink>
      <w:r w:rsidRPr="00CA1504">
        <w:t xml:space="preserve"> </w:t>
      </w:r>
    </w:p>
    <w:p w14:paraId="5EB8A546" w14:textId="77777777" w:rsidR="001B5F91" w:rsidRDefault="001B5F91" w:rsidP="005F63FF">
      <w:pPr>
        <w:pStyle w:val="EndnoteText"/>
        <w:ind w:left="720"/>
      </w:pPr>
      <w:r w:rsidRPr="00CA1504">
        <w:t>Table 140.6-B reads as follows:</w:t>
      </w:r>
      <w:r>
        <w:t xml:space="preserve"> </w:t>
      </w:r>
      <w:r>
        <w:rPr>
          <w:noProof/>
        </w:rPr>
        <w:drawing>
          <wp:inline distT="0" distB="0" distL="0" distR="0" wp14:anchorId="5EB8A54A" wp14:editId="5EB8A54B">
            <wp:extent cx="4942303" cy="29933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945874" cy="2995530"/>
                    </a:xfrm>
                    <a:prstGeom prst="rect">
                      <a:avLst/>
                    </a:prstGeom>
                  </pic:spPr>
                </pic:pic>
              </a:graphicData>
            </a:graphic>
          </wp:inline>
        </w:drawing>
      </w:r>
    </w:p>
  </w:endnote>
  <w:endnote w:id="12">
    <w:p w14:paraId="5EB8A547" w14:textId="77777777" w:rsidR="001B5F91" w:rsidRPr="00CA1504" w:rsidRDefault="001B5F91">
      <w:pPr>
        <w:pStyle w:val="EndnoteText"/>
      </w:pPr>
      <w:r w:rsidRPr="00CA1504">
        <w:rPr>
          <w:rStyle w:val="EndnoteReference"/>
        </w:rPr>
        <w:endnoteRef/>
      </w:r>
      <w:r w:rsidRPr="00CA1504">
        <w:t xml:space="preserve"> CALiPER Summary Report Round 13, chart p. 21. </w:t>
      </w:r>
      <w:proofErr w:type="gramStart"/>
      <w:r w:rsidRPr="00CA1504">
        <w:t>DOE.</w:t>
      </w:r>
      <w:proofErr w:type="gramEnd"/>
      <w:r w:rsidRPr="00CA1504">
        <w:t xml:space="preserve"> October 2011.</w:t>
      </w:r>
    </w:p>
  </w:endnote>
  <w:endnote w:id="13">
    <w:p w14:paraId="5EB8A548" w14:textId="77777777" w:rsidR="001B5F91" w:rsidRPr="00CA1504" w:rsidRDefault="001B5F91" w:rsidP="004A5BE3">
      <w:pPr>
        <w:pStyle w:val="EndnoteText"/>
      </w:pPr>
      <w:r w:rsidRPr="00CA1504">
        <w:rPr>
          <w:rStyle w:val="EndnoteReference"/>
        </w:rPr>
        <w:endnoteRef/>
      </w:r>
      <w:r w:rsidRPr="00CA1504">
        <w:t xml:space="preserve"> Fed Register 2014-12127.pdf p. 17; accessed at </w:t>
      </w:r>
      <w:hyperlink r:id="rId12" w:history="1">
        <w:r w:rsidRPr="00CA1504">
          <w:rPr>
            <w:rStyle w:val="Hyperlink"/>
          </w:rPr>
          <w:t>http://www.gpo.gov/fdsys/pkg/FR-2014-06-03/pdf/2014-12127.pdf</w:t>
        </w:r>
      </w:hyperlink>
      <w:r w:rsidRPr="00CA1504">
        <w:t xml:space="preserve"> </w:t>
      </w:r>
    </w:p>
  </w:endnote>
  <w:endnote w:id="14">
    <w:p w14:paraId="159501E6" w14:textId="77777777" w:rsidR="001B5F91" w:rsidRPr="00CA1504" w:rsidRDefault="001B5F91" w:rsidP="00C21271">
      <w:pPr>
        <w:pStyle w:val="EndnoteText"/>
      </w:pPr>
      <w:r w:rsidRPr="00CA1504">
        <w:rPr>
          <w:rStyle w:val="EndnoteReference"/>
        </w:rPr>
        <w:endnoteRef/>
      </w:r>
      <w:r w:rsidRPr="00CA1504">
        <w:t xml:space="preserve"> Measure Labor Cost is product of Installation time and Labor Rate. </w:t>
      </w:r>
      <w:proofErr w:type="gramStart"/>
      <w:r w:rsidRPr="00CA1504">
        <w:t>Labor rate of $70.11 per hour taken from RS Means for PG&amp;E Territory cities.</w:t>
      </w:r>
      <w:proofErr w:type="gramEnd"/>
      <w:r w:rsidRPr="00CA1504">
        <w:t xml:space="preserve"> Installation time of 1.509 hours per fixture (0.39 hours per kilolumen) taken from RS Means, Interior LED Fixtures Line # 265113551000; accessed at </w:t>
      </w:r>
      <w:hyperlink r:id="rId13" w:history="1">
        <w:r w:rsidRPr="00CA1504">
          <w:rPr>
            <w:rStyle w:val="Hyperlink"/>
          </w:rPr>
          <w:t>http://www.rsmeans.com/</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8A533" w14:textId="77777777" w:rsidR="001B5F91" w:rsidRDefault="001B5F91"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B8A534" w14:textId="77777777" w:rsidR="001B5F91" w:rsidRDefault="001B5F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8A535" w14:textId="77777777" w:rsidR="001B5F91" w:rsidRPr="00846195" w:rsidRDefault="001B5F91"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264804">
      <w:rPr>
        <w:rStyle w:val="PageNumber"/>
        <w:b/>
        <w:noProof/>
        <w:sz w:val="20"/>
        <w:szCs w:val="20"/>
      </w:rPr>
      <w:t>4</w:t>
    </w:r>
    <w:r w:rsidRPr="00846195">
      <w:rPr>
        <w:rStyle w:val="PageNumber"/>
        <w:b/>
        <w:sz w:val="20"/>
        <w:szCs w:val="20"/>
      </w:rPr>
      <w:fldChar w:fldCharType="end"/>
    </w:r>
  </w:p>
  <w:p w14:paraId="5EB8A536" w14:textId="4B5B43A6" w:rsidR="001B5F91" w:rsidRDefault="001B5F91" w:rsidP="00D7047A">
    <w:pPr>
      <w:pStyle w:val="Footer"/>
      <w:pBdr>
        <w:top w:val="single" w:sz="4" w:space="1" w:color="auto"/>
      </w:pBdr>
      <w:tabs>
        <w:tab w:val="clear" w:pos="8640"/>
        <w:tab w:val="right" w:pos="9360"/>
      </w:tabs>
      <w:rPr>
        <w:b/>
        <w:sz w:val="20"/>
        <w:szCs w:val="20"/>
      </w:rPr>
    </w:pPr>
    <w:r w:rsidRPr="00893A0F">
      <w:rPr>
        <w:noProof/>
        <w:sz w:val="20"/>
        <w:szCs w:val="20"/>
      </w:rPr>
      <w:t>PGECOLTG</w:t>
    </w:r>
    <w:r>
      <w:rPr>
        <w:noProof/>
        <w:sz w:val="20"/>
        <w:szCs w:val="20"/>
      </w:rPr>
      <w:t>179 R2</w:t>
    </w:r>
    <w:r w:rsidRPr="00893A0F">
      <w:rPr>
        <w:noProof/>
        <w:sz w:val="20"/>
        <w:szCs w:val="20"/>
      </w:rPr>
      <w:t xml:space="preserve"> LED</w:t>
    </w:r>
    <w:r>
      <w:rPr>
        <w:noProof/>
        <w:sz w:val="20"/>
        <w:szCs w:val="20"/>
      </w:rPr>
      <w:t xml:space="preserve"> Ambient</w:t>
    </w:r>
    <w:r>
      <w:rPr>
        <w:b/>
        <w:color w:val="FF0000"/>
        <w:sz w:val="20"/>
        <w:szCs w:val="20"/>
      </w:rPr>
      <w:tab/>
    </w:r>
    <w:r>
      <w:rPr>
        <w:b/>
        <w:sz w:val="20"/>
        <w:szCs w:val="20"/>
      </w:rPr>
      <w:tab/>
      <w:t>11/28/2016</w:t>
    </w:r>
  </w:p>
  <w:p w14:paraId="5EB8A538" w14:textId="7711CF01" w:rsidR="001B5F91" w:rsidRDefault="001B5F91" w:rsidP="00D7047A">
    <w:pPr>
      <w:pStyle w:val="Footer"/>
      <w:rPr>
        <w:noProof/>
        <w:sz w:val="20"/>
        <w:szCs w:val="20"/>
      </w:rPr>
    </w:pPr>
    <w:r>
      <w:rPr>
        <w:noProof/>
        <w:sz w:val="20"/>
        <w:szCs w:val="20"/>
      </w:rPr>
      <w:t xml:space="preserve"> Commercial Fixtures and Retrofit Kits, Revision 3</w:t>
    </w:r>
  </w:p>
  <w:p w14:paraId="128CD10F" w14:textId="77777777" w:rsidR="001B5F91" w:rsidRDefault="001B5F91" w:rsidP="00051C3A">
    <w:pPr>
      <w:pStyle w:val="Footer"/>
      <w:rPr>
        <w:b/>
        <w:sz w:val="20"/>
        <w:szCs w:val="20"/>
      </w:rPr>
    </w:pPr>
    <w:r>
      <w:rPr>
        <w:b/>
        <w:sz w:val="20"/>
        <w:szCs w:val="20"/>
      </w:rPr>
      <w:t>Pacific Gas &amp; Electric Company</w:t>
    </w:r>
  </w:p>
  <w:p w14:paraId="05A7D46B" w14:textId="77777777" w:rsidR="001B5F91" w:rsidRPr="00893A0F" w:rsidRDefault="001B5F91" w:rsidP="00D7047A">
    <w:pPr>
      <w:pStyle w:val="Footer"/>
      <w:rPr>
        <w:b/>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8A539" w14:textId="6FA92809" w:rsidR="001B5F91" w:rsidRPr="002E0E3F" w:rsidRDefault="001B5F91" w:rsidP="00D7047A">
    <w:pPr>
      <w:pStyle w:val="Footer"/>
      <w:jc w:val="right"/>
      <w:rPr>
        <w:rFonts w:ascii="Arial" w:hAnsi="Arial" w:cs="Arial"/>
        <w:b/>
        <w:sz w:val="36"/>
        <w:szCs w:val="36"/>
      </w:rPr>
    </w:pPr>
    <w:r>
      <w:rPr>
        <w:rFonts w:ascii="Arial" w:hAnsi="Arial" w:cs="Arial"/>
        <w:b/>
        <w:sz w:val="36"/>
        <w:szCs w:val="36"/>
      </w:rPr>
      <w:t>11/28/2016</w:t>
    </w:r>
  </w:p>
  <w:p w14:paraId="5EB8A53A" w14:textId="77777777" w:rsidR="001B5F91" w:rsidRDefault="001B5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8A52D" w14:textId="77777777" w:rsidR="001B5F91" w:rsidRDefault="001B5F91">
      <w:r>
        <w:separator/>
      </w:r>
    </w:p>
  </w:footnote>
  <w:footnote w:type="continuationSeparator" w:id="0">
    <w:p w14:paraId="5EB8A52E" w14:textId="77777777" w:rsidR="001B5F91" w:rsidRDefault="001B5F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8A531" w14:textId="77777777" w:rsidR="001B5F91" w:rsidRDefault="001B5F91" w:rsidP="001A573F">
    <w:pPr>
      <w:pStyle w:val="Header"/>
      <w:jc w:val="right"/>
    </w:pPr>
  </w:p>
  <w:p w14:paraId="5EB8A532" w14:textId="77777777" w:rsidR="001B5F91" w:rsidRDefault="001B5F91"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155200"/>
    <w:multiLevelType w:val="hybridMultilevel"/>
    <w:tmpl w:val="FCB8E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92557"/>
    <w:multiLevelType w:val="hybridMultilevel"/>
    <w:tmpl w:val="830A93FE"/>
    <w:lvl w:ilvl="0" w:tplc="04C681A8">
      <w:start w:val="1"/>
      <w:numFmt w:val="bullet"/>
      <w:lvlText w:val=""/>
      <w:lvlJc w:val="left"/>
      <w:pPr>
        <w:ind w:left="252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820856"/>
    <w:multiLevelType w:val="singleLevel"/>
    <w:tmpl w:val="6C78A414"/>
    <w:lvl w:ilvl="0">
      <w:start w:val="1"/>
      <w:numFmt w:val="decimal"/>
      <w:lvlText w:val="%1."/>
      <w:legacy w:legacy="1" w:legacySpace="0" w:legacyIndent="0"/>
      <w:lvlJc w:val="left"/>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6"/>
  </w:num>
  <w:num w:numId="4">
    <w:abstractNumId w:val="8"/>
  </w:num>
  <w:num w:numId="5">
    <w:abstractNumId w:val="24"/>
  </w:num>
  <w:num w:numId="6">
    <w:abstractNumId w:val="12"/>
  </w:num>
  <w:num w:numId="7">
    <w:abstractNumId w:val="7"/>
  </w:num>
  <w:num w:numId="8">
    <w:abstractNumId w:val="14"/>
  </w:num>
  <w:num w:numId="9">
    <w:abstractNumId w:val="11"/>
  </w:num>
  <w:num w:numId="10">
    <w:abstractNumId w:val="1"/>
  </w:num>
  <w:num w:numId="11">
    <w:abstractNumId w:val="19"/>
  </w:num>
  <w:num w:numId="12">
    <w:abstractNumId w:val="20"/>
  </w:num>
  <w:num w:numId="13">
    <w:abstractNumId w:val="3"/>
  </w:num>
  <w:num w:numId="14">
    <w:abstractNumId w:val="25"/>
  </w:num>
  <w:num w:numId="15">
    <w:abstractNumId w:val="15"/>
  </w:num>
  <w:num w:numId="16">
    <w:abstractNumId w:val="16"/>
  </w:num>
  <w:num w:numId="17">
    <w:abstractNumId w:val="0"/>
  </w:num>
  <w:num w:numId="18">
    <w:abstractNumId w:val="10"/>
  </w:num>
  <w:num w:numId="19">
    <w:abstractNumId w:val="22"/>
  </w:num>
  <w:num w:numId="20">
    <w:abstractNumId w:val="23"/>
  </w:num>
  <w:num w:numId="21">
    <w:abstractNumId w:val="18"/>
  </w:num>
  <w:num w:numId="22">
    <w:abstractNumId w:val="9"/>
  </w:num>
  <w:num w:numId="23">
    <w:abstractNumId w:val="17"/>
  </w:num>
  <w:num w:numId="24">
    <w:abstractNumId w:val="21"/>
  </w:num>
  <w:num w:numId="25">
    <w:abstractNumId w:val="26"/>
  </w:num>
  <w:num w:numId="26">
    <w:abstractNumId w:val="4"/>
  </w:num>
  <w:num w:numId="27">
    <w:abstractNumId w:val="10"/>
  </w:num>
  <w:num w:numId="28">
    <w:abstractNumId w:val="9"/>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2EB8"/>
    <w:rsid w:val="0000411D"/>
    <w:rsid w:val="000050CC"/>
    <w:rsid w:val="00005E70"/>
    <w:rsid w:val="00012F86"/>
    <w:rsid w:val="000132F6"/>
    <w:rsid w:val="00013F18"/>
    <w:rsid w:val="00014740"/>
    <w:rsid w:val="00014742"/>
    <w:rsid w:val="00015851"/>
    <w:rsid w:val="00016772"/>
    <w:rsid w:val="000170B5"/>
    <w:rsid w:val="00017488"/>
    <w:rsid w:val="0002118E"/>
    <w:rsid w:val="00023102"/>
    <w:rsid w:val="00024AA9"/>
    <w:rsid w:val="00026F78"/>
    <w:rsid w:val="000272C2"/>
    <w:rsid w:val="0003064A"/>
    <w:rsid w:val="00031441"/>
    <w:rsid w:val="00032B63"/>
    <w:rsid w:val="00032F1B"/>
    <w:rsid w:val="00034F2B"/>
    <w:rsid w:val="000351CB"/>
    <w:rsid w:val="000361B6"/>
    <w:rsid w:val="000373B0"/>
    <w:rsid w:val="000374A5"/>
    <w:rsid w:val="00044365"/>
    <w:rsid w:val="00044570"/>
    <w:rsid w:val="000448A5"/>
    <w:rsid w:val="00046D10"/>
    <w:rsid w:val="00051043"/>
    <w:rsid w:val="00051C3A"/>
    <w:rsid w:val="00053CD8"/>
    <w:rsid w:val="0005535A"/>
    <w:rsid w:val="00055973"/>
    <w:rsid w:val="00056DB9"/>
    <w:rsid w:val="000571F6"/>
    <w:rsid w:val="000573E7"/>
    <w:rsid w:val="00057957"/>
    <w:rsid w:val="0005796E"/>
    <w:rsid w:val="00057C09"/>
    <w:rsid w:val="00063A83"/>
    <w:rsid w:val="00063FA7"/>
    <w:rsid w:val="0006490F"/>
    <w:rsid w:val="00066D5B"/>
    <w:rsid w:val="000678A2"/>
    <w:rsid w:val="00067EB5"/>
    <w:rsid w:val="000701EB"/>
    <w:rsid w:val="000719AA"/>
    <w:rsid w:val="00073184"/>
    <w:rsid w:val="000749EA"/>
    <w:rsid w:val="00077161"/>
    <w:rsid w:val="00077C32"/>
    <w:rsid w:val="00077DC4"/>
    <w:rsid w:val="000814B9"/>
    <w:rsid w:val="000842B9"/>
    <w:rsid w:val="00085333"/>
    <w:rsid w:val="0008537D"/>
    <w:rsid w:val="00085DF5"/>
    <w:rsid w:val="00086594"/>
    <w:rsid w:val="00087378"/>
    <w:rsid w:val="0009430D"/>
    <w:rsid w:val="00095610"/>
    <w:rsid w:val="000966CC"/>
    <w:rsid w:val="000A1ADB"/>
    <w:rsid w:val="000A2490"/>
    <w:rsid w:val="000A2FB3"/>
    <w:rsid w:val="000A48F2"/>
    <w:rsid w:val="000B03C9"/>
    <w:rsid w:val="000B0B1E"/>
    <w:rsid w:val="000B71D2"/>
    <w:rsid w:val="000C0FD3"/>
    <w:rsid w:val="000C23B1"/>
    <w:rsid w:val="000C4909"/>
    <w:rsid w:val="000C5FFA"/>
    <w:rsid w:val="000D22E1"/>
    <w:rsid w:val="000D2D93"/>
    <w:rsid w:val="000D47BE"/>
    <w:rsid w:val="000D47DA"/>
    <w:rsid w:val="000D4EB7"/>
    <w:rsid w:val="000D5047"/>
    <w:rsid w:val="000D5790"/>
    <w:rsid w:val="000D64B7"/>
    <w:rsid w:val="000D6DA4"/>
    <w:rsid w:val="000E0350"/>
    <w:rsid w:val="000E132D"/>
    <w:rsid w:val="000E273A"/>
    <w:rsid w:val="000E31B5"/>
    <w:rsid w:val="000E6E80"/>
    <w:rsid w:val="000F0069"/>
    <w:rsid w:val="000F0C5D"/>
    <w:rsid w:val="000F11DD"/>
    <w:rsid w:val="000F16B4"/>
    <w:rsid w:val="001022B5"/>
    <w:rsid w:val="00102BF4"/>
    <w:rsid w:val="00106A4C"/>
    <w:rsid w:val="00115EB1"/>
    <w:rsid w:val="0012128C"/>
    <w:rsid w:val="00121D23"/>
    <w:rsid w:val="00121FEC"/>
    <w:rsid w:val="001231EA"/>
    <w:rsid w:val="00123C51"/>
    <w:rsid w:val="001248A3"/>
    <w:rsid w:val="00124F32"/>
    <w:rsid w:val="00126483"/>
    <w:rsid w:val="00126A4E"/>
    <w:rsid w:val="00127BF4"/>
    <w:rsid w:val="00127CC8"/>
    <w:rsid w:val="0013046A"/>
    <w:rsid w:val="0013080C"/>
    <w:rsid w:val="0013087E"/>
    <w:rsid w:val="00133198"/>
    <w:rsid w:val="00133C60"/>
    <w:rsid w:val="00136D56"/>
    <w:rsid w:val="001379BA"/>
    <w:rsid w:val="00137DF4"/>
    <w:rsid w:val="0014398A"/>
    <w:rsid w:val="001454AA"/>
    <w:rsid w:val="0014799F"/>
    <w:rsid w:val="001506C5"/>
    <w:rsid w:val="00150AFE"/>
    <w:rsid w:val="00150EC7"/>
    <w:rsid w:val="00152F83"/>
    <w:rsid w:val="00153516"/>
    <w:rsid w:val="00155EF5"/>
    <w:rsid w:val="00155F77"/>
    <w:rsid w:val="0016070B"/>
    <w:rsid w:val="00161B73"/>
    <w:rsid w:val="00161E02"/>
    <w:rsid w:val="00163256"/>
    <w:rsid w:val="00163A05"/>
    <w:rsid w:val="00163CC0"/>
    <w:rsid w:val="00167F2B"/>
    <w:rsid w:val="0017167D"/>
    <w:rsid w:val="0017179F"/>
    <w:rsid w:val="00171812"/>
    <w:rsid w:val="00172149"/>
    <w:rsid w:val="00173499"/>
    <w:rsid w:val="00175673"/>
    <w:rsid w:val="00176431"/>
    <w:rsid w:val="00181C0B"/>
    <w:rsid w:val="001822FC"/>
    <w:rsid w:val="0018290E"/>
    <w:rsid w:val="001835E1"/>
    <w:rsid w:val="00183C8E"/>
    <w:rsid w:val="001946B1"/>
    <w:rsid w:val="00194E14"/>
    <w:rsid w:val="001965AF"/>
    <w:rsid w:val="00196880"/>
    <w:rsid w:val="00196D7C"/>
    <w:rsid w:val="00197A23"/>
    <w:rsid w:val="001A13D5"/>
    <w:rsid w:val="001A3026"/>
    <w:rsid w:val="001A4516"/>
    <w:rsid w:val="001A4B5E"/>
    <w:rsid w:val="001A550C"/>
    <w:rsid w:val="001A573F"/>
    <w:rsid w:val="001A5C3F"/>
    <w:rsid w:val="001A64C6"/>
    <w:rsid w:val="001A7081"/>
    <w:rsid w:val="001A70AD"/>
    <w:rsid w:val="001A73E3"/>
    <w:rsid w:val="001B03AC"/>
    <w:rsid w:val="001B238D"/>
    <w:rsid w:val="001B242B"/>
    <w:rsid w:val="001B45F2"/>
    <w:rsid w:val="001B4ACB"/>
    <w:rsid w:val="001B5E15"/>
    <w:rsid w:val="001B5F91"/>
    <w:rsid w:val="001B75E6"/>
    <w:rsid w:val="001B792D"/>
    <w:rsid w:val="001B7D84"/>
    <w:rsid w:val="001C1C03"/>
    <w:rsid w:val="001C28F8"/>
    <w:rsid w:val="001C2942"/>
    <w:rsid w:val="001C2E2C"/>
    <w:rsid w:val="001C476E"/>
    <w:rsid w:val="001C64DB"/>
    <w:rsid w:val="001C6C57"/>
    <w:rsid w:val="001D067F"/>
    <w:rsid w:val="001D0AF0"/>
    <w:rsid w:val="001D0FE0"/>
    <w:rsid w:val="001D11CE"/>
    <w:rsid w:val="001D16C2"/>
    <w:rsid w:val="001D1B62"/>
    <w:rsid w:val="001D3F48"/>
    <w:rsid w:val="001D483C"/>
    <w:rsid w:val="001D5155"/>
    <w:rsid w:val="001D54AF"/>
    <w:rsid w:val="001E37BA"/>
    <w:rsid w:val="001E3AE3"/>
    <w:rsid w:val="001E727A"/>
    <w:rsid w:val="001E7CA0"/>
    <w:rsid w:val="001F0078"/>
    <w:rsid w:val="001F21BD"/>
    <w:rsid w:val="001F2B40"/>
    <w:rsid w:val="001F2CDE"/>
    <w:rsid w:val="001F4083"/>
    <w:rsid w:val="001F60D5"/>
    <w:rsid w:val="001F624A"/>
    <w:rsid w:val="001F627F"/>
    <w:rsid w:val="001F6E49"/>
    <w:rsid w:val="001F7023"/>
    <w:rsid w:val="00200174"/>
    <w:rsid w:val="00205B34"/>
    <w:rsid w:val="0020665C"/>
    <w:rsid w:val="00210392"/>
    <w:rsid w:val="00210550"/>
    <w:rsid w:val="00210E47"/>
    <w:rsid w:val="00211BAC"/>
    <w:rsid w:val="002154B2"/>
    <w:rsid w:val="00216409"/>
    <w:rsid w:val="002170D6"/>
    <w:rsid w:val="002203EA"/>
    <w:rsid w:val="0022055B"/>
    <w:rsid w:val="0022067C"/>
    <w:rsid w:val="002207C3"/>
    <w:rsid w:val="00220F52"/>
    <w:rsid w:val="0022370C"/>
    <w:rsid w:val="0022428B"/>
    <w:rsid w:val="00224D3E"/>
    <w:rsid w:val="002257FA"/>
    <w:rsid w:val="00225AB8"/>
    <w:rsid w:val="0022619C"/>
    <w:rsid w:val="00230617"/>
    <w:rsid w:val="00231D53"/>
    <w:rsid w:val="0023385B"/>
    <w:rsid w:val="00235694"/>
    <w:rsid w:val="002378D5"/>
    <w:rsid w:val="00241DAA"/>
    <w:rsid w:val="0024233E"/>
    <w:rsid w:val="0024375A"/>
    <w:rsid w:val="00243BAC"/>
    <w:rsid w:val="00244BD6"/>
    <w:rsid w:val="00245A56"/>
    <w:rsid w:val="002466F4"/>
    <w:rsid w:val="00250D6C"/>
    <w:rsid w:val="002522C9"/>
    <w:rsid w:val="00252352"/>
    <w:rsid w:val="00255067"/>
    <w:rsid w:val="0025738E"/>
    <w:rsid w:val="002574CF"/>
    <w:rsid w:val="00260BE6"/>
    <w:rsid w:val="00262365"/>
    <w:rsid w:val="002628B9"/>
    <w:rsid w:val="002635D8"/>
    <w:rsid w:val="002644BC"/>
    <w:rsid w:val="00264804"/>
    <w:rsid w:val="00264B03"/>
    <w:rsid w:val="00265769"/>
    <w:rsid w:val="00265BEF"/>
    <w:rsid w:val="00270FD7"/>
    <w:rsid w:val="0027323D"/>
    <w:rsid w:val="00273C4E"/>
    <w:rsid w:val="0027474D"/>
    <w:rsid w:val="00274A7E"/>
    <w:rsid w:val="0027515D"/>
    <w:rsid w:val="0027624D"/>
    <w:rsid w:val="00276918"/>
    <w:rsid w:val="00276ED1"/>
    <w:rsid w:val="00276FA2"/>
    <w:rsid w:val="0027792C"/>
    <w:rsid w:val="0028312C"/>
    <w:rsid w:val="002856F0"/>
    <w:rsid w:val="00285AF5"/>
    <w:rsid w:val="002862B7"/>
    <w:rsid w:val="00286B3C"/>
    <w:rsid w:val="0028709C"/>
    <w:rsid w:val="002870E2"/>
    <w:rsid w:val="002913D0"/>
    <w:rsid w:val="00291D75"/>
    <w:rsid w:val="0029371D"/>
    <w:rsid w:val="00294D06"/>
    <w:rsid w:val="00295B67"/>
    <w:rsid w:val="002971C4"/>
    <w:rsid w:val="002A1BD1"/>
    <w:rsid w:val="002A22A4"/>
    <w:rsid w:val="002A2C2E"/>
    <w:rsid w:val="002A4B6C"/>
    <w:rsid w:val="002B0ECF"/>
    <w:rsid w:val="002B166E"/>
    <w:rsid w:val="002B7CE7"/>
    <w:rsid w:val="002C12FA"/>
    <w:rsid w:val="002C21F9"/>
    <w:rsid w:val="002C23B7"/>
    <w:rsid w:val="002C26EB"/>
    <w:rsid w:val="002C321E"/>
    <w:rsid w:val="002C412B"/>
    <w:rsid w:val="002C42E0"/>
    <w:rsid w:val="002C48AF"/>
    <w:rsid w:val="002C4F1C"/>
    <w:rsid w:val="002C518C"/>
    <w:rsid w:val="002C53DD"/>
    <w:rsid w:val="002C7B46"/>
    <w:rsid w:val="002D08BE"/>
    <w:rsid w:val="002D0F51"/>
    <w:rsid w:val="002D12AC"/>
    <w:rsid w:val="002D27DC"/>
    <w:rsid w:val="002D4621"/>
    <w:rsid w:val="002D6C78"/>
    <w:rsid w:val="002E0043"/>
    <w:rsid w:val="002E029C"/>
    <w:rsid w:val="002E40A2"/>
    <w:rsid w:val="002E47B4"/>
    <w:rsid w:val="002E5671"/>
    <w:rsid w:val="002E6C39"/>
    <w:rsid w:val="002E7C0C"/>
    <w:rsid w:val="002F105C"/>
    <w:rsid w:val="002F11A3"/>
    <w:rsid w:val="002F2115"/>
    <w:rsid w:val="002F2D92"/>
    <w:rsid w:val="002F3610"/>
    <w:rsid w:val="002F3FE5"/>
    <w:rsid w:val="002F44AD"/>
    <w:rsid w:val="002F4E8C"/>
    <w:rsid w:val="002F7833"/>
    <w:rsid w:val="0030104F"/>
    <w:rsid w:val="0030114D"/>
    <w:rsid w:val="00302B74"/>
    <w:rsid w:val="003032B7"/>
    <w:rsid w:val="003034D0"/>
    <w:rsid w:val="0030390D"/>
    <w:rsid w:val="00303D35"/>
    <w:rsid w:val="0030550A"/>
    <w:rsid w:val="00306DD7"/>
    <w:rsid w:val="00311969"/>
    <w:rsid w:val="00311B2F"/>
    <w:rsid w:val="00311BD9"/>
    <w:rsid w:val="003129E8"/>
    <w:rsid w:val="00315AB7"/>
    <w:rsid w:val="00316A0B"/>
    <w:rsid w:val="00321DB0"/>
    <w:rsid w:val="00322FB9"/>
    <w:rsid w:val="00324AFE"/>
    <w:rsid w:val="00324D0F"/>
    <w:rsid w:val="003259CD"/>
    <w:rsid w:val="0032657A"/>
    <w:rsid w:val="00332E5C"/>
    <w:rsid w:val="00333996"/>
    <w:rsid w:val="00333E01"/>
    <w:rsid w:val="00335017"/>
    <w:rsid w:val="003360B4"/>
    <w:rsid w:val="00340DAD"/>
    <w:rsid w:val="003419BE"/>
    <w:rsid w:val="00343579"/>
    <w:rsid w:val="00344A93"/>
    <w:rsid w:val="00345971"/>
    <w:rsid w:val="00345DE6"/>
    <w:rsid w:val="0034647B"/>
    <w:rsid w:val="00350382"/>
    <w:rsid w:val="00350891"/>
    <w:rsid w:val="00353DC2"/>
    <w:rsid w:val="0035498F"/>
    <w:rsid w:val="00355210"/>
    <w:rsid w:val="00356017"/>
    <w:rsid w:val="00357F8C"/>
    <w:rsid w:val="00362067"/>
    <w:rsid w:val="00362839"/>
    <w:rsid w:val="0036440B"/>
    <w:rsid w:val="00367DF8"/>
    <w:rsid w:val="00374640"/>
    <w:rsid w:val="0037707D"/>
    <w:rsid w:val="00377407"/>
    <w:rsid w:val="00377531"/>
    <w:rsid w:val="00381702"/>
    <w:rsid w:val="00381BB7"/>
    <w:rsid w:val="0038391A"/>
    <w:rsid w:val="00383B74"/>
    <w:rsid w:val="00387CCC"/>
    <w:rsid w:val="00391C77"/>
    <w:rsid w:val="00392734"/>
    <w:rsid w:val="00392B5E"/>
    <w:rsid w:val="00392C05"/>
    <w:rsid w:val="00393618"/>
    <w:rsid w:val="00393D41"/>
    <w:rsid w:val="003942ED"/>
    <w:rsid w:val="00395845"/>
    <w:rsid w:val="0039761A"/>
    <w:rsid w:val="003A0DE6"/>
    <w:rsid w:val="003A1B51"/>
    <w:rsid w:val="003A2593"/>
    <w:rsid w:val="003A4329"/>
    <w:rsid w:val="003A4ABF"/>
    <w:rsid w:val="003A648E"/>
    <w:rsid w:val="003A66D0"/>
    <w:rsid w:val="003A7DD4"/>
    <w:rsid w:val="003B1D79"/>
    <w:rsid w:val="003B2621"/>
    <w:rsid w:val="003B3615"/>
    <w:rsid w:val="003B384E"/>
    <w:rsid w:val="003B44BB"/>
    <w:rsid w:val="003B51DE"/>
    <w:rsid w:val="003C0071"/>
    <w:rsid w:val="003C27C4"/>
    <w:rsid w:val="003C331B"/>
    <w:rsid w:val="003C3A3C"/>
    <w:rsid w:val="003C44F9"/>
    <w:rsid w:val="003C479C"/>
    <w:rsid w:val="003C48C5"/>
    <w:rsid w:val="003C5915"/>
    <w:rsid w:val="003C5980"/>
    <w:rsid w:val="003C6DFA"/>
    <w:rsid w:val="003D04BC"/>
    <w:rsid w:val="003D05F9"/>
    <w:rsid w:val="003D1EB1"/>
    <w:rsid w:val="003D36AD"/>
    <w:rsid w:val="003D3F36"/>
    <w:rsid w:val="003D5191"/>
    <w:rsid w:val="003D60B8"/>
    <w:rsid w:val="003D765C"/>
    <w:rsid w:val="003E0160"/>
    <w:rsid w:val="003E1F03"/>
    <w:rsid w:val="003E24CE"/>
    <w:rsid w:val="003E3441"/>
    <w:rsid w:val="003E3941"/>
    <w:rsid w:val="003E540D"/>
    <w:rsid w:val="003E5A00"/>
    <w:rsid w:val="003E7422"/>
    <w:rsid w:val="003E7CF9"/>
    <w:rsid w:val="003E7D3D"/>
    <w:rsid w:val="003E7E0A"/>
    <w:rsid w:val="003F0439"/>
    <w:rsid w:val="003F0CBE"/>
    <w:rsid w:val="003F2817"/>
    <w:rsid w:val="003F3107"/>
    <w:rsid w:val="003F3419"/>
    <w:rsid w:val="003F3DED"/>
    <w:rsid w:val="003F57BD"/>
    <w:rsid w:val="003F5B70"/>
    <w:rsid w:val="003F7A9C"/>
    <w:rsid w:val="00401070"/>
    <w:rsid w:val="004018B3"/>
    <w:rsid w:val="00402353"/>
    <w:rsid w:val="0040323C"/>
    <w:rsid w:val="00403FBE"/>
    <w:rsid w:val="004078BB"/>
    <w:rsid w:val="004117E0"/>
    <w:rsid w:val="0041339D"/>
    <w:rsid w:val="004148A5"/>
    <w:rsid w:val="00415754"/>
    <w:rsid w:val="004162E3"/>
    <w:rsid w:val="004175E9"/>
    <w:rsid w:val="004203DD"/>
    <w:rsid w:val="00421984"/>
    <w:rsid w:val="00421ED8"/>
    <w:rsid w:val="0042297B"/>
    <w:rsid w:val="00422D1A"/>
    <w:rsid w:val="00422F19"/>
    <w:rsid w:val="00423B48"/>
    <w:rsid w:val="00425CE6"/>
    <w:rsid w:val="00425FE9"/>
    <w:rsid w:val="0042647B"/>
    <w:rsid w:val="00427131"/>
    <w:rsid w:val="00427D15"/>
    <w:rsid w:val="004304AE"/>
    <w:rsid w:val="00431602"/>
    <w:rsid w:val="004323E9"/>
    <w:rsid w:val="00432C65"/>
    <w:rsid w:val="004337F8"/>
    <w:rsid w:val="004339ED"/>
    <w:rsid w:val="00433B89"/>
    <w:rsid w:val="0043466C"/>
    <w:rsid w:val="00435469"/>
    <w:rsid w:val="00435C34"/>
    <w:rsid w:val="00436F7E"/>
    <w:rsid w:val="00437947"/>
    <w:rsid w:val="0044128D"/>
    <w:rsid w:val="004419D3"/>
    <w:rsid w:val="00442BCF"/>
    <w:rsid w:val="0044337C"/>
    <w:rsid w:val="00445790"/>
    <w:rsid w:val="0044620E"/>
    <w:rsid w:val="004464AA"/>
    <w:rsid w:val="00446895"/>
    <w:rsid w:val="00450273"/>
    <w:rsid w:val="004509A5"/>
    <w:rsid w:val="00451B66"/>
    <w:rsid w:val="00452CA5"/>
    <w:rsid w:val="00453A77"/>
    <w:rsid w:val="004551F3"/>
    <w:rsid w:val="00455856"/>
    <w:rsid w:val="004563F1"/>
    <w:rsid w:val="004602EC"/>
    <w:rsid w:val="004617A6"/>
    <w:rsid w:val="0046239D"/>
    <w:rsid w:val="00462467"/>
    <w:rsid w:val="00467FE9"/>
    <w:rsid w:val="00474025"/>
    <w:rsid w:val="00474E68"/>
    <w:rsid w:val="0047543D"/>
    <w:rsid w:val="00475E34"/>
    <w:rsid w:val="00476B67"/>
    <w:rsid w:val="0048008C"/>
    <w:rsid w:val="004809C9"/>
    <w:rsid w:val="00480BAD"/>
    <w:rsid w:val="00480C7E"/>
    <w:rsid w:val="0048184C"/>
    <w:rsid w:val="00486679"/>
    <w:rsid w:val="00486CF9"/>
    <w:rsid w:val="00487D95"/>
    <w:rsid w:val="00492048"/>
    <w:rsid w:val="00493555"/>
    <w:rsid w:val="0049390F"/>
    <w:rsid w:val="00493CA7"/>
    <w:rsid w:val="0049475B"/>
    <w:rsid w:val="00495AEF"/>
    <w:rsid w:val="00496491"/>
    <w:rsid w:val="004967A2"/>
    <w:rsid w:val="004967EC"/>
    <w:rsid w:val="00497CD3"/>
    <w:rsid w:val="004A0A9D"/>
    <w:rsid w:val="004A1B4A"/>
    <w:rsid w:val="004A2D46"/>
    <w:rsid w:val="004A3A35"/>
    <w:rsid w:val="004A46C4"/>
    <w:rsid w:val="004A5BE3"/>
    <w:rsid w:val="004A6FCA"/>
    <w:rsid w:val="004A74F0"/>
    <w:rsid w:val="004B0F48"/>
    <w:rsid w:val="004B14B6"/>
    <w:rsid w:val="004B2B9D"/>
    <w:rsid w:val="004B2CFB"/>
    <w:rsid w:val="004B4489"/>
    <w:rsid w:val="004B46D2"/>
    <w:rsid w:val="004B506E"/>
    <w:rsid w:val="004C3412"/>
    <w:rsid w:val="004C3B88"/>
    <w:rsid w:val="004C4DAB"/>
    <w:rsid w:val="004C4E2A"/>
    <w:rsid w:val="004C56D1"/>
    <w:rsid w:val="004C572C"/>
    <w:rsid w:val="004C6B9C"/>
    <w:rsid w:val="004D0E10"/>
    <w:rsid w:val="004D2C76"/>
    <w:rsid w:val="004D476D"/>
    <w:rsid w:val="004D58D5"/>
    <w:rsid w:val="004D71AF"/>
    <w:rsid w:val="004D7301"/>
    <w:rsid w:val="004E07C9"/>
    <w:rsid w:val="004E43A4"/>
    <w:rsid w:val="004F12E7"/>
    <w:rsid w:val="004F1DB8"/>
    <w:rsid w:val="004F3292"/>
    <w:rsid w:val="004F3EDB"/>
    <w:rsid w:val="004F55EC"/>
    <w:rsid w:val="004F59FD"/>
    <w:rsid w:val="004F61DD"/>
    <w:rsid w:val="00501673"/>
    <w:rsid w:val="00502569"/>
    <w:rsid w:val="00502C16"/>
    <w:rsid w:val="00502D68"/>
    <w:rsid w:val="005035F8"/>
    <w:rsid w:val="00505D2B"/>
    <w:rsid w:val="00506204"/>
    <w:rsid w:val="00506AD5"/>
    <w:rsid w:val="00511171"/>
    <w:rsid w:val="00512C1A"/>
    <w:rsid w:val="005136CC"/>
    <w:rsid w:val="00513858"/>
    <w:rsid w:val="00514B37"/>
    <w:rsid w:val="00514EEC"/>
    <w:rsid w:val="00521874"/>
    <w:rsid w:val="00521920"/>
    <w:rsid w:val="005246B1"/>
    <w:rsid w:val="00527A8C"/>
    <w:rsid w:val="00530281"/>
    <w:rsid w:val="00530B04"/>
    <w:rsid w:val="00531AF8"/>
    <w:rsid w:val="00531E03"/>
    <w:rsid w:val="005341D2"/>
    <w:rsid w:val="00536359"/>
    <w:rsid w:val="0053683E"/>
    <w:rsid w:val="00537B0D"/>
    <w:rsid w:val="005403E8"/>
    <w:rsid w:val="00542990"/>
    <w:rsid w:val="00542A98"/>
    <w:rsid w:val="00542F66"/>
    <w:rsid w:val="005453C5"/>
    <w:rsid w:val="005454DC"/>
    <w:rsid w:val="0054599C"/>
    <w:rsid w:val="00545A84"/>
    <w:rsid w:val="005460ED"/>
    <w:rsid w:val="00547480"/>
    <w:rsid w:val="00551046"/>
    <w:rsid w:val="0055169D"/>
    <w:rsid w:val="00551EF3"/>
    <w:rsid w:val="005521E2"/>
    <w:rsid w:val="00553781"/>
    <w:rsid w:val="00553DCA"/>
    <w:rsid w:val="00554084"/>
    <w:rsid w:val="00554611"/>
    <w:rsid w:val="005565EE"/>
    <w:rsid w:val="00557E24"/>
    <w:rsid w:val="00560593"/>
    <w:rsid w:val="00560E6F"/>
    <w:rsid w:val="0056163A"/>
    <w:rsid w:val="00562217"/>
    <w:rsid w:val="00563BE5"/>
    <w:rsid w:val="005644EF"/>
    <w:rsid w:val="00564E17"/>
    <w:rsid w:val="00567397"/>
    <w:rsid w:val="005702B7"/>
    <w:rsid w:val="0057057B"/>
    <w:rsid w:val="0057061D"/>
    <w:rsid w:val="00571DF6"/>
    <w:rsid w:val="00574FBD"/>
    <w:rsid w:val="005767B2"/>
    <w:rsid w:val="005773BB"/>
    <w:rsid w:val="00583CB2"/>
    <w:rsid w:val="00583E15"/>
    <w:rsid w:val="00585C83"/>
    <w:rsid w:val="00586604"/>
    <w:rsid w:val="00586E35"/>
    <w:rsid w:val="005910C8"/>
    <w:rsid w:val="00597C03"/>
    <w:rsid w:val="005A1F9D"/>
    <w:rsid w:val="005A21F6"/>
    <w:rsid w:val="005A2F5D"/>
    <w:rsid w:val="005A3157"/>
    <w:rsid w:val="005A3798"/>
    <w:rsid w:val="005A5726"/>
    <w:rsid w:val="005A67E5"/>
    <w:rsid w:val="005A6A1D"/>
    <w:rsid w:val="005A6FB8"/>
    <w:rsid w:val="005A7302"/>
    <w:rsid w:val="005A7C16"/>
    <w:rsid w:val="005B0327"/>
    <w:rsid w:val="005B0F9F"/>
    <w:rsid w:val="005B5BB4"/>
    <w:rsid w:val="005C2844"/>
    <w:rsid w:val="005C31D5"/>
    <w:rsid w:val="005C6D98"/>
    <w:rsid w:val="005C73FB"/>
    <w:rsid w:val="005C7752"/>
    <w:rsid w:val="005C7F3F"/>
    <w:rsid w:val="005D4792"/>
    <w:rsid w:val="005D4B08"/>
    <w:rsid w:val="005D6266"/>
    <w:rsid w:val="005E189B"/>
    <w:rsid w:val="005E2187"/>
    <w:rsid w:val="005E4ABC"/>
    <w:rsid w:val="005E4FE9"/>
    <w:rsid w:val="005E5696"/>
    <w:rsid w:val="005F19E0"/>
    <w:rsid w:val="005F57B5"/>
    <w:rsid w:val="005F5A76"/>
    <w:rsid w:val="005F63FF"/>
    <w:rsid w:val="005F71EC"/>
    <w:rsid w:val="005F7932"/>
    <w:rsid w:val="005F7AA1"/>
    <w:rsid w:val="006009E6"/>
    <w:rsid w:val="00603818"/>
    <w:rsid w:val="00604FAE"/>
    <w:rsid w:val="00607605"/>
    <w:rsid w:val="0061001E"/>
    <w:rsid w:val="00610B3C"/>
    <w:rsid w:val="00612869"/>
    <w:rsid w:val="006132A6"/>
    <w:rsid w:val="006146EE"/>
    <w:rsid w:val="00616D20"/>
    <w:rsid w:val="00617AD5"/>
    <w:rsid w:val="006208A9"/>
    <w:rsid w:val="00622319"/>
    <w:rsid w:val="00622A39"/>
    <w:rsid w:val="00623394"/>
    <w:rsid w:val="0062416A"/>
    <w:rsid w:val="00624AC2"/>
    <w:rsid w:val="00624EFB"/>
    <w:rsid w:val="00625FB3"/>
    <w:rsid w:val="00626129"/>
    <w:rsid w:val="00632A52"/>
    <w:rsid w:val="00633BA1"/>
    <w:rsid w:val="00634414"/>
    <w:rsid w:val="00636012"/>
    <w:rsid w:val="00636987"/>
    <w:rsid w:val="006403DD"/>
    <w:rsid w:val="00640AE6"/>
    <w:rsid w:val="00640BB6"/>
    <w:rsid w:val="00642FCD"/>
    <w:rsid w:val="006433B2"/>
    <w:rsid w:val="00643E1F"/>
    <w:rsid w:val="00646C25"/>
    <w:rsid w:val="00650CAA"/>
    <w:rsid w:val="00652691"/>
    <w:rsid w:val="00652DD9"/>
    <w:rsid w:val="00654145"/>
    <w:rsid w:val="006559C8"/>
    <w:rsid w:val="00657405"/>
    <w:rsid w:val="006605C2"/>
    <w:rsid w:val="00661864"/>
    <w:rsid w:val="00661F2B"/>
    <w:rsid w:val="00663837"/>
    <w:rsid w:val="00663A00"/>
    <w:rsid w:val="00663B07"/>
    <w:rsid w:val="00664FA6"/>
    <w:rsid w:val="0066579A"/>
    <w:rsid w:val="00665845"/>
    <w:rsid w:val="0066632E"/>
    <w:rsid w:val="006706DC"/>
    <w:rsid w:val="006713EF"/>
    <w:rsid w:val="00671BB1"/>
    <w:rsid w:val="006732B7"/>
    <w:rsid w:val="00681E5C"/>
    <w:rsid w:val="00681F38"/>
    <w:rsid w:val="00682362"/>
    <w:rsid w:val="006832A4"/>
    <w:rsid w:val="0068391C"/>
    <w:rsid w:val="0068419D"/>
    <w:rsid w:val="006846E9"/>
    <w:rsid w:val="006861E4"/>
    <w:rsid w:val="00686886"/>
    <w:rsid w:val="006872DB"/>
    <w:rsid w:val="00687800"/>
    <w:rsid w:val="00691999"/>
    <w:rsid w:val="00693249"/>
    <w:rsid w:val="00693624"/>
    <w:rsid w:val="006953C6"/>
    <w:rsid w:val="00695ED2"/>
    <w:rsid w:val="0069784E"/>
    <w:rsid w:val="006A03E4"/>
    <w:rsid w:val="006A1022"/>
    <w:rsid w:val="006A1A83"/>
    <w:rsid w:val="006A2C4B"/>
    <w:rsid w:val="006A4819"/>
    <w:rsid w:val="006A541C"/>
    <w:rsid w:val="006A55D2"/>
    <w:rsid w:val="006A63D0"/>
    <w:rsid w:val="006B0474"/>
    <w:rsid w:val="006B185D"/>
    <w:rsid w:val="006B42B8"/>
    <w:rsid w:val="006B50B9"/>
    <w:rsid w:val="006B6104"/>
    <w:rsid w:val="006B6E87"/>
    <w:rsid w:val="006B763D"/>
    <w:rsid w:val="006B77A6"/>
    <w:rsid w:val="006B7BC4"/>
    <w:rsid w:val="006B7EDD"/>
    <w:rsid w:val="006C1C28"/>
    <w:rsid w:val="006C1F6D"/>
    <w:rsid w:val="006C2F62"/>
    <w:rsid w:val="006C31AA"/>
    <w:rsid w:val="006C5E5C"/>
    <w:rsid w:val="006C6C12"/>
    <w:rsid w:val="006D0365"/>
    <w:rsid w:val="006D037D"/>
    <w:rsid w:val="006D18C0"/>
    <w:rsid w:val="006D2068"/>
    <w:rsid w:val="006D249D"/>
    <w:rsid w:val="006D3725"/>
    <w:rsid w:val="006D4AE1"/>
    <w:rsid w:val="006D52A7"/>
    <w:rsid w:val="006D52D8"/>
    <w:rsid w:val="006D54CD"/>
    <w:rsid w:val="006D5AAB"/>
    <w:rsid w:val="006D7A90"/>
    <w:rsid w:val="006E0111"/>
    <w:rsid w:val="006E08CC"/>
    <w:rsid w:val="006E3709"/>
    <w:rsid w:val="006E3C13"/>
    <w:rsid w:val="006E527D"/>
    <w:rsid w:val="006F0139"/>
    <w:rsid w:val="006F0984"/>
    <w:rsid w:val="006F0BEF"/>
    <w:rsid w:val="006F214B"/>
    <w:rsid w:val="006F28C7"/>
    <w:rsid w:val="006F4D73"/>
    <w:rsid w:val="006F52ED"/>
    <w:rsid w:val="006F795C"/>
    <w:rsid w:val="007001DD"/>
    <w:rsid w:val="00700F12"/>
    <w:rsid w:val="00702C3A"/>
    <w:rsid w:val="0070443C"/>
    <w:rsid w:val="007057D3"/>
    <w:rsid w:val="00705A0C"/>
    <w:rsid w:val="00706C40"/>
    <w:rsid w:val="00706CFB"/>
    <w:rsid w:val="00711407"/>
    <w:rsid w:val="00712407"/>
    <w:rsid w:val="00712477"/>
    <w:rsid w:val="007139B2"/>
    <w:rsid w:val="00713B21"/>
    <w:rsid w:val="00721A54"/>
    <w:rsid w:val="00721C75"/>
    <w:rsid w:val="007228DB"/>
    <w:rsid w:val="00722BFB"/>
    <w:rsid w:val="00723862"/>
    <w:rsid w:val="0072705B"/>
    <w:rsid w:val="00731859"/>
    <w:rsid w:val="00732CD0"/>
    <w:rsid w:val="00733275"/>
    <w:rsid w:val="00735A4C"/>
    <w:rsid w:val="00735CB1"/>
    <w:rsid w:val="00735CF0"/>
    <w:rsid w:val="00736D00"/>
    <w:rsid w:val="00740904"/>
    <w:rsid w:val="00741B0E"/>
    <w:rsid w:val="00741F74"/>
    <w:rsid w:val="00742672"/>
    <w:rsid w:val="00742E8A"/>
    <w:rsid w:val="007431B7"/>
    <w:rsid w:val="00745482"/>
    <w:rsid w:val="007459F5"/>
    <w:rsid w:val="0074670F"/>
    <w:rsid w:val="00746DDC"/>
    <w:rsid w:val="007475AA"/>
    <w:rsid w:val="00747C2C"/>
    <w:rsid w:val="0075061C"/>
    <w:rsid w:val="00752B28"/>
    <w:rsid w:val="00754727"/>
    <w:rsid w:val="00754D25"/>
    <w:rsid w:val="00755961"/>
    <w:rsid w:val="00756A18"/>
    <w:rsid w:val="00757590"/>
    <w:rsid w:val="007652CE"/>
    <w:rsid w:val="0076572D"/>
    <w:rsid w:val="00765936"/>
    <w:rsid w:val="00766C83"/>
    <w:rsid w:val="0076733C"/>
    <w:rsid w:val="00767D6C"/>
    <w:rsid w:val="0077091B"/>
    <w:rsid w:val="00770A1E"/>
    <w:rsid w:val="007711CD"/>
    <w:rsid w:val="0077416A"/>
    <w:rsid w:val="0077569C"/>
    <w:rsid w:val="00775A32"/>
    <w:rsid w:val="00776C05"/>
    <w:rsid w:val="00777BE6"/>
    <w:rsid w:val="007816ED"/>
    <w:rsid w:val="007821CF"/>
    <w:rsid w:val="00782F23"/>
    <w:rsid w:val="00783DAC"/>
    <w:rsid w:val="00784500"/>
    <w:rsid w:val="00785112"/>
    <w:rsid w:val="00786700"/>
    <w:rsid w:val="007878B9"/>
    <w:rsid w:val="00787C19"/>
    <w:rsid w:val="00787D07"/>
    <w:rsid w:val="00791125"/>
    <w:rsid w:val="007931BC"/>
    <w:rsid w:val="00793646"/>
    <w:rsid w:val="00794E75"/>
    <w:rsid w:val="0079521E"/>
    <w:rsid w:val="0079606B"/>
    <w:rsid w:val="00796071"/>
    <w:rsid w:val="00796D77"/>
    <w:rsid w:val="007A0CB6"/>
    <w:rsid w:val="007A0ED0"/>
    <w:rsid w:val="007A1510"/>
    <w:rsid w:val="007A2A41"/>
    <w:rsid w:val="007A2B40"/>
    <w:rsid w:val="007A4D97"/>
    <w:rsid w:val="007A5289"/>
    <w:rsid w:val="007A5D2F"/>
    <w:rsid w:val="007A768C"/>
    <w:rsid w:val="007A7853"/>
    <w:rsid w:val="007A7EF5"/>
    <w:rsid w:val="007B2BAC"/>
    <w:rsid w:val="007B2CAC"/>
    <w:rsid w:val="007B2D41"/>
    <w:rsid w:val="007B44FB"/>
    <w:rsid w:val="007B4F0C"/>
    <w:rsid w:val="007B5A28"/>
    <w:rsid w:val="007C0522"/>
    <w:rsid w:val="007C0E38"/>
    <w:rsid w:val="007C1421"/>
    <w:rsid w:val="007C18E3"/>
    <w:rsid w:val="007C1DEB"/>
    <w:rsid w:val="007C459A"/>
    <w:rsid w:val="007C4E08"/>
    <w:rsid w:val="007D18E6"/>
    <w:rsid w:val="007D2F4C"/>
    <w:rsid w:val="007D3DFF"/>
    <w:rsid w:val="007D3F38"/>
    <w:rsid w:val="007D4DB8"/>
    <w:rsid w:val="007E2197"/>
    <w:rsid w:val="007E233C"/>
    <w:rsid w:val="007E3304"/>
    <w:rsid w:val="007E4D1F"/>
    <w:rsid w:val="007F14BA"/>
    <w:rsid w:val="007F1E48"/>
    <w:rsid w:val="007F3D79"/>
    <w:rsid w:val="007F40E3"/>
    <w:rsid w:val="007F4313"/>
    <w:rsid w:val="007F4605"/>
    <w:rsid w:val="007F6A6F"/>
    <w:rsid w:val="007F6C7D"/>
    <w:rsid w:val="008002D9"/>
    <w:rsid w:val="00800FE4"/>
    <w:rsid w:val="00801249"/>
    <w:rsid w:val="008026F6"/>
    <w:rsid w:val="00803F84"/>
    <w:rsid w:val="008043AC"/>
    <w:rsid w:val="00805B61"/>
    <w:rsid w:val="00806070"/>
    <w:rsid w:val="00806EE8"/>
    <w:rsid w:val="00811D89"/>
    <w:rsid w:val="00812EE9"/>
    <w:rsid w:val="00814500"/>
    <w:rsid w:val="00816A19"/>
    <w:rsid w:val="008211DF"/>
    <w:rsid w:val="00822225"/>
    <w:rsid w:val="0082269A"/>
    <w:rsid w:val="00822F77"/>
    <w:rsid w:val="0082354A"/>
    <w:rsid w:val="0082420B"/>
    <w:rsid w:val="008255D2"/>
    <w:rsid w:val="00832ADC"/>
    <w:rsid w:val="00833AF7"/>
    <w:rsid w:val="00834023"/>
    <w:rsid w:val="008346D1"/>
    <w:rsid w:val="00835579"/>
    <w:rsid w:val="00836F9B"/>
    <w:rsid w:val="00837487"/>
    <w:rsid w:val="00840D16"/>
    <w:rsid w:val="00843B20"/>
    <w:rsid w:val="00844106"/>
    <w:rsid w:val="00844B27"/>
    <w:rsid w:val="00844D29"/>
    <w:rsid w:val="00844EDF"/>
    <w:rsid w:val="00846195"/>
    <w:rsid w:val="00846FA0"/>
    <w:rsid w:val="008473DB"/>
    <w:rsid w:val="008479B6"/>
    <w:rsid w:val="008508EB"/>
    <w:rsid w:val="00851FAF"/>
    <w:rsid w:val="008523E5"/>
    <w:rsid w:val="00852E07"/>
    <w:rsid w:val="00852F42"/>
    <w:rsid w:val="00855AA5"/>
    <w:rsid w:val="00856B9B"/>
    <w:rsid w:val="00857671"/>
    <w:rsid w:val="0086002F"/>
    <w:rsid w:val="0086032D"/>
    <w:rsid w:val="00861906"/>
    <w:rsid w:val="00861B01"/>
    <w:rsid w:val="00863F9D"/>
    <w:rsid w:val="008645F9"/>
    <w:rsid w:val="0086628A"/>
    <w:rsid w:val="00871279"/>
    <w:rsid w:val="008716A7"/>
    <w:rsid w:val="00872913"/>
    <w:rsid w:val="008734DD"/>
    <w:rsid w:val="00873F82"/>
    <w:rsid w:val="00874B7B"/>
    <w:rsid w:val="00874F25"/>
    <w:rsid w:val="00875B3F"/>
    <w:rsid w:val="00880754"/>
    <w:rsid w:val="00880CA5"/>
    <w:rsid w:val="008817B1"/>
    <w:rsid w:val="008832FA"/>
    <w:rsid w:val="008834BB"/>
    <w:rsid w:val="008840FA"/>
    <w:rsid w:val="008846D2"/>
    <w:rsid w:val="00884DF8"/>
    <w:rsid w:val="008862EB"/>
    <w:rsid w:val="00890F95"/>
    <w:rsid w:val="008910AC"/>
    <w:rsid w:val="0089311A"/>
    <w:rsid w:val="0089384D"/>
    <w:rsid w:val="00893A0F"/>
    <w:rsid w:val="00893B17"/>
    <w:rsid w:val="008946C3"/>
    <w:rsid w:val="008948E0"/>
    <w:rsid w:val="0089528C"/>
    <w:rsid w:val="008A0089"/>
    <w:rsid w:val="008A3B84"/>
    <w:rsid w:val="008A7C66"/>
    <w:rsid w:val="008B034D"/>
    <w:rsid w:val="008B0BBC"/>
    <w:rsid w:val="008B13FB"/>
    <w:rsid w:val="008B245C"/>
    <w:rsid w:val="008B4153"/>
    <w:rsid w:val="008B4F64"/>
    <w:rsid w:val="008B5356"/>
    <w:rsid w:val="008B609A"/>
    <w:rsid w:val="008B6E81"/>
    <w:rsid w:val="008B7927"/>
    <w:rsid w:val="008C43DA"/>
    <w:rsid w:val="008C4770"/>
    <w:rsid w:val="008C488C"/>
    <w:rsid w:val="008C6AD1"/>
    <w:rsid w:val="008C71B5"/>
    <w:rsid w:val="008D3D2D"/>
    <w:rsid w:val="008E1A4E"/>
    <w:rsid w:val="008E36B3"/>
    <w:rsid w:val="008E431F"/>
    <w:rsid w:val="008E5E12"/>
    <w:rsid w:val="008E613B"/>
    <w:rsid w:val="008F0B4A"/>
    <w:rsid w:val="008F0D2A"/>
    <w:rsid w:val="008F12D4"/>
    <w:rsid w:val="008F161C"/>
    <w:rsid w:val="008F17A0"/>
    <w:rsid w:val="008F1814"/>
    <w:rsid w:val="008F205F"/>
    <w:rsid w:val="008F23EF"/>
    <w:rsid w:val="008F386F"/>
    <w:rsid w:val="008F48E1"/>
    <w:rsid w:val="008F5A5D"/>
    <w:rsid w:val="008F5BD0"/>
    <w:rsid w:val="008F6A88"/>
    <w:rsid w:val="008F716F"/>
    <w:rsid w:val="008F7B36"/>
    <w:rsid w:val="009003FE"/>
    <w:rsid w:val="00901955"/>
    <w:rsid w:val="00903C95"/>
    <w:rsid w:val="00904272"/>
    <w:rsid w:val="009046D4"/>
    <w:rsid w:val="00904793"/>
    <w:rsid w:val="00904F60"/>
    <w:rsid w:val="009058DB"/>
    <w:rsid w:val="009075B6"/>
    <w:rsid w:val="0091026E"/>
    <w:rsid w:val="009104F7"/>
    <w:rsid w:val="0091058D"/>
    <w:rsid w:val="00911711"/>
    <w:rsid w:val="00913858"/>
    <w:rsid w:val="00913A0F"/>
    <w:rsid w:val="00914959"/>
    <w:rsid w:val="00914BBC"/>
    <w:rsid w:val="00915CE6"/>
    <w:rsid w:val="009162DA"/>
    <w:rsid w:val="009168A1"/>
    <w:rsid w:val="00917583"/>
    <w:rsid w:val="0092106C"/>
    <w:rsid w:val="00923BC4"/>
    <w:rsid w:val="00924681"/>
    <w:rsid w:val="009250AE"/>
    <w:rsid w:val="0092622E"/>
    <w:rsid w:val="00926605"/>
    <w:rsid w:val="00930877"/>
    <w:rsid w:val="00930D20"/>
    <w:rsid w:val="009314F2"/>
    <w:rsid w:val="00933767"/>
    <w:rsid w:val="00937012"/>
    <w:rsid w:val="0094003D"/>
    <w:rsid w:val="00942144"/>
    <w:rsid w:val="0094273F"/>
    <w:rsid w:val="009439B0"/>
    <w:rsid w:val="00943ACC"/>
    <w:rsid w:val="0094403C"/>
    <w:rsid w:val="0094555E"/>
    <w:rsid w:val="00945C7C"/>
    <w:rsid w:val="00945CB0"/>
    <w:rsid w:val="0094654D"/>
    <w:rsid w:val="0094667E"/>
    <w:rsid w:val="00946A66"/>
    <w:rsid w:val="00946BD7"/>
    <w:rsid w:val="00951188"/>
    <w:rsid w:val="00951AF4"/>
    <w:rsid w:val="0095234F"/>
    <w:rsid w:val="0095292D"/>
    <w:rsid w:val="00955CBA"/>
    <w:rsid w:val="00956A95"/>
    <w:rsid w:val="00957A47"/>
    <w:rsid w:val="00957C46"/>
    <w:rsid w:val="00960F2F"/>
    <w:rsid w:val="009634F6"/>
    <w:rsid w:val="00963B5E"/>
    <w:rsid w:val="00963FA0"/>
    <w:rsid w:val="0096491F"/>
    <w:rsid w:val="00964FCB"/>
    <w:rsid w:val="00970C80"/>
    <w:rsid w:val="009744E7"/>
    <w:rsid w:val="00974E95"/>
    <w:rsid w:val="00975F2D"/>
    <w:rsid w:val="00976962"/>
    <w:rsid w:val="00976985"/>
    <w:rsid w:val="00977BF5"/>
    <w:rsid w:val="00981F74"/>
    <w:rsid w:val="00982FEE"/>
    <w:rsid w:val="0098302D"/>
    <w:rsid w:val="00987608"/>
    <w:rsid w:val="00990A52"/>
    <w:rsid w:val="00991891"/>
    <w:rsid w:val="00993AE3"/>
    <w:rsid w:val="009943A0"/>
    <w:rsid w:val="009953BC"/>
    <w:rsid w:val="0099543E"/>
    <w:rsid w:val="009963D2"/>
    <w:rsid w:val="009A0568"/>
    <w:rsid w:val="009A0AF9"/>
    <w:rsid w:val="009A16BE"/>
    <w:rsid w:val="009A210C"/>
    <w:rsid w:val="009A2337"/>
    <w:rsid w:val="009A2E00"/>
    <w:rsid w:val="009A355A"/>
    <w:rsid w:val="009A3B09"/>
    <w:rsid w:val="009A5369"/>
    <w:rsid w:val="009A557E"/>
    <w:rsid w:val="009A5CE8"/>
    <w:rsid w:val="009A5FBE"/>
    <w:rsid w:val="009A7074"/>
    <w:rsid w:val="009A72B0"/>
    <w:rsid w:val="009A7B5A"/>
    <w:rsid w:val="009A7F79"/>
    <w:rsid w:val="009B1119"/>
    <w:rsid w:val="009B2260"/>
    <w:rsid w:val="009B277A"/>
    <w:rsid w:val="009B2BDC"/>
    <w:rsid w:val="009B5F5D"/>
    <w:rsid w:val="009B6201"/>
    <w:rsid w:val="009B670F"/>
    <w:rsid w:val="009B73BA"/>
    <w:rsid w:val="009C0EEA"/>
    <w:rsid w:val="009C10D9"/>
    <w:rsid w:val="009C20A2"/>
    <w:rsid w:val="009C3703"/>
    <w:rsid w:val="009C425A"/>
    <w:rsid w:val="009C4F43"/>
    <w:rsid w:val="009C5CA7"/>
    <w:rsid w:val="009C7023"/>
    <w:rsid w:val="009D01D1"/>
    <w:rsid w:val="009D03F8"/>
    <w:rsid w:val="009D096F"/>
    <w:rsid w:val="009D1DF4"/>
    <w:rsid w:val="009D283C"/>
    <w:rsid w:val="009D49EA"/>
    <w:rsid w:val="009D7A24"/>
    <w:rsid w:val="009E00E4"/>
    <w:rsid w:val="009E0D20"/>
    <w:rsid w:val="009E0F6B"/>
    <w:rsid w:val="009E175A"/>
    <w:rsid w:val="009E1DB3"/>
    <w:rsid w:val="009E22EA"/>
    <w:rsid w:val="009E2964"/>
    <w:rsid w:val="009E3EB3"/>
    <w:rsid w:val="009E423C"/>
    <w:rsid w:val="009E5D18"/>
    <w:rsid w:val="009E7AFF"/>
    <w:rsid w:val="009E7DCD"/>
    <w:rsid w:val="009F47C3"/>
    <w:rsid w:val="009F55F9"/>
    <w:rsid w:val="009F5CC0"/>
    <w:rsid w:val="009F6842"/>
    <w:rsid w:val="009F6F8B"/>
    <w:rsid w:val="009F7164"/>
    <w:rsid w:val="00A00551"/>
    <w:rsid w:val="00A02F0A"/>
    <w:rsid w:val="00A06A53"/>
    <w:rsid w:val="00A06A54"/>
    <w:rsid w:val="00A103E8"/>
    <w:rsid w:val="00A1074D"/>
    <w:rsid w:val="00A10863"/>
    <w:rsid w:val="00A11172"/>
    <w:rsid w:val="00A127DD"/>
    <w:rsid w:val="00A12D4A"/>
    <w:rsid w:val="00A14E6C"/>
    <w:rsid w:val="00A16482"/>
    <w:rsid w:val="00A167EC"/>
    <w:rsid w:val="00A16D01"/>
    <w:rsid w:val="00A172E6"/>
    <w:rsid w:val="00A17D1C"/>
    <w:rsid w:val="00A209A2"/>
    <w:rsid w:val="00A20CBF"/>
    <w:rsid w:val="00A22BA7"/>
    <w:rsid w:val="00A24C8D"/>
    <w:rsid w:val="00A2542A"/>
    <w:rsid w:val="00A25718"/>
    <w:rsid w:val="00A26F15"/>
    <w:rsid w:val="00A277D0"/>
    <w:rsid w:val="00A3048D"/>
    <w:rsid w:val="00A30E37"/>
    <w:rsid w:val="00A32930"/>
    <w:rsid w:val="00A34641"/>
    <w:rsid w:val="00A34674"/>
    <w:rsid w:val="00A3494F"/>
    <w:rsid w:val="00A35CD2"/>
    <w:rsid w:val="00A35CF8"/>
    <w:rsid w:val="00A35F44"/>
    <w:rsid w:val="00A360E7"/>
    <w:rsid w:val="00A36F2B"/>
    <w:rsid w:val="00A400FB"/>
    <w:rsid w:val="00A43C4F"/>
    <w:rsid w:val="00A443D1"/>
    <w:rsid w:val="00A456B3"/>
    <w:rsid w:val="00A47BFE"/>
    <w:rsid w:val="00A50DBA"/>
    <w:rsid w:val="00A51808"/>
    <w:rsid w:val="00A51D78"/>
    <w:rsid w:val="00A51EA8"/>
    <w:rsid w:val="00A53D5C"/>
    <w:rsid w:val="00A549C3"/>
    <w:rsid w:val="00A55E10"/>
    <w:rsid w:val="00A561A8"/>
    <w:rsid w:val="00A562A6"/>
    <w:rsid w:val="00A60011"/>
    <w:rsid w:val="00A60E6A"/>
    <w:rsid w:val="00A61B68"/>
    <w:rsid w:val="00A63635"/>
    <w:rsid w:val="00A64106"/>
    <w:rsid w:val="00A6703C"/>
    <w:rsid w:val="00A7007B"/>
    <w:rsid w:val="00A71623"/>
    <w:rsid w:val="00A73BD7"/>
    <w:rsid w:val="00A82768"/>
    <w:rsid w:val="00A84B87"/>
    <w:rsid w:val="00A84D4B"/>
    <w:rsid w:val="00A84FD0"/>
    <w:rsid w:val="00A8592D"/>
    <w:rsid w:val="00A8629D"/>
    <w:rsid w:val="00A90D08"/>
    <w:rsid w:val="00A93FFF"/>
    <w:rsid w:val="00A95196"/>
    <w:rsid w:val="00A95746"/>
    <w:rsid w:val="00A96D45"/>
    <w:rsid w:val="00A97045"/>
    <w:rsid w:val="00A9717C"/>
    <w:rsid w:val="00A973EE"/>
    <w:rsid w:val="00AA18DD"/>
    <w:rsid w:val="00AA1F91"/>
    <w:rsid w:val="00AA3687"/>
    <w:rsid w:val="00AA4A07"/>
    <w:rsid w:val="00AA5CE1"/>
    <w:rsid w:val="00AB184B"/>
    <w:rsid w:val="00AB2D9E"/>
    <w:rsid w:val="00AB4404"/>
    <w:rsid w:val="00AB603C"/>
    <w:rsid w:val="00AC0375"/>
    <w:rsid w:val="00AC154C"/>
    <w:rsid w:val="00AC21EE"/>
    <w:rsid w:val="00AC2B02"/>
    <w:rsid w:val="00AC322F"/>
    <w:rsid w:val="00AC3B22"/>
    <w:rsid w:val="00AC4101"/>
    <w:rsid w:val="00AC5597"/>
    <w:rsid w:val="00AC71C4"/>
    <w:rsid w:val="00AD0116"/>
    <w:rsid w:val="00AD1AD4"/>
    <w:rsid w:val="00AD1B42"/>
    <w:rsid w:val="00AD2871"/>
    <w:rsid w:val="00AD322C"/>
    <w:rsid w:val="00AD4B84"/>
    <w:rsid w:val="00AD573D"/>
    <w:rsid w:val="00AD5D06"/>
    <w:rsid w:val="00AE0676"/>
    <w:rsid w:val="00AE23BE"/>
    <w:rsid w:val="00AE2EAC"/>
    <w:rsid w:val="00AE2EBA"/>
    <w:rsid w:val="00AE5772"/>
    <w:rsid w:val="00AF07E7"/>
    <w:rsid w:val="00AF0AC0"/>
    <w:rsid w:val="00AF16E0"/>
    <w:rsid w:val="00AF4CA9"/>
    <w:rsid w:val="00AF5B52"/>
    <w:rsid w:val="00AF5DCA"/>
    <w:rsid w:val="00AF7879"/>
    <w:rsid w:val="00B00818"/>
    <w:rsid w:val="00B008BF"/>
    <w:rsid w:val="00B0102E"/>
    <w:rsid w:val="00B052BA"/>
    <w:rsid w:val="00B07460"/>
    <w:rsid w:val="00B1022B"/>
    <w:rsid w:val="00B10338"/>
    <w:rsid w:val="00B1151C"/>
    <w:rsid w:val="00B11E06"/>
    <w:rsid w:val="00B13099"/>
    <w:rsid w:val="00B1397D"/>
    <w:rsid w:val="00B16978"/>
    <w:rsid w:val="00B16BE4"/>
    <w:rsid w:val="00B17EBB"/>
    <w:rsid w:val="00B237C6"/>
    <w:rsid w:val="00B24A6F"/>
    <w:rsid w:val="00B260D9"/>
    <w:rsid w:val="00B278DB"/>
    <w:rsid w:val="00B30D4F"/>
    <w:rsid w:val="00B30D5C"/>
    <w:rsid w:val="00B311C1"/>
    <w:rsid w:val="00B3434E"/>
    <w:rsid w:val="00B34A3E"/>
    <w:rsid w:val="00B351FD"/>
    <w:rsid w:val="00B35BFD"/>
    <w:rsid w:val="00B36614"/>
    <w:rsid w:val="00B36ECF"/>
    <w:rsid w:val="00B40B13"/>
    <w:rsid w:val="00B421F2"/>
    <w:rsid w:val="00B42822"/>
    <w:rsid w:val="00B42C54"/>
    <w:rsid w:val="00B4395A"/>
    <w:rsid w:val="00B4553E"/>
    <w:rsid w:val="00B45901"/>
    <w:rsid w:val="00B4610D"/>
    <w:rsid w:val="00B46773"/>
    <w:rsid w:val="00B47091"/>
    <w:rsid w:val="00B47E14"/>
    <w:rsid w:val="00B500F9"/>
    <w:rsid w:val="00B52BB4"/>
    <w:rsid w:val="00B54256"/>
    <w:rsid w:val="00B545F4"/>
    <w:rsid w:val="00B56303"/>
    <w:rsid w:val="00B56D7B"/>
    <w:rsid w:val="00B573DA"/>
    <w:rsid w:val="00B57599"/>
    <w:rsid w:val="00B57FB2"/>
    <w:rsid w:val="00B607B6"/>
    <w:rsid w:val="00B61F2F"/>
    <w:rsid w:val="00B63199"/>
    <w:rsid w:val="00B64F62"/>
    <w:rsid w:val="00B65321"/>
    <w:rsid w:val="00B65D3A"/>
    <w:rsid w:val="00B663B5"/>
    <w:rsid w:val="00B66898"/>
    <w:rsid w:val="00B67AB6"/>
    <w:rsid w:val="00B7164C"/>
    <w:rsid w:val="00B71BA8"/>
    <w:rsid w:val="00B71BAD"/>
    <w:rsid w:val="00B72CBC"/>
    <w:rsid w:val="00B807AB"/>
    <w:rsid w:val="00B80F53"/>
    <w:rsid w:val="00B8152D"/>
    <w:rsid w:val="00B82E26"/>
    <w:rsid w:val="00B910F3"/>
    <w:rsid w:val="00B91A7C"/>
    <w:rsid w:val="00B93DB5"/>
    <w:rsid w:val="00B93F2D"/>
    <w:rsid w:val="00B95781"/>
    <w:rsid w:val="00B95AC6"/>
    <w:rsid w:val="00B95FBC"/>
    <w:rsid w:val="00B9723C"/>
    <w:rsid w:val="00B97C44"/>
    <w:rsid w:val="00BA05AE"/>
    <w:rsid w:val="00BA1A39"/>
    <w:rsid w:val="00BA22F7"/>
    <w:rsid w:val="00BA2572"/>
    <w:rsid w:val="00BA2FA3"/>
    <w:rsid w:val="00BA46E0"/>
    <w:rsid w:val="00BA61D2"/>
    <w:rsid w:val="00BA6418"/>
    <w:rsid w:val="00BA7D18"/>
    <w:rsid w:val="00BB0704"/>
    <w:rsid w:val="00BB19E5"/>
    <w:rsid w:val="00BB3A8F"/>
    <w:rsid w:val="00BB4181"/>
    <w:rsid w:val="00BB4412"/>
    <w:rsid w:val="00BB5572"/>
    <w:rsid w:val="00BB6191"/>
    <w:rsid w:val="00BC1F15"/>
    <w:rsid w:val="00BC2214"/>
    <w:rsid w:val="00BC2543"/>
    <w:rsid w:val="00BC2A83"/>
    <w:rsid w:val="00BD0D15"/>
    <w:rsid w:val="00BD33EA"/>
    <w:rsid w:val="00BD5425"/>
    <w:rsid w:val="00BE06A4"/>
    <w:rsid w:val="00BE4396"/>
    <w:rsid w:val="00BE51F3"/>
    <w:rsid w:val="00BE5E8F"/>
    <w:rsid w:val="00BF0332"/>
    <w:rsid w:val="00BF2BFE"/>
    <w:rsid w:val="00BF50D8"/>
    <w:rsid w:val="00BF5849"/>
    <w:rsid w:val="00BF5F96"/>
    <w:rsid w:val="00BF5FB0"/>
    <w:rsid w:val="00BF5FCC"/>
    <w:rsid w:val="00C0244F"/>
    <w:rsid w:val="00C0256C"/>
    <w:rsid w:val="00C060C8"/>
    <w:rsid w:val="00C069A2"/>
    <w:rsid w:val="00C069EC"/>
    <w:rsid w:val="00C10056"/>
    <w:rsid w:val="00C1628E"/>
    <w:rsid w:val="00C17416"/>
    <w:rsid w:val="00C1748F"/>
    <w:rsid w:val="00C201F2"/>
    <w:rsid w:val="00C206DE"/>
    <w:rsid w:val="00C20A59"/>
    <w:rsid w:val="00C21125"/>
    <w:rsid w:val="00C21271"/>
    <w:rsid w:val="00C221D5"/>
    <w:rsid w:val="00C2280A"/>
    <w:rsid w:val="00C23D12"/>
    <w:rsid w:val="00C2652B"/>
    <w:rsid w:val="00C278AB"/>
    <w:rsid w:val="00C27933"/>
    <w:rsid w:val="00C30598"/>
    <w:rsid w:val="00C343EA"/>
    <w:rsid w:val="00C3630E"/>
    <w:rsid w:val="00C37145"/>
    <w:rsid w:val="00C37B98"/>
    <w:rsid w:val="00C45360"/>
    <w:rsid w:val="00C45648"/>
    <w:rsid w:val="00C4596D"/>
    <w:rsid w:val="00C45C85"/>
    <w:rsid w:val="00C45D69"/>
    <w:rsid w:val="00C46744"/>
    <w:rsid w:val="00C50281"/>
    <w:rsid w:val="00C51198"/>
    <w:rsid w:val="00C51681"/>
    <w:rsid w:val="00C533E6"/>
    <w:rsid w:val="00C54DA2"/>
    <w:rsid w:val="00C55680"/>
    <w:rsid w:val="00C557A9"/>
    <w:rsid w:val="00C56730"/>
    <w:rsid w:val="00C6024F"/>
    <w:rsid w:val="00C60CE3"/>
    <w:rsid w:val="00C61FFE"/>
    <w:rsid w:val="00C634A0"/>
    <w:rsid w:val="00C63D95"/>
    <w:rsid w:val="00C64B94"/>
    <w:rsid w:val="00C650AE"/>
    <w:rsid w:val="00C7064F"/>
    <w:rsid w:val="00C7070C"/>
    <w:rsid w:val="00C70D93"/>
    <w:rsid w:val="00C71263"/>
    <w:rsid w:val="00C728C4"/>
    <w:rsid w:val="00C72DC1"/>
    <w:rsid w:val="00C7380E"/>
    <w:rsid w:val="00C739BF"/>
    <w:rsid w:val="00C7647E"/>
    <w:rsid w:val="00C76C24"/>
    <w:rsid w:val="00C80E3F"/>
    <w:rsid w:val="00C81BD1"/>
    <w:rsid w:val="00C8399F"/>
    <w:rsid w:val="00C85C21"/>
    <w:rsid w:val="00C8756C"/>
    <w:rsid w:val="00C87EF3"/>
    <w:rsid w:val="00C90663"/>
    <w:rsid w:val="00C90E2B"/>
    <w:rsid w:val="00C92E70"/>
    <w:rsid w:val="00C93DCA"/>
    <w:rsid w:val="00C93E64"/>
    <w:rsid w:val="00CA071B"/>
    <w:rsid w:val="00CA0DD1"/>
    <w:rsid w:val="00CA1504"/>
    <w:rsid w:val="00CA15C7"/>
    <w:rsid w:val="00CA304C"/>
    <w:rsid w:val="00CA5466"/>
    <w:rsid w:val="00CA734B"/>
    <w:rsid w:val="00CB0475"/>
    <w:rsid w:val="00CB1B1E"/>
    <w:rsid w:val="00CB1DB5"/>
    <w:rsid w:val="00CB28CF"/>
    <w:rsid w:val="00CB2C4F"/>
    <w:rsid w:val="00CB3583"/>
    <w:rsid w:val="00CB4218"/>
    <w:rsid w:val="00CB4540"/>
    <w:rsid w:val="00CB4608"/>
    <w:rsid w:val="00CB6A8C"/>
    <w:rsid w:val="00CC34FF"/>
    <w:rsid w:val="00CC44F0"/>
    <w:rsid w:val="00CC6DB2"/>
    <w:rsid w:val="00CD0E5B"/>
    <w:rsid w:val="00CD0FE9"/>
    <w:rsid w:val="00CD29E4"/>
    <w:rsid w:val="00CD396E"/>
    <w:rsid w:val="00CD3C38"/>
    <w:rsid w:val="00CD3FDA"/>
    <w:rsid w:val="00CD46F6"/>
    <w:rsid w:val="00CD5104"/>
    <w:rsid w:val="00CD6046"/>
    <w:rsid w:val="00CD60D3"/>
    <w:rsid w:val="00CE06A5"/>
    <w:rsid w:val="00CE0DF1"/>
    <w:rsid w:val="00CE202E"/>
    <w:rsid w:val="00CE2229"/>
    <w:rsid w:val="00CE28F2"/>
    <w:rsid w:val="00CE374E"/>
    <w:rsid w:val="00CE475A"/>
    <w:rsid w:val="00CF0534"/>
    <w:rsid w:val="00CF3FF0"/>
    <w:rsid w:val="00CF41AF"/>
    <w:rsid w:val="00CF4567"/>
    <w:rsid w:val="00CF48A4"/>
    <w:rsid w:val="00CF53AB"/>
    <w:rsid w:val="00CF6815"/>
    <w:rsid w:val="00D04520"/>
    <w:rsid w:val="00D04D3D"/>
    <w:rsid w:val="00D06C45"/>
    <w:rsid w:val="00D101C7"/>
    <w:rsid w:val="00D10E68"/>
    <w:rsid w:val="00D1143A"/>
    <w:rsid w:val="00D11B02"/>
    <w:rsid w:val="00D1202C"/>
    <w:rsid w:val="00D12433"/>
    <w:rsid w:val="00D12617"/>
    <w:rsid w:val="00D12AFE"/>
    <w:rsid w:val="00D151D0"/>
    <w:rsid w:val="00D16DDF"/>
    <w:rsid w:val="00D16E24"/>
    <w:rsid w:val="00D171B6"/>
    <w:rsid w:val="00D17F75"/>
    <w:rsid w:val="00D20486"/>
    <w:rsid w:val="00D211F3"/>
    <w:rsid w:val="00D228D8"/>
    <w:rsid w:val="00D247DD"/>
    <w:rsid w:val="00D31439"/>
    <w:rsid w:val="00D33677"/>
    <w:rsid w:val="00D35E03"/>
    <w:rsid w:val="00D36BDD"/>
    <w:rsid w:val="00D3706F"/>
    <w:rsid w:val="00D373EC"/>
    <w:rsid w:val="00D40729"/>
    <w:rsid w:val="00D412D8"/>
    <w:rsid w:val="00D4180D"/>
    <w:rsid w:val="00D41B01"/>
    <w:rsid w:val="00D42875"/>
    <w:rsid w:val="00D42B44"/>
    <w:rsid w:val="00D4390C"/>
    <w:rsid w:val="00D44A14"/>
    <w:rsid w:val="00D46E0B"/>
    <w:rsid w:val="00D47738"/>
    <w:rsid w:val="00D47A1A"/>
    <w:rsid w:val="00D47D36"/>
    <w:rsid w:val="00D502EB"/>
    <w:rsid w:val="00D51A9B"/>
    <w:rsid w:val="00D51D95"/>
    <w:rsid w:val="00D52446"/>
    <w:rsid w:val="00D53EC6"/>
    <w:rsid w:val="00D540EE"/>
    <w:rsid w:val="00D5545A"/>
    <w:rsid w:val="00D55A00"/>
    <w:rsid w:val="00D56F77"/>
    <w:rsid w:val="00D600E0"/>
    <w:rsid w:val="00D60DB3"/>
    <w:rsid w:val="00D61E9F"/>
    <w:rsid w:val="00D62CC8"/>
    <w:rsid w:val="00D63232"/>
    <w:rsid w:val="00D63E5C"/>
    <w:rsid w:val="00D6402F"/>
    <w:rsid w:val="00D64983"/>
    <w:rsid w:val="00D67BBE"/>
    <w:rsid w:val="00D7047A"/>
    <w:rsid w:val="00D719E9"/>
    <w:rsid w:val="00D72225"/>
    <w:rsid w:val="00D73550"/>
    <w:rsid w:val="00D838F7"/>
    <w:rsid w:val="00D845DA"/>
    <w:rsid w:val="00D8479E"/>
    <w:rsid w:val="00D868F1"/>
    <w:rsid w:val="00D87EFF"/>
    <w:rsid w:val="00D90F47"/>
    <w:rsid w:val="00D91AE6"/>
    <w:rsid w:val="00D93D13"/>
    <w:rsid w:val="00D941E0"/>
    <w:rsid w:val="00D95840"/>
    <w:rsid w:val="00DA1603"/>
    <w:rsid w:val="00DA2B67"/>
    <w:rsid w:val="00DA3C9A"/>
    <w:rsid w:val="00DA4C34"/>
    <w:rsid w:val="00DA554C"/>
    <w:rsid w:val="00DA589B"/>
    <w:rsid w:val="00DA5980"/>
    <w:rsid w:val="00DA5BF6"/>
    <w:rsid w:val="00DA5F07"/>
    <w:rsid w:val="00DA6C19"/>
    <w:rsid w:val="00DB0EF6"/>
    <w:rsid w:val="00DB2668"/>
    <w:rsid w:val="00DB2CE5"/>
    <w:rsid w:val="00DB42FB"/>
    <w:rsid w:val="00DB520B"/>
    <w:rsid w:val="00DB7AEE"/>
    <w:rsid w:val="00DC04E4"/>
    <w:rsid w:val="00DC1187"/>
    <w:rsid w:val="00DC39C4"/>
    <w:rsid w:val="00DC4568"/>
    <w:rsid w:val="00DC6AFC"/>
    <w:rsid w:val="00DC6D29"/>
    <w:rsid w:val="00DD0910"/>
    <w:rsid w:val="00DD0941"/>
    <w:rsid w:val="00DD0CC5"/>
    <w:rsid w:val="00DD12F1"/>
    <w:rsid w:val="00DD1C47"/>
    <w:rsid w:val="00DD2826"/>
    <w:rsid w:val="00DD3BCF"/>
    <w:rsid w:val="00DD48D8"/>
    <w:rsid w:val="00DD49FE"/>
    <w:rsid w:val="00DD643B"/>
    <w:rsid w:val="00DD6B5E"/>
    <w:rsid w:val="00DE02D4"/>
    <w:rsid w:val="00DE0602"/>
    <w:rsid w:val="00DE0E3C"/>
    <w:rsid w:val="00DE13E8"/>
    <w:rsid w:val="00DE4BF6"/>
    <w:rsid w:val="00DE52A5"/>
    <w:rsid w:val="00DE5325"/>
    <w:rsid w:val="00DE5D46"/>
    <w:rsid w:val="00DE69D0"/>
    <w:rsid w:val="00DE7070"/>
    <w:rsid w:val="00DE77A3"/>
    <w:rsid w:val="00DF02F6"/>
    <w:rsid w:val="00DF0993"/>
    <w:rsid w:val="00DF145B"/>
    <w:rsid w:val="00DF163F"/>
    <w:rsid w:val="00DF21B8"/>
    <w:rsid w:val="00DF284F"/>
    <w:rsid w:val="00DF31EE"/>
    <w:rsid w:val="00DF3395"/>
    <w:rsid w:val="00DF6547"/>
    <w:rsid w:val="00DF7681"/>
    <w:rsid w:val="00E00443"/>
    <w:rsid w:val="00E02D36"/>
    <w:rsid w:val="00E03431"/>
    <w:rsid w:val="00E04625"/>
    <w:rsid w:val="00E04E43"/>
    <w:rsid w:val="00E05E74"/>
    <w:rsid w:val="00E065D9"/>
    <w:rsid w:val="00E1050E"/>
    <w:rsid w:val="00E1241D"/>
    <w:rsid w:val="00E12498"/>
    <w:rsid w:val="00E13D0D"/>
    <w:rsid w:val="00E149CE"/>
    <w:rsid w:val="00E16AC4"/>
    <w:rsid w:val="00E17C58"/>
    <w:rsid w:val="00E20E7B"/>
    <w:rsid w:val="00E20F5E"/>
    <w:rsid w:val="00E2178D"/>
    <w:rsid w:val="00E2263B"/>
    <w:rsid w:val="00E2282A"/>
    <w:rsid w:val="00E22DDE"/>
    <w:rsid w:val="00E23958"/>
    <w:rsid w:val="00E23AD4"/>
    <w:rsid w:val="00E23BEC"/>
    <w:rsid w:val="00E23EC3"/>
    <w:rsid w:val="00E24E4D"/>
    <w:rsid w:val="00E25D14"/>
    <w:rsid w:val="00E25F8C"/>
    <w:rsid w:val="00E25FF3"/>
    <w:rsid w:val="00E2618B"/>
    <w:rsid w:val="00E267F1"/>
    <w:rsid w:val="00E26938"/>
    <w:rsid w:val="00E27EDD"/>
    <w:rsid w:val="00E30DD4"/>
    <w:rsid w:val="00E3704F"/>
    <w:rsid w:val="00E3751B"/>
    <w:rsid w:val="00E41399"/>
    <w:rsid w:val="00E42772"/>
    <w:rsid w:val="00E44F08"/>
    <w:rsid w:val="00E528AF"/>
    <w:rsid w:val="00E53131"/>
    <w:rsid w:val="00E5420A"/>
    <w:rsid w:val="00E55167"/>
    <w:rsid w:val="00E5518E"/>
    <w:rsid w:val="00E56222"/>
    <w:rsid w:val="00E566D8"/>
    <w:rsid w:val="00E57743"/>
    <w:rsid w:val="00E577C9"/>
    <w:rsid w:val="00E57D50"/>
    <w:rsid w:val="00E62DD3"/>
    <w:rsid w:val="00E641D8"/>
    <w:rsid w:val="00E64B11"/>
    <w:rsid w:val="00E669B7"/>
    <w:rsid w:val="00E66D8F"/>
    <w:rsid w:val="00E6742D"/>
    <w:rsid w:val="00E7098E"/>
    <w:rsid w:val="00E71707"/>
    <w:rsid w:val="00E71EF1"/>
    <w:rsid w:val="00E73017"/>
    <w:rsid w:val="00E731C6"/>
    <w:rsid w:val="00E7398B"/>
    <w:rsid w:val="00E740C4"/>
    <w:rsid w:val="00E74686"/>
    <w:rsid w:val="00E74750"/>
    <w:rsid w:val="00E76045"/>
    <w:rsid w:val="00E76686"/>
    <w:rsid w:val="00E80520"/>
    <w:rsid w:val="00E80567"/>
    <w:rsid w:val="00E80AAC"/>
    <w:rsid w:val="00E818D4"/>
    <w:rsid w:val="00E81BD0"/>
    <w:rsid w:val="00E81D4A"/>
    <w:rsid w:val="00E8297B"/>
    <w:rsid w:val="00E83C98"/>
    <w:rsid w:val="00E840FE"/>
    <w:rsid w:val="00E847DC"/>
    <w:rsid w:val="00E84DBD"/>
    <w:rsid w:val="00E873A0"/>
    <w:rsid w:val="00E90A99"/>
    <w:rsid w:val="00E9124C"/>
    <w:rsid w:val="00E9128A"/>
    <w:rsid w:val="00E91BFD"/>
    <w:rsid w:val="00E91C15"/>
    <w:rsid w:val="00E93BF9"/>
    <w:rsid w:val="00E943E8"/>
    <w:rsid w:val="00E945CE"/>
    <w:rsid w:val="00E94FAF"/>
    <w:rsid w:val="00E96293"/>
    <w:rsid w:val="00E96E5C"/>
    <w:rsid w:val="00E97091"/>
    <w:rsid w:val="00EA0340"/>
    <w:rsid w:val="00EA0528"/>
    <w:rsid w:val="00EA0B53"/>
    <w:rsid w:val="00EA0C10"/>
    <w:rsid w:val="00EA17FD"/>
    <w:rsid w:val="00EA347E"/>
    <w:rsid w:val="00EA4E02"/>
    <w:rsid w:val="00EA6276"/>
    <w:rsid w:val="00EA6533"/>
    <w:rsid w:val="00EB048C"/>
    <w:rsid w:val="00EB1599"/>
    <w:rsid w:val="00EB2C67"/>
    <w:rsid w:val="00EB367C"/>
    <w:rsid w:val="00EB43BA"/>
    <w:rsid w:val="00EB46D0"/>
    <w:rsid w:val="00EB4700"/>
    <w:rsid w:val="00EB4927"/>
    <w:rsid w:val="00EB572D"/>
    <w:rsid w:val="00EB7F72"/>
    <w:rsid w:val="00EC4357"/>
    <w:rsid w:val="00EC49A4"/>
    <w:rsid w:val="00EC4B0D"/>
    <w:rsid w:val="00EC4EF3"/>
    <w:rsid w:val="00EC7B5B"/>
    <w:rsid w:val="00ED0639"/>
    <w:rsid w:val="00ED16C8"/>
    <w:rsid w:val="00ED20C9"/>
    <w:rsid w:val="00ED21EE"/>
    <w:rsid w:val="00ED37E1"/>
    <w:rsid w:val="00ED3B31"/>
    <w:rsid w:val="00ED4EC4"/>
    <w:rsid w:val="00ED6C04"/>
    <w:rsid w:val="00EE04B4"/>
    <w:rsid w:val="00EE3912"/>
    <w:rsid w:val="00EE4040"/>
    <w:rsid w:val="00EE4094"/>
    <w:rsid w:val="00EE453D"/>
    <w:rsid w:val="00EE4D57"/>
    <w:rsid w:val="00EE53FF"/>
    <w:rsid w:val="00EE5E83"/>
    <w:rsid w:val="00EE6954"/>
    <w:rsid w:val="00EE7092"/>
    <w:rsid w:val="00EE7FB1"/>
    <w:rsid w:val="00EF2F5C"/>
    <w:rsid w:val="00EF52E2"/>
    <w:rsid w:val="00EF7590"/>
    <w:rsid w:val="00F013FE"/>
    <w:rsid w:val="00F02000"/>
    <w:rsid w:val="00F0231D"/>
    <w:rsid w:val="00F024CA"/>
    <w:rsid w:val="00F027AA"/>
    <w:rsid w:val="00F03117"/>
    <w:rsid w:val="00F03373"/>
    <w:rsid w:val="00F033AD"/>
    <w:rsid w:val="00F0354F"/>
    <w:rsid w:val="00F06C92"/>
    <w:rsid w:val="00F07B96"/>
    <w:rsid w:val="00F1013F"/>
    <w:rsid w:val="00F10368"/>
    <w:rsid w:val="00F10A99"/>
    <w:rsid w:val="00F138A2"/>
    <w:rsid w:val="00F14C80"/>
    <w:rsid w:val="00F154EB"/>
    <w:rsid w:val="00F1764E"/>
    <w:rsid w:val="00F20632"/>
    <w:rsid w:val="00F20E56"/>
    <w:rsid w:val="00F23738"/>
    <w:rsid w:val="00F30846"/>
    <w:rsid w:val="00F30CAB"/>
    <w:rsid w:val="00F32479"/>
    <w:rsid w:val="00F327DF"/>
    <w:rsid w:val="00F32E2C"/>
    <w:rsid w:val="00F33121"/>
    <w:rsid w:val="00F33769"/>
    <w:rsid w:val="00F33940"/>
    <w:rsid w:val="00F356D2"/>
    <w:rsid w:val="00F358DA"/>
    <w:rsid w:val="00F3608C"/>
    <w:rsid w:val="00F36736"/>
    <w:rsid w:val="00F36DEB"/>
    <w:rsid w:val="00F406FD"/>
    <w:rsid w:val="00F40D24"/>
    <w:rsid w:val="00F414D0"/>
    <w:rsid w:val="00F43059"/>
    <w:rsid w:val="00F4722B"/>
    <w:rsid w:val="00F47D9D"/>
    <w:rsid w:val="00F50558"/>
    <w:rsid w:val="00F50A8E"/>
    <w:rsid w:val="00F522A8"/>
    <w:rsid w:val="00F544D2"/>
    <w:rsid w:val="00F551C5"/>
    <w:rsid w:val="00F55847"/>
    <w:rsid w:val="00F57142"/>
    <w:rsid w:val="00F5756D"/>
    <w:rsid w:val="00F62D81"/>
    <w:rsid w:val="00F62F79"/>
    <w:rsid w:val="00F630A2"/>
    <w:rsid w:val="00F643B2"/>
    <w:rsid w:val="00F652AB"/>
    <w:rsid w:val="00F65942"/>
    <w:rsid w:val="00F65BE2"/>
    <w:rsid w:val="00F65E84"/>
    <w:rsid w:val="00F66BFD"/>
    <w:rsid w:val="00F67651"/>
    <w:rsid w:val="00F707F5"/>
    <w:rsid w:val="00F7225A"/>
    <w:rsid w:val="00F72AA0"/>
    <w:rsid w:val="00F7335F"/>
    <w:rsid w:val="00F761F7"/>
    <w:rsid w:val="00F76A40"/>
    <w:rsid w:val="00F77282"/>
    <w:rsid w:val="00F808C4"/>
    <w:rsid w:val="00F80C07"/>
    <w:rsid w:val="00F814BB"/>
    <w:rsid w:val="00F85BC0"/>
    <w:rsid w:val="00F86796"/>
    <w:rsid w:val="00F87264"/>
    <w:rsid w:val="00F908E9"/>
    <w:rsid w:val="00F96295"/>
    <w:rsid w:val="00F96B49"/>
    <w:rsid w:val="00F96D19"/>
    <w:rsid w:val="00FA56D6"/>
    <w:rsid w:val="00FA595F"/>
    <w:rsid w:val="00FA5F99"/>
    <w:rsid w:val="00FA6C24"/>
    <w:rsid w:val="00FB338F"/>
    <w:rsid w:val="00FB3BA5"/>
    <w:rsid w:val="00FB5298"/>
    <w:rsid w:val="00FB651A"/>
    <w:rsid w:val="00FC0CB3"/>
    <w:rsid w:val="00FC1C09"/>
    <w:rsid w:val="00FC2999"/>
    <w:rsid w:val="00FC5465"/>
    <w:rsid w:val="00FC697F"/>
    <w:rsid w:val="00FC765F"/>
    <w:rsid w:val="00FD1861"/>
    <w:rsid w:val="00FD3DCC"/>
    <w:rsid w:val="00FD3F5C"/>
    <w:rsid w:val="00FD49E8"/>
    <w:rsid w:val="00FD5375"/>
    <w:rsid w:val="00FD5B82"/>
    <w:rsid w:val="00FD61A3"/>
    <w:rsid w:val="00FD66C9"/>
    <w:rsid w:val="00FD7446"/>
    <w:rsid w:val="00FD79F6"/>
    <w:rsid w:val="00FE0371"/>
    <w:rsid w:val="00FE1258"/>
    <w:rsid w:val="00FE2025"/>
    <w:rsid w:val="00FE31D0"/>
    <w:rsid w:val="00FE34BD"/>
    <w:rsid w:val="00FE3581"/>
    <w:rsid w:val="00FE7A3F"/>
    <w:rsid w:val="00FF10F6"/>
    <w:rsid w:val="00FF4E87"/>
    <w:rsid w:val="00FF5C5C"/>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EB8A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473DB"/>
    <w:pPr>
      <w:keepNext/>
      <w:spacing w:before="240" w:after="60"/>
      <w:outlineLvl w:val="2"/>
    </w:pPr>
    <w:rPr>
      <w:rFonts w:ascii="Arial" w:hAnsi="Arial" w:cs="Arial"/>
      <w:b/>
      <w:bCs/>
      <w:szCs w:val="26"/>
    </w:rPr>
  </w:style>
  <w:style w:type="paragraph" w:styleId="Heading4">
    <w:name w:val="heading 4"/>
    <w:basedOn w:val="Normal"/>
    <w:next w:val="Normal"/>
    <w:link w:val="Heading4Char"/>
    <w:unhideWhenUsed/>
    <w:qFormat/>
    <w:rsid w:val="008473DB"/>
    <w:pPr>
      <w:keepNext/>
      <w:keepLines/>
      <w:spacing w:before="20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character" w:customStyle="1" w:styleId="apple-converted-space">
    <w:name w:val="apple-converted-space"/>
    <w:basedOn w:val="DefaultParagraphFont"/>
    <w:rsid w:val="00DF145B"/>
  </w:style>
  <w:style w:type="table" w:customStyle="1" w:styleId="TableGrid1">
    <w:name w:val="Table Grid1"/>
    <w:basedOn w:val="TableNormal"/>
    <w:next w:val="TableGrid"/>
    <w:rsid w:val="00CA150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8473DB"/>
    <w:rPr>
      <w:rFonts w:asciiTheme="majorHAnsi" w:eastAsiaTheme="majorEastAsia" w:hAnsiTheme="majorHAnsi" w:cstheme="majorBidi"/>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473DB"/>
    <w:pPr>
      <w:keepNext/>
      <w:spacing w:before="240" w:after="60"/>
      <w:outlineLvl w:val="2"/>
    </w:pPr>
    <w:rPr>
      <w:rFonts w:ascii="Arial" w:hAnsi="Arial" w:cs="Arial"/>
      <w:b/>
      <w:bCs/>
      <w:szCs w:val="26"/>
    </w:rPr>
  </w:style>
  <w:style w:type="paragraph" w:styleId="Heading4">
    <w:name w:val="heading 4"/>
    <w:basedOn w:val="Normal"/>
    <w:next w:val="Normal"/>
    <w:link w:val="Heading4Char"/>
    <w:unhideWhenUsed/>
    <w:qFormat/>
    <w:rsid w:val="008473DB"/>
    <w:pPr>
      <w:keepNext/>
      <w:keepLines/>
      <w:spacing w:before="20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character" w:customStyle="1" w:styleId="apple-converted-space">
    <w:name w:val="apple-converted-space"/>
    <w:basedOn w:val="DefaultParagraphFont"/>
    <w:rsid w:val="00DF145B"/>
  </w:style>
  <w:style w:type="table" w:customStyle="1" w:styleId="TableGrid1">
    <w:name w:val="Table Grid1"/>
    <w:basedOn w:val="TableNormal"/>
    <w:next w:val="TableGrid"/>
    <w:rsid w:val="00CA150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8473DB"/>
    <w:rPr>
      <w:rFonts w:asciiTheme="majorHAnsi" w:eastAsiaTheme="majorEastAsia" w:hAnsiTheme="majorHAnsi" w:cstheme="majorBidi"/>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135">
      <w:bodyDiv w:val="1"/>
      <w:marLeft w:val="0"/>
      <w:marRight w:val="0"/>
      <w:marTop w:val="0"/>
      <w:marBottom w:val="0"/>
      <w:divBdr>
        <w:top w:val="none" w:sz="0" w:space="0" w:color="auto"/>
        <w:left w:val="none" w:sz="0" w:space="0" w:color="auto"/>
        <w:bottom w:val="none" w:sz="0" w:space="0" w:color="auto"/>
        <w:right w:val="none" w:sz="0" w:space="0" w:color="auto"/>
      </w:divBdr>
    </w:div>
    <w:div w:id="23950115">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90707435">
      <w:bodyDiv w:val="1"/>
      <w:marLeft w:val="0"/>
      <w:marRight w:val="0"/>
      <w:marTop w:val="0"/>
      <w:marBottom w:val="0"/>
      <w:divBdr>
        <w:top w:val="none" w:sz="0" w:space="0" w:color="auto"/>
        <w:left w:val="none" w:sz="0" w:space="0" w:color="auto"/>
        <w:bottom w:val="none" w:sz="0" w:space="0" w:color="auto"/>
        <w:right w:val="none" w:sz="0" w:space="0" w:color="auto"/>
      </w:divBdr>
    </w:div>
    <w:div w:id="97917201">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191068322">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2543135">
      <w:bodyDiv w:val="1"/>
      <w:marLeft w:val="0"/>
      <w:marRight w:val="0"/>
      <w:marTop w:val="0"/>
      <w:marBottom w:val="0"/>
      <w:divBdr>
        <w:top w:val="none" w:sz="0" w:space="0" w:color="auto"/>
        <w:left w:val="none" w:sz="0" w:space="0" w:color="auto"/>
        <w:bottom w:val="none" w:sz="0" w:space="0" w:color="auto"/>
        <w:right w:val="none" w:sz="0" w:space="0" w:color="auto"/>
      </w:divBdr>
    </w:div>
    <w:div w:id="28667042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7350070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99561381">
      <w:bodyDiv w:val="1"/>
      <w:marLeft w:val="0"/>
      <w:marRight w:val="0"/>
      <w:marTop w:val="0"/>
      <w:marBottom w:val="0"/>
      <w:divBdr>
        <w:top w:val="none" w:sz="0" w:space="0" w:color="auto"/>
        <w:left w:val="none" w:sz="0" w:space="0" w:color="auto"/>
        <w:bottom w:val="none" w:sz="0" w:space="0" w:color="auto"/>
        <w:right w:val="none" w:sz="0" w:space="0" w:color="auto"/>
      </w:divBdr>
    </w:div>
    <w:div w:id="994575892">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9307149">
      <w:bodyDiv w:val="1"/>
      <w:marLeft w:val="0"/>
      <w:marRight w:val="0"/>
      <w:marTop w:val="0"/>
      <w:marBottom w:val="0"/>
      <w:divBdr>
        <w:top w:val="none" w:sz="0" w:space="0" w:color="auto"/>
        <w:left w:val="none" w:sz="0" w:space="0" w:color="auto"/>
        <w:bottom w:val="none" w:sz="0" w:space="0" w:color="auto"/>
        <w:right w:val="none" w:sz="0" w:space="0" w:color="auto"/>
      </w:divBdr>
    </w:div>
    <w:div w:id="1363631282">
      <w:bodyDiv w:val="1"/>
      <w:marLeft w:val="0"/>
      <w:marRight w:val="0"/>
      <w:marTop w:val="0"/>
      <w:marBottom w:val="0"/>
      <w:divBdr>
        <w:top w:val="none" w:sz="0" w:space="0" w:color="auto"/>
        <w:left w:val="none" w:sz="0" w:space="0" w:color="auto"/>
        <w:bottom w:val="none" w:sz="0" w:space="0" w:color="auto"/>
        <w:right w:val="none" w:sz="0" w:space="0" w:color="auto"/>
      </w:divBdr>
    </w:div>
    <w:div w:id="1425028158">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97777558">
      <w:bodyDiv w:val="1"/>
      <w:marLeft w:val="0"/>
      <w:marRight w:val="0"/>
      <w:marTop w:val="0"/>
      <w:marBottom w:val="0"/>
      <w:divBdr>
        <w:top w:val="none" w:sz="0" w:space="0" w:color="auto"/>
        <w:left w:val="none" w:sz="0" w:space="0" w:color="auto"/>
        <w:bottom w:val="none" w:sz="0" w:space="0" w:color="auto"/>
        <w:right w:val="none" w:sz="0" w:space="0" w:color="auto"/>
      </w:divBdr>
    </w:div>
    <w:div w:id="1747418591">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15291891">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19512103">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63262219">
      <w:bodyDiv w:val="1"/>
      <w:marLeft w:val="0"/>
      <w:marRight w:val="0"/>
      <w:marTop w:val="0"/>
      <w:marBottom w:val="0"/>
      <w:divBdr>
        <w:top w:val="none" w:sz="0" w:space="0" w:color="auto"/>
        <w:left w:val="none" w:sz="0" w:space="0" w:color="auto"/>
        <w:bottom w:val="none" w:sz="0" w:space="0" w:color="auto"/>
        <w:right w:val="none" w:sz="0" w:space="0" w:color="auto"/>
      </w:divBdr>
    </w:div>
    <w:div w:id="2001226619">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32875772">
      <w:bodyDiv w:val="1"/>
      <w:marLeft w:val="0"/>
      <w:marRight w:val="0"/>
      <w:marTop w:val="0"/>
      <w:marBottom w:val="0"/>
      <w:divBdr>
        <w:top w:val="none" w:sz="0" w:space="0" w:color="auto"/>
        <w:left w:val="none" w:sz="0" w:space="0" w:color="auto"/>
        <w:bottom w:val="none" w:sz="0" w:space="0" w:color="auto"/>
        <w:right w:val="none" w:sz="0" w:space="0" w:color="auto"/>
      </w:divBdr>
    </w:div>
    <w:div w:id="2080011593">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6094839">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deeresour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8" Type="http://schemas.openxmlformats.org/officeDocument/2006/relationships/hyperlink" Target="http://www.energy.ca.gov/title24/2013standards/prerulemaking/documents/2011-04-04_workshop/review/Nonres_Indoor_Lighting_Controls.pdf" TargetMode="External"/><Relationship Id="rId13" Type="http://schemas.openxmlformats.org/officeDocument/2006/relationships/hyperlink" Target="http://www.rsmeans.com/" TargetMode="External"/><Relationship Id="rId3" Type="http://schemas.openxmlformats.org/officeDocument/2006/relationships/hyperlink" Target="http://www.etcc-ca.com/sites/default/files/reports/ET12PGE1481%20Retail%20LED%20updated%2003132014.pdf" TargetMode="External"/><Relationship Id="rId7" Type="http://schemas.openxmlformats.org/officeDocument/2006/relationships/hyperlink" Target="http://www.gpo.gov/fdsys/pkg/FR-2011-11-14/pdf/2011-28451.pdf" TargetMode="External"/><Relationship Id="rId12" Type="http://schemas.openxmlformats.org/officeDocument/2006/relationships/hyperlink" Target="http://www.gpo.gov/fdsys/pkg/FR-2014-06-03/pdf/2014-12127.pdf" TargetMode="External"/><Relationship Id="rId2" Type="http://schemas.openxmlformats.org/officeDocument/2006/relationships/hyperlink" Target="http://www.deeresources.com" TargetMode="External"/><Relationship Id="rId1" Type="http://schemas.openxmlformats.org/officeDocument/2006/relationships/hyperlink" Target="https://urldefense.proofpoint.com/v2/url?u=http-3A__apps1.eere.energy.gov_buildings_publications_pdfs_ssl_2010-2Dlmc-2Dfinal-2Djan-2D2012.pdf&amp;d=BQMFAg&amp;c=hLS_V_MyRCwXDjNCFvC1XhVzdhW2dOtrP9xQj43rEYI&amp;r=TlrXy5TrK8nTfd5c4pv-ow&amp;m=A_sWUgFERFjw3F_leslWM3ZqPLimv_rw4h-6rQsY4js&amp;s=SsFH0JL36jCn7uudgFNPVrNA4dqEg5cU5zA__Kn99mU&amp;e=" TargetMode="External"/><Relationship Id="rId6" Type="http://schemas.openxmlformats.org/officeDocument/2006/relationships/hyperlink" Target="http://www1.eere.energy.gov/buildings/appliance_standards/product.aspx/productid/70" TargetMode="External"/><Relationship Id="rId11" Type="http://schemas.openxmlformats.org/officeDocument/2006/relationships/image" Target="media/image1.png"/><Relationship Id="rId5" Type="http://schemas.openxmlformats.org/officeDocument/2006/relationships/hyperlink" Target="http://www.gpo.gov/fdsys/pkg/CFR-2012-title10-vol3/pdf/CFR-2012-title10-vol3-sec430-32.pdf" TargetMode="External"/><Relationship Id="rId10" Type="http://schemas.openxmlformats.org/officeDocument/2006/relationships/hyperlink" Target="http://www.energy.ca.gov/2012publications/CEC-400-2012-004/CEC-400-2012-004-CMF-REV2.pdf" TargetMode="External"/><Relationship Id="rId4" Type="http://schemas.openxmlformats.org/officeDocument/2006/relationships/hyperlink" Target="http://www.etcc-ca.com/sites/default/files/reports/ET11PGE3251%20LED%20Office%20Lighting%20With%20ALCS.pdf" TargetMode="External"/><Relationship Id="rId9" Type="http://schemas.openxmlformats.org/officeDocument/2006/relationships/hyperlink" Target="http://www.cooperindustries.com/content/dam/public/lighting/products/documents/metalux/spec_sheets/090386_2P2GAX332_3L_T8_18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B5DDABF9-7B19-4F5A-950A-378B8B6A9214}">
  <ds:schemaRefs>
    <ds:schemaRef ds:uri="http://schemas.microsoft.com/sharepoint/v3/contenttype/forms"/>
  </ds:schemaRefs>
</ds:datastoreItem>
</file>

<file path=customXml/itemProps2.xml><?xml version="1.0" encoding="utf-8"?>
<ds:datastoreItem xmlns:ds="http://schemas.openxmlformats.org/officeDocument/2006/customXml" ds:itemID="{A577B248-CCF4-4603-A3E8-9B0628205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2AB853-F709-468B-921B-6268EAFDD125}">
  <ds:schemaRef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purl.org/dc/dcmitype/"/>
    <ds:schemaRef ds:uri="http://purl.org/dc/elements/1.1/"/>
  </ds:schemaRefs>
</ds:datastoreItem>
</file>

<file path=customXml/itemProps4.xml><?xml version="1.0" encoding="utf-8"?>
<ds:datastoreItem xmlns:ds="http://schemas.openxmlformats.org/officeDocument/2006/customXml" ds:itemID="{E8574E98-3251-4627-BF78-077C00019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675</TotalTime>
  <Pages>19</Pages>
  <Words>6188</Words>
  <Characters>38192</Characters>
  <Application>Microsoft Office Word</Application>
  <DocSecurity>0</DocSecurity>
  <Lines>318</Lines>
  <Paragraphs>88</Paragraphs>
  <ScaleCrop>false</ScaleCrop>
  <HeadingPairs>
    <vt:vector size="2" baseType="variant">
      <vt:variant>
        <vt:lpstr>Title</vt:lpstr>
      </vt:variant>
      <vt:variant>
        <vt:i4>1</vt:i4>
      </vt:variant>
    </vt:vector>
  </HeadingPairs>
  <TitlesOfParts>
    <vt:vector size="1" baseType="lpstr">
      <vt:lpstr>PGECOLTGxxx</vt:lpstr>
    </vt:vector>
  </TitlesOfParts>
  <Company>PG&amp;E</Company>
  <LinksUpToDate>false</LinksUpToDate>
  <CharactersWithSpaces>44292</CharactersWithSpaces>
  <SharedDoc>false</SharedDoc>
  <HLinks>
    <vt:vector size="210" baseType="variant">
      <vt:variant>
        <vt:i4>1114161</vt:i4>
      </vt:variant>
      <vt:variant>
        <vt:i4>209</vt:i4>
      </vt:variant>
      <vt:variant>
        <vt:i4>0</vt:i4>
      </vt:variant>
      <vt:variant>
        <vt:i4>5</vt:i4>
      </vt:variant>
      <vt:variant>
        <vt:lpwstr/>
      </vt:variant>
      <vt:variant>
        <vt:lpwstr>_Toc349833892</vt:lpwstr>
      </vt:variant>
      <vt:variant>
        <vt:i4>1114161</vt:i4>
      </vt:variant>
      <vt:variant>
        <vt:i4>203</vt:i4>
      </vt:variant>
      <vt:variant>
        <vt:i4>0</vt:i4>
      </vt:variant>
      <vt:variant>
        <vt:i4>5</vt:i4>
      </vt:variant>
      <vt:variant>
        <vt:lpwstr/>
      </vt:variant>
      <vt:variant>
        <vt:lpwstr>_Toc349833891</vt:lpwstr>
      </vt:variant>
      <vt:variant>
        <vt:i4>1114161</vt:i4>
      </vt:variant>
      <vt:variant>
        <vt:i4>197</vt:i4>
      </vt:variant>
      <vt:variant>
        <vt:i4>0</vt:i4>
      </vt:variant>
      <vt:variant>
        <vt:i4>5</vt:i4>
      </vt:variant>
      <vt:variant>
        <vt:lpwstr/>
      </vt:variant>
      <vt:variant>
        <vt:lpwstr>_Toc349833890</vt:lpwstr>
      </vt:variant>
      <vt:variant>
        <vt:i4>1048625</vt:i4>
      </vt:variant>
      <vt:variant>
        <vt:i4>191</vt:i4>
      </vt:variant>
      <vt:variant>
        <vt:i4>0</vt:i4>
      </vt:variant>
      <vt:variant>
        <vt:i4>5</vt:i4>
      </vt:variant>
      <vt:variant>
        <vt:lpwstr/>
      </vt:variant>
      <vt:variant>
        <vt:lpwstr>_Toc349833889</vt:lpwstr>
      </vt:variant>
      <vt:variant>
        <vt:i4>1048625</vt:i4>
      </vt:variant>
      <vt:variant>
        <vt:i4>185</vt:i4>
      </vt:variant>
      <vt:variant>
        <vt:i4>0</vt:i4>
      </vt:variant>
      <vt:variant>
        <vt:i4>5</vt:i4>
      </vt:variant>
      <vt:variant>
        <vt:lpwstr/>
      </vt:variant>
      <vt:variant>
        <vt:lpwstr>_Toc349833888</vt:lpwstr>
      </vt:variant>
      <vt:variant>
        <vt:i4>1048625</vt:i4>
      </vt:variant>
      <vt:variant>
        <vt:i4>179</vt:i4>
      </vt:variant>
      <vt:variant>
        <vt:i4>0</vt:i4>
      </vt:variant>
      <vt:variant>
        <vt:i4>5</vt:i4>
      </vt:variant>
      <vt:variant>
        <vt:lpwstr/>
      </vt:variant>
      <vt:variant>
        <vt:lpwstr>_Toc349833887</vt:lpwstr>
      </vt:variant>
      <vt:variant>
        <vt:i4>1048625</vt:i4>
      </vt:variant>
      <vt:variant>
        <vt:i4>173</vt:i4>
      </vt:variant>
      <vt:variant>
        <vt:i4>0</vt:i4>
      </vt:variant>
      <vt:variant>
        <vt:i4>5</vt:i4>
      </vt:variant>
      <vt:variant>
        <vt:lpwstr/>
      </vt:variant>
      <vt:variant>
        <vt:lpwstr>_Toc349833886</vt:lpwstr>
      </vt:variant>
      <vt:variant>
        <vt:i4>1048625</vt:i4>
      </vt:variant>
      <vt:variant>
        <vt:i4>167</vt:i4>
      </vt:variant>
      <vt:variant>
        <vt:i4>0</vt:i4>
      </vt:variant>
      <vt:variant>
        <vt:i4>5</vt:i4>
      </vt:variant>
      <vt:variant>
        <vt:lpwstr/>
      </vt:variant>
      <vt:variant>
        <vt:lpwstr>_Toc349833885</vt:lpwstr>
      </vt:variant>
      <vt:variant>
        <vt:i4>1048625</vt:i4>
      </vt:variant>
      <vt:variant>
        <vt:i4>161</vt:i4>
      </vt:variant>
      <vt:variant>
        <vt:i4>0</vt:i4>
      </vt:variant>
      <vt:variant>
        <vt:i4>5</vt:i4>
      </vt:variant>
      <vt:variant>
        <vt:lpwstr/>
      </vt:variant>
      <vt:variant>
        <vt:lpwstr>_Toc349833884</vt:lpwstr>
      </vt:variant>
      <vt:variant>
        <vt:i4>1048625</vt:i4>
      </vt:variant>
      <vt:variant>
        <vt:i4>155</vt:i4>
      </vt:variant>
      <vt:variant>
        <vt:i4>0</vt:i4>
      </vt:variant>
      <vt:variant>
        <vt:i4>5</vt:i4>
      </vt:variant>
      <vt:variant>
        <vt:lpwstr/>
      </vt:variant>
      <vt:variant>
        <vt:lpwstr>_Toc349833883</vt:lpwstr>
      </vt:variant>
      <vt:variant>
        <vt:i4>1048632</vt:i4>
      </vt:variant>
      <vt:variant>
        <vt:i4>146</vt:i4>
      </vt:variant>
      <vt:variant>
        <vt:i4>0</vt:i4>
      </vt:variant>
      <vt:variant>
        <vt:i4>5</vt:i4>
      </vt:variant>
      <vt:variant>
        <vt:lpwstr/>
      </vt:variant>
      <vt:variant>
        <vt:lpwstr>_Toc349721053</vt:lpwstr>
      </vt:variant>
      <vt:variant>
        <vt:i4>1048632</vt:i4>
      </vt:variant>
      <vt:variant>
        <vt:i4>140</vt:i4>
      </vt:variant>
      <vt:variant>
        <vt:i4>0</vt:i4>
      </vt:variant>
      <vt:variant>
        <vt:i4>5</vt:i4>
      </vt:variant>
      <vt:variant>
        <vt:lpwstr/>
      </vt:variant>
      <vt:variant>
        <vt:lpwstr>_Toc349721052</vt:lpwstr>
      </vt:variant>
      <vt:variant>
        <vt:i4>1048632</vt:i4>
      </vt:variant>
      <vt:variant>
        <vt:i4>134</vt:i4>
      </vt:variant>
      <vt:variant>
        <vt:i4>0</vt:i4>
      </vt:variant>
      <vt:variant>
        <vt:i4>5</vt:i4>
      </vt:variant>
      <vt:variant>
        <vt:lpwstr/>
      </vt:variant>
      <vt:variant>
        <vt:lpwstr>_Toc349721051</vt:lpwstr>
      </vt:variant>
      <vt:variant>
        <vt:i4>1048632</vt:i4>
      </vt:variant>
      <vt:variant>
        <vt:i4>128</vt:i4>
      </vt:variant>
      <vt:variant>
        <vt:i4>0</vt:i4>
      </vt:variant>
      <vt:variant>
        <vt:i4>5</vt:i4>
      </vt:variant>
      <vt:variant>
        <vt:lpwstr/>
      </vt:variant>
      <vt:variant>
        <vt:lpwstr>_Toc349721050</vt:lpwstr>
      </vt:variant>
      <vt:variant>
        <vt:i4>1114168</vt:i4>
      </vt:variant>
      <vt:variant>
        <vt:i4>122</vt:i4>
      </vt:variant>
      <vt:variant>
        <vt:i4>0</vt:i4>
      </vt:variant>
      <vt:variant>
        <vt:i4>5</vt:i4>
      </vt:variant>
      <vt:variant>
        <vt:lpwstr/>
      </vt:variant>
      <vt:variant>
        <vt:lpwstr>_Toc349721049</vt:lpwstr>
      </vt:variant>
      <vt:variant>
        <vt:i4>1114168</vt:i4>
      </vt:variant>
      <vt:variant>
        <vt:i4>116</vt:i4>
      </vt:variant>
      <vt:variant>
        <vt:i4>0</vt:i4>
      </vt:variant>
      <vt:variant>
        <vt:i4>5</vt:i4>
      </vt:variant>
      <vt:variant>
        <vt:lpwstr/>
      </vt:variant>
      <vt:variant>
        <vt:lpwstr>_Toc349721048</vt:lpwstr>
      </vt:variant>
      <vt:variant>
        <vt:i4>1114168</vt:i4>
      </vt:variant>
      <vt:variant>
        <vt:i4>110</vt:i4>
      </vt:variant>
      <vt:variant>
        <vt:i4>0</vt:i4>
      </vt:variant>
      <vt:variant>
        <vt:i4>5</vt:i4>
      </vt:variant>
      <vt:variant>
        <vt:lpwstr/>
      </vt:variant>
      <vt:variant>
        <vt:lpwstr>_Toc349721047</vt:lpwstr>
      </vt:variant>
      <vt:variant>
        <vt:i4>1114168</vt:i4>
      </vt:variant>
      <vt:variant>
        <vt:i4>104</vt:i4>
      </vt:variant>
      <vt:variant>
        <vt:i4>0</vt:i4>
      </vt:variant>
      <vt:variant>
        <vt:i4>5</vt:i4>
      </vt:variant>
      <vt:variant>
        <vt:lpwstr/>
      </vt:variant>
      <vt:variant>
        <vt:lpwstr>_Toc349721046</vt:lpwstr>
      </vt:variant>
      <vt:variant>
        <vt:i4>1114168</vt:i4>
      </vt:variant>
      <vt:variant>
        <vt:i4>98</vt:i4>
      </vt:variant>
      <vt:variant>
        <vt:i4>0</vt:i4>
      </vt:variant>
      <vt:variant>
        <vt:i4>5</vt:i4>
      </vt:variant>
      <vt:variant>
        <vt:lpwstr/>
      </vt:variant>
      <vt:variant>
        <vt:lpwstr>_Toc349721045</vt:lpwstr>
      </vt:variant>
      <vt:variant>
        <vt:i4>1114168</vt:i4>
      </vt:variant>
      <vt:variant>
        <vt:i4>92</vt:i4>
      </vt:variant>
      <vt:variant>
        <vt:i4>0</vt:i4>
      </vt:variant>
      <vt:variant>
        <vt:i4>5</vt:i4>
      </vt:variant>
      <vt:variant>
        <vt:lpwstr/>
      </vt:variant>
      <vt:variant>
        <vt:lpwstr>_Toc349721044</vt:lpwstr>
      </vt:variant>
      <vt:variant>
        <vt:i4>1114168</vt:i4>
      </vt:variant>
      <vt:variant>
        <vt:i4>86</vt:i4>
      </vt:variant>
      <vt:variant>
        <vt:i4>0</vt:i4>
      </vt:variant>
      <vt:variant>
        <vt:i4>5</vt:i4>
      </vt:variant>
      <vt:variant>
        <vt:lpwstr/>
      </vt:variant>
      <vt:variant>
        <vt:lpwstr>_Toc349721043</vt:lpwstr>
      </vt:variant>
      <vt:variant>
        <vt:i4>1114168</vt:i4>
      </vt:variant>
      <vt:variant>
        <vt:i4>80</vt:i4>
      </vt:variant>
      <vt:variant>
        <vt:i4>0</vt:i4>
      </vt:variant>
      <vt:variant>
        <vt:i4>5</vt:i4>
      </vt:variant>
      <vt:variant>
        <vt:lpwstr/>
      </vt:variant>
      <vt:variant>
        <vt:lpwstr>_Toc349721042</vt:lpwstr>
      </vt:variant>
      <vt:variant>
        <vt:i4>1114168</vt:i4>
      </vt:variant>
      <vt:variant>
        <vt:i4>74</vt:i4>
      </vt:variant>
      <vt:variant>
        <vt:i4>0</vt:i4>
      </vt:variant>
      <vt:variant>
        <vt:i4>5</vt:i4>
      </vt:variant>
      <vt:variant>
        <vt:lpwstr/>
      </vt:variant>
      <vt:variant>
        <vt:lpwstr>_Toc349721041</vt:lpwstr>
      </vt:variant>
      <vt:variant>
        <vt:i4>1114168</vt:i4>
      </vt:variant>
      <vt:variant>
        <vt:i4>68</vt:i4>
      </vt:variant>
      <vt:variant>
        <vt:i4>0</vt:i4>
      </vt:variant>
      <vt:variant>
        <vt:i4>5</vt:i4>
      </vt:variant>
      <vt:variant>
        <vt:lpwstr/>
      </vt:variant>
      <vt:variant>
        <vt:lpwstr>_Toc349721040</vt:lpwstr>
      </vt:variant>
      <vt:variant>
        <vt:i4>1441848</vt:i4>
      </vt:variant>
      <vt:variant>
        <vt:i4>62</vt:i4>
      </vt:variant>
      <vt:variant>
        <vt:i4>0</vt:i4>
      </vt:variant>
      <vt:variant>
        <vt:i4>5</vt:i4>
      </vt:variant>
      <vt:variant>
        <vt:lpwstr/>
      </vt:variant>
      <vt:variant>
        <vt:lpwstr>_Toc349721039</vt:lpwstr>
      </vt:variant>
      <vt:variant>
        <vt:i4>1441848</vt:i4>
      </vt:variant>
      <vt:variant>
        <vt:i4>56</vt:i4>
      </vt:variant>
      <vt:variant>
        <vt:i4>0</vt:i4>
      </vt:variant>
      <vt:variant>
        <vt:i4>5</vt:i4>
      </vt:variant>
      <vt:variant>
        <vt:lpwstr/>
      </vt:variant>
      <vt:variant>
        <vt:lpwstr>_Toc349721038</vt:lpwstr>
      </vt:variant>
      <vt:variant>
        <vt:i4>1441848</vt:i4>
      </vt:variant>
      <vt:variant>
        <vt:i4>50</vt:i4>
      </vt:variant>
      <vt:variant>
        <vt:i4>0</vt:i4>
      </vt:variant>
      <vt:variant>
        <vt:i4>5</vt:i4>
      </vt:variant>
      <vt:variant>
        <vt:lpwstr/>
      </vt:variant>
      <vt:variant>
        <vt:lpwstr>_Toc349721037</vt:lpwstr>
      </vt:variant>
      <vt:variant>
        <vt:i4>1441848</vt:i4>
      </vt:variant>
      <vt:variant>
        <vt:i4>44</vt:i4>
      </vt:variant>
      <vt:variant>
        <vt:i4>0</vt:i4>
      </vt:variant>
      <vt:variant>
        <vt:i4>5</vt:i4>
      </vt:variant>
      <vt:variant>
        <vt:lpwstr/>
      </vt:variant>
      <vt:variant>
        <vt:lpwstr>_Toc349721036</vt:lpwstr>
      </vt:variant>
      <vt:variant>
        <vt:i4>1441848</vt:i4>
      </vt:variant>
      <vt:variant>
        <vt:i4>38</vt:i4>
      </vt:variant>
      <vt:variant>
        <vt:i4>0</vt:i4>
      </vt:variant>
      <vt:variant>
        <vt:i4>5</vt:i4>
      </vt:variant>
      <vt:variant>
        <vt:lpwstr/>
      </vt:variant>
      <vt:variant>
        <vt:lpwstr>_Toc349721035</vt:lpwstr>
      </vt:variant>
      <vt:variant>
        <vt:i4>1441848</vt:i4>
      </vt:variant>
      <vt:variant>
        <vt:i4>32</vt:i4>
      </vt:variant>
      <vt:variant>
        <vt:i4>0</vt:i4>
      </vt:variant>
      <vt:variant>
        <vt:i4>5</vt:i4>
      </vt:variant>
      <vt:variant>
        <vt:lpwstr/>
      </vt:variant>
      <vt:variant>
        <vt:lpwstr>_Toc349721034</vt:lpwstr>
      </vt:variant>
      <vt:variant>
        <vt:i4>1441848</vt:i4>
      </vt:variant>
      <vt:variant>
        <vt:i4>26</vt:i4>
      </vt:variant>
      <vt:variant>
        <vt:i4>0</vt:i4>
      </vt:variant>
      <vt:variant>
        <vt:i4>5</vt:i4>
      </vt:variant>
      <vt:variant>
        <vt:lpwstr/>
      </vt:variant>
      <vt:variant>
        <vt:lpwstr>_Toc349721033</vt:lpwstr>
      </vt:variant>
      <vt:variant>
        <vt:i4>1441848</vt:i4>
      </vt:variant>
      <vt:variant>
        <vt:i4>20</vt:i4>
      </vt:variant>
      <vt:variant>
        <vt:i4>0</vt:i4>
      </vt:variant>
      <vt:variant>
        <vt:i4>5</vt:i4>
      </vt:variant>
      <vt:variant>
        <vt:lpwstr/>
      </vt:variant>
      <vt:variant>
        <vt:lpwstr>_Toc349721032</vt:lpwstr>
      </vt:variant>
      <vt:variant>
        <vt:i4>1441848</vt:i4>
      </vt:variant>
      <vt:variant>
        <vt:i4>14</vt:i4>
      </vt:variant>
      <vt:variant>
        <vt:i4>0</vt:i4>
      </vt:variant>
      <vt:variant>
        <vt:i4>5</vt:i4>
      </vt:variant>
      <vt:variant>
        <vt:lpwstr/>
      </vt:variant>
      <vt:variant>
        <vt:lpwstr>_Toc349721031</vt:lpwstr>
      </vt:variant>
      <vt:variant>
        <vt:i4>1441848</vt:i4>
      </vt:variant>
      <vt:variant>
        <vt:i4>8</vt:i4>
      </vt:variant>
      <vt:variant>
        <vt:i4>0</vt:i4>
      </vt:variant>
      <vt:variant>
        <vt:i4>5</vt:i4>
      </vt:variant>
      <vt:variant>
        <vt:lpwstr/>
      </vt:variant>
      <vt:variant>
        <vt:lpwstr>_Toc349721030</vt:lpwstr>
      </vt:variant>
      <vt:variant>
        <vt:i4>1507384</vt:i4>
      </vt:variant>
      <vt:variant>
        <vt:i4>2</vt:i4>
      </vt:variant>
      <vt:variant>
        <vt:i4>0</vt:i4>
      </vt:variant>
      <vt:variant>
        <vt:i4>5</vt:i4>
      </vt:variant>
      <vt:variant>
        <vt:lpwstr/>
      </vt:variant>
      <vt:variant>
        <vt:lpwstr>_Toc349721029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PGECOLTGxxx</dc:title>
  <dc:creator>Steven Blanc;Greg Barker</dc:creator>
  <cp:lastModifiedBy>Damodaran, Mini</cp:lastModifiedBy>
  <cp:revision>100</cp:revision>
  <cp:lastPrinted>2016-12-06T22:47:00Z</cp:lastPrinted>
  <dcterms:created xsi:type="dcterms:W3CDTF">2016-06-03T16:24:00Z</dcterms:created>
  <dcterms:modified xsi:type="dcterms:W3CDTF">2016-12-06T22:47:00Z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