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B5E" w:rsidRDefault="003129E8" w:rsidP="00DD6B5E">
      <w:pPr>
        <w:jc w:val="right"/>
        <w:rPr>
          <w:rFonts w:ascii="Arial" w:hAnsi="Arial" w:cs="Arial"/>
          <w:b/>
          <w:color w:val="FF0000"/>
          <w:sz w:val="48"/>
          <w:szCs w:val="48"/>
        </w:rPr>
      </w:pPr>
      <w:bookmarkStart w:id="0" w:name="_Toc153189646"/>
      <w:r w:rsidRPr="002E0043">
        <w:rPr>
          <w:rFonts w:ascii="Arial" w:hAnsi="Arial" w:cs="Arial"/>
          <w:b/>
          <w:sz w:val="48"/>
          <w:szCs w:val="48"/>
        </w:rPr>
        <w:t xml:space="preserve">Work Paper </w:t>
      </w:r>
      <w:bookmarkEnd w:id="0"/>
      <w:r w:rsidR="00480C7E" w:rsidRPr="004203DD">
        <w:rPr>
          <w:rFonts w:ascii="Arial" w:hAnsi="Arial" w:cs="Arial"/>
          <w:b/>
          <w:sz w:val="48"/>
          <w:szCs w:val="48"/>
        </w:rPr>
        <w:t>PGE</w:t>
      </w:r>
      <w:r w:rsidR="003F2817" w:rsidRPr="004203DD">
        <w:rPr>
          <w:rFonts w:ascii="Arial" w:hAnsi="Arial" w:cs="Arial"/>
          <w:b/>
          <w:sz w:val="48"/>
          <w:szCs w:val="48"/>
        </w:rPr>
        <w:t>COLTG</w:t>
      </w:r>
      <w:r w:rsidR="00F522A8">
        <w:rPr>
          <w:rFonts w:ascii="Arial" w:hAnsi="Arial" w:cs="Arial"/>
          <w:b/>
          <w:sz w:val="48"/>
          <w:szCs w:val="48"/>
        </w:rPr>
        <w:t>178</w:t>
      </w:r>
    </w:p>
    <w:p w:rsidR="00A167EC" w:rsidRPr="004464AA" w:rsidRDefault="00F10A99" w:rsidP="00A167EC">
      <w:pPr>
        <w:jc w:val="right"/>
        <w:rPr>
          <w:rFonts w:ascii="Arial" w:hAnsi="Arial" w:cs="Arial"/>
          <w:b/>
          <w:sz w:val="48"/>
          <w:szCs w:val="48"/>
        </w:rPr>
      </w:pPr>
      <w:r>
        <w:rPr>
          <w:rFonts w:ascii="Arial" w:hAnsi="Arial" w:cs="Arial"/>
          <w:b/>
          <w:color w:val="FF0000"/>
          <w:sz w:val="48"/>
          <w:szCs w:val="48"/>
        </w:rPr>
        <w:t xml:space="preserve"> </w:t>
      </w:r>
      <w:r w:rsidR="004464AA" w:rsidRPr="004464AA">
        <w:rPr>
          <w:rFonts w:ascii="Arial" w:hAnsi="Arial" w:cs="Arial"/>
          <w:b/>
          <w:sz w:val="48"/>
          <w:szCs w:val="48"/>
        </w:rPr>
        <w:t xml:space="preserve">LED </w:t>
      </w:r>
      <w:r w:rsidR="006953C6">
        <w:rPr>
          <w:rFonts w:ascii="Arial" w:hAnsi="Arial" w:cs="Arial"/>
          <w:b/>
          <w:sz w:val="48"/>
          <w:szCs w:val="48"/>
        </w:rPr>
        <w:t>High-Bay and Low-Bay Fixtures</w:t>
      </w:r>
    </w:p>
    <w:p w:rsidR="003129E8" w:rsidRPr="004464AA" w:rsidRDefault="003129E8" w:rsidP="002E0043">
      <w:pPr>
        <w:jc w:val="right"/>
        <w:rPr>
          <w:rFonts w:ascii="Arial" w:hAnsi="Arial" w:cs="Arial"/>
          <w:b/>
          <w:sz w:val="48"/>
          <w:szCs w:val="48"/>
        </w:rPr>
      </w:pPr>
      <w:bookmarkStart w:id="1" w:name="_Toc153189647"/>
      <w:r w:rsidRPr="004464AA">
        <w:rPr>
          <w:rFonts w:ascii="Arial" w:hAnsi="Arial" w:cs="Arial"/>
          <w:b/>
          <w:sz w:val="48"/>
          <w:szCs w:val="48"/>
        </w:rPr>
        <w:t xml:space="preserve">Revision </w:t>
      </w:r>
      <w:bookmarkEnd w:id="1"/>
      <w:r w:rsidR="00081DFB">
        <w:rPr>
          <w:rFonts w:ascii="Arial" w:hAnsi="Arial" w:cs="Arial"/>
          <w:b/>
          <w:sz w:val="48"/>
          <w:szCs w:val="48"/>
        </w:rPr>
        <w:t>2</w:t>
      </w:r>
    </w:p>
    <w:p w:rsidR="003129E8" w:rsidRDefault="00B67AB6" w:rsidP="00B67AB6">
      <w:pPr>
        <w:tabs>
          <w:tab w:val="left" w:pos="5835"/>
        </w:tabs>
      </w:pPr>
      <w:r>
        <w:tab/>
      </w:r>
    </w:p>
    <w:p w:rsidR="00D7047A" w:rsidRPr="002E0043" w:rsidRDefault="00DD6B5E" w:rsidP="00D7047A">
      <w:pPr>
        <w:pBdr>
          <w:bottom w:val="single" w:sz="4" w:space="1" w:color="auto"/>
        </w:pBdr>
        <w:rPr>
          <w:rFonts w:ascii="Arial" w:hAnsi="Arial" w:cs="Arial"/>
          <w:b/>
          <w:sz w:val="36"/>
          <w:szCs w:val="36"/>
        </w:rPr>
      </w:pPr>
      <w:r>
        <w:rPr>
          <w:rFonts w:ascii="Arial" w:hAnsi="Arial" w:cs="Arial"/>
          <w:b/>
          <w:sz w:val="36"/>
          <w:szCs w:val="36"/>
        </w:rPr>
        <w:t>Pacific Gas &amp; Electric</w:t>
      </w:r>
      <w:r w:rsidR="00DF21B8">
        <w:rPr>
          <w:rFonts w:ascii="Arial" w:hAnsi="Arial" w:cs="Arial"/>
          <w:b/>
          <w:sz w:val="36"/>
          <w:szCs w:val="36"/>
        </w:rPr>
        <w:t xml:space="preserve"> Company</w:t>
      </w:r>
    </w:p>
    <w:p w:rsidR="00D7047A" w:rsidRPr="002E0043" w:rsidRDefault="00661864" w:rsidP="00D7047A">
      <w:pPr>
        <w:rPr>
          <w:rFonts w:ascii="Arial" w:hAnsi="Arial" w:cs="Arial"/>
          <w:b/>
          <w:sz w:val="32"/>
          <w:szCs w:val="32"/>
        </w:rPr>
      </w:pPr>
      <w:r>
        <w:rPr>
          <w:rFonts w:ascii="Arial" w:hAnsi="Arial" w:cs="Arial"/>
          <w:b/>
          <w:sz w:val="32"/>
          <w:szCs w:val="32"/>
        </w:rPr>
        <w:t xml:space="preserve">Customer Energy Solutions </w:t>
      </w:r>
    </w:p>
    <w:p w:rsidR="004D0E10" w:rsidRDefault="004D0E10" w:rsidP="00A167EC">
      <w:pPr>
        <w:ind w:right="-720"/>
        <w:rPr>
          <w:rFonts w:ascii="Arial" w:hAnsi="Arial" w:cs="Arial"/>
          <w:b/>
          <w:sz w:val="72"/>
          <w:szCs w:val="72"/>
        </w:rPr>
      </w:pPr>
    </w:p>
    <w:p w:rsidR="004D0E10" w:rsidRDefault="004D0E10" w:rsidP="00A167EC">
      <w:pPr>
        <w:ind w:right="-720"/>
        <w:rPr>
          <w:rFonts w:ascii="Arial" w:hAnsi="Arial" w:cs="Arial"/>
          <w:b/>
          <w:sz w:val="72"/>
          <w:szCs w:val="72"/>
        </w:rPr>
      </w:pPr>
    </w:p>
    <w:p w:rsidR="004D0E10" w:rsidRDefault="004D0E10" w:rsidP="00A167EC">
      <w:pPr>
        <w:ind w:right="-720"/>
        <w:rPr>
          <w:rFonts w:ascii="Arial" w:hAnsi="Arial" w:cs="Arial"/>
          <w:b/>
          <w:sz w:val="72"/>
          <w:szCs w:val="72"/>
        </w:rPr>
      </w:pPr>
    </w:p>
    <w:p w:rsidR="00324D0F" w:rsidRDefault="004464AA" w:rsidP="00A167EC">
      <w:pPr>
        <w:ind w:right="-720"/>
        <w:rPr>
          <w:rFonts w:ascii="Arial" w:hAnsi="Arial" w:cs="Arial"/>
          <w:b/>
        </w:rPr>
      </w:pPr>
      <w:r w:rsidRPr="004464AA">
        <w:rPr>
          <w:rFonts w:ascii="Arial" w:hAnsi="Arial" w:cs="Arial"/>
          <w:b/>
          <w:sz w:val="72"/>
          <w:szCs w:val="72"/>
        </w:rPr>
        <w:t xml:space="preserve">LED </w:t>
      </w:r>
      <w:r w:rsidR="008D3D2D">
        <w:rPr>
          <w:rFonts w:ascii="Arial" w:hAnsi="Arial" w:cs="Arial"/>
          <w:b/>
          <w:sz w:val="72"/>
          <w:szCs w:val="72"/>
        </w:rPr>
        <w:t>High-Bay and Low-Bay Fixtures</w:t>
      </w:r>
      <w:r w:rsidR="00735CB1">
        <w:rPr>
          <w:rFonts w:ascii="Arial" w:hAnsi="Arial" w:cs="Arial"/>
          <w:b/>
          <w:sz w:val="72"/>
          <w:szCs w:val="72"/>
        </w:rPr>
        <w:t xml:space="preserve"> </w:t>
      </w:r>
    </w:p>
    <w:p w:rsidR="00CB3583" w:rsidRDefault="00A167EC" w:rsidP="008D3D2D">
      <w:pPr>
        <w:ind w:right="-720"/>
        <w:rPr>
          <w:rFonts w:ascii="Arial" w:hAnsi="Arial" w:cs="Arial"/>
          <w:b/>
          <w:highlight w:val="cyan"/>
        </w:rPr>
      </w:pPr>
      <w:r w:rsidRPr="00CB3583">
        <w:rPr>
          <w:rFonts w:ascii="Arial" w:hAnsi="Arial" w:cs="Arial"/>
          <w:b/>
        </w:rPr>
        <w:t>Measure Codes</w:t>
      </w:r>
      <w:r w:rsidRPr="00CB3583">
        <w:rPr>
          <w:rFonts w:ascii="Arial" w:hAnsi="Arial" w:cs="Arial"/>
          <w:b/>
          <w:color w:val="FF0000"/>
        </w:rPr>
        <w:t xml:space="preserve"> </w:t>
      </w:r>
      <w:r w:rsidR="00C93E64" w:rsidRPr="00C93E64">
        <w:rPr>
          <w:rFonts w:ascii="Arial" w:hAnsi="Arial" w:cs="Arial"/>
          <w:b/>
        </w:rPr>
        <w:t>L</w:t>
      </w:r>
      <w:r w:rsidR="00B93DB5">
        <w:rPr>
          <w:rFonts w:ascii="Arial" w:hAnsi="Arial" w:cs="Arial"/>
          <w:b/>
        </w:rPr>
        <w:t>D101-109, LD111</w:t>
      </w:r>
      <w:r w:rsidR="008D3D2D">
        <w:rPr>
          <w:rFonts w:ascii="Arial" w:hAnsi="Arial" w:cs="Arial"/>
          <w:b/>
        </w:rPr>
        <w:t xml:space="preserve"> – L</w:t>
      </w:r>
      <w:r w:rsidR="00B93DB5">
        <w:rPr>
          <w:rFonts w:ascii="Arial" w:hAnsi="Arial" w:cs="Arial"/>
          <w:b/>
        </w:rPr>
        <w:t>LD113</w:t>
      </w:r>
    </w:p>
    <w:p w:rsidR="00E71EF1" w:rsidRDefault="00C93E64" w:rsidP="00E71EF1">
      <w:pPr>
        <w:pStyle w:val="Heading1"/>
      </w:pPr>
      <w:r>
        <w:br w:type="page"/>
      </w:r>
      <w:bookmarkStart w:id="2" w:name="_Toc438562583"/>
      <w:r w:rsidR="00E731C6">
        <w:lastRenderedPageBreak/>
        <w:t>At-</w:t>
      </w:r>
      <w:r w:rsidR="00E71EF1">
        <w:t>a</w:t>
      </w:r>
      <w:r w:rsidR="00E731C6">
        <w:t>-</w:t>
      </w:r>
      <w:r w:rsidR="00E71EF1">
        <w:t>Glance Summary</w:t>
      </w:r>
      <w:bookmarkEnd w:id="2"/>
    </w:p>
    <w:tbl>
      <w:tblPr>
        <w:tblW w:w="9648" w:type="dxa"/>
        <w:tblBorders>
          <w:insideH w:val="single" w:sz="18" w:space="0" w:color="FFFFFF"/>
          <w:insideV w:val="single" w:sz="18" w:space="0" w:color="FFFFFF"/>
        </w:tblBorders>
        <w:tblLook w:val="01E0" w:firstRow="1" w:lastRow="1" w:firstColumn="1" w:lastColumn="1" w:noHBand="0" w:noVBand="0"/>
      </w:tblPr>
      <w:tblGrid>
        <w:gridCol w:w="4161"/>
        <w:gridCol w:w="5487"/>
      </w:tblGrid>
      <w:tr w:rsidR="008D3D2D" w:rsidRPr="00783DAC" w:rsidTr="00D4390C">
        <w:trPr>
          <w:trHeight w:val="465"/>
        </w:trPr>
        <w:tc>
          <w:tcPr>
            <w:tcW w:w="4161" w:type="dxa"/>
            <w:shd w:val="pct20" w:color="000000" w:fill="FFFFFF"/>
          </w:tcPr>
          <w:p w:rsidR="008D3D2D" w:rsidRPr="00F027AA" w:rsidRDefault="008D3D2D" w:rsidP="0028709C">
            <w:pPr>
              <w:rPr>
                <w:b/>
                <w:bCs/>
              </w:rPr>
            </w:pPr>
            <w:r w:rsidRPr="00F027AA">
              <w:rPr>
                <w:b/>
                <w:bCs/>
              </w:rPr>
              <w:t>Applicable Measure Codes:</w:t>
            </w:r>
          </w:p>
        </w:tc>
        <w:tc>
          <w:tcPr>
            <w:tcW w:w="5487" w:type="dxa"/>
            <w:shd w:val="pct20" w:color="000000" w:fill="FFFFFF"/>
          </w:tcPr>
          <w:p w:rsidR="008D3D2D" w:rsidRPr="005F3DA0" w:rsidRDefault="00B93DB5" w:rsidP="00EB4927">
            <w:pPr>
              <w:rPr>
                <w:bCs/>
                <w:sz w:val="20"/>
                <w:szCs w:val="20"/>
              </w:rPr>
            </w:pPr>
            <w:r w:rsidRPr="005F3DA0">
              <w:rPr>
                <w:bCs/>
                <w:sz w:val="20"/>
                <w:szCs w:val="20"/>
              </w:rPr>
              <w:t>LD101-109, LD111 – LLD113</w:t>
            </w:r>
          </w:p>
        </w:tc>
      </w:tr>
      <w:tr w:rsidR="008D3D2D" w:rsidRPr="00783DAC" w:rsidTr="00D4390C">
        <w:trPr>
          <w:trHeight w:val="465"/>
        </w:trPr>
        <w:tc>
          <w:tcPr>
            <w:tcW w:w="4161" w:type="dxa"/>
            <w:shd w:val="pct5" w:color="000000" w:fill="FFFFFF"/>
          </w:tcPr>
          <w:p w:rsidR="008D3D2D" w:rsidRPr="00F027AA" w:rsidRDefault="008D3D2D" w:rsidP="0028709C">
            <w:pPr>
              <w:rPr>
                <w:b/>
              </w:rPr>
            </w:pPr>
            <w:r w:rsidRPr="00F027AA">
              <w:rPr>
                <w:b/>
              </w:rPr>
              <w:t xml:space="preserve">Measure Description: </w:t>
            </w:r>
          </w:p>
        </w:tc>
        <w:tc>
          <w:tcPr>
            <w:tcW w:w="5487" w:type="dxa"/>
            <w:shd w:val="pct5" w:color="000000" w:fill="FFFFFF"/>
          </w:tcPr>
          <w:p w:rsidR="008D3D2D" w:rsidRPr="005F3DA0" w:rsidRDefault="008D3D2D" w:rsidP="008D3D2D">
            <w:pPr>
              <w:rPr>
                <w:bCs/>
                <w:sz w:val="20"/>
                <w:szCs w:val="20"/>
              </w:rPr>
            </w:pPr>
            <w:r w:rsidRPr="005F3DA0">
              <w:rPr>
                <w:bCs/>
                <w:sz w:val="20"/>
                <w:szCs w:val="20"/>
              </w:rPr>
              <w:t>LED High-Bay and Low-Bay Fixtures, various wattages.</w:t>
            </w:r>
          </w:p>
        </w:tc>
      </w:tr>
      <w:tr w:rsidR="00735CF0" w:rsidRPr="00783DAC" w:rsidTr="00783DAC">
        <w:trPr>
          <w:trHeight w:val="465"/>
        </w:trPr>
        <w:tc>
          <w:tcPr>
            <w:tcW w:w="4161" w:type="dxa"/>
            <w:shd w:val="pct20" w:color="000000" w:fill="FFFFFF"/>
          </w:tcPr>
          <w:p w:rsidR="00735CF0" w:rsidRPr="00F027AA" w:rsidRDefault="00735CF0" w:rsidP="0028709C">
            <w:pPr>
              <w:rPr>
                <w:b/>
              </w:rPr>
            </w:pPr>
            <w:r w:rsidRPr="00F027AA">
              <w:rPr>
                <w:b/>
              </w:rPr>
              <w:t xml:space="preserve">Energy Impact Common Units: </w:t>
            </w:r>
          </w:p>
        </w:tc>
        <w:tc>
          <w:tcPr>
            <w:tcW w:w="5487" w:type="dxa"/>
            <w:shd w:val="pct20" w:color="000000" w:fill="FFFFFF"/>
          </w:tcPr>
          <w:p w:rsidR="00735CF0" w:rsidRPr="005F3DA0" w:rsidRDefault="008D3D2D" w:rsidP="008D3D2D">
            <w:pPr>
              <w:rPr>
                <w:bCs/>
                <w:sz w:val="20"/>
                <w:szCs w:val="20"/>
              </w:rPr>
            </w:pPr>
            <w:r w:rsidRPr="005F3DA0">
              <w:rPr>
                <w:bCs/>
                <w:sz w:val="20"/>
                <w:szCs w:val="20"/>
              </w:rPr>
              <w:t>Fixture.</w:t>
            </w:r>
          </w:p>
        </w:tc>
      </w:tr>
      <w:tr w:rsidR="00735CF0" w:rsidRPr="00783DAC" w:rsidTr="00783DAC">
        <w:trPr>
          <w:trHeight w:val="465"/>
        </w:trPr>
        <w:tc>
          <w:tcPr>
            <w:tcW w:w="4161" w:type="dxa"/>
            <w:shd w:val="pct5" w:color="000000" w:fill="FFFFFF"/>
          </w:tcPr>
          <w:p w:rsidR="00735CF0" w:rsidRPr="00F027AA" w:rsidRDefault="00735CF0" w:rsidP="0028709C">
            <w:pPr>
              <w:rPr>
                <w:b/>
              </w:rPr>
            </w:pPr>
            <w:r w:rsidRPr="00F027AA">
              <w:rPr>
                <w:b/>
              </w:rPr>
              <w:t>Base Case Description:</w:t>
            </w:r>
          </w:p>
        </w:tc>
        <w:tc>
          <w:tcPr>
            <w:tcW w:w="5487" w:type="dxa"/>
            <w:shd w:val="pct5" w:color="000000" w:fill="FFFFFF"/>
          </w:tcPr>
          <w:p w:rsidR="00735CF0" w:rsidRPr="005F3DA0" w:rsidRDefault="008D3D2D" w:rsidP="0037707D">
            <w:pPr>
              <w:rPr>
                <w:bCs/>
                <w:sz w:val="20"/>
                <w:szCs w:val="20"/>
              </w:rPr>
            </w:pPr>
            <w:r w:rsidRPr="005F3DA0">
              <w:rPr>
                <w:bCs/>
                <w:sz w:val="20"/>
                <w:szCs w:val="20"/>
              </w:rPr>
              <w:t xml:space="preserve">Pulse Start Metal Halide Fixture, 175 – 1000 Watts, or </w:t>
            </w:r>
            <w:r w:rsidR="008734DD" w:rsidRPr="005F3DA0">
              <w:rPr>
                <w:bCs/>
                <w:sz w:val="20"/>
                <w:szCs w:val="20"/>
              </w:rPr>
              <w:t>2</w:t>
            </w:r>
            <w:r w:rsidR="008734DD" w:rsidRPr="005F3DA0">
              <w:rPr>
                <w:bCs/>
                <w:sz w:val="20"/>
                <w:szCs w:val="20"/>
                <w:vertAlign w:val="superscript"/>
              </w:rPr>
              <w:t>nd</w:t>
            </w:r>
            <w:r w:rsidR="008734DD" w:rsidRPr="005F3DA0">
              <w:rPr>
                <w:bCs/>
                <w:sz w:val="20"/>
                <w:szCs w:val="20"/>
              </w:rPr>
              <w:t xml:space="preserve"> generation </w:t>
            </w:r>
            <w:r w:rsidR="00B67AB6" w:rsidRPr="005F3DA0">
              <w:rPr>
                <w:bCs/>
                <w:sz w:val="20"/>
                <w:szCs w:val="20"/>
              </w:rPr>
              <w:t xml:space="preserve">Linear </w:t>
            </w:r>
            <w:r w:rsidRPr="005F3DA0">
              <w:rPr>
                <w:bCs/>
                <w:sz w:val="20"/>
                <w:szCs w:val="20"/>
              </w:rPr>
              <w:t>Fluorescent F</w:t>
            </w:r>
            <w:r w:rsidR="00DF6547" w:rsidRPr="005F3DA0">
              <w:rPr>
                <w:bCs/>
                <w:sz w:val="20"/>
                <w:szCs w:val="20"/>
              </w:rPr>
              <w:t xml:space="preserve">ixture with VHLO ballast and 4, </w:t>
            </w:r>
            <w:r w:rsidRPr="005F3DA0">
              <w:rPr>
                <w:bCs/>
                <w:sz w:val="20"/>
                <w:szCs w:val="20"/>
              </w:rPr>
              <w:t xml:space="preserve">6 </w:t>
            </w:r>
            <w:r w:rsidR="00DF6547" w:rsidRPr="005F3DA0">
              <w:rPr>
                <w:bCs/>
                <w:sz w:val="20"/>
                <w:szCs w:val="20"/>
              </w:rPr>
              <w:t xml:space="preserve">or 8 </w:t>
            </w:r>
            <w:r w:rsidRPr="005F3DA0">
              <w:rPr>
                <w:bCs/>
                <w:sz w:val="20"/>
                <w:szCs w:val="20"/>
              </w:rPr>
              <w:t>F32T8 lamps.</w:t>
            </w:r>
          </w:p>
          <w:p w:rsidR="00735CF0" w:rsidRPr="005F3DA0" w:rsidRDefault="00735CF0" w:rsidP="008D3D2D">
            <w:pPr>
              <w:rPr>
                <w:bCs/>
                <w:sz w:val="20"/>
                <w:szCs w:val="20"/>
              </w:rPr>
            </w:pPr>
            <w:r w:rsidRPr="005F3DA0">
              <w:rPr>
                <w:bCs/>
                <w:sz w:val="20"/>
                <w:szCs w:val="20"/>
              </w:rPr>
              <w:t>Source: PG&amp;E Calculations.</w:t>
            </w:r>
          </w:p>
        </w:tc>
      </w:tr>
      <w:tr w:rsidR="00735CF0" w:rsidRPr="00783DAC" w:rsidTr="00783DAC">
        <w:trPr>
          <w:trHeight w:val="465"/>
        </w:trPr>
        <w:tc>
          <w:tcPr>
            <w:tcW w:w="4161" w:type="dxa"/>
            <w:shd w:val="pct20" w:color="000000" w:fill="FFFFFF"/>
          </w:tcPr>
          <w:p w:rsidR="00735CF0" w:rsidRPr="00F027AA" w:rsidRDefault="00735CF0" w:rsidP="0028709C">
            <w:pPr>
              <w:rPr>
                <w:b/>
              </w:rPr>
            </w:pPr>
            <w:r w:rsidRPr="00F027AA">
              <w:rPr>
                <w:b/>
              </w:rPr>
              <w:t xml:space="preserve">Base Case Energy Consumption: </w:t>
            </w:r>
          </w:p>
        </w:tc>
        <w:tc>
          <w:tcPr>
            <w:tcW w:w="5487" w:type="dxa"/>
            <w:shd w:val="pct20" w:color="000000" w:fill="FFFFFF"/>
          </w:tcPr>
          <w:p w:rsidR="00735CF0" w:rsidRPr="005F3DA0" w:rsidRDefault="009B277A" w:rsidP="0037707D">
            <w:pPr>
              <w:rPr>
                <w:bCs/>
                <w:sz w:val="20"/>
                <w:szCs w:val="20"/>
              </w:rPr>
            </w:pPr>
            <w:r w:rsidRPr="005F3DA0">
              <w:rPr>
                <w:sz w:val="20"/>
                <w:szCs w:val="20"/>
              </w:rPr>
              <w:t>Various. Refer to .</w:t>
            </w:r>
            <w:proofErr w:type="spellStart"/>
            <w:r w:rsidRPr="005F3DA0">
              <w:rPr>
                <w:sz w:val="20"/>
                <w:szCs w:val="20"/>
              </w:rPr>
              <w:t>xlsx</w:t>
            </w:r>
            <w:proofErr w:type="spellEnd"/>
            <w:r w:rsidRPr="005F3DA0">
              <w:rPr>
                <w:sz w:val="20"/>
                <w:szCs w:val="20"/>
              </w:rPr>
              <w:t xml:space="preserve"> file attached</w:t>
            </w:r>
          </w:p>
          <w:p w:rsidR="00735CF0" w:rsidRPr="005F3DA0" w:rsidRDefault="00735CF0" w:rsidP="008D3D2D">
            <w:pPr>
              <w:rPr>
                <w:bCs/>
                <w:sz w:val="20"/>
                <w:szCs w:val="20"/>
              </w:rPr>
            </w:pPr>
            <w:r w:rsidRPr="005F3DA0">
              <w:rPr>
                <w:bCs/>
                <w:sz w:val="20"/>
                <w:szCs w:val="20"/>
              </w:rPr>
              <w:t>Source: PG&amp;E Calculations.</w:t>
            </w:r>
          </w:p>
        </w:tc>
      </w:tr>
      <w:tr w:rsidR="00735CF0" w:rsidRPr="00783DAC" w:rsidTr="00783DAC">
        <w:trPr>
          <w:trHeight w:val="465"/>
        </w:trPr>
        <w:tc>
          <w:tcPr>
            <w:tcW w:w="4161" w:type="dxa"/>
            <w:shd w:val="pct5" w:color="000000" w:fill="FFFFFF"/>
          </w:tcPr>
          <w:p w:rsidR="00735CF0" w:rsidRPr="00F027AA" w:rsidRDefault="00735CF0" w:rsidP="0028709C">
            <w:pPr>
              <w:rPr>
                <w:b/>
              </w:rPr>
            </w:pPr>
            <w:r w:rsidRPr="00F027AA">
              <w:rPr>
                <w:b/>
              </w:rPr>
              <w:t>Measure Energy Consumption:</w:t>
            </w:r>
          </w:p>
          <w:p w:rsidR="00735CF0" w:rsidRPr="00F027AA" w:rsidRDefault="00735CF0" w:rsidP="0028709C">
            <w:pPr>
              <w:rPr>
                <w:rFonts w:ascii="Arial" w:hAnsi="Arial" w:cs="Arial"/>
                <w:b/>
                <w:sz w:val="20"/>
                <w:szCs w:val="20"/>
              </w:rPr>
            </w:pPr>
          </w:p>
        </w:tc>
        <w:tc>
          <w:tcPr>
            <w:tcW w:w="5487" w:type="dxa"/>
            <w:shd w:val="pct5" w:color="000000" w:fill="FFFFFF"/>
          </w:tcPr>
          <w:p w:rsidR="00735CF0" w:rsidRPr="005F3DA0" w:rsidRDefault="009B277A" w:rsidP="0037707D">
            <w:pPr>
              <w:rPr>
                <w:bCs/>
                <w:sz w:val="20"/>
                <w:szCs w:val="20"/>
              </w:rPr>
            </w:pPr>
            <w:r w:rsidRPr="005F3DA0">
              <w:rPr>
                <w:sz w:val="20"/>
                <w:szCs w:val="20"/>
              </w:rPr>
              <w:t>Various. Refer to .</w:t>
            </w:r>
            <w:proofErr w:type="spellStart"/>
            <w:r w:rsidRPr="005F3DA0">
              <w:rPr>
                <w:sz w:val="20"/>
                <w:szCs w:val="20"/>
              </w:rPr>
              <w:t>xlsx</w:t>
            </w:r>
            <w:proofErr w:type="spellEnd"/>
            <w:r w:rsidRPr="005F3DA0">
              <w:rPr>
                <w:sz w:val="20"/>
                <w:szCs w:val="20"/>
              </w:rPr>
              <w:t xml:space="preserve"> file attached</w:t>
            </w:r>
          </w:p>
          <w:p w:rsidR="00735CF0" w:rsidRPr="005F3DA0" w:rsidRDefault="00735CF0" w:rsidP="008D3D2D">
            <w:pPr>
              <w:rPr>
                <w:bCs/>
                <w:sz w:val="20"/>
                <w:szCs w:val="20"/>
              </w:rPr>
            </w:pPr>
            <w:r w:rsidRPr="005F3DA0">
              <w:rPr>
                <w:bCs/>
                <w:sz w:val="20"/>
                <w:szCs w:val="20"/>
              </w:rPr>
              <w:t>Source: PG&amp;E Calculations.</w:t>
            </w:r>
          </w:p>
        </w:tc>
      </w:tr>
      <w:tr w:rsidR="00735CF0" w:rsidRPr="00783DAC" w:rsidTr="00783DAC">
        <w:trPr>
          <w:trHeight w:val="465"/>
        </w:trPr>
        <w:tc>
          <w:tcPr>
            <w:tcW w:w="4161" w:type="dxa"/>
            <w:shd w:val="pct20" w:color="000000" w:fill="FFFFFF"/>
          </w:tcPr>
          <w:p w:rsidR="00735CF0" w:rsidRPr="00F027AA" w:rsidRDefault="00735CF0" w:rsidP="0028709C">
            <w:pPr>
              <w:rPr>
                <w:b/>
              </w:rPr>
            </w:pPr>
            <w:r w:rsidRPr="00F027AA">
              <w:rPr>
                <w:b/>
              </w:rPr>
              <w:t>Energy Savings (Base Case – Measure)</w:t>
            </w:r>
            <w:r w:rsidR="00946BD7">
              <w:rPr>
                <w:b/>
              </w:rPr>
              <w:t>:</w:t>
            </w:r>
          </w:p>
        </w:tc>
        <w:tc>
          <w:tcPr>
            <w:tcW w:w="5487" w:type="dxa"/>
            <w:shd w:val="pct20" w:color="000000" w:fill="FFFFFF"/>
          </w:tcPr>
          <w:p w:rsidR="00735CF0" w:rsidRPr="005F3DA0" w:rsidRDefault="009B277A" w:rsidP="0037707D">
            <w:pPr>
              <w:rPr>
                <w:bCs/>
                <w:sz w:val="20"/>
                <w:szCs w:val="20"/>
              </w:rPr>
            </w:pPr>
            <w:r w:rsidRPr="005F3DA0">
              <w:rPr>
                <w:sz w:val="20"/>
                <w:szCs w:val="20"/>
              </w:rPr>
              <w:t>Various. Refer to .</w:t>
            </w:r>
            <w:proofErr w:type="spellStart"/>
            <w:r w:rsidRPr="005F3DA0">
              <w:rPr>
                <w:sz w:val="20"/>
                <w:szCs w:val="20"/>
              </w:rPr>
              <w:t>xlsx</w:t>
            </w:r>
            <w:proofErr w:type="spellEnd"/>
            <w:r w:rsidRPr="005F3DA0">
              <w:rPr>
                <w:sz w:val="20"/>
                <w:szCs w:val="20"/>
              </w:rPr>
              <w:t xml:space="preserve"> file attached</w:t>
            </w:r>
          </w:p>
          <w:p w:rsidR="00735CF0" w:rsidRPr="005F3DA0" w:rsidRDefault="00735CF0" w:rsidP="0037707D">
            <w:pPr>
              <w:rPr>
                <w:bCs/>
                <w:sz w:val="20"/>
                <w:szCs w:val="20"/>
              </w:rPr>
            </w:pPr>
            <w:r w:rsidRPr="005F3DA0">
              <w:rPr>
                <w:bCs/>
                <w:sz w:val="20"/>
                <w:szCs w:val="20"/>
              </w:rPr>
              <w:t>Source: PG&amp;E Calculations.</w:t>
            </w:r>
          </w:p>
        </w:tc>
      </w:tr>
      <w:tr w:rsidR="00735CF0" w:rsidRPr="00783DAC" w:rsidTr="00783DAC">
        <w:trPr>
          <w:trHeight w:val="465"/>
        </w:trPr>
        <w:tc>
          <w:tcPr>
            <w:tcW w:w="4161" w:type="dxa"/>
            <w:shd w:val="pct5" w:color="000000" w:fill="FFFFFF"/>
          </w:tcPr>
          <w:p w:rsidR="00735CF0" w:rsidRPr="00F027AA" w:rsidRDefault="00735CF0" w:rsidP="0028709C">
            <w:pPr>
              <w:rPr>
                <w:b/>
              </w:rPr>
            </w:pPr>
            <w:r w:rsidRPr="00F027AA">
              <w:rPr>
                <w:b/>
              </w:rPr>
              <w:t xml:space="preserve">Costs Common Units: </w:t>
            </w:r>
          </w:p>
        </w:tc>
        <w:tc>
          <w:tcPr>
            <w:tcW w:w="5487" w:type="dxa"/>
            <w:shd w:val="pct5" w:color="000000" w:fill="FFFFFF"/>
          </w:tcPr>
          <w:p w:rsidR="00735CF0" w:rsidRPr="005F3DA0" w:rsidRDefault="00735CF0" w:rsidP="0035498F">
            <w:pPr>
              <w:pStyle w:val="EndnoteText"/>
              <w:rPr>
                <w:bCs/>
              </w:rPr>
            </w:pPr>
            <w:r w:rsidRPr="005F3DA0">
              <w:rPr>
                <w:bCs/>
              </w:rPr>
              <w:t xml:space="preserve">$ </w:t>
            </w:r>
            <w:proofErr w:type="gramStart"/>
            <w:r w:rsidRPr="005F3DA0">
              <w:rPr>
                <w:bCs/>
              </w:rPr>
              <w:t>per</w:t>
            </w:r>
            <w:proofErr w:type="gramEnd"/>
            <w:r w:rsidRPr="005F3DA0">
              <w:rPr>
                <w:bCs/>
              </w:rPr>
              <w:t xml:space="preserve"> </w:t>
            </w:r>
            <w:r w:rsidR="0035498F" w:rsidRPr="005F3DA0">
              <w:rPr>
                <w:bCs/>
              </w:rPr>
              <w:t>fixture</w:t>
            </w:r>
            <w:r w:rsidRPr="005F3DA0">
              <w:rPr>
                <w:bCs/>
              </w:rPr>
              <w:t>.</w:t>
            </w:r>
          </w:p>
        </w:tc>
      </w:tr>
      <w:tr w:rsidR="00735CF0" w:rsidRPr="00783DAC" w:rsidTr="00783DAC">
        <w:trPr>
          <w:trHeight w:val="465"/>
        </w:trPr>
        <w:tc>
          <w:tcPr>
            <w:tcW w:w="4161" w:type="dxa"/>
            <w:shd w:val="pct20" w:color="000000" w:fill="FFFFFF"/>
          </w:tcPr>
          <w:p w:rsidR="00735CF0" w:rsidRPr="00946BD7" w:rsidRDefault="00735CF0" w:rsidP="0028709C">
            <w:pPr>
              <w:rPr>
                <w:b/>
              </w:rPr>
            </w:pPr>
            <w:r w:rsidRPr="00F027AA">
              <w:rPr>
                <w:b/>
              </w:rPr>
              <w:t>Base Case Equipment Cost ($/</w:t>
            </w:r>
            <w:r w:rsidR="00946BD7">
              <w:rPr>
                <w:b/>
              </w:rPr>
              <w:t>fixture</w:t>
            </w:r>
            <w:r w:rsidRPr="00F027AA">
              <w:rPr>
                <w:b/>
              </w:rPr>
              <w:t>):</w:t>
            </w:r>
          </w:p>
        </w:tc>
        <w:tc>
          <w:tcPr>
            <w:tcW w:w="5487" w:type="dxa"/>
            <w:shd w:val="pct20" w:color="000000" w:fill="FFFFFF"/>
          </w:tcPr>
          <w:p w:rsidR="00735CF0" w:rsidRPr="005F3DA0" w:rsidRDefault="009B277A" w:rsidP="0037707D">
            <w:pPr>
              <w:rPr>
                <w:bCs/>
                <w:sz w:val="20"/>
                <w:szCs w:val="20"/>
              </w:rPr>
            </w:pPr>
            <w:r w:rsidRPr="005F3DA0">
              <w:rPr>
                <w:sz w:val="20"/>
                <w:szCs w:val="20"/>
              </w:rPr>
              <w:t>Various. Refer to .</w:t>
            </w:r>
            <w:proofErr w:type="spellStart"/>
            <w:r w:rsidRPr="005F3DA0">
              <w:rPr>
                <w:sz w:val="20"/>
                <w:szCs w:val="20"/>
              </w:rPr>
              <w:t>xlsx</w:t>
            </w:r>
            <w:proofErr w:type="spellEnd"/>
            <w:r w:rsidRPr="005F3DA0">
              <w:rPr>
                <w:sz w:val="20"/>
                <w:szCs w:val="20"/>
              </w:rPr>
              <w:t xml:space="preserve"> file attached</w:t>
            </w:r>
            <w:r w:rsidR="00735CF0" w:rsidRPr="005F3DA0">
              <w:rPr>
                <w:bCs/>
                <w:sz w:val="20"/>
                <w:szCs w:val="20"/>
              </w:rPr>
              <w:t>.</w:t>
            </w:r>
          </w:p>
          <w:p w:rsidR="00735CF0" w:rsidRPr="005F3DA0" w:rsidRDefault="00735CF0" w:rsidP="005F3DA0">
            <w:pPr>
              <w:rPr>
                <w:bCs/>
                <w:sz w:val="20"/>
                <w:szCs w:val="20"/>
              </w:rPr>
            </w:pPr>
            <w:r w:rsidRPr="005F3DA0">
              <w:rPr>
                <w:bCs/>
                <w:sz w:val="20"/>
                <w:szCs w:val="20"/>
              </w:rPr>
              <w:t xml:space="preserve">Source: </w:t>
            </w:r>
            <w:r w:rsidR="005F3DA0" w:rsidRPr="00E0684E">
              <w:rPr>
                <w:bCs/>
                <w:sz w:val="20"/>
                <w:szCs w:val="20"/>
              </w:rPr>
              <w:t>Work Order 17</w:t>
            </w:r>
          </w:p>
        </w:tc>
      </w:tr>
      <w:tr w:rsidR="00735CF0" w:rsidRPr="00783DAC" w:rsidTr="00783DAC">
        <w:trPr>
          <w:trHeight w:val="465"/>
        </w:trPr>
        <w:tc>
          <w:tcPr>
            <w:tcW w:w="4161" w:type="dxa"/>
            <w:shd w:val="pct5" w:color="000000" w:fill="FFFFFF"/>
          </w:tcPr>
          <w:p w:rsidR="00735CF0" w:rsidRPr="00F027AA" w:rsidRDefault="00735CF0" w:rsidP="00D171B6">
            <w:pPr>
              <w:rPr>
                <w:b/>
              </w:rPr>
            </w:pPr>
            <w:r w:rsidRPr="00F027AA">
              <w:rPr>
                <w:b/>
              </w:rPr>
              <w:t>Measure Equipment Cost ($/</w:t>
            </w:r>
            <w:r w:rsidR="00946BD7">
              <w:rPr>
                <w:b/>
              </w:rPr>
              <w:t>fixture</w:t>
            </w:r>
            <w:r w:rsidRPr="00F027AA">
              <w:rPr>
                <w:b/>
              </w:rPr>
              <w:t xml:space="preserve">): </w:t>
            </w:r>
          </w:p>
        </w:tc>
        <w:tc>
          <w:tcPr>
            <w:tcW w:w="5487" w:type="dxa"/>
            <w:shd w:val="pct5" w:color="000000" w:fill="FFFFFF"/>
          </w:tcPr>
          <w:p w:rsidR="00735CF0" w:rsidRPr="005F3DA0" w:rsidRDefault="009B277A" w:rsidP="0037707D">
            <w:pPr>
              <w:rPr>
                <w:bCs/>
                <w:sz w:val="20"/>
                <w:szCs w:val="20"/>
              </w:rPr>
            </w:pPr>
            <w:r w:rsidRPr="005F3DA0">
              <w:rPr>
                <w:sz w:val="20"/>
                <w:szCs w:val="20"/>
              </w:rPr>
              <w:t>Various. Refer to .</w:t>
            </w:r>
            <w:proofErr w:type="spellStart"/>
            <w:r w:rsidRPr="005F3DA0">
              <w:rPr>
                <w:sz w:val="20"/>
                <w:szCs w:val="20"/>
              </w:rPr>
              <w:t>xlsx</w:t>
            </w:r>
            <w:proofErr w:type="spellEnd"/>
            <w:r w:rsidRPr="005F3DA0">
              <w:rPr>
                <w:sz w:val="20"/>
                <w:szCs w:val="20"/>
              </w:rPr>
              <w:t xml:space="preserve"> file attached</w:t>
            </w:r>
          </w:p>
          <w:p w:rsidR="00735CF0" w:rsidRPr="005F3DA0" w:rsidRDefault="00735CF0" w:rsidP="00E0684E">
            <w:pPr>
              <w:rPr>
                <w:bCs/>
                <w:sz w:val="20"/>
                <w:szCs w:val="20"/>
              </w:rPr>
            </w:pPr>
            <w:r w:rsidRPr="005F3DA0">
              <w:rPr>
                <w:bCs/>
                <w:sz w:val="20"/>
                <w:szCs w:val="20"/>
              </w:rPr>
              <w:t>Source:</w:t>
            </w:r>
            <w:r w:rsidR="0082354A" w:rsidRPr="005F3DA0">
              <w:rPr>
                <w:bCs/>
                <w:sz w:val="20"/>
                <w:szCs w:val="20"/>
              </w:rPr>
              <w:t xml:space="preserve"> </w:t>
            </w:r>
            <w:r w:rsidR="00E0684E">
              <w:rPr>
                <w:bCs/>
                <w:sz w:val="20"/>
                <w:szCs w:val="20"/>
              </w:rPr>
              <w:t>Navigant</w:t>
            </w:r>
          </w:p>
        </w:tc>
      </w:tr>
      <w:tr w:rsidR="00735CF0" w:rsidRPr="00783DAC" w:rsidTr="00783DAC">
        <w:trPr>
          <w:trHeight w:val="465"/>
        </w:trPr>
        <w:tc>
          <w:tcPr>
            <w:tcW w:w="4161" w:type="dxa"/>
            <w:shd w:val="pct20" w:color="000000" w:fill="FFFFFF"/>
          </w:tcPr>
          <w:p w:rsidR="00735CF0" w:rsidRPr="00F027AA" w:rsidRDefault="00735CF0" w:rsidP="00D171B6">
            <w:pPr>
              <w:rPr>
                <w:b/>
              </w:rPr>
            </w:pPr>
            <w:r w:rsidRPr="00F027AA">
              <w:rPr>
                <w:b/>
              </w:rPr>
              <w:t>Gross Measure Cost ($/</w:t>
            </w:r>
            <w:r w:rsidR="00946BD7">
              <w:rPr>
                <w:b/>
              </w:rPr>
              <w:t>fixture</w:t>
            </w:r>
            <w:r w:rsidRPr="00F027AA">
              <w:rPr>
                <w:b/>
              </w:rPr>
              <w:t>)</w:t>
            </w:r>
          </w:p>
        </w:tc>
        <w:tc>
          <w:tcPr>
            <w:tcW w:w="5487" w:type="dxa"/>
            <w:shd w:val="pct20" w:color="000000" w:fill="FFFFFF"/>
          </w:tcPr>
          <w:p w:rsidR="00735CF0" w:rsidRPr="005F3DA0" w:rsidRDefault="00735CF0" w:rsidP="004464AA">
            <w:pPr>
              <w:rPr>
                <w:bCs/>
                <w:sz w:val="20"/>
                <w:szCs w:val="20"/>
              </w:rPr>
            </w:pPr>
            <w:r w:rsidRPr="005F3DA0">
              <w:rPr>
                <w:bCs/>
                <w:sz w:val="20"/>
                <w:szCs w:val="20"/>
              </w:rPr>
              <w:t>V</w:t>
            </w:r>
            <w:r w:rsidR="009B277A" w:rsidRPr="005F3DA0">
              <w:rPr>
                <w:sz w:val="20"/>
                <w:szCs w:val="20"/>
              </w:rPr>
              <w:t xml:space="preserve"> Various. Refer to .</w:t>
            </w:r>
            <w:proofErr w:type="spellStart"/>
            <w:r w:rsidR="009B277A" w:rsidRPr="005F3DA0">
              <w:rPr>
                <w:sz w:val="20"/>
                <w:szCs w:val="20"/>
              </w:rPr>
              <w:t>xlsx</w:t>
            </w:r>
            <w:proofErr w:type="spellEnd"/>
            <w:r w:rsidR="009B277A" w:rsidRPr="005F3DA0">
              <w:rPr>
                <w:sz w:val="20"/>
                <w:szCs w:val="20"/>
              </w:rPr>
              <w:t xml:space="preserve"> file attached</w:t>
            </w:r>
          </w:p>
          <w:p w:rsidR="00735CF0" w:rsidRPr="005F3DA0" w:rsidRDefault="00735CF0" w:rsidP="005F3DA0">
            <w:pPr>
              <w:rPr>
                <w:bCs/>
                <w:sz w:val="20"/>
                <w:szCs w:val="20"/>
              </w:rPr>
            </w:pPr>
            <w:r w:rsidRPr="005F3DA0">
              <w:rPr>
                <w:bCs/>
                <w:sz w:val="20"/>
                <w:szCs w:val="20"/>
              </w:rPr>
              <w:t xml:space="preserve">Source: </w:t>
            </w:r>
            <w:r w:rsidR="005F3DA0" w:rsidRPr="005F3DA0">
              <w:rPr>
                <w:bCs/>
                <w:sz w:val="20"/>
                <w:szCs w:val="20"/>
              </w:rPr>
              <w:t>PG&amp;E Calculations</w:t>
            </w:r>
          </w:p>
        </w:tc>
      </w:tr>
      <w:tr w:rsidR="00735CF0" w:rsidRPr="00783DAC" w:rsidTr="00783DAC">
        <w:trPr>
          <w:trHeight w:val="465"/>
        </w:trPr>
        <w:tc>
          <w:tcPr>
            <w:tcW w:w="4161" w:type="dxa"/>
            <w:shd w:val="pct20" w:color="000000" w:fill="FFFFFF"/>
          </w:tcPr>
          <w:p w:rsidR="00735CF0" w:rsidRPr="00F027AA" w:rsidRDefault="00735CF0" w:rsidP="00D171B6">
            <w:pPr>
              <w:rPr>
                <w:b/>
              </w:rPr>
            </w:pPr>
            <w:bookmarkStart w:id="3" w:name="OLE_LINK1"/>
            <w:r w:rsidRPr="00F027AA">
              <w:rPr>
                <w:b/>
              </w:rPr>
              <w:t>Measure Incremental Cost ($/</w:t>
            </w:r>
            <w:r w:rsidR="00946BD7">
              <w:rPr>
                <w:b/>
              </w:rPr>
              <w:t>fixture</w:t>
            </w:r>
            <w:r w:rsidRPr="00F027AA">
              <w:rPr>
                <w:b/>
              </w:rPr>
              <w:t xml:space="preserve">): </w:t>
            </w:r>
            <w:bookmarkEnd w:id="3"/>
          </w:p>
        </w:tc>
        <w:tc>
          <w:tcPr>
            <w:tcW w:w="5487" w:type="dxa"/>
            <w:shd w:val="pct20" w:color="000000" w:fill="FFFFFF"/>
          </w:tcPr>
          <w:p w:rsidR="00735CF0" w:rsidRPr="005F3DA0" w:rsidRDefault="009B277A" w:rsidP="0037707D">
            <w:pPr>
              <w:rPr>
                <w:bCs/>
                <w:sz w:val="20"/>
                <w:szCs w:val="20"/>
              </w:rPr>
            </w:pPr>
            <w:r w:rsidRPr="005F3DA0">
              <w:rPr>
                <w:sz w:val="20"/>
                <w:szCs w:val="20"/>
              </w:rPr>
              <w:t>Various. Refer to .</w:t>
            </w:r>
            <w:proofErr w:type="spellStart"/>
            <w:r w:rsidRPr="005F3DA0">
              <w:rPr>
                <w:sz w:val="20"/>
                <w:szCs w:val="20"/>
              </w:rPr>
              <w:t>xlsx</w:t>
            </w:r>
            <w:proofErr w:type="spellEnd"/>
            <w:r w:rsidRPr="005F3DA0">
              <w:rPr>
                <w:sz w:val="20"/>
                <w:szCs w:val="20"/>
              </w:rPr>
              <w:t xml:space="preserve"> file attached</w:t>
            </w:r>
          </w:p>
          <w:p w:rsidR="00735CF0" w:rsidRPr="005F3DA0" w:rsidRDefault="00735CF0" w:rsidP="0037707D">
            <w:pPr>
              <w:rPr>
                <w:bCs/>
                <w:sz w:val="20"/>
                <w:szCs w:val="20"/>
              </w:rPr>
            </w:pPr>
            <w:r w:rsidRPr="005F3DA0">
              <w:rPr>
                <w:bCs/>
                <w:sz w:val="20"/>
                <w:szCs w:val="20"/>
              </w:rPr>
              <w:t xml:space="preserve">Source: </w:t>
            </w:r>
            <w:r w:rsidR="005F3DA0" w:rsidRPr="005F3DA0">
              <w:rPr>
                <w:bCs/>
                <w:sz w:val="20"/>
                <w:szCs w:val="20"/>
              </w:rPr>
              <w:t>PG&amp;E Calculations</w:t>
            </w:r>
          </w:p>
        </w:tc>
      </w:tr>
      <w:tr w:rsidR="00735CF0" w:rsidRPr="00783DAC" w:rsidTr="00783DAC">
        <w:trPr>
          <w:trHeight w:val="465"/>
        </w:trPr>
        <w:tc>
          <w:tcPr>
            <w:tcW w:w="4161" w:type="dxa"/>
            <w:shd w:val="pct5" w:color="000000" w:fill="FFFFFF"/>
          </w:tcPr>
          <w:p w:rsidR="00735CF0" w:rsidRPr="00F027AA" w:rsidRDefault="00735CF0" w:rsidP="0028709C">
            <w:pPr>
              <w:rPr>
                <w:b/>
              </w:rPr>
            </w:pPr>
            <w:r w:rsidRPr="00F027AA">
              <w:rPr>
                <w:b/>
              </w:rPr>
              <w:t xml:space="preserve">Effective Useful Life (years): </w:t>
            </w:r>
          </w:p>
        </w:tc>
        <w:tc>
          <w:tcPr>
            <w:tcW w:w="5487" w:type="dxa"/>
            <w:shd w:val="pct5" w:color="000000" w:fill="FFFFFF"/>
          </w:tcPr>
          <w:p w:rsidR="00735CF0" w:rsidRPr="005F3DA0" w:rsidRDefault="005F3DA0" w:rsidP="0037707D">
            <w:pPr>
              <w:rPr>
                <w:bCs/>
                <w:sz w:val="20"/>
                <w:szCs w:val="20"/>
              </w:rPr>
            </w:pPr>
            <w:r w:rsidRPr="005F3DA0">
              <w:rPr>
                <w:sz w:val="20"/>
                <w:szCs w:val="20"/>
              </w:rPr>
              <w:t>12 years, ILtg-Com-LED-50000hr</w:t>
            </w:r>
          </w:p>
          <w:p w:rsidR="00735CF0" w:rsidRPr="005F3DA0" w:rsidRDefault="00735CF0" w:rsidP="005F3DA0">
            <w:pPr>
              <w:rPr>
                <w:bCs/>
                <w:sz w:val="20"/>
                <w:szCs w:val="20"/>
              </w:rPr>
            </w:pPr>
            <w:r w:rsidRPr="005F3DA0">
              <w:rPr>
                <w:bCs/>
                <w:sz w:val="20"/>
                <w:szCs w:val="20"/>
              </w:rPr>
              <w:t>Source: 201</w:t>
            </w:r>
            <w:r w:rsidR="005F3DA0" w:rsidRPr="005F3DA0">
              <w:rPr>
                <w:bCs/>
                <w:sz w:val="20"/>
                <w:szCs w:val="20"/>
              </w:rPr>
              <w:t>6</w:t>
            </w:r>
            <w:r w:rsidRPr="005F3DA0">
              <w:rPr>
                <w:bCs/>
                <w:sz w:val="20"/>
                <w:szCs w:val="20"/>
              </w:rPr>
              <w:t xml:space="preserve"> DEER</w:t>
            </w:r>
          </w:p>
        </w:tc>
      </w:tr>
      <w:tr w:rsidR="00735CF0" w:rsidRPr="00783DAC" w:rsidTr="00783DAC">
        <w:trPr>
          <w:trHeight w:val="465"/>
        </w:trPr>
        <w:tc>
          <w:tcPr>
            <w:tcW w:w="4161" w:type="dxa"/>
            <w:shd w:val="pct20" w:color="000000" w:fill="FFFFFF"/>
          </w:tcPr>
          <w:p w:rsidR="00735CF0" w:rsidRPr="00F027AA" w:rsidRDefault="00735CF0" w:rsidP="0028709C">
            <w:pPr>
              <w:rPr>
                <w:b/>
              </w:rPr>
            </w:pPr>
            <w:r w:rsidRPr="00F027AA">
              <w:rPr>
                <w:b/>
              </w:rPr>
              <w:t>Program Type:</w:t>
            </w:r>
          </w:p>
        </w:tc>
        <w:tc>
          <w:tcPr>
            <w:tcW w:w="5487" w:type="dxa"/>
            <w:shd w:val="pct20" w:color="000000" w:fill="FFFFFF"/>
          </w:tcPr>
          <w:p w:rsidR="00735CF0" w:rsidRPr="005F3DA0" w:rsidRDefault="00735CF0" w:rsidP="0028709C">
            <w:pPr>
              <w:rPr>
                <w:bCs/>
                <w:sz w:val="20"/>
                <w:szCs w:val="20"/>
              </w:rPr>
            </w:pPr>
            <w:r w:rsidRPr="005F3DA0">
              <w:rPr>
                <w:bCs/>
                <w:sz w:val="20"/>
                <w:szCs w:val="20"/>
              </w:rPr>
              <w:t>ROB/NC.</w:t>
            </w:r>
          </w:p>
        </w:tc>
      </w:tr>
      <w:tr w:rsidR="00735CF0" w:rsidRPr="00783DAC" w:rsidTr="000D64B7">
        <w:trPr>
          <w:trHeight w:val="972"/>
        </w:trPr>
        <w:tc>
          <w:tcPr>
            <w:tcW w:w="4161" w:type="dxa"/>
            <w:shd w:val="pct5" w:color="000000" w:fill="FFFFFF"/>
          </w:tcPr>
          <w:p w:rsidR="00735CF0" w:rsidRPr="00F027AA" w:rsidRDefault="00735CF0" w:rsidP="0028709C">
            <w:pPr>
              <w:rPr>
                <w:b/>
              </w:rPr>
            </w:pPr>
            <w:r w:rsidRPr="00F027AA">
              <w:rPr>
                <w:b/>
              </w:rPr>
              <w:t xml:space="preserve">Net-to-Gross Ratios: </w:t>
            </w:r>
          </w:p>
        </w:tc>
        <w:tc>
          <w:tcPr>
            <w:tcW w:w="5487" w:type="dxa"/>
            <w:shd w:val="pct5" w:color="000000" w:fill="FFFFFF"/>
          </w:tcPr>
          <w:p w:rsidR="00735CF0" w:rsidRPr="005F3DA0" w:rsidRDefault="00735CF0" w:rsidP="004464AA">
            <w:pPr>
              <w:rPr>
                <w:bCs/>
                <w:sz w:val="20"/>
                <w:szCs w:val="20"/>
              </w:rPr>
            </w:pPr>
            <w:r w:rsidRPr="005F3DA0">
              <w:rPr>
                <w:bCs/>
                <w:sz w:val="20"/>
                <w:szCs w:val="20"/>
              </w:rPr>
              <w:t xml:space="preserve">NTG= </w:t>
            </w:r>
            <w:r w:rsidR="005F3DA0" w:rsidRPr="005F3DA0">
              <w:rPr>
                <w:bCs/>
                <w:sz w:val="20"/>
                <w:szCs w:val="20"/>
              </w:rPr>
              <w:t>0.6, Com-Default&gt;2yrs</w:t>
            </w:r>
          </w:p>
          <w:p w:rsidR="00735CF0" w:rsidRPr="005F3DA0" w:rsidRDefault="00735CF0" w:rsidP="004464AA">
            <w:pPr>
              <w:rPr>
                <w:bCs/>
                <w:sz w:val="20"/>
                <w:szCs w:val="20"/>
              </w:rPr>
            </w:pPr>
            <w:r w:rsidRPr="005F3DA0">
              <w:rPr>
                <w:bCs/>
                <w:sz w:val="20"/>
                <w:szCs w:val="20"/>
              </w:rPr>
              <w:t xml:space="preserve">Source: </w:t>
            </w:r>
            <w:r w:rsidR="00DF6547" w:rsidRPr="005F3DA0">
              <w:rPr>
                <w:bCs/>
                <w:sz w:val="20"/>
                <w:szCs w:val="20"/>
              </w:rPr>
              <w:t>DEER 201</w:t>
            </w:r>
            <w:r w:rsidR="005F3DA0" w:rsidRPr="005F3DA0">
              <w:rPr>
                <w:bCs/>
                <w:sz w:val="20"/>
                <w:szCs w:val="20"/>
              </w:rPr>
              <w:t>6</w:t>
            </w:r>
          </w:p>
        </w:tc>
      </w:tr>
      <w:tr w:rsidR="00735CF0" w:rsidRPr="00783DAC" w:rsidTr="00783DAC">
        <w:trPr>
          <w:trHeight w:val="465"/>
        </w:trPr>
        <w:tc>
          <w:tcPr>
            <w:tcW w:w="4161" w:type="dxa"/>
            <w:shd w:val="pct20" w:color="000000" w:fill="FFFFFF"/>
          </w:tcPr>
          <w:p w:rsidR="00735CF0" w:rsidRPr="00783DAC" w:rsidRDefault="00735CF0" w:rsidP="0028709C">
            <w:pPr>
              <w:rPr>
                <w:b/>
              </w:rPr>
            </w:pPr>
            <w:r w:rsidRPr="00783DAC">
              <w:rPr>
                <w:b/>
              </w:rPr>
              <w:t>Important Comments:</w:t>
            </w:r>
          </w:p>
        </w:tc>
        <w:tc>
          <w:tcPr>
            <w:tcW w:w="5487" w:type="dxa"/>
            <w:shd w:val="pct20" w:color="000000" w:fill="FFFFFF"/>
          </w:tcPr>
          <w:p w:rsidR="00735CF0" w:rsidRPr="00B93DB5" w:rsidRDefault="00735CF0" w:rsidP="0028709C">
            <w:pPr>
              <w:rPr>
                <w:bCs/>
                <w:sz w:val="20"/>
                <w:szCs w:val="20"/>
              </w:rPr>
            </w:pPr>
          </w:p>
        </w:tc>
      </w:tr>
    </w:tbl>
    <w:p w:rsidR="005F19E0" w:rsidRPr="005F19E0" w:rsidRDefault="006F0139" w:rsidP="0006490F">
      <w:pPr>
        <w:rPr>
          <w:rFonts w:ascii="Arial" w:hAnsi="Arial" w:cs="Arial"/>
          <w:b/>
          <w:color w:val="FF0000"/>
          <w:sz w:val="20"/>
          <w:szCs w:val="20"/>
        </w:rPr>
        <w:sectPr w:rsidR="005F19E0" w:rsidRPr="005F19E0" w:rsidSect="00081DFB">
          <w:headerReference w:type="default" r:id="rId12"/>
          <w:footerReference w:type="even" r:id="rId13"/>
          <w:footerReference w:type="default" r:id="rId14"/>
          <w:footerReference w:type="first" r:id="rId15"/>
          <w:endnotePr>
            <w:numFmt w:val="decimal"/>
          </w:endnotePr>
          <w:pgSz w:w="12240" w:h="15840"/>
          <w:pgMar w:top="1440" w:right="1440" w:bottom="1440" w:left="1440" w:header="720" w:footer="720" w:gutter="0"/>
          <w:pgNumType w:fmt="lowerRoman"/>
          <w:cols w:space="720"/>
          <w:titlePg/>
          <w:docGrid w:linePitch="360"/>
        </w:sectPr>
      </w:pPr>
      <w:r w:rsidRPr="006F0139">
        <w:rPr>
          <w:rFonts w:ascii="Arial" w:hAnsi="Arial" w:cs="Arial"/>
          <w:b/>
          <w:i/>
          <w:color w:val="FF0000"/>
          <w:sz w:val="20"/>
          <w:szCs w:val="20"/>
          <w:highlight w:val="cyan"/>
        </w:rPr>
        <w:t xml:space="preserve"> </w:t>
      </w:r>
    </w:p>
    <w:p w:rsidR="00E71EF1" w:rsidRDefault="00E71EF1" w:rsidP="00E71EF1">
      <w:pPr>
        <w:pStyle w:val="Heading1"/>
      </w:pPr>
      <w:bookmarkStart w:id="4" w:name="_Toc438562584"/>
      <w:r>
        <w:lastRenderedPageBreak/>
        <w:t>Document Revision History</w:t>
      </w:r>
      <w:bookmarkEnd w:id="4"/>
    </w:p>
    <w:p w:rsidR="00E91C15" w:rsidRDefault="004203DD" w:rsidP="001A573F">
      <w:r>
        <w:t xml:space="preserve"> </w:t>
      </w:r>
      <w:r w:rsidR="00E91C15">
        <w:tab/>
      </w:r>
      <w:r w:rsidR="00E91C15">
        <w:tab/>
      </w:r>
      <w:r w:rsidR="00E91C15">
        <w:tab/>
      </w:r>
      <w:r w:rsidR="00E91C15">
        <w:tab/>
      </w:r>
      <w:r>
        <w:t xml:space="preserve"> </w:t>
      </w:r>
      <w:r w:rsidR="00E91C15">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48"/>
        <w:gridCol w:w="1413"/>
        <w:gridCol w:w="3204"/>
        <w:gridCol w:w="3204"/>
      </w:tblGrid>
      <w:tr w:rsidR="000374A5" w:rsidRPr="00783DAC" w:rsidTr="005A3157">
        <w:trPr>
          <w:trHeight w:val="464"/>
        </w:trPr>
        <w:tc>
          <w:tcPr>
            <w:tcW w:w="870" w:type="pct"/>
            <w:tcBorders>
              <w:top w:val="nil"/>
              <w:bottom w:val="single" w:sz="18" w:space="0" w:color="FFFFFF"/>
            </w:tcBorders>
            <w:shd w:val="clear" w:color="auto" w:fill="BFBFBF"/>
          </w:tcPr>
          <w:p w:rsidR="000374A5" w:rsidRPr="000374A5" w:rsidRDefault="000374A5" w:rsidP="000374A5">
            <w:pPr>
              <w:jc w:val="center"/>
              <w:rPr>
                <w:b/>
                <w:bCs/>
              </w:rPr>
            </w:pPr>
            <w:r>
              <w:t>Revision #</w:t>
            </w:r>
            <w:r>
              <w:tab/>
            </w:r>
          </w:p>
        </w:tc>
        <w:tc>
          <w:tcPr>
            <w:tcW w:w="746" w:type="pct"/>
            <w:tcBorders>
              <w:top w:val="nil"/>
              <w:bottom w:val="single" w:sz="18" w:space="0" w:color="FFFFFF"/>
            </w:tcBorders>
            <w:shd w:val="clear" w:color="auto" w:fill="BFBFBF"/>
          </w:tcPr>
          <w:p w:rsidR="000374A5" w:rsidRPr="000374A5" w:rsidRDefault="000374A5" w:rsidP="000374A5">
            <w:pPr>
              <w:jc w:val="center"/>
              <w:rPr>
                <w:b/>
                <w:bCs/>
                <w:sz w:val="20"/>
                <w:szCs w:val="20"/>
              </w:rPr>
            </w:pPr>
            <w:r>
              <w:t>Date</w:t>
            </w:r>
            <w:r w:rsidRPr="00E91C15">
              <w:t xml:space="preserve"> </w:t>
            </w:r>
            <w:r>
              <w:tab/>
            </w:r>
          </w:p>
        </w:tc>
        <w:tc>
          <w:tcPr>
            <w:tcW w:w="1692" w:type="pct"/>
            <w:tcBorders>
              <w:top w:val="nil"/>
              <w:bottom w:val="single" w:sz="18" w:space="0" w:color="FFFFFF"/>
            </w:tcBorders>
            <w:shd w:val="clear" w:color="auto" w:fill="BFBFBF"/>
          </w:tcPr>
          <w:p w:rsidR="000374A5" w:rsidRPr="000374A5" w:rsidRDefault="000374A5" w:rsidP="000374A5">
            <w:pPr>
              <w:jc w:val="center"/>
              <w:rPr>
                <w:b/>
                <w:bCs/>
                <w:sz w:val="20"/>
                <w:szCs w:val="20"/>
              </w:rPr>
            </w:pPr>
            <w:r>
              <w:t>Section by Section Description of Revisions</w:t>
            </w:r>
          </w:p>
        </w:tc>
        <w:tc>
          <w:tcPr>
            <w:tcW w:w="1692" w:type="pct"/>
            <w:tcBorders>
              <w:top w:val="nil"/>
              <w:bottom w:val="single" w:sz="18" w:space="0" w:color="FFFFFF"/>
            </w:tcBorders>
            <w:shd w:val="clear" w:color="auto" w:fill="BFBFBF"/>
          </w:tcPr>
          <w:p w:rsidR="000374A5" w:rsidRPr="000374A5" w:rsidRDefault="000374A5" w:rsidP="000374A5">
            <w:pPr>
              <w:jc w:val="center"/>
              <w:rPr>
                <w:b/>
                <w:bCs/>
                <w:sz w:val="20"/>
                <w:szCs w:val="20"/>
              </w:rPr>
            </w:pPr>
            <w:r>
              <w:t>Author (Company)</w:t>
            </w:r>
          </w:p>
        </w:tc>
      </w:tr>
      <w:tr w:rsidR="0068419D" w:rsidRPr="00531AF8" w:rsidTr="0000411D">
        <w:trPr>
          <w:trHeight w:val="464"/>
        </w:trPr>
        <w:tc>
          <w:tcPr>
            <w:tcW w:w="870" w:type="pct"/>
            <w:tcBorders>
              <w:top w:val="single" w:sz="18" w:space="0" w:color="FFFFFF"/>
              <w:bottom w:val="single" w:sz="18" w:space="0" w:color="FFFFFF"/>
            </w:tcBorders>
            <w:shd w:val="clear" w:color="auto" w:fill="D9D9D9"/>
          </w:tcPr>
          <w:p w:rsidR="0068419D" w:rsidRPr="00531AF8" w:rsidRDefault="0068419D" w:rsidP="008948E0">
            <w:pPr>
              <w:rPr>
                <w:bCs/>
              </w:rPr>
            </w:pPr>
            <w:r w:rsidRPr="00531AF8">
              <w:rPr>
                <w:bCs/>
              </w:rPr>
              <w:t>Revision 0</w:t>
            </w:r>
          </w:p>
        </w:tc>
        <w:tc>
          <w:tcPr>
            <w:tcW w:w="746" w:type="pct"/>
            <w:tcBorders>
              <w:top w:val="single" w:sz="18" w:space="0" w:color="FFFFFF"/>
              <w:bottom w:val="single" w:sz="18" w:space="0" w:color="FFFFFF"/>
            </w:tcBorders>
            <w:shd w:val="clear" w:color="auto" w:fill="D9D9D9"/>
          </w:tcPr>
          <w:p w:rsidR="0068419D" w:rsidRPr="00531AF8" w:rsidRDefault="00531AF8" w:rsidP="00946A66">
            <w:pPr>
              <w:rPr>
                <w:bCs/>
              </w:rPr>
            </w:pPr>
            <w:r w:rsidRPr="00531AF8">
              <w:rPr>
                <w:bCs/>
              </w:rPr>
              <w:t>11/4/2013</w:t>
            </w:r>
          </w:p>
        </w:tc>
        <w:tc>
          <w:tcPr>
            <w:tcW w:w="1692" w:type="pct"/>
            <w:tcBorders>
              <w:top w:val="single" w:sz="18" w:space="0" w:color="FFFFFF"/>
              <w:bottom w:val="single" w:sz="18" w:space="0" w:color="FFFFFF"/>
            </w:tcBorders>
            <w:shd w:val="clear" w:color="auto" w:fill="D9D9D9"/>
          </w:tcPr>
          <w:p w:rsidR="0068419D" w:rsidRPr="00531AF8" w:rsidRDefault="00DB2CE5" w:rsidP="00DF163F">
            <w:r w:rsidRPr="00531AF8">
              <w:t>PGECOLTG</w:t>
            </w:r>
            <w:r w:rsidR="009D01D1">
              <w:t>178</w:t>
            </w:r>
            <w:r w:rsidR="0068419D" w:rsidRPr="00531AF8">
              <w:t xml:space="preserve"> R0 LED</w:t>
            </w:r>
            <w:r w:rsidR="00946A66" w:rsidRPr="00531AF8">
              <w:t xml:space="preserve"> </w:t>
            </w:r>
            <w:r w:rsidR="00531AF8" w:rsidRPr="00531AF8">
              <w:t>High-Bay and Low-Bay Fixtures</w:t>
            </w:r>
            <w:r w:rsidR="0068419D" w:rsidRPr="00531AF8">
              <w:t>.doc</w:t>
            </w:r>
          </w:p>
          <w:p w:rsidR="0068419D" w:rsidRPr="00531AF8" w:rsidRDefault="00D3706F" w:rsidP="00DF163F">
            <w:r w:rsidRPr="00531AF8">
              <w:t xml:space="preserve">Original </w:t>
            </w:r>
            <w:proofErr w:type="spellStart"/>
            <w:r w:rsidRPr="00531AF8">
              <w:t>Workpaper</w:t>
            </w:r>
            <w:proofErr w:type="spellEnd"/>
          </w:p>
        </w:tc>
        <w:tc>
          <w:tcPr>
            <w:tcW w:w="1692" w:type="pct"/>
            <w:tcBorders>
              <w:top w:val="single" w:sz="18" w:space="0" w:color="FFFFFF"/>
              <w:bottom w:val="single" w:sz="18" w:space="0" w:color="FFFFFF"/>
            </w:tcBorders>
            <w:shd w:val="clear" w:color="auto" w:fill="D9D9D9"/>
          </w:tcPr>
          <w:p w:rsidR="00032F1B" w:rsidRDefault="00032F1B" w:rsidP="008948E0">
            <w:pPr>
              <w:rPr>
                <w:bCs/>
              </w:rPr>
            </w:pPr>
            <w:r>
              <w:rPr>
                <w:bCs/>
              </w:rPr>
              <w:t>Author: Greg Barker (Energy Solutions)</w:t>
            </w:r>
          </w:p>
          <w:p w:rsidR="0068419D" w:rsidRPr="00531AF8" w:rsidRDefault="00032F1B" w:rsidP="008948E0">
            <w:pPr>
              <w:rPr>
                <w:bCs/>
              </w:rPr>
            </w:pPr>
            <w:r>
              <w:rPr>
                <w:bCs/>
              </w:rPr>
              <w:t xml:space="preserve">Reviewer: </w:t>
            </w:r>
            <w:r w:rsidR="0068419D" w:rsidRPr="00531AF8">
              <w:rPr>
                <w:bCs/>
              </w:rPr>
              <w:t xml:space="preserve">Alina Zohrabian (PG&amp;E) </w:t>
            </w:r>
          </w:p>
        </w:tc>
      </w:tr>
      <w:tr w:rsidR="0000411D" w:rsidRPr="00531AF8" w:rsidTr="00081DFB">
        <w:trPr>
          <w:trHeight w:val="464"/>
        </w:trPr>
        <w:tc>
          <w:tcPr>
            <w:tcW w:w="870" w:type="pct"/>
            <w:tcBorders>
              <w:top w:val="single" w:sz="18" w:space="0" w:color="FFFFFF"/>
              <w:bottom w:val="single" w:sz="18" w:space="0" w:color="FFFFFF"/>
            </w:tcBorders>
            <w:shd w:val="clear" w:color="auto" w:fill="D9D9D9"/>
          </w:tcPr>
          <w:p w:rsidR="0000411D" w:rsidRPr="00531AF8" w:rsidRDefault="0000411D" w:rsidP="005C7190">
            <w:pPr>
              <w:rPr>
                <w:bCs/>
              </w:rPr>
            </w:pPr>
            <w:r w:rsidRPr="00531AF8">
              <w:rPr>
                <w:bCs/>
              </w:rPr>
              <w:t xml:space="preserve">Revision </w:t>
            </w:r>
            <w:r>
              <w:rPr>
                <w:bCs/>
              </w:rPr>
              <w:t>1</w:t>
            </w:r>
          </w:p>
        </w:tc>
        <w:tc>
          <w:tcPr>
            <w:tcW w:w="746" w:type="pct"/>
            <w:tcBorders>
              <w:top w:val="single" w:sz="18" w:space="0" w:color="FFFFFF"/>
              <w:bottom w:val="single" w:sz="18" w:space="0" w:color="FFFFFF"/>
            </w:tcBorders>
            <w:shd w:val="clear" w:color="auto" w:fill="D9D9D9"/>
          </w:tcPr>
          <w:p w:rsidR="0000411D" w:rsidRPr="00531AF8" w:rsidRDefault="0000411D" w:rsidP="005C7190">
            <w:pPr>
              <w:rPr>
                <w:bCs/>
              </w:rPr>
            </w:pPr>
            <w:r>
              <w:rPr>
                <w:bCs/>
              </w:rPr>
              <w:t>5/27/14</w:t>
            </w:r>
          </w:p>
        </w:tc>
        <w:tc>
          <w:tcPr>
            <w:tcW w:w="1692" w:type="pct"/>
            <w:tcBorders>
              <w:top w:val="single" w:sz="18" w:space="0" w:color="FFFFFF"/>
              <w:bottom w:val="single" w:sz="18" w:space="0" w:color="FFFFFF"/>
            </w:tcBorders>
            <w:shd w:val="clear" w:color="auto" w:fill="D9D9D9"/>
          </w:tcPr>
          <w:p w:rsidR="0000411D" w:rsidRPr="00531AF8" w:rsidRDefault="0000411D" w:rsidP="005C7190">
            <w:r w:rsidRPr="00531AF8">
              <w:t>PGECOLTG</w:t>
            </w:r>
            <w:r>
              <w:t>178 R1</w:t>
            </w:r>
            <w:r w:rsidRPr="00531AF8">
              <w:t xml:space="preserve"> LED High-Bay and Low-Bay Fixtures.doc</w:t>
            </w:r>
          </w:p>
          <w:p w:rsidR="0000411D" w:rsidRPr="00531AF8" w:rsidRDefault="0000411D" w:rsidP="0000411D">
            <w:r w:rsidRPr="00AC78D5">
              <w:rPr>
                <w:rFonts w:ascii="Arial" w:hAnsi="Arial" w:cs="Arial"/>
                <w:bCs/>
                <w:sz w:val="20"/>
                <w:szCs w:val="20"/>
              </w:rPr>
              <w:t>A</w:t>
            </w:r>
            <w:r>
              <w:rPr>
                <w:rFonts w:ascii="Arial" w:hAnsi="Arial" w:cs="Arial"/>
                <w:bCs/>
                <w:sz w:val="20"/>
                <w:szCs w:val="20"/>
              </w:rPr>
              <w:t>dded DI values from (PGE3PLTG192-R0</w:t>
            </w:r>
            <w:r w:rsidRPr="00AC78D5">
              <w:rPr>
                <w:rFonts w:ascii="Arial" w:hAnsi="Arial" w:cs="Arial"/>
                <w:bCs/>
                <w:sz w:val="20"/>
                <w:szCs w:val="20"/>
              </w:rPr>
              <w:t xml:space="preserve">) and </w:t>
            </w:r>
            <w:r>
              <w:rPr>
                <w:rFonts w:ascii="Arial" w:hAnsi="Arial" w:cs="Arial"/>
                <w:bCs/>
                <w:sz w:val="20"/>
                <w:szCs w:val="20"/>
              </w:rPr>
              <w:t>Applied new hours of operation and IE factors</w:t>
            </w:r>
            <w:r w:rsidRPr="00AC78D5">
              <w:rPr>
                <w:rFonts w:ascii="Arial" w:hAnsi="Arial" w:cs="Arial"/>
                <w:bCs/>
                <w:sz w:val="20"/>
                <w:szCs w:val="20"/>
              </w:rPr>
              <w:t>. For updated savi</w:t>
            </w:r>
            <w:r>
              <w:rPr>
                <w:rFonts w:ascii="Arial" w:hAnsi="Arial" w:cs="Arial"/>
                <w:bCs/>
                <w:sz w:val="20"/>
                <w:szCs w:val="20"/>
              </w:rPr>
              <w:t>ngs values, see file PGECOLTG178 R1</w:t>
            </w:r>
            <w:r w:rsidRPr="00AC78D5">
              <w:rPr>
                <w:rFonts w:ascii="Arial" w:hAnsi="Arial" w:cs="Arial"/>
                <w:bCs/>
                <w:sz w:val="20"/>
                <w:szCs w:val="20"/>
              </w:rPr>
              <w:t>.xlsx</w:t>
            </w:r>
          </w:p>
        </w:tc>
        <w:tc>
          <w:tcPr>
            <w:tcW w:w="1692" w:type="pct"/>
            <w:tcBorders>
              <w:top w:val="single" w:sz="18" w:space="0" w:color="FFFFFF"/>
              <w:bottom w:val="single" w:sz="18" w:space="0" w:color="FFFFFF"/>
            </w:tcBorders>
            <w:shd w:val="clear" w:color="auto" w:fill="D9D9D9"/>
          </w:tcPr>
          <w:p w:rsidR="0000411D" w:rsidRPr="00531AF8" w:rsidRDefault="0000411D" w:rsidP="005C7190">
            <w:pPr>
              <w:rPr>
                <w:bCs/>
              </w:rPr>
            </w:pPr>
            <w:r w:rsidRPr="00531AF8">
              <w:rPr>
                <w:bCs/>
              </w:rPr>
              <w:t xml:space="preserve">Alina Zohrabian (PG&amp;E) </w:t>
            </w:r>
          </w:p>
        </w:tc>
      </w:tr>
      <w:tr w:rsidR="00081DFB" w:rsidRPr="00531AF8" w:rsidTr="005A3157">
        <w:trPr>
          <w:trHeight w:val="464"/>
        </w:trPr>
        <w:tc>
          <w:tcPr>
            <w:tcW w:w="870" w:type="pct"/>
            <w:tcBorders>
              <w:top w:val="single" w:sz="18" w:space="0" w:color="FFFFFF"/>
            </w:tcBorders>
            <w:shd w:val="clear" w:color="auto" w:fill="D9D9D9"/>
          </w:tcPr>
          <w:p w:rsidR="00081DFB" w:rsidRPr="00531AF8" w:rsidRDefault="00081DFB" w:rsidP="005C7190">
            <w:pPr>
              <w:rPr>
                <w:bCs/>
              </w:rPr>
            </w:pPr>
            <w:r>
              <w:rPr>
                <w:bCs/>
              </w:rPr>
              <w:t>Revision 2</w:t>
            </w:r>
          </w:p>
        </w:tc>
        <w:tc>
          <w:tcPr>
            <w:tcW w:w="746" w:type="pct"/>
            <w:tcBorders>
              <w:top w:val="single" w:sz="18" w:space="0" w:color="FFFFFF"/>
            </w:tcBorders>
            <w:shd w:val="clear" w:color="auto" w:fill="D9D9D9"/>
          </w:tcPr>
          <w:p w:rsidR="00081DFB" w:rsidRDefault="00081DFB" w:rsidP="005C7190">
            <w:pPr>
              <w:rPr>
                <w:bCs/>
              </w:rPr>
            </w:pPr>
            <w:r>
              <w:rPr>
                <w:bCs/>
              </w:rPr>
              <w:t>1/1/2016</w:t>
            </w:r>
          </w:p>
        </w:tc>
        <w:tc>
          <w:tcPr>
            <w:tcW w:w="1692" w:type="pct"/>
            <w:tcBorders>
              <w:top w:val="single" w:sz="18" w:space="0" w:color="FFFFFF"/>
            </w:tcBorders>
            <w:shd w:val="clear" w:color="auto" w:fill="D9D9D9"/>
          </w:tcPr>
          <w:p w:rsidR="00081DFB" w:rsidRPr="00531AF8" w:rsidRDefault="00081DFB" w:rsidP="005C7190">
            <w:r>
              <w:t>Updated NTG, EUL,</w:t>
            </w:r>
            <w:r w:rsidR="00A95A8F">
              <w:t xml:space="preserve"> IE, CDF, </w:t>
            </w:r>
            <w:r>
              <w:t>GSIA, and hours of operation per DEER2016.  Base case and measure costs have also been updated.</w:t>
            </w:r>
          </w:p>
        </w:tc>
        <w:tc>
          <w:tcPr>
            <w:tcW w:w="1692" w:type="pct"/>
            <w:tcBorders>
              <w:top w:val="single" w:sz="18" w:space="0" w:color="FFFFFF"/>
            </w:tcBorders>
            <w:shd w:val="clear" w:color="auto" w:fill="D9D9D9"/>
          </w:tcPr>
          <w:p w:rsidR="00081DFB" w:rsidRPr="00531AF8" w:rsidRDefault="00081DFB" w:rsidP="005C7190">
            <w:pPr>
              <w:rPr>
                <w:bCs/>
              </w:rPr>
            </w:pPr>
            <w:r>
              <w:rPr>
                <w:bCs/>
              </w:rPr>
              <w:t xml:space="preserve">Linda Wan (PG&amp;E)/Alina </w:t>
            </w:r>
            <w:proofErr w:type="spellStart"/>
            <w:r w:rsidRPr="00531AF8">
              <w:rPr>
                <w:bCs/>
              </w:rPr>
              <w:t>Zohrabian</w:t>
            </w:r>
            <w:proofErr w:type="spellEnd"/>
            <w:r w:rsidRPr="00531AF8">
              <w:rPr>
                <w:bCs/>
              </w:rPr>
              <w:t xml:space="preserve"> </w:t>
            </w:r>
            <w:r>
              <w:rPr>
                <w:bCs/>
              </w:rPr>
              <w:t>(PG&amp;E)/Tai Voong (PG&amp;E)</w:t>
            </w:r>
          </w:p>
        </w:tc>
      </w:tr>
    </w:tbl>
    <w:p w:rsidR="00783DAC" w:rsidRPr="00783DAC" w:rsidRDefault="00783DAC" w:rsidP="00783DAC">
      <w:pPr>
        <w:rPr>
          <w:vanish/>
        </w:rPr>
      </w:pPr>
      <w:bookmarkStart w:id="5" w:name="_Toc186621650"/>
    </w:p>
    <w:p w:rsidR="00E71EF1" w:rsidRDefault="00E71EF1" w:rsidP="00F55847">
      <w:pPr>
        <w:pStyle w:val="Heading1"/>
      </w:pPr>
      <w:bookmarkStart w:id="6" w:name="_Toc304800197"/>
      <w:r w:rsidRPr="006832A4">
        <w:br w:type="page"/>
      </w:r>
      <w:bookmarkStart w:id="7" w:name="_Toc438562585"/>
      <w:r w:rsidR="001248A3">
        <w:lastRenderedPageBreak/>
        <w:t>Table</w:t>
      </w:r>
      <w:r w:rsidR="006559C8">
        <w:t xml:space="preserve"> of Contents</w:t>
      </w:r>
      <w:bookmarkEnd w:id="5"/>
      <w:bookmarkEnd w:id="6"/>
      <w:bookmarkEnd w:id="7"/>
    </w:p>
    <w:p w:rsidR="001A450C" w:rsidRDefault="009F6F8B">
      <w:pPr>
        <w:pStyle w:val="TOC1"/>
        <w:tabs>
          <w:tab w:val="right" w:leader="dot" w:pos="9350"/>
        </w:tabs>
        <w:rPr>
          <w:rFonts w:asciiTheme="minorHAnsi" w:eastAsiaTheme="minorEastAsia" w:hAnsiTheme="minorHAnsi" w:cstheme="minorBidi"/>
          <w:noProof/>
          <w:sz w:val="22"/>
          <w:szCs w:val="22"/>
        </w:rPr>
      </w:pPr>
      <w:r>
        <w:rPr>
          <w:b/>
          <w:bCs/>
        </w:rPr>
        <w:fldChar w:fldCharType="begin"/>
      </w:r>
      <w:r>
        <w:rPr>
          <w:b/>
          <w:bCs/>
        </w:rPr>
        <w:instrText xml:space="preserve"> TOC \o "1-3" \h \z \u </w:instrText>
      </w:r>
      <w:r>
        <w:rPr>
          <w:b/>
          <w:bCs/>
        </w:rPr>
        <w:fldChar w:fldCharType="separate"/>
      </w:r>
      <w:hyperlink w:anchor="_Toc438562583" w:history="1">
        <w:r w:rsidR="001A450C" w:rsidRPr="002A1C1D">
          <w:rPr>
            <w:rStyle w:val="Hyperlink"/>
            <w:noProof/>
          </w:rPr>
          <w:t>At-a-Glance Summary</w:t>
        </w:r>
        <w:r w:rsidR="001A450C">
          <w:rPr>
            <w:noProof/>
            <w:webHidden/>
          </w:rPr>
          <w:tab/>
        </w:r>
        <w:r w:rsidR="001A450C">
          <w:rPr>
            <w:noProof/>
            <w:webHidden/>
          </w:rPr>
          <w:fldChar w:fldCharType="begin"/>
        </w:r>
        <w:r w:rsidR="001A450C">
          <w:rPr>
            <w:noProof/>
            <w:webHidden/>
          </w:rPr>
          <w:instrText xml:space="preserve"> PAGEREF _Toc438562583 \h </w:instrText>
        </w:r>
        <w:r w:rsidR="001A450C">
          <w:rPr>
            <w:noProof/>
            <w:webHidden/>
          </w:rPr>
        </w:r>
        <w:r w:rsidR="001A450C">
          <w:rPr>
            <w:noProof/>
            <w:webHidden/>
          </w:rPr>
          <w:fldChar w:fldCharType="separate"/>
        </w:r>
        <w:r w:rsidR="001A450C">
          <w:rPr>
            <w:noProof/>
            <w:webHidden/>
          </w:rPr>
          <w:t>ii</w:t>
        </w:r>
        <w:r w:rsidR="001A450C">
          <w:rPr>
            <w:noProof/>
            <w:webHidden/>
          </w:rPr>
          <w:fldChar w:fldCharType="end"/>
        </w:r>
      </w:hyperlink>
    </w:p>
    <w:p w:rsidR="001A450C" w:rsidRDefault="001A450C">
      <w:pPr>
        <w:pStyle w:val="TOC1"/>
        <w:tabs>
          <w:tab w:val="right" w:leader="dot" w:pos="9350"/>
        </w:tabs>
        <w:rPr>
          <w:rFonts w:asciiTheme="minorHAnsi" w:eastAsiaTheme="minorEastAsia" w:hAnsiTheme="minorHAnsi" w:cstheme="minorBidi"/>
          <w:noProof/>
          <w:sz w:val="22"/>
          <w:szCs w:val="22"/>
        </w:rPr>
      </w:pPr>
      <w:hyperlink w:anchor="_Toc438562584" w:history="1">
        <w:r w:rsidRPr="002A1C1D">
          <w:rPr>
            <w:rStyle w:val="Hyperlink"/>
            <w:noProof/>
          </w:rPr>
          <w:t>Document Revision History</w:t>
        </w:r>
        <w:r>
          <w:rPr>
            <w:noProof/>
            <w:webHidden/>
          </w:rPr>
          <w:tab/>
        </w:r>
        <w:r>
          <w:rPr>
            <w:noProof/>
            <w:webHidden/>
          </w:rPr>
          <w:fldChar w:fldCharType="begin"/>
        </w:r>
        <w:r>
          <w:rPr>
            <w:noProof/>
            <w:webHidden/>
          </w:rPr>
          <w:instrText xml:space="preserve"> PAGEREF _Toc438562584 \h </w:instrText>
        </w:r>
        <w:r>
          <w:rPr>
            <w:noProof/>
            <w:webHidden/>
          </w:rPr>
        </w:r>
        <w:r>
          <w:rPr>
            <w:noProof/>
            <w:webHidden/>
          </w:rPr>
          <w:fldChar w:fldCharType="separate"/>
        </w:r>
        <w:r>
          <w:rPr>
            <w:noProof/>
            <w:webHidden/>
          </w:rPr>
          <w:t>iii</w:t>
        </w:r>
        <w:r>
          <w:rPr>
            <w:noProof/>
            <w:webHidden/>
          </w:rPr>
          <w:fldChar w:fldCharType="end"/>
        </w:r>
      </w:hyperlink>
    </w:p>
    <w:p w:rsidR="001A450C" w:rsidRDefault="001A450C">
      <w:pPr>
        <w:pStyle w:val="TOC1"/>
        <w:tabs>
          <w:tab w:val="right" w:leader="dot" w:pos="9350"/>
        </w:tabs>
        <w:rPr>
          <w:rFonts w:asciiTheme="minorHAnsi" w:eastAsiaTheme="minorEastAsia" w:hAnsiTheme="minorHAnsi" w:cstheme="minorBidi"/>
          <w:noProof/>
          <w:sz w:val="22"/>
          <w:szCs w:val="22"/>
        </w:rPr>
      </w:pPr>
      <w:hyperlink w:anchor="_Toc438562585" w:history="1">
        <w:r w:rsidRPr="002A1C1D">
          <w:rPr>
            <w:rStyle w:val="Hyperlink"/>
            <w:noProof/>
          </w:rPr>
          <w:t>Table of Contents</w:t>
        </w:r>
        <w:r>
          <w:rPr>
            <w:noProof/>
            <w:webHidden/>
          </w:rPr>
          <w:tab/>
        </w:r>
        <w:r>
          <w:rPr>
            <w:noProof/>
            <w:webHidden/>
          </w:rPr>
          <w:fldChar w:fldCharType="begin"/>
        </w:r>
        <w:r>
          <w:rPr>
            <w:noProof/>
            <w:webHidden/>
          </w:rPr>
          <w:instrText xml:space="preserve"> PAGEREF _Toc438562585 \h </w:instrText>
        </w:r>
        <w:r>
          <w:rPr>
            <w:noProof/>
            <w:webHidden/>
          </w:rPr>
        </w:r>
        <w:r>
          <w:rPr>
            <w:noProof/>
            <w:webHidden/>
          </w:rPr>
          <w:fldChar w:fldCharType="separate"/>
        </w:r>
        <w:r>
          <w:rPr>
            <w:noProof/>
            <w:webHidden/>
          </w:rPr>
          <w:t>iv</w:t>
        </w:r>
        <w:r>
          <w:rPr>
            <w:noProof/>
            <w:webHidden/>
          </w:rPr>
          <w:fldChar w:fldCharType="end"/>
        </w:r>
      </w:hyperlink>
    </w:p>
    <w:p w:rsidR="001A450C" w:rsidRDefault="001A450C">
      <w:pPr>
        <w:pStyle w:val="TOC1"/>
        <w:tabs>
          <w:tab w:val="right" w:leader="dot" w:pos="9350"/>
        </w:tabs>
        <w:rPr>
          <w:rFonts w:asciiTheme="minorHAnsi" w:eastAsiaTheme="minorEastAsia" w:hAnsiTheme="minorHAnsi" w:cstheme="minorBidi"/>
          <w:noProof/>
          <w:sz w:val="22"/>
          <w:szCs w:val="22"/>
        </w:rPr>
      </w:pPr>
      <w:hyperlink w:anchor="_Toc438562586" w:history="1">
        <w:r w:rsidRPr="002A1C1D">
          <w:rPr>
            <w:rStyle w:val="Hyperlink"/>
            <w:noProof/>
          </w:rPr>
          <w:t>List of Tables</w:t>
        </w:r>
        <w:r>
          <w:rPr>
            <w:noProof/>
            <w:webHidden/>
          </w:rPr>
          <w:tab/>
        </w:r>
        <w:r>
          <w:rPr>
            <w:noProof/>
            <w:webHidden/>
          </w:rPr>
          <w:fldChar w:fldCharType="begin"/>
        </w:r>
        <w:r>
          <w:rPr>
            <w:noProof/>
            <w:webHidden/>
          </w:rPr>
          <w:instrText xml:space="preserve"> PAGEREF _Toc438562586 \h </w:instrText>
        </w:r>
        <w:r>
          <w:rPr>
            <w:noProof/>
            <w:webHidden/>
          </w:rPr>
        </w:r>
        <w:r>
          <w:rPr>
            <w:noProof/>
            <w:webHidden/>
          </w:rPr>
          <w:fldChar w:fldCharType="separate"/>
        </w:r>
        <w:r>
          <w:rPr>
            <w:noProof/>
            <w:webHidden/>
          </w:rPr>
          <w:t>v</w:t>
        </w:r>
        <w:r>
          <w:rPr>
            <w:noProof/>
            <w:webHidden/>
          </w:rPr>
          <w:fldChar w:fldCharType="end"/>
        </w:r>
      </w:hyperlink>
    </w:p>
    <w:p w:rsidR="001A450C" w:rsidRDefault="001A450C">
      <w:pPr>
        <w:pStyle w:val="TOC1"/>
        <w:tabs>
          <w:tab w:val="right" w:leader="dot" w:pos="9350"/>
        </w:tabs>
        <w:rPr>
          <w:rFonts w:asciiTheme="minorHAnsi" w:eastAsiaTheme="minorEastAsia" w:hAnsiTheme="minorHAnsi" w:cstheme="minorBidi"/>
          <w:noProof/>
          <w:sz w:val="22"/>
          <w:szCs w:val="22"/>
        </w:rPr>
      </w:pPr>
      <w:hyperlink w:anchor="_Toc438562587" w:history="1">
        <w:r w:rsidRPr="002A1C1D">
          <w:rPr>
            <w:rStyle w:val="Hyperlink"/>
            <w:noProof/>
          </w:rPr>
          <w:t>Section 1. General Measure &amp; Baseline Data</w:t>
        </w:r>
        <w:r>
          <w:rPr>
            <w:noProof/>
            <w:webHidden/>
          </w:rPr>
          <w:tab/>
        </w:r>
        <w:r>
          <w:rPr>
            <w:noProof/>
            <w:webHidden/>
          </w:rPr>
          <w:fldChar w:fldCharType="begin"/>
        </w:r>
        <w:r>
          <w:rPr>
            <w:noProof/>
            <w:webHidden/>
          </w:rPr>
          <w:instrText xml:space="preserve"> PAGEREF _Toc438562587 \h </w:instrText>
        </w:r>
        <w:r>
          <w:rPr>
            <w:noProof/>
            <w:webHidden/>
          </w:rPr>
        </w:r>
        <w:r>
          <w:rPr>
            <w:noProof/>
            <w:webHidden/>
          </w:rPr>
          <w:fldChar w:fldCharType="separate"/>
        </w:r>
        <w:r>
          <w:rPr>
            <w:noProof/>
            <w:webHidden/>
          </w:rPr>
          <w:t>1</w:t>
        </w:r>
        <w:r>
          <w:rPr>
            <w:noProof/>
            <w:webHidden/>
          </w:rPr>
          <w:fldChar w:fldCharType="end"/>
        </w:r>
      </w:hyperlink>
    </w:p>
    <w:p w:rsidR="001A450C" w:rsidRDefault="001A450C">
      <w:pPr>
        <w:pStyle w:val="TOC2"/>
        <w:tabs>
          <w:tab w:val="right" w:leader="dot" w:pos="9350"/>
        </w:tabs>
        <w:rPr>
          <w:rFonts w:asciiTheme="minorHAnsi" w:eastAsiaTheme="minorEastAsia" w:hAnsiTheme="minorHAnsi" w:cstheme="minorBidi"/>
          <w:noProof/>
          <w:sz w:val="22"/>
          <w:szCs w:val="22"/>
        </w:rPr>
      </w:pPr>
      <w:hyperlink w:anchor="_Toc438562588" w:history="1">
        <w:r w:rsidRPr="002A1C1D">
          <w:rPr>
            <w:rStyle w:val="Hyperlink"/>
            <w:noProof/>
          </w:rPr>
          <w:t>1.1 Product Measure Description &amp; Background</w:t>
        </w:r>
        <w:r>
          <w:rPr>
            <w:noProof/>
            <w:webHidden/>
          </w:rPr>
          <w:tab/>
        </w:r>
        <w:r>
          <w:rPr>
            <w:noProof/>
            <w:webHidden/>
          </w:rPr>
          <w:fldChar w:fldCharType="begin"/>
        </w:r>
        <w:r>
          <w:rPr>
            <w:noProof/>
            <w:webHidden/>
          </w:rPr>
          <w:instrText xml:space="preserve"> PAGEREF _Toc438562588 \h </w:instrText>
        </w:r>
        <w:r>
          <w:rPr>
            <w:noProof/>
            <w:webHidden/>
          </w:rPr>
        </w:r>
        <w:r>
          <w:rPr>
            <w:noProof/>
            <w:webHidden/>
          </w:rPr>
          <w:fldChar w:fldCharType="separate"/>
        </w:r>
        <w:r>
          <w:rPr>
            <w:noProof/>
            <w:webHidden/>
          </w:rPr>
          <w:t>1</w:t>
        </w:r>
        <w:r>
          <w:rPr>
            <w:noProof/>
            <w:webHidden/>
          </w:rPr>
          <w:fldChar w:fldCharType="end"/>
        </w:r>
      </w:hyperlink>
    </w:p>
    <w:p w:rsidR="001A450C" w:rsidRDefault="001A450C">
      <w:pPr>
        <w:pStyle w:val="TOC2"/>
        <w:tabs>
          <w:tab w:val="right" w:leader="dot" w:pos="9350"/>
        </w:tabs>
        <w:rPr>
          <w:rFonts w:asciiTheme="minorHAnsi" w:eastAsiaTheme="minorEastAsia" w:hAnsiTheme="minorHAnsi" w:cstheme="minorBidi"/>
          <w:noProof/>
          <w:sz w:val="22"/>
          <w:szCs w:val="22"/>
        </w:rPr>
      </w:pPr>
      <w:hyperlink w:anchor="_Toc438562589" w:history="1">
        <w:r w:rsidRPr="002A1C1D">
          <w:rPr>
            <w:rStyle w:val="Hyperlink"/>
            <w:noProof/>
          </w:rPr>
          <w:t>1.2 Product Technical Description</w:t>
        </w:r>
        <w:r>
          <w:rPr>
            <w:noProof/>
            <w:webHidden/>
          </w:rPr>
          <w:tab/>
        </w:r>
        <w:r>
          <w:rPr>
            <w:noProof/>
            <w:webHidden/>
          </w:rPr>
          <w:fldChar w:fldCharType="begin"/>
        </w:r>
        <w:r>
          <w:rPr>
            <w:noProof/>
            <w:webHidden/>
          </w:rPr>
          <w:instrText xml:space="preserve"> PAGEREF _Toc438562589 \h </w:instrText>
        </w:r>
        <w:r>
          <w:rPr>
            <w:noProof/>
            <w:webHidden/>
          </w:rPr>
        </w:r>
        <w:r>
          <w:rPr>
            <w:noProof/>
            <w:webHidden/>
          </w:rPr>
          <w:fldChar w:fldCharType="separate"/>
        </w:r>
        <w:r>
          <w:rPr>
            <w:noProof/>
            <w:webHidden/>
          </w:rPr>
          <w:t>2</w:t>
        </w:r>
        <w:r>
          <w:rPr>
            <w:noProof/>
            <w:webHidden/>
          </w:rPr>
          <w:fldChar w:fldCharType="end"/>
        </w:r>
      </w:hyperlink>
    </w:p>
    <w:p w:rsidR="001A450C" w:rsidRDefault="001A450C">
      <w:pPr>
        <w:pStyle w:val="TOC2"/>
        <w:tabs>
          <w:tab w:val="right" w:leader="dot" w:pos="9350"/>
        </w:tabs>
        <w:rPr>
          <w:rFonts w:asciiTheme="minorHAnsi" w:eastAsiaTheme="minorEastAsia" w:hAnsiTheme="minorHAnsi" w:cstheme="minorBidi"/>
          <w:noProof/>
          <w:sz w:val="22"/>
          <w:szCs w:val="22"/>
        </w:rPr>
      </w:pPr>
      <w:hyperlink w:anchor="_Toc438562590" w:history="1">
        <w:r w:rsidRPr="002A1C1D">
          <w:rPr>
            <w:rStyle w:val="Hyperlink"/>
            <w:noProof/>
          </w:rPr>
          <w:t>1.3 Measure Application Type</w:t>
        </w:r>
        <w:r>
          <w:rPr>
            <w:noProof/>
            <w:webHidden/>
          </w:rPr>
          <w:tab/>
        </w:r>
        <w:r>
          <w:rPr>
            <w:noProof/>
            <w:webHidden/>
          </w:rPr>
          <w:fldChar w:fldCharType="begin"/>
        </w:r>
        <w:r>
          <w:rPr>
            <w:noProof/>
            <w:webHidden/>
          </w:rPr>
          <w:instrText xml:space="preserve"> PAGEREF _Toc438562590 \h </w:instrText>
        </w:r>
        <w:r>
          <w:rPr>
            <w:noProof/>
            <w:webHidden/>
          </w:rPr>
        </w:r>
        <w:r>
          <w:rPr>
            <w:noProof/>
            <w:webHidden/>
          </w:rPr>
          <w:fldChar w:fldCharType="separate"/>
        </w:r>
        <w:r>
          <w:rPr>
            <w:noProof/>
            <w:webHidden/>
          </w:rPr>
          <w:t>3</w:t>
        </w:r>
        <w:r>
          <w:rPr>
            <w:noProof/>
            <w:webHidden/>
          </w:rPr>
          <w:fldChar w:fldCharType="end"/>
        </w:r>
      </w:hyperlink>
    </w:p>
    <w:p w:rsidR="001A450C" w:rsidRDefault="001A450C">
      <w:pPr>
        <w:pStyle w:val="TOC2"/>
        <w:tabs>
          <w:tab w:val="right" w:leader="dot" w:pos="9350"/>
        </w:tabs>
        <w:rPr>
          <w:rFonts w:asciiTheme="minorHAnsi" w:eastAsiaTheme="minorEastAsia" w:hAnsiTheme="minorHAnsi" w:cstheme="minorBidi"/>
          <w:noProof/>
          <w:sz w:val="22"/>
          <w:szCs w:val="22"/>
        </w:rPr>
      </w:pPr>
      <w:hyperlink w:anchor="_Toc438562591" w:history="1">
        <w:r w:rsidRPr="002A1C1D">
          <w:rPr>
            <w:rStyle w:val="Hyperlink"/>
            <w:noProof/>
          </w:rPr>
          <w:t>1.4 Product Base Case and Measure Case Data</w:t>
        </w:r>
        <w:r>
          <w:rPr>
            <w:noProof/>
            <w:webHidden/>
          </w:rPr>
          <w:tab/>
        </w:r>
        <w:r>
          <w:rPr>
            <w:noProof/>
            <w:webHidden/>
          </w:rPr>
          <w:fldChar w:fldCharType="begin"/>
        </w:r>
        <w:r>
          <w:rPr>
            <w:noProof/>
            <w:webHidden/>
          </w:rPr>
          <w:instrText xml:space="preserve"> PAGEREF _Toc438562591 \h </w:instrText>
        </w:r>
        <w:r>
          <w:rPr>
            <w:noProof/>
            <w:webHidden/>
          </w:rPr>
        </w:r>
        <w:r>
          <w:rPr>
            <w:noProof/>
            <w:webHidden/>
          </w:rPr>
          <w:fldChar w:fldCharType="separate"/>
        </w:r>
        <w:r>
          <w:rPr>
            <w:noProof/>
            <w:webHidden/>
          </w:rPr>
          <w:t>3</w:t>
        </w:r>
        <w:r>
          <w:rPr>
            <w:noProof/>
            <w:webHidden/>
          </w:rPr>
          <w:fldChar w:fldCharType="end"/>
        </w:r>
      </w:hyperlink>
    </w:p>
    <w:p w:rsidR="001A450C" w:rsidRDefault="001A450C">
      <w:pPr>
        <w:pStyle w:val="TOC2"/>
        <w:tabs>
          <w:tab w:val="right" w:leader="dot" w:pos="9350"/>
        </w:tabs>
        <w:rPr>
          <w:rFonts w:asciiTheme="minorHAnsi" w:eastAsiaTheme="minorEastAsia" w:hAnsiTheme="minorHAnsi" w:cstheme="minorBidi"/>
          <w:noProof/>
          <w:sz w:val="22"/>
          <w:szCs w:val="22"/>
        </w:rPr>
      </w:pPr>
      <w:hyperlink w:anchor="_Toc438562592" w:history="1">
        <w:r w:rsidRPr="002A1C1D">
          <w:rPr>
            <w:rStyle w:val="Hyperlink"/>
            <w:noProof/>
          </w:rPr>
          <w:t>1.4.1 DEER Base Case and Measure Case Information</w:t>
        </w:r>
        <w:r>
          <w:rPr>
            <w:noProof/>
            <w:webHidden/>
          </w:rPr>
          <w:tab/>
        </w:r>
        <w:r>
          <w:rPr>
            <w:noProof/>
            <w:webHidden/>
          </w:rPr>
          <w:fldChar w:fldCharType="begin"/>
        </w:r>
        <w:r>
          <w:rPr>
            <w:noProof/>
            <w:webHidden/>
          </w:rPr>
          <w:instrText xml:space="preserve"> PAGEREF _Toc438562592 \h </w:instrText>
        </w:r>
        <w:r>
          <w:rPr>
            <w:noProof/>
            <w:webHidden/>
          </w:rPr>
        </w:r>
        <w:r>
          <w:rPr>
            <w:noProof/>
            <w:webHidden/>
          </w:rPr>
          <w:fldChar w:fldCharType="separate"/>
        </w:r>
        <w:r>
          <w:rPr>
            <w:noProof/>
            <w:webHidden/>
          </w:rPr>
          <w:t>3</w:t>
        </w:r>
        <w:r>
          <w:rPr>
            <w:noProof/>
            <w:webHidden/>
          </w:rPr>
          <w:fldChar w:fldCharType="end"/>
        </w:r>
      </w:hyperlink>
    </w:p>
    <w:p w:rsidR="001A450C" w:rsidRDefault="001A450C">
      <w:pPr>
        <w:pStyle w:val="TOC2"/>
        <w:tabs>
          <w:tab w:val="right" w:leader="dot" w:pos="9350"/>
        </w:tabs>
        <w:rPr>
          <w:rFonts w:asciiTheme="minorHAnsi" w:eastAsiaTheme="minorEastAsia" w:hAnsiTheme="minorHAnsi" w:cstheme="minorBidi"/>
          <w:noProof/>
          <w:sz w:val="22"/>
          <w:szCs w:val="22"/>
        </w:rPr>
      </w:pPr>
      <w:hyperlink w:anchor="_Toc438562593" w:history="1">
        <w:r w:rsidRPr="002A1C1D">
          <w:rPr>
            <w:rStyle w:val="Hyperlink"/>
            <w:noProof/>
          </w:rPr>
          <w:t>1.4.2 Codes &amp; Standards Requirements Base Case and Measure Information</w:t>
        </w:r>
        <w:r>
          <w:rPr>
            <w:noProof/>
            <w:webHidden/>
          </w:rPr>
          <w:tab/>
        </w:r>
        <w:r>
          <w:rPr>
            <w:noProof/>
            <w:webHidden/>
          </w:rPr>
          <w:fldChar w:fldCharType="begin"/>
        </w:r>
        <w:r>
          <w:rPr>
            <w:noProof/>
            <w:webHidden/>
          </w:rPr>
          <w:instrText xml:space="preserve"> PAGEREF _Toc438562593 \h </w:instrText>
        </w:r>
        <w:r>
          <w:rPr>
            <w:noProof/>
            <w:webHidden/>
          </w:rPr>
        </w:r>
        <w:r>
          <w:rPr>
            <w:noProof/>
            <w:webHidden/>
          </w:rPr>
          <w:fldChar w:fldCharType="separate"/>
        </w:r>
        <w:r>
          <w:rPr>
            <w:noProof/>
            <w:webHidden/>
          </w:rPr>
          <w:t>5</w:t>
        </w:r>
        <w:r>
          <w:rPr>
            <w:noProof/>
            <w:webHidden/>
          </w:rPr>
          <w:fldChar w:fldCharType="end"/>
        </w:r>
      </w:hyperlink>
    </w:p>
    <w:p w:rsidR="001A450C" w:rsidRDefault="001A450C">
      <w:pPr>
        <w:pStyle w:val="TOC2"/>
        <w:tabs>
          <w:tab w:val="right" w:leader="dot" w:pos="9350"/>
        </w:tabs>
        <w:rPr>
          <w:rFonts w:asciiTheme="minorHAnsi" w:eastAsiaTheme="minorEastAsia" w:hAnsiTheme="minorHAnsi" w:cstheme="minorBidi"/>
          <w:noProof/>
          <w:sz w:val="22"/>
          <w:szCs w:val="22"/>
        </w:rPr>
      </w:pPr>
      <w:hyperlink w:anchor="_Toc438562594" w:history="1">
        <w:r w:rsidRPr="002A1C1D">
          <w:rPr>
            <w:rStyle w:val="Hyperlink"/>
            <w:noProof/>
          </w:rPr>
          <w:t>1.4.3 EM&amp;V, Market Potential, and Other Studies – Base Case and Measure Case Information</w:t>
        </w:r>
        <w:r>
          <w:rPr>
            <w:noProof/>
            <w:webHidden/>
          </w:rPr>
          <w:tab/>
        </w:r>
        <w:r>
          <w:rPr>
            <w:noProof/>
            <w:webHidden/>
          </w:rPr>
          <w:fldChar w:fldCharType="begin"/>
        </w:r>
        <w:r>
          <w:rPr>
            <w:noProof/>
            <w:webHidden/>
          </w:rPr>
          <w:instrText xml:space="preserve"> PAGEREF _Toc438562594 \h </w:instrText>
        </w:r>
        <w:r>
          <w:rPr>
            <w:noProof/>
            <w:webHidden/>
          </w:rPr>
        </w:r>
        <w:r>
          <w:rPr>
            <w:noProof/>
            <w:webHidden/>
          </w:rPr>
          <w:fldChar w:fldCharType="separate"/>
        </w:r>
        <w:r>
          <w:rPr>
            <w:noProof/>
            <w:webHidden/>
          </w:rPr>
          <w:t>5</w:t>
        </w:r>
        <w:r>
          <w:rPr>
            <w:noProof/>
            <w:webHidden/>
          </w:rPr>
          <w:fldChar w:fldCharType="end"/>
        </w:r>
      </w:hyperlink>
    </w:p>
    <w:p w:rsidR="001A450C" w:rsidRDefault="001A450C">
      <w:pPr>
        <w:pStyle w:val="TOC2"/>
        <w:tabs>
          <w:tab w:val="right" w:leader="dot" w:pos="9350"/>
        </w:tabs>
        <w:rPr>
          <w:rFonts w:asciiTheme="minorHAnsi" w:eastAsiaTheme="minorEastAsia" w:hAnsiTheme="minorHAnsi" w:cstheme="minorBidi"/>
          <w:noProof/>
          <w:sz w:val="22"/>
          <w:szCs w:val="22"/>
        </w:rPr>
      </w:pPr>
      <w:hyperlink w:anchor="_Toc438562595" w:history="1">
        <w:r w:rsidRPr="002A1C1D">
          <w:rPr>
            <w:rStyle w:val="Hyperlink"/>
            <w:noProof/>
          </w:rPr>
          <w:t>1.4.4 Assumptions and Calculations from other sources—Base and Measure Cases</w:t>
        </w:r>
        <w:r>
          <w:rPr>
            <w:noProof/>
            <w:webHidden/>
          </w:rPr>
          <w:tab/>
        </w:r>
        <w:r>
          <w:rPr>
            <w:noProof/>
            <w:webHidden/>
          </w:rPr>
          <w:fldChar w:fldCharType="begin"/>
        </w:r>
        <w:r>
          <w:rPr>
            <w:noProof/>
            <w:webHidden/>
          </w:rPr>
          <w:instrText xml:space="preserve"> PAGEREF _Toc438562595 \h </w:instrText>
        </w:r>
        <w:r>
          <w:rPr>
            <w:noProof/>
            <w:webHidden/>
          </w:rPr>
        </w:r>
        <w:r>
          <w:rPr>
            <w:noProof/>
            <w:webHidden/>
          </w:rPr>
          <w:fldChar w:fldCharType="separate"/>
        </w:r>
        <w:r>
          <w:rPr>
            <w:noProof/>
            <w:webHidden/>
          </w:rPr>
          <w:t>5</w:t>
        </w:r>
        <w:r>
          <w:rPr>
            <w:noProof/>
            <w:webHidden/>
          </w:rPr>
          <w:fldChar w:fldCharType="end"/>
        </w:r>
      </w:hyperlink>
    </w:p>
    <w:p w:rsidR="001A450C" w:rsidRDefault="001A450C">
      <w:pPr>
        <w:pStyle w:val="TOC1"/>
        <w:tabs>
          <w:tab w:val="right" w:leader="dot" w:pos="9350"/>
        </w:tabs>
        <w:rPr>
          <w:rFonts w:asciiTheme="minorHAnsi" w:eastAsiaTheme="minorEastAsia" w:hAnsiTheme="minorHAnsi" w:cstheme="minorBidi"/>
          <w:noProof/>
          <w:sz w:val="22"/>
          <w:szCs w:val="22"/>
        </w:rPr>
      </w:pPr>
      <w:hyperlink w:anchor="_Toc438562596" w:history="1">
        <w:r w:rsidRPr="002A1C1D">
          <w:rPr>
            <w:rStyle w:val="Hyperlink"/>
            <w:noProof/>
          </w:rPr>
          <w:t>Section 2. Calculation Methods</w:t>
        </w:r>
        <w:r>
          <w:rPr>
            <w:noProof/>
            <w:webHidden/>
          </w:rPr>
          <w:tab/>
        </w:r>
        <w:r>
          <w:rPr>
            <w:noProof/>
            <w:webHidden/>
          </w:rPr>
          <w:fldChar w:fldCharType="begin"/>
        </w:r>
        <w:r>
          <w:rPr>
            <w:noProof/>
            <w:webHidden/>
          </w:rPr>
          <w:instrText xml:space="preserve"> PAGEREF _Toc438562596 \h </w:instrText>
        </w:r>
        <w:r>
          <w:rPr>
            <w:noProof/>
            <w:webHidden/>
          </w:rPr>
        </w:r>
        <w:r>
          <w:rPr>
            <w:noProof/>
            <w:webHidden/>
          </w:rPr>
          <w:fldChar w:fldCharType="separate"/>
        </w:r>
        <w:r>
          <w:rPr>
            <w:noProof/>
            <w:webHidden/>
          </w:rPr>
          <w:t>7</w:t>
        </w:r>
        <w:r>
          <w:rPr>
            <w:noProof/>
            <w:webHidden/>
          </w:rPr>
          <w:fldChar w:fldCharType="end"/>
        </w:r>
      </w:hyperlink>
    </w:p>
    <w:p w:rsidR="001A450C" w:rsidRDefault="001A450C">
      <w:pPr>
        <w:pStyle w:val="TOC2"/>
        <w:tabs>
          <w:tab w:val="right" w:leader="dot" w:pos="9350"/>
        </w:tabs>
        <w:rPr>
          <w:rFonts w:asciiTheme="minorHAnsi" w:eastAsiaTheme="minorEastAsia" w:hAnsiTheme="minorHAnsi" w:cstheme="minorBidi"/>
          <w:noProof/>
          <w:sz w:val="22"/>
          <w:szCs w:val="22"/>
        </w:rPr>
      </w:pPr>
      <w:hyperlink w:anchor="_Toc438562597" w:history="1">
        <w:r w:rsidRPr="002A1C1D">
          <w:rPr>
            <w:rStyle w:val="Hyperlink"/>
            <w:noProof/>
          </w:rPr>
          <w:t>2.1 Electric Energy Savings Estimation Methodologies</w:t>
        </w:r>
        <w:r>
          <w:rPr>
            <w:noProof/>
            <w:webHidden/>
          </w:rPr>
          <w:tab/>
        </w:r>
        <w:r>
          <w:rPr>
            <w:noProof/>
            <w:webHidden/>
          </w:rPr>
          <w:fldChar w:fldCharType="begin"/>
        </w:r>
        <w:r>
          <w:rPr>
            <w:noProof/>
            <w:webHidden/>
          </w:rPr>
          <w:instrText xml:space="preserve"> PAGEREF _Toc438562597 \h </w:instrText>
        </w:r>
        <w:r>
          <w:rPr>
            <w:noProof/>
            <w:webHidden/>
          </w:rPr>
        </w:r>
        <w:r>
          <w:rPr>
            <w:noProof/>
            <w:webHidden/>
          </w:rPr>
          <w:fldChar w:fldCharType="separate"/>
        </w:r>
        <w:r>
          <w:rPr>
            <w:noProof/>
            <w:webHidden/>
          </w:rPr>
          <w:t>7</w:t>
        </w:r>
        <w:r>
          <w:rPr>
            <w:noProof/>
            <w:webHidden/>
          </w:rPr>
          <w:fldChar w:fldCharType="end"/>
        </w:r>
      </w:hyperlink>
    </w:p>
    <w:p w:rsidR="001A450C" w:rsidRDefault="001A450C">
      <w:pPr>
        <w:pStyle w:val="TOC2"/>
        <w:tabs>
          <w:tab w:val="right" w:leader="dot" w:pos="9350"/>
        </w:tabs>
        <w:rPr>
          <w:rFonts w:asciiTheme="minorHAnsi" w:eastAsiaTheme="minorEastAsia" w:hAnsiTheme="minorHAnsi" w:cstheme="minorBidi"/>
          <w:noProof/>
          <w:sz w:val="22"/>
          <w:szCs w:val="22"/>
        </w:rPr>
      </w:pPr>
      <w:hyperlink w:anchor="_Toc438562598" w:history="1">
        <w:r w:rsidRPr="002A1C1D">
          <w:rPr>
            <w:rStyle w:val="Hyperlink"/>
            <w:noProof/>
          </w:rPr>
          <w:t>2.2. Demand Reduction Estimation Methodologies</w:t>
        </w:r>
        <w:r>
          <w:rPr>
            <w:noProof/>
            <w:webHidden/>
          </w:rPr>
          <w:tab/>
        </w:r>
        <w:r>
          <w:rPr>
            <w:noProof/>
            <w:webHidden/>
          </w:rPr>
          <w:fldChar w:fldCharType="begin"/>
        </w:r>
        <w:r>
          <w:rPr>
            <w:noProof/>
            <w:webHidden/>
          </w:rPr>
          <w:instrText xml:space="preserve"> PAGEREF _Toc438562598 \h </w:instrText>
        </w:r>
        <w:r>
          <w:rPr>
            <w:noProof/>
            <w:webHidden/>
          </w:rPr>
        </w:r>
        <w:r>
          <w:rPr>
            <w:noProof/>
            <w:webHidden/>
          </w:rPr>
          <w:fldChar w:fldCharType="separate"/>
        </w:r>
        <w:r>
          <w:rPr>
            <w:noProof/>
            <w:webHidden/>
          </w:rPr>
          <w:t>8</w:t>
        </w:r>
        <w:r>
          <w:rPr>
            <w:noProof/>
            <w:webHidden/>
          </w:rPr>
          <w:fldChar w:fldCharType="end"/>
        </w:r>
      </w:hyperlink>
    </w:p>
    <w:p w:rsidR="001A450C" w:rsidRDefault="001A450C">
      <w:pPr>
        <w:pStyle w:val="TOC2"/>
        <w:tabs>
          <w:tab w:val="right" w:leader="dot" w:pos="9350"/>
        </w:tabs>
        <w:rPr>
          <w:rFonts w:asciiTheme="minorHAnsi" w:eastAsiaTheme="minorEastAsia" w:hAnsiTheme="minorHAnsi" w:cstheme="minorBidi"/>
          <w:noProof/>
          <w:sz w:val="22"/>
          <w:szCs w:val="22"/>
        </w:rPr>
      </w:pPr>
      <w:hyperlink w:anchor="_Toc438562599" w:history="1">
        <w:r w:rsidRPr="002A1C1D">
          <w:rPr>
            <w:rStyle w:val="Hyperlink"/>
            <w:noProof/>
          </w:rPr>
          <w:t>2.3. Gas Energy Savings Estimation Methodologies</w:t>
        </w:r>
        <w:r>
          <w:rPr>
            <w:noProof/>
            <w:webHidden/>
          </w:rPr>
          <w:tab/>
        </w:r>
        <w:r>
          <w:rPr>
            <w:noProof/>
            <w:webHidden/>
          </w:rPr>
          <w:fldChar w:fldCharType="begin"/>
        </w:r>
        <w:r>
          <w:rPr>
            <w:noProof/>
            <w:webHidden/>
          </w:rPr>
          <w:instrText xml:space="preserve"> PAGEREF _Toc438562599 \h </w:instrText>
        </w:r>
        <w:r>
          <w:rPr>
            <w:noProof/>
            <w:webHidden/>
          </w:rPr>
        </w:r>
        <w:r>
          <w:rPr>
            <w:noProof/>
            <w:webHidden/>
          </w:rPr>
          <w:fldChar w:fldCharType="separate"/>
        </w:r>
        <w:r>
          <w:rPr>
            <w:noProof/>
            <w:webHidden/>
          </w:rPr>
          <w:t>8</w:t>
        </w:r>
        <w:r>
          <w:rPr>
            <w:noProof/>
            <w:webHidden/>
          </w:rPr>
          <w:fldChar w:fldCharType="end"/>
        </w:r>
      </w:hyperlink>
    </w:p>
    <w:p w:rsidR="001A450C" w:rsidRDefault="001A450C">
      <w:pPr>
        <w:pStyle w:val="TOC1"/>
        <w:tabs>
          <w:tab w:val="right" w:leader="dot" w:pos="9350"/>
        </w:tabs>
        <w:rPr>
          <w:rFonts w:asciiTheme="minorHAnsi" w:eastAsiaTheme="minorEastAsia" w:hAnsiTheme="minorHAnsi" w:cstheme="minorBidi"/>
          <w:noProof/>
          <w:sz w:val="22"/>
          <w:szCs w:val="22"/>
        </w:rPr>
      </w:pPr>
      <w:hyperlink w:anchor="_Toc438562600" w:history="1">
        <w:r w:rsidRPr="002A1C1D">
          <w:rPr>
            <w:rStyle w:val="Hyperlink"/>
            <w:noProof/>
          </w:rPr>
          <w:t>Section 3. Load Shapes</w:t>
        </w:r>
        <w:r>
          <w:rPr>
            <w:noProof/>
            <w:webHidden/>
          </w:rPr>
          <w:tab/>
        </w:r>
        <w:r>
          <w:rPr>
            <w:noProof/>
            <w:webHidden/>
          </w:rPr>
          <w:fldChar w:fldCharType="begin"/>
        </w:r>
        <w:r>
          <w:rPr>
            <w:noProof/>
            <w:webHidden/>
          </w:rPr>
          <w:instrText xml:space="preserve"> PAGEREF _Toc438562600 \h </w:instrText>
        </w:r>
        <w:r>
          <w:rPr>
            <w:noProof/>
            <w:webHidden/>
          </w:rPr>
        </w:r>
        <w:r>
          <w:rPr>
            <w:noProof/>
            <w:webHidden/>
          </w:rPr>
          <w:fldChar w:fldCharType="separate"/>
        </w:r>
        <w:r>
          <w:rPr>
            <w:noProof/>
            <w:webHidden/>
          </w:rPr>
          <w:t>9</w:t>
        </w:r>
        <w:r>
          <w:rPr>
            <w:noProof/>
            <w:webHidden/>
          </w:rPr>
          <w:fldChar w:fldCharType="end"/>
        </w:r>
      </w:hyperlink>
    </w:p>
    <w:p w:rsidR="001A450C" w:rsidRDefault="001A450C">
      <w:pPr>
        <w:pStyle w:val="TOC2"/>
        <w:tabs>
          <w:tab w:val="right" w:leader="dot" w:pos="9350"/>
        </w:tabs>
        <w:rPr>
          <w:rFonts w:asciiTheme="minorHAnsi" w:eastAsiaTheme="minorEastAsia" w:hAnsiTheme="minorHAnsi" w:cstheme="minorBidi"/>
          <w:noProof/>
          <w:sz w:val="22"/>
          <w:szCs w:val="22"/>
        </w:rPr>
      </w:pPr>
      <w:hyperlink w:anchor="_Toc438562601" w:history="1">
        <w:r w:rsidRPr="002A1C1D">
          <w:rPr>
            <w:rStyle w:val="Hyperlink"/>
            <w:noProof/>
          </w:rPr>
          <w:t>3.1 Base Case Load Shapes</w:t>
        </w:r>
        <w:r>
          <w:rPr>
            <w:noProof/>
            <w:webHidden/>
          </w:rPr>
          <w:tab/>
        </w:r>
        <w:r>
          <w:rPr>
            <w:noProof/>
            <w:webHidden/>
          </w:rPr>
          <w:fldChar w:fldCharType="begin"/>
        </w:r>
        <w:r>
          <w:rPr>
            <w:noProof/>
            <w:webHidden/>
          </w:rPr>
          <w:instrText xml:space="preserve"> PAGEREF _Toc438562601 \h </w:instrText>
        </w:r>
        <w:r>
          <w:rPr>
            <w:noProof/>
            <w:webHidden/>
          </w:rPr>
        </w:r>
        <w:r>
          <w:rPr>
            <w:noProof/>
            <w:webHidden/>
          </w:rPr>
          <w:fldChar w:fldCharType="separate"/>
        </w:r>
        <w:r>
          <w:rPr>
            <w:noProof/>
            <w:webHidden/>
          </w:rPr>
          <w:t>9</w:t>
        </w:r>
        <w:r>
          <w:rPr>
            <w:noProof/>
            <w:webHidden/>
          </w:rPr>
          <w:fldChar w:fldCharType="end"/>
        </w:r>
      </w:hyperlink>
    </w:p>
    <w:p w:rsidR="001A450C" w:rsidRDefault="001A450C">
      <w:pPr>
        <w:pStyle w:val="TOC2"/>
        <w:tabs>
          <w:tab w:val="right" w:leader="dot" w:pos="9350"/>
        </w:tabs>
        <w:rPr>
          <w:rFonts w:asciiTheme="minorHAnsi" w:eastAsiaTheme="minorEastAsia" w:hAnsiTheme="minorHAnsi" w:cstheme="minorBidi"/>
          <w:noProof/>
          <w:sz w:val="22"/>
          <w:szCs w:val="22"/>
        </w:rPr>
      </w:pPr>
      <w:hyperlink w:anchor="_Toc438562602" w:history="1">
        <w:r w:rsidRPr="002A1C1D">
          <w:rPr>
            <w:rStyle w:val="Hyperlink"/>
            <w:noProof/>
          </w:rPr>
          <w:t>3.2 Measure Load Shapes</w:t>
        </w:r>
        <w:r>
          <w:rPr>
            <w:noProof/>
            <w:webHidden/>
          </w:rPr>
          <w:tab/>
        </w:r>
        <w:r>
          <w:rPr>
            <w:noProof/>
            <w:webHidden/>
          </w:rPr>
          <w:fldChar w:fldCharType="begin"/>
        </w:r>
        <w:r>
          <w:rPr>
            <w:noProof/>
            <w:webHidden/>
          </w:rPr>
          <w:instrText xml:space="preserve"> PAGEREF _Toc438562602 \h </w:instrText>
        </w:r>
        <w:r>
          <w:rPr>
            <w:noProof/>
            <w:webHidden/>
          </w:rPr>
        </w:r>
        <w:r>
          <w:rPr>
            <w:noProof/>
            <w:webHidden/>
          </w:rPr>
          <w:fldChar w:fldCharType="separate"/>
        </w:r>
        <w:r>
          <w:rPr>
            <w:noProof/>
            <w:webHidden/>
          </w:rPr>
          <w:t>9</w:t>
        </w:r>
        <w:r>
          <w:rPr>
            <w:noProof/>
            <w:webHidden/>
          </w:rPr>
          <w:fldChar w:fldCharType="end"/>
        </w:r>
      </w:hyperlink>
    </w:p>
    <w:p w:rsidR="001A450C" w:rsidRDefault="001A450C">
      <w:pPr>
        <w:pStyle w:val="TOC1"/>
        <w:tabs>
          <w:tab w:val="right" w:leader="dot" w:pos="9350"/>
        </w:tabs>
        <w:rPr>
          <w:rFonts w:asciiTheme="minorHAnsi" w:eastAsiaTheme="minorEastAsia" w:hAnsiTheme="minorHAnsi" w:cstheme="minorBidi"/>
          <w:noProof/>
          <w:sz w:val="22"/>
          <w:szCs w:val="22"/>
        </w:rPr>
      </w:pPr>
      <w:hyperlink w:anchor="_Toc438562603" w:history="1">
        <w:r w:rsidRPr="002A1C1D">
          <w:rPr>
            <w:rStyle w:val="Hyperlink"/>
            <w:noProof/>
          </w:rPr>
          <w:t>Section 4. Base Case &amp; Measure Costs</w:t>
        </w:r>
        <w:r>
          <w:rPr>
            <w:noProof/>
            <w:webHidden/>
          </w:rPr>
          <w:tab/>
        </w:r>
        <w:r>
          <w:rPr>
            <w:noProof/>
            <w:webHidden/>
          </w:rPr>
          <w:fldChar w:fldCharType="begin"/>
        </w:r>
        <w:r>
          <w:rPr>
            <w:noProof/>
            <w:webHidden/>
          </w:rPr>
          <w:instrText xml:space="preserve"> PAGEREF _Toc438562603 \h </w:instrText>
        </w:r>
        <w:r>
          <w:rPr>
            <w:noProof/>
            <w:webHidden/>
          </w:rPr>
        </w:r>
        <w:r>
          <w:rPr>
            <w:noProof/>
            <w:webHidden/>
          </w:rPr>
          <w:fldChar w:fldCharType="separate"/>
        </w:r>
        <w:r>
          <w:rPr>
            <w:noProof/>
            <w:webHidden/>
          </w:rPr>
          <w:t>10</w:t>
        </w:r>
        <w:r>
          <w:rPr>
            <w:noProof/>
            <w:webHidden/>
          </w:rPr>
          <w:fldChar w:fldCharType="end"/>
        </w:r>
      </w:hyperlink>
      <w:bookmarkStart w:id="8" w:name="_GoBack"/>
      <w:bookmarkEnd w:id="8"/>
    </w:p>
    <w:p w:rsidR="001A450C" w:rsidRDefault="001A450C">
      <w:pPr>
        <w:pStyle w:val="TOC2"/>
        <w:tabs>
          <w:tab w:val="right" w:leader="dot" w:pos="9350"/>
        </w:tabs>
        <w:rPr>
          <w:rFonts w:asciiTheme="minorHAnsi" w:eastAsiaTheme="minorEastAsia" w:hAnsiTheme="minorHAnsi" w:cstheme="minorBidi"/>
          <w:noProof/>
          <w:sz w:val="22"/>
          <w:szCs w:val="22"/>
        </w:rPr>
      </w:pPr>
      <w:hyperlink w:anchor="_Toc438562604" w:history="1">
        <w:r w:rsidRPr="002A1C1D">
          <w:rPr>
            <w:rStyle w:val="Hyperlink"/>
            <w:noProof/>
          </w:rPr>
          <w:t>4.1 Base Case Costs</w:t>
        </w:r>
        <w:r>
          <w:rPr>
            <w:noProof/>
            <w:webHidden/>
          </w:rPr>
          <w:tab/>
        </w:r>
        <w:r>
          <w:rPr>
            <w:noProof/>
            <w:webHidden/>
          </w:rPr>
          <w:fldChar w:fldCharType="begin"/>
        </w:r>
        <w:r>
          <w:rPr>
            <w:noProof/>
            <w:webHidden/>
          </w:rPr>
          <w:instrText xml:space="preserve"> PAGEREF _Toc438562604 \h </w:instrText>
        </w:r>
        <w:r>
          <w:rPr>
            <w:noProof/>
            <w:webHidden/>
          </w:rPr>
        </w:r>
        <w:r>
          <w:rPr>
            <w:noProof/>
            <w:webHidden/>
          </w:rPr>
          <w:fldChar w:fldCharType="separate"/>
        </w:r>
        <w:r>
          <w:rPr>
            <w:noProof/>
            <w:webHidden/>
          </w:rPr>
          <w:t>10</w:t>
        </w:r>
        <w:r>
          <w:rPr>
            <w:noProof/>
            <w:webHidden/>
          </w:rPr>
          <w:fldChar w:fldCharType="end"/>
        </w:r>
      </w:hyperlink>
    </w:p>
    <w:p w:rsidR="001A450C" w:rsidRDefault="001A450C">
      <w:pPr>
        <w:pStyle w:val="TOC2"/>
        <w:tabs>
          <w:tab w:val="right" w:leader="dot" w:pos="9350"/>
        </w:tabs>
        <w:rPr>
          <w:rFonts w:asciiTheme="minorHAnsi" w:eastAsiaTheme="minorEastAsia" w:hAnsiTheme="minorHAnsi" w:cstheme="minorBidi"/>
          <w:noProof/>
          <w:sz w:val="22"/>
          <w:szCs w:val="22"/>
        </w:rPr>
      </w:pPr>
      <w:hyperlink w:anchor="_Toc438562605" w:history="1">
        <w:r w:rsidRPr="002A1C1D">
          <w:rPr>
            <w:rStyle w:val="Hyperlink"/>
            <w:noProof/>
          </w:rPr>
          <w:t>4.2 Measure Costs</w:t>
        </w:r>
        <w:r>
          <w:rPr>
            <w:noProof/>
            <w:webHidden/>
          </w:rPr>
          <w:tab/>
        </w:r>
        <w:r>
          <w:rPr>
            <w:noProof/>
            <w:webHidden/>
          </w:rPr>
          <w:fldChar w:fldCharType="begin"/>
        </w:r>
        <w:r>
          <w:rPr>
            <w:noProof/>
            <w:webHidden/>
          </w:rPr>
          <w:instrText xml:space="preserve"> PAGEREF _Toc438562605 \h </w:instrText>
        </w:r>
        <w:r>
          <w:rPr>
            <w:noProof/>
            <w:webHidden/>
          </w:rPr>
        </w:r>
        <w:r>
          <w:rPr>
            <w:noProof/>
            <w:webHidden/>
          </w:rPr>
          <w:fldChar w:fldCharType="separate"/>
        </w:r>
        <w:r>
          <w:rPr>
            <w:noProof/>
            <w:webHidden/>
          </w:rPr>
          <w:t>10</w:t>
        </w:r>
        <w:r>
          <w:rPr>
            <w:noProof/>
            <w:webHidden/>
          </w:rPr>
          <w:fldChar w:fldCharType="end"/>
        </w:r>
      </w:hyperlink>
    </w:p>
    <w:p w:rsidR="001A450C" w:rsidRDefault="001A450C">
      <w:pPr>
        <w:pStyle w:val="TOC2"/>
        <w:tabs>
          <w:tab w:val="right" w:leader="dot" w:pos="9350"/>
        </w:tabs>
        <w:rPr>
          <w:rFonts w:asciiTheme="minorHAnsi" w:eastAsiaTheme="minorEastAsia" w:hAnsiTheme="minorHAnsi" w:cstheme="minorBidi"/>
          <w:noProof/>
          <w:sz w:val="22"/>
          <w:szCs w:val="22"/>
        </w:rPr>
      </w:pPr>
      <w:hyperlink w:anchor="_Toc438562606" w:history="1">
        <w:r w:rsidRPr="002A1C1D">
          <w:rPr>
            <w:rStyle w:val="Hyperlink"/>
            <w:noProof/>
          </w:rPr>
          <w:t>4.3 Incremental &amp; Full Measure Costs</w:t>
        </w:r>
        <w:r>
          <w:rPr>
            <w:noProof/>
            <w:webHidden/>
          </w:rPr>
          <w:tab/>
        </w:r>
        <w:r>
          <w:rPr>
            <w:noProof/>
            <w:webHidden/>
          </w:rPr>
          <w:fldChar w:fldCharType="begin"/>
        </w:r>
        <w:r>
          <w:rPr>
            <w:noProof/>
            <w:webHidden/>
          </w:rPr>
          <w:instrText xml:space="preserve"> PAGEREF _Toc438562606 \h </w:instrText>
        </w:r>
        <w:r>
          <w:rPr>
            <w:noProof/>
            <w:webHidden/>
          </w:rPr>
        </w:r>
        <w:r>
          <w:rPr>
            <w:noProof/>
            <w:webHidden/>
          </w:rPr>
          <w:fldChar w:fldCharType="separate"/>
        </w:r>
        <w:r>
          <w:rPr>
            <w:noProof/>
            <w:webHidden/>
          </w:rPr>
          <w:t>10</w:t>
        </w:r>
        <w:r>
          <w:rPr>
            <w:noProof/>
            <w:webHidden/>
          </w:rPr>
          <w:fldChar w:fldCharType="end"/>
        </w:r>
      </w:hyperlink>
    </w:p>
    <w:p w:rsidR="001A450C" w:rsidRDefault="001A450C">
      <w:pPr>
        <w:pStyle w:val="TOC1"/>
        <w:tabs>
          <w:tab w:val="right" w:leader="dot" w:pos="9350"/>
        </w:tabs>
        <w:rPr>
          <w:rFonts w:asciiTheme="minorHAnsi" w:eastAsiaTheme="minorEastAsia" w:hAnsiTheme="minorHAnsi" w:cstheme="minorBidi"/>
          <w:noProof/>
          <w:sz w:val="22"/>
          <w:szCs w:val="22"/>
        </w:rPr>
      </w:pPr>
      <w:hyperlink w:anchor="_Toc438562607" w:history="1">
        <w:r w:rsidRPr="002A1C1D">
          <w:rPr>
            <w:rStyle w:val="Hyperlink"/>
            <w:noProof/>
          </w:rPr>
          <w:t>References:</w:t>
        </w:r>
        <w:r>
          <w:rPr>
            <w:noProof/>
            <w:webHidden/>
          </w:rPr>
          <w:tab/>
        </w:r>
        <w:r>
          <w:rPr>
            <w:noProof/>
            <w:webHidden/>
          </w:rPr>
          <w:fldChar w:fldCharType="begin"/>
        </w:r>
        <w:r>
          <w:rPr>
            <w:noProof/>
            <w:webHidden/>
          </w:rPr>
          <w:instrText xml:space="preserve"> PAGEREF _Toc438562607 \h </w:instrText>
        </w:r>
        <w:r>
          <w:rPr>
            <w:noProof/>
            <w:webHidden/>
          </w:rPr>
        </w:r>
        <w:r>
          <w:rPr>
            <w:noProof/>
            <w:webHidden/>
          </w:rPr>
          <w:fldChar w:fldCharType="separate"/>
        </w:r>
        <w:r>
          <w:rPr>
            <w:noProof/>
            <w:webHidden/>
          </w:rPr>
          <w:t>11</w:t>
        </w:r>
        <w:r>
          <w:rPr>
            <w:noProof/>
            <w:webHidden/>
          </w:rPr>
          <w:fldChar w:fldCharType="end"/>
        </w:r>
      </w:hyperlink>
    </w:p>
    <w:p w:rsidR="00ED21EE" w:rsidRDefault="009F6F8B" w:rsidP="00ED21EE">
      <w:pPr>
        <w:pStyle w:val="Heading1"/>
      </w:pPr>
      <w:r>
        <w:rPr>
          <w:rFonts w:ascii="Times New Roman" w:hAnsi="Times New Roman" w:cs="Times New Roman"/>
          <w:b w:val="0"/>
          <w:bCs w:val="0"/>
          <w:kern w:val="0"/>
          <w:sz w:val="24"/>
          <w:szCs w:val="24"/>
        </w:rPr>
        <w:fldChar w:fldCharType="end"/>
      </w:r>
      <w:bookmarkStart w:id="9" w:name="_Toc172205729"/>
      <w:bookmarkStart w:id="10" w:name="_Toc438562586"/>
      <w:r w:rsidR="00ED21EE">
        <w:t>List of Tables</w:t>
      </w:r>
      <w:bookmarkEnd w:id="9"/>
      <w:bookmarkEnd w:id="10"/>
    </w:p>
    <w:p w:rsidR="001A450C" w:rsidRPr="001A450C" w:rsidRDefault="00ED21EE">
      <w:pPr>
        <w:pStyle w:val="TableofFigures"/>
        <w:tabs>
          <w:tab w:val="right" w:leader="dot" w:pos="9350"/>
        </w:tabs>
        <w:rPr>
          <w:rFonts w:eastAsiaTheme="minorEastAsia"/>
          <w:noProof/>
          <w:sz w:val="22"/>
          <w:szCs w:val="22"/>
        </w:rPr>
      </w:pPr>
      <w:r w:rsidRPr="001A450C">
        <w:fldChar w:fldCharType="begin"/>
      </w:r>
      <w:r w:rsidRPr="001A450C">
        <w:instrText xml:space="preserve"> TOC \h \z \c "Table" </w:instrText>
      </w:r>
      <w:r w:rsidRPr="001A450C">
        <w:fldChar w:fldCharType="separate"/>
      </w:r>
      <w:hyperlink w:anchor="_Toc438562576" w:history="1">
        <w:r w:rsidR="001A450C" w:rsidRPr="001A450C">
          <w:rPr>
            <w:rStyle w:val="Hyperlink"/>
            <w:noProof/>
          </w:rPr>
          <w:t>Table 1 - LED High-Bay and Low-Bay Fixtures Base and Measure Wattages</w:t>
        </w:r>
        <w:r w:rsidR="001A450C" w:rsidRPr="001A450C">
          <w:rPr>
            <w:noProof/>
            <w:webHidden/>
          </w:rPr>
          <w:tab/>
        </w:r>
        <w:r w:rsidR="001A450C" w:rsidRPr="001A450C">
          <w:rPr>
            <w:noProof/>
            <w:webHidden/>
          </w:rPr>
          <w:fldChar w:fldCharType="begin"/>
        </w:r>
        <w:r w:rsidR="001A450C" w:rsidRPr="001A450C">
          <w:rPr>
            <w:noProof/>
            <w:webHidden/>
          </w:rPr>
          <w:instrText xml:space="preserve"> PAGEREF _Toc438562576 \h </w:instrText>
        </w:r>
        <w:r w:rsidR="001A450C" w:rsidRPr="001A450C">
          <w:rPr>
            <w:noProof/>
            <w:webHidden/>
          </w:rPr>
        </w:r>
        <w:r w:rsidR="001A450C" w:rsidRPr="001A450C">
          <w:rPr>
            <w:noProof/>
            <w:webHidden/>
          </w:rPr>
          <w:fldChar w:fldCharType="separate"/>
        </w:r>
        <w:r w:rsidR="001A450C" w:rsidRPr="001A450C">
          <w:rPr>
            <w:noProof/>
            <w:webHidden/>
          </w:rPr>
          <w:t>1</w:t>
        </w:r>
        <w:r w:rsidR="001A450C" w:rsidRPr="001A450C">
          <w:rPr>
            <w:noProof/>
            <w:webHidden/>
          </w:rPr>
          <w:fldChar w:fldCharType="end"/>
        </w:r>
      </w:hyperlink>
    </w:p>
    <w:p w:rsidR="001A450C" w:rsidRPr="001A450C" w:rsidRDefault="001A450C">
      <w:pPr>
        <w:pStyle w:val="TableofFigures"/>
        <w:tabs>
          <w:tab w:val="right" w:leader="dot" w:pos="9350"/>
        </w:tabs>
        <w:rPr>
          <w:rFonts w:eastAsiaTheme="minorEastAsia"/>
          <w:noProof/>
          <w:sz w:val="22"/>
          <w:szCs w:val="22"/>
        </w:rPr>
      </w:pPr>
      <w:hyperlink w:anchor="_Toc438562577" w:history="1">
        <w:r w:rsidRPr="001A450C">
          <w:rPr>
            <w:rStyle w:val="Hyperlink"/>
            <w:noProof/>
          </w:rPr>
          <w:t>Table 2 Delivery Method and Applicable Building Types</w:t>
        </w:r>
        <w:r w:rsidRPr="001A450C">
          <w:rPr>
            <w:noProof/>
            <w:webHidden/>
          </w:rPr>
          <w:tab/>
        </w:r>
        <w:r w:rsidRPr="001A450C">
          <w:rPr>
            <w:noProof/>
            <w:webHidden/>
          </w:rPr>
          <w:fldChar w:fldCharType="begin"/>
        </w:r>
        <w:r w:rsidRPr="001A450C">
          <w:rPr>
            <w:noProof/>
            <w:webHidden/>
          </w:rPr>
          <w:instrText xml:space="preserve"> PAGEREF _Toc438562577 \h </w:instrText>
        </w:r>
        <w:r w:rsidRPr="001A450C">
          <w:rPr>
            <w:noProof/>
            <w:webHidden/>
          </w:rPr>
        </w:r>
        <w:r w:rsidRPr="001A450C">
          <w:rPr>
            <w:noProof/>
            <w:webHidden/>
          </w:rPr>
          <w:fldChar w:fldCharType="separate"/>
        </w:r>
        <w:r w:rsidRPr="001A450C">
          <w:rPr>
            <w:noProof/>
            <w:webHidden/>
          </w:rPr>
          <w:t>2</w:t>
        </w:r>
        <w:r w:rsidRPr="001A450C">
          <w:rPr>
            <w:noProof/>
            <w:webHidden/>
          </w:rPr>
          <w:fldChar w:fldCharType="end"/>
        </w:r>
      </w:hyperlink>
    </w:p>
    <w:p w:rsidR="001A450C" w:rsidRPr="001A450C" w:rsidRDefault="001A450C">
      <w:pPr>
        <w:pStyle w:val="TableofFigures"/>
        <w:tabs>
          <w:tab w:val="right" w:leader="dot" w:pos="9350"/>
        </w:tabs>
        <w:rPr>
          <w:rFonts w:eastAsiaTheme="minorEastAsia"/>
          <w:noProof/>
          <w:sz w:val="22"/>
          <w:szCs w:val="22"/>
        </w:rPr>
      </w:pPr>
      <w:hyperlink w:anchor="_Toc438562578" w:history="1">
        <w:r w:rsidRPr="001A450C">
          <w:rPr>
            <w:rStyle w:val="Hyperlink"/>
            <w:noProof/>
          </w:rPr>
          <w:t>Table 3 Measure Application Type</w:t>
        </w:r>
        <w:r w:rsidRPr="001A450C">
          <w:rPr>
            <w:noProof/>
            <w:webHidden/>
          </w:rPr>
          <w:tab/>
        </w:r>
        <w:r w:rsidRPr="001A450C">
          <w:rPr>
            <w:noProof/>
            <w:webHidden/>
          </w:rPr>
          <w:fldChar w:fldCharType="begin"/>
        </w:r>
        <w:r w:rsidRPr="001A450C">
          <w:rPr>
            <w:noProof/>
            <w:webHidden/>
          </w:rPr>
          <w:instrText xml:space="preserve"> PAGEREF _Toc438562578 \h </w:instrText>
        </w:r>
        <w:r w:rsidRPr="001A450C">
          <w:rPr>
            <w:noProof/>
            <w:webHidden/>
          </w:rPr>
        </w:r>
        <w:r w:rsidRPr="001A450C">
          <w:rPr>
            <w:noProof/>
            <w:webHidden/>
          </w:rPr>
          <w:fldChar w:fldCharType="separate"/>
        </w:r>
        <w:r w:rsidRPr="001A450C">
          <w:rPr>
            <w:noProof/>
            <w:webHidden/>
          </w:rPr>
          <w:t>3</w:t>
        </w:r>
        <w:r w:rsidRPr="001A450C">
          <w:rPr>
            <w:noProof/>
            <w:webHidden/>
          </w:rPr>
          <w:fldChar w:fldCharType="end"/>
        </w:r>
      </w:hyperlink>
    </w:p>
    <w:p w:rsidR="001A450C" w:rsidRPr="001A450C" w:rsidRDefault="001A450C">
      <w:pPr>
        <w:pStyle w:val="TableofFigures"/>
        <w:tabs>
          <w:tab w:val="right" w:leader="dot" w:pos="9350"/>
        </w:tabs>
        <w:rPr>
          <w:rFonts w:eastAsiaTheme="minorEastAsia"/>
          <w:noProof/>
          <w:sz w:val="22"/>
          <w:szCs w:val="22"/>
        </w:rPr>
      </w:pPr>
      <w:hyperlink w:anchor="_Toc438562579" w:history="1">
        <w:r w:rsidRPr="001A450C">
          <w:rPr>
            <w:rStyle w:val="Hyperlink"/>
            <w:noProof/>
          </w:rPr>
          <w:t>Table 4 - Net-to-Gross Ratios</w:t>
        </w:r>
        <w:r w:rsidRPr="001A450C">
          <w:rPr>
            <w:noProof/>
            <w:webHidden/>
          </w:rPr>
          <w:tab/>
        </w:r>
        <w:r w:rsidRPr="001A450C">
          <w:rPr>
            <w:noProof/>
            <w:webHidden/>
          </w:rPr>
          <w:fldChar w:fldCharType="begin"/>
        </w:r>
        <w:r w:rsidRPr="001A450C">
          <w:rPr>
            <w:noProof/>
            <w:webHidden/>
          </w:rPr>
          <w:instrText xml:space="preserve"> PAGEREF _Toc438562579 \h </w:instrText>
        </w:r>
        <w:r w:rsidRPr="001A450C">
          <w:rPr>
            <w:noProof/>
            <w:webHidden/>
          </w:rPr>
        </w:r>
        <w:r w:rsidRPr="001A450C">
          <w:rPr>
            <w:noProof/>
            <w:webHidden/>
          </w:rPr>
          <w:fldChar w:fldCharType="separate"/>
        </w:r>
        <w:r w:rsidRPr="001A450C">
          <w:rPr>
            <w:noProof/>
            <w:webHidden/>
          </w:rPr>
          <w:t>4</w:t>
        </w:r>
        <w:r w:rsidRPr="001A450C">
          <w:rPr>
            <w:noProof/>
            <w:webHidden/>
          </w:rPr>
          <w:fldChar w:fldCharType="end"/>
        </w:r>
      </w:hyperlink>
    </w:p>
    <w:p w:rsidR="001A450C" w:rsidRPr="001A450C" w:rsidRDefault="001A450C">
      <w:pPr>
        <w:pStyle w:val="TableofFigures"/>
        <w:tabs>
          <w:tab w:val="right" w:leader="dot" w:pos="9350"/>
        </w:tabs>
        <w:rPr>
          <w:rFonts w:eastAsiaTheme="minorEastAsia"/>
          <w:noProof/>
          <w:sz w:val="22"/>
          <w:szCs w:val="22"/>
        </w:rPr>
      </w:pPr>
      <w:hyperlink w:anchor="_Toc438562580" w:history="1">
        <w:r w:rsidRPr="001A450C">
          <w:rPr>
            <w:rStyle w:val="Hyperlink"/>
            <w:noProof/>
          </w:rPr>
          <w:t>Table 5 Installation Rates</w:t>
        </w:r>
        <w:r w:rsidRPr="001A450C">
          <w:rPr>
            <w:noProof/>
            <w:webHidden/>
          </w:rPr>
          <w:tab/>
        </w:r>
        <w:r w:rsidRPr="001A450C">
          <w:rPr>
            <w:noProof/>
            <w:webHidden/>
          </w:rPr>
          <w:fldChar w:fldCharType="begin"/>
        </w:r>
        <w:r w:rsidRPr="001A450C">
          <w:rPr>
            <w:noProof/>
            <w:webHidden/>
          </w:rPr>
          <w:instrText xml:space="preserve"> PAGEREF _Toc438562580 \h </w:instrText>
        </w:r>
        <w:r w:rsidRPr="001A450C">
          <w:rPr>
            <w:noProof/>
            <w:webHidden/>
          </w:rPr>
        </w:r>
        <w:r w:rsidRPr="001A450C">
          <w:rPr>
            <w:noProof/>
            <w:webHidden/>
          </w:rPr>
          <w:fldChar w:fldCharType="separate"/>
        </w:r>
        <w:r w:rsidRPr="001A450C">
          <w:rPr>
            <w:noProof/>
            <w:webHidden/>
          </w:rPr>
          <w:t>4</w:t>
        </w:r>
        <w:r w:rsidRPr="001A450C">
          <w:rPr>
            <w:noProof/>
            <w:webHidden/>
          </w:rPr>
          <w:fldChar w:fldCharType="end"/>
        </w:r>
      </w:hyperlink>
    </w:p>
    <w:p w:rsidR="001A450C" w:rsidRPr="001A450C" w:rsidRDefault="001A450C">
      <w:pPr>
        <w:pStyle w:val="TableofFigures"/>
        <w:tabs>
          <w:tab w:val="right" w:leader="dot" w:pos="9350"/>
        </w:tabs>
        <w:rPr>
          <w:rFonts w:eastAsiaTheme="minorEastAsia"/>
          <w:noProof/>
          <w:sz w:val="22"/>
          <w:szCs w:val="22"/>
        </w:rPr>
      </w:pPr>
      <w:hyperlink w:anchor="_Toc438562581" w:history="1">
        <w:r w:rsidRPr="001A450C">
          <w:rPr>
            <w:rStyle w:val="Hyperlink"/>
            <w:noProof/>
          </w:rPr>
          <w:t>Table 6 Effective Useful Life/Remaining Useful Life</w:t>
        </w:r>
        <w:r w:rsidRPr="001A450C">
          <w:rPr>
            <w:noProof/>
            <w:webHidden/>
          </w:rPr>
          <w:tab/>
        </w:r>
        <w:r w:rsidRPr="001A450C">
          <w:rPr>
            <w:noProof/>
            <w:webHidden/>
          </w:rPr>
          <w:fldChar w:fldCharType="begin"/>
        </w:r>
        <w:r w:rsidRPr="001A450C">
          <w:rPr>
            <w:noProof/>
            <w:webHidden/>
          </w:rPr>
          <w:instrText xml:space="preserve"> PAGEREF _Toc438562581 \h </w:instrText>
        </w:r>
        <w:r w:rsidRPr="001A450C">
          <w:rPr>
            <w:noProof/>
            <w:webHidden/>
          </w:rPr>
        </w:r>
        <w:r w:rsidRPr="001A450C">
          <w:rPr>
            <w:noProof/>
            <w:webHidden/>
          </w:rPr>
          <w:fldChar w:fldCharType="separate"/>
        </w:r>
        <w:r w:rsidRPr="001A450C">
          <w:rPr>
            <w:noProof/>
            <w:webHidden/>
          </w:rPr>
          <w:t>4</w:t>
        </w:r>
        <w:r w:rsidRPr="001A450C">
          <w:rPr>
            <w:noProof/>
            <w:webHidden/>
          </w:rPr>
          <w:fldChar w:fldCharType="end"/>
        </w:r>
      </w:hyperlink>
    </w:p>
    <w:p w:rsidR="001A450C" w:rsidRPr="001A450C" w:rsidRDefault="001A450C">
      <w:pPr>
        <w:pStyle w:val="TableofFigures"/>
        <w:tabs>
          <w:tab w:val="right" w:leader="dot" w:pos="9350"/>
        </w:tabs>
        <w:rPr>
          <w:rFonts w:eastAsiaTheme="minorEastAsia"/>
          <w:noProof/>
          <w:sz w:val="22"/>
          <w:szCs w:val="22"/>
        </w:rPr>
      </w:pPr>
      <w:hyperlink w:anchor="_Toc438562582" w:history="1">
        <w:r w:rsidRPr="001A450C">
          <w:rPr>
            <w:rStyle w:val="Hyperlink"/>
            <w:noProof/>
          </w:rPr>
          <w:t>Table 7 - LED High-Bay and Low-Bay Fixtures Base and Measure Wattages</w:t>
        </w:r>
        <w:r w:rsidRPr="001A450C">
          <w:rPr>
            <w:noProof/>
            <w:webHidden/>
          </w:rPr>
          <w:tab/>
        </w:r>
        <w:r w:rsidRPr="001A450C">
          <w:rPr>
            <w:noProof/>
            <w:webHidden/>
          </w:rPr>
          <w:fldChar w:fldCharType="begin"/>
        </w:r>
        <w:r w:rsidRPr="001A450C">
          <w:rPr>
            <w:noProof/>
            <w:webHidden/>
          </w:rPr>
          <w:instrText xml:space="preserve"> PAGEREF _Toc438562582 \h </w:instrText>
        </w:r>
        <w:r w:rsidRPr="001A450C">
          <w:rPr>
            <w:noProof/>
            <w:webHidden/>
          </w:rPr>
        </w:r>
        <w:r w:rsidRPr="001A450C">
          <w:rPr>
            <w:noProof/>
            <w:webHidden/>
          </w:rPr>
          <w:fldChar w:fldCharType="separate"/>
        </w:r>
        <w:r w:rsidRPr="001A450C">
          <w:rPr>
            <w:noProof/>
            <w:webHidden/>
          </w:rPr>
          <w:t>7</w:t>
        </w:r>
        <w:r w:rsidRPr="001A450C">
          <w:rPr>
            <w:noProof/>
            <w:webHidden/>
          </w:rPr>
          <w:fldChar w:fldCharType="end"/>
        </w:r>
      </w:hyperlink>
    </w:p>
    <w:p w:rsidR="005A1F9D" w:rsidRDefault="00ED21EE" w:rsidP="005A1F9D">
      <w:r w:rsidRPr="001A450C">
        <w:fldChar w:fldCharType="end"/>
      </w:r>
      <w:r w:rsidR="005A1F9D" w:rsidRPr="005A1F9D">
        <w:t xml:space="preserve"> </w:t>
      </w:r>
    </w:p>
    <w:p w:rsidR="00851FAF" w:rsidRDefault="00851FAF" w:rsidP="00ED21EE">
      <w:pPr>
        <w:pStyle w:val="Heading1"/>
        <w:sectPr w:rsidR="00851FAF" w:rsidSect="00262365">
          <w:endnotePr>
            <w:numFmt w:val="decimal"/>
          </w:endnotePr>
          <w:pgSz w:w="12240" w:h="15840"/>
          <w:pgMar w:top="1440" w:right="1440" w:bottom="1440" w:left="1440" w:header="720" w:footer="720" w:gutter="0"/>
          <w:pgNumType w:fmt="lowerRoman" w:chapStyle="1"/>
          <w:cols w:space="720"/>
          <w:docGrid w:linePitch="360"/>
        </w:sectPr>
      </w:pPr>
      <w:bookmarkStart w:id="11" w:name="_Toc172205732"/>
    </w:p>
    <w:p w:rsidR="00ED21EE" w:rsidRDefault="00ED21EE" w:rsidP="00ED21EE">
      <w:pPr>
        <w:pStyle w:val="Heading1"/>
      </w:pPr>
      <w:bookmarkStart w:id="12" w:name="_Toc438562587"/>
      <w:proofErr w:type="gramStart"/>
      <w:r>
        <w:lastRenderedPageBreak/>
        <w:t>Section 1.</w:t>
      </w:r>
      <w:proofErr w:type="gramEnd"/>
      <w:r>
        <w:t xml:space="preserve"> General Measure &amp; Baseline Data</w:t>
      </w:r>
      <w:bookmarkEnd w:id="12"/>
    </w:p>
    <w:p w:rsidR="00E71EF1" w:rsidRDefault="001248A3" w:rsidP="001248A3">
      <w:pPr>
        <w:pStyle w:val="Heading2"/>
      </w:pPr>
      <w:bookmarkStart w:id="13" w:name="_Toc438562588"/>
      <w:bookmarkEnd w:id="11"/>
      <w:r>
        <w:t xml:space="preserve">1.1 </w:t>
      </w:r>
      <w:r w:rsidR="008C6AD1">
        <w:t xml:space="preserve">Product </w:t>
      </w:r>
      <w:r w:rsidR="00E71EF1" w:rsidRPr="001248A3">
        <w:t>Measure Description &amp; Background</w:t>
      </w:r>
      <w:bookmarkEnd w:id="13"/>
    </w:p>
    <w:p w:rsidR="0037707D" w:rsidRDefault="00521920" w:rsidP="00872913">
      <w:pPr>
        <w:rPr>
          <w:rFonts w:ascii="Arial" w:hAnsi="Arial" w:cs="Arial"/>
          <w:b/>
          <w:i/>
        </w:rPr>
      </w:pPr>
      <w:r w:rsidRPr="00521920">
        <w:rPr>
          <w:rFonts w:ascii="Arial" w:hAnsi="Arial" w:cs="Arial"/>
          <w:b/>
          <w:i/>
        </w:rPr>
        <w:t>Catalog Description</w:t>
      </w:r>
      <w:r w:rsidR="00476B67">
        <w:rPr>
          <w:rFonts w:ascii="Arial" w:hAnsi="Arial" w:cs="Arial"/>
          <w:b/>
          <w:i/>
        </w:rPr>
        <w:t xml:space="preserve"> </w:t>
      </w:r>
    </w:p>
    <w:p w:rsidR="0037707D" w:rsidRPr="0008537D" w:rsidRDefault="0037707D" w:rsidP="00872913">
      <w:pPr>
        <w:rPr>
          <w:rFonts w:ascii="Arial" w:hAnsi="Arial" w:cs="Arial"/>
          <w:b/>
          <w:i/>
          <w:sz w:val="20"/>
        </w:rPr>
      </w:pPr>
      <w:r w:rsidRPr="0008537D">
        <w:rPr>
          <w:rFonts w:ascii="Arial" w:hAnsi="Arial" w:cs="Arial"/>
          <w:sz w:val="20"/>
        </w:rPr>
        <w:t xml:space="preserve">Light Emitting Diode (LED) </w:t>
      </w:r>
      <w:r w:rsidR="00531AF8">
        <w:rPr>
          <w:rFonts w:ascii="Arial" w:hAnsi="Arial" w:cs="Arial"/>
          <w:sz w:val="20"/>
        </w:rPr>
        <w:t>High-Bay and Low-bay Fixtures</w:t>
      </w:r>
    </w:p>
    <w:p w:rsidR="005B5BB4" w:rsidRDefault="005B5BB4" w:rsidP="005B5BB4">
      <w:pPr>
        <w:widowControl w:val="0"/>
        <w:autoSpaceDE w:val="0"/>
        <w:autoSpaceDN w:val="0"/>
        <w:adjustRightInd w:val="0"/>
        <w:spacing w:line="360" w:lineRule="auto"/>
        <w:rPr>
          <w:rFonts w:ascii="Arial" w:hAnsi="Arial" w:cs="Arial"/>
          <w:b/>
          <w:color w:val="000000"/>
        </w:rPr>
      </w:pPr>
    </w:p>
    <w:p w:rsidR="005B5BB4" w:rsidRPr="005B5BB4" w:rsidRDefault="005B5BB4" w:rsidP="005B5BB4">
      <w:pPr>
        <w:widowControl w:val="0"/>
        <w:autoSpaceDE w:val="0"/>
        <w:autoSpaceDN w:val="0"/>
        <w:adjustRightInd w:val="0"/>
        <w:spacing w:line="360" w:lineRule="auto"/>
        <w:rPr>
          <w:rFonts w:ascii="Arial" w:hAnsi="Arial" w:cs="Arial"/>
          <w:b/>
          <w:color w:val="000000"/>
        </w:rPr>
      </w:pPr>
      <w:r w:rsidRPr="005B5BB4">
        <w:rPr>
          <w:rFonts w:ascii="Arial" w:hAnsi="Arial" w:cs="Arial"/>
          <w:b/>
          <w:color w:val="000000"/>
        </w:rPr>
        <w:t>Requirements:</w:t>
      </w:r>
    </w:p>
    <w:p w:rsidR="00452CA5" w:rsidRDefault="00452CA5" w:rsidP="00D12AFE">
      <w:pPr>
        <w:widowControl w:val="0"/>
        <w:numPr>
          <w:ilvl w:val="0"/>
          <w:numId w:val="18"/>
        </w:numPr>
        <w:autoSpaceDE w:val="0"/>
        <w:autoSpaceDN w:val="0"/>
        <w:adjustRightInd w:val="0"/>
        <w:spacing w:line="360" w:lineRule="auto"/>
        <w:rPr>
          <w:rFonts w:ascii="Arial" w:hAnsi="Arial" w:cs="Arial"/>
          <w:color w:val="000000"/>
          <w:sz w:val="20"/>
        </w:rPr>
      </w:pPr>
      <w:r>
        <w:rPr>
          <w:rFonts w:ascii="Arial" w:hAnsi="Arial" w:cs="Arial"/>
          <w:color w:val="000000"/>
          <w:sz w:val="20"/>
        </w:rPr>
        <w:t>Must be a one for one replacement</w:t>
      </w:r>
    </w:p>
    <w:p w:rsidR="0037707D" w:rsidRPr="00D12AFE" w:rsidRDefault="0037707D" w:rsidP="00D12AFE">
      <w:pPr>
        <w:widowControl w:val="0"/>
        <w:numPr>
          <w:ilvl w:val="0"/>
          <w:numId w:val="18"/>
        </w:numPr>
        <w:autoSpaceDE w:val="0"/>
        <w:autoSpaceDN w:val="0"/>
        <w:adjustRightInd w:val="0"/>
        <w:spacing w:line="360" w:lineRule="auto"/>
        <w:rPr>
          <w:rFonts w:ascii="Arial" w:hAnsi="Arial" w:cs="Arial"/>
          <w:color w:val="000000"/>
          <w:sz w:val="20"/>
        </w:rPr>
      </w:pPr>
      <w:r w:rsidRPr="0008537D">
        <w:rPr>
          <w:rFonts w:ascii="Arial" w:hAnsi="Arial" w:cs="Arial"/>
          <w:color w:val="000000"/>
          <w:sz w:val="20"/>
        </w:rPr>
        <w:t xml:space="preserve">Must replace </w:t>
      </w:r>
      <w:r w:rsidR="00531AF8">
        <w:rPr>
          <w:rFonts w:ascii="Arial" w:hAnsi="Arial" w:cs="Arial"/>
          <w:color w:val="000000"/>
          <w:sz w:val="20"/>
        </w:rPr>
        <w:t>a</w:t>
      </w:r>
      <w:r w:rsidR="00D12AFE">
        <w:rPr>
          <w:rFonts w:ascii="Arial" w:hAnsi="Arial" w:cs="Arial"/>
          <w:color w:val="000000"/>
          <w:sz w:val="20"/>
        </w:rPr>
        <w:t xml:space="preserve"> High-Intensity Discharge (HID) </w:t>
      </w:r>
      <w:r w:rsidR="00286B3C">
        <w:rPr>
          <w:rFonts w:ascii="Arial" w:hAnsi="Arial" w:cs="Arial"/>
          <w:color w:val="000000"/>
          <w:sz w:val="20"/>
        </w:rPr>
        <w:t xml:space="preserve">or a </w:t>
      </w:r>
      <w:r w:rsidR="00EA17FD">
        <w:rPr>
          <w:rFonts w:ascii="Arial" w:hAnsi="Arial" w:cs="Arial"/>
          <w:color w:val="000000"/>
          <w:sz w:val="20"/>
        </w:rPr>
        <w:t xml:space="preserve">Linear Fluorescent Fixture with </w:t>
      </w:r>
      <w:r w:rsidR="00286B3C">
        <w:rPr>
          <w:rFonts w:ascii="Arial" w:hAnsi="Arial" w:cs="Arial"/>
          <w:color w:val="000000"/>
          <w:sz w:val="20"/>
        </w:rPr>
        <w:t>4</w:t>
      </w:r>
      <w:r w:rsidR="0082269A">
        <w:rPr>
          <w:rFonts w:ascii="Arial" w:hAnsi="Arial" w:cs="Arial"/>
          <w:color w:val="000000"/>
          <w:sz w:val="20"/>
        </w:rPr>
        <w:t>, 6</w:t>
      </w:r>
      <w:r w:rsidR="00286B3C">
        <w:rPr>
          <w:rFonts w:ascii="Arial" w:hAnsi="Arial" w:cs="Arial"/>
          <w:color w:val="000000"/>
          <w:sz w:val="20"/>
        </w:rPr>
        <w:t xml:space="preserve"> or 8 </w:t>
      </w:r>
      <w:r w:rsidR="00241DAA">
        <w:rPr>
          <w:rFonts w:ascii="Arial" w:hAnsi="Arial" w:cs="Arial"/>
          <w:color w:val="000000"/>
          <w:sz w:val="20"/>
        </w:rPr>
        <w:t xml:space="preserve">F32T8 </w:t>
      </w:r>
      <w:r w:rsidR="00286B3C">
        <w:rPr>
          <w:rFonts w:ascii="Arial" w:hAnsi="Arial" w:cs="Arial"/>
          <w:color w:val="000000"/>
          <w:sz w:val="20"/>
        </w:rPr>
        <w:t xml:space="preserve">lamp </w:t>
      </w:r>
      <w:r w:rsidR="00D12AFE">
        <w:rPr>
          <w:rFonts w:ascii="Arial" w:hAnsi="Arial" w:cs="Arial"/>
          <w:color w:val="000000"/>
          <w:sz w:val="20"/>
        </w:rPr>
        <w:t xml:space="preserve">with </w:t>
      </w:r>
      <w:r w:rsidR="00452CA5">
        <w:rPr>
          <w:rFonts w:ascii="Arial" w:hAnsi="Arial" w:cs="Arial"/>
          <w:color w:val="000000"/>
          <w:sz w:val="20"/>
        </w:rPr>
        <w:t xml:space="preserve">VHLO Ballast (BF &gt; 1.1) and </w:t>
      </w:r>
      <w:r w:rsidR="00286B3C">
        <w:rPr>
          <w:rFonts w:ascii="Arial" w:hAnsi="Arial" w:cs="Arial"/>
          <w:color w:val="000000"/>
          <w:sz w:val="20"/>
        </w:rPr>
        <w:t xml:space="preserve">specified </w:t>
      </w:r>
      <w:r w:rsidR="00D12AFE">
        <w:rPr>
          <w:rFonts w:ascii="Arial" w:hAnsi="Arial" w:cs="Arial"/>
          <w:color w:val="000000"/>
          <w:sz w:val="20"/>
        </w:rPr>
        <w:t>lamp wattage</w:t>
      </w:r>
      <w:r w:rsidR="00452CA5">
        <w:rPr>
          <w:rFonts w:ascii="Arial" w:hAnsi="Arial" w:cs="Arial"/>
          <w:color w:val="000000"/>
          <w:sz w:val="20"/>
        </w:rPr>
        <w:t xml:space="preserve">. </w:t>
      </w:r>
      <w:r w:rsidR="00452CA5" w:rsidRPr="004A0A9D">
        <w:rPr>
          <w:rFonts w:ascii="Arial" w:hAnsi="Arial" w:cs="Arial"/>
          <w:color w:val="000000"/>
          <w:sz w:val="20"/>
        </w:rPr>
        <w:t>(Please refer to Table</w:t>
      </w:r>
      <w:r w:rsidR="00DD12F1" w:rsidRPr="004A0A9D">
        <w:rPr>
          <w:rFonts w:ascii="Arial" w:hAnsi="Arial" w:cs="Arial"/>
          <w:color w:val="000000"/>
          <w:sz w:val="20"/>
        </w:rPr>
        <w:t xml:space="preserve"> </w:t>
      </w:r>
      <w:r w:rsidR="00452CA5" w:rsidRPr="004A0A9D">
        <w:rPr>
          <w:rFonts w:ascii="Arial" w:hAnsi="Arial" w:cs="Arial"/>
          <w:color w:val="000000"/>
          <w:sz w:val="20"/>
        </w:rPr>
        <w:t>1)</w:t>
      </w:r>
    </w:p>
    <w:p w:rsidR="0044620E" w:rsidRDefault="0037707D" w:rsidP="0037707D">
      <w:pPr>
        <w:widowControl w:val="0"/>
        <w:numPr>
          <w:ilvl w:val="0"/>
          <w:numId w:val="18"/>
        </w:numPr>
        <w:autoSpaceDE w:val="0"/>
        <w:autoSpaceDN w:val="0"/>
        <w:adjustRightInd w:val="0"/>
        <w:spacing w:line="360" w:lineRule="auto"/>
        <w:rPr>
          <w:rFonts w:ascii="Arial" w:hAnsi="Arial" w:cs="Arial"/>
          <w:color w:val="000000"/>
          <w:sz w:val="20"/>
        </w:rPr>
      </w:pPr>
      <w:r w:rsidRPr="0008537D">
        <w:rPr>
          <w:rFonts w:ascii="Arial" w:hAnsi="Arial" w:cs="Arial"/>
          <w:color w:val="000000"/>
          <w:sz w:val="20"/>
        </w:rPr>
        <w:t xml:space="preserve">Must </w:t>
      </w:r>
      <w:r w:rsidR="00681F38">
        <w:rPr>
          <w:rFonts w:ascii="Arial" w:hAnsi="Arial" w:cs="Arial"/>
          <w:color w:val="000000"/>
          <w:sz w:val="20"/>
        </w:rPr>
        <w:t xml:space="preserve">be on the </w:t>
      </w:r>
      <w:r w:rsidR="00D12AFE">
        <w:rPr>
          <w:rFonts w:ascii="Arial" w:hAnsi="Arial" w:cs="Arial"/>
          <w:color w:val="000000"/>
          <w:sz w:val="20"/>
        </w:rPr>
        <w:t>Design Lights Consortium (DLC)</w:t>
      </w:r>
      <w:r w:rsidR="00681F38">
        <w:rPr>
          <w:rFonts w:ascii="Arial" w:hAnsi="Arial" w:cs="Arial"/>
          <w:color w:val="000000"/>
          <w:sz w:val="20"/>
        </w:rPr>
        <w:t xml:space="preserve"> qualified</w:t>
      </w:r>
      <w:r w:rsidRPr="0008537D">
        <w:rPr>
          <w:rFonts w:ascii="Arial" w:hAnsi="Arial" w:cs="Arial"/>
          <w:color w:val="000000"/>
          <w:sz w:val="20"/>
        </w:rPr>
        <w:t xml:space="preserve"> </w:t>
      </w:r>
      <w:r w:rsidR="00681F38">
        <w:rPr>
          <w:rFonts w:ascii="Arial" w:hAnsi="Arial" w:cs="Arial"/>
          <w:color w:val="000000"/>
          <w:sz w:val="20"/>
        </w:rPr>
        <w:t xml:space="preserve">product </w:t>
      </w:r>
      <w:r w:rsidRPr="0008537D">
        <w:rPr>
          <w:rFonts w:ascii="Arial" w:hAnsi="Arial" w:cs="Arial"/>
          <w:color w:val="000000"/>
          <w:sz w:val="20"/>
        </w:rPr>
        <w:t>list</w:t>
      </w:r>
    </w:p>
    <w:p w:rsidR="0037707D" w:rsidRDefault="0044620E" w:rsidP="0037707D">
      <w:pPr>
        <w:widowControl w:val="0"/>
        <w:numPr>
          <w:ilvl w:val="0"/>
          <w:numId w:val="18"/>
        </w:numPr>
        <w:autoSpaceDE w:val="0"/>
        <w:autoSpaceDN w:val="0"/>
        <w:adjustRightInd w:val="0"/>
        <w:spacing w:line="360" w:lineRule="auto"/>
        <w:rPr>
          <w:rFonts w:ascii="Arial" w:hAnsi="Arial" w:cs="Arial"/>
          <w:color w:val="000000"/>
          <w:sz w:val="20"/>
        </w:rPr>
      </w:pPr>
      <w:r>
        <w:rPr>
          <w:rFonts w:ascii="Arial" w:hAnsi="Arial" w:cs="Arial"/>
          <w:sz w:val="20"/>
          <w:szCs w:val="20"/>
        </w:rPr>
        <w:t>Self-ballasted screw-based lamps do not qualify.</w:t>
      </w:r>
      <w:r w:rsidR="00D12AFE">
        <w:rPr>
          <w:rFonts w:ascii="Arial" w:hAnsi="Arial" w:cs="Arial"/>
          <w:color w:val="000000"/>
          <w:sz w:val="20"/>
        </w:rPr>
        <w:t xml:space="preserve"> </w:t>
      </w:r>
    </w:p>
    <w:p w:rsidR="00622A39" w:rsidRDefault="00622A39" w:rsidP="0037707D">
      <w:pPr>
        <w:widowControl w:val="0"/>
        <w:numPr>
          <w:ilvl w:val="0"/>
          <w:numId w:val="18"/>
        </w:numPr>
        <w:autoSpaceDE w:val="0"/>
        <w:autoSpaceDN w:val="0"/>
        <w:adjustRightInd w:val="0"/>
        <w:spacing w:line="360" w:lineRule="auto"/>
        <w:rPr>
          <w:rFonts w:ascii="Arial" w:hAnsi="Arial" w:cs="Arial"/>
          <w:color w:val="000000"/>
          <w:sz w:val="20"/>
        </w:rPr>
      </w:pPr>
      <w:r>
        <w:rPr>
          <w:rFonts w:ascii="Arial" w:hAnsi="Arial" w:cs="Arial"/>
          <w:color w:val="000000"/>
          <w:sz w:val="20"/>
        </w:rPr>
        <w:t>Must meet the Minimum Fixture Lumens and Wattage Minimum and Maximums listed for the appropriate base case fixture in Table 1.</w:t>
      </w:r>
    </w:p>
    <w:p w:rsidR="0044620E" w:rsidRDefault="0044620E" w:rsidP="0044620E">
      <w:pPr>
        <w:widowControl w:val="0"/>
        <w:autoSpaceDE w:val="0"/>
        <w:autoSpaceDN w:val="0"/>
        <w:adjustRightInd w:val="0"/>
        <w:spacing w:line="360" w:lineRule="auto"/>
        <w:ind w:left="288"/>
        <w:rPr>
          <w:rFonts w:ascii="Arial" w:hAnsi="Arial" w:cs="Arial"/>
          <w:color w:val="000000"/>
          <w:sz w:val="20"/>
        </w:rPr>
      </w:pPr>
    </w:p>
    <w:p w:rsidR="00DD12F1" w:rsidRPr="00DD12F1" w:rsidRDefault="00DD12F1" w:rsidP="00DD12F1">
      <w:pPr>
        <w:pStyle w:val="Caption"/>
        <w:ind w:left="288"/>
        <w:jc w:val="center"/>
      </w:pPr>
      <w:bookmarkStart w:id="14" w:name="_Toc438562576"/>
      <w:r>
        <w:t xml:space="preserve">Table </w:t>
      </w:r>
      <w:r w:rsidR="001A450C">
        <w:fldChar w:fldCharType="begin"/>
      </w:r>
      <w:r w:rsidR="001A450C">
        <w:instrText xml:space="preserve"> SEQ Table \* ARABIC </w:instrText>
      </w:r>
      <w:r w:rsidR="001A450C">
        <w:fldChar w:fldCharType="separate"/>
      </w:r>
      <w:r w:rsidR="00A95A8F">
        <w:rPr>
          <w:noProof/>
        </w:rPr>
        <w:t>1</w:t>
      </w:r>
      <w:r w:rsidR="001A450C">
        <w:rPr>
          <w:noProof/>
        </w:rPr>
        <w:fldChar w:fldCharType="end"/>
      </w:r>
      <w:r>
        <w:t xml:space="preserve"> -</w:t>
      </w:r>
      <w:r w:rsidRPr="00E97091">
        <w:t xml:space="preserve"> </w:t>
      </w:r>
      <w:r>
        <w:t>LED High-Bay and Low-Bay Fixtures Base and Measure Wattages</w:t>
      </w:r>
      <w:bookmarkEnd w:id="14"/>
    </w:p>
    <w:tbl>
      <w:tblPr>
        <w:tblW w:w="10530" w:type="dxa"/>
        <w:tblInd w:w="-342" w:type="dxa"/>
        <w:tblLayout w:type="fixed"/>
        <w:tblLook w:val="04A0" w:firstRow="1" w:lastRow="0" w:firstColumn="1" w:lastColumn="0" w:noHBand="0" w:noVBand="1"/>
      </w:tblPr>
      <w:tblGrid>
        <w:gridCol w:w="1080"/>
        <w:gridCol w:w="2520"/>
        <w:gridCol w:w="2160"/>
        <w:gridCol w:w="1170"/>
        <w:gridCol w:w="1170"/>
        <w:gridCol w:w="1260"/>
        <w:gridCol w:w="1170"/>
      </w:tblGrid>
      <w:tr w:rsidR="00196880" w:rsidTr="00495AEF">
        <w:trPr>
          <w:trHeight w:val="862"/>
        </w:trPr>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6B3C" w:rsidRDefault="00286B3C">
            <w:pPr>
              <w:jc w:val="center"/>
              <w:rPr>
                <w:rFonts w:ascii="Arial" w:hAnsi="Arial" w:cs="Arial"/>
                <w:b/>
                <w:bCs/>
                <w:color w:val="000000"/>
                <w:sz w:val="20"/>
                <w:szCs w:val="20"/>
              </w:rPr>
            </w:pPr>
            <w:r>
              <w:rPr>
                <w:rFonts w:ascii="Arial" w:hAnsi="Arial" w:cs="Arial"/>
                <w:b/>
                <w:bCs/>
                <w:color w:val="000000"/>
                <w:sz w:val="20"/>
                <w:szCs w:val="20"/>
              </w:rPr>
              <w:t>Measure Code</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rsidR="00286B3C" w:rsidRDefault="00286B3C">
            <w:pPr>
              <w:jc w:val="center"/>
              <w:rPr>
                <w:rFonts w:ascii="Arial" w:hAnsi="Arial" w:cs="Arial"/>
                <w:b/>
                <w:bCs/>
                <w:color w:val="000000"/>
                <w:sz w:val="20"/>
                <w:szCs w:val="20"/>
              </w:rPr>
            </w:pPr>
            <w:r>
              <w:rPr>
                <w:rFonts w:ascii="Arial" w:hAnsi="Arial" w:cs="Arial"/>
                <w:b/>
                <w:bCs/>
                <w:color w:val="000000"/>
                <w:sz w:val="20"/>
                <w:szCs w:val="20"/>
              </w:rPr>
              <w:t>Measure Description</w:t>
            </w:r>
          </w:p>
        </w:tc>
        <w:tc>
          <w:tcPr>
            <w:tcW w:w="2160" w:type="dxa"/>
            <w:tcBorders>
              <w:top w:val="single" w:sz="4" w:space="0" w:color="auto"/>
              <w:left w:val="nil"/>
              <w:bottom w:val="single" w:sz="4" w:space="0" w:color="auto"/>
              <w:right w:val="single" w:sz="4" w:space="0" w:color="auto"/>
            </w:tcBorders>
            <w:shd w:val="clear" w:color="auto" w:fill="auto"/>
            <w:vAlign w:val="bottom"/>
            <w:hideMark/>
          </w:tcPr>
          <w:p w:rsidR="00286B3C" w:rsidRDefault="00286B3C">
            <w:pPr>
              <w:jc w:val="center"/>
              <w:rPr>
                <w:rFonts w:ascii="Arial" w:hAnsi="Arial" w:cs="Arial"/>
                <w:b/>
                <w:bCs/>
                <w:color w:val="000000"/>
                <w:sz w:val="20"/>
                <w:szCs w:val="20"/>
              </w:rPr>
            </w:pPr>
            <w:r>
              <w:rPr>
                <w:rFonts w:ascii="Arial" w:hAnsi="Arial" w:cs="Arial"/>
                <w:b/>
                <w:bCs/>
                <w:color w:val="000000"/>
                <w:sz w:val="20"/>
                <w:szCs w:val="20"/>
              </w:rPr>
              <w:t xml:space="preserve">Base Case </w:t>
            </w:r>
            <w:r w:rsidR="00622A39">
              <w:rPr>
                <w:rFonts w:ascii="Arial" w:hAnsi="Arial" w:cs="Arial"/>
                <w:b/>
                <w:bCs/>
                <w:color w:val="000000"/>
                <w:sz w:val="20"/>
                <w:szCs w:val="20"/>
              </w:rPr>
              <w:t>Fixture</w:t>
            </w:r>
          </w:p>
        </w:tc>
        <w:tc>
          <w:tcPr>
            <w:tcW w:w="1170" w:type="dxa"/>
            <w:tcBorders>
              <w:top w:val="single" w:sz="4" w:space="0" w:color="auto"/>
              <w:left w:val="nil"/>
              <w:bottom w:val="single" w:sz="4" w:space="0" w:color="auto"/>
              <w:right w:val="single" w:sz="4" w:space="0" w:color="auto"/>
            </w:tcBorders>
            <w:shd w:val="clear" w:color="auto" w:fill="auto"/>
            <w:vAlign w:val="bottom"/>
            <w:hideMark/>
          </w:tcPr>
          <w:p w:rsidR="00286B3C" w:rsidRDefault="00286B3C">
            <w:pPr>
              <w:jc w:val="center"/>
              <w:rPr>
                <w:rFonts w:ascii="Arial" w:hAnsi="Arial" w:cs="Arial"/>
                <w:b/>
                <w:bCs/>
                <w:color w:val="000000"/>
                <w:sz w:val="20"/>
                <w:szCs w:val="20"/>
              </w:rPr>
            </w:pPr>
            <w:r>
              <w:rPr>
                <w:rFonts w:ascii="Arial" w:hAnsi="Arial" w:cs="Arial"/>
                <w:b/>
                <w:bCs/>
                <w:color w:val="000000"/>
                <w:sz w:val="20"/>
                <w:szCs w:val="20"/>
              </w:rPr>
              <w:t xml:space="preserve">Base Case system wattage </w:t>
            </w:r>
          </w:p>
        </w:tc>
        <w:tc>
          <w:tcPr>
            <w:tcW w:w="1170" w:type="dxa"/>
            <w:tcBorders>
              <w:top w:val="single" w:sz="4" w:space="0" w:color="auto"/>
              <w:left w:val="nil"/>
              <w:bottom w:val="single" w:sz="4" w:space="0" w:color="auto"/>
              <w:right w:val="single" w:sz="4" w:space="0" w:color="auto"/>
            </w:tcBorders>
            <w:shd w:val="clear" w:color="000000" w:fill="B7DEE8"/>
            <w:vAlign w:val="bottom"/>
            <w:hideMark/>
          </w:tcPr>
          <w:p w:rsidR="00286B3C" w:rsidRDefault="00286B3C">
            <w:pPr>
              <w:jc w:val="center"/>
              <w:rPr>
                <w:rFonts w:ascii="Arial" w:hAnsi="Arial" w:cs="Arial"/>
                <w:b/>
                <w:bCs/>
                <w:color w:val="000000"/>
                <w:sz w:val="20"/>
                <w:szCs w:val="20"/>
              </w:rPr>
            </w:pPr>
            <w:r>
              <w:rPr>
                <w:rFonts w:ascii="Arial" w:hAnsi="Arial" w:cs="Arial"/>
                <w:b/>
                <w:bCs/>
                <w:color w:val="000000"/>
                <w:sz w:val="20"/>
                <w:szCs w:val="20"/>
              </w:rPr>
              <w:t>Minimum Fixture Lumens</w:t>
            </w:r>
          </w:p>
        </w:tc>
        <w:tc>
          <w:tcPr>
            <w:tcW w:w="1260" w:type="dxa"/>
            <w:tcBorders>
              <w:top w:val="single" w:sz="4" w:space="0" w:color="auto"/>
              <w:left w:val="nil"/>
              <w:bottom w:val="single" w:sz="4" w:space="0" w:color="auto"/>
              <w:right w:val="single" w:sz="4" w:space="0" w:color="auto"/>
            </w:tcBorders>
            <w:shd w:val="clear" w:color="000000" w:fill="FDE9D9"/>
            <w:vAlign w:val="bottom"/>
            <w:hideMark/>
          </w:tcPr>
          <w:p w:rsidR="00286B3C" w:rsidRDefault="00286B3C">
            <w:pPr>
              <w:jc w:val="center"/>
              <w:rPr>
                <w:rFonts w:ascii="Arial" w:hAnsi="Arial" w:cs="Arial"/>
                <w:b/>
                <w:bCs/>
                <w:color w:val="000000"/>
                <w:sz w:val="20"/>
                <w:szCs w:val="20"/>
              </w:rPr>
            </w:pPr>
            <w:r>
              <w:rPr>
                <w:rFonts w:ascii="Arial" w:hAnsi="Arial" w:cs="Arial"/>
                <w:b/>
                <w:bCs/>
                <w:color w:val="000000"/>
                <w:sz w:val="20"/>
                <w:szCs w:val="20"/>
              </w:rPr>
              <w:t>LED minimum wattage</w:t>
            </w:r>
          </w:p>
        </w:tc>
        <w:tc>
          <w:tcPr>
            <w:tcW w:w="1170" w:type="dxa"/>
            <w:tcBorders>
              <w:top w:val="single" w:sz="4" w:space="0" w:color="auto"/>
              <w:left w:val="nil"/>
              <w:bottom w:val="single" w:sz="4" w:space="0" w:color="auto"/>
              <w:right w:val="single" w:sz="4" w:space="0" w:color="auto"/>
            </w:tcBorders>
            <w:shd w:val="clear" w:color="000000" w:fill="FDE9D9"/>
            <w:vAlign w:val="bottom"/>
            <w:hideMark/>
          </w:tcPr>
          <w:p w:rsidR="00452CA5" w:rsidRDefault="00286B3C" w:rsidP="00452CA5">
            <w:pPr>
              <w:jc w:val="center"/>
              <w:rPr>
                <w:rFonts w:ascii="Arial" w:hAnsi="Arial" w:cs="Arial"/>
                <w:b/>
                <w:bCs/>
                <w:color w:val="000000"/>
                <w:sz w:val="20"/>
                <w:szCs w:val="20"/>
              </w:rPr>
            </w:pPr>
            <w:r>
              <w:rPr>
                <w:rFonts w:ascii="Arial" w:hAnsi="Arial" w:cs="Arial"/>
                <w:b/>
                <w:bCs/>
                <w:color w:val="000000"/>
                <w:sz w:val="20"/>
                <w:szCs w:val="20"/>
              </w:rPr>
              <w:t>LED Max</w:t>
            </w:r>
            <w:r w:rsidR="00452CA5">
              <w:rPr>
                <w:rFonts w:ascii="Arial" w:hAnsi="Arial" w:cs="Arial"/>
                <w:b/>
                <w:bCs/>
                <w:color w:val="000000"/>
                <w:sz w:val="20"/>
                <w:szCs w:val="20"/>
              </w:rPr>
              <w:t>imum</w:t>
            </w:r>
          </w:p>
          <w:p w:rsidR="00286B3C" w:rsidRDefault="00286B3C" w:rsidP="00452CA5">
            <w:pPr>
              <w:jc w:val="center"/>
              <w:rPr>
                <w:rFonts w:ascii="Arial" w:hAnsi="Arial" w:cs="Arial"/>
                <w:b/>
                <w:bCs/>
                <w:color w:val="000000"/>
                <w:sz w:val="20"/>
                <w:szCs w:val="20"/>
              </w:rPr>
            </w:pPr>
            <w:r>
              <w:rPr>
                <w:rFonts w:ascii="Arial" w:hAnsi="Arial" w:cs="Arial"/>
                <w:b/>
                <w:bCs/>
                <w:color w:val="000000"/>
                <w:sz w:val="20"/>
                <w:szCs w:val="20"/>
              </w:rPr>
              <w:t>wattage</w:t>
            </w:r>
          </w:p>
        </w:tc>
      </w:tr>
      <w:tr w:rsidR="009D283C" w:rsidTr="00081DFB">
        <w:trPr>
          <w:trHeight w:val="25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9D283C" w:rsidRPr="00B72CBC" w:rsidRDefault="009D283C" w:rsidP="00081DFB">
            <w:pPr>
              <w:autoSpaceDE w:val="0"/>
              <w:autoSpaceDN w:val="0"/>
              <w:jc w:val="center"/>
              <w:rPr>
                <w:color w:val="000000"/>
                <w:sz w:val="16"/>
                <w:szCs w:val="16"/>
              </w:rPr>
            </w:pPr>
            <w:r w:rsidRPr="00B72CBC">
              <w:rPr>
                <w:color w:val="000000"/>
                <w:sz w:val="16"/>
                <w:szCs w:val="16"/>
              </w:rPr>
              <w:t>LD101</w:t>
            </w:r>
          </w:p>
        </w:tc>
        <w:tc>
          <w:tcPr>
            <w:tcW w:w="2520" w:type="dxa"/>
            <w:tcBorders>
              <w:top w:val="nil"/>
              <w:left w:val="nil"/>
              <w:bottom w:val="single" w:sz="4" w:space="0" w:color="auto"/>
              <w:right w:val="single" w:sz="4" w:space="0" w:color="auto"/>
            </w:tcBorders>
            <w:shd w:val="clear" w:color="auto" w:fill="auto"/>
            <w:noWrap/>
            <w:vAlign w:val="center"/>
            <w:hideMark/>
          </w:tcPr>
          <w:p w:rsidR="009D283C" w:rsidRPr="00B72CBC" w:rsidRDefault="00495AEF" w:rsidP="00081DFB">
            <w:pPr>
              <w:jc w:val="center"/>
              <w:rPr>
                <w:rFonts w:eastAsiaTheme="minorHAnsi"/>
                <w:color w:val="000000"/>
                <w:sz w:val="16"/>
                <w:szCs w:val="16"/>
              </w:rPr>
            </w:pPr>
            <w:r w:rsidRPr="00B72CBC">
              <w:rPr>
                <w:color w:val="000000"/>
                <w:sz w:val="16"/>
                <w:szCs w:val="16"/>
              </w:rPr>
              <w:t xml:space="preserve">LED </w:t>
            </w:r>
            <w:r w:rsidR="009D283C" w:rsidRPr="00B72CBC">
              <w:rPr>
                <w:color w:val="000000"/>
                <w:sz w:val="16"/>
                <w:szCs w:val="16"/>
              </w:rPr>
              <w:t>High</w:t>
            </w:r>
            <w:r w:rsidRPr="00B72CBC">
              <w:rPr>
                <w:color w:val="000000"/>
                <w:sz w:val="16"/>
                <w:szCs w:val="16"/>
              </w:rPr>
              <w:t>/Low Bay</w:t>
            </w:r>
            <w:r w:rsidR="009D283C" w:rsidRPr="00B72CBC">
              <w:rPr>
                <w:color w:val="000000"/>
                <w:sz w:val="16"/>
                <w:szCs w:val="16"/>
              </w:rPr>
              <w:t>:  40 to 131 watts, replacing 175W PS-MH</w:t>
            </w:r>
          </w:p>
        </w:tc>
        <w:tc>
          <w:tcPr>
            <w:tcW w:w="2160" w:type="dxa"/>
            <w:tcBorders>
              <w:top w:val="nil"/>
              <w:left w:val="nil"/>
              <w:bottom w:val="single" w:sz="4" w:space="0" w:color="auto"/>
              <w:right w:val="single" w:sz="4" w:space="0" w:color="auto"/>
            </w:tcBorders>
            <w:shd w:val="clear" w:color="auto" w:fill="auto"/>
            <w:noWrap/>
            <w:vAlign w:val="center"/>
            <w:hideMark/>
          </w:tcPr>
          <w:p w:rsidR="009D283C" w:rsidRPr="00B72CBC" w:rsidRDefault="009D283C" w:rsidP="00081DFB">
            <w:pPr>
              <w:jc w:val="center"/>
              <w:rPr>
                <w:color w:val="000000"/>
                <w:sz w:val="16"/>
                <w:szCs w:val="16"/>
              </w:rPr>
            </w:pPr>
            <w:r w:rsidRPr="00B72CBC">
              <w:rPr>
                <w:color w:val="000000"/>
                <w:sz w:val="16"/>
                <w:szCs w:val="16"/>
              </w:rPr>
              <w:t>Pulse-Start MH 175</w:t>
            </w:r>
          </w:p>
        </w:tc>
        <w:tc>
          <w:tcPr>
            <w:tcW w:w="1170" w:type="dxa"/>
            <w:tcBorders>
              <w:top w:val="nil"/>
              <w:left w:val="nil"/>
              <w:bottom w:val="single" w:sz="4" w:space="0" w:color="auto"/>
              <w:right w:val="single" w:sz="4" w:space="0" w:color="auto"/>
            </w:tcBorders>
            <w:shd w:val="clear" w:color="auto" w:fill="auto"/>
            <w:noWrap/>
            <w:vAlign w:val="center"/>
            <w:hideMark/>
          </w:tcPr>
          <w:p w:rsidR="009D283C" w:rsidRPr="00B72CBC" w:rsidRDefault="009D283C" w:rsidP="00081DFB">
            <w:pPr>
              <w:jc w:val="center"/>
              <w:rPr>
                <w:color w:val="000000"/>
                <w:sz w:val="16"/>
                <w:szCs w:val="16"/>
              </w:rPr>
            </w:pPr>
            <w:r w:rsidRPr="00B72CBC">
              <w:rPr>
                <w:color w:val="000000"/>
                <w:sz w:val="16"/>
                <w:szCs w:val="16"/>
              </w:rPr>
              <w:t>208</w:t>
            </w:r>
          </w:p>
        </w:tc>
        <w:tc>
          <w:tcPr>
            <w:tcW w:w="1170" w:type="dxa"/>
            <w:tcBorders>
              <w:top w:val="nil"/>
              <w:left w:val="nil"/>
              <w:bottom w:val="single" w:sz="4" w:space="0" w:color="auto"/>
              <w:right w:val="single" w:sz="4" w:space="0" w:color="auto"/>
            </w:tcBorders>
            <w:shd w:val="clear" w:color="000000" w:fill="B7DEE8"/>
            <w:noWrap/>
            <w:vAlign w:val="center"/>
            <w:hideMark/>
          </w:tcPr>
          <w:p w:rsidR="009D283C" w:rsidRPr="00B72CBC" w:rsidRDefault="009D283C" w:rsidP="00081DFB">
            <w:pPr>
              <w:jc w:val="center"/>
              <w:rPr>
                <w:color w:val="000000"/>
                <w:sz w:val="16"/>
                <w:szCs w:val="16"/>
              </w:rPr>
            </w:pPr>
            <w:r w:rsidRPr="00B72CBC">
              <w:rPr>
                <w:color w:val="000000"/>
                <w:sz w:val="16"/>
                <w:szCs w:val="16"/>
              </w:rPr>
              <w:t>6,200</w:t>
            </w:r>
          </w:p>
        </w:tc>
        <w:tc>
          <w:tcPr>
            <w:tcW w:w="1260" w:type="dxa"/>
            <w:tcBorders>
              <w:top w:val="nil"/>
              <w:left w:val="nil"/>
              <w:bottom w:val="single" w:sz="4" w:space="0" w:color="auto"/>
              <w:right w:val="single" w:sz="4" w:space="0" w:color="auto"/>
            </w:tcBorders>
            <w:shd w:val="clear" w:color="000000" w:fill="FDE9D9"/>
            <w:noWrap/>
            <w:vAlign w:val="center"/>
            <w:hideMark/>
          </w:tcPr>
          <w:p w:rsidR="009D283C" w:rsidRPr="00B72CBC" w:rsidRDefault="009D283C" w:rsidP="00081DFB">
            <w:pPr>
              <w:jc w:val="center"/>
              <w:rPr>
                <w:color w:val="000000"/>
                <w:sz w:val="16"/>
                <w:szCs w:val="16"/>
              </w:rPr>
            </w:pPr>
            <w:r w:rsidRPr="00B72CBC">
              <w:rPr>
                <w:color w:val="000000"/>
                <w:sz w:val="16"/>
                <w:szCs w:val="16"/>
              </w:rPr>
              <w:t>48</w:t>
            </w:r>
          </w:p>
        </w:tc>
        <w:tc>
          <w:tcPr>
            <w:tcW w:w="1170" w:type="dxa"/>
            <w:tcBorders>
              <w:top w:val="nil"/>
              <w:left w:val="nil"/>
              <w:bottom w:val="single" w:sz="4" w:space="0" w:color="auto"/>
              <w:right w:val="single" w:sz="4" w:space="0" w:color="auto"/>
            </w:tcBorders>
            <w:shd w:val="clear" w:color="000000" w:fill="FDE9D9"/>
            <w:noWrap/>
            <w:vAlign w:val="center"/>
            <w:hideMark/>
          </w:tcPr>
          <w:p w:rsidR="009D283C" w:rsidRPr="00B72CBC" w:rsidRDefault="009D283C" w:rsidP="00081DFB">
            <w:pPr>
              <w:jc w:val="center"/>
              <w:rPr>
                <w:color w:val="000000"/>
                <w:sz w:val="16"/>
                <w:szCs w:val="16"/>
              </w:rPr>
            </w:pPr>
            <w:r w:rsidRPr="00B72CBC">
              <w:rPr>
                <w:color w:val="000000"/>
                <w:sz w:val="16"/>
                <w:szCs w:val="16"/>
              </w:rPr>
              <w:t>131</w:t>
            </w:r>
          </w:p>
        </w:tc>
      </w:tr>
      <w:tr w:rsidR="009D283C" w:rsidTr="00081DFB">
        <w:trPr>
          <w:trHeight w:val="25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9D283C" w:rsidRPr="00B72CBC" w:rsidRDefault="009D283C" w:rsidP="00081DFB">
            <w:pPr>
              <w:autoSpaceDE w:val="0"/>
              <w:autoSpaceDN w:val="0"/>
              <w:jc w:val="center"/>
              <w:rPr>
                <w:color w:val="000000"/>
                <w:sz w:val="16"/>
                <w:szCs w:val="16"/>
              </w:rPr>
            </w:pPr>
            <w:r w:rsidRPr="00B72CBC">
              <w:rPr>
                <w:color w:val="000000"/>
                <w:sz w:val="16"/>
                <w:szCs w:val="16"/>
              </w:rPr>
              <w:t>LD102</w:t>
            </w:r>
          </w:p>
        </w:tc>
        <w:tc>
          <w:tcPr>
            <w:tcW w:w="2520" w:type="dxa"/>
            <w:tcBorders>
              <w:top w:val="nil"/>
              <w:left w:val="nil"/>
              <w:bottom w:val="single" w:sz="4" w:space="0" w:color="auto"/>
              <w:right w:val="single" w:sz="4" w:space="0" w:color="auto"/>
            </w:tcBorders>
            <w:shd w:val="clear" w:color="auto" w:fill="auto"/>
            <w:noWrap/>
            <w:vAlign w:val="center"/>
            <w:hideMark/>
          </w:tcPr>
          <w:p w:rsidR="009D283C" w:rsidRPr="00B72CBC" w:rsidRDefault="00495AEF" w:rsidP="00081DFB">
            <w:pPr>
              <w:jc w:val="center"/>
              <w:rPr>
                <w:rFonts w:eastAsiaTheme="minorHAnsi"/>
                <w:color w:val="000000"/>
                <w:sz w:val="16"/>
                <w:szCs w:val="16"/>
              </w:rPr>
            </w:pPr>
            <w:r w:rsidRPr="00B72CBC">
              <w:rPr>
                <w:color w:val="000000"/>
                <w:sz w:val="16"/>
                <w:szCs w:val="16"/>
              </w:rPr>
              <w:t xml:space="preserve">LED </w:t>
            </w:r>
            <w:r w:rsidR="009D283C" w:rsidRPr="00B72CBC">
              <w:rPr>
                <w:color w:val="000000"/>
                <w:sz w:val="16"/>
                <w:szCs w:val="16"/>
              </w:rPr>
              <w:t>High</w:t>
            </w:r>
            <w:r w:rsidRPr="00B72CBC">
              <w:rPr>
                <w:color w:val="000000"/>
                <w:sz w:val="16"/>
                <w:szCs w:val="16"/>
              </w:rPr>
              <w:t>/Low Bay</w:t>
            </w:r>
            <w:r w:rsidR="009D283C" w:rsidRPr="00B72CBC">
              <w:rPr>
                <w:color w:val="000000"/>
                <w:sz w:val="16"/>
                <w:szCs w:val="16"/>
              </w:rPr>
              <w:t>:  &gt;131 to 160 watts, replacing 200W PS-MH</w:t>
            </w:r>
          </w:p>
        </w:tc>
        <w:tc>
          <w:tcPr>
            <w:tcW w:w="2160" w:type="dxa"/>
            <w:tcBorders>
              <w:top w:val="nil"/>
              <w:left w:val="nil"/>
              <w:bottom w:val="single" w:sz="4" w:space="0" w:color="auto"/>
              <w:right w:val="single" w:sz="4" w:space="0" w:color="auto"/>
            </w:tcBorders>
            <w:shd w:val="clear" w:color="auto" w:fill="auto"/>
            <w:noWrap/>
            <w:vAlign w:val="center"/>
            <w:hideMark/>
          </w:tcPr>
          <w:p w:rsidR="009D283C" w:rsidRPr="00B72CBC" w:rsidRDefault="009D283C" w:rsidP="00081DFB">
            <w:pPr>
              <w:jc w:val="center"/>
              <w:rPr>
                <w:color w:val="000000"/>
                <w:sz w:val="16"/>
                <w:szCs w:val="16"/>
              </w:rPr>
            </w:pPr>
            <w:r w:rsidRPr="00B72CBC">
              <w:rPr>
                <w:color w:val="000000"/>
                <w:sz w:val="16"/>
                <w:szCs w:val="16"/>
              </w:rPr>
              <w:t>Pulse-Start MH 200</w:t>
            </w:r>
          </w:p>
        </w:tc>
        <w:tc>
          <w:tcPr>
            <w:tcW w:w="1170" w:type="dxa"/>
            <w:tcBorders>
              <w:top w:val="nil"/>
              <w:left w:val="nil"/>
              <w:bottom w:val="single" w:sz="4" w:space="0" w:color="auto"/>
              <w:right w:val="single" w:sz="4" w:space="0" w:color="auto"/>
            </w:tcBorders>
            <w:shd w:val="clear" w:color="auto" w:fill="auto"/>
            <w:noWrap/>
            <w:vAlign w:val="center"/>
            <w:hideMark/>
          </w:tcPr>
          <w:p w:rsidR="009D283C" w:rsidRPr="00B72CBC" w:rsidRDefault="009D283C" w:rsidP="00081DFB">
            <w:pPr>
              <w:jc w:val="center"/>
              <w:rPr>
                <w:color w:val="000000"/>
                <w:sz w:val="16"/>
                <w:szCs w:val="16"/>
              </w:rPr>
            </w:pPr>
            <w:r w:rsidRPr="00B72CBC">
              <w:rPr>
                <w:color w:val="000000"/>
                <w:sz w:val="16"/>
                <w:szCs w:val="16"/>
              </w:rPr>
              <w:t>232</w:t>
            </w:r>
          </w:p>
        </w:tc>
        <w:tc>
          <w:tcPr>
            <w:tcW w:w="1170" w:type="dxa"/>
            <w:tcBorders>
              <w:top w:val="nil"/>
              <w:left w:val="nil"/>
              <w:bottom w:val="single" w:sz="4" w:space="0" w:color="auto"/>
              <w:right w:val="single" w:sz="4" w:space="0" w:color="auto"/>
            </w:tcBorders>
            <w:shd w:val="clear" w:color="000000" w:fill="B7DEE8"/>
            <w:noWrap/>
            <w:vAlign w:val="center"/>
            <w:hideMark/>
          </w:tcPr>
          <w:p w:rsidR="009D283C" w:rsidRPr="00B72CBC" w:rsidRDefault="009D283C" w:rsidP="00081DFB">
            <w:pPr>
              <w:jc w:val="center"/>
              <w:rPr>
                <w:color w:val="000000"/>
                <w:sz w:val="16"/>
                <w:szCs w:val="16"/>
              </w:rPr>
            </w:pPr>
            <w:r w:rsidRPr="00B72CBC">
              <w:rPr>
                <w:color w:val="000000"/>
                <w:sz w:val="16"/>
                <w:szCs w:val="16"/>
              </w:rPr>
              <w:t>9,600</w:t>
            </w:r>
          </w:p>
        </w:tc>
        <w:tc>
          <w:tcPr>
            <w:tcW w:w="1260" w:type="dxa"/>
            <w:tcBorders>
              <w:top w:val="nil"/>
              <w:left w:val="nil"/>
              <w:bottom w:val="single" w:sz="4" w:space="0" w:color="auto"/>
              <w:right w:val="single" w:sz="4" w:space="0" w:color="auto"/>
            </w:tcBorders>
            <w:shd w:val="clear" w:color="000000" w:fill="FDE9D9"/>
            <w:noWrap/>
            <w:vAlign w:val="center"/>
            <w:hideMark/>
          </w:tcPr>
          <w:p w:rsidR="009D283C" w:rsidRPr="00B72CBC" w:rsidRDefault="009D283C" w:rsidP="00081DFB">
            <w:pPr>
              <w:jc w:val="center"/>
              <w:rPr>
                <w:color w:val="000000"/>
                <w:sz w:val="16"/>
                <w:szCs w:val="16"/>
              </w:rPr>
            </w:pPr>
            <w:r w:rsidRPr="00B72CBC">
              <w:rPr>
                <w:color w:val="000000"/>
                <w:sz w:val="16"/>
                <w:szCs w:val="16"/>
              </w:rPr>
              <w:t>&gt; 131</w:t>
            </w:r>
          </w:p>
        </w:tc>
        <w:tc>
          <w:tcPr>
            <w:tcW w:w="1170" w:type="dxa"/>
            <w:tcBorders>
              <w:top w:val="nil"/>
              <w:left w:val="nil"/>
              <w:bottom w:val="single" w:sz="4" w:space="0" w:color="auto"/>
              <w:right w:val="single" w:sz="4" w:space="0" w:color="auto"/>
            </w:tcBorders>
            <w:shd w:val="clear" w:color="000000" w:fill="FDE9D9"/>
            <w:noWrap/>
            <w:vAlign w:val="center"/>
            <w:hideMark/>
          </w:tcPr>
          <w:p w:rsidR="009D283C" w:rsidRPr="00B72CBC" w:rsidRDefault="009D283C" w:rsidP="00081DFB">
            <w:pPr>
              <w:jc w:val="center"/>
              <w:rPr>
                <w:color w:val="000000"/>
                <w:sz w:val="16"/>
                <w:szCs w:val="16"/>
              </w:rPr>
            </w:pPr>
            <w:r w:rsidRPr="00B72CBC">
              <w:rPr>
                <w:color w:val="000000"/>
                <w:sz w:val="16"/>
                <w:szCs w:val="16"/>
              </w:rPr>
              <w:t>160</w:t>
            </w:r>
          </w:p>
        </w:tc>
      </w:tr>
      <w:tr w:rsidR="009D283C" w:rsidTr="00081DFB">
        <w:trPr>
          <w:trHeight w:val="25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9D283C" w:rsidRPr="00B72CBC" w:rsidRDefault="009D283C" w:rsidP="00081DFB">
            <w:pPr>
              <w:autoSpaceDE w:val="0"/>
              <w:autoSpaceDN w:val="0"/>
              <w:jc w:val="center"/>
              <w:rPr>
                <w:color w:val="000000"/>
                <w:sz w:val="16"/>
                <w:szCs w:val="16"/>
              </w:rPr>
            </w:pPr>
            <w:r w:rsidRPr="00B72CBC">
              <w:rPr>
                <w:color w:val="000000"/>
                <w:sz w:val="16"/>
                <w:szCs w:val="16"/>
              </w:rPr>
              <w:t>LD103</w:t>
            </w:r>
          </w:p>
        </w:tc>
        <w:tc>
          <w:tcPr>
            <w:tcW w:w="2520" w:type="dxa"/>
            <w:tcBorders>
              <w:top w:val="nil"/>
              <w:left w:val="nil"/>
              <w:bottom w:val="single" w:sz="4" w:space="0" w:color="auto"/>
              <w:right w:val="single" w:sz="4" w:space="0" w:color="auto"/>
            </w:tcBorders>
            <w:shd w:val="clear" w:color="auto" w:fill="auto"/>
            <w:noWrap/>
            <w:vAlign w:val="center"/>
            <w:hideMark/>
          </w:tcPr>
          <w:p w:rsidR="009D283C" w:rsidRPr="00B72CBC" w:rsidRDefault="00495AEF" w:rsidP="00081DFB">
            <w:pPr>
              <w:jc w:val="center"/>
              <w:rPr>
                <w:rFonts w:eastAsiaTheme="minorHAnsi"/>
                <w:color w:val="000000"/>
                <w:sz w:val="16"/>
                <w:szCs w:val="16"/>
              </w:rPr>
            </w:pPr>
            <w:r w:rsidRPr="00B72CBC">
              <w:rPr>
                <w:color w:val="000000"/>
                <w:sz w:val="16"/>
                <w:szCs w:val="16"/>
              </w:rPr>
              <w:t xml:space="preserve">LED </w:t>
            </w:r>
            <w:r w:rsidR="009D283C" w:rsidRPr="00B72CBC">
              <w:rPr>
                <w:color w:val="000000"/>
                <w:sz w:val="16"/>
                <w:szCs w:val="16"/>
              </w:rPr>
              <w:t>High</w:t>
            </w:r>
            <w:r w:rsidRPr="00B72CBC">
              <w:rPr>
                <w:color w:val="000000"/>
                <w:sz w:val="16"/>
                <w:szCs w:val="16"/>
              </w:rPr>
              <w:t>/Low</w:t>
            </w:r>
            <w:r w:rsidR="009D283C" w:rsidRPr="00B72CBC">
              <w:rPr>
                <w:color w:val="000000"/>
                <w:sz w:val="16"/>
                <w:szCs w:val="16"/>
              </w:rPr>
              <w:t xml:space="preserve"> Bay:  &gt;160 to 187 watts, replacing 250 W PS-MH</w:t>
            </w:r>
          </w:p>
        </w:tc>
        <w:tc>
          <w:tcPr>
            <w:tcW w:w="2160" w:type="dxa"/>
            <w:tcBorders>
              <w:top w:val="nil"/>
              <w:left w:val="nil"/>
              <w:bottom w:val="single" w:sz="4" w:space="0" w:color="auto"/>
              <w:right w:val="single" w:sz="4" w:space="0" w:color="auto"/>
            </w:tcBorders>
            <w:shd w:val="clear" w:color="auto" w:fill="auto"/>
            <w:noWrap/>
            <w:vAlign w:val="center"/>
            <w:hideMark/>
          </w:tcPr>
          <w:p w:rsidR="009D283C" w:rsidRPr="00B72CBC" w:rsidRDefault="009D283C" w:rsidP="00081DFB">
            <w:pPr>
              <w:jc w:val="center"/>
              <w:rPr>
                <w:color w:val="000000"/>
                <w:sz w:val="16"/>
                <w:szCs w:val="16"/>
              </w:rPr>
            </w:pPr>
            <w:r w:rsidRPr="00B72CBC">
              <w:rPr>
                <w:color w:val="000000"/>
                <w:sz w:val="16"/>
                <w:szCs w:val="16"/>
              </w:rPr>
              <w:t>Pulse-Start MH 250</w:t>
            </w:r>
          </w:p>
        </w:tc>
        <w:tc>
          <w:tcPr>
            <w:tcW w:w="1170" w:type="dxa"/>
            <w:tcBorders>
              <w:top w:val="nil"/>
              <w:left w:val="nil"/>
              <w:bottom w:val="single" w:sz="4" w:space="0" w:color="auto"/>
              <w:right w:val="single" w:sz="4" w:space="0" w:color="auto"/>
            </w:tcBorders>
            <w:shd w:val="clear" w:color="auto" w:fill="auto"/>
            <w:noWrap/>
            <w:vAlign w:val="center"/>
            <w:hideMark/>
          </w:tcPr>
          <w:p w:rsidR="009D283C" w:rsidRPr="00B72CBC" w:rsidRDefault="009D283C" w:rsidP="00081DFB">
            <w:pPr>
              <w:jc w:val="center"/>
              <w:rPr>
                <w:color w:val="000000"/>
                <w:sz w:val="16"/>
                <w:szCs w:val="16"/>
              </w:rPr>
            </w:pPr>
            <w:r w:rsidRPr="00B72CBC">
              <w:rPr>
                <w:color w:val="000000"/>
                <w:sz w:val="16"/>
                <w:szCs w:val="16"/>
              </w:rPr>
              <w:t>288</w:t>
            </w:r>
          </w:p>
        </w:tc>
        <w:tc>
          <w:tcPr>
            <w:tcW w:w="1170" w:type="dxa"/>
            <w:tcBorders>
              <w:top w:val="nil"/>
              <w:left w:val="nil"/>
              <w:bottom w:val="single" w:sz="4" w:space="0" w:color="auto"/>
              <w:right w:val="single" w:sz="4" w:space="0" w:color="auto"/>
            </w:tcBorders>
            <w:shd w:val="clear" w:color="000000" w:fill="B7DEE8"/>
            <w:noWrap/>
            <w:vAlign w:val="center"/>
            <w:hideMark/>
          </w:tcPr>
          <w:p w:rsidR="009D283C" w:rsidRPr="00B72CBC" w:rsidRDefault="009D283C" w:rsidP="00081DFB">
            <w:pPr>
              <w:jc w:val="center"/>
              <w:rPr>
                <w:color w:val="000000"/>
                <w:sz w:val="16"/>
                <w:szCs w:val="16"/>
              </w:rPr>
            </w:pPr>
            <w:r w:rsidRPr="00B72CBC">
              <w:rPr>
                <w:color w:val="000000"/>
                <w:sz w:val="16"/>
                <w:szCs w:val="16"/>
              </w:rPr>
              <w:t>11,200</w:t>
            </w:r>
          </w:p>
        </w:tc>
        <w:tc>
          <w:tcPr>
            <w:tcW w:w="1260" w:type="dxa"/>
            <w:tcBorders>
              <w:top w:val="nil"/>
              <w:left w:val="nil"/>
              <w:bottom w:val="single" w:sz="4" w:space="0" w:color="auto"/>
              <w:right w:val="single" w:sz="4" w:space="0" w:color="auto"/>
            </w:tcBorders>
            <w:shd w:val="clear" w:color="000000" w:fill="FDE9D9"/>
            <w:noWrap/>
            <w:vAlign w:val="center"/>
            <w:hideMark/>
          </w:tcPr>
          <w:p w:rsidR="009D283C" w:rsidRPr="00B72CBC" w:rsidRDefault="009D283C" w:rsidP="00081DFB">
            <w:pPr>
              <w:jc w:val="center"/>
              <w:rPr>
                <w:color w:val="000000"/>
                <w:sz w:val="16"/>
                <w:szCs w:val="16"/>
              </w:rPr>
            </w:pPr>
            <w:r w:rsidRPr="00B72CBC">
              <w:rPr>
                <w:color w:val="000000"/>
                <w:sz w:val="16"/>
                <w:szCs w:val="16"/>
              </w:rPr>
              <w:t>&gt; 160</w:t>
            </w:r>
          </w:p>
        </w:tc>
        <w:tc>
          <w:tcPr>
            <w:tcW w:w="1170" w:type="dxa"/>
            <w:tcBorders>
              <w:top w:val="nil"/>
              <w:left w:val="nil"/>
              <w:bottom w:val="single" w:sz="4" w:space="0" w:color="auto"/>
              <w:right w:val="single" w:sz="4" w:space="0" w:color="auto"/>
            </w:tcBorders>
            <w:shd w:val="clear" w:color="000000" w:fill="FDE9D9"/>
            <w:noWrap/>
            <w:vAlign w:val="center"/>
            <w:hideMark/>
          </w:tcPr>
          <w:p w:rsidR="009D283C" w:rsidRPr="00B72CBC" w:rsidRDefault="009D283C" w:rsidP="00081DFB">
            <w:pPr>
              <w:jc w:val="center"/>
              <w:rPr>
                <w:color w:val="000000"/>
                <w:sz w:val="16"/>
                <w:szCs w:val="16"/>
              </w:rPr>
            </w:pPr>
            <w:r w:rsidRPr="00B72CBC">
              <w:rPr>
                <w:color w:val="000000"/>
                <w:sz w:val="16"/>
                <w:szCs w:val="16"/>
              </w:rPr>
              <w:t>187</w:t>
            </w:r>
          </w:p>
        </w:tc>
      </w:tr>
      <w:tr w:rsidR="009D283C" w:rsidTr="00081DFB">
        <w:trPr>
          <w:trHeight w:val="25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9D283C" w:rsidRPr="00B72CBC" w:rsidRDefault="009D283C" w:rsidP="00081DFB">
            <w:pPr>
              <w:autoSpaceDE w:val="0"/>
              <w:autoSpaceDN w:val="0"/>
              <w:jc w:val="center"/>
              <w:rPr>
                <w:color w:val="000000"/>
                <w:sz w:val="16"/>
                <w:szCs w:val="16"/>
              </w:rPr>
            </w:pPr>
            <w:r w:rsidRPr="00B72CBC">
              <w:rPr>
                <w:color w:val="000000"/>
                <w:sz w:val="16"/>
                <w:szCs w:val="16"/>
              </w:rPr>
              <w:t>LD104</w:t>
            </w:r>
          </w:p>
        </w:tc>
        <w:tc>
          <w:tcPr>
            <w:tcW w:w="2520" w:type="dxa"/>
            <w:tcBorders>
              <w:top w:val="nil"/>
              <w:left w:val="nil"/>
              <w:bottom w:val="single" w:sz="4" w:space="0" w:color="auto"/>
              <w:right w:val="single" w:sz="4" w:space="0" w:color="auto"/>
            </w:tcBorders>
            <w:shd w:val="clear" w:color="auto" w:fill="auto"/>
            <w:noWrap/>
            <w:vAlign w:val="center"/>
            <w:hideMark/>
          </w:tcPr>
          <w:p w:rsidR="009D283C" w:rsidRPr="00B72CBC" w:rsidRDefault="00495AEF" w:rsidP="00081DFB">
            <w:pPr>
              <w:jc w:val="center"/>
              <w:rPr>
                <w:rFonts w:eastAsiaTheme="minorHAnsi"/>
                <w:color w:val="000000"/>
                <w:sz w:val="16"/>
                <w:szCs w:val="16"/>
              </w:rPr>
            </w:pPr>
            <w:r w:rsidRPr="00B72CBC">
              <w:rPr>
                <w:color w:val="000000"/>
                <w:sz w:val="16"/>
                <w:szCs w:val="16"/>
              </w:rPr>
              <w:t xml:space="preserve">LED </w:t>
            </w:r>
            <w:r w:rsidR="009D283C" w:rsidRPr="00B72CBC">
              <w:rPr>
                <w:color w:val="000000"/>
                <w:sz w:val="16"/>
                <w:szCs w:val="16"/>
              </w:rPr>
              <w:t>High</w:t>
            </w:r>
            <w:r w:rsidRPr="00B72CBC">
              <w:rPr>
                <w:color w:val="000000"/>
                <w:sz w:val="16"/>
                <w:szCs w:val="16"/>
              </w:rPr>
              <w:t>/Low Bay</w:t>
            </w:r>
            <w:r w:rsidR="009D283C" w:rsidRPr="00B72CBC">
              <w:rPr>
                <w:color w:val="000000"/>
                <w:sz w:val="16"/>
                <w:szCs w:val="16"/>
              </w:rPr>
              <w:t>:  &gt;187 to 220 watts, replacing 320W PS-MH</w:t>
            </w:r>
          </w:p>
        </w:tc>
        <w:tc>
          <w:tcPr>
            <w:tcW w:w="2160" w:type="dxa"/>
            <w:tcBorders>
              <w:top w:val="nil"/>
              <w:left w:val="nil"/>
              <w:bottom w:val="single" w:sz="4" w:space="0" w:color="auto"/>
              <w:right w:val="single" w:sz="4" w:space="0" w:color="auto"/>
            </w:tcBorders>
            <w:shd w:val="clear" w:color="auto" w:fill="auto"/>
            <w:noWrap/>
            <w:vAlign w:val="center"/>
            <w:hideMark/>
          </w:tcPr>
          <w:p w:rsidR="009D283C" w:rsidRPr="00B72CBC" w:rsidRDefault="009D283C" w:rsidP="00081DFB">
            <w:pPr>
              <w:jc w:val="center"/>
              <w:rPr>
                <w:color w:val="000000"/>
                <w:sz w:val="16"/>
                <w:szCs w:val="16"/>
              </w:rPr>
            </w:pPr>
            <w:r w:rsidRPr="00B72CBC">
              <w:rPr>
                <w:color w:val="000000"/>
                <w:sz w:val="16"/>
                <w:szCs w:val="16"/>
              </w:rPr>
              <w:t>Pulse-Start MH 320</w:t>
            </w:r>
          </w:p>
        </w:tc>
        <w:tc>
          <w:tcPr>
            <w:tcW w:w="1170" w:type="dxa"/>
            <w:tcBorders>
              <w:top w:val="nil"/>
              <w:left w:val="nil"/>
              <w:bottom w:val="single" w:sz="4" w:space="0" w:color="auto"/>
              <w:right w:val="single" w:sz="4" w:space="0" w:color="auto"/>
            </w:tcBorders>
            <w:shd w:val="clear" w:color="auto" w:fill="auto"/>
            <w:noWrap/>
            <w:vAlign w:val="center"/>
            <w:hideMark/>
          </w:tcPr>
          <w:p w:rsidR="009D283C" w:rsidRPr="00B72CBC" w:rsidRDefault="009D283C" w:rsidP="00081DFB">
            <w:pPr>
              <w:jc w:val="center"/>
              <w:rPr>
                <w:color w:val="000000"/>
                <w:sz w:val="16"/>
                <w:szCs w:val="16"/>
              </w:rPr>
            </w:pPr>
            <w:r w:rsidRPr="00B72CBC">
              <w:rPr>
                <w:color w:val="000000"/>
                <w:sz w:val="16"/>
                <w:szCs w:val="16"/>
              </w:rPr>
              <w:t>365</w:t>
            </w:r>
          </w:p>
        </w:tc>
        <w:tc>
          <w:tcPr>
            <w:tcW w:w="1170" w:type="dxa"/>
            <w:tcBorders>
              <w:top w:val="nil"/>
              <w:left w:val="nil"/>
              <w:bottom w:val="single" w:sz="4" w:space="0" w:color="auto"/>
              <w:right w:val="single" w:sz="4" w:space="0" w:color="auto"/>
            </w:tcBorders>
            <w:shd w:val="clear" w:color="000000" w:fill="B7DEE8"/>
            <w:noWrap/>
            <w:vAlign w:val="center"/>
            <w:hideMark/>
          </w:tcPr>
          <w:p w:rsidR="009D283C" w:rsidRPr="00B72CBC" w:rsidRDefault="009D283C" w:rsidP="00081DFB">
            <w:pPr>
              <w:jc w:val="center"/>
              <w:rPr>
                <w:color w:val="000000"/>
                <w:sz w:val="16"/>
                <w:szCs w:val="16"/>
              </w:rPr>
            </w:pPr>
            <w:r w:rsidRPr="00B72CBC">
              <w:rPr>
                <w:color w:val="000000"/>
                <w:sz w:val="16"/>
                <w:szCs w:val="16"/>
              </w:rPr>
              <w:t>12,900</w:t>
            </w:r>
          </w:p>
        </w:tc>
        <w:tc>
          <w:tcPr>
            <w:tcW w:w="1260" w:type="dxa"/>
            <w:tcBorders>
              <w:top w:val="nil"/>
              <w:left w:val="nil"/>
              <w:bottom w:val="single" w:sz="4" w:space="0" w:color="auto"/>
              <w:right w:val="single" w:sz="4" w:space="0" w:color="auto"/>
            </w:tcBorders>
            <w:shd w:val="clear" w:color="000000" w:fill="FDE9D9"/>
            <w:noWrap/>
            <w:vAlign w:val="center"/>
            <w:hideMark/>
          </w:tcPr>
          <w:p w:rsidR="009D283C" w:rsidRPr="00B72CBC" w:rsidRDefault="009D283C" w:rsidP="00081DFB">
            <w:pPr>
              <w:jc w:val="center"/>
              <w:rPr>
                <w:color w:val="000000"/>
                <w:sz w:val="16"/>
                <w:szCs w:val="16"/>
              </w:rPr>
            </w:pPr>
            <w:r w:rsidRPr="00B72CBC">
              <w:rPr>
                <w:color w:val="000000"/>
                <w:sz w:val="16"/>
                <w:szCs w:val="16"/>
              </w:rPr>
              <w:t>&gt; 187</w:t>
            </w:r>
          </w:p>
        </w:tc>
        <w:tc>
          <w:tcPr>
            <w:tcW w:w="1170" w:type="dxa"/>
            <w:tcBorders>
              <w:top w:val="nil"/>
              <w:left w:val="nil"/>
              <w:bottom w:val="single" w:sz="4" w:space="0" w:color="auto"/>
              <w:right w:val="single" w:sz="4" w:space="0" w:color="auto"/>
            </w:tcBorders>
            <w:shd w:val="clear" w:color="000000" w:fill="FDE9D9"/>
            <w:noWrap/>
            <w:vAlign w:val="center"/>
            <w:hideMark/>
          </w:tcPr>
          <w:p w:rsidR="009D283C" w:rsidRPr="00B72CBC" w:rsidRDefault="009D283C" w:rsidP="00081DFB">
            <w:pPr>
              <w:jc w:val="center"/>
              <w:rPr>
                <w:color w:val="000000"/>
                <w:sz w:val="16"/>
                <w:szCs w:val="16"/>
              </w:rPr>
            </w:pPr>
            <w:r w:rsidRPr="00B72CBC">
              <w:rPr>
                <w:color w:val="000000"/>
                <w:sz w:val="16"/>
                <w:szCs w:val="16"/>
              </w:rPr>
              <w:t>220</w:t>
            </w:r>
          </w:p>
        </w:tc>
      </w:tr>
      <w:tr w:rsidR="009D283C" w:rsidTr="00081DFB">
        <w:trPr>
          <w:trHeight w:val="25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9D283C" w:rsidRPr="00B72CBC" w:rsidRDefault="009D283C" w:rsidP="00081DFB">
            <w:pPr>
              <w:autoSpaceDE w:val="0"/>
              <w:autoSpaceDN w:val="0"/>
              <w:jc w:val="center"/>
              <w:rPr>
                <w:color w:val="000000"/>
                <w:sz w:val="16"/>
                <w:szCs w:val="16"/>
              </w:rPr>
            </w:pPr>
            <w:r w:rsidRPr="00B72CBC">
              <w:rPr>
                <w:color w:val="000000"/>
                <w:sz w:val="16"/>
                <w:szCs w:val="16"/>
              </w:rPr>
              <w:t>LD105</w:t>
            </w:r>
          </w:p>
        </w:tc>
        <w:tc>
          <w:tcPr>
            <w:tcW w:w="2520" w:type="dxa"/>
            <w:tcBorders>
              <w:top w:val="nil"/>
              <w:left w:val="nil"/>
              <w:bottom w:val="single" w:sz="4" w:space="0" w:color="auto"/>
              <w:right w:val="single" w:sz="4" w:space="0" w:color="auto"/>
            </w:tcBorders>
            <w:shd w:val="clear" w:color="auto" w:fill="auto"/>
            <w:noWrap/>
            <w:vAlign w:val="center"/>
            <w:hideMark/>
          </w:tcPr>
          <w:p w:rsidR="009D283C" w:rsidRPr="00B72CBC" w:rsidRDefault="00495AEF" w:rsidP="00081DFB">
            <w:pPr>
              <w:jc w:val="center"/>
              <w:rPr>
                <w:rFonts w:eastAsiaTheme="minorHAnsi"/>
                <w:color w:val="000000"/>
                <w:sz w:val="16"/>
                <w:szCs w:val="16"/>
              </w:rPr>
            </w:pPr>
            <w:r w:rsidRPr="00B72CBC">
              <w:rPr>
                <w:color w:val="000000"/>
                <w:sz w:val="16"/>
                <w:szCs w:val="16"/>
              </w:rPr>
              <w:t xml:space="preserve">LED </w:t>
            </w:r>
            <w:r w:rsidR="009D283C" w:rsidRPr="00B72CBC">
              <w:rPr>
                <w:color w:val="000000"/>
                <w:sz w:val="16"/>
                <w:szCs w:val="16"/>
              </w:rPr>
              <w:t>High</w:t>
            </w:r>
            <w:r w:rsidRPr="00B72CBC">
              <w:rPr>
                <w:color w:val="000000"/>
                <w:sz w:val="16"/>
                <w:szCs w:val="16"/>
              </w:rPr>
              <w:t>/Low Bay</w:t>
            </w:r>
            <w:r w:rsidR="009D283C" w:rsidRPr="00B72CBC">
              <w:rPr>
                <w:color w:val="000000"/>
                <w:sz w:val="16"/>
                <w:szCs w:val="16"/>
              </w:rPr>
              <w:t>:  &gt;220 to 262 watts, replacing 350W PS-MH</w:t>
            </w:r>
          </w:p>
        </w:tc>
        <w:tc>
          <w:tcPr>
            <w:tcW w:w="2160" w:type="dxa"/>
            <w:tcBorders>
              <w:top w:val="nil"/>
              <w:left w:val="nil"/>
              <w:bottom w:val="single" w:sz="4" w:space="0" w:color="auto"/>
              <w:right w:val="single" w:sz="4" w:space="0" w:color="auto"/>
            </w:tcBorders>
            <w:shd w:val="clear" w:color="auto" w:fill="auto"/>
            <w:noWrap/>
            <w:vAlign w:val="center"/>
            <w:hideMark/>
          </w:tcPr>
          <w:p w:rsidR="009D283C" w:rsidRPr="00B72CBC" w:rsidRDefault="009D283C" w:rsidP="00081DFB">
            <w:pPr>
              <w:jc w:val="center"/>
              <w:rPr>
                <w:color w:val="000000"/>
                <w:sz w:val="16"/>
                <w:szCs w:val="16"/>
              </w:rPr>
            </w:pPr>
            <w:r w:rsidRPr="00B72CBC">
              <w:rPr>
                <w:color w:val="000000"/>
                <w:sz w:val="16"/>
                <w:szCs w:val="16"/>
              </w:rPr>
              <w:t>Pulse-Start MH 350</w:t>
            </w:r>
          </w:p>
        </w:tc>
        <w:tc>
          <w:tcPr>
            <w:tcW w:w="1170" w:type="dxa"/>
            <w:tcBorders>
              <w:top w:val="nil"/>
              <w:left w:val="nil"/>
              <w:bottom w:val="single" w:sz="4" w:space="0" w:color="auto"/>
              <w:right w:val="single" w:sz="4" w:space="0" w:color="auto"/>
            </w:tcBorders>
            <w:shd w:val="clear" w:color="auto" w:fill="auto"/>
            <w:noWrap/>
            <w:vAlign w:val="center"/>
            <w:hideMark/>
          </w:tcPr>
          <w:p w:rsidR="009D283C" w:rsidRPr="00B72CBC" w:rsidRDefault="009D283C" w:rsidP="00081DFB">
            <w:pPr>
              <w:jc w:val="center"/>
              <w:rPr>
                <w:color w:val="000000"/>
                <w:sz w:val="16"/>
                <w:szCs w:val="16"/>
              </w:rPr>
            </w:pPr>
            <w:r w:rsidRPr="00B72CBC">
              <w:rPr>
                <w:color w:val="000000"/>
                <w:sz w:val="16"/>
                <w:szCs w:val="16"/>
              </w:rPr>
              <w:t>400</w:t>
            </w:r>
          </w:p>
        </w:tc>
        <w:tc>
          <w:tcPr>
            <w:tcW w:w="1170" w:type="dxa"/>
            <w:tcBorders>
              <w:top w:val="nil"/>
              <w:left w:val="nil"/>
              <w:bottom w:val="single" w:sz="4" w:space="0" w:color="auto"/>
              <w:right w:val="single" w:sz="4" w:space="0" w:color="auto"/>
            </w:tcBorders>
            <w:shd w:val="clear" w:color="000000" w:fill="B7DEE8"/>
            <w:noWrap/>
            <w:vAlign w:val="center"/>
            <w:hideMark/>
          </w:tcPr>
          <w:p w:rsidR="009D283C" w:rsidRPr="00B72CBC" w:rsidRDefault="009D283C" w:rsidP="00081DFB">
            <w:pPr>
              <w:jc w:val="center"/>
              <w:rPr>
                <w:color w:val="000000"/>
                <w:sz w:val="16"/>
                <w:szCs w:val="16"/>
              </w:rPr>
            </w:pPr>
            <w:r w:rsidRPr="00B72CBC">
              <w:rPr>
                <w:color w:val="000000"/>
                <w:sz w:val="16"/>
                <w:szCs w:val="16"/>
              </w:rPr>
              <w:t>15,800</w:t>
            </w:r>
          </w:p>
        </w:tc>
        <w:tc>
          <w:tcPr>
            <w:tcW w:w="1260" w:type="dxa"/>
            <w:tcBorders>
              <w:top w:val="nil"/>
              <w:left w:val="nil"/>
              <w:bottom w:val="single" w:sz="4" w:space="0" w:color="auto"/>
              <w:right w:val="single" w:sz="4" w:space="0" w:color="auto"/>
            </w:tcBorders>
            <w:shd w:val="clear" w:color="000000" w:fill="FDE9D9"/>
            <w:noWrap/>
            <w:vAlign w:val="center"/>
            <w:hideMark/>
          </w:tcPr>
          <w:p w:rsidR="009D283C" w:rsidRPr="00B72CBC" w:rsidRDefault="009D283C" w:rsidP="00081DFB">
            <w:pPr>
              <w:jc w:val="center"/>
              <w:rPr>
                <w:color w:val="000000"/>
                <w:sz w:val="16"/>
                <w:szCs w:val="16"/>
              </w:rPr>
            </w:pPr>
            <w:r w:rsidRPr="00B72CBC">
              <w:rPr>
                <w:color w:val="000000"/>
                <w:sz w:val="16"/>
                <w:szCs w:val="16"/>
              </w:rPr>
              <w:t>&gt; 220</w:t>
            </w:r>
          </w:p>
        </w:tc>
        <w:tc>
          <w:tcPr>
            <w:tcW w:w="1170" w:type="dxa"/>
            <w:tcBorders>
              <w:top w:val="nil"/>
              <w:left w:val="nil"/>
              <w:bottom w:val="single" w:sz="4" w:space="0" w:color="auto"/>
              <w:right w:val="single" w:sz="4" w:space="0" w:color="auto"/>
            </w:tcBorders>
            <w:shd w:val="clear" w:color="000000" w:fill="FDE9D9"/>
            <w:noWrap/>
            <w:vAlign w:val="center"/>
            <w:hideMark/>
          </w:tcPr>
          <w:p w:rsidR="009D283C" w:rsidRPr="00B72CBC" w:rsidRDefault="009D283C" w:rsidP="00081DFB">
            <w:pPr>
              <w:jc w:val="center"/>
              <w:rPr>
                <w:color w:val="000000"/>
                <w:sz w:val="16"/>
                <w:szCs w:val="16"/>
              </w:rPr>
            </w:pPr>
            <w:r w:rsidRPr="00B72CBC">
              <w:rPr>
                <w:color w:val="000000"/>
                <w:sz w:val="16"/>
                <w:szCs w:val="16"/>
              </w:rPr>
              <w:t>262</w:t>
            </w:r>
          </w:p>
        </w:tc>
      </w:tr>
      <w:tr w:rsidR="009D283C" w:rsidTr="00081DFB">
        <w:trPr>
          <w:trHeight w:val="25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9D283C" w:rsidRPr="00B72CBC" w:rsidRDefault="009D283C" w:rsidP="00081DFB">
            <w:pPr>
              <w:autoSpaceDE w:val="0"/>
              <w:autoSpaceDN w:val="0"/>
              <w:jc w:val="center"/>
              <w:rPr>
                <w:color w:val="000000"/>
                <w:sz w:val="16"/>
                <w:szCs w:val="16"/>
              </w:rPr>
            </w:pPr>
            <w:r w:rsidRPr="00B72CBC">
              <w:rPr>
                <w:color w:val="000000"/>
                <w:sz w:val="16"/>
                <w:szCs w:val="16"/>
              </w:rPr>
              <w:t>LD106</w:t>
            </w:r>
          </w:p>
        </w:tc>
        <w:tc>
          <w:tcPr>
            <w:tcW w:w="2520" w:type="dxa"/>
            <w:tcBorders>
              <w:top w:val="nil"/>
              <w:left w:val="nil"/>
              <w:bottom w:val="single" w:sz="4" w:space="0" w:color="auto"/>
              <w:right w:val="single" w:sz="4" w:space="0" w:color="auto"/>
            </w:tcBorders>
            <w:shd w:val="clear" w:color="auto" w:fill="auto"/>
            <w:noWrap/>
            <w:vAlign w:val="center"/>
            <w:hideMark/>
          </w:tcPr>
          <w:p w:rsidR="009D283C" w:rsidRPr="00B72CBC" w:rsidRDefault="00495AEF" w:rsidP="00081DFB">
            <w:pPr>
              <w:jc w:val="center"/>
              <w:rPr>
                <w:rFonts w:eastAsiaTheme="minorHAnsi"/>
                <w:color w:val="000000"/>
                <w:sz w:val="16"/>
                <w:szCs w:val="16"/>
              </w:rPr>
            </w:pPr>
            <w:r w:rsidRPr="00B72CBC">
              <w:rPr>
                <w:color w:val="000000"/>
                <w:sz w:val="16"/>
                <w:szCs w:val="16"/>
              </w:rPr>
              <w:t xml:space="preserve">LED </w:t>
            </w:r>
            <w:r w:rsidR="009D283C" w:rsidRPr="00B72CBC">
              <w:rPr>
                <w:color w:val="000000"/>
                <w:sz w:val="16"/>
                <w:szCs w:val="16"/>
              </w:rPr>
              <w:t>High</w:t>
            </w:r>
            <w:r w:rsidRPr="00B72CBC">
              <w:rPr>
                <w:color w:val="000000"/>
                <w:sz w:val="16"/>
                <w:szCs w:val="16"/>
              </w:rPr>
              <w:t>/Low Bay</w:t>
            </w:r>
            <w:r w:rsidR="009D283C" w:rsidRPr="00B72CBC">
              <w:rPr>
                <w:color w:val="000000"/>
                <w:sz w:val="16"/>
                <w:szCs w:val="16"/>
              </w:rPr>
              <w:t>:  &gt;262 to 280 watts, replacing 400W PS-MH</w:t>
            </w:r>
          </w:p>
        </w:tc>
        <w:tc>
          <w:tcPr>
            <w:tcW w:w="2160" w:type="dxa"/>
            <w:tcBorders>
              <w:top w:val="nil"/>
              <w:left w:val="nil"/>
              <w:bottom w:val="single" w:sz="4" w:space="0" w:color="auto"/>
              <w:right w:val="single" w:sz="4" w:space="0" w:color="auto"/>
            </w:tcBorders>
            <w:shd w:val="clear" w:color="auto" w:fill="auto"/>
            <w:noWrap/>
            <w:vAlign w:val="center"/>
            <w:hideMark/>
          </w:tcPr>
          <w:p w:rsidR="009D283C" w:rsidRPr="00B72CBC" w:rsidRDefault="009D283C" w:rsidP="00081DFB">
            <w:pPr>
              <w:jc w:val="center"/>
              <w:rPr>
                <w:color w:val="000000"/>
                <w:sz w:val="16"/>
                <w:szCs w:val="16"/>
              </w:rPr>
            </w:pPr>
            <w:r w:rsidRPr="00B72CBC">
              <w:rPr>
                <w:color w:val="000000"/>
                <w:sz w:val="16"/>
                <w:szCs w:val="16"/>
              </w:rPr>
              <w:t>Pulse-Start MH 400</w:t>
            </w:r>
          </w:p>
        </w:tc>
        <w:tc>
          <w:tcPr>
            <w:tcW w:w="1170" w:type="dxa"/>
            <w:tcBorders>
              <w:top w:val="nil"/>
              <w:left w:val="nil"/>
              <w:bottom w:val="single" w:sz="4" w:space="0" w:color="auto"/>
              <w:right w:val="single" w:sz="4" w:space="0" w:color="auto"/>
            </w:tcBorders>
            <w:shd w:val="clear" w:color="auto" w:fill="auto"/>
            <w:noWrap/>
            <w:vAlign w:val="center"/>
            <w:hideMark/>
          </w:tcPr>
          <w:p w:rsidR="009D283C" w:rsidRPr="00B72CBC" w:rsidRDefault="009D283C" w:rsidP="00081DFB">
            <w:pPr>
              <w:jc w:val="center"/>
              <w:rPr>
                <w:color w:val="000000"/>
                <w:sz w:val="16"/>
                <w:szCs w:val="16"/>
              </w:rPr>
            </w:pPr>
            <w:r w:rsidRPr="00B72CBC">
              <w:rPr>
                <w:color w:val="000000"/>
                <w:sz w:val="16"/>
                <w:szCs w:val="16"/>
              </w:rPr>
              <w:t>456</w:t>
            </w:r>
          </w:p>
        </w:tc>
        <w:tc>
          <w:tcPr>
            <w:tcW w:w="1170" w:type="dxa"/>
            <w:tcBorders>
              <w:top w:val="nil"/>
              <w:left w:val="nil"/>
              <w:bottom w:val="single" w:sz="4" w:space="0" w:color="auto"/>
              <w:right w:val="single" w:sz="4" w:space="0" w:color="auto"/>
            </w:tcBorders>
            <w:shd w:val="clear" w:color="000000" w:fill="B7DEE8"/>
            <w:noWrap/>
            <w:vAlign w:val="center"/>
            <w:hideMark/>
          </w:tcPr>
          <w:p w:rsidR="009D283C" w:rsidRPr="00B72CBC" w:rsidRDefault="009D283C" w:rsidP="00081DFB">
            <w:pPr>
              <w:jc w:val="center"/>
              <w:rPr>
                <w:color w:val="000000"/>
                <w:sz w:val="16"/>
                <w:szCs w:val="16"/>
              </w:rPr>
            </w:pPr>
            <w:r w:rsidRPr="00B72CBC">
              <w:rPr>
                <w:color w:val="000000"/>
                <w:sz w:val="16"/>
                <w:szCs w:val="16"/>
              </w:rPr>
              <w:t>21,600</w:t>
            </w:r>
          </w:p>
        </w:tc>
        <w:tc>
          <w:tcPr>
            <w:tcW w:w="1260" w:type="dxa"/>
            <w:tcBorders>
              <w:top w:val="nil"/>
              <w:left w:val="nil"/>
              <w:bottom w:val="single" w:sz="4" w:space="0" w:color="auto"/>
              <w:right w:val="single" w:sz="4" w:space="0" w:color="auto"/>
            </w:tcBorders>
            <w:shd w:val="clear" w:color="000000" w:fill="FDE9D9"/>
            <w:noWrap/>
            <w:vAlign w:val="center"/>
            <w:hideMark/>
          </w:tcPr>
          <w:p w:rsidR="009D283C" w:rsidRPr="00B72CBC" w:rsidRDefault="009D283C" w:rsidP="00081DFB">
            <w:pPr>
              <w:jc w:val="center"/>
              <w:rPr>
                <w:color w:val="000000"/>
                <w:sz w:val="16"/>
                <w:szCs w:val="16"/>
              </w:rPr>
            </w:pPr>
            <w:r w:rsidRPr="00B72CBC">
              <w:rPr>
                <w:color w:val="000000"/>
                <w:sz w:val="16"/>
                <w:szCs w:val="16"/>
              </w:rPr>
              <w:t>&gt; 262</w:t>
            </w:r>
          </w:p>
        </w:tc>
        <w:tc>
          <w:tcPr>
            <w:tcW w:w="1170" w:type="dxa"/>
            <w:tcBorders>
              <w:top w:val="nil"/>
              <w:left w:val="nil"/>
              <w:bottom w:val="single" w:sz="4" w:space="0" w:color="auto"/>
              <w:right w:val="single" w:sz="4" w:space="0" w:color="auto"/>
            </w:tcBorders>
            <w:shd w:val="clear" w:color="000000" w:fill="FDE9D9"/>
            <w:noWrap/>
            <w:vAlign w:val="center"/>
            <w:hideMark/>
          </w:tcPr>
          <w:p w:rsidR="009D283C" w:rsidRPr="00B72CBC" w:rsidRDefault="009D283C" w:rsidP="00081DFB">
            <w:pPr>
              <w:jc w:val="center"/>
              <w:rPr>
                <w:color w:val="000000"/>
                <w:sz w:val="16"/>
                <w:szCs w:val="16"/>
              </w:rPr>
            </w:pPr>
            <w:r w:rsidRPr="00B72CBC">
              <w:rPr>
                <w:color w:val="000000"/>
                <w:sz w:val="16"/>
                <w:szCs w:val="16"/>
              </w:rPr>
              <w:t>280</w:t>
            </w:r>
          </w:p>
        </w:tc>
      </w:tr>
      <w:tr w:rsidR="009D283C" w:rsidTr="00081DFB">
        <w:trPr>
          <w:trHeight w:val="25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9D283C" w:rsidRPr="00B72CBC" w:rsidRDefault="009D283C" w:rsidP="00081DFB">
            <w:pPr>
              <w:autoSpaceDE w:val="0"/>
              <w:autoSpaceDN w:val="0"/>
              <w:jc w:val="center"/>
              <w:rPr>
                <w:color w:val="000000"/>
                <w:sz w:val="16"/>
                <w:szCs w:val="16"/>
              </w:rPr>
            </w:pPr>
            <w:r w:rsidRPr="00B72CBC">
              <w:rPr>
                <w:color w:val="000000"/>
                <w:sz w:val="16"/>
                <w:szCs w:val="16"/>
              </w:rPr>
              <w:t>LD107</w:t>
            </w:r>
          </w:p>
        </w:tc>
        <w:tc>
          <w:tcPr>
            <w:tcW w:w="2520" w:type="dxa"/>
            <w:tcBorders>
              <w:top w:val="nil"/>
              <w:left w:val="nil"/>
              <w:bottom w:val="single" w:sz="4" w:space="0" w:color="auto"/>
              <w:right w:val="single" w:sz="4" w:space="0" w:color="auto"/>
            </w:tcBorders>
            <w:shd w:val="clear" w:color="auto" w:fill="auto"/>
            <w:noWrap/>
            <w:vAlign w:val="center"/>
            <w:hideMark/>
          </w:tcPr>
          <w:p w:rsidR="009D283C" w:rsidRPr="00B72CBC" w:rsidRDefault="00495AEF" w:rsidP="00081DFB">
            <w:pPr>
              <w:jc w:val="center"/>
              <w:rPr>
                <w:rFonts w:eastAsiaTheme="minorHAnsi"/>
                <w:color w:val="000000"/>
                <w:sz w:val="16"/>
                <w:szCs w:val="16"/>
              </w:rPr>
            </w:pPr>
            <w:r w:rsidRPr="00B72CBC">
              <w:rPr>
                <w:color w:val="000000"/>
                <w:sz w:val="16"/>
                <w:szCs w:val="16"/>
              </w:rPr>
              <w:t xml:space="preserve">LED </w:t>
            </w:r>
            <w:r w:rsidR="009D283C" w:rsidRPr="00B72CBC">
              <w:rPr>
                <w:color w:val="000000"/>
                <w:sz w:val="16"/>
                <w:szCs w:val="16"/>
              </w:rPr>
              <w:t>High</w:t>
            </w:r>
            <w:r w:rsidRPr="00B72CBC">
              <w:rPr>
                <w:color w:val="000000"/>
                <w:sz w:val="16"/>
                <w:szCs w:val="16"/>
              </w:rPr>
              <w:t>/Low Bay</w:t>
            </w:r>
            <w:r w:rsidR="009D283C" w:rsidRPr="00B72CBC">
              <w:rPr>
                <w:color w:val="000000"/>
                <w:sz w:val="16"/>
                <w:szCs w:val="16"/>
              </w:rPr>
              <w:t>:  &gt;280 to 320 watts, replacing 450W PS-MH</w:t>
            </w:r>
          </w:p>
        </w:tc>
        <w:tc>
          <w:tcPr>
            <w:tcW w:w="2160" w:type="dxa"/>
            <w:tcBorders>
              <w:top w:val="nil"/>
              <w:left w:val="nil"/>
              <w:bottom w:val="single" w:sz="4" w:space="0" w:color="auto"/>
              <w:right w:val="single" w:sz="4" w:space="0" w:color="auto"/>
            </w:tcBorders>
            <w:shd w:val="clear" w:color="auto" w:fill="auto"/>
            <w:noWrap/>
            <w:vAlign w:val="center"/>
            <w:hideMark/>
          </w:tcPr>
          <w:p w:rsidR="009D283C" w:rsidRPr="00B72CBC" w:rsidRDefault="009D283C" w:rsidP="00081DFB">
            <w:pPr>
              <w:jc w:val="center"/>
              <w:rPr>
                <w:color w:val="000000"/>
                <w:sz w:val="16"/>
                <w:szCs w:val="16"/>
              </w:rPr>
            </w:pPr>
            <w:r w:rsidRPr="00B72CBC">
              <w:rPr>
                <w:color w:val="000000"/>
                <w:sz w:val="16"/>
                <w:szCs w:val="16"/>
              </w:rPr>
              <w:t>Pulse-Start MH 450</w:t>
            </w:r>
          </w:p>
        </w:tc>
        <w:tc>
          <w:tcPr>
            <w:tcW w:w="1170" w:type="dxa"/>
            <w:tcBorders>
              <w:top w:val="nil"/>
              <w:left w:val="nil"/>
              <w:bottom w:val="single" w:sz="4" w:space="0" w:color="auto"/>
              <w:right w:val="single" w:sz="4" w:space="0" w:color="auto"/>
            </w:tcBorders>
            <w:shd w:val="clear" w:color="auto" w:fill="auto"/>
            <w:noWrap/>
            <w:vAlign w:val="center"/>
            <w:hideMark/>
          </w:tcPr>
          <w:p w:rsidR="009D283C" w:rsidRPr="00B72CBC" w:rsidRDefault="009D283C" w:rsidP="00081DFB">
            <w:pPr>
              <w:jc w:val="center"/>
              <w:rPr>
                <w:color w:val="000000"/>
                <w:sz w:val="16"/>
                <w:szCs w:val="16"/>
              </w:rPr>
            </w:pPr>
            <w:r w:rsidRPr="00B72CBC">
              <w:rPr>
                <w:color w:val="000000"/>
                <w:sz w:val="16"/>
                <w:szCs w:val="16"/>
              </w:rPr>
              <w:t>506</w:t>
            </w:r>
          </w:p>
        </w:tc>
        <w:tc>
          <w:tcPr>
            <w:tcW w:w="1170" w:type="dxa"/>
            <w:tcBorders>
              <w:top w:val="nil"/>
              <w:left w:val="nil"/>
              <w:bottom w:val="single" w:sz="4" w:space="0" w:color="auto"/>
              <w:right w:val="single" w:sz="4" w:space="0" w:color="auto"/>
            </w:tcBorders>
            <w:shd w:val="clear" w:color="000000" w:fill="B7DEE8"/>
            <w:noWrap/>
            <w:vAlign w:val="center"/>
            <w:hideMark/>
          </w:tcPr>
          <w:p w:rsidR="009D283C" w:rsidRPr="00B72CBC" w:rsidRDefault="009D283C" w:rsidP="00081DFB">
            <w:pPr>
              <w:jc w:val="center"/>
              <w:rPr>
                <w:color w:val="000000"/>
                <w:sz w:val="16"/>
                <w:szCs w:val="16"/>
              </w:rPr>
            </w:pPr>
            <w:r w:rsidRPr="00B72CBC">
              <w:rPr>
                <w:color w:val="000000"/>
                <w:sz w:val="16"/>
                <w:szCs w:val="16"/>
              </w:rPr>
              <w:t>23,900</w:t>
            </w:r>
          </w:p>
        </w:tc>
        <w:tc>
          <w:tcPr>
            <w:tcW w:w="1260" w:type="dxa"/>
            <w:tcBorders>
              <w:top w:val="nil"/>
              <w:left w:val="nil"/>
              <w:bottom w:val="single" w:sz="4" w:space="0" w:color="auto"/>
              <w:right w:val="single" w:sz="4" w:space="0" w:color="auto"/>
            </w:tcBorders>
            <w:shd w:val="clear" w:color="000000" w:fill="FDE9D9"/>
            <w:noWrap/>
            <w:vAlign w:val="center"/>
            <w:hideMark/>
          </w:tcPr>
          <w:p w:rsidR="009D283C" w:rsidRPr="00B72CBC" w:rsidRDefault="009D283C" w:rsidP="00081DFB">
            <w:pPr>
              <w:jc w:val="center"/>
              <w:rPr>
                <w:color w:val="000000"/>
                <w:sz w:val="16"/>
                <w:szCs w:val="16"/>
              </w:rPr>
            </w:pPr>
            <w:r w:rsidRPr="00B72CBC">
              <w:rPr>
                <w:color w:val="000000"/>
                <w:sz w:val="16"/>
                <w:szCs w:val="16"/>
              </w:rPr>
              <w:t>&gt; 280</w:t>
            </w:r>
          </w:p>
        </w:tc>
        <w:tc>
          <w:tcPr>
            <w:tcW w:w="1170" w:type="dxa"/>
            <w:tcBorders>
              <w:top w:val="nil"/>
              <w:left w:val="nil"/>
              <w:bottom w:val="single" w:sz="4" w:space="0" w:color="auto"/>
              <w:right w:val="single" w:sz="4" w:space="0" w:color="auto"/>
            </w:tcBorders>
            <w:shd w:val="clear" w:color="000000" w:fill="FDE9D9"/>
            <w:noWrap/>
            <w:vAlign w:val="center"/>
            <w:hideMark/>
          </w:tcPr>
          <w:p w:rsidR="009D283C" w:rsidRPr="00B72CBC" w:rsidRDefault="009D283C" w:rsidP="00081DFB">
            <w:pPr>
              <w:jc w:val="center"/>
              <w:rPr>
                <w:color w:val="000000"/>
                <w:sz w:val="16"/>
                <w:szCs w:val="16"/>
              </w:rPr>
            </w:pPr>
            <w:r w:rsidRPr="00B72CBC">
              <w:rPr>
                <w:color w:val="000000"/>
                <w:sz w:val="16"/>
                <w:szCs w:val="16"/>
              </w:rPr>
              <w:t>320</w:t>
            </w:r>
          </w:p>
        </w:tc>
      </w:tr>
      <w:tr w:rsidR="009D283C" w:rsidTr="00081DFB">
        <w:trPr>
          <w:trHeight w:val="25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9D283C" w:rsidRPr="00B72CBC" w:rsidRDefault="009D283C" w:rsidP="00081DFB">
            <w:pPr>
              <w:autoSpaceDE w:val="0"/>
              <w:autoSpaceDN w:val="0"/>
              <w:jc w:val="center"/>
              <w:rPr>
                <w:color w:val="000000"/>
                <w:sz w:val="16"/>
                <w:szCs w:val="16"/>
              </w:rPr>
            </w:pPr>
            <w:r w:rsidRPr="00B72CBC">
              <w:rPr>
                <w:color w:val="000000"/>
                <w:sz w:val="16"/>
                <w:szCs w:val="16"/>
              </w:rPr>
              <w:t>LD108</w:t>
            </w:r>
          </w:p>
        </w:tc>
        <w:tc>
          <w:tcPr>
            <w:tcW w:w="2520" w:type="dxa"/>
            <w:tcBorders>
              <w:top w:val="nil"/>
              <w:left w:val="nil"/>
              <w:bottom w:val="single" w:sz="4" w:space="0" w:color="auto"/>
              <w:right w:val="single" w:sz="4" w:space="0" w:color="auto"/>
            </w:tcBorders>
            <w:shd w:val="clear" w:color="auto" w:fill="auto"/>
            <w:noWrap/>
            <w:vAlign w:val="center"/>
            <w:hideMark/>
          </w:tcPr>
          <w:p w:rsidR="009D283C" w:rsidRPr="00B72CBC" w:rsidRDefault="00495AEF" w:rsidP="00081DFB">
            <w:pPr>
              <w:jc w:val="center"/>
              <w:rPr>
                <w:rFonts w:eastAsiaTheme="minorHAnsi"/>
                <w:color w:val="000000"/>
                <w:sz w:val="16"/>
                <w:szCs w:val="16"/>
              </w:rPr>
            </w:pPr>
            <w:r w:rsidRPr="00B72CBC">
              <w:rPr>
                <w:color w:val="000000"/>
                <w:sz w:val="16"/>
                <w:szCs w:val="16"/>
              </w:rPr>
              <w:t xml:space="preserve">LED </w:t>
            </w:r>
            <w:r w:rsidR="009D283C" w:rsidRPr="00B72CBC">
              <w:rPr>
                <w:color w:val="000000"/>
                <w:sz w:val="16"/>
                <w:szCs w:val="16"/>
              </w:rPr>
              <w:t>High</w:t>
            </w:r>
            <w:r w:rsidRPr="00B72CBC">
              <w:rPr>
                <w:color w:val="000000"/>
                <w:sz w:val="16"/>
                <w:szCs w:val="16"/>
              </w:rPr>
              <w:t>/Low</w:t>
            </w:r>
            <w:r w:rsidR="009D283C" w:rsidRPr="00B72CBC">
              <w:rPr>
                <w:color w:val="000000"/>
                <w:sz w:val="16"/>
                <w:szCs w:val="16"/>
              </w:rPr>
              <w:t xml:space="preserve"> Bay:  &gt;320 to 500 watts, replacing 750W PS-MH</w:t>
            </w:r>
          </w:p>
        </w:tc>
        <w:tc>
          <w:tcPr>
            <w:tcW w:w="2160" w:type="dxa"/>
            <w:tcBorders>
              <w:top w:val="nil"/>
              <w:left w:val="nil"/>
              <w:bottom w:val="single" w:sz="4" w:space="0" w:color="auto"/>
              <w:right w:val="single" w:sz="4" w:space="0" w:color="auto"/>
            </w:tcBorders>
            <w:shd w:val="clear" w:color="auto" w:fill="auto"/>
            <w:noWrap/>
            <w:vAlign w:val="center"/>
            <w:hideMark/>
          </w:tcPr>
          <w:p w:rsidR="009D283C" w:rsidRPr="00B72CBC" w:rsidRDefault="009D283C" w:rsidP="00081DFB">
            <w:pPr>
              <w:jc w:val="center"/>
              <w:rPr>
                <w:color w:val="000000"/>
                <w:sz w:val="16"/>
                <w:szCs w:val="16"/>
              </w:rPr>
            </w:pPr>
            <w:r w:rsidRPr="00B72CBC">
              <w:rPr>
                <w:color w:val="000000"/>
                <w:sz w:val="16"/>
                <w:szCs w:val="16"/>
              </w:rPr>
              <w:t>Pulse-Start MH 750</w:t>
            </w:r>
          </w:p>
        </w:tc>
        <w:tc>
          <w:tcPr>
            <w:tcW w:w="1170" w:type="dxa"/>
            <w:tcBorders>
              <w:top w:val="nil"/>
              <w:left w:val="nil"/>
              <w:bottom w:val="single" w:sz="4" w:space="0" w:color="auto"/>
              <w:right w:val="single" w:sz="4" w:space="0" w:color="auto"/>
            </w:tcBorders>
            <w:shd w:val="clear" w:color="auto" w:fill="auto"/>
            <w:noWrap/>
            <w:vAlign w:val="center"/>
            <w:hideMark/>
          </w:tcPr>
          <w:p w:rsidR="009D283C" w:rsidRPr="00B72CBC" w:rsidRDefault="009D283C" w:rsidP="00081DFB">
            <w:pPr>
              <w:jc w:val="center"/>
              <w:rPr>
                <w:color w:val="000000"/>
                <w:sz w:val="16"/>
                <w:szCs w:val="16"/>
              </w:rPr>
            </w:pPr>
            <w:r w:rsidRPr="00B72CBC">
              <w:rPr>
                <w:color w:val="000000"/>
                <w:sz w:val="16"/>
                <w:szCs w:val="16"/>
              </w:rPr>
              <w:t>818</w:t>
            </w:r>
          </w:p>
        </w:tc>
        <w:tc>
          <w:tcPr>
            <w:tcW w:w="1170" w:type="dxa"/>
            <w:tcBorders>
              <w:top w:val="nil"/>
              <w:left w:val="nil"/>
              <w:bottom w:val="single" w:sz="4" w:space="0" w:color="auto"/>
              <w:right w:val="single" w:sz="4" w:space="0" w:color="auto"/>
            </w:tcBorders>
            <w:shd w:val="clear" w:color="000000" w:fill="B7DEE8"/>
            <w:noWrap/>
            <w:vAlign w:val="center"/>
            <w:hideMark/>
          </w:tcPr>
          <w:p w:rsidR="009D283C" w:rsidRPr="00B72CBC" w:rsidRDefault="009D283C" w:rsidP="00081DFB">
            <w:pPr>
              <w:jc w:val="center"/>
              <w:rPr>
                <w:color w:val="000000"/>
                <w:sz w:val="16"/>
                <w:szCs w:val="16"/>
              </w:rPr>
            </w:pPr>
            <w:r w:rsidRPr="00B72CBC">
              <w:rPr>
                <w:color w:val="000000"/>
                <w:sz w:val="16"/>
                <w:szCs w:val="16"/>
              </w:rPr>
              <w:t>32,300</w:t>
            </w:r>
          </w:p>
        </w:tc>
        <w:tc>
          <w:tcPr>
            <w:tcW w:w="1260" w:type="dxa"/>
            <w:tcBorders>
              <w:top w:val="nil"/>
              <w:left w:val="nil"/>
              <w:bottom w:val="single" w:sz="4" w:space="0" w:color="auto"/>
              <w:right w:val="single" w:sz="4" w:space="0" w:color="auto"/>
            </w:tcBorders>
            <w:shd w:val="clear" w:color="000000" w:fill="FDE9D9"/>
            <w:noWrap/>
            <w:vAlign w:val="center"/>
            <w:hideMark/>
          </w:tcPr>
          <w:p w:rsidR="009D283C" w:rsidRPr="00B72CBC" w:rsidRDefault="009D283C" w:rsidP="00081DFB">
            <w:pPr>
              <w:jc w:val="center"/>
              <w:rPr>
                <w:color w:val="000000"/>
                <w:sz w:val="16"/>
                <w:szCs w:val="16"/>
              </w:rPr>
            </w:pPr>
            <w:r w:rsidRPr="00B72CBC">
              <w:rPr>
                <w:color w:val="000000"/>
                <w:sz w:val="16"/>
                <w:szCs w:val="16"/>
              </w:rPr>
              <w:t>&gt; 320</w:t>
            </w:r>
          </w:p>
        </w:tc>
        <w:tc>
          <w:tcPr>
            <w:tcW w:w="1170" w:type="dxa"/>
            <w:tcBorders>
              <w:top w:val="nil"/>
              <w:left w:val="nil"/>
              <w:bottom w:val="single" w:sz="4" w:space="0" w:color="auto"/>
              <w:right w:val="single" w:sz="4" w:space="0" w:color="auto"/>
            </w:tcBorders>
            <w:shd w:val="clear" w:color="000000" w:fill="FDE9D9"/>
            <w:noWrap/>
            <w:vAlign w:val="center"/>
            <w:hideMark/>
          </w:tcPr>
          <w:p w:rsidR="009D283C" w:rsidRPr="00B72CBC" w:rsidRDefault="009D283C" w:rsidP="00081DFB">
            <w:pPr>
              <w:jc w:val="center"/>
              <w:rPr>
                <w:color w:val="000000"/>
                <w:sz w:val="16"/>
                <w:szCs w:val="16"/>
              </w:rPr>
            </w:pPr>
            <w:r w:rsidRPr="00B72CBC">
              <w:rPr>
                <w:color w:val="000000"/>
                <w:sz w:val="16"/>
                <w:szCs w:val="16"/>
              </w:rPr>
              <w:t>500</w:t>
            </w:r>
          </w:p>
        </w:tc>
      </w:tr>
      <w:tr w:rsidR="009D283C" w:rsidTr="00081DFB">
        <w:trPr>
          <w:trHeight w:val="25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9D283C" w:rsidRPr="00B72CBC" w:rsidRDefault="00495AEF" w:rsidP="00081DFB">
            <w:pPr>
              <w:jc w:val="center"/>
              <w:rPr>
                <w:color w:val="000000"/>
                <w:sz w:val="16"/>
                <w:szCs w:val="16"/>
              </w:rPr>
            </w:pPr>
            <w:r w:rsidRPr="00B72CBC">
              <w:rPr>
                <w:color w:val="000000"/>
                <w:sz w:val="16"/>
                <w:szCs w:val="16"/>
              </w:rPr>
              <w:t>LD109</w:t>
            </w:r>
          </w:p>
        </w:tc>
        <w:tc>
          <w:tcPr>
            <w:tcW w:w="2520" w:type="dxa"/>
            <w:tcBorders>
              <w:top w:val="nil"/>
              <w:left w:val="nil"/>
              <w:bottom w:val="single" w:sz="4" w:space="0" w:color="auto"/>
              <w:right w:val="single" w:sz="4" w:space="0" w:color="auto"/>
            </w:tcBorders>
            <w:shd w:val="clear" w:color="auto" w:fill="auto"/>
            <w:noWrap/>
            <w:vAlign w:val="center"/>
            <w:hideMark/>
          </w:tcPr>
          <w:p w:rsidR="009D283C" w:rsidRPr="00B72CBC" w:rsidRDefault="00495AEF" w:rsidP="00081DFB">
            <w:pPr>
              <w:jc w:val="center"/>
              <w:rPr>
                <w:rFonts w:eastAsiaTheme="minorHAnsi"/>
                <w:color w:val="000000"/>
                <w:sz w:val="16"/>
                <w:szCs w:val="16"/>
              </w:rPr>
            </w:pPr>
            <w:r w:rsidRPr="00B72CBC">
              <w:rPr>
                <w:color w:val="000000"/>
                <w:sz w:val="16"/>
                <w:szCs w:val="16"/>
              </w:rPr>
              <w:t xml:space="preserve">LED </w:t>
            </w:r>
            <w:r w:rsidR="009D283C" w:rsidRPr="00B72CBC">
              <w:rPr>
                <w:color w:val="000000"/>
                <w:sz w:val="16"/>
                <w:szCs w:val="16"/>
              </w:rPr>
              <w:t>High</w:t>
            </w:r>
            <w:r w:rsidRPr="00B72CBC">
              <w:rPr>
                <w:color w:val="000000"/>
                <w:sz w:val="16"/>
                <w:szCs w:val="16"/>
              </w:rPr>
              <w:t>/Low</w:t>
            </w:r>
            <w:r w:rsidR="009D283C" w:rsidRPr="00B72CBC">
              <w:rPr>
                <w:color w:val="000000"/>
                <w:sz w:val="16"/>
                <w:szCs w:val="16"/>
              </w:rPr>
              <w:t xml:space="preserve"> Bay:  &gt; 500 to 750 watts, replacing 1000W PS-MH</w:t>
            </w:r>
          </w:p>
        </w:tc>
        <w:tc>
          <w:tcPr>
            <w:tcW w:w="2160" w:type="dxa"/>
            <w:tcBorders>
              <w:top w:val="nil"/>
              <w:left w:val="nil"/>
              <w:bottom w:val="single" w:sz="4" w:space="0" w:color="auto"/>
              <w:right w:val="single" w:sz="4" w:space="0" w:color="auto"/>
            </w:tcBorders>
            <w:shd w:val="clear" w:color="auto" w:fill="auto"/>
            <w:noWrap/>
            <w:vAlign w:val="center"/>
            <w:hideMark/>
          </w:tcPr>
          <w:p w:rsidR="009D283C" w:rsidRPr="00B72CBC" w:rsidRDefault="009D283C" w:rsidP="00081DFB">
            <w:pPr>
              <w:jc w:val="center"/>
              <w:rPr>
                <w:color w:val="000000"/>
                <w:sz w:val="16"/>
                <w:szCs w:val="16"/>
              </w:rPr>
            </w:pPr>
            <w:r w:rsidRPr="00B72CBC">
              <w:rPr>
                <w:color w:val="000000"/>
                <w:sz w:val="16"/>
                <w:szCs w:val="16"/>
              </w:rPr>
              <w:t>Pulse-Start MH 1000</w:t>
            </w:r>
          </w:p>
        </w:tc>
        <w:tc>
          <w:tcPr>
            <w:tcW w:w="1170" w:type="dxa"/>
            <w:tcBorders>
              <w:top w:val="nil"/>
              <w:left w:val="nil"/>
              <w:bottom w:val="single" w:sz="4" w:space="0" w:color="auto"/>
              <w:right w:val="single" w:sz="4" w:space="0" w:color="auto"/>
            </w:tcBorders>
            <w:shd w:val="clear" w:color="auto" w:fill="auto"/>
            <w:noWrap/>
            <w:vAlign w:val="center"/>
            <w:hideMark/>
          </w:tcPr>
          <w:p w:rsidR="009D283C" w:rsidRPr="00B72CBC" w:rsidRDefault="009D283C" w:rsidP="00081DFB">
            <w:pPr>
              <w:jc w:val="center"/>
              <w:rPr>
                <w:color w:val="000000"/>
                <w:sz w:val="16"/>
                <w:szCs w:val="16"/>
              </w:rPr>
            </w:pPr>
            <w:r w:rsidRPr="00B72CBC">
              <w:rPr>
                <w:color w:val="000000"/>
                <w:sz w:val="16"/>
                <w:szCs w:val="16"/>
              </w:rPr>
              <w:t>1080</w:t>
            </w:r>
          </w:p>
        </w:tc>
        <w:tc>
          <w:tcPr>
            <w:tcW w:w="1170" w:type="dxa"/>
            <w:tcBorders>
              <w:top w:val="nil"/>
              <w:left w:val="nil"/>
              <w:bottom w:val="single" w:sz="4" w:space="0" w:color="auto"/>
              <w:right w:val="single" w:sz="4" w:space="0" w:color="auto"/>
            </w:tcBorders>
            <w:shd w:val="clear" w:color="000000" w:fill="B7DEE8"/>
            <w:noWrap/>
            <w:vAlign w:val="center"/>
            <w:hideMark/>
          </w:tcPr>
          <w:p w:rsidR="009D283C" w:rsidRPr="00B72CBC" w:rsidRDefault="009D283C" w:rsidP="00081DFB">
            <w:pPr>
              <w:jc w:val="center"/>
              <w:rPr>
                <w:color w:val="000000"/>
                <w:sz w:val="16"/>
                <w:szCs w:val="16"/>
              </w:rPr>
            </w:pPr>
            <w:r w:rsidRPr="00B72CBC">
              <w:rPr>
                <w:color w:val="000000"/>
                <w:sz w:val="16"/>
                <w:szCs w:val="16"/>
              </w:rPr>
              <w:t>43,400</w:t>
            </w:r>
          </w:p>
        </w:tc>
        <w:tc>
          <w:tcPr>
            <w:tcW w:w="1260" w:type="dxa"/>
            <w:tcBorders>
              <w:top w:val="nil"/>
              <w:left w:val="nil"/>
              <w:bottom w:val="single" w:sz="4" w:space="0" w:color="auto"/>
              <w:right w:val="single" w:sz="4" w:space="0" w:color="auto"/>
            </w:tcBorders>
            <w:shd w:val="clear" w:color="000000" w:fill="FDE9D9"/>
            <w:noWrap/>
            <w:vAlign w:val="center"/>
            <w:hideMark/>
          </w:tcPr>
          <w:p w:rsidR="009D283C" w:rsidRPr="00B72CBC" w:rsidRDefault="009D283C" w:rsidP="00081DFB">
            <w:pPr>
              <w:jc w:val="center"/>
              <w:rPr>
                <w:color w:val="000000"/>
                <w:sz w:val="16"/>
                <w:szCs w:val="16"/>
              </w:rPr>
            </w:pPr>
            <w:r w:rsidRPr="00B72CBC">
              <w:rPr>
                <w:color w:val="000000"/>
                <w:sz w:val="16"/>
                <w:szCs w:val="16"/>
              </w:rPr>
              <w:t>&gt; 500</w:t>
            </w:r>
          </w:p>
        </w:tc>
        <w:tc>
          <w:tcPr>
            <w:tcW w:w="1170" w:type="dxa"/>
            <w:tcBorders>
              <w:top w:val="nil"/>
              <w:left w:val="nil"/>
              <w:bottom w:val="single" w:sz="4" w:space="0" w:color="auto"/>
              <w:right w:val="single" w:sz="4" w:space="0" w:color="auto"/>
            </w:tcBorders>
            <w:shd w:val="clear" w:color="000000" w:fill="FDE9D9"/>
            <w:noWrap/>
            <w:vAlign w:val="center"/>
            <w:hideMark/>
          </w:tcPr>
          <w:p w:rsidR="009D283C" w:rsidRPr="00B72CBC" w:rsidRDefault="009D283C" w:rsidP="00081DFB">
            <w:pPr>
              <w:jc w:val="center"/>
              <w:rPr>
                <w:color w:val="000000"/>
                <w:sz w:val="16"/>
                <w:szCs w:val="16"/>
              </w:rPr>
            </w:pPr>
            <w:r w:rsidRPr="00B72CBC">
              <w:rPr>
                <w:color w:val="000000"/>
                <w:sz w:val="16"/>
                <w:szCs w:val="16"/>
              </w:rPr>
              <w:t>750</w:t>
            </w:r>
          </w:p>
        </w:tc>
      </w:tr>
      <w:tr w:rsidR="009D283C" w:rsidTr="00081DFB">
        <w:trPr>
          <w:trHeight w:val="25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9D283C" w:rsidRPr="00B72CBC" w:rsidRDefault="009D283C" w:rsidP="00081DFB">
            <w:pPr>
              <w:autoSpaceDE w:val="0"/>
              <w:autoSpaceDN w:val="0"/>
              <w:jc w:val="center"/>
              <w:rPr>
                <w:color w:val="000000"/>
                <w:sz w:val="16"/>
                <w:szCs w:val="16"/>
              </w:rPr>
            </w:pPr>
            <w:r w:rsidRPr="00B72CBC">
              <w:rPr>
                <w:color w:val="000000"/>
                <w:sz w:val="16"/>
                <w:szCs w:val="16"/>
              </w:rPr>
              <w:t>LD111</w:t>
            </w:r>
          </w:p>
        </w:tc>
        <w:tc>
          <w:tcPr>
            <w:tcW w:w="2520" w:type="dxa"/>
            <w:tcBorders>
              <w:top w:val="nil"/>
              <w:left w:val="nil"/>
              <w:bottom w:val="single" w:sz="4" w:space="0" w:color="auto"/>
              <w:right w:val="single" w:sz="4" w:space="0" w:color="auto"/>
            </w:tcBorders>
            <w:shd w:val="clear" w:color="auto" w:fill="auto"/>
            <w:noWrap/>
            <w:vAlign w:val="center"/>
            <w:hideMark/>
          </w:tcPr>
          <w:p w:rsidR="009D283C" w:rsidRPr="00B72CBC" w:rsidRDefault="00A82768" w:rsidP="00081DFB">
            <w:pPr>
              <w:jc w:val="center"/>
              <w:rPr>
                <w:rFonts w:eastAsiaTheme="minorHAnsi"/>
                <w:color w:val="000000"/>
                <w:sz w:val="16"/>
                <w:szCs w:val="16"/>
              </w:rPr>
            </w:pPr>
            <w:r w:rsidRPr="00B72CBC">
              <w:rPr>
                <w:color w:val="000000"/>
                <w:sz w:val="16"/>
                <w:szCs w:val="16"/>
              </w:rPr>
              <w:t xml:space="preserve">LED </w:t>
            </w:r>
            <w:r w:rsidR="009D283C" w:rsidRPr="00B72CBC">
              <w:rPr>
                <w:color w:val="000000"/>
                <w:sz w:val="16"/>
                <w:szCs w:val="16"/>
              </w:rPr>
              <w:t>High</w:t>
            </w:r>
            <w:r w:rsidRPr="00B72CBC">
              <w:rPr>
                <w:color w:val="000000"/>
                <w:sz w:val="16"/>
                <w:szCs w:val="16"/>
              </w:rPr>
              <w:t>/Low</w:t>
            </w:r>
            <w:r w:rsidR="009D283C" w:rsidRPr="00B72CBC">
              <w:rPr>
                <w:color w:val="000000"/>
                <w:sz w:val="16"/>
                <w:szCs w:val="16"/>
              </w:rPr>
              <w:t xml:space="preserve"> Bay:  40 to 131 watts, Replacing T8 Fluorescent 2nd generation 4L VHLO</w:t>
            </w:r>
          </w:p>
        </w:tc>
        <w:tc>
          <w:tcPr>
            <w:tcW w:w="2160" w:type="dxa"/>
            <w:tcBorders>
              <w:top w:val="nil"/>
              <w:left w:val="nil"/>
              <w:bottom w:val="single" w:sz="4" w:space="0" w:color="auto"/>
              <w:right w:val="single" w:sz="4" w:space="0" w:color="auto"/>
            </w:tcBorders>
            <w:shd w:val="clear" w:color="auto" w:fill="auto"/>
            <w:noWrap/>
            <w:vAlign w:val="center"/>
            <w:hideMark/>
          </w:tcPr>
          <w:p w:rsidR="009D283C" w:rsidRPr="00B72CBC" w:rsidRDefault="009D283C" w:rsidP="00081DFB">
            <w:pPr>
              <w:jc w:val="center"/>
              <w:rPr>
                <w:color w:val="000000"/>
                <w:sz w:val="16"/>
                <w:szCs w:val="16"/>
              </w:rPr>
            </w:pPr>
            <w:r w:rsidRPr="00B72CBC">
              <w:rPr>
                <w:color w:val="000000"/>
                <w:sz w:val="16"/>
                <w:szCs w:val="16"/>
              </w:rPr>
              <w:t>T8 Linear Fluorescent 2nd generation 4L VHLO</w:t>
            </w:r>
          </w:p>
        </w:tc>
        <w:tc>
          <w:tcPr>
            <w:tcW w:w="1170" w:type="dxa"/>
            <w:tcBorders>
              <w:top w:val="nil"/>
              <w:left w:val="nil"/>
              <w:bottom w:val="single" w:sz="4" w:space="0" w:color="auto"/>
              <w:right w:val="single" w:sz="4" w:space="0" w:color="auto"/>
            </w:tcBorders>
            <w:shd w:val="clear" w:color="auto" w:fill="auto"/>
            <w:noWrap/>
            <w:vAlign w:val="center"/>
            <w:hideMark/>
          </w:tcPr>
          <w:p w:rsidR="009D283C" w:rsidRPr="00B72CBC" w:rsidRDefault="009D283C" w:rsidP="00081DFB">
            <w:pPr>
              <w:jc w:val="center"/>
              <w:rPr>
                <w:color w:val="000000"/>
                <w:sz w:val="16"/>
                <w:szCs w:val="16"/>
              </w:rPr>
            </w:pPr>
            <w:r w:rsidRPr="00B72CBC">
              <w:rPr>
                <w:color w:val="000000"/>
                <w:sz w:val="16"/>
                <w:szCs w:val="16"/>
              </w:rPr>
              <w:t>151</w:t>
            </w:r>
          </w:p>
        </w:tc>
        <w:tc>
          <w:tcPr>
            <w:tcW w:w="1170" w:type="dxa"/>
            <w:tcBorders>
              <w:top w:val="nil"/>
              <w:left w:val="nil"/>
              <w:bottom w:val="single" w:sz="4" w:space="0" w:color="auto"/>
              <w:right w:val="single" w:sz="4" w:space="0" w:color="auto"/>
            </w:tcBorders>
            <w:shd w:val="clear" w:color="000000" w:fill="B7DEE8"/>
            <w:noWrap/>
            <w:vAlign w:val="center"/>
            <w:hideMark/>
          </w:tcPr>
          <w:p w:rsidR="009D283C" w:rsidRPr="00B72CBC" w:rsidRDefault="009D283C" w:rsidP="00081DFB">
            <w:pPr>
              <w:jc w:val="center"/>
              <w:rPr>
                <w:color w:val="000000"/>
                <w:sz w:val="16"/>
                <w:szCs w:val="16"/>
              </w:rPr>
            </w:pPr>
            <w:r w:rsidRPr="00B72CBC">
              <w:rPr>
                <w:color w:val="000000"/>
                <w:sz w:val="16"/>
                <w:szCs w:val="16"/>
              </w:rPr>
              <w:t>6,200</w:t>
            </w:r>
          </w:p>
        </w:tc>
        <w:tc>
          <w:tcPr>
            <w:tcW w:w="1260" w:type="dxa"/>
            <w:tcBorders>
              <w:top w:val="nil"/>
              <w:left w:val="nil"/>
              <w:bottom w:val="single" w:sz="4" w:space="0" w:color="auto"/>
              <w:right w:val="single" w:sz="4" w:space="0" w:color="auto"/>
            </w:tcBorders>
            <w:shd w:val="clear" w:color="000000" w:fill="FDE9D9"/>
            <w:noWrap/>
            <w:vAlign w:val="center"/>
            <w:hideMark/>
          </w:tcPr>
          <w:p w:rsidR="009D283C" w:rsidRPr="00B72CBC" w:rsidRDefault="009D283C" w:rsidP="00081DFB">
            <w:pPr>
              <w:jc w:val="center"/>
              <w:rPr>
                <w:color w:val="000000"/>
                <w:sz w:val="16"/>
                <w:szCs w:val="16"/>
              </w:rPr>
            </w:pPr>
            <w:r w:rsidRPr="00B72CBC">
              <w:rPr>
                <w:color w:val="000000"/>
                <w:sz w:val="16"/>
                <w:szCs w:val="16"/>
              </w:rPr>
              <w:t>48</w:t>
            </w:r>
          </w:p>
        </w:tc>
        <w:tc>
          <w:tcPr>
            <w:tcW w:w="1170" w:type="dxa"/>
            <w:tcBorders>
              <w:top w:val="nil"/>
              <w:left w:val="nil"/>
              <w:bottom w:val="single" w:sz="4" w:space="0" w:color="auto"/>
              <w:right w:val="single" w:sz="4" w:space="0" w:color="auto"/>
            </w:tcBorders>
            <w:shd w:val="clear" w:color="000000" w:fill="FDE9D9"/>
            <w:noWrap/>
            <w:vAlign w:val="center"/>
            <w:hideMark/>
          </w:tcPr>
          <w:p w:rsidR="009D283C" w:rsidRPr="00B72CBC" w:rsidRDefault="009D283C" w:rsidP="00081DFB">
            <w:pPr>
              <w:jc w:val="center"/>
              <w:rPr>
                <w:color w:val="000000"/>
                <w:sz w:val="16"/>
                <w:szCs w:val="16"/>
              </w:rPr>
            </w:pPr>
            <w:r w:rsidRPr="00B72CBC">
              <w:rPr>
                <w:color w:val="000000"/>
                <w:sz w:val="16"/>
                <w:szCs w:val="16"/>
              </w:rPr>
              <w:t>131</w:t>
            </w:r>
          </w:p>
        </w:tc>
      </w:tr>
      <w:tr w:rsidR="009D283C" w:rsidTr="00081DFB">
        <w:trPr>
          <w:trHeight w:val="25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9D283C" w:rsidRPr="00B72CBC" w:rsidRDefault="009D283C" w:rsidP="00081DFB">
            <w:pPr>
              <w:autoSpaceDE w:val="0"/>
              <w:autoSpaceDN w:val="0"/>
              <w:jc w:val="center"/>
              <w:rPr>
                <w:color w:val="000000"/>
                <w:sz w:val="16"/>
                <w:szCs w:val="16"/>
              </w:rPr>
            </w:pPr>
            <w:r w:rsidRPr="00B72CBC">
              <w:rPr>
                <w:color w:val="000000"/>
                <w:sz w:val="16"/>
                <w:szCs w:val="16"/>
              </w:rPr>
              <w:t>LD112</w:t>
            </w:r>
          </w:p>
        </w:tc>
        <w:tc>
          <w:tcPr>
            <w:tcW w:w="2520" w:type="dxa"/>
            <w:tcBorders>
              <w:top w:val="nil"/>
              <w:left w:val="nil"/>
              <w:bottom w:val="single" w:sz="4" w:space="0" w:color="auto"/>
              <w:right w:val="single" w:sz="4" w:space="0" w:color="auto"/>
            </w:tcBorders>
            <w:shd w:val="clear" w:color="auto" w:fill="auto"/>
            <w:noWrap/>
            <w:vAlign w:val="center"/>
            <w:hideMark/>
          </w:tcPr>
          <w:p w:rsidR="009D283C" w:rsidRPr="00B72CBC" w:rsidRDefault="00A82768" w:rsidP="00081DFB">
            <w:pPr>
              <w:jc w:val="center"/>
              <w:rPr>
                <w:rFonts w:eastAsiaTheme="minorHAnsi"/>
                <w:color w:val="000000"/>
                <w:sz w:val="16"/>
                <w:szCs w:val="16"/>
              </w:rPr>
            </w:pPr>
            <w:r w:rsidRPr="00B72CBC">
              <w:rPr>
                <w:color w:val="000000"/>
                <w:sz w:val="16"/>
                <w:szCs w:val="16"/>
              </w:rPr>
              <w:t xml:space="preserve">LED </w:t>
            </w:r>
            <w:r w:rsidR="009D283C" w:rsidRPr="00B72CBC">
              <w:rPr>
                <w:color w:val="000000"/>
                <w:sz w:val="16"/>
                <w:szCs w:val="16"/>
              </w:rPr>
              <w:t>High</w:t>
            </w:r>
            <w:r w:rsidRPr="00B72CBC">
              <w:rPr>
                <w:color w:val="000000"/>
                <w:sz w:val="16"/>
                <w:szCs w:val="16"/>
              </w:rPr>
              <w:t>/Low</w:t>
            </w:r>
            <w:r w:rsidR="009D283C" w:rsidRPr="00B72CBC">
              <w:rPr>
                <w:color w:val="000000"/>
                <w:sz w:val="16"/>
                <w:szCs w:val="16"/>
              </w:rPr>
              <w:t xml:space="preserve"> Bay:  &gt;131 to 160 watts, Replacing T8 Fluorescent 2nd generation 6L VHLO</w:t>
            </w:r>
          </w:p>
        </w:tc>
        <w:tc>
          <w:tcPr>
            <w:tcW w:w="2160" w:type="dxa"/>
            <w:tcBorders>
              <w:top w:val="nil"/>
              <w:left w:val="nil"/>
              <w:bottom w:val="single" w:sz="4" w:space="0" w:color="auto"/>
              <w:right w:val="single" w:sz="4" w:space="0" w:color="auto"/>
            </w:tcBorders>
            <w:shd w:val="clear" w:color="auto" w:fill="auto"/>
            <w:noWrap/>
            <w:vAlign w:val="center"/>
            <w:hideMark/>
          </w:tcPr>
          <w:p w:rsidR="009D283C" w:rsidRPr="00B72CBC" w:rsidRDefault="009D283C" w:rsidP="00081DFB">
            <w:pPr>
              <w:jc w:val="center"/>
              <w:rPr>
                <w:color w:val="000000"/>
                <w:sz w:val="16"/>
                <w:szCs w:val="16"/>
              </w:rPr>
            </w:pPr>
            <w:r w:rsidRPr="00B72CBC">
              <w:rPr>
                <w:color w:val="000000"/>
                <w:sz w:val="16"/>
                <w:szCs w:val="16"/>
              </w:rPr>
              <w:t>T8 Linear Fluorescent 2nd generation 6L VHLO</w:t>
            </w:r>
          </w:p>
        </w:tc>
        <w:tc>
          <w:tcPr>
            <w:tcW w:w="1170" w:type="dxa"/>
            <w:tcBorders>
              <w:top w:val="nil"/>
              <w:left w:val="nil"/>
              <w:bottom w:val="single" w:sz="4" w:space="0" w:color="auto"/>
              <w:right w:val="single" w:sz="4" w:space="0" w:color="auto"/>
            </w:tcBorders>
            <w:shd w:val="clear" w:color="auto" w:fill="auto"/>
            <w:noWrap/>
            <w:vAlign w:val="center"/>
            <w:hideMark/>
          </w:tcPr>
          <w:p w:rsidR="009D283C" w:rsidRPr="00B72CBC" w:rsidRDefault="009D283C" w:rsidP="00081DFB">
            <w:pPr>
              <w:jc w:val="center"/>
              <w:rPr>
                <w:color w:val="000000"/>
                <w:sz w:val="16"/>
                <w:szCs w:val="16"/>
              </w:rPr>
            </w:pPr>
            <w:r w:rsidRPr="00B72CBC">
              <w:rPr>
                <w:color w:val="000000"/>
                <w:sz w:val="16"/>
                <w:szCs w:val="16"/>
              </w:rPr>
              <w:t>226</w:t>
            </w:r>
          </w:p>
        </w:tc>
        <w:tc>
          <w:tcPr>
            <w:tcW w:w="1170" w:type="dxa"/>
            <w:tcBorders>
              <w:top w:val="nil"/>
              <w:left w:val="nil"/>
              <w:bottom w:val="single" w:sz="4" w:space="0" w:color="auto"/>
              <w:right w:val="single" w:sz="4" w:space="0" w:color="auto"/>
            </w:tcBorders>
            <w:shd w:val="clear" w:color="000000" w:fill="B7DEE8"/>
            <w:noWrap/>
            <w:vAlign w:val="center"/>
            <w:hideMark/>
          </w:tcPr>
          <w:p w:rsidR="009D283C" w:rsidRPr="00B72CBC" w:rsidRDefault="009D283C" w:rsidP="00081DFB">
            <w:pPr>
              <w:jc w:val="center"/>
              <w:rPr>
                <w:color w:val="000000"/>
                <w:sz w:val="16"/>
                <w:szCs w:val="16"/>
              </w:rPr>
            </w:pPr>
            <w:r w:rsidRPr="00B72CBC">
              <w:rPr>
                <w:color w:val="000000"/>
                <w:sz w:val="16"/>
                <w:szCs w:val="16"/>
              </w:rPr>
              <w:t>9,600</w:t>
            </w:r>
          </w:p>
        </w:tc>
        <w:tc>
          <w:tcPr>
            <w:tcW w:w="1260" w:type="dxa"/>
            <w:tcBorders>
              <w:top w:val="nil"/>
              <w:left w:val="nil"/>
              <w:bottom w:val="single" w:sz="4" w:space="0" w:color="auto"/>
              <w:right w:val="single" w:sz="4" w:space="0" w:color="auto"/>
            </w:tcBorders>
            <w:shd w:val="clear" w:color="000000" w:fill="FDE9D9"/>
            <w:noWrap/>
            <w:vAlign w:val="center"/>
            <w:hideMark/>
          </w:tcPr>
          <w:p w:rsidR="009D283C" w:rsidRPr="00B72CBC" w:rsidRDefault="009D283C" w:rsidP="00081DFB">
            <w:pPr>
              <w:jc w:val="center"/>
              <w:rPr>
                <w:color w:val="000000"/>
                <w:sz w:val="16"/>
                <w:szCs w:val="16"/>
              </w:rPr>
            </w:pPr>
            <w:r w:rsidRPr="00B72CBC">
              <w:rPr>
                <w:color w:val="000000"/>
                <w:sz w:val="16"/>
                <w:szCs w:val="16"/>
              </w:rPr>
              <w:t>&gt; 131</w:t>
            </w:r>
          </w:p>
        </w:tc>
        <w:tc>
          <w:tcPr>
            <w:tcW w:w="1170" w:type="dxa"/>
            <w:tcBorders>
              <w:top w:val="nil"/>
              <w:left w:val="nil"/>
              <w:bottom w:val="single" w:sz="4" w:space="0" w:color="auto"/>
              <w:right w:val="single" w:sz="4" w:space="0" w:color="auto"/>
            </w:tcBorders>
            <w:shd w:val="clear" w:color="000000" w:fill="FDE9D9"/>
            <w:noWrap/>
            <w:vAlign w:val="center"/>
            <w:hideMark/>
          </w:tcPr>
          <w:p w:rsidR="009D283C" w:rsidRPr="00B72CBC" w:rsidRDefault="009D283C" w:rsidP="00081DFB">
            <w:pPr>
              <w:jc w:val="center"/>
              <w:rPr>
                <w:color w:val="000000"/>
                <w:sz w:val="16"/>
                <w:szCs w:val="16"/>
              </w:rPr>
            </w:pPr>
            <w:r w:rsidRPr="00B72CBC">
              <w:rPr>
                <w:color w:val="000000"/>
                <w:sz w:val="16"/>
                <w:szCs w:val="16"/>
              </w:rPr>
              <w:t>160</w:t>
            </w:r>
          </w:p>
        </w:tc>
      </w:tr>
      <w:tr w:rsidR="009D283C" w:rsidTr="00081DFB">
        <w:trPr>
          <w:trHeight w:val="25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9D283C" w:rsidRPr="00B72CBC" w:rsidRDefault="009D283C" w:rsidP="00081DFB">
            <w:pPr>
              <w:autoSpaceDE w:val="0"/>
              <w:autoSpaceDN w:val="0"/>
              <w:jc w:val="center"/>
              <w:rPr>
                <w:color w:val="000000"/>
                <w:sz w:val="16"/>
                <w:szCs w:val="16"/>
              </w:rPr>
            </w:pPr>
            <w:r w:rsidRPr="00B72CBC">
              <w:rPr>
                <w:color w:val="000000"/>
                <w:sz w:val="16"/>
                <w:szCs w:val="16"/>
              </w:rPr>
              <w:t>LD113</w:t>
            </w:r>
          </w:p>
        </w:tc>
        <w:tc>
          <w:tcPr>
            <w:tcW w:w="2520" w:type="dxa"/>
            <w:tcBorders>
              <w:top w:val="nil"/>
              <w:left w:val="nil"/>
              <w:bottom w:val="single" w:sz="4" w:space="0" w:color="auto"/>
              <w:right w:val="single" w:sz="4" w:space="0" w:color="auto"/>
            </w:tcBorders>
            <w:shd w:val="clear" w:color="auto" w:fill="auto"/>
            <w:noWrap/>
            <w:vAlign w:val="center"/>
            <w:hideMark/>
          </w:tcPr>
          <w:p w:rsidR="009D283C" w:rsidRPr="00B72CBC" w:rsidRDefault="00A82768" w:rsidP="00081DFB">
            <w:pPr>
              <w:jc w:val="center"/>
              <w:rPr>
                <w:rFonts w:eastAsiaTheme="minorHAnsi"/>
                <w:color w:val="000000"/>
                <w:sz w:val="16"/>
                <w:szCs w:val="16"/>
              </w:rPr>
            </w:pPr>
            <w:r w:rsidRPr="00B72CBC">
              <w:rPr>
                <w:color w:val="000000"/>
                <w:sz w:val="16"/>
                <w:szCs w:val="16"/>
              </w:rPr>
              <w:t xml:space="preserve">LED </w:t>
            </w:r>
            <w:r w:rsidR="009D283C" w:rsidRPr="00B72CBC">
              <w:rPr>
                <w:color w:val="000000"/>
                <w:sz w:val="16"/>
                <w:szCs w:val="16"/>
              </w:rPr>
              <w:t>High</w:t>
            </w:r>
            <w:r w:rsidRPr="00B72CBC">
              <w:rPr>
                <w:color w:val="000000"/>
                <w:sz w:val="16"/>
                <w:szCs w:val="16"/>
              </w:rPr>
              <w:t>/Low</w:t>
            </w:r>
            <w:r w:rsidR="009D283C" w:rsidRPr="00B72CBC">
              <w:rPr>
                <w:color w:val="000000"/>
                <w:sz w:val="16"/>
                <w:szCs w:val="16"/>
              </w:rPr>
              <w:t xml:space="preserve"> Bay:  &gt;160 to 220 watts, Replacing T8 Fluorescent 2nd generation 8L VHLO</w:t>
            </w:r>
          </w:p>
        </w:tc>
        <w:tc>
          <w:tcPr>
            <w:tcW w:w="2160" w:type="dxa"/>
            <w:tcBorders>
              <w:top w:val="nil"/>
              <w:left w:val="nil"/>
              <w:bottom w:val="single" w:sz="4" w:space="0" w:color="auto"/>
              <w:right w:val="single" w:sz="4" w:space="0" w:color="auto"/>
            </w:tcBorders>
            <w:shd w:val="clear" w:color="auto" w:fill="auto"/>
            <w:noWrap/>
            <w:vAlign w:val="center"/>
            <w:hideMark/>
          </w:tcPr>
          <w:p w:rsidR="009D283C" w:rsidRPr="00B72CBC" w:rsidRDefault="009D283C" w:rsidP="00081DFB">
            <w:pPr>
              <w:jc w:val="center"/>
              <w:rPr>
                <w:color w:val="000000"/>
                <w:sz w:val="16"/>
                <w:szCs w:val="16"/>
              </w:rPr>
            </w:pPr>
            <w:r w:rsidRPr="00B72CBC">
              <w:rPr>
                <w:color w:val="000000"/>
                <w:sz w:val="16"/>
                <w:szCs w:val="16"/>
              </w:rPr>
              <w:t>T8 Linear Fluorescent 2nd generation 8L VHLO</w:t>
            </w:r>
          </w:p>
        </w:tc>
        <w:tc>
          <w:tcPr>
            <w:tcW w:w="1170" w:type="dxa"/>
            <w:tcBorders>
              <w:top w:val="nil"/>
              <w:left w:val="nil"/>
              <w:bottom w:val="single" w:sz="4" w:space="0" w:color="auto"/>
              <w:right w:val="single" w:sz="4" w:space="0" w:color="auto"/>
            </w:tcBorders>
            <w:shd w:val="clear" w:color="auto" w:fill="auto"/>
            <w:noWrap/>
            <w:vAlign w:val="center"/>
            <w:hideMark/>
          </w:tcPr>
          <w:p w:rsidR="009D283C" w:rsidRPr="00B72CBC" w:rsidRDefault="009D283C" w:rsidP="00081DFB">
            <w:pPr>
              <w:jc w:val="center"/>
              <w:rPr>
                <w:color w:val="000000"/>
                <w:sz w:val="16"/>
                <w:szCs w:val="16"/>
              </w:rPr>
            </w:pPr>
            <w:r w:rsidRPr="00B72CBC">
              <w:rPr>
                <w:color w:val="000000"/>
                <w:sz w:val="16"/>
                <w:szCs w:val="16"/>
              </w:rPr>
              <w:t>302</w:t>
            </w:r>
          </w:p>
        </w:tc>
        <w:tc>
          <w:tcPr>
            <w:tcW w:w="1170" w:type="dxa"/>
            <w:tcBorders>
              <w:top w:val="nil"/>
              <w:left w:val="nil"/>
              <w:bottom w:val="single" w:sz="4" w:space="0" w:color="auto"/>
              <w:right w:val="single" w:sz="4" w:space="0" w:color="auto"/>
            </w:tcBorders>
            <w:shd w:val="clear" w:color="000000" w:fill="B7DEE8"/>
            <w:noWrap/>
            <w:vAlign w:val="center"/>
            <w:hideMark/>
          </w:tcPr>
          <w:p w:rsidR="009D283C" w:rsidRPr="00B72CBC" w:rsidRDefault="009D283C" w:rsidP="00081DFB">
            <w:pPr>
              <w:jc w:val="center"/>
              <w:rPr>
                <w:color w:val="000000"/>
                <w:sz w:val="16"/>
                <w:szCs w:val="16"/>
              </w:rPr>
            </w:pPr>
            <w:r w:rsidRPr="00B72CBC">
              <w:rPr>
                <w:color w:val="000000"/>
                <w:sz w:val="16"/>
                <w:szCs w:val="16"/>
              </w:rPr>
              <w:t>11,200</w:t>
            </w:r>
          </w:p>
        </w:tc>
        <w:tc>
          <w:tcPr>
            <w:tcW w:w="1260" w:type="dxa"/>
            <w:tcBorders>
              <w:top w:val="nil"/>
              <w:left w:val="nil"/>
              <w:bottom w:val="single" w:sz="4" w:space="0" w:color="auto"/>
              <w:right w:val="single" w:sz="4" w:space="0" w:color="auto"/>
            </w:tcBorders>
            <w:shd w:val="clear" w:color="000000" w:fill="FDE9D9"/>
            <w:noWrap/>
            <w:vAlign w:val="center"/>
            <w:hideMark/>
          </w:tcPr>
          <w:p w:rsidR="009D283C" w:rsidRPr="00B72CBC" w:rsidRDefault="009D283C" w:rsidP="00081DFB">
            <w:pPr>
              <w:jc w:val="center"/>
              <w:rPr>
                <w:color w:val="000000"/>
                <w:sz w:val="16"/>
                <w:szCs w:val="16"/>
              </w:rPr>
            </w:pPr>
            <w:r w:rsidRPr="00B72CBC">
              <w:rPr>
                <w:color w:val="000000"/>
                <w:sz w:val="16"/>
                <w:szCs w:val="16"/>
              </w:rPr>
              <w:t>&gt; 160</w:t>
            </w:r>
          </w:p>
        </w:tc>
        <w:tc>
          <w:tcPr>
            <w:tcW w:w="1170" w:type="dxa"/>
            <w:tcBorders>
              <w:top w:val="nil"/>
              <w:left w:val="nil"/>
              <w:bottom w:val="single" w:sz="4" w:space="0" w:color="auto"/>
              <w:right w:val="single" w:sz="4" w:space="0" w:color="auto"/>
            </w:tcBorders>
            <w:shd w:val="clear" w:color="000000" w:fill="FDE9D9"/>
            <w:noWrap/>
            <w:vAlign w:val="center"/>
            <w:hideMark/>
          </w:tcPr>
          <w:p w:rsidR="009D283C" w:rsidRPr="00B72CBC" w:rsidRDefault="009D283C" w:rsidP="00081DFB">
            <w:pPr>
              <w:jc w:val="center"/>
              <w:rPr>
                <w:color w:val="000000"/>
                <w:sz w:val="16"/>
                <w:szCs w:val="16"/>
              </w:rPr>
            </w:pPr>
            <w:r w:rsidRPr="00B72CBC">
              <w:rPr>
                <w:color w:val="000000"/>
                <w:sz w:val="16"/>
                <w:szCs w:val="16"/>
              </w:rPr>
              <w:t>220</w:t>
            </w:r>
          </w:p>
        </w:tc>
      </w:tr>
    </w:tbl>
    <w:p w:rsidR="005B5BB4" w:rsidRDefault="005B5BB4" w:rsidP="005B5BB4">
      <w:pPr>
        <w:widowControl w:val="0"/>
        <w:autoSpaceDE w:val="0"/>
        <w:autoSpaceDN w:val="0"/>
        <w:adjustRightInd w:val="0"/>
        <w:spacing w:line="360" w:lineRule="auto"/>
        <w:rPr>
          <w:rFonts w:ascii="Arial" w:hAnsi="Arial" w:cs="Arial"/>
          <w:color w:val="000000"/>
        </w:rPr>
      </w:pPr>
    </w:p>
    <w:p w:rsidR="00196880" w:rsidRDefault="00196880" w:rsidP="00872913">
      <w:pPr>
        <w:rPr>
          <w:rFonts w:ascii="Arial" w:hAnsi="Arial" w:cs="Arial"/>
          <w:b/>
          <w:i/>
        </w:rPr>
      </w:pPr>
    </w:p>
    <w:p w:rsidR="00AF07E7" w:rsidRDefault="00AF07E7" w:rsidP="00872913">
      <w:pPr>
        <w:rPr>
          <w:rFonts w:ascii="Arial" w:hAnsi="Arial" w:cs="Arial"/>
          <w:b/>
          <w:i/>
        </w:rPr>
      </w:pPr>
    </w:p>
    <w:p w:rsidR="00AF07E7" w:rsidRDefault="00AF07E7" w:rsidP="00872913">
      <w:pPr>
        <w:rPr>
          <w:rFonts w:ascii="Arial" w:hAnsi="Arial" w:cs="Arial"/>
          <w:b/>
          <w:i/>
        </w:rPr>
      </w:pPr>
    </w:p>
    <w:p w:rsidR="00521920" w:rsidRDefault="00521920" w:rsidP="00872913">
      <w:pPr>
        <w:rPr>
          <w:rFonts w:ascii="Arial" w:hAnsi="Arial" w:cs="Arial"/>
          <w:b/>
          <w:i/>
        </w:rPr>
      </w:pPr>
      <w:r>
        <w:rPr>
          <w:rFonts w:ascii="Arial" w:hAnsi="Arial" w:cs="Arial"/>
          <w:b/>
          <w:i/>
        </w:rPr>
        <w:lastRenderedPageBreak/>
        <w:t>Program Restrictions and Guidelines</w:t>
      </w:r>
    </w:p>
    <w:p w:rsidR="00C50281" w:rsidRDefault="005B5BB4" w:rsidP="00C50281">
      <w:pPr>
        <w:rPr>
          <w:rFonts w:ascii="Arial" w:hAnsi="Arial" w:cs="Arial"/>
          <w:sz w:val="20"/>
        </w:rPr>
      </w:pPr>
      <w:r w:rsidRPr="0008537D">
        <w:rPr>
          <w:rFonts w:ascii="Arial" w:hAnsi="Arial" w:cs="Arial"/>
          <w:sz w:val="20"/>
        </w:rPr>
        <w:t xml:space="preserve">This work paper details the replacement of existing </w:t>
      </w:r>
      <w:r w:rsidR="001C28F8" w:rsidRPr="00C10056">
        <w:rPr>
          <w:rFonts w:ascii="Arial" w:hAnsi="Arial" w:cs="Arial"/>
          <w:sz w:val="20"/>
          <w:szCs w:val="20"/>
        </w:rPr>
        <w:t>Pulse Start Metal Halide</w:t>
      </w:r>
      <w:r w:rsidR="001C28F8">
        <w:rPr>
          <w:rFonts w:ascii="Arial" w:hAnsi="Arial" w:cs="Arial"/>
          <w:sz w:val="20"/>
        </w:rPr>
        <w:t xml:space="preserve"> </w:t>
      </w:r>
      <w:r w:rsidR="00822225">
        <w:rPr>
          <w:rFonts w:ascii="Arial" w:hAnsi="Arial" w:cs="Arial"/>
          <w:sz w:val="20"/>
        </w:rPr>
        <w:t>HID</w:t>
      </w:r>
      <w:r w:rsidR="000D6DA4">
        <w:rPr>
          <w:rFonts w:ascii="Arial" w:hAnsi="Arial" w:cs="Arial"/>
          <w:sz w:val="20"/>
        </w:rPr>
        <w:t xml:space="preserve"> or </w:t>
      </w:r>
      <w:r w:rsidR="00E04625">
        <w:rPr>
          <w:rFonts w:ascii="Arial" w:hAnsi="Arial" w:cs="Arial"/>
          <w:sz w:val="20"/>
        </w:rPr>
        <w:t>l</w:t>
      </w:r>
      <w:r w:rsidR="00B67AB6">
        <w:rPr>
          <w:rFonts w:ascii="Arial" w:hAnsi="Arial" w:cs="Arial"/>
          <w:sz w:val="20"/>
        </w:rPr>
        <w:t>inear fluorescent</w:t>
      </w:r>
      <w:r w:rsidR="00822225">
        <w:rPr>
          <w:rFonts w:ascii="Arial" w:hAnsi="Arial" w:cs="Arial"/>
          <w:sz w:val="20"/>
        </w:rPr>
        <w:t xml:space="preserve"> fixtures</w:t>
      </w:r>
      <w:r w:rsidRPr="0008537D">
        <w:rPr>
          <w:rFonts w:ascii="Arial" w:hAnsi="Arial" w:cs="Arial"/>
          <w:sz w:val="20"/>
        </w:rPr>
        <w:t xml:space="preserve"> with LED </w:t>
      </w:r>
      <w:r w:rsidR="00452CA5">
        <w:rPr>
          <w:rFonts w:ascii="Arial" w:hAnsi="Arial" w:cs="Arial"/>
          <w:sz w:val="20"/>
        </w:rPr>
        <w:t>High-Bay fixtures</w:t>
      </w:r>
      <w:r w:rsidRPr="0008537D">
        <w:rPr>
          <w:rFonts w:ascii="Arial" w:hAnsi="Arial" w:cs="Arial"/>
          <w:sz w:val="20"/>
        </w:rPr>
        <w:t>.</w:t>
      </w:r>
      <w:r w:rsidR="009A3B09" w:rsidRPr="009A3B09">
        <w:t xml:space="preserve"> </w:t>
      </w:r>
      <w:r w:rsidR="00CB4218" w:rsidRPr="00670AC3">
        <w:rPr>
          <w:rFonts w:ascii="Arial" w:hAnsi="Arial" w:cs="Arial"/>
          <w:sz w:val="20"/>
        </w:rPr>
        <w:t xml:space="preserve">The delivery method is </w:t>
      </w:r>
      <w:r w:rsidR="00D46E0B">
        <w:rPr>
          <w:rFonts w:ascii="Arial" w:hAnsi="Arial" w:cs="Arial"/>
          <w:sz w:val="20"/>
        </w:rPr>
        <w:t>Downstream</w:t>
      </w:r>
      <w:r w:rsidR="00CB4218" w:rsidRPr="00670AC3">
        <w:rPr>
          <w:rFonts w:ascii="Arial" w:hAnsi="Arial" w:cs="Arial"/>
          <w:sz w:val="20"/>
        </w:rPr>
        <w:t xml:space="preserve"> Programs for commercial</w:t>
      </w:r>
      <w:r w:rsidR="00D46E0B">
        <w:rPr>
          <w:rFonts w:ascii="Arial" w:hAnsi="Arial" w:cs="Arial"/>
          <w:sz w:val="20"/>
        </w:rPr>
        <w:t xml:space="preserve"> customers</w:t>
      </w:r>
      <w:r w:rsidR="00CB4218" w:rsidRPr="009A3B09">
        <w:rPr>
          <w:rFonts w:ascii="Arial" w:hAnsi="Arial" w:cs="Arial"/>
          <w:sz w:val="20"/>
        </w:rPr>
        <w:t xml:space="preserve">. </w:t>
      </w:r>
    </w:p>
    <w:p w:rsidR="00C50281" w:rsidRDefault="00C50281" w:rsidP="00C50281">
      <w:pPr>
        <w:rPr>
          <w:rFonts w:ascii="Arial" w:hAnsi="Arial" w:cs="Arial"/>
          <w:sz w:val="20"/>
        </w:rPr>
      </w:pPr>
    </w:p>
    <w:p w:rsidR="00C50281" w:rsidRPr="00C50281" w:rsidRDefault="00C50281" w:rsidP="00C50281">
      <w:pPr>
        <w:rPr>
          <w:rFonts w:ascii="Arial" w:hAnsi="Arial" w:cs="Arial"/>
          <w:sz w:val="20"/>
        </w:rPr>
      </w:pPr>
      <w:r>
        <w:rPr>
          <w:rFonts w:ascii="Arial" w:hAnsi="Arial" w:cs="Arial"/>
          <w:sz w:val="20"/>
          <w:szCs w:val="20"/>
        </w:rPr>
        <w:t>The LED fixture or retrofit kit</w:t>
      </w:r>
      <w:r w:rsidRPr="00076C1A">
        <w:rPr>
          <w:rFonts w:ascii="Arial" w:hAnsi="Arial" w:cs="Arial"/>
          <w:sz w:val="20"/>
          <w:szCs w:val="20"/>
        </w:rPr>
        <w:t xml:space="preserve"> must replace high intensity discharge, </w:t>
      </w:r>
      <w:r>
        <w:rPr>
          <w:rFonts w:ascii="Arial" w:hAnsi="Arial" w:cs="Arial"/>
          <w:sz w:val="20"/>
          <w:szCs w:val="20"/>
        </w:rPr>
        <w:t>incandescent, or linear fluorescent high bay light fixtures installed in the following applications:</w:t>
      </w:r>
    </w:p>
    <w:p w:rsidR="00C50281" w:rsidRDefault="00C50281" w:rsidP="00C50281">
      <w:pPr>
        <w:pStyle w:val="ListParagraph"/>
        <w:numPr>
          <w:ilvl w:val="1"/>
          <w:numId w:val="26"/>
        </w:numPr>
        <w:rPr>
          <w:rFonts w:ascii="Arial" w:hAnsi="Arial" w:cs="Arial"/>
          <w:b/>
          <w:sz w:val="20"/>
          <w:szCs w:val="20"/>
        </w:rPr>
      </w:pPr>
      <w:r>
        <w:rPr>
          <w:rFonts w:ascii="Arial" w:hAnsi="Arial" w:cs="Arial"/>
          <w:b/>
          <w:sz w:val="20"/>
          <w:szCs w:val="20"/>
        </w:rPr>
        <w:t>High-Bay Luminaires (Fixtures &amp; Retrofit Kits)</w:t>
      </w:r>
    </w:p>
    <w:p w:rsidR="00C50281" w:rsidRDefault="00C50281" w:rsidP="00C50281">
      <w:pPr>
        <w:pStyle w:val="ListParagraph"/>
        <w:numPr>
          <w:ilvl w:val="1"/>
          <w:numId w:val="26"/>
        </w:numPr>
        <w:rPr>
          <w:rFonts w:ascii="Arial" w:hAnsi="Arial" w:cs="Arial"/>
          <w:b/>
          <w:sz w:val="20"/>
          <w:szCs w:val="20"/>
        </w:rPr>
      </w:pPr>
      <w:r>
        <w:rPr>
          <w:rFonts w:ascii="Arial" w:hAnsi="Arial" w:cs="Arial"/>
          <w:b/>
          <w:sz w:val="20"/>
          <w:szCs w:val="20"/>
        </w:rPr>
        <w:t>Low-Bay Luminaires (Fixtures &amp; Retrofit Kits)</w:t>
      </w:r>
    </w:p>
    <w:p w:rsidR="00C50281" w:rsidRDefault="00C50281" w:rsidP="00C50281">
      <w:pPr>
        <w:pStyle w:val="ListParagraph"/>
        <w:numPr>
          <w:ilvl w:val="1"/>
          <w:numId w:val="26"/>
        </w:numPr>
        <w:rPr>
          <w:rFonts w:ascii="Arial" w:hAnsi="Arial" w:cs="Arial"/>
          <w:b/>
          <w:sz w:val="20"/>
          <w:szCs w:val="20"/>
        </w:rPr>
      </w:pPr>
      <w:r>
        <w:rPr>
          <w:rFonts w:ascii="Arial" w:hAnsi="Arial" w:cs="Arial"/>
          <w:b/>
          <w:sz w:val="20"/>
          <w:szCs w:val="20"/>
        </w:rPr>
        <w:t>High-Bay Aisle Luminaires (Fixtures)</w:t>
      </w:r>
    </w:p>
    <w:p w:rsidR="00C8399F" w:rsidRDefault="00C8399F" w:rsidP="00CB4218">
      <w:pPr>
        <w:rPr>
          <w:rFonts w:ascii="Arial" w:hAnsi="Arial" w:cs="Arial"/>
          <w:sz w:val="20"/>
        </w:rPr>
      </w:pPr>
    </w:p>
    <w:p w:rsidR="00C8399F" w:rsidRPr="00C10056" w:rsidRDefault="00C8399F" w:rsidP="00CB4218">
      <w:pPr>
        <w:rPr>
          <w:rFonts w:ascii="Arial" w:hAnsi="Arial" w:cs="Arial"/>
          <w:sz w:val="20"/>
        </w:rPr>
      </w:pPr>
      <w:r w:rsidRPr="00C10056">
        <w:rPr>
          <w:rFonts w:ascii="Arial" w:hAnsi="Arial" w:cs="Arial"/>
          <w:sz w:val="20"/>
        </w:rPr>
        <w:t>DLC requirements for the high-bay and low-bay categories include:</w:t>
      </w:r>
    </w:p>
    <w:p w:rsidR="00C8399F" w:rsidRPr="00C10056" w:rsidRDefault="00C8399F" w:rsidP="00C8399F">
      <w:pPr>
        <w:pStyle w:val="ListParagraph"/>
        <w:numPr>
          <w:ilvl w:val="0"/>
          <w:numId w:val="24"/>
        </w:numPr>
        <w:rPr>
          <w:rFonts w:ascii="Arial" w:hAnsi="Arial" w:cs="Arial"/>
          <w:sz w:val="20"/>
        </w:rPr>
      </w:pPr>
      <w:r w:rsidRPr="00C10056">
        <w:rPr>
          <w:rFonts w:ascii="Arial" w:hAnsi="Arial" w:cs="Arial"/>
          <w:sz w:val="20"/>
        </w:rPr>
        <w:t>5-year warranty</w:t>
      </w:r>
    </w:p>
    <w:p w:rsidR="00C8399F" w:rsidRPr="00C10056" w:rsidRDefault="00C8399F" w:rsidP="00C8399F">
      <w:pPr>
        <w:pStyle w:val="ListParagraph"/>
        <w:numPr>
          <w:ilvl w:val="0"/>
          <w:numId w:val="24"/>
        </w:numPr>
        <w:rPr>
          <w:rFonts w:ascii="Arial" w:hAnsi="Arial" w:cs="Arial"/>
          <w:sz w:val="20"/>
        </w:rPr>
      </w:pPr>
      <w:r w:rsidRPr="00C10056">
        <w:rPr>
          <w:rFonts w:ascii="Arial" w:hAnsi="Arial" w:cs="Arial"/>
          <w:sz w:val="20"/>
        </w:rPr>
        <w:t>35,000 hour L70 Lumen Maintenance</w:t>
      </w:r>
    </w:p>
    <w:p w:rsidR="00C8399F" w:rsidRPr="00C10056" w:rsidRDefault="00C8399F" w:rsidP="00C8399F">
      <w:pPr>
        <w:pStyle w:val="ListParagraph"/>
        <w:numPr>
          <w:ilvl w:val="0"/>
          <w:numId w:val="24"/>
        </w:numPr>
        <w:rPr>
          <w:rFonts w:ascii="Arial" w:hAnsi="Arial" w:cs="Arial"/>
          <w:sz w:val="20"/>
        </w:rPr>
      </w:pPr>
      <w:r w:rsidRPr="00C10056">
        <w:rPr>
          <w:rFonts w:ascii="Arial" w:hAnsi="Arial" w:cs="Arial"/>
          <w:sz w:val="20"/>
        </w:rPr>
        <w:t>≥ 70 Color Rendering Index (CRI)</w:t>
      </w:r>
    </w:p>
    <w:p w:rsidR="00C8399F" w:rsidRPr="00C10056" w:rsidRDefault="00C8399F" w:rsidP="00C8399F">
      <w:pPr>
        <w:pStyle w:val="ListParagraph"/>
        <w:numPr>
          <w:ilvl w:val="0"/>
          <w:numId w:val="24"/>
        </w:numPr>
        <w:rPr>
          <w:rFonts w:ascii="Arial" w:hAnsi="Arial" w:cs="Arial"/>
          <w:sz w:val="20"/>
        </w:rPr>
      </w:pPr>
      <w:r w:rsidRPr="00C10056">
        <w:rPr>
          <w:rFonts w:ascii="Arial" w:hAnsi="Arial" w:cs="Arial"/>
          <w:sz w:val="20"/>
        </w:rPr>
        <w:t>≥ 80 lumens / Watt</w:t>
      </w:r>
    </w:p>
    <w:p w:rsidR="00C8399F" w:rsidRPr="00C10056" w:rsidRDefault="00C8399F" w:rsidP="00C8399F">
      <w:pPr>
        <w:pStyle w:val="ListParagraph"/>
        <w:numPr>
          <w:ilvl w:val="0"/>
          <w:numId w:val="24"/>
        </w:numPr>
        <w:rPr>
          <w:rFonts w:ascii="Arial" w:hAnsi="Arial" w:cs="Arial"/>
          <w:sz w:val="20"/>
        </w:rPr>
      </w:pPr>
      <w:r w:rsidRPr="00C10056">
        <w:rPr>
          <w:rFonts w:ascii="Arial" w:hAnsi="Arial" w:cs="Arial"/>
          <w:sz w:val="20"/>
        </w:rPr>
        <w:t>≤ 5700 Kelvin Correlated Color Temperature (CCT)</w:t>
      </w:r>
    </w:p>
    <w:p w:rsidR="00C8399F" w:rsidRPr="00C10056" w:rsidRDefault="00C8399F" w:rsidP="00C8399F">
      <w:pPr>
        <w:pStyle w:val="ListParagraph"/>
        <w:numPr>
          <w:ilvl w:val="0"/>
          <w:numId w:val="24"/>
        </w:numPr>
        <w:rPr>
          <w:rFonts w:ascii="Arial" w:hAnsi="Arial" w:cs="Arial"/>
          <w:sz w:val="20"/>
        </w:rPr>
      </w:pPr>
      <w:r w:rsidRPr="00C10056">
        <w:rPr>
          <w:rFonts w:ascii="Arial" w:hAnsi="Arial" w:cs="Arial"/>
          <w:sz w:val="20"/>
        </w:rPr>
        <w:t>≥ 5,000 Lumen light output</w:t>
      </w:r>
    </w:p>
    <w:p w:rsidR="00C8399F" w:rsidRPr="00C10056" w:rsidRDefault="00C8399F" w:rsidP="00C8399F">
      <w:pPr>
        <w:pStyle w:val="ListParagraph"/>
        <w:numPr>
          <w:ilvl w:val="0"/>
          <w:numId w:val="24"/>
        </w:numPr>
        <w:rPr>
          <w:rFonts w:ascii="Arial" w:hAnsi="Arial" w:cs="Arial"/>
          <w:sz w:val="20"/>
        </w:rPr>
      </w:pPr>
      <w:r w:rsidRPr="00C10056">
        <w:rPr>
          <w:rFonts w:ascii="Arial" w:hAnsi="Arial" w:cs="Arial"/>
          <w:sz w:val="20"/>
        </w:rPr>
        <w:t>≥ 30% of Lumen Output in the 20° - 50° zone (higher for Aisle Lighting)</w:t>
      </w:r>
    </w:p>
    <w:p w:rsidR="00CB4218" w:rsidRPr="00C10056" w:rsidRDefault="00CB4218" w:rsidP="00CB4218">
      <w:pPr>
        <w:rPr>
          <w:rFonts w:ascii="Arial" w:hAnsi="Arial" w:cs="Arial"/>
          <w:sz w:val="20"/>
        </w:rPr>
      </w:pPr>
    </w:p>
    <w:tbl>
      <w:tblPr>
        <w:tblW w:w="6232" w:type="dxa"/>
        <w:jc w:val="center"/>
        <w:tblInd w:w="-3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2"/>
      </w:tblGrid>
      <w:tr w:rsidR="00822225" w:rsidRPr="00C10056" w:rsidTr="00822225">
        <w:trPr>
          <w:trHeight w:val="305"/>
          <w:jc w:val="center"/>
        </w:trPr>
        <w:tc>
          <w:tcPr>
            <w:tcW w:w="6232" w:type="dxa"/>
            <w:shd w:val="clear" w:color="auto" w:fill="auto"/>
            <w:vAlign w:val="bottom"/>
          </w:tcPr>
          <w:p w:rsidR="00822225" w:rsidRPr="00C10056" w:rsidRDefault="00822225" w:rsidP="00A95196">
            <w:pPr>
              <w:jc w:val="center"/>
              <w:rPr>
                <w:rFonts w:ascii="Arial" w:hAnsi="Arial" w:cs="Arial"/>
                <w:b/>
                <w:sz w:val="20"/>
              </w:rPr>
            </w:pPr>
            <w:r w:rsidRPr="00C10056">
              <w:rPr>
                <w:rFonts w:ascii="Arial" w:hAnsi="Arial" w:cs="Arial"/>
                <w:b/>
                <w:sz w:val="20"/>
              </w:rPr>
              <w:t>Downstream</w:t>
            </w:r>
            <w:r w:rsidR="00422D1A" w:rsidRPr="00C10056">
              <w:rPr>
                <w:rFonts w:ascii="Arial" w:hAnsi="Arial" w:cs="Arial"/>
                <w:b/>
                <w:sz w:val="20"/>
              </w:rPr>
              <w:t xml:space="preserve"> Market Channel</w:t>
            </w:r>
          </w:p>
        </w:tc>
      </w:tr>
      <w:tr w:rsidR="00822225" w:rsidRPr="00C10056" w:rsidTr="00822225">
        <w:trPr>
          <w:jc w:val="center"/>
        </w:trPr>
        <w:tc>
          <w:tcPr>
            <w:tcW w:w="6232" w:type="dxa"/>
            <w:shd w:val="clear" w:color="auto" w:fill="auto"/>
            <w:vAlign w:val="center"/>
          </w:tcPr>
          <w:p w:rsidR="00822225" w:rsidRPr="00C10056" w:rsidRDefault="00822225" w:rsidP="00D12AFE">
            <w:pPr>
              <w:numPr>
                <w:ilvl w:val="0"/>
                <w:numId w:val="22"/>
              </w:numPr>
              <w:rPr>
                <w:rFonts w:ascii="Arial" w:hAnsi="Arial" w:cs="Arial"/>
                <w:sz w:val="20"/>
              </w:rPr>
            </w:pPr>
            <w:r w:rsidRPr="00C10056">
              <w:rPr>
                <w:rFonts w:ascii="Arial" w:hAnsi="Arial" w:cs="Arial"/>
                <w:sz w:val="20"/>
              </w:rPr>
              <w:t>Must be on Design Lights Consortium Qualified Products List</w:t>
            </w:r>
            <w:r w:rsidR="00C8399F" w:rsidRPr="00C10056">
              <w:rPr>
                <w:rFonts w:ascii="Arial" w:hAnsi="Arial" w:cs="Arial"/>
                <w:sz w:val="20"/>
              </w:rPr>
              <w:t>, in one of 5</w:t>
            </w:r>
            <w:r w:rsidRPr="00C10056">
              <w:rPr>
                <w:rFonts w:ascii="Arial" w:hAnsi="Arial" w:cs="Arial"/>
                <w:sz w:val="20"/>
              </w:rPr>
              <w:t xml:space="preserve"> categories:</w:t>
            </w:r>
          </w:p>
          <w:p w:rsidR="00822225" w:rsidRPr="00C10056" w:rsidRDefault="00822225" w:rsidP="00D12AFE">
            <w:pPr>
              <w:numPr>
                <w:ilvl w:val="1"/>
                <w:numId w:val="22"/>
              </w:numPr>
              <w:rPr>
                <w:rFonts w:ascii="Arial" w:hAnsi="Arial" w:cs="Arial"/>
                <w:sz w:val="20"/>
              </w:rPr>
            </w:pPr>
            <w:r w:rsidRPr="00C10056">
              <w:rPr>
                <w:rFonts w:ascii="Arial" w:hAnsi="Arial" w:cs="Arial"/>
                <w:sz w:val="20"/>
              </w:rPr>
              <w:t>High-bay Fixtures for Commercial and Industrial Buildings</w:t>
            </w:r>
          </w:p>
          <w:p w:rsidR="00822225" w:rsidRPr="00C10056" w:rsidRDefault="00822225" w:rsidP="00D12AFE">
            <w:pPr>
              <w:numPr>
                <w:ilvl w:val="1"/>
                <w:numId w:val="22"/>
              </w:numPr>
              <w:rPr>
                <w:rFonts w:ascii="Arial" w:hAnsi="Arial" w:cs="Arial"/>
                <w:sz w:val="20"/>
              </w:rPr>
            </w:pPr>
            <w:r w:rsidRPr="00C10056">
              <w:rPr>
                <w:rFonts w:ascii="Arial" w:hAnsi="Arial" w:cs="Arial"/>
                <w:sz w:val="20"/>
              </w:rPr>
              <w:t>Low-bay Fixtures for Commercial and Industrial Buildings</w:t>
            </w:r>
          </w:p>
          <w:p w:rsidR="00822225" w:rsidRPr="00C10056" w:rsidRDefault="00822225" w:rsidP="00822225">
            <w:pPr>
              <w:numPr>
                <w:ilvl w:val="1"/>
                <w:numId w:val="22"/>
              </w:numPr>
              <w:rPr>
                <w:rFonts w:ascii="Arial" w:hAnsi="Arial" w:cs="Arial"/>
                <w:sz w:val="20"/>
              </w:rPr>
            </w:pPr>
            <w:r w:rsidRPr="00C10056">
              <w:rPr>
                <w:rFonts w:ascii="Arial" w:hAnsi="Arial" w:cs="Arial"/>
                <w:sz w:val="20"/>
              </w:rPr>
              <w:t>High-bay Aisle Lighting</w:t>
            </w:r>
          </w:p>
          <w:p w:rsidR="00C8399F" w:rsidRPr="00C10056" w:rsidRDefault="00C8399F" w:rsidP="00C8399F">
            <w:pPr>
              <w:numPr>
                <w:ilvl w:val="1"/>
                <w:numId w:val="22"/>
              </w:numPr>
              <w:rPr>
                <w:rFonts w:ascii="Arial" w:hAnsi="Arial" w:cs="Arial"/>
                <w:sz w:val="20"/>
              </w:rPr>
            </w:pPr>
            <w:r w:rsidRPr="00C10056">
              <w:rPr>
                <w:rFonts w:ascii="Arial" w:hAnsi="Arial" w:cs="Arial"/>
                <w:sz w:val="20"/>
              </w:rPr>
              <w:t>Retrofit Kits for High-Bay Luminaires for Commercial and Industrial Buildings</w:t>
            </w:r>
          </w:p>
          <w:p w:rsidR="00822225" w:rsidRPr="00C10056" w:rsidRDefault="00C8399F" w:rsidP="00C8399F">
            <w:pPr>
              <w:numPr>
                <w:ilvl w:val="1"/>
                <w:numId w:val="22"/>
              </w:numPr>
              <w:rPr>
                <w:rFonts w:ascii="Arial" w:hAnsi="Arial" w:cs="Arial"/>
                <w:sz w:val="20"/>
              </w:rPr>
            </w:pPr>
            <w:r w:rsidRPr="00C10056">
              <w:rPr>
                <w:rFonts w:ascii="Arial" w:hAnsi="Arial" w:cs="Arial"/>
                <w:sz w:val="20"/>
              </w:rPr>
              <w:t>Retrofit Kits for Low-Bay Luminaires for Commercial and Industrial Buildings</w:t>
            </w:r>
          </w:p>
        </w:tc>
      </w:tr>
    </w:tbl>
    <w:p w:rsidR="00CB4218" w:rsidRPr="00C10056" w:rsidRDefault="00CB4218" w:rsidP="00CB4218">
      <w:pPr>
        <w:rPr>
          <w:rFonts w:ascii="Arial" w:hAnsi="Arial" w:cs="Arial"/>
          <w:sz w:val="20"/>
        </w:rPr>
      </w:pPr>
    </w:p>
    <w:p w:rsidR="00CB4218" w:rsidRPr="00C10056" w:rsidRDefault="00CB4218" w:rsidP="00CB4218">
      <w:pPr>
        <w:rPr>
          <w:rFonts w:ascii="Arial" w:hAnsi="Arial" w:cs="Arial"/>
          <w:sz w:val="20"/>
        </w:rPr>
      </w:pPr>
    </w:p>
    <w:p w:rsidR="00CB4218" w:rsidRPr="00C10056" w:rsidRDefault="00CB4218" w:rsidP="00CB4218">
      <w:pPr>
        <w:ind w:left="360"/>
        <w:rPr>
          <w:rFonts w:ascii="Arial" w:hAnsi="Arial" w:cs="Arial"/>
          <w:b/>
          <w:sz w:val="20"/>
        </w:rPr>
      </w:pPr>
      <w:r w:rsidRPr="00C10056">
        <w:rPr>
          <w:rFonts w:ascii="Arial" w:hAnsi="Arial" w:cs="Arial"/>
          <w:b/>
          <w:sz w:val="20"/>
        </w:rPr>
        <w:t xml:space="preserve">Terms and Conditions: </w:t>
      </w:r>
    </w:p>
    <w:p w:rsidR="00CB4218" w:rsidRPr="00C10056" w:rsidRDefault="00CB4218" w:rsidP="00CB4218">
      <w:pPr>
        <w:ind w:left="360"/>
        <w:rPr>
          <w:rFonts w:ascii="Arial" w:hAnsi="Arial" w:cs="Arial"/>
          <w:sz w:val="20"/>
        </w:rPr>
      </w:pPr>
      <w:r w:rsidRPr="00C10056">
        <w:rPr>
          <w:rFonts w:ascii="Arial" w:hAnsi="Arial" w:cs="Arial"/>
          <w:sz w:val="20"/>
        </w:rPr>
        <w:t xml:space="preserve">The customer must be a non-residential PG&amp;E electric customer. </w:t>
      </w:r>
    </w:p>
    <w:p w:rsidR="00D46E0B" w:rsidRPr="00C10056" w:rsidRDefault="00D46E0B" w:rsidP="00CB4218">
      <w:pPr>
        <w:ind w:left="360"/>
        <w:rPr>
          <w:rFonts w:ascii="Arial" w:hAnsi="Arial" w:cs="Arial"/>
          <w:sz w:val="20"/>
        </w:rPr>
      </w:pPr>
    </w:p>
    <w:p w:rsidR="00CB4218" w:rsidRPr="00C10056" w:rsidRDefault="00CB4218" w:rsidP="00CB4218">
      <w:pPr>
        <w:ind w:left="360"/>
        <w:rPr>
          <w:rFonts w:ascii="Arial" w:hAnsi="Arial" w:cs="Arial"/>
          <w:b/>
          <w:sz w:val="20"/>
        </w:rPr>
      </w:pPr>
      <w:r w:rsidRPr="00C10056">
        <w:rPr>
          <w:rFonts w:ascii="Arial" w:hAnsi="Arial" w:cs="Arial"/>
          <w:b/>
          <w:sz w:val="20"/>
        </w:rPr>
        <w:t xml:space="preserve">Market Applicability: </w:t>
      </w:r>
    </w:p>
    <w:p w:rsidR="00CB4218" w:rsidRPr="00C10056" w:rsidRDefault="00CB4218" w:rsidP="00CB4218">
      <w:pPr>
        <w:ind w:left="360"/>
        <w:rPr>
          <w:rFonts w:ascii="Arial" w:hAnsi="Arial" w:cs="Arial"/>
          <w:sz w:val="20"/>
        </w:rPr>
      </w:pPr>
      <w:r w:rsidRPr="00C10056">
        <w:rPr>
          <w:rFonts w:ascii="Arial" w:hAnsi="Arial" w:cs="Arial"/>
          <w:sz w:val="20"/>
        </w:rPr>
        <w:t xml:space="preserve">The customer must be a non-residential </w:t>
      </w:r>
      <w:r w:rsidR="00D46E0B" w:rsidRPr="00C10056">
        <w:rPr>
          <w:rFonts w:ascii="Arial" w:hAnsi="Arial" w:cs="Arial"/>
          <w:sz w:val="20"/>
        </w:rPr>
        <w:t>PG&amp;E electric customer.</w:t>
      </w:r>
    </w:p>
    <w:p w:rsidR="00CB4218" w:rsidRPr="00C10056" w:rsidRDefault="00CB4218" w:rsidP="00CB4218">
      <w:pPr>
        <w:ind w:left="360"/>
        <w:rPr>
          <w:rFonts w:ascii="Arial" w:hAnsi="Arial" w:cs="Arial"/>
          <w:sz w:val="20"/>
        </w:rPr>
      </w:pPr>
    </w:p>
    <w:p w:rsidR="00CB4218" w:rsidRPr="00C10056" w:rsidRDefault="00CB4218" w:rsidP="00CB4218">
      <w:pPr>
        <w:ind w:left="360"/>
        <w:rPr>
          <w:rFonts w:ascii="Arial" w:hAnsi="Arial" w:cs="Arial"/>
          <w:b/>
          <w:sz w:val="20"/>
        </w:rPr>
      </w:pPr>
      <w:r w:rsidRPr="00C10056">
        <w:rPr>
          <w:rFonts w:ascii="Arial" w:hAnsi="Arial" w:cs="Arial"/>
          <w:b/>
          <w:sz w:val="20"/>
        </w:rPr>
        <w:t xml:space="preserve">Type of Transaction: </w:t>
      </w:r>
    </w:p>
    <w:p w:rsidR="0057057B" w:rsidRDefault="00CB4218" w:rsidP="00081DFB">
      <w:pPr>
        <w:ind w:left="360"/>
        <w:rPr>
          <w:rFonts w:ascii="Arial" w:hAnsi="Arial" w:cs="Arial"/>
          <w:sz w:val="20"/>
          <w:szCs w:val="20"/>
        </w:rPr>
      </w:pPr>
      <w:r w:rsidRPr="00C10056">
        <w:rPr>
          <w:rFonts w:ascii="Arial" w:hAnsi="Arial" w:cs="Arial"/>
          <w:sz w:val="20"/>
        </w:rPr>
        <w:t>The applicable types of transactions include Replace on Burnout.</w:t>
      </w:r>
      <w:r w:rsidRPr="00C10056">
        <w:rPr>
          <w:rFonts w:ascii="Arial" w:hAnsi="Arial" w:cs="Arial"/>
          <w:sz w:val="20"/>
          <w:szCs w:val="20"/>
        </w:rPr>
        <w:t xml:space="preserve"> The rebate incentivizes the choice of energy efficient equipment over the base case </w:t>
      </w:r>
      <w:r w:rsidR="00D46E0B" w:rsidRPr="00C10056">
        <w:rPr>
          <w:rFonts w:ascii="Arial" w:hAnsi="Arial" w:cs="Arial"/>
          <w:sz w:val="20"/>
          <w:szCs w:val="20"/>
        </w:rPr>
        <w:t xml:space="preserve">equipment, which </w:t>
      </w:r>
      <w:r w:rsidR="00AE2EBA" w:rsidRPr="00C10056">
        <w:rPr>
          <w:rFonts w:ascii="Arial" w:hAnsi="Arial" w:cs="Arial"/>
          <w:sz w:val="20"/>
          <w:szCs w:val="20"/>
        </w:rPr>
        <w:t xml:space="preserve">is </w:t>
      </w:r>
      <w:r w:rsidR="00D46E0B" w:rsidRPr="00C10056">
        <w:rPr>
          <w:rFonts w:ascii="Arial" w:hAnsi="Arial" w:cs="Arial"/>
          <w:sz w:val="20"/>
          <w:szCs w:val="20"/>
        </w:rPr>
        <w:t xml:space="preserve">a Pulse Start Metal Halide HID </w:t>
      </w:r>
      <w:r w:rsidR="00AE2EBA" w:rsidRPr="00C10056">
        <w:rPr>
          <w:rFonts w:ascii="Arial" w:hAnsi="Arial" w:cs="Arial"/>
          <w:sz w:val="20"/>
          <w:szCs w:val="20"/>
        </w:rPr>
        <w:t xml:space="preserve">or T8 </w:t>
      </w:r>
      <w:r w:rsidR="00D46E0B" w:rsidRPr="00C10056">
        <w:rPr>
          <w:rFonts w:ascii="Arial" w:hAnsi="Arial" w:cs="Arial"/>
          <w:sz w:val="20"/>
          <w:szCs w:val="20"/>
        </w:rPr>
        <w:t>fixture.</w:t>
      </w:r>
    </w:p>
    <w:p w:rsidR="005C7190" w:rsidRDefault="005C7190" w:rsidP="00081DFB">
      <w:pPr>
        <w:ind w:left="360"/>
        <w:rPr>
          <w:rFonts w:ascii="Arial" w:hAnsi="Arial" w:cs="Arial"/>
          <w:sz w:val="20"/>
          <w:szCs w:val="20"/>
        </w:rPr>
      </w:pPr>
    </w:p>
    <w:p w:rsidR="005C7190" w:rsidRDefault="005C7190" w:rsidP="005C7190">
      <w:pPr>
        <w:pStyle w:val="Caption"/>
        <w:keepNext/>
        <w:jc w:val="center"/>
      </w:pPr>
      <w:bookmarkStart w:id="15" w:name="_Toc438562577"/>
      <w:r>
        <w:t xml:space="preserve">Table </w:t>
      </w:r>
      <w:r w:rsidR="001A450C">
        <w:fldChar w:fldCharType="begin"/>
      </w:r>
      <w:r w:rsidR="001A450C">
        <w:instrText xml:space="preserve"> SEQ Table \* ARABIC </w:instrText>
      </w:r>
      <w:r w:rsidR="001A450C">
        <w:fldChar w:fldCharType="separate"/>
      </w:r>
      <w:r w:rsidR="00A95A8F">
        <w:rPr>
          <w:noProof/>
        </w:rPr>
        <w:t>2</w:t>
      </w:r>
      <w:r w:rsidR="001A450C">
        <w:rPr>
          <w:noProof/>
        </w:rPr>
        <w:fldChar w:fldCharType="end"/>
      </w:r>
      <w:r>
        <w:t xml:space="preserve"> Delivery Method and Applicable Building Types</w:t>
      </w:r>
      <w:bookmarkEnd w:id="15"/>
    </w:p>
    <w:tbl>
      <w:tblPr>
        <w:tblStyle w:val="TableGrid"/>
        <w:tblW w:w="0" w:type="auto"/>
        <w:jc w:val="center"/>
        <w:tblLook w:val="04A0" w:firstRow="1" w:lastRow="0" w:firstColumn="1" w:lastColumn="0" w:noHBand="0" w:noVBand="1"/>
      </w:tblPr>
      <w:tblGrid>
        <w:gridCol w:w="1998"/>
        <w:gridCol w:w="5400"/>
        <w:gridCol w:w="2178"/>
      </w:tblGrid>
      <w:tr w:rsidR="005C7190" w:rsidRPr="00E24055" w:rsidTr="005C7190">
        <w:trPr>
          <w:jc w:val="center"/>
        </w:trPr>
        <w:tc>
          <w:tcPr>
            <w:tcW w:w="1998" w:type="dxa"/>
            <w:shd w:val="clear" w:color="auto" w:fill="D9D9D9" w:themeFill="background1" w:themeFillShade="D9"/>
            <w:vAlign w:val="center"/>
          </w:tcPr>
          <w:p w:rsidR="005C7190" w:rsidRPr="00E24055" w:rsidRDefault="005C7190" w:rsidP="005C7190">
            <w:pPr>
              <w:rPr>
                <w:rFonts w:ascii="Arial" w:hAnsi="Arial" w:cs="Arial"/>
                <w:b/>
                <w:sz w:val="20"/>
                <w:szCs w:val="20"/>
              </w:rPr>
            </w:pPr>
            <w:r w:rsidRPr="00E24055">
              <w:rPr>
                <w:rFonts w:ascii="Arial" w:hAnsi="Arial" w:cs="Arial"/>
                <w:b/>
                <w:sz w:val="20"/>
                <w:szCs w:val="20"/>
              </w:rPr>
              <w:t>Delivery Type</w:t>
            </w:r>
          </w:p>
        </w:tc>
        <w:tc>
          <w:tcPr>
            <w:tcW w:w="5400" w:type="dxa"/>
            <w:shd w:val="clear" w:color="auto" w:fill="D9D9D9" w:themeFill="background1" w:themeFillShade="D9"/>
            <w:vAlign w:val="center"/>
          </w:tcPr>
          <w:p w:rsidR="005C7190" w:rsidRPr="00E24055" w:rsidRDefault="005C7190" w:rsidP="005C7190">
            <w:pPr>
              <w:rPr>
                <w:rFonts w:ascii="Arial" w:hAnsi="Arial" w:cs="Arial"/>
                <w:b/>
                <w:sz w:val="20"/>
                <w:szCs w:val="20"/>
              </w:rPr>
            </w:pPr>
            <w:r w:rsidRPr="00E24055">
              <w:rPr>
                <w:rFonts w:ascii="Arial" w:hAnsi="Arial" w:cs="Arial"/>
                <w:b/>
                <w:sz w:val="20"/>
                <w:szCs w:val="20"/>
              </w:rPr>
              <w:t>Applicable Building Types</w:t>
            </w:r>
          </w:p>
        </w:tc>
        <w:tc>
          <w:tcPr>
            <w:tcW w:w="2178" w:type="dxa"/>
            <w:shd w:val="clear" w:color="auto" w:fill="D9D9D9" w:themeFill="background1" w:themeFillShade="D9"/>
            <w:vAlign w:val="center"/>
          </w:tcPr>
          <w:p w:rsidR="005C7190" w:rsidRPr="00E24055" w:rsidRDefault="005C7190" w:rsidP="005C7190">
            <w:pPr>
              <w:rPr>
                <w:rFonts w:ascii="Arial" w:hAnsi="Arial" w:cs="Arial"/>
                <w:b/>
                <w:sz w:val="20"/>
                <w:szCs w:val="20"/>
              </w:rPr>
            </w:pPr>
            <w:r>
              <w:rPr>
                <w:rFonts w:ascii="Arial" w:hAnsi="Arial" w:cs="Arial"/>
                <w:b/>
                <w:sz w:val="20"/>
                <w:szCs w:val="20"/>
              </w:rPr>
              <w:t>Application Type</w:t>
            </w:r>
          </w:p>
        </w:tc>
      </w:tr>
      <w:tr w:rsidR="005C7190" w:rsidTr="005C7190">
        <w:trPr>
          <w:jc w:val="center"/>
        </w:trPr>
        <w:tc>
          <w:tcPr>
            <w:tcW w:w="1998" w:type="dxa"/>
            <w:vAlign w:val="center"/>
          </w:tcPr>
          <w:p w:rsidR="005C7190" w:rsidRDefault="005C7190" w:rsidP="005C7190">
            <w:pPr>
              <w:rPr>
                <w:rFonts w:ascii="Arial" w:hAnsi="Arial" w:cs="Arial"/>
                <w:sz w:val="20"/>
                <w:szCs w:val="20"/>
              </w:rPr>
            </w:pPr>
            <w:r>
              <w:rPr>
                <w:rFonts w:ascii="Arial" w:hAnsi="Arial" w:cs="Arial"/>
                <w:sz w:val="20"/>
                <w:szCs w:val="20"/>
              </w:rPr>
              <w:t>Downstream</w:t>
            </w:r>
            <w:r w:rsidR="00A95A8F">
              <w:rPr>
                <w:rFonts w:ascii="Arial" w:hAnsi="Arial" w:cs="Arial"/>
                <w:sz w:val="20"/>
                <w:szCs w:val="20"/>
              </w:rPr>
              <w:t xml:space="preserve"> &amp; Direct Install</w:t>
            </w:r>
          </w:p>
        </w:tc>
        <w:tc>
          <w:tcPr>
            <w:tcW w:w="5400" w:type="dxa"/>
            <w:vAlign w:val="center"/>
          </w:tcPr>
          <w:p w:rsidR="005C7190" w:rsidRDefault="005C7190" w:rsidP="005C7190">
            <w:pPr>
              <w:rPr>
                <w:rFonts w:ascii="Arial" w:hAnsi="Arial" w:cs="Arial"/>
                <w:sz w:val="20"/>
                <w:szCs w:val="20"/>
              </w:rPr>
            </w:pPr>
            <w:r>
              <w:rPr>
                <w:rFonts w:ascii="Arial" w:hAnsi="Arial" w:cs="Arial"/>
                <w:sz w:val="20"/>
                <w:szCs w:val="20"/>
              </w:rPr>
              <w:t>DEER Building Types</w:t>
            </w:r>
          </w:p>
        </w:tc>
        <w:tc>
          <w:tcPr>
            <w:tcW w:w="2178" w:type="dxa"/>
            <w:vAlign w:val="center"/>
          </w:tcPr>
          <w:p w:rsidR="005C7190" w:rsidRDefault="005C7190" w:rsidP="005C7190">
            <w:pPr>
              <w:rPr>
                <w:rFonts w:ascii="Arial" w:hAnsi="Arial" w:cs="Arial"/>
                <w:sz w:val="20"/>
                <w:szCs w:val="20"/>
              </w:rPr>
            </w:pPr>
            <w:r>
              <w:rPr>
                <w:rFonts w:ascii="Arial" w:hAnsi="Arial" w:cs="Arial"/>
                <w:sz w:val="20"/>
                <w:szCs w:val="20"/>
              </w:rPr>
              <w:t>ROB</w:t>
            </w:r>
            <w:r w:rsidR="00A95A8F">
              <w:rPr>
                <w:rFonts w:ascii="Arial" w:hAnsi="Arial" w:cs="Arial"/>
                <w:sz w:val="20"/>
                <w:szCs w:val="20"/>
              </w:rPr>
              <w:t>, NC</w:t>
            </w:r>
          </w:p>
        </w:tc>
      </w:tr>
    </w:tbl>
    <w:p w:rsidR="005C7190" w:rsidRDefault="005C7190" w:rsidP="00081DFB">
      <w:pPr>
        <w:ind w:left="360"/>
        <w:rPr>
          <w:rFonts w:ascii="Arial" w:hAnsi="Arial" w:cs="Arial"/>
          <w:sz w:val="20"/>
          <w:szCs w:val="20"/>
        </w:rPr>
      </w:pPr>
    </w:p>
    <w:p w:rsidR="00521920" w:rsidRPr="00C10056" w:rsidRDefault="00806070" w:rsidP="00C8399F">
      <w:pPr>
        <w:pStyle w:val="Heading2"/>
      </w:pPr>
      <w:bookmarkStart w:id="16" w:name="_Toc438562589"/>
      <w:r w:rsidRPr="00C10056">
        <w:t xml:space="preserve">1.2 Product </w:t>
      </w:r>
      <w:r w:rsidR="00521920" w:rsidRPr="00C10056">
        <w:t>Technical Description</w:t>
      </w:r>
      <w:bookmarkEnd w:id="16"/>
    </w:p>
    <w:p w:rsidR="00B40B13" w:rsidRPr="00C10056" w:rsidRDefault="00917583" w:rsidP="00917583">
      <w:pPr>
        <w:autoSpaceDE w:val="0"/>
        <w:autoSpaceDN w:val="0"/>
        <w:adjustRightInd w:val="0"/>
        <w:rPr>
          <w:rFonts w:ascii="Arial" w:hAnsi="Arial" w:cs="Arial"/>
          <w:sz w:val="20"/>
        </w:rPr>
      </w:pPr>
      <w:r w:rsidRPr="00C10056">
        <w:rPr>
          <w:rFonts w:ascii="Arial" w:hAnsi="Arial" w:cs="Arial"/>
          <w:sz w:val="20"/>
        </w:rPr>
        <w:t>Light emitting diode (LED) sources have improved over the past decade making them an efficient and reliable lighting technology.</w:t>
      </w:r>
      <w:r w:rsidR="00476B67" w:rsidRPr="00C10056">
        <w:rPr>
          <w:rFonts w:ascii="Arial" w:hAnsi="Arial" w:cs="Arial"/>
          <w:sz w:val="20"/>
        </w:rPr>
        <w:t xml:space="preserve"> </w:t>
      </w:r>
      <w:r w:rsidRPr="00C10056">
        <w:rPr>
          <w:rFonts w:ascii="Arial" w:hAnsi="Arial" w:cs="Arial"/>
          <w:sz w:val="20"/>
        </w:rPr>
        <w:t xml:space="preserve">Many LED products </w:t>
      </w:r>
      <w:r w:rsidR="00C8399F" w:rsidRPr="00C10056">
        <w:rPr>
          <w:rFonts w:ascii="Arial" w:hAnsi="Arial" w:cs="Arial"/>
          <w:sz w:val="20"/>
        </w:rPr>
        <w:t xml:space="preserve">have </w:t>
      </w:r>
      <w:r w:rsidRPr="00C10056">
        <w:rPr>
          <w:rFonts w:ascii="Arial" w:hAnsi="Arial" w:cs="Arial"/>
          <w:sz w:val="20"/>
        </w:rPr>
        <w:t xml:space="preserve">successfully replaced other lighting sources and </w:t>
      </w:r>
      <w:r w:rsidRPr="00C10056">
        <w:rPr>
          <w:rFonts w:ascii="Arial" w:hAnsi="Arial" w:cs="Arial"/>
          <w:sz w:val="20"/>
        </w:rPr>
        <w:lastRenderedPageBreak/>
        <w:t xml:space="preserve">made their way into the market </w:t>
      </w:r>
      <w:r w:rsidR="00C8399F" w:rsidRPr="00C10056">
        <w:rPr>
          <w:rFonts w:ascii="Arial" w:hAnsi="Arial" w:cs="Arial"/>
          <w:sz w:val="20"/>
        </w:rPr>
        <w:t>through</w:t>
      </w:r>
      <w:r w:rsidRPr="00C10056">
        <w:rPr>
          <w:rFonts w:ascii="Arial" w:hAnsi="Arial" w:cs="Arial"/>
          <w:sz w:val="20"/>
        </w:rPr>
        <w:t xml:space="preserve"> continu</w:t>
      </w:r>
      <w:r w:rsidR="00C8399F" w:rsidRPr="00C10056">
        <w:rPr>
          <w:rFonts w:ascii="Arial" w:hAnsi="Arial" w:cs="Arial"/>
          <w:sz w:val="20"/>
        </w:rPr>
        <w:t xml:space="preserve">ous improvement and </w:t>
      </w:r>
      <w:r w:rsidRPr="00C10056">
        <w:rPr>
          <w:rFonts w:ascii="Arial" w:hAnsi="Arial" w:cs="Arial"/>
          <w:sz w:val="20"/>
        </w:rPr>
        <w:t xml:space="preserve">compete </w:t>
      </w:r>
      <w:r w:rsidR="00C8399F" w:rsidRPr="00C10056">
        <w:rPr>
          <w:rFonts w:ascii="Arial" w:hAnsi="Arial" w:cs="Arial"/>
          <w:sz w:val="20"/>
        </w:rPr>
        <w:t>with more established sources</w:t>
      </w:r>
      <w:r w:rsidRPr="00C10056">
        <w:rPr>
          <w:rFonts w:ascii="Arial" w:hAnsi="Arial" w:cs="Arial"/>
          <w:sz w:val="20"/>
        </w:rPr>
        <w:t xml:space="preserve"> </w:t>
      </w:r>
      <w:r w:rsidR="00C8399F" w:rsidRPr="00C10056">
        <w:rPr>
          <w:rFonts w:ascii="Arial" w:hAnsi="Arial" w:cs="Arial"/>
          <w:sz w:val="20"/>
        </w:rPr>
        <w:t>across many</w:t>
      </w:r>
      <w:r w:rsidRPr="00C10056">
        <w:rPr>
          <w:rFonts w:ascii="Arial" w:hAnsi="Arial" w:cs="Arial"/>
          <w:sz w:val="20"/>
        </w:rPr>
        <w:t xml:space="preserve"> application</w:t>
      </w:r>
      <w:r w:rsidR="00C8399F" w:rsidRPr="00C10056">
        <w:rPr>
          <w:rFonts w:ascii="Arial" w:hAnsi="Arial" w:cs="Arial"/>
          <w:sz w:val="20"/>
        </w:rPr>
        <w:t>s</w:t>
      </w:r>
      <w:r w:rsidRPr="00C10056">
        <w:rPr>
          <w:rFonts w:ascii="Arial" w:hAnsi="Arial" w:cs="Arial"/>
          <w:sz w:val="20"/>
        </w:rPr>
        <w:t>.</w:t>
      </w:r>
      <w:r w:rsidR="00B40B13" w:rsidRPr="00C10056">
        <w:rPr>
          <w:rFonts w:ascii="Arial" w:hAnsi="Arial" w:cs="Arial"/>
          <w:sz w:val="20"/>
        </w:rPr>
        <w:t xml:space="preserve"> </w:t>
      </w:r>
    </w:p>
    <w:p w:rsidR="00B40B13" w:rsidRPr="00C10056" w:rsidRDefault="00B40B13" w:rsidP="00917583">
      <w:pPr>
        <w:autoSpaceDE w:val="0"/>
        <w:autoSpaceDN w:val="0"/>
        <w:adjustRightInd w:val="0"/>
        <w:rPr>
          <w:rFonts w:ascii="Arial" w:hAnsi="Arial" w:cs="Arial"/>
          <w:sz w:val="20"/>
        </w:rPr>
      </w:pPr>
    </w:p>
    <w:p w:rsidR="00EE3912" w:rsidRDefault="00C8399F" w:rsidP="00917583">
      <w:pPr>
        <w:autoSpaceDE w:val="0"/>
        <w:autoSpaceDN w:val="0"/>
        <w:adjustRightInd w:val="0"/>
        <w:rPr>
          <w:rFonts w:ascii="Arial" w:hAnsi="Arial" w:cs="Arial"/>
          <w:sz w:val="20"/>
        </w:rPr>
      </w:pPr>
      <w:r w:rsidRPr="00C10056">
        <w:rPr>
          <w:rFonts w:ascii="Arial" w:hAnsi="Arial" w:cs="Arial"/>
          <w:sz w:val="20"/>
        </w:rPr>
        <w:t>High-</w:t>
      </w:r>
      <w:r w:rsidR="002A22A4" w:rsidRPr="00C10056">
        <w:rPr>
          <w:rFonts w:ascii="Arial" w:hAnsi="Arial" w:cs="Arial"/>
          <w:sz w:val="20"/>
        </w:rPr>
        <w:t>bay fixtures have traditionally used HID sources: high-pressure sodium and metal halide predominantly</w:t>
      </w:r>
      <w:r w:rsidR="0029371D" w:rsidRPr="00C10056">
        <w:rPr>
          <w:rFonts w:ascii="Arial" w:hAnsi="Arial" w:cs="Arial"/>
          <w:sz w:val="20"/>
        </w:rPr>
        <w:t xml:space="preserve">. </w:t>
      </w:r>
      <w:r w:rsidR="002A22A4" w:rsidRPr="00C10056">
        <w:rPr>
          <w:rFonts w:ascii="Arial" w:hAnsi="Arial" w:cs="Arial"/>
          <w:sz w:val="20"/>
        </w:rPr>
        <w:t xml:space="preserve">More recently, retrofitting these fixtures to </w:t>
      </w:r>
      <w:r w:rsidR="00B67AB6">
        <w:rPr>
          <w:rFonts w:ascii="Arial" w:hAnsi="Arial" w:cs="Arial"/>
          <w:sz w:val="20"/>
        </w:rPr>
        <w:t>linear fluorescent</w:t>
      </w:r>
      <w:r w:rsidR="002A22A4" w:rsidRPr="00C10056">
        <w:rPr>
          <w:rFonts w:ascii="Arial" w:hAnsi="Arial" w:cs="Arial"/>
          <w:sz w:val="20"/>
        </w:rPr>
        <w:t xml:space="preserve"> high-output systems (either T5/HO or F32T8 with VHLO ballasts) has been a popular energy-efficiency measure.  Low-bay fixtures have traditionally used both </w:t>
      </w:r>
      <w:r w:rsidR="00B67AB6">
        <w:rPr>
          <w:rFonts w:ascii="Arial" w:hAnsi="Arial" w:cs="Arial"/>
          <w:sz w:val="20"/>
        </w:rPr>
        <w:t>linear fluorescent</w:t>
      </w:r>
      <w:r w:rsidR="002A22A4" w:rsidRPr="00C10056">
        <w:rPr>
          <w:rFonts w:ascii="Arial" w:hAnsi="Arial" w:cs="Arial"/>
          <w:sz w:val="20"/>
        </w:rPr>
        <w:t xml:space="preserve"> and HID sources.  The traditional division between high-bay and low-bay has been mounting heights greater than or less than 20 feet.</w:t>
      </w:r>
    </w:p>
    <w:p w:rsidR="002A22A4" w:rsidRDefault="002A22A4" w:rsidP="00917583">
      <w:pPr>
        <w:autoSpaceDE w:val="0"/>
        <w:autoSpaceDN w:val="0"/>
        <w:adjustRightInd w:val="0"/>
        <w:rPr>
          <w:rFonts w:ascii="Arial" w:hAnsi="Arial" w:cs="Arial"/>
          <w:sz w:val="20"/>
        </w:rPr>
      </w:pPr>
    </w:p>
    <w:p w:rsidR="002A22A4" w:rsidRDefault="002A22A4" w:rsidP="00917583">
      <w:pPr>
        <w:autoSpaceDE w:val="0"/>
        <w:autoSpaceDN w:val="0"/>
        <w:adjustRightInd w:val="0"/>
        <w:rPr>
          <w:rFonts w:ascii="Arial" w:hAnsi="Arial" w:cs="Arial"/>
          <w:sz w:val="20"/>
        </w:rPr>
      </w:pPr>
      <w:r>
        <w:rPr>
          <w:rFonts w:ascii="Arial" w:hAnsi="Arial" w:cs="Arial"/>
          <w:sz w:val="20"/>
        </w:rPr>
        <w:t>Improvements in LED technology, particularly in heat-sinking for higher-wattage products, have made high-ba</w:t>
      </w:r>
      <w:r w:rsidR="00332E5C">
        <w:rPr>
          <w:rFonts w:ascii="Arial" w:hAnsi="Arial" w:cs="Arial"/>
          <w:sz w:val="20"/>
        </w:rPr>
        <w:t>y and low-bay LED fixtures feasible. These are fixtures with output of at least 5,000 lumens.  Current DLC-listed LED products achieve output up to 82,893 lumens.</w:t>
      </w:r>
    </w:p>
    <w:p w:rsidR="00332E5C" w:rsidRDefault="00332E5C" w:rsidP="00917583">
      <w:pPr>
        <w:autoSpaceDE w:val="0"/>
        <w:autoSpaceDN w:val="0"/>
        <w:adjustRightInd w:val="0"/>
        <w:rPr>
          <w:rFonts w:ascii="Arial" w:hAnsi="Arial" w:cs="Arial"/>
          <w:sz w:val="20"/>
        </w:rPr>
      </w:pPr>
    </w:p>
    <w:p w:rsidR="00332E5C" w:rsidRDefault="00332E5C" w:rsidP="00917583">
      <w:pPr>
        <w:autoSpaceDE w:val="0"/>
        <w:autoSpaceDN w:val="0"/>
        <w:adjustRightInd w:val="0"/>
        <w:rPr>
          <w:rFonts w:ascii="Arial" w:hAnsi="Arial" w:cs="Arial"/>
          <w:sz w:val="20"/>
        </w:rPr>
      </w:pPr>
      <w:r>
        <w:rPr>
          <w:rFonts w:ascii="Arial" w:hAnsi="Arial" w:cs="Arial"/>
          <w:sz w:val="20"/>
        </w:rPr>
        <w:t xml:space="preserve">This </w:t>
      </w:r>
      <w:proofErr w:type="spellStart"/>
      <w:r>
        <w:rPr>
          <w:rFonts w:ascii="Arial" w:hAnsi="Arial" w:cs="Arial"/>
          <w:sz w:val="20"/>
        </w:rPr>
        <w:t>workpaper</w:t>
      </w:r>
      <w:proofErr w:type="spellEnd"/>
      <w:r>
        <w:rPr>
          <w:rFonts w:ascii="Arial" w:hAnsi="Arial" w:cs="Arial"/>
          <w:sz w:val="20"/>
        </w:rPr>
        <w:t xml:space="preserve"> makes no distinction between high-bay and low-bay fixtures. The DLC classifies a 5,000 lumen minimum for low-bay compared to 10,000 lumens for high-bay, which likely fits generally with the traditional mounting-height-based definitions, but the DLC category does not determine the measure code under this </w:t>
      </w:r>
      <w:proofErr w:type="spellStart"/>
      <w:r>
        <w:rPr>
          <w:rFonts w:ascii="Arial" w:hAnsi="Arial" w:cs="Arial"/>
          <w:sz w:val="20"/>
        </w:rPr>
        <w:t>workpaper</w:t>
      </w:r>
      <w:proofErr w:type="spellEnd"/>
      <w:r>
        <w:rPr>
          <w:rFonts w:ascii="Arial" w:hAnsi="Arial" w:cs="Arial"/>
          <w:sz w:val="20"/>
        </w:rPr>
        <w:t xml:space="preserve">.  LED fixtures under this </w:t>
      </w:r>
      <w:proofErr w:type="spellStart"/>
      <w:r>
        <w:rPr>
          <w:rFonts w:ascii="Arial" w:hAnsi="Arial" w:cs="Arial"/>
          <w:sz w:val="20"/>
        </w:rPr>
        <w:t>workpaper</w:t>
      </w:r>
      <w:proofErr w:type="spellEnd"/>
      <w:r>
        <w:rPr>
          <w:rFonts w:ascii="Arial" w:hAnsi="Arial" w:cs="Arial"/>
          <w:sz w:val="20"/>
        </w:rPr>
        <w:t xml:space="preserve"> are assigned a measure code according to wattage.</w:t>
      </w:r>
    </w:p>
    <w:p w:rsidR="00EE3912" w:rsidRDefault="00EE3912" w:rsidP="00917583">
      <w:pPr>
        <w:autoSpaceDE w:val="0"/>
        <w:autoSpaceDN w:val="0"/>
        <w:adjustRightInd w:val="0"/>
        <w:rPr>
          <w:rFonts w:ascii="Arial" w:hAnsi="Arial" w:cs="Arial"/>
          <w:sz w:val="20"/>
        </w:rPr>
      </w:pPr>
    </w:p>
    <w:p w:rsidR="00C7064F" w:rsidRDefault="00917583" w:rsidP="00332E5C">
      <w:pPr>
        <w:autoSpaceDE w:val="0"/>
        <w:autoSpaceDN w:val="0"/>
        <w:adjustRightInd w:val="0"/>
      </w:pPr>
      <w:r w:rsidRPr="0008537D">
        <w:rPr>
          <w:rFonts w:ascii="Arial" w:hAnsi="Arial" w:cs="Arial"/>
          <w:sz w:val="20"/>
        </w:rPr>
        <w:t xml:space="preserve">This </w:t>
      </w:r>
      <w:proofErr w:type="spellStart"/>
      <w:r w:rsidRPr="0008537D">
        <w:rPr>
          <w:rFonts w:ascii="Arial" w:hAnsi="Arial" w:cs="Arial"/>
          <w:sz w:val="20"/>
        </w:rPr>
        <w:t>workpaper</w:t>
      </w:r>
      <w:proofErr w:type="spellEnd"/>
      <w:r w:rsidRPr="0008537D">
        <w:rPr>
          <w:rFonts w:ascii="Arial" w:hAnsi="Arial" w:cs="Arial"/>
          <w:sz w:val="20"/>
        </w:rPr>
        <w:t xml:space="preserve"> describes the energy savings associated with their replacement of </w:t>
      </w:r>
      <w:r w:rsidR="001C28F8" w:rsidRPr="00C10056">
        <w:rPr>
          <w:rFonts w:ascii="Arial" w:hAnsi="Arial" w:cs="Arial"/>
          <w:sz w:val="20"/>
          <w:szCs w:val="20"/>
        </w:rPr>
        <w:t>Pulse Start Metal Halide</w:t>
      </w:r>
      <w:r w:rsidR="001C28F8">
        <w:rPr>
          <w:rFonts w:ascii="Arial" w:hAnsi="Arial" w:cs="Arial"/>
          <w:sz w:val="20"/>
        </w:rPr>
        <w:t xml:space="preserve"> </w:t>
      </w:r>
      <w:r w:rsidR="00332E5C">
        <w:rPr>
          <w:rFonts w:ascii="Arial" w:hAnsi="Arial" w:cs="Arial"/>
          <w:sz w:val="20"/>
        </w:rPr>
        <w:t xml:space="preserve">HID or </w:t>
      </w:r>
      <w:r w:rsidR="00B67AB6">
        <w:rPr>
          <w:rFonts w:ascii="Arial" w:hAnsi="Arial" w:cs="Arial"/>
          <w:sz w:val="20"/>
        </w:rPr>
        <w:t>linear fluorescent</w:t>
      </w:r>
      <w:r w:rsidR="00332E5C">
        <w:rPr>
          <w:rFonts w:ascii="Arial" w:hAnsi="Arial" w:cs="Arial"/>
          <w:sz w:val="20"/>
        </w:rPr>
        <w:t xml:space="preserve"> fixtures</w:t>
      </w:r>
      <w:r w:rsidRPr="0008537D">
        <w:rPr>
          <w:rFonts w:ascii="Arial" w:hAnsi="Arial" w:cs="Arial"/>
          <w:sz w:val="20"/>
        </w:rPr>
        <w:t>.</w:t>
      </w:r>
      <w:r w:rsidRPr="0008537D">
        <w:rPr>
          <w:sz w:val="20"/>
        </w:rPr>
        <w:t xml:space="preserve"> </w:t>
      </w:r>
    </w:p>
    <w:p w:rsidR="00FA5F99" w:rsidRPr="00746B00" w:rsidRDefault="009C5CA7" w:rsidP="00FA5F99">
      <w:pPr>
        <w:pStyle w:val="Heading2"/>
      </w:pPr>
      <w:bookmarkStart w:id="17" w:name="_Toc438562590"/>
      <w:r>
        <w:t>1.</w:t>
      </w:r>
      <w:r w:rsidR="00806070">
        <w:t>3</w:t>
      </w:r>
      <w:r>
        <w:t xml:space="preserve"> </w:t>
      </w:r>
      <w:r w:rsidR="00FA5F99" w:rsidRPr="00746B00">
        <w:t>Measure Application Type</w:t>
      </w:r>
      <w:bookmarkEnd w:id="17"/>
    </w:p>
    <w:p w:rsidR="00FA5F99" w:rsidRPr="00502494" w:rsidRDefault="00FA5F99" w:rsidP="00FA5F99">
      <w:pPr>
        <w:rPr>
          <w:rFonts w:ascii="Arial" w:hAnsi="Arial" w:cs="Arial"/>
          <w:sz w:val="20"/>
          <w:szCs w:val="20"/>
        </w:rPr>
      </w:pPr>
      <w:r w:rsidRPr="00502494">
        <w:rPr>
          <w:rFonts w:ascii="Arial" w:hAnsi="Arial" w:cs="Arial"/>
          <w:sz w:val="20"/>
          <w:szCs w:val="20"/>
        </w:rPr>
        <w:t xml:space="preserve">The DEER Measure Cost Data Users Guide found on </w:t>
      </w:r>
      <w:hyperlink r:id="rId16" w:history="1">
        <w:r w:rsidRPr="00502494">
          <w:rPr>
            <w:rStyle w:val="Hyperlink"/>
            <w:rFonts w:ascii="Arial" w:hAnsi="Arial" w:cs="Arial"/>
            <w:sz w:val="20"/>
            <w:szCs w:val="20"/>
          </w:rPr>
          <w:t>www.deeresources.com</w:t>
        </w:r>
      </w:hyperlink>
      <w:r w:rsidRPr="00502494">
        <w:rPr>
          <w:rFonts w:ascii="Arial" w:hAnsi="Arial" w:cs="Arial"/>
          <w:sz w:val="20"/>
          <w:szCs w:val="20"/>
        </w:rPr>
        <w:t xml:space="preserve"> under </w:t>
      </w:r>
      <w:r w:rsidRPr="00502494">
        <w:rPr>
          <w:rFonts w:ascii="Arial" w:hAnsi="Arial" w:cs="Arial"/>
          <w:i/>
          <w:sz w:val="20"/>
          <w:szCs w:val="20"/>
        </w:rPr>
        <w:t>DEER2011 Database Format</w:t>
      </w:r>
      <w:r w:rsidRPr="00502494">
        <w:rPr>
          <w:rFonts w:ascii="Arial" w:hAnsi="Arial" w:cs="Arial"/>
          <w:sz w:val="20"/>
          <w:szCs w:val="20"/>
        </w:rPr>
        <w:t xml:space="preserve"> hyperlink, </w:t>
      </w:r>
      <w:r w:rsidRPr="00502494">
        <w:rPr>
          <w:rStyle w:val="breadcrumbs"/>
          <w:color w:val="333333"/>
          <w:sz w:val="20"/>
          <w:szCs w:val="20"/>
          <w:lang w:val="en-GB"/>
        </w:rPr>
        <w:t>DEER2011 for 13-14</w:t>
      </w:r>
      <w:r w:rsidRPr="00502494">
        <w:rPr>
          <w:rFonts w:ascii="Arial" w:hAnsi="Arial" w:cs="Arial"/>
          <w:color w:val="333333"/>
          <w:sz w:val="20"/>
          <w:szCs w:val="20"/>
          <w:lang w:val="en-GB"/>
        </w:rPr>
        <w:t>,</w:t>
      </w:r>
      <w:r w:rsidRPr="00502494">
        <w:rPr>
          <w:rFonts w:ascii="Arial" w:hAnsi="Arial" w:cs="Arial"/>
          <w:sz w:val="20"/>
          <w:szCs w:val="20"/>
        </w:rPr>
        <w:t xml:space="preserve"> spreadsheet </w:t>
      </w:r>
      <w:r w:rsidRPr="00502494">
        <w:rPr>
          <w:rFonts w:ascii="Arial" w:hAnsi="Arial" w:cs="Arial"/>
          <w:i/>
          <w:sz w:val="20"/>
          <w:szCs w:val="20"/>
        </w:rPr>
        <w:t>SPTdata_format-V0.97.xls</w:t>
      </w:r>
      <w:r w:rsidRPr="00502494">
        <w:rPr>
          <w:rFonts w:ascii="Arial" w:hAnsi="Arial" w:cs="Arial"/>
          <w:sz w:val="20"/>
          <w:szCs w:val="20"/>
        </w:rPr>
        <w:t>, defines the terms as follows:</w:t>
      </w:r>
    </w:p>
    <w:p w:rsidR="00FA5F99" w:rsidRPr="00746B00" w:rsidRDefault="00FA5F99" w:rsidP="00FA5F99">
      <w:pPr>
        <w:rPr>
          <w:rFonts w:ascii="Arial" w:hAnsi="Arial" w:cs="Arial"/>
          <w:i/>
        </w:rPr>
      </w:pPr>
    </w:p>
    <w:p w:rsidR="00FA5F99" w:rsidRPr="00746B00" w:rsidRDefault="00FA5F99" w:rsidP="00FA5F99">
      <w:pPr>
        <w:pStyle w:val="Caption"/>
        <w:keepNext/>
        <w:rPr>
          <w:rFonts w:ascii="Arial" w:hAnsi="Arial" w:cs="Arial"/>
          <w:sz w:val="26"/>
          <w:szCs w:val="26"/>
        </w:rPr>
      </w:pPr>
      <w:bookmarkStart w:id="18" w:name="_Toc324427642"/>
      <w:bookmarkStart w:id="19" w:name="_Toc383697824"/>
      <w:bookmarkStart w:id="20" w:name="_Toc438562578"/>
      <w:r w:rsidRPr="00746B00">
        <w:rPr>
          <w:rFonts w:ascii="Arial" w:hAnsi="Arial" w:cs="Arial"/>
        </w:rPr>
        <w:t xml:space="preserve">Table </w:t>
      </w:r>
      <w:r w:rsidRPr="00746B00">
        <w:rPr>
          <w:rFonts w:ascii="Arial" w:hAnsi="Arial" w:cs="Arial"/>
        </w:rPr>
        <w:fldChar w:fldCharType="begin"/>
      </w:r>
      <w:r w:rsidRPr="00746B00">
        <w:rPr>
          <w:rFonts w:ascii="Arial" w:hAnsi="Arial" w:cs="Arial"/>
        </w:rPr>
        <w:instrText xml:space="preserve"> SEQ Table \* ARABIC </w:instrText>
      </w:r>
      <w:r w:rsidRPr="00746B00">
        <w:rPr>
          <w:rFonts w:ascii="Arial" w:hAnsi="Arial" w:cs="Arial"/>
        </w:rPr>
        <w:fldChar w:fldCharType="separate"/>
      </w:r>
      <w:r w:rsidR="00A95A8F">
        <w:rPr>
          <w:rFonts w:ascii="Arial" w:hAnsi="Arial" w:cs="Arial"/>
          <w:noProof/>
        </w:rPr>
        <w:t>3</w:t>
      </w:r>
      <w:r w:rsidRPr="00746B00">
        <w:rPr>
          <w:rFonts w:ascii="Arial" w:hAnsi="Arial" w:cs="Arial"/>
          <w:noProof/>
        </w:rPr>
        <w:fldChar w:fldCharType="end"/>
      </w:r>
      <w:bookmarkStart w:id="21" w:name="RANGE!B222"/>
      <w:r w:rsidRPr="00746B00">
        <w:rPr>
          <w:rFonts w:ascii="Arial" w:hAnsi="Arial" w:cs="Arial"/>
          <w:sz w:val="26"/>
          <w:szCs w:val="26"/>
        </w:rPr>
        <w:t xml:space="preserve"> </w:t>
      </w:r>
      <w:r w:rsidRPr="00746B00">
        <w:rPr>
          <w:rFonts w:ascii="Arial" w:hAnsi="Arial" w:cs="Arial"/>
        </w:rPr>
        <w:t>Measure Application Type</w:t>
      </w:r>
      <w:bookmarkEnd w:id="18"/>
      <w:bookmarkEnd w:id="21"/>
      <w:r w:rsidRPr="00746B00">
        <w:rPr>
          <w:rStyle w:val="EndnoteReference"/>
          <w:rFonts w:ascii="Arial" w:hAnsi="Arial" w:cs="Arial"/>
        </w:rPr>
        <w:endnoteReference w:id="1"/>
      </w:r>
      <w:bookmarkEnd w:id="19"/>
      <w:bookmarkEnd w:id="20"/>
    </w:p>
    <w:p w:rsidR="00FA5F99" w:rsidRDefault="00FA5F99" w:rsidP="00FA5F99">
      <w:pPr>
        <w:keepNext/>
        <w:rPr>
          <w:rFonts w:ascii="Arial" w:hAnsi="Arial" w:cs="Arial"/>
          <w:sz w:val="20"/>
          <w:szCs w:val="20"/>
        </w:rPr>
      </w:pPr>
      <w:proofErr w:type="gramStart"/>
      <w:r w:rsidRPr="0019745A">
        <w:rPr>
          <w:rFonts w:ascii="Arial" w:hAnsi="Arial" w:cs="Arial"/>
          <w:sz w:val="20"/>
          <w:szCs w:val="20"/>
        </w:rPr>
        <w:t xml:space="preserve">Identifies the measure application type in the Measure </w:t>
      </w:r>
      <w:proofErr w:type="spellStart"/>
      <w:r w:rsidRPr="0019745A">
        <w:rPr>
          <w:rFonts w:ascii="Arial" w:hAnsi="Arial" w:cs="Arial"/>
          <w:sz w:val="20"/>
          <w:szCs w:val="20"/>
        </w:rPr>
        <w:t>Implemenation</w:t>
      </w:r>
      <w:proofErr w:type="spellEnd"/>
      <w:r w:rsidRPr="0019745A">
        <w:rPr>
          <w:rFonts w:ascii="Arial" w:hAnsi="Arial" w:cs="Arial"/>
          <w:sz w:val="20"/>
          <w:szCs w:val="20"/>
        </w:rPr>
        <w:t xml:space="preserve"> table in DEER2011.</w:t>
      </w:r>
      <w:proofErr w:type="gramEnd"/>
    </w:p>
    <w:p w:rsidR="00FA5F99" w:rsidRPr="00746B00" w:rsidRDefault="00FA5F99" w:rsidP="00FA5F99">
      <w:pPr>
        <w:keepNext/>
        <w:rPr>
          <w:rFonts w:ascii="Arial" w:hAnsi="Arial" w:cs="Arial"/>
        </w:rPr>
      </w:pPr>
    </w:p>
    <w:tbl>
      <w:tblPr>
        <w:tblW w:w="9090" w:type="dxa"/>
        <w:tblInd w:w="108" w:type="dxa"/>
        <w:tblLook w:val="04A0" w:firstRow="1" w:lastRow="0" w:firstColumn="1" w:lastColumn="0" w:noHBand="0" w:noVBand="1"/>
      </w:tblPr>
      <w:tblGrid>
        <w:gridCol w:w="900"/>
        <w:gridCol w:w="2610"/>
        <w:gridCol w:w="5580"/>
      </w:tblGrid>
      <w:tr w:rsidR="00FA5F99" w:rsidRPr="00746B00" w:rsidTr="005C7190">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rsidR="00FA5F99" w:rsidRPr="00746B00" w:rsidRDefault="00FA5F99" w:rsidP="005C7190">
            <w:pPr>
              <w:keepNext/>
              <w:rPr>
                <w:rFonts w:ascii="Arial" w:hAnsi="Arial" w:cs="Arial"/>
                <w:b/>
                <w:color w:val="000000"/>
                <w:szCs w:val="22"/>
              </w:rPr>
            </w:pPr>
            <w:r w:rsidRPr="00746B00">
              <w:rPr>
                <w:rFonts w:ascii="Arial" w:hAnsi="Arial" w:cs="Arial"/>
                <w:b/>
                <w:color w:val="000000"/>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rsidR="00FA5F99" w:rsidRPr="00746B00" w:rsidRDefault="00FA5F99" w:rsidP="005C7190">
            <w:pPr>
              <w:keepNext/>
              <w:rPr>
                <w:rFonts w:ascii="Arial" w:hAnsi="Arial" w:cs="Arial"/>
                <w:b/>
                <w:color w:val="000000"/>
                <w:szCs w:val="22"/>
              </w:rPr>
            </w:pPr>
            <w:r w:rsidRPr="00746B00">
              <w:rPr>
                <w:rFonts w:ascii="Arial" w:hAnsi="Arial" w:cs="Arial"/>
                <w:b/>
                <w:color w:val="000000"/>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rsidR="00FA5F99" w:rsidRPr="00746B00" w:rsidRDefault="00FA5F99" w:rsidP="005C7190">
            <w:pPr>
              <w:keepNext/>
              <w:rPr>
                <w:rFonts w:ascii="Arial" w:hAnsi="Arial" w:cs="Arial"/>
                <w:b/>
                <w:color w:val="000000"/>
                <w:szCs w:val="22"/>
              </w:rPr>
            </w:pPr>
            <w:r w:rsidRPr="00746B00">
              <w:rPr>
                <w:rFonts w:ascii="Arial" w:hAnsi="Arial" w:cs="Arial"/>
                <w:b/>
                <w:color w:val="000000"/>
                <w:szCs w:val="22"/>
              </w:rPr>
              <w:t>Comment</w:t>
            </w:r>
          </w:p>
        </w:tc>
      </w:tr>
      <w:tr w:rsidR="00FA5F99" w:rsidRPr="00746B00" w:rsidTr="005C7190">
        <w:trPr>
          <w:trHeight w:val="600"/>
        </w:trPr>
        <w:tc>
          <w:tcPr>
            <w:tcW w:w="900" w:type="dxa"/>
            <w:tcBorders>
              <w:top w:val="nil"/>
              <w:left w:val="single" w:sz="4" w:space="0" w:color="auto"/>
              <w:bottom w:val="nil"/>
              <w:right w:val="nil"/>
            </w:tcBorders>
            <w:shd w:val="clear" w:color="auto" w:fill="auto"/>
            <w:noWrap/>
            <w:vAlign w:val="center"/>
            <w:hideMark/>
          </w:tcPr>
          <w:p w:rsidR="00FA5F99" w:rsidRPr="0019745A" w:rsidRDefault="00FA5F99" w:rsidP="005C7190">
            <w:pPr>
              <w:keepNext/>
              <w:rPr>
                <w:rFonts w:ascii="Arial" w:hAnsi="Arial" w:cs="Arial"/>
                <w:i/>
                <w:sz w:val="20"/>
                <w:szCs w:val="20"/>
              </w:rPr>
            </w:pPr>
            <w:r w:rsidRPr="0019745A">
              <w:rPr>
                <w:rFonts w:ascii="Arial" w:hAnsi="Arial" w:cs="Arial"/>
                <w:i/>
                <w:sz w:val="20"/>
                <w:szCs w:val="20"/>
              </w:rPr>
              <w:t>ER</w:t>
            </w:r>
          </w:p>
        </w:tc>
        <w:tc>
          <w:tcPr>
            <w:tcW w:w="2610" w:type="dxa"/>
            <w:tcBorders>
              <w:top w:val="nil"/>
              <w:left w:val="nil"/>
              <w:bottom w:val="nil"/>
              <w:right w:val="nil"/>
            </w:tcBorders>
            <w:shd w:val="clear" w:color="auto" w:fill="auto"/>
            <w:noWrap/>
            <w:vAlign w:val="center"/>
            <w:hideMark/>
          </w:tcPr>
          <w:p w:rsidR="00FA5F99" w:rsidRPr="0019745A" w:rsidRDefault="00FA5F99" w:rsidP="005C7190">
            <w:pPr>
              <w:keepNext/>
              <w:rPr>
                <w:rFonts w:ascii="Arial" w:hAnsi="Arial" w:cs="Arial"/>
                <w:i/>
                <w:sz w:val="20"/>
                <w:szCs w:val="20"/>
              </w:rPr>
            </w:pPr>
            <w:r w:rsidRPr="0019745A">
              <w:rPr>
                <w:rFonts w:ascii="Arial" w:hAnsi="Arial" w:cs="Arial"/>
                <w:i/>
                <w:sz w:val="20"/>
                <w:szCs w:val="20"/>
              </w:rPr>
              <w:t>Early retirement</w:t>
            </w:r>
          </w:p>
        </w:tc>
        <w:tc>
          <w:tcPr>
            <w:tcW w:w="5580" w:type="dxa"/>
            <w:tcBorders>
              <w:top w:val="nil"/>
              <w:left w:val="nil"/>
              <w:bottom w:val="nil"/>
              <w:right w:val="single" w:sz="4" w:space="0" w:color="auto"/>
            </w:tcBorders>
            <w:shd w:val="clear" w:color="auto" w:fill="auto"/>
            <w:vAlign w:val="center"/>
            <w:hideMark/>
          </w:tcPr>
          <w:p w:rsidR="00FA5F99" w:rsidRPr="0019745A" w:rsidRDefault="00FA5F99" w:rsidP="005C7190">
            <w:pPr>
              <w:keepNext/>
              <w:rPr>
                <w:rFonts w:ascii="Arial" w:hAnsi="Arial" w:cs="Arial"/>
                <w:i/>
                <w:sz w:val="20"/>
                <w:szCs w:val="20"/>
              </w:rPr>
            </w:pPr>
            <w:r w:rsidRPr="0019745A">
              <w:rPr>
                <w:rFonts w:ascii="Arial" w:hAnsi="Arial" w:cs="Arial"/>
                <w:i/>
                <w:sz w:val="20"/>
                <w:szCs w:val="20"/>
              </w:rPr>
              <w:t>measure applied while existing equipment still viable, or retrofit of existing equipment</w:t>
            </w:r>
          </w:p>
        </w:tc>
      </w:tr>
      <w:tr w:rsidR="00FA5F99" w:rsidRPr="00746B00" w:rsidTr="005C7190">
        <w:trPr>
          <w:trHeight w:val="600"/>
        </w:trPr>
        <w:tc>
          <w:tcPr>
            <w:tcW w:w="900" w:type="dxa"/>
            <w:tcBorders>
              <w:top w:val="nil"/>
              <w:left w:val="single" w:sz="4" w:space="0" w:color="auto"/>
              <w:bottom w:val="nil"/>
              <w:right w:val="nil"/>
            </w:tcBorders>
            <w:shd w:val="clear" w:color="auto" w:fill="auto"/>
            <w:noWrap/>
            <w:vAlign w:val="center"/>
            <w:hideMark/>
          </w:tcPr>
          <w:p w:rsidR="00FA5F99" w:rsidRPr="0019745A" w:rsidRDefault="00FA5F99" w:rsidP="005C7190">
            <w:pPr>
              <w:keepNext/>
              <w:rPr>
                <w:rFonts w:ascii="Arial" w:hAnsi="Arial" w:cs="Arial"/>
                <w:i/>
                <w:sz w:val="20"/>
                <w:szCs w:val="20"/>
              </w:rPr>
            </w:pPr>
            <w:r w:rsidRPr="0019745A">
              <w:rPr>
                <w:rFonts w:ascii="Arial" w:hAnsi="Arial" w:cs="Arial"/>
                <w:i/>
                <w:sz w:val="20"/>
                <w:szCs w:val="20"/>
              </w:rPr>
              <w:t>ROB</w:t>
            </w:r>
          </w:p>
        </w:tc>
        <w:tc>
          <w:tcPr>
            <w:tcW w:w="2610" w:type="dxa"/>
            <w:tcBorders>
              <w:top w:val="nil"/>
              <w:left w:val="nil"/>
              <w:bottom w:val="nil"/>
              <w:right w:val="nil"/>
            </w:tcBorders>
            <w:shd w:val="clear" w:color="auto" w:fill="auto"/>
            <w:noWrap/>
            <w:vAlign w:val="center"/>
            <w:hideMark/>
          </w:tcPr>
          <w:p w:rsidR="00FA5F99" w:rsidRPr="0019745A" w:rsidRDefault="00FA5F99" w:rsidP="005C7190">
            <w:pPr>
              <w:keepNext/>
              <w:rPr>
                <w:rFonts w:ascii="Arial" w:hAnsi="Arial" w:cs="Arial"/>
                <w:i/>
                <w:sz w:val="20"/>
                <w:szCs w:val="20"/>
              </w:rPr>
            </w:pPr>
            <w:r w:rsidRPr="0019745A">
              <w:rPr>
                <w:rFonts w:ascii="Arial" w:hAnsi="Arial" w:cs="Arial"/>
                <w:i/>
                <w:sz w:val="20"/>
                <w:szCs w:val="20"/>
              </w:rPr>
              <w:t>Replace on Burnout</w:t>
            </w:r>
          </w:p>
        </w:tc>
        <w:tc>
          <w:tcPr>
            <w:tcW w:w="5580" w:type="dxa"/>
            <w:tcBorders>
              <w:top w:val="nil"/>
              <w:left w:val="nil"/>
              <w:bottom w:val="nil"/>
              <w:right w:val="single" w:sz="4" w:space="0" w:color="auto"/>
            </w:tcBorders>
            <w:shd w:val="clear" w:color="auto" w:fill="auto"/>
            <w:vAlign w:val="center"/>
            <w:hideMark/>
          </w:tcPr>
          <w:p w:rsidR="00FA5F99" w:rsidRPr="0019745A" w:rsidRDefault="00FA5F99" w:rsidP="005C7190">
            <w:pPr>
              <w:keepNext/>
              <w:rPr>
                <w:rFonts w:ascii="Arial" w:hAnsi="Arial" w:cs="Arial"/>
                <w:i/>
                <w:sz w:val="20"/>
                <w:szCs w:val="20"/>
              </w:rPr>
            </w:pPr>
            <w:r w:rsidRPr="0019745A">
              <w:rPr>
                <w:rFonts w:ascii="Arial" w:hAnsi="Arial" w:cs="Arial"/>
                <w:i/>
                <w:sz w:val="20"/>
                <w:szCs w:val="20"/>
              </w:rPr>
              <w:t>measure applied when existing equipment fails or maintenance requires replacement</w:t>
            </w:r>
          </w:p>
        </w:tc>
      </w:tr>
      <w:tr w:rsidR="00FA5F99" w:rsidRPr="00746B00" w:rsidTr="005C7190">
        <w:trPr>
          <w:trHeight w:val="600"/>
        </w:trPr>
        <w:tc>
          <w:tcPr>
            <w:tcW w:w="900" w:type="dxa"/>
            <w:tcBorders>
              <w:top w:val="nil"/>
              <w:left w:val="single" w:sz="4" w:space="0" w:color="auto"/>
              <w:bottom w:val="single" w:sz="4" w:space="0" w:color="auto"/>
              <w:right w:val="nil"/>
            </w:tcBorders>
            <w:shd w:val="clear" w:color="auto" w:fill="auto"/>
            <w:noWrap/>
            <w:vAlign w:val="center"/>
            <w:hideMark/>
          </w:tcPr>
          <w:p w:rsidR="00FA5F99" w:rsidRPr="0019745A" w:rsidRDefault="00FA5F99" w:rsidP="005C7190">
            <w:pPr>
              <w:rPr>
                <w:rFonts w:ascii="Arial" w:hAnsi="Arial" w:cs="Arial"/>
                <w:i/>
                <w:sz w:val="20"/>
                <w:szCs w:val="20"/>
              </w:rPr>
            </w:pPr>
            <w:r w:rsidRPr="0019745A">
              <w:rPr>
                <w:rFonts w:ascii="Arial" w:hAnsi="Arial" w:cs="Arial"/>
                <w:i/>
                <w:sz w:val="20"/>
                <w:szCs w:val="20"/>
              </w:rPr>
              <w:t>NC</w:t>
            </w:r>
          </w:p>
        </w:tc>
        <w:tc>
          <w:tcPr>
            <w:tcW w:w="2610" w:type="dxa"/>
            <w:tcBorders>
              <w:top w:val="nil"/>
              <w:left w:val="nil"/>
              <w:bottom w:val="single" w:sz="4" w:space="0" w:color="auto"/>
              <w:right w:val="nil"/>
            </w:tcBorders>
            <w:shd w:val="clear" w:color="auto" w:fill="auto"/>
            <w:noWrap/>
            <w:vAlign w:val="center"/>
            <w:hideMark/>
          </w:tcPr>
          <w:p w:rsidR="00FA5F99" w:rsidRPr="0019745A" w:rsidRDefault="00FA5F99" w:rsidP="005C7190">
            <w:pPr>
              <w:rPr>
                <w:rFonts w:ascii="Arial" w:hAnsi="Arial" w:cs="Arial"/>
                <w:i/>
                <w:sz w:val="20"/>
                <w:szCs w:val="20"/>
              </w:rPr>
            </w:pPr>
            <w:r w:rsidRPr="0019745A">
              <w:rPr>
                <w:rFonts w:ascii="Arial" w:hAnsi="Arial" w:cs="Arial"/>
                <w:i/>
                <w:sz w:val="20"/>
                <w:szCs w:val="20"/>
              </w:rPr>
              <w:t>New Construction</w:t>
            </w:r>
          </w:p>
        </w:tc>
        <w:tc>
          <w:tcPr>
            <w:tcW w:w="5580" w:type="dxa"/>
            <w:tcBorders>
              <w:top w:val="nil"/>
              <w:left w:val="nil"/>
              <w:bottom w:val="single" w:sz="4" w:space="0" w:color="auto"/>
              <w:right w:val="single" w:sz="4" w:space="0" w:color="auto"/>
            </w:tcBorders>
            <w:shd w:val="clear" w:color="auto" w:fill="auto"/>
            <w:vAlign w:val="center"/>
            <w:hideMark/>
          </w:tcPr>
          <w:p w:rsidR="00FA5F99" w:rsidRPr="0019745A" w:rsidRDefault="00FA5F99" w:rsidP="005C7190">
            <w:pPr>
              <w:rPr>
                <w:rFonts w:ascii="Arial" w:hAnsi="Arial" w:cs="Arial"/>
                <w:i/>
                <w:sz w:val="20"/>
                <w:szCs w:val="20"/>
              </w:rPr>
            </w:pPr>
            <w:r w:rsidRPr="0019745A">
              <w:rPr>
                <w:rFonts w:ascii="Arial" w:hAnsi="Arial" w:cs="Arial"/>
                <w:i/>
                <w:sz w:val="20"/>
                <w:szCs w:val="20"/>
              </w:rPr>
              <w:t>measure applied during construction design phase as an alternative to a code-compliant standard design</w:t>
            </w:r>
          </w:p>
        </w:tc>
      </w:tr>
    </w:tbl>
    <w:p w:rsidR="001D0750" w:rsidRDefault="001D0750" w:rsidP="00FA5F99">
      <w:pPr>
        <w:rPr>
          <w:rFonts w:ascii="Arial" w:hAnsi="Arial" w:cs="Arial"/>
          <w:sz w:val="20"/>
          <w:szCs w:val="20"/>
        </w:rPr>
      </w:pPr>
    </w:p>
    <w:p w:rsidR="00FA5F99" w:rsidRPr="00D42B26" w:rsidRDefault="00FA5F99" w:rsidP="00FA5F99">
      <w:pPr>
        <w:rPr>
          <w:rFonts w:ascii="Arial" w:hAnsi="Arial" w:cs="Arial"/>
        </w:rPr>
      </w:pPr>
      <w:r w:rsidRPr="0019745A">
        <w:rPr>
          <w:rFonts w:ascii="Arial" w:hAnsi="Arial" w:cs="Arial"/>
          <w:sz w:val="20"/>
          <w:szCs w:val="20"/>
        </w:rPr>
        <w:t xml:space="preserve">All the measures within this </w:t>
      </w:r>
      <w:proofErr w:type="spellStart"/>
      <w:r w:rsidRPr="0019745A">
        <w:rPr>
          <w:rFonts w:ascii="Arial" w:hAnsi="Arial" w:cs="Arial"/>
          <w:sz w:val="20"/>
          <w:szCs w:val="20"/>
        </w:rPr>
        <w:t>workpaper</w:t>
      </w:r>
      <w:proofErr w:type="spellEnd"/>
      <w:r w:rsidRPr="0019745A">
        <w:rPr>
          <w:rFonts w:ascii="Arial" w:hAnsi="Arial" w:cs="Arial"/>
          <w:sz w:val="20"/>
          <w:szCs w:val="20"/>
        </w:rPr>
        <w:t xml:space="preserve"> are ROB</w:t>
      </w:r>
      <w:r w:rsidR="00A95A8F">
        <w:rPr>
          <w:rFonts w:ascii="Arial" w:hAnsi="Arial" w:cs="Arial"/>
          <w:sz w:val="20"/>
          <w:szCs w:val="20"/>
        </w:rPr>
        <w:t xml:space="preserve"> and NC</w:t>
      </w:r>
      <w:r w:rsidRPr="0019745A">
        <w:rPr>
          <w:rFonts w:ascii="Arial" w:hAnsi="Arial" w:cs="Arial"/>
          <w:sz w:val="20"/>
          <w:szCs w:val="20"/>
        </w:rPr>
        <w:t xml:space="preserve">. </w:t>
      </w:r>
    </w:p>
    <w:p w:rsidR="00806070" w:rsidRDefault="005B5BB4" w:rsidP="00FA5F99">
      <w:pPr>
        <w:pStyle w:val="Heading2"/>
        <w:keepNext w:val="0"/>
      </w:pPr>
      <w:r>
        <w:rPr>
          <w:sz w:val="20"/>
          <w:szCs w:val="20"/>
        </w:rPr>
        <w:t xml:space="preserve"> </w:t>
      </w:r>
      <w:bookmarkStart w:id="22" w:name="_Toc438562591"/>
      <w:r w:rsidR="00806070">
        <w:t>1.4 Product Base Case and Measure Case Data</w:t>
      </w:r>
      <w:bookmarkEnd w:id="22"/>
    </w:p>
    <w:p w:rsidR="005702B7" w:rsidRPr="00081DFB" w:rsidRDefault="00DC04E4" w:rsidP="005702B7">
      <w:pPr>
        <w:rPr>
          <w:rFonts w:ascii="Arial" w:hAnsi="Arial" w:cs="Arial"/>
          <w:sz w:val="20"/>
          <w:szCs w:val="20"/>
        </w:rPr>
      </w:pPr>
      <w:r w:rsidRPr="00081DFB">
        <w:rPr>
          <w:rFonts w:ascii="Arial" w:hAnsi="Arial" w:cs="Arial"/>
          <w:sz w:val="20"/>
          <w:szCs w:val="20"/>
        </w:rPr>
        <w:t xml:space="preserve">The base fixtures for this </w:t>
      </w:r>
      <w:proofErr w:type="spellStart"/>
      <w:r w:rsidRPr="00081DFB">
        <w:rPr>
          <w:rFonts w:ascii="Arial" w:hAnsi="Arial" w:cs="Arial"/>
          <w:sz w:val="20"/>
          <w:szCs w:val="20"/>
        </w:rPr>
        <w:t>workpaper</w:t>
      </w:r>
      <w:proofErr w:type="spellEnd"/>
      <w:r w:rsidRPr="00081DFB">
        <w:rPr>
          <w:rFonts w:ascii="Arial" w:hAnsi="Arial" w:cs="Arial"/>
          <w:sz w:val="20"/>
          <w:szCs w:val="20"/>
        </w:rPr>
        <w:t xml:space="preserve"> are chosen by the code equivalent of the most common fixtures, which are pulse start metal halide and 2</w:t>
      </w:r>
      <w:r w:rsidRPr="00081DFB">
        <w:rPr>
          <w:rFonts w:ascii="Arial" w:hAnsi="Arial" w:cs="Arial"/>
          <w:sz w:val="20"/>
          <w:szCs w:val="20"/>
          <w:vertAlign w:val="superscript"/>
        </w:rPr>
        <w:t>nd</w:t>
      </w:r>
      <w:r w:rsidRPr="00081DFB">
        <w:rPr>
          <w:rFonts w:ascii="Arial" w:hAnsi="Arial" w:cs="Arial"/>
          <w:sz w:val="20"/>
          <w:szCs w:val="20"/>
        </w:rPr>
        <w:t xml:space="preserve"> generation linear fluorescent fixtures.</w:t>
      </w:r>
    </w:p>
    <w:p w:rsidR="00E71EF1" w:rsidRDefault="001248A3" w:rsidP="00F96295">
      <w:pPr>
        <w:pStyle w:val="Heading2"/>
        <w:ind w:right="-180"/>
      </w:pPr>
      <w:bookmarkStart w:id="23" w:name="_Toc438562592"/>
      <w:r>
        <w:t>1.</w:t>
      </w:r>
      <w:r w:rsidR="00806070">
        <w:t>4.1</w:t>
      </w:r>
      <w:r w:rsidR="00FA595F">
        <w:t xml:space="preserve"> </w:t>
      </w:r>
      <w:r w:rsidR="00C069A2" w:rsidRPr="001248A3">
        <w:t xml:space="preserve">DEER </w:t>
      </w:r>
      <w:r w:rsidR="008C6AD1">
        <w:t>Base Case and Measure Case Information</w:t>
      </w:r>
      <w:bookmarkEnd w:id="23"/>
      <w:r w:rsidR="008C6AD1">
        <w:t xml:space="preserve"> </w:t>
      </w:r>
    </w:p>
    <w:p w:rsidR="00476B67" w:rsidRDefault="00AE2EAC" w:rsidP="009C5CA7">
      <w:pPr>
        <w:rPr>
          <w:rFonts w:ascii="Arial" w:hAnsi="Arial" w:cs="Arial"/>
          <w:sz w:val="20"/>
          <w:szCs w:val="20"/>
        </w:rPr>
      </w:pPr>
      <w:r w:rsidRPr="002574CF">
        <w:rPr>
          <w:rFonts w:ascii="Arial" w:hAnsi="Arial" w:cs="Arial"/>
          <w:sz w:val="20"/>
          <w:szCs w:val="20"/>
        </w:rPr>
        <w:t xml:space="preserve">The Database </w:t>
      </w:r>
      <w:r w:rsidR="00FC697F">
        <w:rPr>
          <w:rFonts w:ascii="Arial" w:hAnsi="Arial" w:cs="Arial"/>
          <w:sz w:val="20"/>
          <w:szCs w:val="20"/>
        </w:rPr>
        <w:t>for Energy Efficient Resources (</w:t>
      </w:r>
      <w:r w:rsidRPr="002574CF">
        <w:rPr>
          <w:rFonts w:ascii="Arial" w:hAnsi="Arial" w:cs="Arial"/>
          <w:sz w:val="20"/>
          <w:szCs w:val="20"/>
        </w:rPr>
        <w:t>DEER</w:t>
      </w:r>
      <w:r w:rsidR="00FC697F">
        <w:rPr>
          <w:rFonts w:ascii="Arial" w:hAnsi="Arial" w:cs="Arial"/>
          <w:sz w:val="20"/>
          <w:szCs w:val="20"/>
        </w:rPr>
        <w:t>)</w:t>
      </w:r>
      <w:r w:rsidR="00DC04E4">
        <w:rPr>
          <w:rFonts w:ascii="Arial" w:hAnsi="Arial" w:cs="Arial"/>
          <w:sz w:val="20"/>
          <w:szCs w:val="20"/>
        </w:rPr>
        <w:t xml:space="preserve"> 201</w:t>
      </w:r>
      <w:r w:rsidR="00E0684E">
        <w:rPr>
          <w:rFonts w:ascii="Arial" w:hAnsi="Arial" w:cs="Arial"/>
          <w:sz w:val="20"/>
          <w:szCs w:val="20"/>
        </w:rPr>
        <w:t>6</w:t>
      </w:r>
      <w:r w:rsidR="00C54DA2">
        <w:rPr>
          <w:rFonts w:ascii="Arial" w:hAnsi="Arial" w:cs="Arial"/>
          <w:sz w:val="20"/>
          <w:szCs w:val="20"/>
        </w:rPr>
        <w:t xml:space="preserve"> </w:t>
      </w:r>
      <w:r w:rsidRPr="002574CF">
        <w:rPr>
          <w:rFonts w:ascii="Arial" w:hAnsi="Arial" w:cs="Arial"/>
          <w:sz w:val="20"/>
          <w:szCs w:val="20"/>
        </w:rPr>
        <w:t>does not address LED savings</w:t>
      </w:r>
      <w:r w:rsidR="00901955">
        <w:rPr>
          <w:rFonts w:ascii="Arial" w:hAnsi="Arial" w:cs="Arial"/>
          <w:sz w:val="20"/>
          <w:szCs w:val="20"/>
        </w:rPr>
        <w:t xml:space="preserve"> for </w:t>
      </w:r>
      <w:r w:rsidR="001506C5">
        <w:rPr>
          <w:rFonts w:ascii="Arial" w:hAnsi="Arial" w:cs="Arial"/>
          <w:sz w:val="20"/>
          <w:szCs w:val="20"/>
        </w:rPr>
        <w:t>high-bay and low-bay fixtures</w:t>
      </w:r>
      <w:r w:rsidRPr="002574CF">
        <w:rPr>
          <w:rFonts w:ascii="Arial" w:hAnsi="Arial" w:cs="Arial"/>
          <w:sz w:val="20"/>
          <w:szCs w:val="20"/>
        </w:rPr>
        <w:t>.</w:t>
      </w:r>
    </w:p>
    <w:p w:rsidR="002574CF" w:rsidRPr="002574CF" w:rsidRDefault="002574CF" w:rsidP="009C5CA7">
      <w:pPr>
        <w:rPr>
          <w:rFonts w:ascii="Arial" w:hAnsi="Arial" w:cs="Arial"/>
          <w:sz w:val="20"/>
          <w:szCs w:val="20"/>
        </w:rPr>
      </w:pPr>
    </w:p>
    <w:p w:rsidR="002574CF" w:rsidRPr="002574CF" w:rsidRDefault="002574CF" w:rsidP="002574CF">
      <w:pPr>
        <w:rPr>
          <w:rFonts w:ascii="Arial" w:hAnsi="Arial" w:cs="Arial"/>
          <w:sz w:val="20"/>
          <w:szCs w:val="20"/>
        </w:rPr>
      </w:pPr>
      <w:r w:rsidRPr="002574CF">
        <w:rPr>
          <w:b/>
        </w:rPr>
        <w:t>Delta Wattage Assumption (ΔW)</w:t>
      </w:r>
    </w:p>
    <w:p w:rsidR="00C1628E" w:rsidRDefault="001506C5" w:rsidP="002574CF">
      <w:pPr>
        <w:rPr>
          <w:rFonts w:ascii="Arial" w:hAnsi="Arial" w:cs="Arial"/>
          <w:sz w:val="20"/>
          <w:szCs w:val="20"/>
        </w:rPr>
      </w:pPr>
      <w:r>
        <w:rPr>
          <w:rFonts w:ascii="Arial" w:hAnsi="Arial" w:cs="Arial"/>
          <w:sz w:val="20"/>
          <w:szCs w:val="20"/>
        </w:rPr>
        <w:t xml:space="preserve">This </w:t>
      </w:r>
      <w:proofErr w:type="spellStart"/>
      <w:r>
        <w:rPr>
          <w:rFonts w:ascii="Arial" w:hAnsi="Arial" w:cs="Arial"/>
          <w:sz w:val="20"/>
          <w:szCs w:val="20"/>
        </w:rPr>
        <w:t>workpaper</w:t>
      </w:r>
      <w:proofErr w:type="spellEnd"/>
      <w:r>
        <w:rPr>
          <w:rFonts w:ascii="Arial" w:hAnsi="Arial" w:cs="Arial"/>
          <w:sz w:val="20"/>
          <w:szCs w:val="20"/>
        </w:rPr>
        <w:t xml:space="preserve"> includes both </w:t>
      </w:r>
      <w:r w:rsidR="00583CB2" w:rsidRPr="00C10056">
        <w:rPr>
          <w:rFonts w:ascii="Arial" w:hAnsi="Arial" w:cs="Arial"/>
          <w:sz w:val="20"/>
          <w:szCs w:val="20"/>
        </w:rPr>
        <w:t>Pulse Start Metal Halide</w:t>
      </w:r>
      <w:r w:rsidR="00583CB2">
        <w:rPr>
          <w:rFonts w:ascii="Arial" w:hAnsi="Arial" w:cs="Arial"/>
          <w:sz w:val="20"/>
          <w:szCs w:val="20"/>
        </w:rPr>
        <w:t xml:space="preserve"> </w:t>
      </w:r>
      <w:r>
        <w:rPr>
          <w:rFonts w:ascii="Arial" w:hAnsi="Arial" w:cs="Arial"/>
          <w:sz w:val="20"/>
          <w:szCs w:val="20"/>
        </w:rPr>
        <w:t xml:space="preserve">HID and </w:t>
      </w:r>
      <w:r w:rsidR="00583CB2">
        <w:rPr>
          <w:rFonts w:ascii="Arial" w:hAnsi="Arial" w:cs="Arial"/>
          <w:sz w:val="20"/>
          <w:szCs w:val="20"/>
        </w:rPr>
        <w:t>2</w:t>
      </w:r>
      <w:r w:rsidR="00583CB2" w:rsidRPr="00583CB2">
        <w:rPr>
          <w:rFonts w:ascii="Arial" w:hAnsi="Arial" w:cs="Arial"/>
          <w:sz w:val="20"/>
          <w:szCs w:val="20"/>
          <w:vertAlign w:val="superscript"/>
        </w:rPr>
        <w:t>nd</w:t>
      </w:r>
      <w:r w:rsidR="00583CB2">
        <w:rPr>
          <w:rFonts w:ascii="Arial" w:hAnsi="Arial" w:cs="Arial"/>
          <w:sz w:val="20"/>
          <w:szCs w:val="20"/>
        </w:rPr>
        <w:t xml:space="preserve"> generation </w:t>
      </w:r>
      <w:r w:rsidR="00B67AB6">
        <w:rPr>
          <w:rFonts w:ascii="Arial" w:hAnsi="Arial" w:cs="Arial"/>
          <w:sz w:val="20"/>
          <w:szCs w:val="20"/>
        </w:rPr>
        <w:t>linear fluorescent</w:t>
      </w:r>
      <w:r>
        <w:rPr>
          <w:rFonts w:ascii="Arial" w:hAnsi="Arial" w:cs="Arial"/>
          <w:sz w:val="20"/>
          <w:szCs w:val="20"/>
        </w:rPr>
        <w:t xml:space="preserve"> </w:t>
      </w:r>
      <w:r w:rsidR="00583CB2">
        <w:rPr>
          <w:rFonts w:ascii="Arial" w:hAnsi="Arial" w:cs="Arial"/>
          <w:sz w:val="20"/>
          <w:szCs w:val="20"/>
        </w:rPr>
        <w:t>base cases</w:t>
      </w:r>
      <w:r>
        <w:rPr>
          <w:rFonts w:ascii="Arial" w:hAnsi="Arial" w:cs="Arial"/>
          <w:sz w:val="20"/>
          <w:szCs w:val="20"/>
        </w:rPr>
        <w:t xml:space="preserve">. </w:t>
      </w:r>
      <w:r w:rsidR="001F6E49">
        <w:rPr>
          <w:rFonts w:ascii="Arial" w:hAnsi="Arial" w:cs="Arial"/>
          <w:sz w:val="20"/>
          <w:szCs w:val="20"/>
        </w:rPr>
        <w:t xml:space="preserve">The most common base case </w:t>
      </w:r>
      <w:r w:rsidR="00583CB2" w:rsidRPr="00C10056">
        <w:rPr>
          <w:rFonts w:ascii="Arial" w:hAnsi="Arial" w:cs="Arial"/>
          <w:sz w:val="20"/>
          <w:szCs w:val="20"/>
        </w:rPr>
        <w:t>Pulse Start Metal Halide</w:t>
      </w:r>
      <w:r w:rsidR="00583CB2">
        <w:rPr>
          <w:rFonts w:ascii="Arial" w:hAnsi="Arial" w:cs="Arial"/>
          <w:sz w:val="20"/>
          <w:szCs w:val="20"/>
        </w:rPr>
        <w:t xml:space="preserve"> </w:t>
      </w:r>
      <w:r w:rsidR="00C1628E">
        <w:rPr>
          <w:rFonts w:ascii="Arial" w:hAnsi="Arial" w:cs="Arial"/>
          <w:sz w:val="20"/>
          <w:szCs w:val="20"/>
        </w:rPr>
        <w:t xml:space="preserve">HID lamp </w:t>
      </w:r>
      <w:r w:rsidR="001F6E49">
        <w:rPr>
          <w:rFonts w:ascii="Arial" w:hAnsi="Arial" w:cs="Arial"/>
          <w:sz w:val="20"/>
          <w:szCs w:val="20"/>
        </w:rPr>
        <w:t xml:space="preserve">wattages </w:t>
      </w:r>
      <w:r w:rsidR="00C1628E">
        <w:rPr>
          <w:rFonts w:ascii="Arial" w:hAnsi="Arial" w:cs="Arial"/>
          <w:sz w:val="20"/>
          <w:szCs w:val="20"/>
        </w:rPr>
        <w:t xml:space="preserve">for high- and low-bay </w:t>
      </w:r>
      <w:r w:rsidR="00C1628E">
        <w:rPr>
          <w:rFonts w:ascii="Arial" w:hAnsi="Arial" w:cs="Arial"/>
          <w:sz w:val="20"/>
          <w:szCs w:val="20"/>
        </w:rPr>
        <w:lastRenderedPageBreak/>
        <w:t xml:space="preserve">fixtures are 175 W, 200 W, 250 W, 320 W, 350 W, 400 W, 450 W, 750 W, and 1000 W. The fixture wattages for these </w:t>
      </w:r>
      <w:r w:rsidR="00583CB2" w:rsidRPr="00C10056">
        <w:rPr>
          <w:rFonts w:ascii="Arial" w:hAnsi="Arial" w:cs="Arial"/>
          <w:sz w:val="20"/>
          <w:szCs w:val="20"/>
        </w:rPr>
        <w:t>Pulse Start Metal Halide</w:t>
      </w:r>
      <w:r w:rsidR="00583CB2">
        <w:rPr>
          <w:rFonts w:ascii="Arial" w:hAnsi="Arial" w:cs="Arial"/>
          <w:sz w:val="20"/>
          <w:szCs w:val="20"/>
        </w:rPr>
        <w:t xml:space="preserve"> </w:t>
      </w:r>
      <w:r w:rsidR="00C1628E">
        <w:rPr>
          <w:rFonts w:ascii="Arial" w:hAnsi="Arial" w:cs="Arial"/>
          <w:sz w:val="20"/>
          <w:szCs w:val="20"/>
        </w:rPr>
        <w:t xml:space="preserve">HID base cases are approximately 15% higher than the lamp wattages. The most common </w:t>
      </w:r>
      <w:r w:rsidR="00583CB2">
        <w:rPr>
          <w:rFonts w:ascii="Arial" w:hAnsi="Arial" w:cs="Arial"/>
          <w:sz w:val="20"/>
          <w:szCs w:val="20"/>
        </w:rPr>
        <w:t>2</w:t>
      </w:r>
      <w:r w:rsidR="00583CB2" w:rsidRPr="00583CB2">
        <w:rPr>
          <w:rFonts w:ascii="Arial" w:hAnsi="Arial" w:cs="Arial"/>
          <w:sz w:val="20"/>
          <w:szCs w:val="20"/>
          <w:vertAlign w:val="superscript"/>
        </w:rPr>
        <w:t>nd</w:t>
      </w:r>
      <w:r w:rsidR="00583CB2">
        <w:rPr>
          <w:rFonts w:ascii="Arial" w:hAnsi="Arial" w:cs="Arial"/>
          <w:sz w:val="20"/>
          <w:szCs w:val="20"/>
        </w:rPr>
        <w:t xml:space="preserve"> generation </w:t>
      </w:r>
      <w:r w:rsidR="00B67AB6">
        <w:rPr>
          <w:rFonts w:ascii="Arial" w:hAnsi="Arial" w:cs="Arial"/>
          <w:sz w:val="20"/>
          <w:szCs w:val="20"/>
        </w:rPr>
        <w:t>linear fluorescent</w:t>
      </w:r>
      <w:r w:rsidR="00C1628E">
        <w:rPr>
          <w:rFonts w:ascii="Arial" w:hAnsi="Arial" w:cs="Arial"/>
          <w:sz w:val="20"/>
          <w:szCs w:val="20"/>
        </w:rPr>
        <w:t xml:space="preserve"> base case configurations are 4-lamp and 6-lamp F32T8 with VHLO ballast-factor ballasts.</w:t>
      </w:r>
      <w:r w:rsidR="001F6E49">
        <w:rPr>
          <w:rFonts w:ascii="Arial" w:hAnsi="Arial" w:cs="Arial"/>
          <w:sz w:val="20"/>
          <w:szCs w:val="20"/>
        </w:rPr>
        <w:t xml:space="preserve"> These base cases are </w:t>
      </w:r>
      <w:r w:rsidR="00CD3C38">
        <w:rPr>
          <w:rFonts w:ascii="Arial" w:hAnsi="Arial" w:cs="Arial"/>
          <w:sz w:val="20"/>
          <w:szCs w:val="20"/>
        </w:rPr>
        <w:t>used</w:t>
      </w:r>
      <w:r w:rsidR="001F6E49">
        <w:rPr>
          <w:rFonts w:ascii="Arial" w:hAnsi="Arial" w:cs="Arial"/>
          <w:sz w:val="20"/>
          <w:szCs w:val="20"/>
        </w:rPr>
        <w:t xml:space="preserve"> in this </w:t>
      </w:r>
      <w:proofErr w:type="spellStart"/>
      <w:r w:rsidR="001F6E49">
        <w:rPr>
          <w:rFonts w:ascii="Arial" w:hAnsi="Arial" w:cs="Arial"/>
          <w:sz w:val="20"/>
          <w:szCs w:val="20"/>
        </w:rPr>
        <w:t>workpaper</w:t>
      </w:r>
      <w:proofErr w:type="spellEnd"/>
      <w:r w:rsidR="001F6E49">
        <w:rPr>
          <w:rFonts w:ascii="Arial" w:hAnsi="Arial" w:cs="Arial"/>
          <w:sz w:val="20"/>
          <w:szCs w:val="20"/>
        </w:rPr>
        <w:t xml:space="preserve">. </w:t>
      </w:r>
    </w:p>
    <w:p w:rsidR="002574CF" w:rsidRPr="002574CF" w:rsidRDefault="002574CF" w:rsidP="002574CF">
      <w:pPr>
        <w:rPr>
          <w:rFonts w:ascii="Arial" w:hAnsi="Arial" w:cs="Arial"/>
          <w:sz w:val="20"/>
          <w:szCs w:val="20"/>
        </w:rPr>
      </w:pPr>
    </w:p>
    <w:p w:rsidR="00175673" w:rsidRPr="00B67AB6" w:rsidRDefault="00560E6F" w:rsidP="009075B6">
      <w:pPr>
        <w:rPr>
          <w:rFonts w:ascii="Arial" w:hAnsi="Arial" w:cs="Arial"/>
          <w:sz w:val="20"/>
          <w:szCs w:val="20"/>
        </w:rPr>
      </w:pPr>
      <w:r>
        <w:rPr>
          <w:rFonts w:ascii="Arial" w:hAnsi="Arial" w:cs="Arial"/>
          <w:sz w:val="20"/>
          <w:szCs w:val="20"/>
        </w:rPr>
        <w:t>The</w:t>
      </w:r>
      <w:r w:rsidR="002574CF" w:rsidRPr="002574CF">
        <w:rPr>
          <w:rFonts w:ascii="Arial" w:hAnsi="Arial" w:cs="Arial"/>
          <w:sz w:val="20"/>
          <w:szCs w:val="20"/>
        </w:rPr>
        <w:t xml:space="preserve"> </w:t>
      </w:r>
      <w:bookmarkStart w:id="24" w:name="OLE_LINK8"/>
      <w:bookmarkStart w:id="25" w:name="OLE_LINK9"/>
      <w:r w:rsidR="002574CF" w:rsidRPr="002574CF">
        <w:rPr>
          <w:rFonts w:ascii="Arial" w:hAnsi="Arial" w:cs="Arial"/>
          <w:sz w:val="20"/>
          <w:szCs w:val="20"/>
        </w:rPr>
        <w:t xml:space="preserve">DOE Solid-State Lighting </w:t>
      </w:r>
      <w:proofErr w:type="spellStart"/>
      <w:r w:rsidR="002574CF" w:rsidRPr="002574CF">
        <w:rPr>
          <w:rFonts w:ascii="Arial" w:hAnsi="Arial" w:cs="Arial"/>
          <w:sz w:val="20"/>
          <w:szCs w:val="20"/>
        </w:rPr>
        <w:t>CALiPER</w:t>
      </w:r>
      <w:proofErr w:type="spellEnd"/>
      <w:r w:rsidR="002574CF" w:rsidRPr="002574CF">
        <w:rPr>
          <w:rFonts w:ascii="Arial" w:hAnsi="Arial" w:cs="Arial"/>
          <w:sz w:val="20"/>
          <w:szCs w:val="20"/>
        </w:rPr>
        <w:t xml:space="preserve"> </w:t>
      </w:r>
      <w:r>
        <w:rPr>
          <w:rFonts w:ascii="Arial" w:hAnsi="Arial" w:cs="Arial"/>
          <w:sz w:val="20"/>
          <w:szCs w:val="20"/>
        </w:rPr>
        <w:t>Reports</w:t>
      </w:r>
      <w:r w:rsidR="007139B2">
        <w:rPr>
          <w:rFonts w:ascii="Arial" w:hAnsi="Arial" w:cs="Arial"/>
          <w:sz w:val="20"/>
          <w:szCs w:val="20"/>
        </w:rPr>
        <w:t xml:space="preserve"> have examined 7 LED high-bay fixtures combined in </w:t>
      </w:r>
      <w:r>
        <w:rPr>
          <w:rFonts w:ascii="Arial" w:hAnsi="Arial" w:cs="Arial"/>
          <w:sz w:val="20"/>
          <w:szCs w:val="20"/>
        </w:rPr>
        <w:t>application summary report</w:t>
      </w:r>
      <w:r w:rsidR="007139B2">
        <w:rPr>
          <w:rFonts w:ascii="Arial" w:hAnsi="Arial" w:cs="Arial"/>
          <w:sz w:val="20"/>
          <w:szCs w:val="20"/>
        </w:rPr>
        <w:t>s</w:t>
      </w:r>
      <w:r>
        <w:rPr>
          <w:rFonts w:ascii="Arial" w:hAnsi="Arial" w:cs="Arial"/>
          <w:sz w:val="20"/>
          <w:szCs w:val="20"/>
        </w:rPr>
        <w:t xml:space="preserve"> #1</w:t>
      </w:r>
      <w:r w:rsidR="007139B2">
        <w:rPr>
          <w:rFonts w:ascii="Arial" w:hAnsi="Arial" w:cs="Arial"/>
          <w:sz w:val="20"/>
          <w:szCs w:val="20"/>
        </w:rPr>
        <w:t>3 and #16</w:t>
      </w:r>
      <w:r>
        <w:rPr>
          <w:rFonts w:ascii="Arial" w:hAnsi="Arial" w:cs="Arial"/>
          <w:sz w:val="20"/>
          <w:szCs w:val="20"/>
        </w:rPr>
        <w:t>.</w:t>
      </w:r>
      <w:bookmarkEnd w:id="24"/>
      <w:bookmarkEnd w:id="25"/>
      <w:r w:rsidR="002574CF" w:rsidRPr="002574CF">
        <w:rPr>
          <w:rFonts w:ascii="Arial" w:hAnsi="Arial" w:cs="Arial"/>
          <w:sz w:val="20"/>
          <w:szCs w:val="20"/>
        </w:rPr>
        <w:t xml:space="preserve"> </w:t>
      </w:r>
      <w:r w:rsidR="007139B2">
        <w:rPr>
          <w:rFonts w:ascii="Arial" w:hAnsi="Arial" w:cs="Arial"/>
          <w:sz w:val="20"/>
          <w:szCs w:val="20"/>
        </w:rPr>
        <w:t xml:space="preserve">Only two of the 7 fixtures met the DLC minimums for efficacy and output. Given the small population relative to the full DLC list of 418 products as of 10/1/2013, </w:t>
      </w:r>
      <w:proofErr w:type="spellStart"/>
      <w:r w:rsidR="007139B2">
        <w:rPr>
          <w:rFonts w:ascii="Arial" w:hAnsi="Arial" w:cs="Arial"/>
          <w:sz w:val="20"/>
          <w:szCs w:val="20"/>
        </w:rPr>
        <w:t>CALiPER</w:t>
      </w:r>
      <w:proofErr w:type="spellEnd"/>
      <w:r w:rsidR="007139B2">
        <w:rPr>
          <w:rFonts w:ascii="Arial" w:hAnsi="Arial" w:cs="Arial"/>
          <w:sz w:val="20"/>
          <w:szCs w:val="20"/>
        </w:rPr>
        <w:t xml:space="preserve"> reports were not used for determining equivalency.</w:t>
      </w:r>
      <w:r w:rsidR="00C37145">
        <w:rPr>
          <w:rFonts w:ascii="Arial" w:hAnsi="Arial" w:cs="Arial"/>
          <w:sz w:val="20"/>
          <w:szCs w:val="20"/>
        </w:rPr>
        <w:t xml:space="preserve">  Wattage equivalency was based on the full list of DLC products.</w:t>
      </w:r>
    </w:p>
    <w:p w:rsidR="007931BC" w:rsidRPr="00A95A8F" w:rsidRDefault="007931BC" w:rsidP="009C5CA7">
      <w:pPr>
        <w:rPr>
          <w:rFonts w:ascii="Arial" w:hAnsi="Arial" w:cs="Arial"/>
          <w:b/>
          <w:sz w:val="16"/>
          <w:szCs w:val="20"/>
        </w:rPr>
      </w:pPr>
    </w:p>
    <w:p w:rsidR="00A95A8F" w:rsidRPr="00A95A8F" w:rsidRDefault="00A95A8F" w:rsidP="00A95A8F">
      <w:pPr>
        <w:rPr>
          <w:rFonts w:ascii="Arial" w:hAnsi="Arial" w:cs="Arial"/>
          <w:b/>
          <w:sz w:val="20"/>
          <w:szCs w:val="20"/>
        </w:rPr>
      </w:pPr>
      <w:r w:rsidRPr="00A95A8F">
        <w:rPr>
          <w:rFonts w:ascii="Arial" w:hAnsi="Arial" w:cs="Arial"/>
          <w:b/>
          <w:sz w:val="20"/>
          <w:szCs w:val="20"/>
        </w:rPr>
        <w:t>Hours of Operation</w:t>
      </w:r>
    </w:p>
    <w:p w:rsidR="00A95A8F" w:rsidRPr="00A95A8F" w:rsidRDefault="00A95A8F" w:rsidP="00A95A8F">
      <w:pPr>
        <w:rPr>
          <w:rFonts w:ascii="Arial" w:hAnsi="Arial" w:cs="Arial"/>
          <w:sz w:val="20"/>
          <w:szCs w:val="20"/>
        </w:rPr>
      </w:pPr>
      <w:r w:rsidRPr="00A95A8F">
        <w:rPr>
          <w:rFonts w:ascii="Arial" w:hAnsi="Arial" w:cs="Arial"/>
          <w:sz w:val="20"/>
          <w:szCs w:val="20"/>
        </w:rPr>
        <w:t>The DEER 2016 hours of operation and interactive effects are</w:t>
      </w:r>
      <w:r>
        <w:rPr>
          <w:rFonts w:ascii="Arial" w:hAnsi="Arial" w:cs="Arial"/>
          <w:sz w:val="20"/>
          <w:szCs w:val="20"/>
        </w:rPr>
        <w:t xml:space="preserve"> used for savings calculations.</w:t>
      </w:r>
    </w:p>
    <w:p w:rsidR="00A95A8F" w:rsidRPr="00A95A8F" w:rsidRDefault="00A95A8F" w:rsidP="00A95A8F">
      <w:pPr>
        <w:rPr>
          <w:rFonts w:ascii="Arial" w:hAnsi="Arial" w:cs="Arial"/>
          <w:sz w:val="20"/>
          <w:szCs w:val="20"/>
        </w:rPr>
      </w:pPr>
    </w:p>
    <w:p w:rsidR="009C5CA7" w:rsidRPr="00D63232" w:rsidRDefault="009C5CA7" w:rsidP="00A95A8F">
      <w:r w:rsidRPr="00A95A8F">
        <w:rPr>
          <w:rFonts w:ascii="Arial" w:hAnsi="Arial" w:cs="Arial"/>
          <w:b/>
          <w:sz w:val="20"/>
        </w:rPr>
        <w:t>Net-to-Gross Assumption</w:t>
      </w:r>
    </w:p>
    <w:p w:rsidR="00F62D81" w:rsidRPr="00432C65" w:rsidRDefault="00B52BB4" w:rsidP="00F62D81">
      <w:pPr>
        <w:rPr>
          <w:rFonts w:ascii="Arial" w:hAnsi="Arial" w:cs="Arial"/>
          <w:sz w:val="20"/>
          <w:szCs w:val="20"/>
        </w:rPr>
      </w:pPr>
      <w:r w:rsidRPr="00DD2826">
        <w:rPr>
          <w:rFonts w:ascii="Arial" w:hAnsi="Arial" w:cs="Arial"/>
          <w:sz w:val="20"/>
          <w:szCs w:val="20"/>
        </w:rPr>
        <w:t>The NTG values are from DEER 201</w:t>
      </w:r>
      <w:r w:rsidR="00A95A8F">
        <w:rPr>
          <w:rFonts w:ascii="Arial" w:hAnsi="Arial" w:cs="Arial"/>
          <w:sz w:val="20"/>
          <w:szCs w:val="20"/>
        </w:rPr>
        <w:t>6</w:t>
      </w:r>
      <w:r w:rsidRPr="00DD2826">
        <w:rPr>
          <w:rFonts w:ascii="Arial" w:hAnsi="Arial" w:cs="Arial"/>
          <w:sz w:val="20"/>
          <w:szCs w:val="20"/>
        </w:rPr>
        <w:t>. T</w:t>
      </w:r>
      <w:r w:rsidR="00A95A8F">
        <w:rPr>
          <w:rFonts w:ascii="Arial" w:hAnsi="Arial" w:cs="Arial"/>
          <w:sz w:val="20"/>
          <w:szCs w:val="20"/>
        </w:rPr>
        <w:t xml:space="preserve">he table </w:t>
      </w:r>
      <w:r w:rsidRPr="00DD2826">
        <w:rPr>
          <w:rFonts w:ascii="Arial" w:hAnsi="Arial" w:cs="Arial"/>
          <w:sz w:val="20"/>
          <w:szCs w:val="20"/>
        </w:rPr>
        <w:t>below summarizes all applicable Net-to-Gross ratios for programs that may be used by this measure.</w:t>
      </w:r>
    </w:p>
    <w:p w:rsidR="008F48E1" w:rsidRDefault="008F48E1" w:rsidP="00D719E9">
      <w:pPr>
        <w:pStyle w:val="Caption"/>
        <w:keepNext/>
        <w:jc w:val="center"/>
        <w:rPr>
          <w:rFonts w:ascii="Arial" w:hAnsi="Arial" w:cs="Arial"/>
        </w:rPr>
      </w:pPr>
    </w:p>
    <w:p w:rsidR="00D719E9" w:rsidRPr="008F48E1" w:rsidRDefault="00D719E9" w:rsidP="00C81BD1">
      <w:pPr>
        <w:pStyle w:val="Caption"/>
        <w:jc w:val="center"/>
        <w:rPr>
          <w:rFonts w:ascii="Arial" w:hAnsi="Arial" w:cs="Arial"/>
        </w:rPr>
      </w:pPr>
      <w:bookmarkStart w:id="26" w:name="_Toc438562579"/>
      <w:r w:rsidRPr="00C81BD1">
        <w:t>Table</w:t>
      </w:r>
      <w:r w:rsidR="00DD12F1">
        <w:t xml:space="preserve"> </w:t>
      </w:r>
      <w:r w:rsidR="001A450C">
        <w:fldChar w:fldCharType="begin"/>
      </w:r>
      <w:r w:rsidR="001A450C">
        <w:instrText xml:space="preserve"> SEQ Table \* ARABIC \s 1 </w:instrText>
      </w:r>
      <w:r w:rsidR="001A450C">
        <w:fldChar w:fldCharType="separate"/>
      </w:r>
      <w:r w:rsidR="00A95A8F">
        <w:rPr>
          <w:noProof/>
        </w:rPr>
        <w:t>4</w:t>
      </w:r>
      <w:r w:rsidR="001A450C">
        <w:rPr>
          <w:noProof/>
        </w:rPr>
        <w:fldChar w:fldCharType="end"/>
      </w:r>
      <w:r w:rsidR="00476B67" w:rsidRPr="00C81BD1">
        <w:t xml:space="preserve"> </w:t>
      </w:r>
      <w:r w:rsidR="00DD12F1">
        <w:t xml:space="preserve">- </w:t>
      </w:r>
      <w:r w:rsidR="00B61F2F" w:rsidRPr="00C81BD1">
        <w:t xml:space="preserve">Net-to-Gross </w:t>
      </w:r>
      <w:r w:rsidRPr="00C81BD1">
        <w:t>Ratios</w:t>
      </w:r>
      <w:bookmarkEnd w:id="26"/>
    </w:p>
    <w:tbl>
      <w:tblPr>
        <w:tblStyle w:val="TableGrid1"/>
        <w:tblW w:w="5000" w:type="pct"/>
        <w:tblLayout w:type="fixed"/>
        <w:tblLook w:val="01E0" w:firstRow="1" w:lastRow="1" w:firstColumn="1" w:lastColumn="1" w:noHBand="0" w:noVBand="0"/>
      </w:tblPr>
      <w:tblGrid>
        <w:gridCol w:w="1548"/>
        <w:gridCol w:w="3601"/>
        <w:gridCol w:w="990"/>
        <w:gridCol w:w="1170"/>
        <w:gridCol w:w="1440"/>
        <w:gridCol w:w="827"/>
      </w:tblGrid>
      <w:tr w:rsidR="005C7190" w:rsidRPr="00A60D47" w:rsidTr="005C7190">
        <w:tc>
          <w:tcPr>
            <w:tcW w:w="808" w:type="pct"/>
            <w:shd w:val="clear" w:color="auto" w:fill="D9D9D9" w:themeFill="background1" w:themeFillShade="D9"/>
            <w:vAlign w:val="center"/>
          </w:tcPr>
          <w:p w:rsidR="005C7190" w:rsidRPr="00A60D47" w:rsidRDefault="005C7190" w:rsidP="005C7190">
            <w:pPr>
              <w:jc w:val="center"/>
              <w:rPr>
                <w:rFonts w:ascii="Arial" w:hAnsi="Arial" w:cs="Arial"/>
                <w:b/>
                <w:sz w:val="20"/>
                <w:szCs w:val="20"/>
              </w:rPr>
            </w:pPr>
            <w:r w:rsidRPr="00A60D47">
              <w:rPr>
                <w:rFonts w:ascii="Arial" w:hAnsi="Arial" w:cs="Arial"/>
                <w:b/>
                <w:sz w:val="20"/>
                <w:szCs w:val="20"/>
              </w:rPr>
              <w:t>NTGR ID</w:t>
            </w:r>
          </w:p>
        </w:tc>
        <w:tc>
          <w:tcPr>
            <w:tcW w:w="1880" w:type="pct"/>
            <w:shd w:val="clear" w:color="auto" w:fill="D9D9D9" w:themeFill="background1" w:themeFillShade="D9"/>
            <w:vAlign w:val="center"/>
          </w:tcPr>
          <w:p w:rsidR="005C7190" w:rsidRPr="00A60D47" w:rsidRDefault="005C7190" w:rsidP="005C7190">
            <w:pPr>
              <w:jc w:val="center"/>
              <w:rPr>
                <w:rFonts w:ascii="Arial" w:hAnsi="Arial" w:cs="Arial"/>
                <w:b/>
                <w:sz w:val="20"/>
                <w:szCs w:val="20"/>
              </w:rPr>
            </w:pPr>
            <w:r w:rsidRPr="00A60D47">
              <w:rPr>
                <w:rFonts w:ascii="Arial" w:hAnsi="Arial" w:cs="Arial"/>
                <w:b/>
                <w:sz w:val="20"/>
                <w:szCs w:val="20"/>
              </w:rPr>
              <w:t>Description</w:t>
            </w:r>
          </w:p>
        </w:tc>
        <w:tc>
          <w:tcPr>
            <w:tcW w:w="517" w:type="pct"/>
            <w:shd w:val="clear" w:color="auto" w:fill="D9D9D9" w:themeFill="background1" w:themeFillShade="D9"/>
            <w:vAlign w:val="center"/>
          </w:tcPr>
          <w:p w:rsidR="005C7190" w:rsidRPr="00A60D47" w:rsidRDefault="005C7190" w:rsidP="005C7190">
            <w:pPr>
              <w:jc w:val="center"/>
              <w:rPr>
                <w:rFonts w:ascii="Arial" w:hAnsi="Arial" w:cs="Arial"/>
                <w:b/>
                <w:sz w:val="20"/>
                <w:szCs w:val="20"/>
              </w:rPr>
            </w:pPr>
            <w:r w:rsidRPr="00A60D47">
              <w:rPr>
                <w:rFonts w:ascii="Arial" w:hAnsi="Arial" w:cs="Arial"/>
                <w:b/>
                <w:sz w:val="20"/>
                <w:szCs w:val="20"/>
              </w:rPr>
              <w:t>Sector</w:t>
            </w:r>
          </w:p>
        </w:tc>
        <w:tc>
          <w:tcPr>
            <w:tcW w:w="611" w:type="pct"/>
            <w:shd w:val="clear" w:color="auto" w:fill="D9D9D9" w:themeFill="background1" w:themeFillShade="D9"/>
            <w:vAlign w:val="center"/>
          </w:tcPr>
          <w:p w:rsidR="005C7190" w:rsidRPr="00A60D47" w:rsidRDefault="005C7190" w:rsidP="005C7190">
            <w:pPr>
              <w:jc w:val="center"/>
              <w:rPr>
                <w:rFonts w:ascii="Arial" w:hAnsi="Arial" w:cs="Arial"/>
                <w:b/>
                <w:sz w:val="20"/>
                <w:szCs w:val="20"/>
              </w:rPr>
            </w:pPr>
            <w:proofErr w:type="spellStart"/>
            <w:r w:rsidRPr="00A60D47">
              <w:rPr>
                <w:rFonts w:ascii="Arial" w:hAnsi="Arial" w:cs="Arial"/>
                <w:b/>
                <w:sz w:val="20"/>
                <w:szCs w:val="20"/>
              </w:rPr>
              <w:t>BldgType</w:t>
            </w:r>
            <w:proofErr w:type="spellEnd"/>
          </w:p>
        </w:tc>
        <w:tc>
          <w:tcPr>
            <w:tcW w:w="752" w:type="pct"/>
            <w:shd w:val="clear" w:color="auto" w:fill="D9D9D9" w:themeFill="background1" w:themeFillShade="D9"/>
            <w:vAlign w:val="center"/>
          </w:tcPr>
          <w:p w:rsidR="005C7190" w:rsidRPr="00A60D47" w:rsidRDefault="005C7190" w:rsidP="005C7190">
            <w:pPr>
              <w:jc w:val="center"/>
              <w:rPr>
                <w:rFonts w:ascii="Arial" w:hAnsi="Arial" w:cs="Arial"/>
                <w:b/>
                <w:sz w:val="20"/>
                <w:szCs w:val="20"/>
              </w:rPr>
            </w:pPr>
            <w:r w:rsidRPr="00A60D47">
              <w:rPr>
                <w:rFonts w:ascii="Arial" w:hAnsi="Arial" w:cs="Arial"/>
                <w:b/>
                <w:sz w:val="20"/>
                <w:szCs w:val="20"/>
              </w:rPr>
              <w:t>Delivery Method</w:t>
            </w:r>
          </w:p>
        </w:tc>
        <w:tc>
          <w:tcPr>
            <w:tcW w:w="432" w:type="pct"/>
            <w:shd w:val="clear" w:color="auto" w:fill="D9D9D9" w:themeFill="background1" w:themeFillShade="D9"/>
            <w:vAlign w:val="center"/>
          </w:tcPr>
          <w:p w:rsidR="005C7190" w:rsidRPr="00A60D47" w:rsidRDefault="005C7190" w:rsidP="005C7190">
            <w:pPr>
              <w:jc w:val="center"/>
              <w:rPr>
                <w:rFonts w:ascii="Arial" w:hAnsi="Arial" w:cs="Arial"/>
                <w:b/>
                <w:sz w:val="20"/>
                <w:szCs w:val="20"/>
              </w:rPr>
            </w:pPr>
            <w:r w:rsidRPr="00A60D47">
              <w:rPr>
                <w:rFonts w:ascii="Arial" w:hAnsi="Arial" w:cs="Arial"/>
                <w:b/>
                <w:sz w:val="20"/>
                <w:szCs w:val="20"/>
              </w:rPr>
              <w:t>NTGR</w:t>
            </w:r>
          </w:p>
        </w:tc>
      </w:tr>
      <w:tr w:rsidR="005C7190" w:rsidRPr="00A60D47" w:rsidTr="005C7190">
        <w:tc>
          <w:tcPr>
            <w:tcW w:w="808" w:type="pct"/>
            <w:vAlign w:val="center"/>
          </w:tcPr>
          <w:p w:rsidR="005C7190" w:rsidRPr="00A60D47" w:rsidRDefault="00A95A8F" w:rsidP="005C7190">
            <w:pPr>
              <w:jc w:val="center"/>
              <w:rPr>
                <w:rFonts w:ascii="Arial" w:hAnsi="Arial" w:cs="Arial"/>
                <w:sz w:val="20"/>
                <w:szCs w:val="20"/>
              </w:rPr>
            </w:pPr>
            <w:r w:rsidRPr="00A95A8F">
              <w:rPr>
                <w:rFonts w:ascii="Arial" w:hAnsi="Arial" w:cs="Arial"/>
                <w:sz w:val="20"/>
                <w:szCs w:val="20"/>
              </w:rPr>
              <w:t>Com-Default&gt;2yrs</w:t>
            </w:r>
          </w:p>
        </w:tc>
        <w:tc>
          <w:tcPr>
            <w:tcW w:w="1880" w:type="pct"/>
            <w:vAlign w:val="center"/>
          </w:tcPr>
          <w:p w:rsidR="005C7190" w:rsidRPr="00A60D47" w:rsidRDefault="00A95A8F" w:rsidP="005C7190">
            <w:pPr>
              <w:jc w:val="center"/>
              <w:rPr>
                <w:rFonts w:ascii="Arial" w:hAnsi="Arial" w:cs="Arial"/>
                <w:sz w:val="20"/>
                <w:szCs w:val="20"/>
              </w:rPr>
            </w:pPr>
            <w:r w:rsidRPr="00A95A8F">
              <w:rPr>
                <w:rFonts w:ascii="Arial" w:hAnsi="Arial" w:cs="Arial"/>
                <w:sz w:val="20"/>
                <w:szCs w:val="20"/>
              </w:rPr>
              <w:t>All other EEMs with no evaluated NTGR; existing EEM in programs with same delivery mechanism for more than 2 years</w:t>
            </w:r>
          </w:p>
        </w:tc>
        <w:tc>
          <w:tcPr>
            <w:tcW w:w="517" w:type="pct"/>
            <w:vAlign w:val="center"/>
          </w:tcPr>
          <w:p w:rsidR="005C7190" w:rsidRPr="00A60D47" w:rsidRDefault="00A95A8F" w:rsidP="005C7190">
            <w:pPr>
              <w:jc w:val="center"/>
              <w:rPr>
                <w:rFonts w:ascii="Arial" w:hAnsi="Arial" w:cs="Arial"/>
                <w:sz w:val="20"/>
                <w:szCs w:val="20"/>
              </w:rPr>
            </w:pPr>
            <w:r>
              <w:rPr>
                <w:rFonts w:ascii="Arial" w:hAnsi="Arial" w:cs="Arial"/>
                <w:sz w:val="20"/>
                <w:szCs w:val="20"/>
              </w:rPr>
              <w:t>Com</w:t>
            </w:r>
          </w:p>
        </w:tc>
        <w:tc>
          <w:tcPr>
            <w:tcW w:w="611" w:type="pct"/>
            <w:vAlign w:val="center"/>
          </w:tcPr>
          <w:p w:rsidR="005C7190" w:rsidRPr="00A60D47" w:rsidRDefault="005C7190" w:rsidP="005C7190">
            <w:pPr>
              <w:jc w:val="center"/>
              <w:rPr>
                <w:rFonts w:ascii="Arial" w:hAnsi="Arial" w:cs="Arial"/>
                <w:sz w:val="20"/>
                <w:szCs w:val="20"/>
              </w:rPr>
            </w:pPr>
            <w:r>
              <w:rPr>
                <w:rFonts w:ascii="Arial" w:hAnsi="Arial" w:cs="Arial"/>
                <w:sz w:val="20"/>
                <w:szCs w:val="20"/>
              </w:rPr>
              <w:t>Any</w:t>
            </w:r>
          </w:p>
        </w:tc>
        <w:tc>
          <w:tcPr>
            <w:tcW w:w="752" w:type="pct"/>
            <w:vAlign w:val="center"/>
          </w:tcPr>
          <w:p w:rsidR="005C7190" w:rsidRPr="00A60D47" w:rsidRDefault="00A95A8F" w:rsidP="005C7190">
            <w:pPr>
              <w:jc w:val="center"/>
              <w:rPr>
                <w:rFonts w:ascii="Arial" w:hAnsi="Arial" w:cs="Arial"/>
                <w:sz w:val="20"/>
                <w:szCs w:val="20"/>
              </w:rPr>
            </w:pPr>
            <w:r>
              <w:rPr>
                <w:rFonts w:ascii="Arial" w:hAnsi="Arial" w:cs="Arial"/>
                <w:sz w:val="20"/>
                <w:szCs w:val="20"/>
              </w:rPr>
              <w:t>Any</w:t>
            </w:r>
          </w:p>
        </w:tc>
        <w:tc>
          <w:tcPr>
            <w:tcW w:w="432" w:type="pct"/>
            <w:vAlign w:val="center"/>
          </w:tcPr>
          <w:p w:rsidR="005C7190" w:rsidRPr="00A60D47" w:rsidRDefault="005C7190" w:rsidP="005C7190">
            <w:pPr>
              <w:jc w:val="center"/>
              <w:rPr>
                <w:rFonts w:ascii="Arial" w:hAnsi="Arial" w:cs="Arial"/>
                <w:sz w:val="20"/>
                <w:szCs w:val="20"/>
              </w:rPr>
            </w:pPr>
            <w:r>
              <w:rPr>
                <w:rFonts w:ascii="Arial" w:hAnsi="Arial" w:cs="Arial"/>
                <w:sz w:val="20"/>
                <w:szCs w:val="20"/>
              </w:rPr>
              <w:t>0.6</w:t>
            </w:r>
          </w:p>
        </w:tc>
      </w:tr>
    </w:tbl>
    <w:p w:rsidR="00A95A8F" w:rsidRDefault="00A95A8F" w:rsidP="00A95A8F">
      <w:pPr>
        <w:rPr>
          <w:b/>
          <w:szCs w:val="20"/>
        </w:rPr>
      </w:pPr>
    </w:p>
    <w:p w:rsidR="00A95A8F" w:rsidRPr="00A95A8F" w:rsidRDefault="00A95A8F" w:rsidP="00A95A8F">
      <w:pPr>
        <w:rPr>
          <w:rFonts w:ascii="Arial" w:hAnsi="Arial" w:cs="Arial"/>
          <w:b/>
          <w:sz w:val="20"/>
          <w:szCs w:val="20"/>
        </w:rPr>
      </w:pPr>
      <w:r w:rsidRPr="00A95A8F">
        <w:rPr>
          <w:rFonts w:ascii="Arial" w:hAnsi="Arial" w:cs="Arial"/>
          <w:b/>
          <w:sz w:val="20"/>
          <w:szCs w:val="20"/>
        </w:rPr>
        <w:t>Spillage Rate</w:t>
      </w:r>
    </w:p>
    <w:p w:rsidR="00A95A8F" w:rsidRPr="00A95A8F" w:rsidRDefault="00A95A8F" w:rsidP="00A95A8F">
      <w:pPr>
        <w:rPr>
          <w:rFonts w:ascii="Arial" w:hAnsi="Arial" w:cs="Arial"/>
          <w:sz w:val="20"/>
          <w:szCs w:val="20"/>
        </w:rPr>
      </w:pPr>
      <w:r w:rsidRPr="00A95A8F">
        <w:rPr>
          <w:rFonts w:ascii="Arial" w:hAnsi="Arial" w:cs="Arial"/>
          <w:sz w:val="20"/>
          <w:szCs w:val="20"/>
        </w:rPr>
        <w:t>Spillage rates are not tracked in work papers; they are tracked in an external document which will be supplied to the Commission Staff.</w:t>
      </w:r>
    </w:p>
    <w:p w:rsidR="00A95A8F" w:rsidRPr="00A95A8F" w:rsidRDefault="00A95A8F" w:rsidP="00A95A8F">
      <w:pPr>
        <w:rPr>
          <w:rFonts w:ascii="Arial" w:hAnsi="Arial" w:cs="Arial"/>
          <w:b/>
          <w:sz w:val="20"/>
          <w:szCs w:val="20"/>
        </w:rPr>
      </w:pPr>
    </w:p>
    <w:p w:rsidR="00A95A8F" w:rsidRPr="00A95A8F" w:rsidRDefault="00A95A8F" w:rsidP="00A95A8F">
      <w:pPr>
        <w:rPr>
          <w:rFonts w:ascii="Arial" w:hAnsi="Arial" w:cs="Arial"/>
          <w:b/>
          <w:sz w:val="20"/>
          <w:szCs w:val="20"/>
        </w:rPr>
      </w:pPr>
      <w:r w:rsidRPr="00A95A8F">
        <w:rPr>
          <w:rFonts w:ascii="Arial" w:hAnsi="Arial" w:cs="Arial"/>
          <w:b/>
          <w:sz w:val="20"/>
          <w:szCs w:val="20"/>
        </w:rPr>
        <w:t>Installation Rate</w:t>
      </w:r>
    </w:p>
    <w:p w:rsidR="00A95A8F" w:rsidRPr="00A95A8F" w:rsidRDefault="00A95A8F" w:rsidP="00A95A8F">
      <w:pPr>
        <w:rPr>
          <w:rFonts w:ascii="Arial" w:hAnsi="Arial" w:cs="Arial"/>
          <w:sz w:val="16"/>
          <w:szCs w:val="20"/>
        </w:rPr>
      </w:pPr>
      <w:r>
        <w:rPr>
          <w:rFonts w:ascii="Arial" w:hAnsi="Arial" w:cs="Arial"/>
          <w:sz w:val="20"/>
          <w:szCs w:val="20"/>
        </w:rPr>
        <w:t>The IR value</w:t>
      </w:r>
      <w:r w:rsidRPr="00A95A8F">
        <w:rPr>
          <w:rFonts w:ascii="Arial" w:hAnsi="Arial" w:cs="Arial"/>
          <w:sz w:val="20"/>
          <w:szCs w:val="20"/>
        </w:rPr>
        <w:t xml:space="preserve"> </w:t>
      </w:r>
      <w:r>
        <w:rPr>
          <w:rFonts w:ascii="Arial" w:hAnsi="Arial" w:cs="Arial"/>
          <w:sz w:val="20"/>
          <w:szCs w:val="20"/>
        </w:rPr>
        <w:t>was</w:t>
      </w:r>
      <w:r w:rsidRPr="00A95A8F">
        <w:rPr>
          <w:rFonts w:ascii="Arial" w:hAnsi="Arial" w:cs="Arial"/>
          <w:sz w:val="20"/>
          <w:szCs w:val="20"/>
        </w:rPr>
        <w:t xml:space="preserve"> obtained using the DEER READI tool. The </w:t>
      </w:r>
      <w:r>
        <w:rPr>
          <w:rFonts w:ascii="Arial" w:hAnsi="Arial" w:cs="Arial"/>
          <w:sz w:val="20"/>
          <w:szCs w:val="20"/>
        </w:rPr>
        <w:t>relevant IR value</w:t>
      </w:r>
      <w:r w:rsidRPr="00A95A8F">
        <w:rPr>
          <w:rFonts w:ascii="Arial" w:hAnsi="Arial" w:cs="Arial"/>
          <w:sz w:val="20"/>
          <w:szCs w:val="20"/>
        </w:rPr>
        <w:t xml:space="preserve"> for the</w:t>
      </w:r>
      <w:r>
        <w:rPr>
          <w:rFonts w:ascii="Arial" w:hAnsi="Arial" w:cs="Arial"/>
          <w:sz w:val="20"/>
          <w:szCs w:val="20"/>
        </w:rPr>
        <w:t>se</w:t>
      </w:r>
      <w:r w:rsidRPr="00A95A8F">
        <w:rPr>
          <w:rFonts w:ascii="Arial" w:hAnsi="Arial" w:cs="Arial"/>
          <w:sz w:val="20"/>
          <w:szCs w:val="20"/>
        </w:rPr>
        <w:t xml:space="preserve"> measures in this work paper </w:t>
      </w:r>
      <w:r>
        <w:rPr>
          <w:rFonts w:ascii="Arial" w:hAnsi="Arial" w:cs="Arial"/>
          <w:sz w:val="20"/>
          <w:szCs w:val="20"/>
        </w:rPr>
        <w:t>is</w:t>
      </w:r>
      <w:r w:rsidRPr="00A95A8F">
        <w:rPr>
          <w:rFonts w:ascii="Arial" w:hAnsi="Arial" w:cs="Arial"/>
          <w:sz w:val="20"/>
          <w:szCs w:val="20"/>
        </w:rPr>
        <w:t xml:space="preserve"> in the table below.</w:t>
      </w:r>
    </w:p>
    <w:p w:rsidR="00A95A8F" w:rsidRPr="00A95A8F" w:rsidRDefault="00A95A8F" w:rsidP="00A95A8F">
      <w:pPr>
        <w:rPr>
          <w:rFonts w:ascii="Arial" w:hAnsi="Arial" w:cs="Arial"/>
          <w:sz w:val="16"/>
          <w:szCs w:val="20"/>
        </w:rPr>
      </w:pPr>
    </w:p>
    <w:p w:rsidR="00A95A8F" w:rsidRDefault="00A95A8F" w:rsidP="00A95A8F">
      <w:pPr>
        <w:pStyle w:val="Caption"/>
        <w:keepNext/>
        <w:jc w:val="center"/>
      </w:pPr>
      <w:bookmarkStart w:id="27" w:name="_Toc438530567"/>
      <w:bookmarkStart w:id="28" w:name="_Toc438562580"/>
      <w:r>
        <w:t xml:space="preserve">Table </w:t>
      </w:r>
      <w:r w:rsidR="001A450C">
        <w:fldChar w:fldCharType="begin"/>
      </w:r>
      <w:r w:rsidR="001A450C">
        <w:instrText xml:space="preserve"> SEQ Table \* ARABIC </w:instrText>
      </w:r>
      <w:r w:rsidR="001A450C">
        <w:fldChar w:fldCharType="separate"/>
      </w:r>
      <w:r>
        <w:rPr>
          <w:noProof/>
        </w:rPr>
        <w:t>5</w:t>
      </w:r>
      <w:r w:rsidR="001A450C">
        <w:rPr>
          <w:noProof/>
        </w:rPr>
        <w:fldChar w:fldCharType="end"/>
      </w:r>
      <w:r>
        <w:t xml:space="preserve"> Installation Rates</w:t>
      </w:r>
      <w:bookmarkEnd w:id="27"/>
      <w:bookmarkEnd w:id="28"/>
    </w:p>
    <w:tbl>
      <w:tblPr>
        <w:tblStyle w:val="TableGrid1"/>
        <w:tblW w:w="5000" w:type="pct"/>
        <w:tblLook w:val="01E0" w:firstRow="1" w:lastRow="1" w:firstColumn="1" w:lastColumn="1" w:noHBand="0" w:noVBand="0"/>
      </w:tblPr>
      <w:tblGrid>
        <w:gridCol w:w="1372"/>
        <w:gridCol w:w="2677"/>
        <w:gridCol w:w="1306"/>
        <w:gridCol w:w="1632"/>
        <w:gridCol w:w="1350"/>
        <w:gridCol w:w="1239"/>
      </w:tblGrid>
      <w:tr w:rsidR="00A95A8F" w:rsidRPr="00B83999" w:rsidTr="006C4973">
        <w:tc>
          <w:tcPr>
            <w:tcW w:w="716" w:type="pct"/>
            <w:shd w:val="clear" w:color="auto" w:fill="D9D9D9" w:themeFill="background1" w:themeFillShade="D9"/>
            <w:vAlign w:val="center"/>
          </w:tcPr>
          <w:p w:rsidR="00A95A8F" w:rsidRPr="00B83999" w:rsidRDefault="00A95A8F" w:rsidP="006C4973">
            <w:pPr>
              <w:jc w:val="center"/>
              <w:rPr>
                <w:rFonts w:ascii="Arial" w:hAnsi="Arial" w:cs="Arial"/>
                <w:b/>
                <w:sz w:val="20"/>
                <w:szCs w:val="20"/>
              </w:rPr>
            </w:pPr>
            <w:r w:rsidRPr="00B83999">
              <w:rPr>
                <w:rFonts w:ascii="Arial" w:hAnsi="Arial" w:cs="Arial"/>
                <w:b/>
                <w:sz w:val="20"/>
                <w:szCs w:val="20"/>
              </w:rPr>
              <w:t>GSIA ID</w:t>
            </w:r>
          </w:p>
        </w:tc>
        <w:tc>
          <w:tcPr>
            <w:tcW w:w="1398" w:type="pct"/>
            <w:shd w:val="clear" w:color="auto" w:fill="D9D9D9" w:themeFill="background1" w:themeFillShade="D9"/>
            <w:vAlign w:val="center"/>
          </w:tcPr>
          <w:p w:rsidR="00A95A8F" w:rsidRPr="00B83999" w:rsidRDefault="00A95A8F" w:rsidP="006C4973">
            <w:pPr>
              <w:jc w:val="center"/>
              <w:rPr>
                <w:rFonts w:ascii="Arial" w:hAnsi="Arial" w:cs="Arial"/>
                <w:b/>
                <w:sz w:val="20"/>
                <w:szCs w:val="20"/>
              </w:rPr>
            </w:pPr>
            <w:r w:rsidRPr="00B83999">
              <w:rPr>
                <w:rFonts w:ascii="Arial" w:hAnsi="Arial" w:cs="Arial"/>
                <w:b/>
                <w:sz w:val="20"/>
                <w:szCs w:val="20"/>
              </w:rPr>
              <w:t>Description</w:t>
            </w:r>
          </w:p>
        </w:tc>
        <w:tc>
          <w:tcPr>
            <w:tcW w:w="682" w:type="pct"/>
            <w:shd w:val="clear" w:color="auto" w:fill="D9D9D9" w:themeFill="background1" w:themeFillShade="D9"/>
            <w:vAlign w:val="center"/>
          </w:tcPr>
          <w:p w:rsidR="00A95A8F" w:rsidRPr="00B83999" w:rsidRDefault="00A95A8F" w:rsidP="006C4973">
            <w:pPr>
              <w:jc w:val="center"/>
              <w:rPr>
                <w:rFonts w:ascii="Arial" w:hAnsi="Arial" w:cs="Arial"/>
                <w:b/>
                <w:sz w:val="20"/>
                <w:szCs w:val="20"/>
              </w:rPr>
            </w:pPr>
            <w:r w:rsidRPr="00B83999">
              <w:rPr>
                <w:rFonts w:ascii="Arial" w:hAnsi="Arial" w:cs="Arial"/>
                <w:b/>
                <w:sz w:val="20"/>
                <w:szCs w:val="20"/>
              </w:rPr>
              <w:t>Sector</w:t>
            </w:r>
          </w:p>
        </w:tc>
        <w:tc>
          <w:tcPr>
            <w:tcW w:w="852" w:type="pct"/>
            <w:shd w:val="clear" w:color="auto" w:fill="D9D9D9" w:themeFill="background1" w:themeFillShade="D9"/>
            <w:vAlign w:val="center"/>
          </w:tcPr>
          <w:p w:rsidR="00A95A8F" w:rsidRPr="00B83999" w:rsidRDefault="00A95A8F" w:rsidP="006C4973">
            <w:pPr>
              <w:jc w:val="center"/>
              <w:rPr>
                <w:rFonts w:ascii="Arial" w:hAnsi="Arial" w:cs="Arial"/>
                <w:b/>
                <w:sz w:val="20"/>
                <w:szCs w:val="20"/>
              </w:rPr>
            </w:pPr>
            <w:proofErr w:type="spellStart"/>
            <w:r w:rsidRPr="00B83999">
              <w:rPr>
                <w:rFonts w:ascii="Arial" w:hAnsi="Arial" w:cs="Arial"/>
                <w:b/>
                <w:sz w:val="20"/>
                <w:szCs w:val="20"/>
              </w:rPr>
              <w:t>BldgType</w:t>
            </w:r>
            <w:proofErr w:type="spellEnd"/>
          </w:p>
        </w:tc>
        <w:tc>
          <w:tcPr>
            <w:tcW w:w="705" w:type="pct"/>
            <w:shd w:val="clear" w:color="auto" w:fill="D9D9D9" w:themeFill="background1" w:themeFillShade="D9"/>
            <w:vAlign w:val="center"/>
          </w:tcPr>
          <w:p w:rsidR="00A95A8F" w:rsidRPr="00B83999" w:rsidRDefault="00A95A8F" w:rsidP="006C4973">
            <w:pPr>
              <w:jc w:val="center"/>
              <w:rPr>
                <w:rFonts w:ascii="Arial" w:hAnsi="Arial" w:cs="Arial"/>
                <w:b/>
                <w:sz w:val="20"/>
                <w:szCs w:val="20"/>
              </w:rPr>
            </w:pPr>
            <w:proofErr w:type="spellStart"/>
            <w:r w:rsidRPr="00B83999">
              <w:rPr>
                <w:rFonts w:ascii="Arial" w:hAnsi="Arial" w:cs="Arial"/>
                <w:b/>
                <w:sz w:val="20"/>
                <w:szCs w:val="20"/>
              </w:rPr>
              <w:t>ProgDelivID</w:t>
            </w:r>
            <w:proofErr w:type="spellEnd"/>
          </w:p>
        </w:tc>
        <w:tc>
          <w:tcPr>
            <w:tcW w:w="647" w:type="pct"/>
            <w:shd w:val="clear" w:color="auto" w:fill="D9D9D9" w:themeFill="background1" w:themeFillShade="D9"/>
            <w:vAlign w:val="center"/>
          </w:tcPr>
          <w:p w:rsidR="00A95A8F" w:rsidRPr="00B83999" w:rsidRDefault="00A95A8F" w:rsidP="006C4973">
            <w:pPr>
              <w:jc w:val="center"/>
              <w:rPr>
                <w:rFonts w:ascii="Arial" w:hAnsi="Arial" w:cs="Arial"/>
                <w:b/>
                <w:sz w:val="20"/>
                <w:szCs w:val="20"/>
              </w:rPr>
            </w:pPr>
            <w:proofErr w:type="spellStart"/>
            <w:r w:rsidRPr="00B83999">
              <w:rPr>
                <w:rFonts w:ascii="Arial" w:hAnsi="Arial" w:cs="Arial"/>
                <w:b/>
                <w:sz w:val="20"/>
                <w:szCs w:val="20"/>
              </w:rPr>
              <w:t>GSIAValue</w:t>
            </w:r>
            <w:proofErr w:type="spellEnd"/>
          </w:p>
        </w:tc>
      </w:tr>
      <w:tr w:rsidR="00A95A8F" w:rsidRPr="00B83999" w:rsidTr="006C4973">
        <w:tc>
          <w:tcPr>
            <w:tcW w:w="716" w:type="pct"/>
            <w:shd w:val="clear" w:color="auto" w:fill="auto"/>
            <w:vAlign w:val="center"/>
          </w:tcPr>
          <w:p w:rsidR="00A95A8F" w:rsidRPr="00B83999" w:rsidRDefault="00A95A8F" w:rsidP="00A95A8F">
            <w:pPr>
              <w:jc w:val="center"/>
              <w:rPr>
                <w:rFonts w:ascii="Arial" w:hAnsi="Arial" w:cs="Arial"/>
                <w:sz w:val="20"/>
                <w:szCs w:val="20"/>
              </w:rPr>
            </w:pPr>
            <w:r w:rsidRPr="00F9123C">
              <w:rPr>
                <w:rFonts w:ascii="Arial" w:hAnsi="Arial" w:cs="Arial"/>
                <w:sz w:val="20"/>
                <w:szCs w:val="20"/>
              </w:rPr>
              <w:t>Com-</w:t>
            </w:r>
            <w:proofErr w:type="spellStart"/>
            <w:r>
              <w:rPr>
                <w:rFonts w:ascii="Arial" w:hAnsi="Arial" w:cs="Arial"/>
                <w:sz w:val="20"/>
                <w:szCs w:val="20"/>
              </w:rPr>
              <w:t>HiBay</w:t>
            </w:r>
            <w:proofErr w:type="spellEnd"/>
            <w:r w:rsidRPr="00F9123C">
              <w:rPr>
                <w:rFonts w:ascii="Arial" w:hAnsi="Arial" w:cs="Arial"/>
                <w:sz w:val="20"/>
                <w:szCs w:val="20"/>
              </w:rPr>
              <w:t>-PGE</w:t>
            </w:r>
          </w:p>
        </w:tc>
        <w:tc>
          <w:tcPr>
            <w:tcW w:w="1398" w:type="pct"/>
            <w:shd w:val="clear" w:color="auto" w:fill="auto"/>
            <w:vAlign w:val="center"/>
          </w:tcPr>
          <w:p w:rsidR="00A95A8F" w:rsidRPr="00B83999" w:rsidRDefault="00A95A8F" w:rsidP="006C4973">
            <w:pPr>
              <w:jc w:val="center"/>
              <w:rPr>
                <w:rFonts w:ascii="Arial" w:hAnsi="Arial" w:cs="Arial"/>
                <w:sz w:val="20"/>
                <w:szCs w:val="20"/>
              </w:rPr>
            </w:pPr>
            <w:r w:rsidRPr="00A95A8F">
              <w:rPr>
                <w:rFonts w:ascii="Arial" w:hAnsi="Arial" w:cs="Arial"/>
                <w:sz w:val="20"/>
                <w:szCs w:val="20"/>
              </w:rPr>
              <w:t>Non-Res High-Bay; Annual Installation Rate</w:t>
            </w:r>
          </w:p>
        </w:tc>
        <w:tc>
          <w:tcPr>
            <w:tcW w:w="682" w:type="pct"/>
            <w:shd w:val="clear" w:color="auto" w:fill="auto"/>
            <w:vAlign w:val="center"/>
          </w:tcPr>
          <w:p w:rsidR="00A95A8F" w:rsidRPr="00B83999" w:rsidRDefault="00A95A8F" w:rsidP="006C4973">
            <w:pPr>
              <w:jc w:val="center"/>
              <w:rPr>
                <w:rFonts w:ascii="Arial" w:hAnsi="Arial" w:cs="Arial"/>
                <w:sz w:val="20"/>
                <w:szCs w:val="20"/>
              </w:rPr>
            </w:pPr>
            <w:r w:rsidRPr="00B83999">
              <w:rPr>
                <w:rFonts w:ascii="Arial" w:hAnsi="Arial" w:cs="Arial"/>
                <w:sz w:val="20"/>
                <w:szCs w:val="20"/>
              </w:rPr>
              <w:t>Com</w:t>
            </w:r>
          </w:p>
        </w:tc>
        <w:tc>
          <w:tcPr>
            <w:tcW w:w="852" w:type="pct"/>
            <w:shd w:val="clear" w:color="auto" w:fill="auto"/>
            <w:vAlign w:val="center"/>
          </w:tcPr>
          <w:p w:rsidR="00A95A8F" w:rsidRPr="00B83999" w:rsidRDefault="00A95A8F" w:rsidP="006C4973">
            <w:pPr>
              <w:jc w:val="center"/>
              <w:rPr>
                <w:rFonts w:ascii="Arial" w:hAnsi="Arial" w:cs="Arial"/>
                <w:sz w:val="20"/>
                <w:szCs w:val="20"/>
              </w:rPr>
            </w:pPr>
            <w:r w:rsidRPr="00B83999">
              <w:rPr>
                <w:rFonts w:ascii="Arial" w:hAnsi="Arial" w:cs="Arial"/>
                <w:sz w:val="20"/>
                <w:szCs w:val="20"/>
              </w:rPr>
              <w:t>Any</w:t>
            </w:r>
          </w:p>
        </w:tc>
        <w:tc>
          <w:tcPr>
            <w:tcW w:w="705" w:type="pct"/>
            <w:shd w:val="clear" w:color="auto" w:fill="auto"/>
            <w:vAlign w:val="center"/>
          </w:tcPr>
          <w:p w:rsidR="00A95A8F" w:rsidRPr="00B83999" w:rsidRDefault="00A95A8F" w:rsidP="006C4973">
            <w:pPr>
              <w:jc w:val="center"/>
              <w:rPr>
                <w:rFonts w:ascii="Arial" w:hAnsi="Arial" w:cs="Arial"/>
                <w:sz w:val="20"/>
                <w:szCs w:val="20"/>
              </w:rPr>
            </w:pPr>
            <w:proofErr w:type="spellStart"/>
            <w:r w:rsidRPr="00B83999">
              <w:rPr>
                <w:rFonts w:ascii="Arial" w:hAnsi="Arial" w:cs="Arial"/>
                <w:sz w:val="20"/>
                <w:szCs w:val="20"/>
              </w:rPr>
              <w:t>NonUpStrm</w:t>
            </w:r>
            <w:proofErr w:type="spellEnd"/>
          </w:p>
        </w:tc>
        <w:tc>
          <w:tcPr>
            <w:tcW w:w="647" w:type="pct"/>
            <w:shd w:val="clear" w:color="auto" w:fill="auto"/>
            <w:vAlign w:val="center"/>
          </w:tcPr>
          <w:p w:rsidR="00A95A8F" w:rsidRPr="00B83999" w:rsidRDefault="00A95A8F" w:rsidP="006C4973">
            <w:pPr>
              <w:jc w:val="center"/>
              <w:rPr>
                <w:rFonts w:ascii="Arial" w:hAnsi="Arial" w:cs="Arial"/>
                <w:sz w:val="20"/>
                <w:szCs w:val="20"/>
              </w:rPr>
            </w:pPr>
            <w:r>
              <w:rPr>
                <w:rFonts w:ascii="Arial" w:hAnsi="Arial" w:cs="Arial"/>
                <w:sz w:val="20"/>
                <w:szCs w:val="20"/>
              </w:rPr>
              <w:t>0.92</w:t>
            </w:r>
          </w:p>
        </w:tc>
      </w:tr>
    </w:tbl>
    <w:p w:rsidR="008F48E1" w:rsidRDefault="008F48E1" w:rsidP="00435C34">
      <w:pPr>
        <w:ind w:left="720"/>
        <w:rPr>
          <w:rFonts w:ascii="Arial" w:hAnsi="Arial" w:cs="Arial"/>
          <w:sz w:val="20"/>
          <w:szCs w:val="20"/>
        </w:rPr>
      </w:pPr>
    </w:p>
    <w:p w:rsidR="00DD2826" w:rsidRPr="00A95A8F" w:rsidRDefault="00DD2826" w:rsidP="009B1119">
      <w:pPr>
        <w:tabs>
          <w:tab w:val="left" w:pos="6435"/>
        </w:tabs>
        <w:rPr>
          <w:rFonts w:ascii="Arial" w:hAnsi="Arial" w:cs="Arial"/>
          <w:b/>
          <w:sz w:val="20"/>
          <w:szCs w:val="20"/>
        </w:rPr>
      </w:pPr>
    </w:p>
    <w:p w:rsidR="00DD2826" w:rsidRDefault="00DD2826" w:rsidP="009B1119">
      <w:pPr>
        <w:tabs>
          <w:tab w:val="left" w:pos="6435"/>
        </w:tabs>
        <w:rPr>
          <w:rFonts w:ascii="Arial" w:hAnsi="Arial" w:cs="Arial"/>
          <w:b/>
          <w:sz w:val="20"/>
          <w:szCs w:val="20"/>
          <w:u w:val="single"/>
        </w:rPr>
      </w:pPr>
      <w:r w:rsidRPr="00A95A8F">
        <w:rPr>
          <w:rFonts w:ascii="Arial" w:hAnsi="Arial" w:cs="Arial"/>
          <w:b/>
          <w:sz w:val="20"/>
          <w:szCs w:val="20"/>
        </w:rPr>
        <w:t>Effective Useful Life / Remaining Useful Life</w:t>
      </w:r>
    </w:p>
    <w:p w:rsidR="00DD2826" w:rsidRPr="00DD2826" w:rsidRDefault="00FD7446" w:rsidP="00DD2826">
      <w:pPr>
        <w:rPr>
          <w:rFonts w:ascii="Arial" w:hAnsi="Arial" w:cs="Arial"/>
          <w:sz w:val="20"/>
          <w:szCs w:val="20"/>
        </w:rPr>
      </w:pPr>
      <w:r>
        <w:rPr>
          <w:rFonts w:ascii="Arial" w:hAnsi="Arial" w:cs="Arial"/>
          <w:sz w:val="20"/>
          <w:szCs w:val="20"/>
        </w:rPr>
        <w:t>The rated life for these products is assumed to be 35,000 hours, the minimum DLC specification</w:t>
      </w:r>
      <w:r w:rsidR="00DD2826" w:rsidRPr="00DD2826">
        <w:rPr>
          <w:rFonts w:ascii="Arial" w:hAnsi="Arial" w:cs="Arial"/>
          <w:sz w:val="20"/>
          <w:szCs w:val="20"/>
        </w:rPr>
        <w:t xml:space="preserve">. </w:t>
      </w:r>
      <w:r>
        <w:rPr>
          <w:rFonts w:ascii="Arial" w:hAnsi="Arial" w:cs="Arial"/>
          <w:sz w:val="20"/>
          <w:szCs w:val="20"/>
        </w:rPr>
        <w:t>Rated life for DLC-listed products varies between 35,000 hours and 303,000 hours</w:t>
      </w:r>
      <w:r w:rsidR="00F62F79">
        <w:rPr>
          <w:rFonts w:ascii="Arial" w:hAnsi="Arial" w:cs="Arial"/>
          <w:sz w:val="20"/>
          <w:szCs w:val="20"/>
        </w:rPr>
        <w:t xml:space="preserve">. </w:t>
      </w:r>
      <w:r w:rsidR="00DD2826" w:rsidRPr="00DD2826">
        <w:rPr>
          <w:rFonts w:ascii="Arial" w:hAnsi="Arial" w:cs="Arial"/>
          <w:sz w:val="20"/>
          <w:szCs w:val="20"/>
        </w:rPr>
        <w:t xml:space="preserve">Since the EUL is dependent on the hours of operation, the EUL varies by building type. </w:t>
      </w:r>
    </w:p>
    <w:p w:rsidR="00DD2826" w:rsidRPr="00DD2826" w:rsidRDefault="00DD2826" w:rsidP="00DD2826">
      <w:pPr>
        <w:rPr>
          <w:rFonts w:ascii="Arial" w:hAnsi="Arial" w:cs="Arial"/>
          <w:sz w:val="20"/>
          <w:szCs w:val="20"/>
        </w:rPr>
      </w:pPr>
    </w:p>
    <w:p w:rsidR="00DD2826" w:rsidRPr="00DD2826" w:rsidRDefault="00DD2826" w:rsidP="00DD2826">
      <w:pPr>
        <w:rPr>
          <w:rFonts w:ascii="Arial" w:hAnsi="Arial" w:cs="Arial"/>
          <w:sz w:val="20"/>
          <w:szCs w:val="20"/>
        </w:rPr>
      </w:pPr>
      <w:r w:rsidRPr="00DD2826">
        <w:rPr>
          <w:rFonts w:ascii="Arial" w:hAnsi="Arial" w:cs="Arial"/>
          <w:sz w:val="20"/>
          <w:szCs w:val="20"/>
        </w:rPr>
        <w:t xml:space="preserve">The EUL is based on </w:t>
      </w:r>
      <w:r w:rsidR="00FD7446">
        <w:rPr>
          <w:rFonts w:ascii="Arial" w:hAnsi="Arial" w:cs="Arial"/>
          <w:sz w:val="20"/>
          <w:szCs w:val="20"/>
        </w:rPr>
        <w:t>3</w:t>
      </w:r>
      <w:r w:rsidR="006C2F62">
        <w:rPr>
          <w:rFonts w:ascii="Arial" w:hAnsi="Arial" w:cs="Arial"/>
          <w:sz w:val="20"/>
          <w:szCs w:val="20"/>
        </w:rPr>
        <w:t>5,000</w:t>
      </w:r>
      <w:r w:rsidR="00FD7446">
        <w:rPr>
          <w:rFonts w:ascii="Arial" w:hAnsi="Arial" w:cs="Arial"/>
          <w:sz w:val="20"/>
          <w:szCs w:val="20"/>
        </w:rPr>
        <w:t xml:space="preserve"> hours rated fixture</w:t>
      </w:r>
      <w:r w:rsidRPr="00DD2826">
        <w:rPr>
          <w:rFonts w:ascii="Arial" w:hAnsi="Arial" w:cs="Arial"/>
          <w:sz w:val="20"/>
          <w:szCs w:val="20"/>
        </w:rPr>
        <w:t xml:space="preserve"> life divided by average annual hours of operation for each building type:</w:t>
      </w:r>
    </w:p>
    <w:p w:rsidR="00DD2826" w:rsidRPr="00DD2826" w:rsidRDefault="00DD2826" w:rsidP="00DD2826">
      <w:pPr>
        <w:rPr>
          <w:rFonts w:ascii="Arial" w:hAnsi="Arial" w:cs="Arial"/>
          <w:sz w:val="20"/>
          <w:szCs w:val="20"/>
        </w:rPr>
      </w:pPr>
    </w:p>
    <w:p w:rsidR="00DD2826" w:rsidRDefault="00DD2826" w:rsidP="00DD2826">
      <w:pPr>
        <w:rPr>
          <w:rFonts w:ascii="Arial" w:hAnsi="Arial" w:cs="Arial"/>
          <w:sz w:val="20"/>
          <w:szCs w:val="20"/>
        </w:rPr>
      </w:pPr>
      <w:r w:rsidRPr="00DD2826">
        <w:rPr>
          <w:rFonts w:ascii="Arial" w:hAnsi="Arial" w:cs="Arial"/>
          <w:sz w:val="20"/>
          <w:szCs w:val="20"/>
        </w:rPr>
        <w:tab/>
        <w:t>EUL = (</w:t>
      </w:r>
      <w:r w:rsidR="00DD12F1">
        <w:rPr>
          <w:rFonts w:ascii="Arial" w:hAnsi="Arial" w:cs="Arial"/>
          <w:sz w:val="20"/>
          <w:szCs w:val="20"/>
        </w:rPr>
        <w:t>DLC-Minimum Fixture</w:t>
      </w:r>
      <w:r w:rsidRPr="00DD2826">
        <w:rPr>
          <w:rFonts w:ascii="Arial" w:hAnsi="Arial" w:cs="Arial"/>
          <w:sz w:val="20"/>
          <w:szCs w:val="20"/>
        </w:rPr>
        <w:t xml:space="preserve"> Life (hours)) / (Average Operating Hours </w:t>
      </w:r>
      <w:proofErr w:type="gramStart"/>
      <w:r w:rsidRPr="00DD2826">
        <w:rPr>
          <w:rFonts w:ascii="Arial" w:hAnsi="Arial" w:cs="Arial"/>
          <w:sz w:val="20"/>
          <w:szCs w:val="20"/>
        </w:rPr>
        <w:t>Per</w:t>
      </w:r>
      <w:proofErr w:type="gramEnd"/>
      <w:r w:rsidRPr="00DD2826">
        <w:rPr>
          <w:rFonts w:ascii="Arial" w:hAnsi="Arial" w:cs="Arial"/>
          <w:sz w:val="20"/>
          <w:szCs w:val="20"/>
        </w:rPr>
        <w:t xml:space="preserve"> Year)</w:t>
      </w:r>
    </w:p>
    <w:p w:rsidR="00A95A8F" w:rsidRPr="00C61FFE" w:rsidRDefault="00A95A8F" w:rsidP="00DD2826">
      <w:pPr>
        <w:rPr>
          <w:rFonts w:ascii="Arial" w:hAnsi="Arial" w:cs="Arial"/>
          <w:sz w:val="20"/>
          <w:szCs w:val="20"/>
        </w:rPr>
      </w:pPr>
    </w:p>
    <w:p w:rsidR="00A95A8F" w:rsidRDefault="00A95A8F" w:rsidP="00A95A8F">
      <w:pPr>
        <w:pStyle w:val="Caption"/>
        <w:keepNext/>
        <w:jc w:val="center"/>
      </w:pPr>
      <w:bookmarkStart w:id="29" w:name="_Toc438562581"/>
      <w:r>
        <w:t xml:space="preserve">Table </w:t>
      </w:r>
      <w:r w:rsidR="001A450C">
        <w:fldChar w:fldCharType="begin"/>
      </w:r>
      <w:r w:rsidR="001A450C">
        <w:instrText xml:space="preserve"> SEQ Table \* ARABIC </w:instrText>
      </w:r>
      <w:r w:rsidR="001A450C">
        <w:fldChar w:fldCharType="separate"/>
      </w:r>
      <w:r>
        <w:rPr>
          <w:noProof/>
        </w:rPr>
        <w:t>6</w:t>
      </w:r>
      <w:r w:rsidR="001A450C">
        <w:rPr>
          <w:noProof/>
        </w:rPr>
        <w:fldChar w:fldCharType="end"/>
      </w:r>
      <w:r>
        <w:t xml:space="preserve"> Effective Useful Life/Remaining Useful Life</w:t>
      </w:r>
      <w:bookmarkEnd w:id="29"/>
    </w:p>
    <w:tbl>
      <w:tblPr>
        <w:tblStyle w:val="TableGrid1"/>
        <w:tblW w:w="5000" w:type="pct"/>
        <w:tblLook w:val="04A0" w:firstRow="1" w:lastRow="0" w:firstColumn="1" w:lastColumn="0" w:noHBand="0" w:noVBand="1"/>
      </w:tblPr>
      <w:tblGrid>
        <w:gridCol w:w="1552"/>
        <w:gridCol w:w="3828"/>
        <w:gridCol w:w="879"/>
        <w:gridCol w:w="1450"/>
        <w:gridCol w:w="969"/>
        <w:gridCol w:w="898"/>
      </w:tblGrid>
      <w:tr w:rsidR="00A95A8F" w:rsidRPr="0099358A" w:rsidTr="006C4973">
        <w:tc>
          <w:tcPr>
            <w:tcW w:w="810" w:type="pct"/>
            <w:shd w:val="clear" w:color="auto" w:fill="D9D9D9" w:themeFill="background1" w:themeFillShade="D9"/>
            <w:vAlign w:val="center"/>
          </w:tcPr>
          <w:p w:rsidR="00A95A8F" w:rsidRPr="0099358A" w:rsidRDefault="00A95A8F" w:rsidP="006C4973">
            <w:pPr>
              <w:jc w:val="center"/>
              <w:rPr>
                <w:rFonts w:ascii="Arial" w:hAnsi="Arial" w:cs="Arial"/>
                <w:b/>
                <w:sz w:val="20"/>
                <w:szCs w:val="20"/>
              </w:rPr>
            </w:pPr>
            <w:r w:rsidRPr="0099358A">
              <w:rPr>
                <w:rFonts w:ascii="Arial" w:hAnsi="Arial" w:cs="Arial"/>
                <w:b/>
                <w:sz w:val="20"/>
                <w:szCs w:val="20"/>
              </w:rPr>
              <w:t>EUL ID</w:t>
            </w:r>
          </w:p>
        </w:tc>
        <w:tc>
          <w:tcPr>
            <w:tcW w:w="1999" w:type="pct"/>
            <w:shd w:val="clear" w:color="auto" w:fill="D9D9D9" w:themeFill="background1" w:themeFillShade="D9"/>
            <w:vAlign w:val="center"/>
          </w:tcPr>
          <w:p w:rsidR="00A95A8F" w:rsidRPr="0099358A" w:rsidRDefault="00A95A8F" w:rsidP="006C4973">
            <w:pPr>
              <w:jc w:val="center"/>
              <w:rPr>
                <w:rFonts w:ascii="Arial" w:hAnsi="Arial" w:cs="Arial"/>
                <w:b/>
                <w:sz w:val="20"/>
                <w:szCs w:val="20"/>
              </w:rPr>
            </w:pPr>
            <w:r w:rsidRPr="0099358A">
              <w:rPr>
                <w:rFonts w:ascii="Arial" w:hAnsi="Arial" w:cs="Arial"/>
                <w:b/>
                <w:sz w:val="20"/>
                <w:szCs w:val="20"/>
              </w:rPr>
              <w:t>Description</w:t>
            </w:r>
          </w:p>
        </w:tc>
        <w:tc>
          <w:tcPr>
            <w:tcW w:w="459" w:type="pct"/>
            <w:shd w:val="clear" w:color="auto" w:fill="D9D9D9" w:themeFill="background1" w:themeFillShade="D9"/>
            <w:vAlign w:val="center"/>
          </w:tcPr>
          <w:p w:rsidR="00A95A8F" w:rsidRPr="0099358A" w:rsidRDefault="00A95A8F" w:rsidP="006C4973">
            <w:pPr>
              <w:jc w:val="center"/>
              <w:rPr>
                <w:rFonts w:ascii="Arial" w:hAnsi="Arial" w:cs="Arial"/>
                <w:b/>
                <w:sz w:val="20"/>
                <w:szCs w:val="20"/>
              </w:rPr>
            </w:pPr>
            <w:r w:rsidRPr="0099358A">
              <w:rPr>
                <w:rFonts w:ascii="Arial" w:hAnsi="Arial" w:cs="Arial"/>
                <w:b/>
                <w:sz w:val="20"/>
                <w:szCs w:val="20"/>
              </w:rPr>
              <w:t>Sector</w:t>
            </w:r>
          </w:p>
        </w:tc>
        <w:tc>
          <w:tcPr>
            <w:tcW w:w="757" w:type="pct"/>
            <w:shd w:val="clear" w:color="auto" w:fill="D9D9D9" w:themeFill="background1" w:themeFillShade="D9"/>
            <w:vAlign w:val="center"/>
          </w:tcPr>
          <w:p w:rsidR="00A95A8F" w:rsidRPr="0099358A" w:rsidRDefault="00A95A8F" w:rsidP="006C4973">
            <w:pPr>
              <w:jc w:val="center"/>
              <w:rPr>
                <w:rFonts w:ascii="Arial" w:hAnsi="Arial" w:cs="Arial"/>
                <w:b/>
                <w:sz w:val="20"/>
                <w:szCs w:val="20"/>
              </w:rPr>
            </w:pPr>
            <w:proofErr w:type="spellStart"/>
            <w:r w:rsidRPr="0099358A">
              <w:rPr>
                <w:rFonts w:ascii="Arial" w:hAnsi="Arial" w:cs="Arial"/>
                <w:b/>
                <w:sz w:val="20"/>
                <w:szCs w:val="20"/>
              </w:rPr>
              <w:t>UseCategory</w:t>
            </w:r>
            <w:proofErr w:type="spellEnd"/>
          </w:p>
        </w:tc>
        <w:tc>
          <w:tcPr>
            <w:tcW w:w="506" w:type="pct"/>
            <w:shd w:val="clear" w:color="auto" w:fill="D9D9D9" w:themeFill="background1" w:themeFillShade="D9"/>
            <w:vAlign w:val="center"/>
          </w:tcPr>
          <w:p w:rsidR="00A95A8F" w:rsidRPr="0099358A" w:rsidRDefault="00A95A8F" w:rsidP="006C4973">
            <w:pPr>
              <w:jc w:val="center"/>
              <w:rPr>
                <w:rFonts w:ascii="Arial" w:hAnsi="Arial" w:cs="Arial"/>
                <w:b/>
                <w:sz w:val="20"/>
                <w:szCs w:val="20"/>
              </w:rPr>
            </w:pPr>
            <w:r w:rsidRPr="0099358A">
              <w:rPr>
                <w:rFonts w:ascii="Arial" w:hAnsi="Arial" w:cs="Arial"/>
                <w:b/>
                <w:sz w:val="20"/>
                <w:szCs w:val="20"/>
              </w:rPr>
              <w:t>EUL (Years)</w:t>
            </w:r>
          </w:p>
        </w:tc>
        <w:tc>
          <w:tcPr>
            <w:tcW w:w="469" w:type="pct"/>
            <w:shd w:val="clear" w:color="auto" w:fill="D9D9D9" w:themeFill="background1" w:themeFillShade="D9"/>
            <w:vAlign w:val="center"/>
          </w:tcPr>
          <w:p w:rsidR="00A95A8F" w:rsidRPr="0099358A" w:rsidRDefault="00A95A8F" w:rsidP="006C4973">
            <w:pPr>
              <w:jc w:val="center"/>
              <w:rPr>
                <w:rFonts w:ascii="Arial" w:hAnsi="Arial" w:cs="Arial"/>
                <w:b/>
                <w:sz w:val="20"/>
                <w:szCs w:val="20"/>
              </w:rPr>
            </w:pPr>
            <w:r w:rsidRPr="0099358A">
              <w:rPr>
                <w:rFonts w:ascii="Arial" w:hAnsi="Arial" w:cs="Arial"/>
                <w:b/>
                <w:sz w:val="20"/>
                <w:szCs w:val="20"/>
              </w:rPr>
              <w:t>RUL (Years)</w:t>
            </w:r>
          </w:p>
        </w:tc>
      </w:tr>
      <w:tr w:rsidR="00A95A8F" w:rsidRPr="0099358A" w:rsidTr="006C4973">
        <w:trPr>
          <w:trHeight w:val="243"/>
        </w:trPr>
        <w:tc>
          <w:tcPr>
            <w:tcW w:w="810" w:type="pct"/>
            <w:vAlign w:val="center"/>
          </w:tcPr>
          <w:p w:rsidR="00A95A8F" w:rsidRPr="0099358A" w:rsidRDefault="00A95A8F" w:rsidP="006C4973">
            <w:pPr>
              <w:jc w:val="center"/>
              <w:rPr>
                <w:rFonts w:ascii="Arial" w:hAnsi="Arial" w:cs="Arial"/>
                <w:sz w:val="20"/>
                <w:szCs w:val="20"/>
              </w:rPr>
            </w:pPr>
            <w:r w:rsidRPr="00A95A8F">
              <w:rPr>
                <w:rFonts w:ascii="Arial" w:hAnsi="Arial" w:cs="Arial"/>
                <w:sz w:val="20"/>
                <w:szCs w:val="20"/>
              </w:rPr>
              <w:t>ILtg-Com-LED-50000hr</w:t>
            </w:r>
          </w:p>
        </w:tc>
        <w:tc>
          <w:tcPr>
            <w:tcW w:w="1999" w:type="pct"/>
            <w:vAlign w:val="center"/>
          </w:tcPr>
          <w:p w:rsidR="00A95A8F" w:rsidRPr="0099358A" w:rsidRDefault="00A95A8F" w:rsidP="006C4973">
            <w:pPr>
              <w:jc w:val="center"/>
              <w:rPr>
                <w:rFonts w:ascii="Arial" w:hAnsi="Arial" w:cs="Arial"/>
                <w:sz w:val="20"/>
                <w:szCs w:val="20"/>
              </w:rPr>
            </w:pPr>
            <w:r w:rsidRPr="00A95A8F">
              <w:rPr>
                <w:rFonts w:ascii="Arial" w:hAnsi="Arial" w:cs="Arial"/>
                <w:sz w:val="20"/>
                <w:szCs w:val="20"/>
              </w:rPr>
              <w:t xml:space="preserve">LED Fixture - Indoor </w:t>
            </w:r>
            <w:r>
              <w:rPr>
                <w:rFonts w:ascii="Arial" w:hAnsi="Arial" w:cs="Arial"/>
                <w:sz w:val="20"/>
                <w:szCs w:val="20"/>
              </w:rPr>
              <w:t>–</w:t>
            </w:r>
            <w:r w:rsidRPr="00A95A8F">
              <w:rPr>
                <w:rFonts w:ascii="Arial" w:hAnsi="Arial" w:cs="Arial"/>
                <w:sz w:val="20"/>
                <w:szCs w:val="20"/>
              </w:rPr>
              <w:t xml:space="preserve"> Commercial</w:t>
            </w:r>
          </w:p>
        </w:tc>
        <w:tc>
          <w:tcPr>
            <w:tcW w:w="459" w:type="pct"/>
            <w:vAlign w:val="center"/>
          </w:tcPr>
          <w:p w:rsidR="00A95A8F" w:rsidRPr="0099358A" w:rsidRDefault="00A95A8F" w:rsidP="006C4973">
            <w:pPr>
              <w:jc w:val="center"/>
              <w:rPr>
                <w:rFonts w:ascii="Arial" w:hAnsi="Arial" w:cs="Arial"/>
                <w:sz w:val="20"/>
                <w:szCs w:val="20"/>
              </w:rPr>
            </w:pPr>
            <w:r>
              <w:rPr>
                <w:rFonts w:ascii="Arial" w:hAnsi="Arial" w:cs="Arial"/>
                <w:sz w:val="20"/>
                <w:szCs w:val="20"/>
              </w:rPr>
              <w:t>Com</w:t>
            </w:r>
          </w:p>
        </w:tc>
        <w:tc>
          <w:tcPr>
            <w:tcW w:w="757" w:type="pct"/>
            <w:vAlign w:val="center"/>
          </w:tcPr>
          <w:p w:rsidR="00A95A8F" w:rsidRPr="0099358A" w:rsidRDefault="00A95A8F" w:rsidP="006C4973">
            <w:pPr>
              <w:jc w:val="center"/>
              <w:rPr>
                <w:rFonts w:ascii="Arial" w:hAnsi="Arial" w:cs="Arial"/>
                <w:sz w:val="20"/>
                <w:szCs w:val="20"/>
              </w:rPr>
            </w:pPr>
            <w:r w:rsidRPr="0099358A">
              <w:rPr>
                <w:rFonts w:ascii="Arial" w:hAnsi="Arial" w:cs="Arial"/>
                <w:sz w:val="20"/>
                <w:szCs w:val="20"/>
              </w:rPr>
              <w:t>Lighting</w:t>
            </w:r>
          </w:p>
        </w:tc>
        <w:tc>
          <w:tcPr>
            <w:tcW w:w="506" w:type="pct"/>
            <w:vAlign w:val="center"/>
          </w:tcPr>
          <w:p w:rsidR="00A95A8F" w:rsidRPr="0099358A" w:rsidRDefault="00A95A8F" w:rsidP="006C4973">
            <w:pPr>
              <w:jc w:val="center"/>
              <w:rPr>
                <w:rFonts w:ascii="Arial" w:hAnsi="Arial" w:cs="Arial"/>
                <w:sz w:val="20"/>
                <w:szCs w:val="20"/>
              </w:rPr>
            </w:pPr>
            <w:r>
              <w:rPr>
                <w:rFonts w:ascii="Arial" w:hAnsi="Arial" w:cs="Arial"/>
                <w:sz w:val="20"/>
                <w:szCs w:val="20"/>
              </w:rPr>
              <w:t>12</w:t>
            </w:r>
          </w:p>
        </w:tc>
        <w:tc>
          <w:tcPr>
            <w:tcW w:w="469" w:type="pct"/>
            <w:vAlign w:val="center"/>
          </w:tcPr>
          <w:p w:rsidR="00A95A8F" w:rsidRPr="0099358A" w:rsidRDefault="00A95A8F" w:rsidP="006C4973">
            <w:pPr>
              <w:jc w:val="center"/>
              <w:rPr>
                <w:rFonts w:ascii="Arial" w:hAnsi="Arial" w:cs="Arial"/>
                <w:sz w:val="20"/>
                <w:szCs w:val="20"/>
              </w:rPr>
            </w:pPr>
            <w:r>
              <w:rPr>
                <w:rFonts w:ascii="Arial" w:hAnsi="Arial" w:cs="Arial"/>
                <w:sz w:val="20"/>
                <w:szCs w:val="20"/>
              </w:rPr>
              <w:t>4</w:t>
            </w:r>
          </w:p>
        </w:tc>
      </w:tr>
    </w:tbl>
    <w:p w:rsidR="002E0043" w:rsidRPr="002E0043" w:rsidRDefault="001248A3" w:rsidP="002E0043">
      <w:pPr>
        <w:pStyle w:val="Heading2"/>
      </w:pPr>
      <w:bookmarkStart w:id="30" w:name="_Toc438562593"/>
      <w:r>
        <w:lastRenderedPageBreak/>
        <w:t>1.</w:t>
      </w:r>
      <w:r w:rsidR="00FA595F">
        <w:t>4</w:t>
      </w:r>
      <w:r w:rsidR="00793646">
        <w:t>.2</w:t>
      </w:r>
      <w:r w:rsidR="00FA595F">
        <w:t xml:space="preserve"> </w:t>
      </w:r>
      <w:r w:rsidR="00E71EF1" w:rsidRPr="001248A3">
        <w:t xml:space="preserve">Codes &amp; Standards Requirements </w:t>
      </w:r>
      <w:r w:rsidR="009C5CA7">
        <w:t>Base Case and Measure Information</w:t>
      </w:r>
      <w:bookmarkEnd w:id="30"/>
    </w:p>
    <w:p w:rsidR="00640BB6" w:rsidRPr="00B13099" w:rsidRDefault="00EE53FF" w:rsidP="00B13099">
      <w:pPr>
        <w:rPr>
          <w:rFonts w:ascii="Arial" w:hAnsi="Arial" w:cs="Arial"/>
          <w:i/>
          <w:sz w:val="20"/>
          <w:szCs w:val="20"/>
        </w:rPr>
      </w:pPr>
      <w:r w:rsidRPr="00B13099">
        <w:rPr>
          <w:rFonts w:ascii="Arial" w:hAnsi="Arial" w:cs="Arial"/>
          <w:b/>
          <w:i/>
        </w:rPr>
        <w:t>Title 20:</w:t>
      </w:r>
      <w:r w:rsidRPr="00B13099">
        <w:rPr>
          <w:rFonts w:ascii="Arial" w:hAnsi="Arial" w:cs="Arial"/>
        </w:rPr>
        <w:t xml:space="preserve"> </w:t>
      </w:r>
      <w:r w:rsidR="00B13099" w:rsidRPr="00B13099">
        <w:rPr>
          <w:rFonts w:ascii="Arial" w:hAnsi="Arial" w:cs="Arial"/>
          <w:sz w:val="20"/>
          <w:szCs w:val="20"/>
        </w:rPr>
        <w:t>Th</w:t>
      </w:r>
      <w:r w:rsidRPr="00B13099">
        <w:rPr>
          <w:rFonts w:ascii="Arial" w:hAnsi="Arial" w:cs="Arial"/>
          <w:sz w:val="20"/>
          <w:szCs w:val="20"/>
        </w:rPr>
        <w:t>ese measures do not fall under Title 20 of the California Energy Regulations.</w:t>
      </w:r>
      <w:r w:rsidR="00476B67">
        <w:rPr>
          <w:rFonts w:ascii="Arial" w:hAnsi="Arial" w:cs="Arial"/>
          <w:sz w:val="20"/>
          <w:szCs w:val="20"/>
        </w:rPr>
        <w:t xml:space="preserve"> </w:t>
      </w:r>
    </w:p>
    <w:p w:rsidR="00EE53FF" w:rsidRPr="00B13099" w:rsidRDefault="00EE53FF" w:rsidP="00B13099">
      <w:pPr>
        <w:rPr>
          <w:i/>
        </w:rPr>
      </w:pPr>
      <w:r w:rsidRPr="00B13099">
        <w:rPr>
          <w:rFonts w:ascii="Arial" w:hAnsi="Arial" w:cs="Arial"/>
          <w:b/>
          <w:i/>
        </w:rPr>
        <w:t>Title 24:</w:t>
      </w:r>
      <w:r w:rsidRPr="00B13099">
        <w:t xml:space="preserve"> </w:t>
      </w:r>
      <w:r w:rsidR="00B13099" w:rsidRPr="00B13099">
        <w:rPr>
          <w:rFonts w:ascii="Arial" w:hAnsi="Arial" w:cs="Arial"/>
          <w:sz w:val="20"/>
          <w:szCs w:val="20"/>
        </w:rPr>
        <w:t xml:space="preserve">These measures do not fall </w:t>
      </w:r>
      <w:r w:rsidRPr="00B13099">
        <w:rPr>
          <w:rFonts w:ascii="Arial" w:hAnsi="Arial" w:cs="Arial"/>
          <w:sz w:val="20"/>
          <w:szCs w:val="20"/>
        </w:rPr>
        <w:t>under Title 24 of the California Energy Regulations.</w:t>
      </w:r>
      <w:r w:rsidR="00476B67">
        <w:rPr>
          <w:rFonts w:ascii="Arial" w:hAnsi="Arial" w:cs="Arial"/>
          <w:sz w:val="20"/>
          <w:szCs w:val="20"/>
        </w:rPr>
        <w:t xml:space="preserve"> </w:t>
      </w:r>
    </w:p>
    <w:p w:rsidR="001231EA" w:rsidRPr="001231EA" w:rsidRDefault="00EE53FF" w:rsidP="001231EA">
      <w:pPr>
        <w:rPr>
          <w:rFonts w:ascii="Arial" w:hAnsi="Arial" w:cs="Arial"/>
          <w:sz w:val="20"/>
          <w:szCs w:val="20"/>
        </w:rPr>
      </w:pPr>
      <w:r w:rsidRPr="00B13099">
        <w:rPr>
          <w:rFonts w:ascii="Arial" w:hAnsi="Arial" w:cs="Arial"/>
          <w:b/>
          <w:i/>
        </w:rPr>
        <w:t>Federal Standards:</w:t>
      </w:r>
      <w:r w:rsidRPr="00B13099">
        <w:t xml:space="preserve"> </w:t>
      </w:r>
      <w:r w:rsidR="00B13099" w:rsidRPr="00B13099">
        <w:rPr>
          <w:rFonts w:ascii="Arial" w:hAnsi="Arial" w:cs="Arial"/>
          <w:sz w:val="20"/>
          <w:szCs w:val="20"/>
        </w:rPr>
        <w:t>These measure</w:t>
      </w:r>
      <w:r w:rsidR="001231EA">
        <w:rPr>
          <w:rFonts w:ascii="Arial" w:hAnsi="Arial" w:cs="Arial"/>
          <w:sz w:val="20"/>
          <w:szCs w:val="20"/>
        </w:rPr>
        <w:t xml:space="preserve"> case fixture</w:t>
      </w:r>
      <w:r w:rsidR="00B13099" w:rsidRPr="00B13099">
        <w:rPr>
          <w:rFonts w:ascii="Arial" w:hAnsi="Arial" w:cs="Arial"/>
          <w:sz w:val="20"/>
          <w:szCs w:val="20"/>
        </w:rPr>
        <w:t xml:space="preserve">s do not fall </w:t>
      </w:r>
      <w:r w:rsidRPr="00B13099">
        <w:rPr>
          <w:rFonts w:ascii="Arial" w:hAnsi="Arial" w:cs="Arial"/>
          <w:sz w:val="20"/>
          <w:szCs w:val="20"/>
        </w:rPr>
        <w:t>under Federal DOE or EPA Energy Regulations.</w:t>
      </w:r>
      <w:r w:rsidR="001231EA" w:rsidRPr="001231EA">
        <w:rPr>
          <w:rFonts w:ascii="Arial" w:hAnsi="Arial" w:cs="Arial"/>
          <w:sz w:val="20"/>
          <w:szCs w:val="20"/>
        </w:rPr>
        <w:t xml:space="preserve"> As amended by EISA 2007, EPCA regulates metal halide lamp fixtures designed to be operated with lamps rated greater than or equal to 150 watts (W), but less than or equal to 500 W, by prescribing performance requirements for the metal halide ballasts used in those metal halide lamp fixtures.</w:t>
      </w:r>
      <w:r w:rsidR="00F7225A">
        <w:rPr>
          <w:rStyle w:val="EndnoteReference"/>
          <w:rFonts w:ascii="Arial" w:hAnsi="Arial" w:cs="Arial"/>
          <w:sz w:val="20"/>
          <w:szCs w:val="20"/>
        </w:rPr>
        <w:endnoteReference w:id="2"/>
      </w:r>
      <w:r w:rsidR="001231EA" w:rsidRPr="001231EA">
        <w:rPr>
          <w:rFonts w:ascii="Arial" w:hAnsi="Arial" w:cs="Arial"/>
          <w:sz w:val="20"/>
          <w:szCs w:val="20"/>
        </w:rPr>
        <w:t xml:space="preserve"> Both metal halide lamps and ballasts are energy-using components of metal halide lamp fixtures. For this MH lamp wattage range, metal halide lamp fixtures must contain the following:  </w:t>
      </w:r>
    </w:p>
    <w:p w:rsidR="001231EA" w:rsidRDefault="001231EA" w:rsidP="001231EA">
      <w:pPr>
        <w:pStyle w:val="ListParagraph"/>
        <w:numPr>
          <w:ilvl w:val="0"/>
          <w:numId w:val="25"/>
        </w:numPr>
        <w:rPr>
          <w:rFonts w:ascii="Arial" w:hAnsi="Arial" w:cs="Arial"/>
          <w:sz w:val="20"/>
          <w:szCs w:val="20"/>
        </w:rPr>
      </w:pPr>
      <w:r w:rsidRPr="001231EA">
        <w:rPr>
          <w:rFonts w:ascii="Arial" w:hAnsi="Arial" w:cs="Arial"/>
          <w:sz w:val="20"/>
          <w:szCs w:val="20"/>
        </w:rPr>
        <w:t xml:space="preserve">a pulse-start metal halide ballast with a minimum ballast efficiency of 88 percent; </w:t>
      </w:r>
    </w:p>
    <w:p w:rsidR="001231EA" w:rsidRDefault="001231EA" w:rsidP="001231EA">
      <w:pPr>
        <w:pStyle w:val="ListParagraph"/>
        <w:numPr>
          <w:ilvl w:val="0"/>
          <w:numId w:val="25"/>
        </w:numPr>
        <w:rPr>
          <w:rFonts w:ascii="Arial" w:hAnsi="Arial" w:cs="Arial"/>
          <w:sz w:val="20"/>
          <w:szCs w:val="20"/>
        </w:rPr>
      </w:pPr>
      <w:r w:rsidRPr="001231EA">
        <w:rPr>
          <w:rFonts w:ascii="Arial" w:hAnsi="Arial" w:cs="Arial"/>
          <w:sz w:val="20"/>
          <w:szCs w:val="20"/>
        </w:rPr>
        <w:t xml:space="preserve">a magnetic probe-start ballast with a minimum ballast efficiency of 94 percent; or </w:t>
      </w:r>
    </w:p>
    <w:p w:rsidR="001231EA" w:rsidRPr="001231EA" w:rsidRDefault="001231EA" w:rsidP="001231EA">
      <w:pPr>
        <w:pStyle w:val="ListParagraph"/>
        <w:numPr>
          <w:ilvl w:val="0"/>
          <w:numId w:val="25"/>
        </w:numPr>
        <w:rPr>
          <w:rFonts w:ascii="Arial" w:hAnsi="Arial" w:cs="Arial"/>
          <w:sz w:val="20"/>
          <w:szCs w:val="20"/>
        </w:rPr>
      </w:pPr>
      <w:r w:rsidRPr="001231EA">
        <w:rPr>
          <w:rFonts w:ascii="Arial" w:hAnsi="Arial" w:cs="Arial"/>
          <w:sz w:val="20"/>
          <w:szCs w:val="20"/>
        </w:rPr>
        <w:t xml:space="preserve">a </w:t>
      </w:r>
      <w:proofErr w:type="spellStart"/>
      <w:r w:rsidRPr="001231EA">
        <w:rPr>
          <w:rFonts w:ascii="Arial" w:hAnsi="Arial" w:cs="Arial"/>
          <w:sz w:val="20"/>
          <w:szCs w:val="20"/>
        </w:rPr>
        <w:t>nonpulse</w:t>
      </w:r>
      <w:proofErr w:type="spellEnd"/>
      <w:r w:rsidRPr="001231EA">
        <w:rPr>
          <w:rFonts w:ascii="Arial" w:hAnsi="Arial" w:cs="Arial"/>
          <w:sz w:val="20"/>
          <w:szCs w:val="20"/>
        </w:rPr>
        <w:t xml:space="preserve">-start electronic ballast with— </w:t>
      </w:r>
    </w:p>
    <w:p w:rsidR="001231EA" w:rsidRPr="00F7225A" w:rsidRDefault="001231EA" w:rsidP="00F7225A">
      <w:pPr>
        <w:pStyle w:val="ListParagraph"/>
        <w:numPr>
          <w:ilvl w:val="1"/>
          <w:numId w:val="25"/>
        </w:numPr>
        <w:rPr>
          <w:rFonts w:ascii="Arial" w:hAnsi="Arial" w:cs="Arial"/>
          <w:sz w:val="20"/>
          <w:szCs w:val="20"/>
        </w:rPr>
      </w:pPr>
      <w:r w:rsidRPr="00F7225A">
        <w:rPr>
          <w:rFonts w:ascii="Arial" w:hAnsi="Arial" w:cs="Arial"/>
          <w:sz w:val="20"/>
          <w:szCs w:val="20"/>
        </w:rPr>
        <w:t xml:space="preserve">a minimum ballast efficiency of 92 percent for wattages greater than 250 watts; and </w:t>
      </w:r>
    </w:p>
    <w:p w:rsidR="006F214B" w:rsidRPr="00F7225A" w:rsidRDefault="001231EA" w:rsidP="00F7225A">
      <w:pPr>
        <w:pStyle w:val="ListParagraph"/>
        <w:numPr>
          <w:ilvl w:val="1"/>
          <w:numId w:val="25"/>
        </w:numPr>
        <w:rPr>
          <w:rFonts w:ascii="Arial" w:hAnsi="Arial" w:cs="Arial"/>
          <w:b/>
          <w:sz w:val="20"/>
          <w:szCs w:val="20"/>
        </w:rPr>
      </w:pPr>
      <w:proofErr w:type="gramStart"/>
      <w:r w:rsidRPr="00F7225A">
        <w:rPr>
          <w:rFonts w:ascii="Arial" w:hAnsi="Arial" w:cs="Arial"/>
          <w:sz w:val="20"/>
          <w:szCs w:val="20"/>
        </w:rPr>
        <w:t>a</w:t>
      </w:r>
      <w:proofErr w:type="gramEnd"/>
      <w:r w:rsidRPr="00F7225A">
        <w:rPr>
          <w:rFonts w:ascii="Arial" w:hAnsi="Arial" w:cs="Arial"/>
          <w:sz w:val="20"/>
          <w:szCs w:val="20"/>
        </w:rPr>
        <w:t xml:space="preserve"> minimum ballast efficiency of 90 percent for wattages less than or equal to 250 watts.</w:t>
      </w:r>
    </w:p>
    <w:p w:rsidR="002E0043" w:rsidRDefault="001248A3" w:rsidP="002E0043">
      <w:pPr>
        <w:pStyle w:val="Heading2"/>
        <w:keepNext w:val="0"/>
      </w:pPr>
      <w:bookmarkStart w:id="31" w:name="_Toc438562594"/>
      <w:r w:rsidRPr="00F7225A">
        <w:t>1.4</w:t>
      </w:r>
      <w:r w:rsidR="00264B03" w:rsidRPr="00F7225A">
        <w:t>.3</w:t>
      </w:r>
      <w:r w:rsidR="00A02F0A" w:rsidRPr="00F7225A">
        <w:t xml:space="preserve"> </w:t>
      </w:r>
      <w:r w:rsidR="00C069A2" w:rsidRPr="00F7225A">
        <w:t>EM&amp;V</w:t>
      </w:r>
      <w:r w:rsidR="00755961" w:rsidRPr="00F7225A">
        <w:t xml:space="preserve">, Market </w:t>
      </w:r>
      <w:r w:rsidR="00755961">
        <w:t>Potential,</w:t>
      </w:r>
      <w:r w:rsidR="00C069A2" w:rsidRPr="001248A3">
        <w:t xml:space="preserve"> </w:t>
      </w:r>
      <w:r w:rsidR="0044337C">
        <w:t xml:space="preserve">and Other </w:t>
      </w:r>
      <w:r w:rsidR="00C069A2" w:rsidRPr="001248A3">
        <w:t>Studies</w:t>
      </w:r>
      <w:r w:rsidR="009C5CA7">
        <w:t xml:space="preserve"> – Base Case and Measure Case Information</w:t>
      </w:r>
      <w:bookmarkEnd w:id="31"/>
    </w:p>
    <w:p w:rsidR="009E2964" w:rsidRPr="00597C03" w:rsidRDefault="001E37BA" w:rsidP="00A35CF8">
      <w:pPr>
        <w:rPr>
          <w:rFonts w:ascii="Arial" w:hAnsi="Arial" w:cs="Arial"/>
          <w:b/>
          <w:i/>
        </w:rPr>
      </w:pPr>
      <w:r>
        <w:rPr>
          <w:rFonts w:ascii="Arial" w:hAnsi="Arial" w:cs="Arial"/>
          <w:b/>
          <w:i/>
        </w:rPr>
        <w:t xml:space="preserve">1.4.3.1 </w:t>
      </w:r>
      <w:proofErr w:type="spellStart"/>
      <w:r>
        <w:rPr>
          <w:rFonts w:ascii="Arial" w:hAnsi="Arial" w:cs="Arial"/>
          <w:b/>
          <w:i/>
        </w:rPr>
        <w:t>CALiPER</w:t>
      </w:r>
      <w:proofErr w:type="spellEnd"/>
      <w:r>
        <w:rPr>
          <w:rFonts w:ascii="Arial" w:hAnsi="Arial" w:cs="Arial"/>
          <w:b/>
          <w:i/>
        </w:rPr>
        <w:t xml:space="preserve"> Application Summary Report 16</w:t>
      </w:r>
      <w:r w:rsidR="00262365">
        <w:rPr>
          <w:rStyle w:val="EndnoteReference"/>
          <w:rFonts w:ascii="Arial" w:hAnsi="Arial" w:cs="Arial"/>
          <w:b/>
          <w:i/>
        </w:rPr>
        <w:endnoteReference w:id="3"/>
      </w:r>
      <w:r>
        <w:rPr>
          <w:rFonts w:ascii="Arial" w:hAnsi="Arial" w:cs="Arial"/>
          <w:b/>
          <w:i/>
        </w:rPr>
        <w:t>:</w:t>
      </w:r>
    </w:p>
    <w:p w:rsidR="00736D00" w:rsidRDefault="00B00818" w:rsidP="00A35CF8">
      <w:pPr>
        <w:rPr>
          <w:rFonts w:ascii="Arial" w:hAnsi="Arial" w:cs="Arial"/>
          <w:sz w:val="20"/>
          <w:szCs w:val="20"/>
        </w:rPr>
      </w:pPr>
      <w:r w:rsidRPr="00B00818">
        <w:rPr>
          <w:rFonts w:ascii="Arial" w:hAnsi="Arial" w:cs="Arial"/>
          <w:sz w:val="20"/>
          <w:szCs w:val="20"/>
        </w:rPr>
        <w:t xml:space="preserve">A few of the conclusions that </w:t>
      </w:r>
      <w:proofErr w:type="spellStart"/>
      <w:r w:rsidRPr="00B00818">
        <w:rPr>
          <w:rFonts w:ascii="Arial" w:hAnsi="Arial" w:cs="Arial"/>
          <w:sz w:val="20"/>
          <w:szCs w:val="20"/>
        </w:rPr>
        <w:t>CALiPER</w:t>
      </w:r>
      <w:proofErr w:type="spellEnd"/>
      <w:r w:rsidRPr="00B00818">
        <w:rPr>
          <w:rFonts w:ascii="Arial" w:hAnsi="Arial" w:cs="Arial"/>
          <w:sz w:val="20"/>
          <w:szCs w:val="20"/>
        </w:rPr>
        <w:t xml:space="preserve"> reported </w:t>
      </w:r>
      <w:r w:rsidR="00C37145">
        <w:rPr>
          <w:rFonts w:ascii="Arial" w:hAnsi="Arial" w:cs="Arial"/>
          <w:sz w:val="20"/>
          <w:szCs w:val="20"/>
        </w:rPr>
        <w:t>in the most recent application summary report (#16) from tests of 5 LED high-bay fixtures</w:t>
      </w:r>
      <w:r w:rsidRPr="00B00818">
        <w:rPr>
          <w:rFonts w:ascii="Arial" w:hAnsi="Arial" w:cs="Arial"/>
          <w:sz w:val="20"/>
          <w:szCs w:val="20"/>
        </w:rPr>
        <w:t>:</w:t>
      </w:r>
    </w:p>
    <w:p w:rsidR="00C37145" w:rsidRDefault="00C37145" w:rsidP="00A35CF8">
      <w:pPr>
        <w:rPr>
          <w:rFonts w:ascii="Arial" w:hAnsi="Arial" w:cs="Arial"/>
          <w:sz w:val="20"/>
          <w:szCs w:val="20"/>
        </w:rPr>
      </w:pPr>
    </w:p>
    <w:p w:rsidR="00391C77" w:rsidRPr="00422D1A" w:rsidRDefault="003F7A9C" w:rsidP="00391C77">
      <w:pPr>
        <w:numPr>
          <w:ilvl w:val="0"/>
          <w:numId w:val="20"/>
        </w:numPr>
        <w:rPr>
          <w:rFonts w:ascii="Arial" w:hAnsi="Arial" w:cs="Arial"/>
          <w:sz w:val="20"/>
          <w:szCs w:val="20"/>
        </w:rPr>
      </w:pPr>
      <w:r w:rsidRPr="00422D1A">
        <w:rPr>
          <w:rFonts w:ascii="Arial" w:hAnsi="Arial" w:cs="Arial"/>
          <w:sz w:val="20"/>
          <w:szCs w:val="20"/>
        </w:rPr>
        <w:t>Two products tested significantly outperformed the benchmark products in terms of light output and efficacy</w:t>
      </w:r>
    </w:p>
    <w:p w:rsidR="003F7A9C" w:rsidRPr="00422D1A" w:rsidRDefault="003F7A9C" w:rsidP="00391C77">
      <w:pPr>
        <w:numPr>
          <w:ilvl w:val="0"/>
          <w:numId w:val="20"/>
        </w:numPr>
        <w:rPr>
          <w:rFonts w:ascii="Arial" w:hAnsi="Arial" w:cs="Arial"/>
          <w:sz w:val="20"/>
          <w:szCs w:val="20"/>
        </w:rPr>
      </w:pPr>
      <w:r w:rsidRPr="00422D1A">
        <w:rPr>
          <w:rFonts w:ascii="Arial" w:hAnsi="Arial" w:cs="Arial"/>
          <w:sz w:val="20"/>
          <w:szCs w:val="20"/>
        </w:rPr>
        <w:t>Three products performed as claimed in product literature</w:t>
      </w:r>
    </w:p>
    <w:p w:rsidR="00B00818" w:rsidRPr="009E3EB3" w:rsidRDefault="00B00818" w:rsidP="00A35CF8">
      <w:pPr>
        <w:rPr>
          <w:rFonts w:ascii="Arial" w:hAnsi="Arial" w:cs="Arial"/>
          <w:sz w:val="20"/>
          <w:szCs w:val="20"/>
          <w:highlight w:val="cyan"/>
        </w:rPr>
      </w:pPr>
    </w:p>
    <w:p w:rsidR="009C5CA7" w:rsidRDefault="001248A3" w:rsidP="002E0043">
      <w:pPr>
        <w:pStyle w:val="Heading2"/>
        <w:keepNext w:val="0"/>
      </w:pPr>
      <w:bookmarkStart w:id="32" w:name="_Toc438562595"/>
      <w:r w:rsidRPr="007F4313">
        <w:t>1.</w:t>
      </w:r>
      <w:r w:rsidR="00264B03" w:rsidRPr="007F4313">
        <w:t xml:space="preserve">4.4 </w:t>
      </w:r>
      <w:r w:rsidR="009C5CA7" w:rsidRPr="007F4313">
        <w:t xml:space="preserve">Assumptions and </w:t>
      </w:r>
      <w:r w:rsidR="00264B03" w:rsidRPr="007F4313">
        <w:t>Calculations from other sources—Base and Measure Cases</w:t>
      </w:r>
      <w:bookmarkEnd w:id="32"/>
    </w:p>
    <w:p w:rsidR="000A1ADB" w:rsidRDefault="00262365" w:rsidP="007E4D1F">
      <w:pPr>
        <w:rPr>
          <w:rFonts w:ascii="Arial" w:hAnsi="Arial" w:cs="Arial"/>
          <w:sz w:val="20"/>
          <w:szCs w:val="20"/>
        </w:rPr>
      </w:pPr>
      <w:r>
        <w:rPr>
          <w:rFonts w:ascii="Arial" w:hAnsi="Arial" w:cs="Arial"/>
          <w:sz w:val="20"/>
          <w:szCs w:val="20"/>
        </w:rPr>
        <w:t>The fixture performance in the high-bay and low-bay categories of the DLC list was analyzed to justify the wattage equivalency assumptions.</w:t>
      </w:r>
      <w:r w:rsidR="000D22E1">
        <w:rPr>
          <w:rFonts w:ascii="Arial" w:hAnsi="Arial" w:cs="Arial"/>
          <w:sz w:val="20"/>
          <w:szCs w:val="20"/>
        </w:rPr>
        <w:t xml:space="preserve"> The 418 fixtures in these categories were analyzed for equivalency to common base case fixtures.  </w:t>
      </w:r>
    </w:p>
    <w:p w:rsidR="000D22E1" w:rsidRDefault="000D22E1" w:rsidP="007E4D1F">
      <w:pPr>
        <w:rPr>
          <w:rFonts w:ascii="Arial" w:hAnsi="Arial" w:cs="Arial"/>
          <w:sz w:val="20"/>
          <w:szCs w:val="20"/>
        </w:rPr>
      </w:pPr>
    </w:p>
    <w:p w:rsidR="00D4390C" w:rsidRDefault="000D22E1" w:rsidP="007E4D1F">
      <w:pPr>
        <w:rPr>
          <w:rFonts w:ascii="Arial" w:hAnsi="Arial" w:cs="Arial"/>
          <w:sz w:val="20"/>
          <w:szCs w:val="20"/>
        </w:rPr>
      </w:pPr>
      <w:r>
        <w:rPr>
          <w:rFonts w:ascii="Arial" w:hAnsi="Arial" w:cs="Arial"/>
          <w:sz w:val="20"/>
          <w:szCs w:val="20"/>
        </w:rPr>
        <w:t xml:space="preserve">Rather than compare the fixtures based solely on lumen output, the quantity of lumens in the 20° - 50° zone was also considered.  Many </w:t>
      </w:r>
      <w:r w:rsidR="00583CB2" w:rsidRPr="00C10056">
        <w:rPr>
          <w:rFonts w:ascii="Arial" w:hAnsi="Arial" w:cs="Arial"/>
          <w:sz w:val="20"/>
          <w:szCs w:val="20"/>
        </w:rPr>
        <w:t>Pulse Start Metal Halide</w:t>
      </w:r>
      <w:r w:rsidR="00583CB2">
        <w:rPr>
          <w:rFonts w:ascii="Arial" w:hAnsi="Arial" w:cs="Arial"/>
          <w:sz w:val="20"/>
          <w:szCs w:val="20"/>
        </w:rPr>
        <w:t xml:space="preserve"> </w:t>
      </w:r>
      <w:r>
        <w:rPr>
          <w:rFonts w:ascii="Arial" w:hAnsi="Arial" w:cs="Arial"/>
          <w:sz w:val="20"/>
          <w:szCs w:val="20"/>
        </w:rPr>
        <w:t xml:space="preserve">HID and </w:t>
      </w:r>
      <w:r w:rsidR="00B67AB6">
        <w:rPr>
          <w:rFonts w:ascii="Arial" w:hAnsi="Arial" w:cs="Arial"/>
          <w:sz w:val="20"/>
          <w:szCs w:val="20"/>
        </w:rPr>
        <w:t>linear fluorescent</w:t>
      </w:r>
      <w:r>
        <w:rPr>
          <w:rFonts w:ascii="Arial" w:hAnsi="Arial" w:cs="Arial"/>
          <w:sz w:val="20"/>
          <w:szCs w:val="20"/>
        </w:rPr>
        <w:t xml:space="preserve"> fixtures commonly over-illuminate the area directly beneath the fixture (0° - 20°) simply because they lack the ability to direct light to where it is needed mos</w:t>
      </w:r>
      <w:r w:rsidR="00D4390C">
        <w:rPr>
          <w:rFonts w:ascii="Arial" w:hAnsi="Arial" w:cs="Arial"/>
          <w:sz w:val="20"/>
          <w:szCs w:val="20"/>
        </w:rPr>
        <w:t xml:space="preserve">t further from nadir.  </w:t>
      </w:r>
      <w:r w:rsidR="00583CB2" w:rsidRPr="00C10056">
        <w:rPr>
          <w:rFonts w:ascii="Arial" w:hAnsi="Arial" w:cs="Arial"/>
          <w:sz w:val="20"/>
          <w:szCs w:val="20"/>
        </w:rPr>
        <w:t>Pulse Start Metal Halide</w:t>
      </w:r>
      <w:r w:rsidR="00583CB2">
        <w:rPr>
          <w:rFonts w:ascii="Arial" w:hAnsi="Arial" w:cs="Arial"/>
          <w:sz w:val="20"/>
          <w:szCs w:val="20"/>
        </w:rPr>
        <w:t xml:space="preserve"> </w:t>
      </w:r>
      <w:r w:rsidR="00D4390C">
        <w:rPr>
          <w:rFonts w:ascii="Arial" w:hAnsi="Arial" w:cs="Arial"/>
          <w:sz w:val="20"/>
          <w:szCs w:val="20"/>
        </w:rPr>
        <w:t xml:space="preserve">HID and </w:t>
      </w:r>
      <w:r w:rsidR="00B67AB6">
        <w:rPr>
          <w:rFonts w:ascii="Arial" w:hAnsi="Arial" w:cs="Arial"/>
          <w:sz w:val="20"/>
          <w:szCs w:val="20"/>
        </w:rPr>
        <w:t>linear fluorescent</w:t>
      </w:r>
      <w:r w:rsidR="00D4390C">
        <w:rPr>
          <w:rFonts w:ascii="Arial" w:hAnsi="Arial" w:cs="Arial"/>
          <w:sz w:val="20"/>
          <w:szCs w:val="20"/>
        </w:rPr>
        <w:t xml:space="preserve"> </w:t>
      </w:r>
      <w:r w:rsidR="00B67AB6">
        <w:rPr>
          <w:rFonts w:ascii="Arial" w:hAnsi="Arial" w:cs="Arial"/>
          <w:sz w:val="20"/>
          <w:szCs w:val="20"/>
        </w:rPr>
        <w:t xml:space="preserve">sources </w:t>
      </w:r>
      <w:r w:rsidR="00D4390C">
        <w:rPr>
          <w:rFonts w:ascii="Arial" w:hAnsi="Arial" w:cs="Arial"/>
          <w:sz w:val="20"/>
          <w:szCs w:val="20"/>
        </w:rPr>
        <w:t>may achieve a higher average illuminance than an LED source (and have a correspondingly higher lumen output)</w:t>
      </w:r>
      <w:proofErr w:type="gramStart"/>
      <w:r w:rsidR="00D4390C">
        <w:rPr>
          <w:rFonts w:ascii="Arial" w:hAnsi="Arial" w:cs="Arial"/>
          <w:sz w:val="20"/>
          <w:szCs w:val="20"/>
        </w:rPr>
        <w:t>,</w:t>
      </w:r>
      <w:proofErr w:type="gramEnd"/>
      <w:r w:rsidR="00D4390C">
        <w:rPr>
          <w:rFonts w:ascii="Arial" w:hAnsi="Arial" w:cs="Arial"/>
          <w:sz w:val="20"/>
          <w:szCs w:val="20"/>
        </w:rPr>
        <w:t xml:space="preserve"> however they achieve similar minimum illuminance because the LED fixture may be able to do a better job of directing light out to the edges of the illuminated space. </w:t>
      </w:r>
    </w:p>
    <w:p w:rsidR="00D4390C" w:rsidRDefault="00D4390C" w:rsidP="007E4D1F">
      <w:pPr>
        <w:rPr>
          <w:rFonts w:ascii="Arial" w:hAnsi="Arial" w:cs="Arial"/>
          <w:sz w:val="20"/>
          <w:szCs w:val="20"/>
        </w:rPr>
      </w:pPr>
    </w:p>
    <w:p w:rsidR="000D22E1" w:rsidRDefault="00D4390C" w:rsidP="007E4D1F">
      <w:pPr>
        <w:rPr>
          <w:rFonts w:ascii="Arial" w:hAnsi="Arial" w:cs="Arial"/>
          <w:sz w:val="20"/>
          <w:szCs w:val="20"/>
        </w:rPr>
      </w:pPr>
      <w:r>
        <w:rPr>
          <w:rFonts w:ascii="Arial" w:hAnsi="Arial" w:cs="Arial"/>
          <w:sz w:val="20"/>
          <w:szCs w:val="20"/>
        </w:rPr>
        <w:t xml:space="preserve">This analysis compares fixtures based on the lumen output in the 20° - 50° range to ignore the hot spot of light that may appear directly under a fixture, and in recognition of the fact that customers are often happy with the light output of LED fixtures with lower light output than the </w:t>
      </w:r>
      <w:r w:rsidR="00583CB2" w:rsidRPr="00C10056">
        <w:rPr>
          <w:rFonts w:ascii="Arial" w:hAnsi="Arial" w:cs="Arial"/>
          <w:sz w:val="20"/>
          <w:szCs w:val="20"/>
        </w:rPr>
        <w:t>Pulse Start Metal Halide</w:t>
      </w:r>
      <w:r w:rsidR="00583CB2">
        <w:rPr>
          <w:rFonts w:ascii="Arial" w:hAnsi="Arial" w:cs="Arial"/>
          <w:sz w:val="20"/>
          <w:szCs w:val="20"/>
        </w:rPr>
        <w:t xml:space="preserve"> </w:t>
      </w:r>
      <w:r>
        <w:rPr>
          <w:rFonts w:ascii="Arial" w:hAnsi="Arial" w:cs="Arial"/>
          <w:sz w:val="20"/>
          <w:szCs w:val="20"/>
        </w:rPr>
        <w:t xml:space="preserve">HID or </w:t>
      </w:r>
      <w:r w:rsidR="00B67AB6">
        <w:rPr>
          <w:rFonts w:ascii="Arial" w:hAnsi="Arial" w:cs="Arial"/>
          <w:sz w:val="20"/>
          <w:szCs w:val="20"/>
        </w:rPr>
        <w:t>linear fluorescent</w:t>
      </w:r>
      <w:r>
        <w:rPr>
          <w:rFonts w:ascii="Arial" w:hAnsi="Arial" w:cs="Arial"/>
          <w:sz w:val="20"/>
          <w:szCs w:val="20"/>
        </w:rPr>
        <w:t xml:space="preserve"> fixtures replaced.</w:t>
      </w:r>
    </w:p>
    <w:p w:rsidR="00D4390C" w:rsidRDefault="00D4390C" w:rsidP="007E4D1F">
      <w:pPr>
        <w:rPr>
          <w:rFonts w:ascii="Arial" w:hAnsi="Arial" w:cs="Arial"/>
          <w:sz w:val="20"/>
          <w:szCs w:val="20"/>
        </w:rPr>
      </w:pPr>
    </w:p>
    <w:p w:rsidR="00D4390C" w:rsidRDefault="00D4390C" w:rsidP="007E4D1F">
      <w:pPr>
        <w:rPr>
          <w:rFonts w:ascii="Arial" w:hAnsi="Arial" w:cs="Arial"/>
          <w:sz w:val="20"/>
          <w:szCs w:val="20"/>
        </w:rPr>
      </w:pPr>
      <w:r>
        <w:rPr>
          <w:rFonts w:ascii="Arial" w:hAnsi="Arial" w:cs="Arial"/>
          <w:sz w:val="20"/>
          <w:szCs w:val="20"/>
        </w:rPr>
        <w:t xml:space="preserve">The lumens in the 20° - 50° range was calculated from the DLC list based on the measured light output of each fixture multiplied by the % of lumens in that range, labeled on the DLC spreadsheet at </w:t>
      </w:r>
      <w:r w:rsidRPr="00D4390C">
        <w:rPr>
          <w:rFonts w:ascii="Arial" w:hAnsi="Arial" w:cs="Arial"/>
          <w:sz w:val="20"/>
          <w:szCs w:val="20"/>
        </w:rPr>
        <w:t>ZL-HBLB: 20-50</w:t>
      </w:r>
      <w:r>
        <w:rPr>
          <w:rFonts w:ascii="Arial" w:hAnsi="Arial" w:cs="Arial"/>
          <w:sz w:val="20"/>
          <w:szCs w:val="20"/>
        </w:rPr>
        <w:t xml:space="preserve"> or </w:t>
      </w:r>
      <w:r w:rsidRPr="00D4390C">
        <w:rPr>
          <w:rFonts w:ascii="Arial" w:hAnsi="Arial" w:cs="Arial"/>
          <w:sz w:val="20"/>
          <w:szCs w:val="20"/>
        </w:rPr>
        <w:t>ZL-HBA: 20-50</w:t>
      </w:r>
      <w:r>
        <w:rPr>
          <w:rFonts w:ascii="Arial" w:hAnsi="Arial" w:cs="Arial"/>
          <w:sz w:val="20"/>
          <w:szCs w:val="20"/>
        </w:rPr>
        <w:t xml:space="preserve">. The lumen output for base case fixtures in the 20° - 50° range was calculated from the zonal lumen summary tables of manufacturer photometric reports.  These values were corrected for lamp lumens and ballast factor based on industry standards for Pulse-Start Metal Halide Lamps and F32T8 </w:t>
      </w:r>
      <w:r w:rsidR="00583CB2">
        <w:rPr>
          <w:rFonts w:ascii="Arial" w:hAnsi="Arial" w:cs="Arial"/>
          <w:sz w:val="20"/>
          <w:szCs w:val="20"/>
        </w:rPr>
        <w:t>2</w:t>
      </w:r>
      <w:r w:rsidR="00583CB2" w:rsidRPr="00583CB2">
        <w:rPr>
          <w:rFonts w:ascii="Arial" w:hAnsi="Arial" w:cs="Arial"/>
          <w:sz w:val="20"/>
          <w:szCs w:val="20"/>
          <w:vertAlign w:val="superscript"/>
        </w:rPr>
        <w:t>nd</w:t>
      </w:r>
      <w:r w:rsidR="00583CB2">
        <w:rPr>
          <w:rFonts w:ascii="Arial" w:hAnsi="Arial" w:cs="Arial"/>
          <w:sz w:val="20"/>
          <w:szCs w:val="20"/>
        </w:rPr>
        <w:t xml:space="preserve"> generation </w:t>
      </w:r>
      <w:r w:rsidR="00B67AB6">
        <w:rPr>
          <w:rFonts w:ascii="Arial" w:hAnsi="Arial" w:cs="Arial"/>
          <w:sz w:val="20"/>
          <w:szCs w:val="20"/>
        </w:rPr>
        <w:t>linear fluorescent</w:t>
      </w:r>
      <w:r>
        <w:rPr>
          <w:rFonts w:ascii="Arial" w:hAnsi="Arial" w:cs="Arial"/>
          <w:sz w:val="20"/>
          <w:szCs w:val="20"/>
        </w:rPr>
        <w:t xml:space="preserve"> lamps.</w:t>
      </w:r>
    </w:p>
    <w:p w:rsidR="00D4390C" w:rsidRDefault="00D4390C" w:rsidP="007E4D1F">
      <w:pPr>
        <w:rPr>
          <w:rFonts w:ascii="Arial" w:hAnsi="Arial" w:cs="Arial"/>
          <w:sz w:val="20"/>
          <w:szCs w:val="20"/>
        </w:rPr>
      </w:pPr>
    </w:p>
    <w:p w:rsidR="00D4390C" w:rsidRPr="00D4390C" w:rsidRDefault="00D4390C" w:rsidP="007E4D1F">
      <w:pPr>
        <w:rPr>
          <w:rFonts w:ascii="Arial" w:hAnsi="Arial" w:cs="Arial"/>
          <w:sz w:val="20"/>
          <w:szCs w:val="20"/>
        </w:rPr>
      </w:pPr>
      <w:proofErr w:type="gramStart"/>
      <w:r>
        <w:rPr>
          <w:rFonts w:ascii="Arial" w:hAnsi="Arial" w:cs="Arial"/>
          <w:sz w:val="20"/>
          <w:szCs w:val="20"/>
        </w:rPr>
        <w:t>The LED products equivalent in lumen output in the 20° - 50° range to the base case fixtures were grouped as well as possible, given the limitation of va</w:t>
      </w:r>
      <w:r w:rsidR="00D211F3">
        <w:rPr>
          <w:rFonts w:ascii="Arial" w:hAnsi="Arial" w:cs="Arial"/>
          <w:sz w:val="20"/>
          <w:szCs w:val="20"/>
        </w:rPr>
        <w:t>rying LED fixture performance.</w:t>
      </w:r>
      <w:proofErr w:type="gramEnd"/>
      <w:r w:rsidR="00D211F3">
        <w:rPr>
          <w:rFonts w:ascii="Arial" w:hAnsi="Arial" w:cs="Arial"/>
          <w:sz w:val="20"/>
          <w:szCs w:val="20"/>
        </w:rPr>
        <w:t xml:space="preserve"> The base cases for </w:t>
      </w:r>
      <w:r w:rsidR="00583CB2" w:rsidRPr="00C10056">
        <w:rPr>
          <w:rFonts w:ascii="Arial" w:hAnsi="Arial" w:cs="Arial"/>
          <w:sz w:val="20"/>
          <w:szCs w:val="20"/>
        </w:rPr>
        <w:t>Pulse Start Metal Halide</w:t>
      </w:r>
      <w:r w:rsidR="00583CB2">
        <w:rPr>
          <w:rFonts w:ascii="Arial" w:hAnsi="Arial" w:cs="Arial"/>
          <w:sz w:val="20"/>
          <w:szCs w:val="20"/>
        </w:rPr>
        <w:t xml:space="preserve"> </w:t>
      </w:r>
      <w:r w:rsidR="00D211F3">
        <w:rPr>
          <w:rFonts w:ascii="Arial" w:hAnsi="Arial" w:cs="Arial"/>
          <w:sz w:val="20"/>
          <w:szCs w:val="20"/>
        </w:rPr>
        <w:t xml:space="preserve">HID and </w:t>
      </w:r>
      <w:r w:rsidR="00991891">
        <w:rPr>
          <w:rFonts w:ascii="Arial" w:hAnsi="Arial" w:cs="Arial"/>
          <w:sz w:val="20"/>
          <w:szCs w:val="20"/>
        </w:rPr>
        <w:t>2</w:t>
      </w:r>
      <w:r w:rsidR="00991891" w:rsidRPr="00991891">
        <w:rPr>
          <w:rFonts w:ascii="Arial" w:hAnsi="Arial" w:cs="Arial"/>
          <w:sz w:val="20"/>
          <w:szCs w:val="20"/>
          <w:vertAlign w:val="superscript"/>
        </w:rPr>
        <w:t>nd</w:t>
      </w:r>
      <w:r w:rsidR="00991891">
        <w:rPr>
          <w:rFonts w:ascii="Arial" w:hAnsi="Arial" w:cs="Arial"/>
          <w:sz w:val="20"/>
          <w:szCs w:val="20"/>
        </w:rPr>
        <w:t xml:space="preserve"> generation </w:t>
      </w:r>
      <w:r w:rsidR="00B67AB6">
        <w:rPr>
          <w:rFonts w:ascii="Arial" w:hAnsi="Arial" w:cs="Arial"/>
          <w:sz w:val="20"/>
          <w:szCs w:val="20"/>
        </w:rPr>
        <w:t>linear fluorescent</w:t>
      </w:r>
      <w:r w:rsidR="00D211F3">
        <w:rPr>
          <w:rFonts w:ascii="Arial" w:hAnsi="Arial" w:cs="Arial"/>
          <w:sz w:val="20"/>
          <w:szCs w:val="20"/>
        </w:rPr>
        <w:t xml:space="preserve"> fixtures were </w:t>
      </w:r>
      <w:r w:rsidR="00E1050E">
        <w:rPr>
          <w:rFonts w:ascii="Arial" w:hAnsi="Arial" w:cs="Arial"/>
          <w:sz w:val="20"/>
          <w:szCs w:val="20"/>
        </w:rPr>
        <w:t xml:space="preserve">compared separately to the group of DLC-approved fixtures that would best replace them based on </w:t>
      </w:r>
      <w:proofErr w:type="spellStart"/>
      <w:r w:rsidR="00E1050E">
        <w:rPr>
          <w:rFonts w:ascii="Arial" w:hAnsi="Arial" w:cs="Arial"/>
          <w:sz w:val="20"/>
          <w:szCs w:val="20"/>
        </w:rPr>
        <w:t>photopic</w:t>
      </w:r>
      <w:proofErr w:type="spellEnd"/>
      <w:r w:rsidR="00E1050E">
        <w:rPr>
          <w:rFonts w:ascii="Arial" w:hAnsi="Arial" w:cs="Arial"/>
          <w:sz w:val="20"/>
          <w:szCs w:val="20"/>
        </w:rPr>
        <w:t xml:space="preserve"> lumens in the 20° - 50° zones</w:t>
      </w:r>
      <w:r w:rsidR="00D211F3">
        <w:rPr>
          <w:rFonts w:ascii="Arial" w:hAnsi="Arial" w:cs="Arial"/>
          <w:sz w:val="20"/>
          <w:szCs w:val="20"/>
        </w:rPr>
        <w:t>. Measure codes were created by setting maximum and minimum wattage and minimum fixture lumen output values. Product eligibility will be determined by comparing products to those 3 values as found in the DLC list.</w:t>
      </w:r>
    </w:p>
    <w:p w:rsidR="000A1ADB" w:rsidRDefault="000A1ADB" w:rsidP="007E4D1F"/>
    <w:p w:rsidR="00A95A8F" w:rsidRDefault="00A95A8F">
      <w:pPr>
        <w:rPr>
          <w:rFonts w:ascii="Arial" w:hAnsi="Arial" w:cs="Arial"/>
          <w:b/>
          <w:bCs/>
          <w:kern w:val="32"/>
          <w:sz w:val="32"/>
          <w:szCs w:val="32"/>
        </w:rPr>
      </w:pPr>
      <w:r>
        <w:br w:type="page"/>
      </w:r>
    </w:p>
    <w:p w:rsidR="00C069A2" w:rsidRDefault="00CF3FF0" w:rsidP="00D211F3">
      <w:pPr>
        <w:pStyle w:val="Heading1"/>
      </w:pPr>
      <w:bookmarkStart w:id="33" w:name="_Toc438562596"/>
      <w:proofErr w:type="gramStart"/>
      <w:r w:rsidRPr="00CF3FF0">
        <w:lastRenderedPageBreak/>
        <w:t xml:space="preserve">Section </w:t>
      </w:r>
      <w:r w:rsidR="00C069A2" w:rsidRPr="00CF3FF0">
        <w:t>2</w:t>
      </w:r>
      <w:r w:rsidR="003129E8" w:rsidRPr="00CF3FF0">
        <w:t>.</w:t>
      </w:r>
      <w:proofErr w:type="gramEnd"/>
      <w:r w:rsidR="00C069A2" w:rsidRPr="00CF3FF0">
        <w:t xml:space="preserve"> Calculation Methods</w:t>
      </w:r>
      <w:bookmarkEnd w:id="33"/>
    </w:p>
    <w:p w:rsidR="00322FB9" w:rsidRDefault="007C1DEB" w:rsidP="001A3026">
      <w:pPr>
        <w:rPr>
          <w:rFonts w:ascii="Arial" w:hAnsi="Arial" w:cs="Arial"/>
          <w:sz w:val="20"/>
          <w:szCs w:val="20"/>
        </w:rPr>
      </w:pPr>
      <w:r>
        <w:rPr>
          <w:rFonts w:ascii="Arial" w:hAnsi="Arial" w:cs="Arial"/>
          <w:sz w:val="20"/>
          <w:szCs w:val="20"/>
        </w:rPr>
        <w:t xml:space="preserve">This </w:t>
      </w:r>
      <w:proofErr w:type="spellStart"/>
      <w:r>
        <w:rPr>
          <w:rFonts w:ascii="Arial" w:hAnsi="Arial" w:cs="Arial"/>
          <w:sz w:val="20"/>
          <w:szCs w:val="20"/>
        </w:rPr>
        <w:t>workpaper</w:t>
      </w:r>
      <w:proofErr w:type="spellEnd"/>
      <w:r>
        <w:rPr>
          <w:rFonts w:ascii="Arial" w:hAnsi="Arial" w:cs="Arial"/>
          <w:sz w:val="20"/>
          <w:szCs w:val="20"/>
        </w:rPr>
        <w:t xml:space="preserve"> uses the </w:t>
      </w:r>
      <w:r w:rsidR="003B44BB">
        <w:rPr>
          <w:rFonts w:ascii="Arial" w:hAnsi="Arial" w:cs="Arial"/>
          <w:sz w:val="20"/>
          <w:szCs w:val="20"/>
        </w:rPr>
        <w:t xml:space="preserve">most recent </w:t>
      </w:r>
      <w:r w:rsidR="00D211F3">
        <w:rPr>
          <w:rFonts w:ascii="Arial" w:hAnsi="Arial" w:cs="Arial"/>
          <w:sz w:val="20"/>
          <w:szCs w:val="20"/>
        </w:rPr>
        <w:t>DLC</w:t>
      </w:r>
      <w:r>
        <w:rPr>
          <w:rFonts w:ascii="Arial" w:hAnsi="Arial" w:cs="Arial"/>
          <w:sz w:val="20"/>
          <w:szCs w:val="20"/>
        </w:rPr>
        <w:t xml:space="preserve"> </w:t>
      </w:r>
      <w:r w:rsidR="00DB520B">
        <w:rPr>
          <w:rFonts w:ascii="Arial" w:hAnsi="Arial" w:cs="Arial"/>
          <w:sz w:val="20"/>
          <w:szCs w:val="20"/>
        </w:rPr>
        <w:t>L</w:t>
      </w:r>
      <w:r>
        <w:rPr>
          <w:rFonts w:ascii="Arial" w:hAnsi="Arial" w:cs="Arial"/>
          <w:sz w:val="20"/>
          <w:szCs w:val="20"/>
        </w:rPr>
        <w:t>ist to choose the most appropriate base and measure case wattages.</w:t>
      </w:r>
      <w:r w:rsidR="00322FB9">
        <w:rPr>
          <w:rFonts w:ascii="Arial" w:hAnsi="Arial" w:cs="Arial"/>
          <w:sz w:val="20"/>
          <w:szCs w:val="20"/>
        </w:rPr>
        <w:t xml:space="preserve"> The base case wattages are chosen b</w:t>
      </w:r>
      <w:r w:rsidR="00B67AB6">
        <w:rPr>
          <w:rFonts w:ascii="Arial" w:hAnsi="Arial" w:cs="Arial"/>
          <w:sz w:val="20"/>
          <w:szCs w:val="20"/>
        </w:rPr>
        <w:t>ased on the 12 most common high-</w:t>
      </w:r>
      <w:r w:rsidR="00322FB9">
        <w:rPr>
          <w:rFonts w:ascii="Arial" w:hAnsi="Arial" w:cs="Arial"/>
          <w:sz w:val="20"/>
          <w:szCs w:val="20"/>
        </w:rPr>
        <w:t xml:space="preserve">bay </w:t>
      </w:r>
      <w:r w:rsidR="00B67AB6">
        <w:rPr>
          <w:rFonts w:ascii="Arial" w:hAnsi="Arial" w:cs="Arial"/>
          <w:sz w:val="20"/>
          <w:szCs w:val="20"/>
        </w:rPr>
        <w:t xml:space="preserve">and low-bay </w:t>
      </w:r>
      <w:r w:rsidR="00322FB9">
        <w:rPr>
          <w:rFonts w:ascii="Arial" w:hAnsi="Arial" w:cs="Arial"/>
          <w:sz w:val="20"/>
          <w:szCs w:val="20"/>
        </w:rPr>
        <w:t xml:space="preserve">fixture configurations, with Pulse-Start Metal Halide HID base cases combined with </w:t>
      </w:r>
      <w:r w:rsidR="003C479C">
        <w:rPr>
          <w:rFonts w:ascii="Arial" w:hAnsi="Arial" w:cs="Arial"/>
          <w:sz w:val="20"/>
          <w:szCs w:val="20"/>
        </w:rPr>
        <w:t>2</w:t>
      </w:r>
      <w:r w:rsidR="003C479C" w:rsidRPr="003C479C">
        <w:rPr>
          <w:rFonts w:ascii="Arial" w:hAnsi="Arial" w:cs="Arial"/>
          <w:sz w:val="20"/>
          <w:szCs w:val="20"/>
          <w:vertAlign w:val="superscript"/>
        </w:rPr>
        <w:t>nd</w:t>
      </w:r>
      <w:r w:rsidR="003C479C">
        <w:rPr>
          <w:rFonts w:ascii="Arial" w:hAnsi="Arial" w:cs="Arial"/>
          <w:sz w:val="20"/>
          <w:szCs w:val="20"/>
        </w:rPr>
        <w:t xml:space="preserve"> generation </w:t>
      </w:r>
      <w:r w:rsidR="00B67AB6">
        <w:rPr>
          <w:rFonts w:ascii="Arial" w:hAnsi="Arial" w:cs="Arial"/>
          <w:sz w:val="20"/>
          <w:szCs w:val="20"/>
        </w:rPr>
        <w:t>linear fluorescent</w:t>
      </w:r>
      <w:r w:rsidR="00322FB9">
        <w:rPr>
          <w:rFonts w:ascii="Arial" w:hAnsi="Arial" w:cs="Arial"/>
          <w:sz w:val="20"/>
          <w:szCs w:val="20"/>
        </w:rPr>
        <w:t xml:space="preserve"> base cases.</w:t>
      </w:r>
    </w:p>
    <w:p w:rsidR="008832FA" w:rsidRDefault="003B44BB" w:rsidP="001A3026">
      <w:pPr>
        <w:rPr>
          <w:rFonts w:ascii="Arial" w:hAnsi="Arial" w:cs="Arial"/>
          <w:sz w:val="20"/>
          <w:szCs w:val="20"/>
        </w:rPr>
      </w:pPr>
      <w:r>
        <w:rPr>
          <w:rFonts w:ascii="Arial" w:hAnsi="Arial" w:cs="Arial"/>
          <w:sz w:val="20"/>
          <w:szCs w:val="20"/>
        </w:rPr>
        <w:t xml:space="preserve"> </w:t>
      </w:r>
    </w:p>
    <w:p w:rsidR="003B44BB" w:rsidRPr="006B50B9" w:rsidRDefault="003B44BB" w:rsidP="001A3026">
      <w:pPr>
        <w:rPr>
          <w:rFonts w:ascii="Arial" w:hAnsi="Arial" w:cs="Arial"/>
          <w:b/>
          <w:sz w:val="20"/>
          <w:szCs w:val="20"/>
        </w:rPr>
      </w:pPr>
      <w:r>
        <w:rPr>
          <w:rFonts w:ascii="Arial" w:hAnsi="Arial" w:cs="Arial"/>
          <w:sz w:val="20"/>
          <w:szCs w:val="20"/>
        </w:rPr>
        <w:t xml:space="preserve">The measure wattages are selected based on the </w:t>
      </w:r>
      <w:r w:rsidR="00322FB9">
        <w:rPr>
          <w:rFonts w:ascii="Arial" w:hAnsi="Arial" w:cs="Arial"/>
          <w:sz w:val="20"/>
          <w:szCs w:val="20"/>
        </w:rPr>
        <w:t>DLC</w:t>
      </w:r>
      <w:r>
        <w:rPr>
          <w:rFonts w:ascii="Arial" w:hAnsi="Arial" w:cs="Arial"/>
          <w:sz w:val="20"/>
          <w:szCs w:val="20"/>
        </w:rPr>
        <w:t xml:space="preserve"> list. The lumen output </w:t>
      </w:r>
      <w:r w:rsidR="00322FB9">
        <w:rPr>
          <w:rFonts w:ascii="Arial" w:hAnsi="Arial" w:cs="Arial"/>
          <w:sz w:val="20"/>
          <w:szCs w:val="20"/>
        </w:rPr>
        <w:t xml:space="preserve">in the 20° - 50° range is basis for the division of LED products into appropriate measure codes. </w:t>
      </w:r>
    </w:p>
    <w:p w:rsidR="003B44BB" w:rsidRDefault="003B44BB" w:rsidP="001A3026">
      <w:pPr>
        <w:rPr>
          <w:rFonts w:ascii="Arial" w:hAnsi="Arial" w:cs="Arial"/>
          <w:sz w:val="20"/>
          <w:szCs w:val="20"/>
        </w:rPr>
      </w:pPr>
    </w:p>
    <w:p w:rsidR="003B44BB" w:rsidRDefault="003B44BB" w:rsidP="003B44BB">
      <w:pPr>
        <w:pStyle w:val="Caption"/>
        <w:jc w:val="center"/>
      </w:pPr>
      <w:bookmarkStart w:id="34" w:name="_Toc438562582"/>
      <w:r>
        <w:t>Table</w:t>
      </w:r>
      <w:r w:rsidR="00DD12F1">
        <w:t xml:space="preserve"> </w:t>
      </w:r>
      <w:r w:rsidR="001A450C">
        <w:fldChar w:fldCharType="begin"/>
      </w:r>
      <w:r w:rsidR="001A450C">
        <w:instrText xml:space="preserve"> SEQ Table \* ARABIC </w:instrText>
      </w:r>
      <w:r w:rsidR="001A450C">
        <w:fldChar w:fldCharType="separate"/>
      </w:r>
      <w:r w:rsidR="00A95A8F">
        <w:rPr>
          <w:noProof/>
        </w:rPr>
        <w:t>7</w:t>
      </w:r>
      <w:r w:rsidR="001A450C">
        <w:rPr>
          <w:noProof/>
        </w:rPr>
        <w:fldChar w:fldCharType="end"/>
      </w:r>
      <w:r w:rsidR="00DD12F1">
        <w:t xml:space="preserve"> </w:t>
      </w:r>
      <w:r>
        <w:t>-</w:t>
      </w:r>
      <w:r w:rsidRPr="00E97091">
        <w:t xml:space="preserve"> </w:t>
      </w:r>
      <w:r w:rsidR="00322FB9">
        <w:t>LED High-Bay and Low-Bay Fixtures</w:t>
      </w:r>
      <w:r w:rsidR="00FD3F5C">
        <w:t xml:space="preserve"> </w:t>
      </w:r>
      <w:r>
        <w:t>Base and Measure Wattages</w:t>
      </w:r>
      <w:bookmarkEnd w:id="34"/>
    </w:p>
    <w:tbl>
      <w:tblPr>
        <w:tblStyle w:val="TableGrid"/>
        <w:tblW w:w="9560" w:type="dxa"/>
        <w:tblLook w:val="04A0" w:firstRow="1" w:lastRow="0" w:firstColumn="1" w:lastColumn="0" w:noHBand="0" w:noVBand="1"/>
      </w:tblPr>
      <w:tblGrid>
        <w:gridCol w:w="3979"/>
        <w:gridCol w:w="1164"/>
        <w:gridCol w:w="2195"/>
        <w:gridCol w:w="994"/>
        <w:gridCol w:w="1228"/>
      </w:tblGrid>
      <w:tr w:rsidR="00C45648" w:rsidTr="004A0A9D">
        <w:tc>
          <w:tcPr>
            <w:tcW w:w="3979" w:type="dxa"/>
            <w:vAlign w:val="bottom"/>
          </w:tcPr>
          <w:p w:rsidR="00C45648" w:rsidRPr="00422D1A" w:rsidRDefault="00C45648" w:rsidP="00C45648">
            <w:pPr>
              <w:jc w:val="center"/>
              <w:rPr>
                <w:rFonts w:ascii="Arial" w:hAnsi="Arial" w:cs="Arial"/>
                <w:b/>
                <w:bCs/>
                <w:color w:val="000000"/>
                <w:sz w:val="20"/>
                <w:szCs w:val="20"/>
              </w:rPr>
            </w:pPr>
            <w:r w:rsidRPr="00422D1A">
              <w:rPr>
                <w:rFonts w:ascii="Arial" w:hAnsi="Arial" w:cs="Arial"/>
                <w:b/>
                <w:bCs/>
                <w:color w:val="000000"/>
                <w:sz w:val="20"/>
                <w:szCs w:val="20"/>
              </w:rPr>
              <w:t>Base Case</w:t>
            </w:r>
          </w:p>
        </w:tc>
        <w:tc>
          <w:tcPr>
            <w:tcW w:w="1164" w:type="dxa"/>
            <w:vAlign w:val="bottom"/>
          </w:tcPr>
          <w:p w:rsidR="00C45648" w:rsidRPr="00422D1A" w:rsidRDefault="00C45648" w:rsidP="00C45648">
            <w:pPr>
              <w:jc w:val="center"/>
              <w:rPr>
                <w:rFonts w:ascii="Arial" w:hAnsi="Arial" w:cs="Arial"/>
                <w:b/>
                <w:sz w:val="20"/>
                <w:szCs w:val="20"/>
              </w:rPr>
            </w:pPr>
            <w:r w:rsidRPr="00422D1A">
              <w:rPr>
                <w:rFonts w:ascii="Arial" w:hAnsi="Arial" w:cs="Arial"/>
                <w:b/>
                <w:sz w:val="20"/>
                <w:szCs w:val="20"/>
              </w:rPr>
              <w:t>Base Case Wattage</w:t>
            </w:r>
          </w:p>
        </w:tc>
        <w:tc>
          <w:tcPr>
            <w:tcW w:w="2195" w:type="dxa"/>
            <w:vAlign w:val="bottom"/>
          </w:tcPr>
          <w:p w:rsidR="00C45648" w:rsidRPr="00422D1A" w:rsidRDefault="00C45648" w:rsidP="00C45648">
            <w:pPr>
              <w:jc w:val="center"/>
              <w:rPr>
                <w:rFonts w:ascii="Arial" w:hAnsi="Arial" w:cs="Arial"/>
                <w:b/>
                <w:sz w:val="20"/>
                <w:szCs w:val="20"/>
              </w:rPr>
            </w:pPr>
            <w:r w:rsidRPr="00422D1A">
              <w:rPr>
                <w:rFonts w:ascii="Arial" w:hAnsi="Arial" w:cs="Arial"/>
                <w:b/>
                <w:sz w:val="20"/>
                <w:szCs w:val="20"/>
              </w:rPr>
              <w:t>Measure Case Wattage Range</w:t>
            </w:r>
          </w:p>
        </w:tc>
        <w:tc>
          <w:tcPr>
            <w:tcW w:w="994" w:type="dxa"/>
            <w:vAlign w:val="bottom"/>
          </w:tcPr>
          <w:p w:rsidR="00C45648" w:rsidRPr="00422D1A" w:rsidRDefault="00C45648" w:rsidP="00C45648">
            <w:pPr>
              <w:jc w:val="center"/>
              <w:rPr>
                <w:rFonts w:ascii="Arial" w:hAnsi="Arial" w:cs="Arial"/>
                <w:b/>
                <w:sz w:val="20"/>
                <w:szCs w:val="20"/>
              </w:rPr>
            </w:pPr>
            <w:r w:rsidRPr="00422D1A">
              <w:rPr>
                <w:rFonts w:ascii="Arial" w:hAnsi="Arial" w:cs="Arial"/>
                <w:b/>
                <w:sz w:val="20"/>
                <w:szCs w:val="20"/>
              </w:rPr>
              <w:t>Delta Wattage</w:t>
            </w:r>
          </w:p>
        </w:tc>
        <w:tc>
          <w:tcPr>
            <w:tcW w:w="1228" w:type="dxa"/>
            <w:vAlign w:val="bottom"/>
          </w:tcPr>
          <w:p w:rsidR="00C45648" w:rsidRPr="00422D1A" w:rsidRDefault="00C45648" w:rsidP="00C45648">
            <w:pPr>
              <w:jc w:val="center"/>
              <w:rPr>
                <w:rFonts w:ascii="Arial" w:hAnsi="Arial" w:cs="Arial"/>
                <w:b/>
                <w:bCs/>
                <w:color w:val="000000"/>
                <w:sz w:val="20"/>
                <w:szCs w:val="20"/>
              </w:rPr>
            </w:pPr>
            <w:r w:rsidRPr="00422D1A">
              <w:rPr>
                <w:rFonts w:ascii="Arial" w:hAnsi="Arial" w:cs="Arial"/>
                <w:b/>
                <w:bCs/>
                <w:color w:val="000000"/>
                <w:sz w:val="20"/>
                <w:szCs w:val="20"/>
              </w:rPr>
              <w:t>Minimum Fixture Lumens</w:t>
            </w:r>
          </w:p>
        </w:tc>
      </w:tr>
      <w:tr w:rsidR="004A0A9D" w:rsidTr="004A0A9D">
        <w:tc>
          <w:tcPr>
            <w:tcW w:w="3979" w:type="dxa"/>
            <w:vAlign w:val="bottom"/>
          </w:tcPr>
          <w:p w:rsidR="004A0A9D" w:rsidRPr="00422D1A" w:rsidRDefault="004A0A9D" w:rsidP="004A0A9D">
            <w:pPr>
              <w:rPr>
                <w:rFonts w:ascii="Arial" w:hAnsi="Arial" w:cs="Arial"/>
                <w:color w:val="000000"/>
                <w:sz w:val="20"/>
                <w:szCs w:val="20"/>
              </w:rPr>
            </w:pPr>
            <w:r w:rsidRPr="00422D1A">
              <w:rPr>
                <w:rFonts w:ascii="Arial" w:hAnsi="Arial" w:cs="Arial"/>
                <w:color w:val="000000"/>
                <w:sz w:val="20"/>
                <w:szCs w:val="20"/>
              </w:rPr>
              <w:t>Pulse-Start MH 175</w:t>
            </w:r>
          </w:p>
        </w:tc>
        <w:tc>
          <w:tcPr>
            <w:tcW w:w="1164" w:type="dxa"/>
            <w:vAlign w:val="center"/>
          </w:tcPr>
          <w:p w:rsidR="004A0A9D" w:rsidRPr="00422D1A" w:rsidRDefault="004A0A9D" w:rsidP="00C45648">
            <w:pPr>
              <w:jc w:val="center"/>
              <w:rPr>
                <w:rFonts w:ascii="Arial" w:hAnsi="Arial" w:cs="Arial"/>
                <w:color w:val="000000"/>
                <w:sz w:val="20"/>
                <w:szCs w:val="20"/>
              </w:rPr>
            </w:pPr>
            <w:r w:rsidRPr="00422D1A">
              <w:rPr>
                <w:rFonts w:ascii="Arial" w:hAnsi="Arial" w:cs="Arial"/>
                <w:color w:val="000000"/>
                <w:sz w:val="20"/>
                <w:szCs w:val="20"/>
              </w:rPr>
              <w:t>208</w:t>
            </w:r>
          </w:p>
        </w:tc>
        <w:tc>
          <w:tcPr>
            <w:tcW w:w="2195" w:type="dxa"/>
            <w:vAlign w:val="center"/>
          </w:tcPr>
          <w:p w:rsidR="004A0A9D" w:rsidRPr="00422D1A" w:rsidRDefault="004A0A9D" w:rsidP="00C45648">
            <w:pPr>
              <w:jc w:val="center"/>
              <w:rPr>
                <w:rFonts w:ascii="Arial" w:hAnsi="Arial" w:cs="Arial"/>
                <w:color w:val="000000"/>
                <w:sz w:val="20"/>
                <w:szCs w:val="20"/>
              </w:rPr>
            </w:pPr>
            <w:r w:rsidRPr="00422D1A">
              <w:rPr>
                <w:rFonts w:ascii="Arial" w:hAnsi="Arial" w:cs="Arial"/>
                <w:color w:val="000000"/>
                <w:sz w:val="20"/>
                <w:szCs w:val="20"/>
              </w:rPr>
              <w:t>48 to ≤ 131 Watts</w:t>
            </w:r>
          </w:p>
        </w:tc>
        <w:tc>
          <w:tcPr>
            <w:tcW w:w="994" w:type="dxa"/>
            <w:vAlign w:val="center"/>
          </w:tcPr>
          <w:p w:rsidR="004A0A9D" w:rsidRDefault="004A0A9D" w:rsidP="004A0A9D">
            <w:pPr>
              <w:jc w:val="center"/>
              <w:rPr>
                <w:rFonts w:ascii="Arial" w:hAnsi="Arial" w:cs="Arial"/>
                <w:sz w:val="20"/>
                <w:szCs w:val="20"/>
              </w:rPr>
            </w:pPr>
            <w:r>
              <w:rPr>
                <w:rFonts w:ascii="Arial" w:hAnsi="Arial" w:cs="Arial"/>
                <w:sz w:val="20"/>
                <w:szCs w:val="20"/>
              </w:rPr>
              <w:t>77</w:t>
            </w:r>
          </w:p>
        </w:tc>
        <w:tc>
          <w:tcPr>
            <w:tcW w:w="1228" w:type="dxa"/>
            <w:vAlign w:val="center"/>
          </w:tcPr>
          <w:p w:rsidR="004A0A9D" w:rsidRPr="00422D1A" w:rsidRDefault="004A0A9D" w:rsidP="00C45648">
            <w:pPr>
              <w:jc w:val="center"/>
              <w:rPr>
                <w:rFonts w:ascii="Arial" w:hAnsi="Arial" w:cs="Arial"/>
                <w:color w:val="000000"/>
                <w:sz w:val="20"/>
                <w:szCs w:val="20"/>
              </w:rPr>
            </w:pPr>
            <w:r w:rsidRPr="00422D1A">
              <w:rPr>
                <w:rFonts w:ascii="Arial" w:hAnsi="Arial" w:cs="Arial"/>
                <w:color w:val="000000"/>
                <w:sz w:val="20"/>
                <w:szCs w:val="20"/>
              </w:rPr>
              <w:t>6,200</w:t>
            </w:r>
          </w:p>
        </w:tc>
      </w:tr>
      <w:tr w:rsidR="004A0A9D" w:rsidTr="004A0A9D">
        <w:tc>
          <w:tcPr>
            <w:tcW w:w="3979" w:type="dxa"/>
            <w:vAlign w:val="bottom"/>
          </w:tcPr>
          <w:p w:rsidR="004A0A9D" w:rsidRPr="00422D1A" w:rsidRDefault="004A0A9D" w:rsidP="004A0A9D">
            <w:pPr>
              <w:rPr>
                <w:rFonts w:ascii="Arial" w:hAnsi="Arial" w:cs="Arial"/>
                <w:color w:val="000000"/>
                <w:sz w:val="20"/>
                <w:szCs w:val="20"/>
              </w:rPr>
            </w:pPr>
            <w:r w:rsidRPr="00422D1A">
              <w:rPr>
                <w:rFonts w:ascii="Arial" w:hAnsi="Arial" w:cs="Arial"/>
                <w:color w:val="000000"/>
                <w:sz w:val="20"/>
                <w:szCs w:val="20"/>
              </w:rPr>
              <w:t>Pulse-Start MH 200</w:t>
            </w:r>
          </w:p>
        </w:tc>
        <w:tc>
          <w:tcPr>
            <w:tcW w:w="1164" w:type="dxa"/>
            <w:vAlign w:val="center"/>
          </w:tcPr>
          <w:p w:rsidR="004A0A9D" w:rsidRPr="00422D1A" w:rsidRDefault="004A0A9D" w:rsidP="00C45648">
            <w:pPr>
              <w:jc w:val="center"/>
              <w:rPr>
                <w:rFonts w:ascii="Arial" w:hAnsi="Arial" w:cs="Arial"/>
                <w:color w:val="000000"/>
                <w:sz w:val="20"/>
                <w:szCs w:val="20"/>
              </w:rPr>
            </w:pPr>
            <w:r w:rsidRPr="00422D1A">
              <w:rPr>
                <w:rFonts w:ascii="Arial" w:hAnsi="Arial" w:cs="Arial"/>
                <w:color w:val="000000"/>
                <w:sz w:val="20"/>
                <w:szCs w:val="20"/>
              </w:rPr>
              <w:t>232</w:t>
            </w:r>
          </w:p>
        </w:tc>
        <w:tc>
          <w:tcPr>
            <w:tcW w:w="2195" w:type="dxa"/>
            <w:vAlign w:val="center"/>
          </w:tcPr>
          <w:p w:rsidR="004A0A9D" w:rsidRPr="00422D1A" w:rsidRDefault="004A0A9D" w:rsidP="00C45648">
            <w:pPr>
              <w:jc w:val="center"/>
              <w:rPr>
                <w:rFonts w:ascii="Arial" w:hAnsi="Arial" w:cs="Arial"/>
                <w:color w:val="000000"/>
                <w:sz w:val="20"/>
                <w:szCs w:val="20"/>
              </w:rPr>
            </w:pPr>
            <w:r w:rsidRPr="00422D1A">
              <w:rPr>
                <w:rFonts w:ascii="Arial" w:hAnsi="Arial" w:cs="Arial"/>
                <w:color w:val="000000"/>
                <w:sz w:val="20"/>
                <w:szCs w:val="20"/>
              </w:rPr>
              <w:t>&gt; 131 to ≤ 160 Watts</w:t>
            </w:r>
          </w:p>
        </w:tc>
        <w:tc>
          <w:tcPr>
            <w:tcW w:w="994" w:type="dxa"/>
            <w:vAlign w:val="center"/>
          </w:tcPr>
          <w:p w:rsidR="004A0A9D" w:rsidRDefault="004A0A9D" w:rsidP="004A0A9D">
            <w:pPr>
              <w:jc w:val="center"/>
              <w:rPr>
                <w:rFonts w:ascii="Arial" w:hAnsi="Arial" w:cs="Arial"/>
                <w:sz w:val="20"/>
                <w:szCs w:val="20"/>
              </w:rPr>
            </w:pPr>
            <w:r>
              <w:rPr>
                <w:rFonts w:ascii="Arial" w:hAnsi="Arial" w:cs="Arial"/>
                <w:sz w:val="20"/>
                <w:szCs w:val="20"/>
              </w:rPr>
              <w:t>72</w:t>
            </w:r>
          </w:p>
        </w:tc>
        <w:tc>
          <w:tcPr>
            <w:tcW w:w="1228" w:type="dxa"/>
            <w:vAlign w:val="center"/>
          </w:tcPr>
          <w:p w:rsidR="004A0A9D" w:rsidRPr="00422D1A" w:rsidRDefault="004A0A9D" w:rsidP="00C45648">
            <w:pPr>
              <w:jc w:val="center"/>
              <w:rPr>
                <w:rFonts w:ascii="Arial" w:hAnsi="Arial" w:cs="Arial"/>
                <w:color w:val="000000"/>
                <w:sz w:val="20"/>
                <w:szCs w:val="20"/>
              </w:rPr>
            </w:pPr>
            <w:r w:rsidRPr="00422D1A">
              <w:rPr>
                <w:rFonts w:ascii="Arial" w:hAnsi="Arial" w:cs="Arial"/>
                <w:color w:val="000000"/>
                <w:sz w:val="20"/>
                <w:szCs w:val="20"/>
              </w:rPr>
              <w:t>9,600</w:t>
            </w:r>
          </w:p>
        </w:tc>
      </w:tr>
      <w:tr w:rsidR="004A0A9D" w:rsidTr="004A0A9D">
        <w:tc>
          <w:tcPr>
            <w:tcW w:w="3979" w:type="dxa"/>
            <w:vAlign w:val="bottom"/>
          </w:tcPr>
          <w:p w:rsidR="004A0A9D" w:rsidRPr="00422D1A" w:rsidRDefault="004A0A9D" w:rsidP="004A0A9D">
            <w:pPr>
              <w:rPr>
                <w:rFonts w:ascii="Arial" w:hAnsi="Arial" w:cs="Arial"/>
                <w:color w:val="000000"/>
                <w:sz w:val="20"/>
                <w:szCs w:val="20"/>
              </w:rPr>
            </w:pPr>
            <w:r w:rsidRPr="00422D1A">
              <w:rPr>
                <w:rFonts w:ascii="Arial" w:hAnsi="Arial" w:cs="Arial"/>
                <w:color w:val="000000"/>
                <w:sz w:val="20"/>
                <w:szCs w:val="20"/>
              </w:rPr>
              <w:t>Pulse-Start MH 250</w:t>
            </w:r>
          </w:p>
        </w:tc>
        <w:tc>
          <w:tcPr>
            <w:tcW w:w="1164" w:type="dxa"/>
            <w:vAlign w:val="center"/>
          </w:tcPr>
          <w:p w:rsidR="004A0A9D" w:rsidRPr="00422D1A" w:rsidRDefault="004A0A9D" w:rsidP="00C45648">
            <w:pPr>
              <w:jc w:val="center"/>
              <w:rPr>
                <w:rFonts w:ascii="Arial" w:hAnsi="Arial" w:cs="Arial"/>
                <w:color w:val="000000"/>
                <w:sz w:val="20"/>
                <w:szCs w:val="20"/>
              </w:rPr>
            </w:pPr>
            <w:r>
              <w:rPr>
                <w:rFonts w:ascii="Arial" w:hAnsi="Arial" w:cs="Arial"/>
                <w:color w:val="000000"/>
                <w:sz w:val="20"/>
                <w:szCs w:val="20"/>
              </w:rPr>
              <w:t>288</w:t>
            </w:r>
          </w:p>
        </w:tc>
        <w:tc>
          <w:tcPr>
            <w:tcW w:w="2195" w:type="dxa"/>
            <w:vAlign w:val="center"/>
          </w:tcPr>
          <w:p w:rsidR="004A0A9D" w:rsidRPr="00422D1A" w:rsidRDefault="004A0A9D" w:rsidP="00C45648">
            <w:pPr>
              <w:jc w:val="center"/>
              <w:rPr>
                <w:rFonts w:ascii="Arial" w:hAnsi="Arial" w:cs="Arial"/>
                <w:color w:val="000000"/>
                <w:sz w:val="20"/>
                <w:szCs w:val="20"/>
              </w:rPr>
            </w:pPr>
            <w:r w:rsidRPr="00422D1A">
              <w:rPr>
                <w:rFonts w:ascii="Arial" w:hAnsi="Arial" w:cs="Arial"/>
                <w:color w:val="000000"/>
                <w:sz w:val="20"/>
                <w:szCs w:val="20"/>
              </w:rPr>
              <w:t>&gt; 160 to ≤ 187 Watts</w:t>
            </w:r>
          </w:p>
        </w:tc>
        <w:tc>
          <w:tcPr>
            <w:tcW w:w="994" w:type="dxa"/>
            <w:vAlign w:val="center"/>
          </w:tcPr>
          <w:p w:rsidR="004A0A9D" w:rsidRDefault="004A0A9D" w:rsidP="004A0A9D">
            <w:pPr>
              <w:jc w:val="center"/>
              <w:rPr>
                <w:rFonts w:ascii="Arial" w:hAnsi="Arial" w:cs="Arial"/>
                <w:sz w:val="20"/>
                <w:szCs w:val="20"/>
              </w:rPr>
            </w:pPr>
            <w:r>
              <w:rPr>
                <w:rFonts w:ascii="Arial" w:hAnsi="Arial" w:cs="Arial"/>
                <w:sz w:val="20"/>
                <w:szCs w:val="20"/>
              </w:rPr>
              <w:t>101</w:t>
            </w:r>
          </w:p>
        </w:tc>
        <w:tc>
          <w:tcPr>
            <w:tcW w:w="1228" w:type="dxa"/>
            <w:vAlign w:val="center"/>
          </w:tcPr>
          <w:p w:rsidR="004A0A9D" w:rsidRPr="00422D1A" w:rsidRDefault="004A0A9D" w:rsidP="00C45648">
            <w:pPr>
              <w:jc w:val="center"/>
              <w:rPr>
                <w:rFonts w:ascii="Arial" w:hAnsi="Arial" w:cs="Arial"/>
                <w:color w:val="000000"/>
                <w:sz w:val="20"/>
                <w:szCs w:val="20"/>
              </w:rPr>
            </w:pPr>
            <w:r w:rsidRPr="00422D1A">
              <w:rPr>
                <w:rFonts w:ascii="Arial" w:hAnsi="Arial" w:cs="Arial"/>
                <w:color w:val="000000"/>
                <w:sz w:val="20"/>
                <w:szCs w:val="20"/>
              </w:rPr>
              <w:t>11,200</w:t>
            </w:r>
          </w:p>
        </w:tc>
      </w:tr>
      <w:tr w:rsidR="00C45648" w:rsidTr="004A0A9D">
        <w:tc>
          <w:tcPr>
            <w:tcW w:w="3979" w:type="dxa"/>
            <w:vAlign w:val="bottom"/>
          </w:tcPr>
          <w:p w:rsidR="00C45648" w:rsidRPr="00422D1A" w:rsidRDefault="00C45648" w:rsidP="00322FB9">
            <w:pPr>
              <w:rPr>
                <w:rFonts w:ascii="Arial" w:hAnsi="Arial" w:cs="Arial"/>
                <w:color w:val="000000"/>
                <w:sz w:val="20"/>
                <w:szCs w:val="20"/>
              </w:rPr>
            </w:pPr>
            <w:r w:rsidRPr="00422D1A">
              <w:rPr>
                <w:rFonts w:ascii="Arial" w:hAnsi="Arial" w:cs="Arial"/>
                <w:color w:val="000000"/>
                <w:sz w:val="20"/>
                <w:szCs w:val="20"/>
              </w:rPr>
              <w:t>Pulse-Start MH 320</w:t>
            </w:r>
          </w:p>
        </w:tc>
        <w:tc>
          <w:tcPr>
            <w:tcW w:w="1164" w:type="dxa"/>
            <w:vAlign w:val="center"/>
          </w:tcPr>
          <w:p w:rsidR="00C45648" w:rsidRPr="00422D1A" w:rsidRDefault="00C45648" w:rsidP="00C45648">
            <w:pPr>
              <w:jc w:val="center"/>
              <w:rPr>
                <w:rFonts w:ascii="Arial" w:hAnsi="Arial" w:cs="Arial"/>
                <w:color w:val="000000"/>
                <w:sz w:val="20"/>
                <w:szCs w:val="20"/>
              </w:rPr>
            </w:pPr>
            <w:r w:rsidRPr="00422D1A">
              <w:rPr>
                <w:rFonts w:ascii="Arial" w:hAnsi="Arial" w:cs="Arial"/>
                <w:color w:val="000000"/>
                <w:sz w:val="20"/>
                <w:szCs w:val="20"/>
              </w:rPr>
              <w:t>365</w:t>
            </w:r>
          </w:p>
        </w:tc>
        <w:tc>
          <w:tcPr>
            <w:tcW w:w="2195" w:type="dxa"/>
            <w:vAlign w:val="center"/>
          </w:tcPr>
          <w:p w:rsidR="00C45648" w:rsidRPr="00422D1A" w:rsidRDefault="00C45648" w:rsidP="00C45648">
            <w:pPr>
              <w:jc w:val="center"/>
              <w:rPr>
                <w:rFonts w:ascii="Arial" w:hAnsi="Arial" w:cs="Arial"/>
                <w:color w:val="000000"/>
                <w:sz w:val="20"/>
                <w:szCs w:val="20"/>
              </w:rPr>
            </w:pPr>
            <w:r w:rsidRPr="00422D1A">
              <w:rPr>
                <w:rFonts w:ascii="Arial" w:hAnsi="Arial" w:cs="Arial"/>
                <w:color w:val="000000"/>
                <w:sz w:val="20"/>
                <w:szCs w:val="20"/>
              </w:rPr>
              <w:t>&gt; 187 to ≤ 220 Watts</w:t>
            </w:r>
          </w:p>
        </w:tc>
        <w:tc>
          <w:tcPr>
            <w:tcW w:w="994" w:type="dxa"/>
            <w:vAlign w:val="center"/>
          </w:tcPr>
          <w:p w:rsidR="00C45648" w:rsidRPr="00422D1A" w:rsidRDefault="00C45648" w:rsidP="00C45648">
            <w:pPr>
              <w:jc w:val="center"/>
              <w:rPr>
                <w:rFonts w:ascii="Arial" w:hAnsi="Arial" w:cs="Arial"/>
                <w:color w:val="000000"/>
                <w:sz w:val="20"/>
                <w:szCs w:val="20"/>
              </w:rPr>
            </w:pPr>
            <w:r w:rsidRPr="00422D1A">
              <w:rPr>
                <w:rFonts w:ascii="Arial" w:hAnsi="Arial" w:cs="Arial"/>
                <w:color w:val="000000"/>
                <w:sz w:val="20"/>
                <w:szCs w:val="20"/>
              </w:rPr>
              <w:t>145</w:t>
            </w:r>
          </w:p>
        </w:tc>
        <w:tc>
          <w:tcPr>
            <w:tcW w:w="1228" w:type="dxa"/>
            <w:vAlign w:val="center"/>
          </w:tcPr>
          <w:p w:rsidR="00C45648" w:rsidRPr="00422D1A" w:rsidRDefault="00C45648" w:rsidP="00C45648">
            <w:pPr>
              <w:jc w:val="center"/>
              <w:rPr>
                <w:rFonts w:ascii="Arial" w:hAnsi="Arial" w:cs="Arial"/>
                <w:color w:val="000000"/>
                <w:sz w:val="20"/>
                <w:szCs w:val="20"/>
              </w:rPr>
            </w:pPr>
            <w:r w:rsidRPr="00422D1A">
              <w:rPr>
                <w:rFonts w:ascii="Arial" w:hAnsi="Arial" w:cs="Arial"/>
                <w:color w:val="000000"/>
                <w:sz w:val="20"/>
                <w:szCs w:val="20"/>
              </w:rPr>
              <w:t>12,900</w:t>
            </w:r>
          </w:p>
        </w:tc>
      </w:tr>
      <w:tr w:rsidR="00C45648" w:rsidTr="004A0A9D">
        <w:tc>
          <w:tcPr>
            <w:tcW w:w="3979" w:type="dxa"/>
            <w:vAlign w:val="bottom"/>
          </w:tcPr>
          <w:p w:rsidR="00C45648" w:rsidRPr="00422D1A" w:rsidRDefault="00C45648" w:rsidP="00322FB9">
            <w:pPr>
              <w:rPr>
                <w:rFonts w:ascii="Arial" w:hAnsi="Arial" w:cs="Arial"/>
                <w:color w:val="000000"/>
                <w:sz w:val="20"/>
                <w:szCs w:val="20"/>
              </w:rPr>
            </w:pPr>
            <w:r w:rsidRPr="00422D1A">
              <w:rPr>
                <w:rFonts w:ascii="Arial" w:hAnsi="Arial" w:cs="Arial"/>
                <w:color w:val="000000"/>
                <w:sz w:val="20"/>
                <w:szCs w:val="20"/>
              </w:rPr>
              <w:t>Pulse-Start MH 350</w:t>
            </w:r>
          </w:p>
        </w:tc>
        <w:tc>
          <w:tcPr>
            <w:tcW w:w="1164" w:type="dxa"/>
            <w:vAlign w:val="center"/>
          </w:tcPr>
          <w:p w:rsidR="00C45648" w:rsidRPr="00422D1A" w:rsidRDefault="00C45648" w:rsidP="00C45648">
            <w:pPr>
              <w:jc w:val="center"/>
              <w:rPr>
                <w:rFonts w:ascii="Arial" w:hAnsi="Arial" w:cs="Arial"/>
                <w:color w:val="000000"/>
                <w:sz w:val="20"/>
                <w:szCs w:val="20"/>
              </w:rPr>
            </w:pPr>
            <w:r w:rsidRPr="00422D1A">
              <w:rPr>
                <w:rFonts w:ascii="Arial" w:hAnsi="Arial" w:cs="Arial"/>
                <w:color w:val="000000"/>
                <w:sz w:val="20"/>
                <w:szCs w:val="20"/>
              </w:rPr>
              <w:t>400</w:t>
            </w:r>
          </w:p>
        </w:tc>
        <w:tc>
          <w:tcPr>
            <w:tcW w:w="2195" w:type="dxa"/>
            <w:vAlign w:val="center"/>
          </w:tcPr>
          <w:p w:rsidR="00C45648" w:rsidRPr="00422D1A" w:rsidRDefault="00C45648" w:rsidP="00C45648">
            <w:pPr>
              <w:jc w:val="center"/>
              <w:rPr>
                <w:rFonts w:ascii="Arial" w:hAnsi="Arial" w:cs="Arial"/>
                <w:color w:val="000000"/>
                <w:sz w:val="20"/>
                <w:szCs w:val="20"/>
              </w:rPr>
            </w:pPr>
            <w:r w:rsidRPr="00422D1A">
              <w:rPr>
                <w:rFonts w:ascii="Arial" w:hAnsi="Arial" w:cs="Arial"/>
                <w:color w:val="000000"/>
                <w:sz w:val="20"/>
                <w:szCs w:val="20"/>
              </w:rPr>
              <w:t>&gt; 220 to ≤ 262 Watts</w:t>
            </w:r>
          </w:p>
        </w:tc>
        <w:tc>
          <w:tcPr>
            <w:tcW w:w="994" w:type="dxa"/>
            <w:vAlign w:val="center"/>
          </w:tcPr>
          <w:p w:rsidR="00C45648" w:rsidRPr="00422D1A" w:rsidRDefault="00C45648" w:rsidP="00C45648">
            <w:pPr>
              <w:jc w:val="center"/>
              <w:rPr>
                <w:rFonts w:ascii="Arial" w:hAnsi="Arial" w:cs="Arial"/>
                <w:color w:val="000000"/>
                <w:sz w:val="20"/>
                <w:szCs w:val="20"/>
              </w:rPr>
            </w:pPr>
            <w:r w:rsidRPr="00422D1A">
              <w:rPr>
                <w:rFonts w:ascii="Arial" w:hAnsi="Arial" w:cs="Arial"/>
                <w:color w:val="000000"/>
                <w:sz w:val="20"/>
                <w:szCs w:val="20"/>
              </w:rPr>
              <w:t>138</w:t>
            </w:r>
          </w:p>
        </w:tc>
        <w:tc>
          <w:tcPr>
            <w:tcW w:w="1228" w:type="dxa"/>
            <w:vAlign w:val="center"/>
          </w:tcPr>
          <w:p w:rsidR="00C45648" w:rsidRPr="00422D1A" w:rsidRDefault="00C45648" w:rsidP="00C45648">
            <w:pPr>
              <w:jc w:val="center"/>
              <w:rPr>
                <w:rFonts w:ascii="Arial" w:hAnsi="Arial" w:cs="Arial"/>
                <w:color w:val="000000"/>
                <w:sz w:val="20"/>
                <w:szCs w:val="20"/>
              </w:rPr>
            </w:pPr>
            <w:r w:rsidRPr="00422D1A">
              <w:rPr>
                <w:rFonts w:ascii="Arial" w:hAnsi="Arial" w:cs="Arial"/>
                <w:color w:val="000000"/>
                <w:sz w:val="20"/>
                <w:szCs w:val="20"/>
              </w:rPr>
              <w:t>15,800</w:t>
            </w:r>
          </w:p>
        </w:tc>
      </w:tr>
      <w:tr w:rsidR="00C45648" w:rsidTr="004A0A9D">
        <w:tc>
          <w:tcPr>
            <w:tcW w:w="3979" w:type="dxa"/>
            <w:vAlign w:val="bottom"/>
          </w:tcPr>
          <w:p w:rsidR="00C45648" w:rsidRPr="00422D1A" w:rsidRDefault="00C45648" w:rsidP="00322FB9">
            <w:pPr>
              <w:rPr>
                <w:rFonts w:ascii="Arial" w:hAnsi="Arial" w:cs="Arial"/>
                <w:color w:val="000000"/>
                <w:sz w:val="20"/>
                <w:szCs w:val="20"/>
              </w:rPr>
            </w:pPr>
            <w:r w:rsidRPr="00422D1A">
              <w:rPr>
                <w:rFonts w:ascii="Arial" w:hAnsi="Arial" w:cs="Arial"/>
                <w:color w:val="000000"/>
                <w:sz w:val="20"/>
                <w:szCs w:val="20"/>
              </w:rPr>
              <w:t>Pulse-Start MH 400</w:t>
            </w:r>
          </w:p>
        </w:tc>
        <w:tc>
          <w:tcPr>
            <w:tcW w:w="1164" w:type="dxa"/>
            <w:vAlign w:val="center"/>
          </w:tcPr>
          <w:p w:rsidR="00C45648" w:rsidRPr="00422D1A" w:rsidRDefault="00C45648" w:rsidP="00C45648">
            <w:pPr>
              <w:jc w:val="center"/>
              <w:rPr>
                <w:rFonts w:ascii="Arial" w:hAnsi="Arial" w:cs="Arial"/>
                <w:color w:val="000000"/>
                <w:sz w:val="20"/>
                <w:szCs w:val="20"/>
              </w:rPr>
            </w:pPr>
            <w:r w:rsidRPr="00422D1A">
              <w:rPr>
                <w:rFonts w:ascii="Arial" w:hAnsi="Arial" w:cs="Arial"/>
                <w:color w:val="000000"/>
                <w:sz w:val="20"/>
                <w:szCs w:val="20"/>
              </w:rPr>
              <w:t>456</w:t>
            </w:r>
          </w:p>
        </w:tc>
        <w:tc>
          <w:tcPr>
            <w:tcW w:w="2195" w:type="dxa"/>
            <w:vAlign w:val="center"/>
          </w:tcPr>
          <w:p w:rsidR="00C45648" w:rsidRPr="00422D1A" w:rsidRDefault="00C45648" w:rsidP="00C45648">
            <w:pPr>
              <w:jc w:val="center"/>
              <w:rPr>
                <w:rFonts w:ascii="Arial" w:hAnsi="Arial" w:cs="Arial"/>
                <w:color w:val="000000"/>
                <w:sz w:val="20"/>
                <w:szCs w:val="20"/>
              </w:rPr>
            </w:pPr>
            <w:r w:rsidRPr="00422D1A">
              <w:rPr>
                <w:rFonts w:ascii="Arial" w:hAnsi="Arial" w:cs="Arial"/>
                <w:color w:val="000000"/>
                <w:sz w:val="20"/>
                <w:szCs w:val="20"/>
              </w:rPr>
              <w:t>&gt; 262 to ≤ 280 Watts</w:t>
            </w:r>
          </w:p>
        </w:tc>
        <w:tc>
          <w:tcPr>
            <w:tcW w:w="994" w:type="dxa"/>
            <w:vAlign w:val="center"/>
          </w:tcPr>
          <w:p w:rsidR="00C45648" w:rsidRPr="00422D1A" w:rsidRDefault="00C45648" w:rsidP="00C45648">
            <w:pPr>
              <w:jc w:val="center"/>
              <w:rPr>
                <w:rFonts w:ascii="Arial" w:hAnsi="Arial" w:cs="Arial"/>
                <w:color w:val="000000"/>
                <w:sz w:val="20"/>
                <w:szCs w:val="20"/>
              </w:rPr>
            </w:pPr>
            <w:r w:rsidRPr="00422D1A">
              <w:rPr>
                <w:rFonts w:ascii="Arial" w:hAnsi="Arial" w:cs="Arial"/>
                <w:color w:val="000000"/>
                <w:sz w:val="20"/>
                <w:szCs w:val="20"/>
              </w:rPr>
              <w:t>176</w:t>
            </w:r>
          </w:p>
        </w:tc>
        <w:tc>
          <w:tcPr>
            <w:tcW w:w="1228" w:type="dxa"/>
            <w:vAlign w:val="center"/>
          </w:tcPr>
          <w:p w:rsidR="00C45648" w:rsidRPr="00422D1A" w:rsidRDefault="00C45648" w:rsidP="00C45648">
            <w:pPr>
              <w:jc w:val="center"/>
              <w:rPr>
                <w:rFonts w:ascii="Arial" w:hAnsi="Arial" w:cs="Arial"/>
                <w:color w:val="000000"/>
                <w:sz w:val="20"/>
                <w:szCs w:val="20"/>
              </w:rPr>
            </w:pPr>
            <w:r w:rsidRPr="00422D1A">
              <w:rPr>
                <w:rFonts w:ascii="Arial" w:hAnsi="Arial" w:cs="Arial"/>
                <w:color w:val="000000"/>
                <w:sz w:val="20"/>
                <w:szCs w:val="20"/>
              </w:rPr>
              <w:t>21,600</w:t>
            </w:r>
          </w:p>
        </w:tc>
      </w:tr>
      <w:tr w:rsidR="00C45648" w:rsidTr="004A0A9D">
        <w:tc>
          <w:tcPr>
            <w:tcW w:w="3979" w:type="dxa"/>
            <w:vAlign w:val="bottom"/>
          </w:tcPr>
          <w:p w:rsidR="00C45648" w:rsidRPr="00422D1A" w:rsidRDefault="00C45648" w:rsidP="00322FB9">
            <w:pPr>
              <w:rPr>
                <w:rFonts w:ascii="Arial" w:hAnsi="Arial" w:cs="Arial"/>
                <w:color w:val="000000"/>
                <w:sz w:val="20"/>
                <w:szCs w:val="20"/>
              </w:rPr>
            </w:pPr>
            <w:r w:rsidRPr="00422D1A">
              <w:rPr>
                <w:rFonts w:ascii="Arial" w:hAnsi="Arial" w:cs="Arial"/>
                <w:color w:val="000000"/>
                <w:sz w:val="20"/>
                <w:szCs w:val="20"/>
              </w:rPr>
              <w:t>Pulse-Start MH 450</w:t>
            </w:r>
          </w:p>
        </w:tc>
        <w:tc>
          <w:tcPr>
            <w:tcW w:w="1164" w:type="dxa"/>
            <w:vAlign w:val="center"/>
          </w:tcPr>
          <w:p w:rsidR="00C45648" w:rsidRPr="00422D1A" w:rsidRDefault="00C45648" w:rsidP="00C45648">
            <w:pPr>
              <w:jc w:val="center"/>
              <w:rPr>
                <w:rFonts w:ascii="Arial" w:hAnsi="Arial" w:cs="Arial"/>
                <w:color w:val="000000"/>
                <w:sz w:val="20"/>
                <w:szCs w:val="20"/>
              </w:rPr>
            </w:pPr>
            <w:r w:rsidRPr="00422D1A">
              <w:rPr>
                <w:rFonts w:ascii="Arial" w:hAnsi="Arial" w:cs="Arial"/>
                <w:color w:val="000000"/>
                <w:sz w:val="20"/>
                <w:szCs w:val="20"/>
              </w:rPr>
              <w:t>506</w:t>
            </w:r>
          </w:p>
        </w:tc>
        <w:tc>
          <w:tcPr>
            <w:tcW w:w="2195" w:type="dxa"/>
            <w:vAlign w:val="center"/>
          </w:tcPr>
          <w:p w:rsidR="00C45648" w:rsidRPr="00422D1A" w:rsidRDefault="00C45648" w:rsidP="00C45648">
            <w:pPr>
              <w:jc w:val="center"/>
              <w:rPr>
                <w:rFonts w:ascii="Arial" w:hAnsi="Arial" w:cs="Arial"/>
                <w:color w:val="000000"/>
                <w:sz w:val="20"/>
                <w:szCs w:val="20"/>
              </w:rPr>
            </w:pPr>
            <w:r w:rsidRPr="00422D1A">
              <w:rPr>
                <w:rFonts w:ascii="Arial" w:hAnsi="Arial" w:cs="Arial"/>
                <w:color w:val="000000"/>
                <w:sz w:val="20"/>
                <w:szCs w:val="20"/>
              </w:rPr>
              <w:t>&gt; 280 to ≤ 320 Watts</w:t>
            </w:r>
          </w:p>
        </w:tc>
        <w:tc>
          <w:tcPr>
            <w:tcW w:w="994" w:type="dxa"/>
            <w:vAlign w:val="center"/>
          </w:tcPr>
          <w:p w:rsidR="00C45648" w:rsidRPr="00422D1A" w:rsidRDefault="00C45648" w:rsidP="00C45648">
            <w:pPr>
              <w:jc w:val="center"/>
              <w:rPr>
                <w:rFonts w:ascii="Arial" w:hAnsi="Arial" w:cs="Arial"/>
                <w:color w:val="000000"/>
                <w:sz w:val="20"/>
                <w:szCs w:val="20"/>
              </w:rPr>
            </w:pPr>
            <w:r w:rsidRPr="00422D1A">
              <w:rPr>
                <w:rFonts w:ascii="Arial" w:hAnsi="Arial" w:cs="Arial"/>
                <w:color w:val="000000"/>
                <w:sz w:val="20"/>
                <w:szCs w:val="20"/>
              </w:rPr>
              <w:t>186</w:t>
            </w:r>
          </w:p>
        </w:tc>
        <w:tc>
          <w:tcPr>
            <w:tcW w:w="1228" w:type="dxa"/>
            <w:vAlign w:val="center"/>
          </w:tcPr>
          <w:p w:rsidR="00C45648" w:rsidRPr="00422D1A" w:rsidRDefault="00C45648" w:rsidP="00C45648">
            <w:pPr>
              <w:jc w:val="center"/>
              <w:rPr>
                <w:rFonts w:ascii="Arial" w:hAnsi="Arial" w:cs="Arial"/>
                <w:color w:val="000000"/>
                <w:sz w:val="20"/>
                <w:szCs w:val="20"/>
              </w:rPr>
            </w:pPr>
            <w:r w:rsidRPr="00422D1A">
              <w:rPr>
                <w:rFonts w:ascii="Arial" w:hAnsi="Arial" w:cs="Arial"/>
                <w:color w:val="000000"/>
                <w:sz w:val="20"/>
                <w:szCs w:val="20"/>
              </w:rPr>
              <w:t>23,900</w:t>
            </w:r>
          </w:p>
        </w:tc>
      </w:tr>
      <w:tr w:rsidR="00C45648" w:rsidTr="004A0A9D">
        <w:tc>
          <w:tcPr>
            <w:tcW w:w="3979" w:type="dxa"/>
            <w:vAlign w:val="bottom"/>
          </w:tcPr>
          <w:p w:rsidR="00C45648" w:rsidRPr="00422D1A" w:rsidRDefault="00C45648" w:rsidP="00322FB9">
            <w:pPr>
              <w:rPr>
                <w:rFonts w:ascii="Arial" w:hAnsi="Arial" w:cs="Arial"/>
                <w:color w:val="000000"/>
                <w:sz w:val="20"/>
                <w:szCs w:val="20"/>
              </w:rPr>
            </w:pPr>
            <w:r w:rsidRPr="00422D1A">
              <w:rPr>
                <w:rFonts w:ascii="Arial" w:hAnsi="Arial" w:cs="Arial"/>
                <w:color w:val="000000"/>
                <w:sz w:val="20"/>
                <w:szCs w:val="20"/>
              </w:rPr>
              <w:t>Pulse-Start MH 750</w:t>
            </w:r>
          </w:p>
        </w:tc>
        <w:tc>
          <w:tcPr>
            <w:tcW w:w="1164" w:type="dxa"/>
            <w:vAlign w:val="center"/>
          </w:tcPr>
          <w:p w:rsidR="00C45648" w:rsidRPr="00422D1A" w:rsidRDefault="00C45648" w:rsidP="00C45648">
            <w:pPr>
              <w:jc w:val="center"/>
              <w:rPr>
                <w:rFonts w:ascii="Arial" w:hAnsi="Arial" w:cs="Arial"/>
                <w:color w:val="000000"/>
                <w:sz w:val="20"/>
                <w:szCs w:val="20"/>
              </w:rPr>
            </w:pPr>
            <w:r w:rsidRPr="00422D1A">
              <w:rPr>
                <w:rFonts w:ascii="Arial" w:hAnsi="Arial" w:cs="Arial"/>
                <w:color w:val="000000"/>
                <w:sz w:val="20"/>
                <w:szCs w:val="20"/>
              </w:rPr>
              <w:t>818</w:t>
            </w:r>
          </w:p>
        </w:tc>
        <w:tc>
          <w:tcPr>
            <w:tcW w:w="2195" w:type="dxa"/>
            <w:vAlign w:val="center"/>
          </w:tcPr>
          <w:p w:rsidR="00C45648" w:rsidRPr="00422D1A" w:rsidRDefault="00C45648" w:rsidP="00C45648">
            <w:pPr>
              <w:jc w:val="center"/>
              <w:rPr>
                <w:rFonts w:ascii="Arial" w:hAnsi="Arial" w:cs="Arial"/>
                <w:color w:val="000000"/>
                <w:sz w:val="20"/>
                <w:szCs w:val="20"/>
              </w:rPr>
            </w:pPr>
            <w:r w:rsidRPr="00422D1A">
              <w:rPr>
                <w:rFonts w:ascii="Arial" w:hAnsi="Arial" w:cs="Arial"/>
                <w:color w:val="000000"/>
                <w:sz w:val="20"/>
                <w:szCs w:val="20"/>
              </w:rPr>
              <w:t>&gt; 320 to ≤ 500 Watts</w:t>
            </w:r>
          </w:p>
        </w:tc>
        <w:tc>
          <w:tcPr>
            <w:tcW w:w="994" w:type="dxa"/>
            <w:vAlign w:val="center"/>
          </w:tcPr>
          <w:p w:rsidR="00C45648" w:rsidRPr="00422D1A" w:rsidRDefault="00C45648" w:rsidP="00C45648">
            <w:pPr>
              <w:jc w:val="center"/>
              <w:rPr>
                <w:rFonts w:ascii="Arial" w:hAnsi="Arial" w:cs="Arial"/>
                <w:color w:val="000000"/>
                <w:sz w:val="20"/>
                <w:szCs w:val="20"/>
              </w:rPr>
            </w:pPr>
            <w:r w:rsidRPr="00422D1A">
              <w:rPr>
                <w:rFonts w:ascii="Arial" w:hAnsi="Arial" w:cs="Arial"/>
                <w:color w:val="000000"/>
                <w:sz w:val="20"/>
                <w:szCs w:val="20"/>
              </w:rPr>
              <w:t>318</w:t>
            </w:r>
          </w:p>
        </w:tc>
        <w:tc>
          <w:tcPr>
            <w:tcW w:w="1228" w:type="dxa"/>
            <w:vAlign w:val="center"/>
          </w:tcPr>
          <w:p w:rsidR="00C45648" w:rsidRPr="00422D1A" w:rsidRDefault="00C45648" w:rsidP="00C45648">
            <w:pPr>
              <w:jc w:val="center"/>
              <w:rPr>
                <w:rFonts w:ascii="Arial" w:hAnsi="Arial" w:cs="Arial"/>
                <w:color w:val="000000"/>
                <w:sz w:val="20"/>
                <w:szCs w:val="20"/>
              </w:rPr>
            </w:pPr>
            <w:r w:rsidRPr="00422D1A">
              <w:rPr>
                <w:rFonts w:ascii="Arial" w:hAnsi="Arial" w:cs="Arial"/>
                <w:color w:val="000000"/>
                <w:sz w:val="20"/>
                <w:szCs w:val="20"/>
              </w:rPr>
              <w:t>32,300</w:t>
            </w:r>
          </w:p>
        </w:tc>
      </w:tr>
      <w:tr w:rsidR="00C45648" w:rsidTr="004A0A9D">
        <w:tc>
          <w:tcPr>
            <w:tcW w:w="3979" w:type="dxa"/>
            <w:vAlign w:val="bottom"/>
          </w:tcPr>
          <w:p w:rsidR="00C45648" w:rsidRPr="00422D1A" w:rsidRDefault="00C45648" w:rsidP="00322FB9">
            <w:pPr>
              <w:rPr>
                <w:rFonts w:ascii="Arial" w:hAnsi="Arial" w:cs="Arial"/>
                <w:color w:val="000000"/>
                <w:sz w:val="20"/>
                <w:szCs w:val="20"/>
              </w:rPr>
            </w:pPr>
            <w:r w:rsidRPr="00422D1A">
              <w:rPr>
                <w:rFonts w:ascii="Arial" w:hAnsi="Arial" w:cs="Arial"/>
                <w:color w:val="000000"/>
                <w:sz w:val="20"/>
                <w:szCs w:val="20"/>
              </w:rPr>
              <w:t>Pulse-Start MH 1000</w:t>
            </w:r>
          </w:p>
        </w:tc>
        <w:tc>
          <w:tcPr>
            <w:tcW w:w="1164" w:type="dxa"/>
            <w:vAlign w:val="center"/>
          </w:tcPr>
          <w:p w:rsidR="00C45648" w:rsidRPr="00422D1A" w:rsidRDefault="00C45648" w:rsidP="00C45648">
            <w:pPr>
              <w:jc w:val="center"/>
              <w:rPr>
                <w:rFonts w:ascii="Arial" w:hAnsi="Arial" w:cs="Arial"/>
                <w:color w:val="000000"/>
                <w:sz w:val="20"/>
                <w:szCs w:val="20"/>
              </w:rPr>
            </w:pPr>
            <w:r w:rsidRPr="00422D1A">
              <w:rPr>
                <w:rFonts w:ascii="Arial" w:hAnsi="Arial" w:cs="Arial"/>
                <w:color w:val="000000"/>
                <w:sz w:val="20"/>
                <w:szCs w:val="20"/>
              </w:rPr>
              <w:t>1080</w:t>
            </w:r>
          </w:p>
        </w:tc>
        <w:tc>
          <w:tcPr>
            <w:tcW w:w="2195" w:type="dxa"/>
            <w:vAlign w:val="center"/>
          </w:tcPr>
          <w:p w:rsidR="00C45648" w:rsidRPr="00422D1A" w:rsidRDefault="00C45648" w:rsidP="00C45648">
            <w:pPr>
              <w:jc w:val="center"/>
              <w:rPr>
                <w:rFonts w:ascii="Arial" w:hAnsi="Arial" w:cs="Arial"/>
                <w:color w:val="000000"/>
                <w:sz w:val="20"/>
                <w:szCs w:val="20"/>
              </w:rPr>
            </w:pPr>
            <w:r w:rsidRPr="00422D1A">
              <w:rPr>
                <w:rFonts w:ascii="Arial" w:hAnsi="Arial" w:cs="Arial"/>
                <w:color w:val="000000"/>
                <w:sz w:val="20"/>
                <w:szCs w:val="20"/>
              </w:rPr>
              <w:t>&gt; 500 to ≤ 750 Watts</w:t>
            </w:r>
          </w:p>
        </w:tc>
        <w:tc>
          <w:tcPr>
            <w:tcW w:w="994" w:type="dxa"/>
            <w:vAlign w:val="center"/>
          </w:tcPr>
          <w:p w:rsidR="00C45648" w:rsidRPr="00422D1A" w:rsidRDefault="00C45648" w:rsidP="00C45648">
            <w:pPr>
              <w:jc w:val="center"/>
              <w:rPr>
                <w:rFonts w:ascii="Arial" w:hAnsi="Arial" w:cs="Arial"/>
                <w:color w:val="000000"/>
                <w:sz w:val="20"/>
                <w:szCs w:val="20"/>
              </w:rPr>
            </w:pPr>
            <w:r w:rsidRPr="00422D1A">
              <w:rPr>
                <w:rFonts w:ascii="Arial" w:hAnsi="Arial" w:cs="Arial"/>
                <w:color w:val="000000"/>
                <w:sz w:val="20"/>
                <w:szCs w:val="20"/>
              </w:rPr>
              <w:t>330</w:t>
            </w:r>
          </w:p>
        </w:tc>
        <w:tc>
          <w:tcPr>
            <w:tcW w:w="1228" w:type="dxa"/>
            <w:vAlign w:val="center"/>
          </w:tcPr>
          <w:p w:rsidR="00C45648" w:rsidRPr="00422D1A" w:rsidRDefault="00C45648" w:rsidP="00C45648">
            <w:pPr>
              <w:jc w:val="center"/>
              <w:rPr>
                <w:rFonts w:ascii="Arial" w:hAnsi="Arial" w:cs="Arial"/>
                <w:color w:val="000000"/>
                <w:sz w:val="20"/>
                <w:szCs w:val="20"/>
              </w:rPr>
            </w:pPr>
            <w:r w:rsidRPr="00422D1A">
              <w:rPr>
                <w:rFonts w:ascii="Arial" w:hAnsi="Arial" w:cs="Arial"/>
                <w:color w:val="000000"/>
                <w:sz w:val="20"/>
                <w:szCs w:val="20"/>
              </w:rPr>
              <w:t>43,400</w:t>
            </w:r>
          </w:p>
        </w:tc>
      </w:tr>
      <w:tr w:rsidR="004A0A9D" w:rsidTr="004A0A9D">
        <w:tc>
          <w:tcPr>
            <w:tcW w:w="3979" w:type="dxa"/>
          </w:tcPr>
          <w:p w:rsidR="004A0A9D" w:rsidRPr="00422D1A" w:rsidRDefault="004A0A9D" w:rsidP="009D283C">
            <w:pPr>
              <w:rPr>
                <w:rFonts w:ascii="Arial" w:hAnsi="Arial" w:cs="Arial"/>
                <w:color w:val="000000"/>
                <w:sz w:val="20"/>
                <w:szCs w:val="20"/>
              </w:rPr>
            </w:pPr>
            <w:r w:rsidRPr="00422D1A">
              <w:rPr>
                <w:rFonts w:ascii="Arial" w:hAnsi="Arial" w:cs="Arial"/>
                <w:color w:val="000000"/>
                <w:sz w:val="20"/>
                <w:szCs w:val="20"/>
              </w:rPr>
              <w:t xml:space="preserve">T8 </w:t>
            </w:r>
            <w:r>
              <w:rPr>
                <w:rFonts w:ascii="Arial" w:hAnsi="Arial" w:cs="Arial"/>
                <w:color w:val="000000"/>
                <w:sz w:val="20"/>
                <w:szCs w:val="20"/>
              </w:rPr>
              <w:t>Linear Fluorescent</w:t>
            </w:r>
            <w:r w:rsidRPr="00422D1A">
              <w:rPr>
                <w:rFonts w:ascii="Arial" w:hAnsi="Arial" w:cs="Arial"/>
                <w:color w:val="000000"/>
                <w:sz w:val="20"/>
                <w:szCs w:val="20"/>
              </w:rPr>
              <w:t xml:space="preserve"> 2nd generation 4L VHLO</w:t>
            </w:r>
          </w:p>
        </w:tc>
        <w:tc>
          <w:tcPr>
            <w:tcW w:w="1164" w:type="dxa"/>
            <w:vAlign w:val="center"/>
          </w:tcPr>
          <w:p w:rsidR="004A0A9D" w:rsidRDefault="004A0A9D" w:rsidP="004A0A9D">
            <w:pPr>
              <w:jc w:val="center"/>
              <w:rPr>
                <w:rFonts w:ascii="Arial" w:hAnsi="Arial" w:cs="Arial"/>
                <w:sz w:val="20"/>
                <w:szCs w:val="20"/>
              </w:rPr>
            </w:pPr>
            <w:r>
              <w:rPr>
                <w:rFonts w:ascii="Arial" w:hAnsi="Arial" w:cs="Arial"/>
                <w:sz w:val="20"/>
                <w:szCs w:val="20"/>
              </w:rPr>
              <w:t>151</w:t>
            </w:r>
          </w:p>
        </w:tc>
        <w:tc>
          <w:tcPr>
            <w:tcW w:w="2195" w:type="dxa"/>
            <w:vAlign w:val="center"/>
          </w:tcPr>
          <w:p w:rsidR="004A0A9D" w:rsidRPr="00422D1A" w:rsidRDefault="004A0A9D" w:rsidP="009D283C">
            <w:pPr>
              <w:jc w:val="center"/>
              <w:rPr>
                <w:rFonts w:ascii="Arial" w:hAnsi="Arial" w:cs="Arial"/>
                <w:color w:val="000000"/>
                <w:sz w:val="20"/>
                <w:szCs w:val="20"/>
              </w:rPr>
            </w:pPr>
            <w:r w:rsidRPr="00422D1A">
              <w:rPr>
                <w:rFonts w:ascii="Arial" w:hAnsi="Arial" w:cs="Arial"/>
                <w:color w:val="000000"/>
                <w:sz w:val="20"/>
                <w:szCs w:val="20"/>
              </w:rPr>
              <w:t>48 to ≤ 131 Watts</w:t>
            </w:r>
          </w:p>
        </w:tc>
        <w:tc>
          <w:tcPr>
            <w:tcW w:w="994" w:type="dxa"/>
            <w:vAlign w:val="center"/>
          </w:tcPr>
          <w:p w:rsidR="004A0A9D" w:rsidRDefault="004A0A9D" w:rsidP="004A0A9D">
            <w:pPr>
              <w:jc w:val="center"/>
              <w:rPr>
                <w:rFonts w:ascii="Arial" w:hAnsi="Arial" w:cs="Arial"/>
                <w:sz w:val="20"/>
                <w:szCs w:val="20"/>
              </w:rPr>
            </w:pPr>
            <w:r>
              <w:rPr>
                <w:rFonts w:ascii="Arial" w:hAnsi="Arial" w:cs="Arial"/>
                <w:sz w:val="20"/>
                <w:szCs w:val="20"/>
              </w:rPr>
              <w:t>20</w:t>
            </w:r>
          </w:p>
        </w:tc>
        <w:tc>
          <w:tcPr>
            <w:tcW w:w="1228" w:type="dxa"/>
            <w:vAlign w:val="center"/>
          </w:tcPr>
          <w:p w:rsidR="004A0A9D" w:rsidRPr="00422D1A" w:rsidRDefault="004A0A9D" w:rsidP="009D283C">
            <w:pPr>
              <w:jc w:val="center"/>
              <w:rPr>
                <w:rFonts w:ascii="Arial" w:hAnsi="Arial" w:cs="Arial"/>
                <w:color w:val="000000"/>
                <w:sz w:val="20"/>
                <w:szCs w:val="20"/>
              </w:rPr>
            </w:pPr>
            <w:r w:rsidRPr="00422D1A">
              <w:rPr>
                <w:rFonts w:ascii="Arial" w:hAnsi="Arial" w:cs="Arial"/>
                <w:color w:val="000000"/>
                <w:sz w:val="20"/>
                <w:szCs w:val="20"/>
              </w:rPr>
              <w:t>6,200</w:t>
            </w:r>
          </w:p>
        </w:tc>
      </w:tr>
      <w:tr w:rsidR="004A0A9D" w:rsidTr="004A0A9D">
        <w:tc>
          <w:tcPr>
            <w:tcW w:w="3979" w:type="dxa"/>
          </w:tcPr>
          <w:p w:rsidR="004A0A9D" w:rsidRPr="00422D1A" w:rsidRDefault="004A0A9D" w:rsidP="009D283C">
            <w:pPr>
              <w:rPr>
                <w:rFonts w:ascii="Arial" w:hAnsi="Arial" w:cs="Arial"/>
                <w:color w:val="000000"/>
                <w:sz w:val="20"/>
                <w:szCs w:val="20"/>
              </w:rPr>
            </w:pPr>
            <w:r w:rsidRPr="00422D1A">
              <w:rPr>
                <w:rFonts w:ascii="Arial" w:hAnsi="Arial" w:cs="Arial"/>
                <w:color w:val="000000"/>
                <w:sz w:val="20"/>
                <w:szCs w:val="20"/>
              </w:rPr>
              <w:t xml:space="preserve">T8 </w:t>
            </w:r>
            <w:r>
              <w:rPr>
                <w:rFonts w:ascii="Arial" w:hAnsi="Arial" w:cs="Arial"/>
                <w:color w:val="000000"/>
                <w:sz w:val="20"/>
                <w:szCs w:val="20"/>
              </w:rPr>
              <w:t>Linear Fluorescent</w:t>
            </w:r>
            <w:r w:rsidRPr="00422D1A">
              <w:rPr>
                <w:rFonts w:ascii="Arial" w:hAnsi="Arial" w:cs="Arial"/>
                <w:color w:val="000000"/>
                <w:sz w:val="20"/>
                <w:szCs w:val="20"/>
              </w:rPr>
              <w:t xml:space="preserve"> 2nd generation 6L VHLO</w:t>
            </w:r>
          </w:p>
        </w:tc>
        <w:tc>
          <w:tcPr>
            <w:tcW w:w="1164" w:type="dxa"/>
            <w:vAlign w:val="center"/>
          </w:tcPr>
          <w:p w:rsidR="004A0A9D" w:rsidRDefault="004A0A9D" w:rsidP="004A0A9D">
            <w:pPr>
              <w:jc w:val="center"/>
              <w:rPr>
                <w:rFonts w:ascii="Arial" w:hAnsi="Arial" w:cs="Arial"/>
                <w:sz w:val="20"/>
                <w:szCs w:val="20"/>
              </w:rPr>
            </w:pPr>
            <w:r>
              <w:rPr>
                <w:rFonts w:ascii="Arial" w:hAnsi="Arial" w:cs="Arial"/>
                <w:sz w:val="20"/>
                <w:szCs w:val="20"/>
              </w:rPr>
              <w:t>226</w:t>
            </w:r>
          </w:p>
        </w:tc>
        <w:tc>
          <w:tcPr>
            <w:tcW w:w="2195" w:type="dxa"/>
            <w:vAlign w:val="center"/>
          </w:tcPr>
          <w:p w:rsidR="004A0A9D" w:rsidRPr="00422D1A" w:rsidRDefault="004A0A9D" w:rsidP="009D283C">
            <w:pPr>
              <w:jc w:val="center"/>
              <w:rPr>
                <w:rFonts w:ascii="Arial" w:hAnsi="Arial" w:cs="Arial"/>
                <w:color w:val="000000"/>
                <w:sz w:val="20"/>
                <w:szCs w:val="20"/>
              </w:rPr>
            </w:pPr>
            <w:r w:rsidRPr="00422D1A">
              <w:rPr>
                <w:rFonts w:ascii="Arial" w:hAnsi="Arial" w:cs="Arial"/>
                <w:color w:val="000000"/>
                <w:sz w:val="20"/>
                <w:szCs w:val="20"/>
              </w:rPr>
              <w:t>&gt; 131 to ≤ 160 Watts</w:t>
            </w:r>
          </w:p>
        </w:tc>
        <w:tc>
          <w:tcPr>
            <w:tcW w:w="994" w:type="dxa"/>
            <w:vAlign w:val="center"/>
          </w:tcPr>
          <w:p w:rsidR="004A0A9D" w:rsidRDefault="004A0A9D" w:rsidP="004A0A9D">
            <w:pPr>
              <w:jc w:val="center"/>
              <w:rPr>
                <w:rFonts w:ascii="Arial" w:hAnsi="Arial" w:cs="Arial"/>
                <w:sz w:val="20"/>
                <w:szCs w:val="20"/>
              </w:rPr>
            </w:pPr>
            <w:r>
              <w:rPr>
                <w:rFonts w:ascii="Arial" w:hAnsi="Arial" w:cs="Arial"/>
                <w:sz w:val="20"/>
                <w:szCs w:val="20"/>
              </w:rPr>
              <w:t>66</w:t>
            </w:r>
          </w:p>
        </w:tc>
        <w:tc>
          <w:tcPr>
            <w:tcW w:w="1228" w:type="dxa"/>
            <w:vAlign w:val="center"/>
          </w:tcPr>
          <w:p w:rsidR="004A0A9D" w:rsidRPr="00422D1A" w:rsidRDefault="004A0A9D" w:rsidP="009D283C">
            <w:pPr>
              <w:jc w:val="center"/>
              <w:rPr>
                <w:rFonts w:ascii="Arial" w:hAnsi="Arial" w:cs="Arial"/>
                <w:color w:val="000000"/>
                <w:sz w:val="20"/>
                <w:szCs w:val="20"/>
              </w:rPr>
            </w:pPr>
            <w:r w:rsidRPr="00422D1A">
              <w:rPr>
                <w:rFonts w:ascii="Arial" w:hAnsi="Arial" w:cs="Arial"/>
                <w:color w:val="000000"/>
                <w:sz w:val="20"/>
                <w:szCs w:val="20"/>
              </w:rPr>
              <w:t>9,600</w:t>
            </w:r>
          </w:p>
        </w:tc>
      </w:tr>
      <w:tr w:rsidR="004A0A9D" w:rsidTr="004A0A9D">
        <w:tc>
          <w:tcPr>
            <w:tcW w:w="3979" w:type="dxa"/>
          </w:tcPr>
          <w:p w:rsidR="004A0A9D" w:rsidRPr="00422D1A" w:rsidRDefault="004A0A9D" w:rsidP="009D283C">
            <w:pPr>
              <w:rPr>
                <w:rFonts w:ascii="Arial" w:hAnsi="Arial" w:cs="Arial"/>
                <w:color w:val="000000"/>
                <w:sz w:val="20"/>
                <w:szCs w:val="20"/>
              </w:rPr>
            </w:pPr>
            <w:r w:rsidRPr="00422D1A">
              <w:rPr>
                <w:rFonts w:ascii="Arial" w:hAnsi="Arial" w:cs="Arial"/>
                <w:color w:val="000000"/>
                <w:sz w:val="20"/>
                <w:szCs w:val="20"/>
              </w:rPr>
              <w:t xml:space="preserve">T8 </w:t>
            </w:r>
            <w:r>
              <w:rPr>
                <w:rFonts w:ascii="Arial" w:hAnsi="Arial" w:cs="Arial"/>
                <w:color w:val="000000"/>
                <w:sz w:val="20"/>
                <w:szCs w:val="20"/>
              </w:rPr>
              <w:t>Linear Fluorescent</w:t>
            </w:r>
            <w:r w:rsidRPr="00422D1A">
              <w:rPr>
                <w:rFonts w:ascii="Arial" w:hAnsi="Arial" w:cs="Arial"/>
                <w:color w:val="000000"/>
                <w:sz w:val="20"/>
                <w:szCs w:val="20"/>
              </w:rPr>
              <w:t xml:space="preserve"> 2nd generation 8L VHLO</w:t>
            </w:r>
          </w:p>
        </w:tc>
        <w:tc>
          <w:tcPr>
            <w:tcW w:w="1164" w:type="dxa"/>
            <w:vAlign w:val="center"/>
          </w:tcPr>
          <w:p w:rsidR="004A0A9D" w:rsidRDefault="004A0A9D" w:rsidP="004A0A9D">
            <w:pPr>
              <w:jc w:val="center"/>
              <w:rPr>
                <w:rFonts w:ascii="Arial" w:hAnsi="Arial" w:cs="Arial"/>
                <w:sz w:val="20"/>
                <w:szCs w:val="20"/>
              </w:rPr>
            </w:pPr>
            <w:r>
              <w:rPr>
                <w:rFonts w:ascii="Arial" w:hAnsi="Arial" w:cs="Arial"/>
                <w:sz w:val="20"/>
                <w:szCs w:val="20"/>
              </w:rPr>
              <w:t>302</w:t>
            </w:r>
          </w:p>
        </w:tc>
        <w:tc>
          <w:tcPr>
            <w:tcW w:w="2195" w:type="dxa"/>
            <w:vAlign w:val="center"/>
          </w:tcPr>
          <w:p w:rsidR="004A0A9D" w:rsidRPr="00422D1A" w:rsidRDefault="004A0A9D" w:rsidP="004A0A9D">
            <w:pPr>
              <w:jc w:val="center"/>
              <w:rPr>
                <w:rFonts w:ascii="Arial" w:hAnsi="Arial" w:cs="Arial"/>
                <w:color w:val="000000"/>
                <w:sz w:val="20"/>
                <w:szCs w:val="20"/>
              </w:rPr>
            </w:pPr>
            <w:r w:rsidRPr="00422D1A">
              <w:rPr>
                <w:rFonts w:ascii="Arial" w:hAnsi="Arial" w:cs="Arial"/>
                <w:color w:val="000000"/>
                <w:sz w:val="20"/>
                <w:szCs w:val="20"/>
              </w:rPr>
              <w:t xml:space="preserve">&gt; 160 to ≤ </w:t>
            </w:r>
            <w:r>
              <w:rPr>
                <w:rFonts w:ascii="Arial" w:hAnsi="Arial" w:cs="Arial"/>
                <w:color w:val="000000"/>
                <w:sz w:val="20"/>
                <w:szCs w:val="20"/>
              </w:rPr>
              <w:t>220</w:t>
            </w:r>
            <w:r w:rsidRPr="00422D1A">
              <w:rPr>
                <w:rFonts w:ascii="Arial" w:hAnsi="Arial" w:cs="Arial"/>
                <w:color w:val="000000"/>
                <w:sz w:val="20"/>
                <w:szCs w:val="20"/>
              </w:rPr>
              <w:t xml:space="preserve"> Watts</w:t>
            </w:r>
          </w:p>
        </w:tc>
        <w:tc>
          <w:tcPr>
            <w:tcW w:w="994" w:type="dxa"/>
            <w:vAlign w:val="center"/>
          </w:tcPr>
          <w:p w:rsidR="004A0A9D" w:rsidRDefault="00EA0B53" w:rsidP="004A0A9D">
            <w:pPr>
              <w:jc w:val="center"/>
              <w:rPr>
                <w:rFonts w:ascii="Arial" w:hAnsi="Arial" w:cs="Arial"/>
                <w:sz w:val="20"/>
                <w:szCs w:val="20"/>
              </w:rPr>
            </w:pPr>
            <w:r>
              <w:rPr>
                <w:rFonts w:ascii="Arial" w:hAnsi="Arial" w:cs="Arial"/>
                <w:sz w:val="20"/>
                <w:szCs w:val="20"/>
              </w:rPr>
              <w:t>82</w:t>
            </w:r>
          </w:p>
        </w:tc>
        <w:tc>
          <w:tcPr>
            <w:tcW w:w="1228" w:type="dxa"/>
            <w:vAlign w:val="center"/>
          </w:tcPr>
          <w:p w:rsidR="004A0A9D" w:rsidRPr="00422D1A" w:rsidRDefault="004A0A9D" w:rsidP="009D283C">
            <w:pPr>
              <w:jc w:val="center"/>
              <w:rPr>
                <w:rFonts w:ascii="Arial" w:hAnsi="Arial" w:cs="Arial"/>
                <w:color w:val="000000"/>
                <w:sz w:val="20"/>
                <w:szCs w:val="20"/>
              </w:rPr>
            </w:pPr>
            <w:r w:rsidRPr="00422D1A">
              <w:rPr>
                <w:rFonts w:ascii="Arial" w:hAnsi="Arial" w:cs="Arial"/>
                <w:color w:val="000000"/>
                <w:sz w:val="20"/>
                <w:szCs w:val="20"/>
              </w:rPr>
              <w:t>11,200</w:t>
            </w:r>
          </w:p>
        </w:tc>
      </w:tr>
    </w:tbl>
    <w:p w:rsidR="003B44BB" w:rsidRDefault="003B44BB" w:rsidP="001A3026">
      <w:pPr>
        <w:rPr>
          <w:rFonts w:ascii="Arial" w:hAnsi="Arial" w:cs="Arial"/>
          <w:b/>
          <w:i/>
          <w:sz w:val="28"/>
          <w:szCs w:val="28"/>
        </w:rPr>
      </w:pPr>
    </w:p>
    <w:p w:rsidR="00C069A2" w:rsidRDefault="00C069A2" w:rsidP="00D20486">
      <w:pPr>
        <w:pStyle w:val="Heading2"/>
      </w:pPr>
      <w:bookmarkStart w:id="35" w:name="_Toc438562597"/>
      <w:r>
        <w:t xml:space="preserve">2.1 </w:t>
      </w:r>
      <w:r w:rsidR="007878B9">
        <w:t xml:space="preserve">Electric </w:t>
      </w:r>
      <w:r>
        <w:t>Energy Savings Estimation Methodologies</w:t>
      </w:r>
      <w:bookmarkEnd w:id="35"/>
      <w:r w:rsidR="007C1DEB">
        <w:t xml:space="preserve"> </w:t>
      </w:r>
    </w:p>
    <w:p w:rsidR="00E97091" w:rsidRDefault="00F65E84" w:rsidP="00F65E84">
      <w:pPr>
        <w:rPr>
          <w:rFonts w:ascii="Arial" w:hAnsi="Arial" w:cs="Arial"/>
        </w:rPr>
      </w:pPr>
      <w:r w:rsidRPr="00F65E84">
        <w:rPr>
          <w:rFonts w:ascii="Arial" w:hAnsi="Arial" w:cs="Arial"/>
          <w:sz w:val="20"/>
          <w:szCs w:val="20"/>
        </w:rPr>
        <w:t xml:space="preserve">The lighting wattage difference (Watts per unit) is the difference between the electric demand of the base </w:t>
      </w:r>
      <w:r w:rsidR="00DB520B">
        <w:rPr>
          <w:rFonts w:ascii="Arial" w:hAnsi="Arial" w:cs="Arial"/>
          <w:sz w:val="20"/>
          <w:szCs w:val="20"/>
        </w:rPr>
        <w:t xml:space="preserve">case </w:t>
      </w:r>
      <w:r w:rsidRPr="00F65E84">
        <w:rPr>
          <w:rFonts w:ascii="Arial" w:hAnsi="Arial" w:cs="Arial"/>
          <w:sz w:val="20"/>
          <w:szCs w:val="20"/>
        </w:rPr>
        <w:t xml:space="preserve">unit and the electric demand of the </w:t>
      </w:r>
      <w:r w:rsidR="00DB520B">
        <w:rPr>
          <w:rFonts w:ascii="Arial" w:hAnsi="Arial" w:cs="Arial"/>
          <w:sz w:val="20"/>
          <w:szCs w:val="20"/>
        </w:rPr>
        <w:t>measure case</w:t>
      </w:r>
      <w:r w:rsidRPr="00F65E84">
        <w:rPr>
          <w:rFonts w:ascii="Arial" w:hAnsi="Arial" w:cs="Arial"/>
          <w:sz w:val="20"/>
          <w:szCs w:val="20"/>
        </w:rPr>
        <w:t xml:space="preserve"> unit. </w:t>
      </w:r>
      <w:r w:rsidR="003C5915">
        <w:rPr>
          <w:rFonts w:ascii="Arial" w:hAnsi="Arial" w:cs="Arial"/>
          <w:sz w:val="20"/>
          <w:szCs w:val="20"/>
        </w:rPr>
        <w:t xml:space="preserve">The hours of operation and interactive effects are from </w:t>
      </w:r>
      <w:r w:rsidR="00DF6547">
        <w:rPr>
          <w:rFonts w:ascii="Arial" w:hAnsi="Arial" w:cs="Arial"/>
          <w:sz w:val="20"/>
          <w:szCs w:val="20"/>
        </w:rPr>
        <w:t xml:space="preserve">DEER </w:t>
      </w:r>
      <w:r w:rsidR="00505D2B">
        <w:rPr>
          <w:rFonts w:ascii="Arial" w:hAnsi="Arial" w:cs="Arial"/>
          <w:sz w:val="20"/>
          <w:szCs w:val="20"/>
        </w:rPr>
        <w:t>201</w:t>
      </w:r>
      <w:r w:rsidR="00A95A8F">
        <w:rPr>
          <w:rFonts w:ascii="Arial" w:hAnsi="Arial" w:cs="Arial"/>
          <w:sz w:val="20"/>
          <w:szCs w:val="20"/>
        </w:rPr>
        <w:t>6</w:t>
      </w:r>
      <w:r w:rsidR="003C5915">
        <w:rPr>
          <w:rFonts w:ascii="Arial" w:hAnsi="Arial" w:cs="Arial"/>
          <w:sz w:val="20"/>
          <w:szCs w:val="20"/>
        </w:rPr>
        <w:t xml:space="preserve">. </w:t>
      </w:r>
    </w:p>
    <w:p w:rsidR="00E97091" w:rsidRDefault="00E97091" w:rsidP="00BC2543">
      <w:pPr>
        <w:rPr>
          <w:rFonts w:ascii="Arial" w:hAnsi="Arial" w:cs="Arial"/>
          <w:sz w:val="20"/>
          <w:szCs w:val="20"/>
        </w:rPr>
      </w:pPr>
    </w:p>
    <w:p w:rsidR="00126A4E" w:rsidRPr="001A3026" w:rsidRDefault="00126A4E" w:rsidP="00CF3FF0">
      <w:pPr>
        <w:rPr>
          <w:rFonts w:ascii="Arial" w:hAnsi="Arial" w:cs="Arial"/>
          <w:sz w:val="20"/>
          <w:szCs w:val="20"/>
        </w:rPr>
      </w:pPr>
      <w:r w:rsidRPr="00CF3FF0">
        <w:rPr>
          <w:rFonts w:ascii="Arial" w:hAnsi="Arial" w:cs="Arial"/>
          <w:b/>
          <w:sz w:val="20"/>
          <w:szCs w:val="20"/>
        </w:rPr>
        <w:t>∆Watts/</w:t>
      </w:r>
      <w:r w:rsidR="00C45648">
        <w:rPr>
          <w:rFonts w:ascii="Arial" w:hAnsi="Arial" w:cs="Arial"/>
          <w:b/>
          <w:sz w:val="20"/>
          <w:szCs w:val="20"/>
        </w:rPr>
        <w:t>fixture</w:t>
      </w:r>
      <w:r w:rsidRPr="00CF3FF0">
        <w:rPr>
          <w:rFonts w:ascii="Arial" w:hAnsi="Arial" w:cs="Arial"/>
          <w:b/>
          <w:sz w:val="20"/>
          <w:szCs w:val="20"/>
        </w:rPr>
        <w:t>:</w:t>
      </w:r>
      <w:r w:rsidR="00CF3FF0" w:rsidRPr="00CF3FF0" w:rsidDel="00CF3FF0">
        <w:rPr>
          <w:rFonts w:ascii="Arial" w:hAnsi="Arial" w:cs="Arial"/>
          <w:b/>
          <w:sz w:val="20"/>
          <w:szCs w:val="20"/>
        </w:rPr>
        <w:t xml:space="preserve"> </w:t>
      </w:r>
      <w:r w:rsidRPr="001A3026">
        <w:rPr>
          <w:rFonts w:ascii="Arial" w:hAnsi="Arial" w:cs="Arial"/>
          <w:sz w:val="20"/>
          <w:szCs w:val="20"/>
        </w:rPr>
        <w:t xml:space="preserve">The demand difference (watts per </w:t>
      </w:r>
      <w:r w:rsidR="00C45648">
        <w:rPr>
          <w:rFonts w:ascii="Arial" w:hAnsi="Arial" w:cs="Arial"/>
          <w:sz w:val="20"/>
          <w:szCs w:val="20"/>
        </w:rPr>
        <w:t>fixture</w:t>
      </w:r>
      <w:r w:rsidRPr="001A3026">
        <w:rPr>
          <w:rFonts w:ascii="Arial" w:hAnsi="Arial" w:cs="Arial"/>
          <w:sz w:val="20"/>
          <w:szCs w:val="20"/>
        </w:rPr>
        <w:t xml:space="preserve">) is simply the difference between the electric demand of the base </w:t>
      </w:r>
      <w:r w:rsidR="00DB520B">
        <w:rPr>
          <w:rFonts w:ascii="Arial" w:hAnsi="Arial" w:cs="Arial"/>
          <w:sz w:val="20"/>
          <w:szCs w:val="20"/>
        </w:rPr>
        <w:t xml:space="preserve">case </w:t>
      </w:r>
      <w:r w:rsidR="00C45648">
        <w:rPr>
          <w:rFonts w:ascii="Arial" w:hAnsi="Arial" w:cs="Arial"/>
          <w:sz w:val="20"/>
          <w:szCs w:val="20"/>
        </w:rPr>
        <w:t>fixture</w:t>
      </w:r>
      <w:r w:rsidR="004F12E7" w:rsidRPr="001A3026">
        <w:rPr>
          <w:rFonts w:ascii="Arial" w:hAnsi="Arial" w:cs="Arial"/>
          <w:sz w:val="20"/>
          <w:szCs w:val="20"/>
        </w:rPr>
        <w:t xml:space="preserve"> </w:t>
      </w:r>
      <w:r w:rsidRPr="001A3026">
        <w:rPr>
          <w:rFonts w:ascii="Arial" w:hAnsi="Arial" w:cs="Arial"/>
          <w:sz w:val="20"/>
          <w:szCs w:val="20"/>
        </w:rPr>
        <w:t xml:space="preserve">and the electric demand of the </w:t>
      </w:r>
      <w:r w:rsidR="00DB520B">
        <w:rPr>
          <w:rFonts w:ascii="Arial" w:hAnsi="Arial" w:cs="Arial"/>
          <w:sz w:val="20"/>
          <w:szCs w:val="20"/>
        </w:rPr>
        <w:t>measure case</w:t>
      </w:r>
      <w:r w:rsidRPr="001A3026">
        <w:rPr>
          <w:rFonts w:ascii="Arial" w:hAnsi="Arial" w:cs="Arial"/>
          <w:sz w:val="20"/>
          <w:szCs w:val="20"/>
        </w:rPr>
        <w:t xml:space="preserve"> </w:t>
      </w:r>
      <w:r w:rsidR="00C45648">
        <w:rPr>
          <w:rFonts w:ascii="Arial" w:hAnsi="Arial" w:cs="Arial"/>
          <w:sz w:val="20"/>
          <w:szCs w:val="20"/>
        </w:rPr>
        <w:t>fixture</w:t>
      </w:r>
      <w:r w:rsidRPr="001A3026">
        <w:rPr>
          <w:rFonts w:ascii="Arial" w:hAnsi="Arial" w:cs="Arial"/>
          <w:sz w:val="20"/>
          <w:szCs w:val="20"/>
        </w:rPr>
        <w:t>.</w:t>
      </w:r>
    </w:p>
    <w:p w:rsidR="00126A4E" w:rsidRPr="00446895" w:rsidRDefault="00126A4E" w:rsidP="00CC34FF">
      <w:pPr>
        <w:ind w:left="720"/>
        <w:rPr>
          <w:rFonts w:ascii="Arial" w:hAnsi="Arial" w:cs="Arial"/>
          <w:sz w:val="20"/>
          <w:szCs w:val="20"/>
        </w:rPr>
      </w:pPr>
      <w:r w:rsidRPr="00446895">
        <w:rPr>
          <w:rFonts w:ascii="Arial" w:hAnsi="Arial" w:cs="Arial"/>
          <w:sz w:val="20"/>
          <w:szCs w:val="20"/>
        </w:rPr>
        <w:t>∆Watts/</w:t>
      </w:r>
      <w:r w:rsidR="00C45648">
        <w:rPr>
          <w:rFonts w:ascii="Arial" w:hAnsi="Arial" w:cs="Arial"/>
          <w:sz w:val="20"/>
          <w:szCs w:val="20"/>
        </w:rPr>
        <w:t>fixture</w:t>
      </w:r>
      <w:r w:rsidR="00794E75" w:rsidRPr="00446895">
        <w:rPr>
          <w:rFonts w:ascii="Arial" w:hAnsi="Arial" w:cs="Arial"/>
          <w:sz w:val="20"/>
          <w:szCs w:val="20"/>
        </w:rPr>
        <w:t xml:space="preserve"> </w:t>
      </w:r>
      <w:r w:rsidRPr="00446895">
        <w:rPr>
          <w:rFonts w:ascii="Arial" w:hAnsi="Arial" w:cs="Arial"/>
          <w:sz w:val="20"/>
          <w:szCs w:val="20"/>
        </w:rPr>
        <w:t>= Base</w:t>
      </w:r>
      <w:r w:rsidR="001A3026" w:rsidRPr="00446895">
        <w:rPr>
          <w:rFonts w:ascii="Arial" w:hAnsi="Arial" w:cs="Arial"/>
          <w:sz w:val="20"/>
          <w:szCs w:val="20"/>
        </w:rPr>
        <w:t xml:space="preserve"> Case</w:t>
      </w:r>
      <w:r w:rsidRPr="00446895">
        <w:rPr>
          <w:rFonts w:ascii="Arial" w:hAnsi="Arial" w:cs="Arial"/>
          <w:sz w:val="20"/>
          <w:szCs w:val="20"/>
        </w:rPr>
        <w:t xml:space="preserve"> Watts/</w:t>
      </w:r>
      <w:r w:rsidR="00C45648">
        <w:rPr>
          <w:rFonts w:ascii="Arial" w:hAnsi="Arial" w:cs="Arial"/>
          <w:sz w:val="20"/>
          <w:szCs w:val="20"/>
        </w:rPr>
        <w:t>fixture</w:t>
      </w:r>
      <w:r w:rsidR="00BB4412" w:rsidRPr="00446895">
        <w:rPr>
          <w:rFonts w:ascii="Arial" w:hAnsi="Arial" w:cs="Arial"/>
          <w:sz w:val="20"/>
          <w:szCs w:val="20"/>
        </w:rPr>
        <w:t xml:space="preserve"> </w:t>
      </w:r>
      <w:r w:rsidRPr="00446895">
        <w:rPr>
          <w:rFonts w:ascii="Arial" w:hAnsi="Arial" w:cs="Arial"/>
          <w:sz w:val="20"/>
          <w:szCs w:val="20"/>
        </w:rPr>
        <w:t>-</w:t>
      </w:r>
      <w:r w:rsidR="00476B67" w:rsidRPr="00446895">
        <w:rPr>
          <w:rFonts w:ascii="Arial" w:hAnsi="Arial" w:cs="Arial"/>
          <w:sz w:val="20"/>
          <w:szCs w:val="20"/>
        </w:rPr>
        <w:t xml:space="preserve"> </w:t>
      </w:r>
      <w:r w:rsidR="001A3026" w:rsidRPr="00446895">
        <w:rPr>
          <w:rFonts w:ascii="Arial" w:hAnsi="Arial" w:cs="Arial"/>
          <w:sz w:val="20"/>
          <w:szCs w:val="20"/>
        </w:rPr>
        <w:t xml:space="preserve">Measure Case </w:t>
      </w:r>
      <w:r w:rsidRPr="00446895">
        <w:rPr>
          <w:rFonts w:ascii="Arial" w:hAnsi="Arial" w:cs="Arial"/>
          <w:sz w:val="20"/>
          <w:szCs w:val="20"/>
        </w:rPr>
        <w:t>Watts</w:t>
      </w:r>
      <w:r w:rsidR="00AD322C" w:rsidRPr="00446895">
        <w:rPr>
          <w:rFonts w:ascii="Arial" w:hAnsi="Arial" w:cs="Arial"/>
          <w:sz w:val="20"/>
          <w:szCs w:val="20"/>
        </w:rPr>
        <w:t>/</w:t>
      </w:r>
      <w:r w:rsidR="00C45648">
        <w:rPr>
          <w:rFonts w:ascii="Arial" w:hAnsi="Arial" w:cs="Arial"/>
          <w:sz w:val="20"/>
          <w:szCs w:val="20"/>
        </w:rPr>
        <w:t>fixture</w:t>
      </w:r>
    </w:p>
    <w:p w:rsidR="00126A4E" w:rsidRPr="00446895" w:rsidRDefault="00126A4E" w:rsidP="00126A4E">
      <w:pPr>
        <w:rPr>
          <w:rFonts w:ascii="Arial" w:hAnsi="Arial" w:cs="Arial"/>
          <w:sz w:val="20"/>
          <w:szCs w:val="20"/>
        </w:rPr>
      </w:pPr>
    </w:p>
    <w:p w:rsidR="00CC6DB2" w:rsidRPr="00446895" w:rsidRDefault="00CC6DB2" w:rsidP="00CC6DB2">
      <w:pPr>
        <w:rPr>
          <w:rFonts w:ascii="Arial" w:hAnsi="Arial" w:cs="Arial"/>
          <w:b/>
          <w:sz w:val="20"/>
          <w:szCs w:val="20"/>
        </w:rPr>
      </w:pPr>
      <w:r w:rsidRPr="00446895">
        <w:rPr>
          <w:rFonts w:ascii="Arial" w:hAnsi="Arial" w:cs="Arial"/>
          <w:b/>
          <w:sz w:val="20"/>
          <w:szCs w:val="20"/>
        </w:rPr>
        <w:t>Example:</w:t>
      </w:r>
    </w:p>
    <w:p w:rsidR="00CC6DB2" w:rsidRPr="00446895" w:rsidRDefault="00CC6DB2" w:rsidP="00CC6DB2">
      <w:pPr>
        <w:ind w:firstLine="720"/>
        <w:rPr>
          <w:rFonts w:ascii="Arial" w:hAnsi="Arial" w:cs="Arial"/>
          <w:sz w:val="20"/>
          <w:szCs w:val="20"/>
        </w:rPr>
      </w:pPr>
      <w:r w:rsidRPr="00446895">
        <w:rPr>
          <w:rFonts w:ascii="Arial" w:hAnsi="Arial" w:cs="Arial"/>
          <w:sz w:val="20"/>
          <w:szCs w:val="20"/>
        </w:rPr>
        <w:t>∆Watts/</w:t>
      </w:r>
      <w:r w:rsidR="00C45648">
        <w:rPr>
          <w:rFonts w:ascii="Arial" w:hAnsi="Arial" w:cs="Arial"/>
          <w:sz w:val="20"/>
          <w:szCs w:val="20"/>
        </w:rPr>
        <w:t>fixture</w:t>
      </w:r>
      <w:r w:rsidRPr="00446895">
        <w:rPr>
          <w:rFonts w:ascii="Arial" w:hAnsi="Arial" w:cs="Arial"/>
          <w:sz w:val="20"/>
          <w:szCs w:val="20"/>
        </w:rPr>
        <w:t xml:space="preserve"> = </w:t>
      </w:r>
      <w:r w:rsidR="005F3DA0">
        <w:rPr>
          <w:rFonts w:ascii="Arial" w:hAnsi="Arial" w:cs="Arial"/>
          <w:sz w:val="20"/>
          <w:szCs w:val="20"/>
        </w:rPr>
        <w:t>208</w:t>
      </w:r>
      <w:r w:rsidRPr="00446895">
        <w:rPr>
          <w:rFonts w:ascii="Arial" w:hAnsi="Arial" w:cs="Arial"/>
          <w:sz w:val="20"/>
          <w:szCs w:val="20"/>
        </w:rPr>
        <w:t xml:space="preserve"> W –</w:t>
      </w:r>
      <w:r w:rsidR="00C45648">
        <w:rPr>
          <w:rFonts w:ascii="Arial" w:hAnsi="Arial" w:cs="Arial"/>
          <w:sz w:val="20"/>
          <w:szCs w:val="20"/>
        </w:rPr>
        <w:t xml:space="preserve"> </w:t>
      </w:r>
      <w:r w:rsidR="00E0684E">
        <w:rPr>
          <w:rFonts w:ascii="Arial" w:hAnsi="Arial" w:cs="Arial"/>
          <w:sz w:val="20"/>
          <w:szCs w:val="20"/>
        </w:rPr>
        <w:t>131</w:t>
      </w:r>
      <w:r w:rsidR="00923BC4" w:rsidRPr="00446895">
        <w:rPr>
          <w:rFonts w:ascii="Arial" w:hAnsi="Arial" w:cs="Arial"/>
          <w:sz w:val="20"/>
          <w:szCs w:val="20"/>
        </w:rPr>
        <w:t xml:space="preserve"> </w:t>
      </w:r>
      <w:r w:rsidRPr="00446895">
        <w:rPr>
          <w:rFonts w:ascii="Arial" w:hAnsi="Arial" w:cs="Arial"/>
          <w:sz w:val="20"/>
          <w:szCs w:val="20"/>
        </w:rPr>
        <w:t xml:space="preserve">W = </w:t>
      </w:r>
      <w:r w:rsidR="00E0684E">
        <w:rPr>
          <w:rFonts w:ascii="Arial" w:hAnsi="Arial" w:cs="Arial"/>
          <w:sz w:val="20"/>
          <w:szCs w:val="20"/>
        </w:rPr>
        <w:t>77</w:t>
      </w:r>
      <w:r w:rsidRPr="00446895">
        <w:rPr>
          <w:rFonts w:ascii="Arial" w:hAnsi="Arial" w:cs="Arial"/>
          <w:sz w:val="20"/>
          <w:szCs w:val="20"/>
        </w:rPr>
        <w:t xml:space="preserve"> ∆Watts/</w:t>
      </w:r>
      <w:r w:rsidR="00C45648">
        <w:rPr>
          <w:rFonts w:ascii="Arial" w:hAnsi="Arial" w:cs="Arial"/>
          <w:sz w:val="20"/>
          <w:szCs w:val="20"/>
        </w:rPr>
        <w:t>fixture</w:t>
      </w:r>
      <w:r w:rsidRPr="00446895">
        <w:rPr>
          <w:rFonts w:ascii="Arial" w:hAnsi="Arial" w:cs="Arial"/>
          <w:sz w:val="20"/>
          <w:szCs w:val="20"/>
        </w:rPr>
        <w:t xml:space="preserve"> </w:t>
      </w:r>
    </w:p>
    <w:p w:rsidR="00CC6DB2" w:rsidRPr="00446895" w:rsidRDefault="00CC6DB2" w:rsidP="00CC6DB2">
      <w:pPr>
        <w:rPr>
          <w:rFonts w:ascii="Arial" w:hAnsi="Arial" w:cs="Arial"/>
          <w:sz w:val="20"/>
          <w:szCs w:val="20"/>
        </w:rPr>
      </w:pPr>
    </w:p>
    <w:p w:rsidR="00126A4E" w:rsidRPr="00446895" w:rsidRDefault="00B42822" w:rsidP="00CC6DB2">
      <w:pPr>
        <w:rPr>
          <w:rFonts w:ascii="Arial" w:hAnsi="Arial" w:cs="Arial"/>
          <w:b/>
          <w:sz w:val="20"/>
          <w:szCs w:val="20"/>
        </w:rPr>
      </w:pPr>
      <w:r w:rsidRPr="00446895">
        <w:rPr>
          <w:rFonts w:ascii="Arial" w:hAnsi="Arial" w:cs="Arial"/>
          <w:b/>
          <w:sz w:val="20"/>
          <w:szCs w:val="20"/>
        </w:rPr>
        <w:t>Annual Electric</w:t>
      </w:r>
      <w:r w:rsidR="00126A4E" w:rsidRPr="00446895">
        <w:rPr>
          <w:rFonts w:ascii="Arial" w:hAnsi="Arial" w:cs="Arial"/>
          <w:b/>
          <w:sz w:val="20"/>
          <w:szCs w:val="20"/>
        </w:rPr>
        <w:t xml:space="preserve"> Savings:</w:t>
      </w:r>
    </w:p>
    <w:p w:rsidR="00126A4E" w:rsidRPr="00446895" w:rsidRDefault="004203DD" w:rsidP="004F12E7">
      <w:pPr>
        <w:ind w:left="720"/>
        <w:rPr>
          <w:rFonts w:ascii="Arial" w:hAnsi="Arial" w:cs="Arial"/>
          <w:sz w:val="20"/>
          <w:szCs w:val="20"/>
        </w:rPr>
      </w:pPr>
      <w:r w:rsidRPr="00446895">
        <w:rPr>
          <w:rFonts w:ascii="Arial" w:hAnsi="Arial" w:cs="Arial"/>
          <w:sz w:val="20"/>
          <w:szCs w:val="20"/>
        </w:rPr>
        <w:t xml:space="preserve">Annual </w:t>
      </w:r>
      <w:r w:rsidR="00126A4E" w:rsidRPr="00446895">
        <w:rPr>
          <w:rFonts w:ascii="Arial" w:hAnsi="Arial" w:cs="Arial"/>
          <w:sz w:val="20"/>
          <w:szCs w:val="20"/>
        </w:rPr>
        <w:t>Energy Savings [kWh/</w:t>
      </w:r>
      <w:r w:rsidR="00C45648">
        <w:rPr>
          <w:rFonts w:ascii="Arial" w:hAnsi="Arial" w:cs="Arial"/>
          <w:sz w:val="20"/>
          <w:szCs w:val="20"/>
        </w:rPr>
        <w:t>fixture</w:t>
      </w:r>
      <w:r w:rsidR="00126A4E" w:rsidRPr="00446895">
        <w:rPr>
          <w:rFonts w:ascii="Arial" w:hAnsi="Arial" w:cs="Arial"/>
          <w:sz w:val="20"/>
          <w:szCs w:val="20"/>
        </w:rPr>
        <w:t>] = (∆Watts/</w:t>
      </w:r>
      <w:r w:rsidR="00C45648">
        <w:rPr>
          <w:rFonts w:ascii="Arial" w:hAnsi="Arial" w:cs="Arial"/>
          <w:sz w:val="20"/>
          <w:szCs w:val="20"/>
        </w:rPr>
        <w:t>fixture</w:t>
      </w:r>
      <w:r w:rsidR="00126A4E" w:rsidRPr="00446895">
        <w:rPr>
          <w:rFonts w:ascii="Arial" w:hAnsi="Arial" w:cs="Arial"/>
          <w:sz w:val="20"/>
          <w:szCs w:val="20"/>
        </w:rPr>
        <w:t>) x (</w:t>
      </w:r>
      <w:r w:rsidR="007F14BA" w:rsidRPr="00446895">
        <w:rPr>
          <w:rFonts w:ascii="Arial" w:hAnsi="Arial" w:cs="Arial"/>
          <w:sz w:val="20"/>
          <w:szCs w:val="20"/>
        </w:rPr>
        <w:t>A</w:t>
      </w:r>
      <w:r w:rsidR="00AD322C" w:rsidRPr="00446895">
        <w:rPr>
          <w:rFonts w:ascii="Arial" w:hAnsi="Arial" w:cs="Arial"/>
          <w:sz w:val="20"/>
          <w:szCs w:val="20"/>
        </w:rPr>
        <w:t xml:space="preserve">nnual </w:t>
      </w:r>
      <w:r w:rsidR="007F14BA" w:rsidRPr="00446895">
        <w:rPr>
          <w:rFonts w:ascii="Arial" w:hAnsi="Arial" w:cs="Arial"/>
          <w:sz w:val="20"/>
          <w:szCs w:val="20"/>
        </w:rPr>
        <w:t>H</w:t>
      </w:r>
      <w:r w:rsidR="00AD322C" w:rsidRPr="00446895">
        <w:rPr>
          <w:rFonts w:ascii="Arial" w:hAnsi="Arial" w:cs="Arial"/>
          <w:sz w:val="20"/>
          <w:szCs w:val="20"/>
        </w:rPr>
        <w:t xml:space="preserve">ours of </w:t>
      </w:r>
      <w:r w:rsidR="007F14BA" w:rsidRPr="00446895">
        <w:rPr>
          <w:rFonts w:ascii="Arial" w:hAnsi="Arial" w:cs="Arial"/>
          <w:sz w:val="20"/>
          <w:szCs w:val="20"/>
        </w:rPr>
        <w:t>O</w:t>
      </w:r>
      <w:r w:rsidR="00AD322C" w:rsidRPr="00446895">
        <w:rPr>
          <w:rFonts w:ascii="Arial" w:hAnsi="Arial" w:cs="Arial"/>
          <w:sz w:val="20"/>
          <w:szCs w:val="20"/>
        </w:rPr>
        <w:t>peration</w:t>
      </w:r>
      <w:r w:rsidR="00CC34FF" w:rsidRPr="00446895">
        <w:rPr>
          <w:rFonts w:ascii="Arial" w:hAnsi="Arial" w:cs="Arial"/>
          <w:sz w:val="20"/>
          <w:szCs w:val="20"/>
        </w:rPr>
        <w:t>)</w:t>
      </w:r>
      <w:r w:rsidR="00AD322C" w:rsidRPr="00446895">
        <w:rPr>
          <w:rFonts w:ascii="Arial" w:hAnsi="Arial" w:cs="Arial"/>
          <w:sz w:val="20"/>
          <w:szCs w:val="20"/>
        </w:rPr>
        <w:t xml:space="preserve"> x (Energy Interactive Effects) </w:t>
      </w:r>
      <w:r w:rsidR="007F14BA" w:rsidRPr="00446895">
        <w:rPr>
          <w:rFonts w:ascii="Arial" w:hAnsi="Arial" w:cs="Arial"/>
          <w:sz w:val="20"/>
          <w:szCs w:val="20"/>
        </w:rPr>
        <w:t>/ (</w:t>
      </w:r>
      <w:r w:rsidR="00126A4E" w:rsidRPr="00446895">
        <w:rPr>
          <w:rFonts w:ascii="Arial" w:hAnsi="Arial" w:cs="Arial"/>
          <w:sz w:val="20"/>
          <w:szCs w:val="20"/>
        </w:rPr>
        <w:t>1,000 Watts / kW</w:t>
      </w:r>
      <w:r w:rsidR="007F14BA" w:rsidRPr="00446895">
        <w:rPr>
          <w:rFonts w:ascii="Arial" w:hAnsi="Arial" w:cs="Arial"/>
          <w:sz w:val="20"/>
          <w:szCs w:val="20"/>
        </w:rPr>
        <w:t>)</w:t>
      </w:r>
    </w:p>
    <w:p w:rsidR="0027515D" w:rsidRDefault="0027515D" w:rsidP="00D171B6">
      <w:pPr>
        <w:rPr>
          <w:rFonts w:ascii="Arial" w:hAnsi="Arial" w:cs="Arial"/>
          <w:b/>
          <w:sz w:val="20"/>
          <w:szCs w:val="20"/>
        </w:rPr>
      </w:pPr>
    </w:p>
    <w:p w:rsidR="00A95A8F" w:rsidRPr="00446895" w:rsidRDefault="00A95A8F" w:rsidP="00A95A8F">
      <w:pPr>
        <w:rPr>
          <w:rFonts w:ascii="Arial" w:hAnsi="Arial" w:cs="Arial"/>
          <w:b/>
          <w:sz w:val="20"/>
          <w:szCs w:val="20"/>
        </w:rPr>
      </w:pPr>
      <w:r>
        <w:rPr>
          <w:rFonts w:ascii="Arial" w:hAnsi="Arial" w:cs="Arial"/>
          <w:b/>
          <w:sz w:val="20"/>
          <w:szCs w:val="20"/>
        </w:rPr>
        <w:t xml:space="preserve">For LD101 </w:t>
      </w:r>
      <w:r w:rsidRPr="00A95A8F">
        <w:rPr>
          <w:rFonts w:ascii="Arial" w:hAnsi="Arial" w:cs="Arial"/>
          <w:b/>
          <w:sz w:val="20"/>
          <w:szCs w:val="20"/>
        </w:rPr>
        <w:t>LED High/Low Bay:  40 to 131 watts, replacing 175W PS-MH</w:t>
      </w:r>
      <w:r>
        <w:rPr>
          <w:rFonts w:ascii="Arial" w:hAnsi="Arial" w:cs="Arial"/>
          <w:b/>
          <w:sz w:val="20"/>
          <w:szCs w:val="20"/>
        </w:rPr>
        <w:t>, ASM Building Type, ROB:</w:t>
      </w:r>
    </w:p>
    <w:p w:rsidR="00DF284F" w:rsidRDefault="00A95A8F" w:rsidP="00A95A8F">
      <w:pPr>
        <w:jc w:val="center"/>
        <w:rPr>
          <w:rFonts w:ascii="Arial" w:hAnsi="Arial" w:cs="Arial"/>
          <w:b/>
          <w:sz w:val="20"/>
          <w:szCs w:val="20"/>
          <w:highlight w:val="cyan"/>
        </w:rPr>
      </w:pPr>
      <w:r w:rsidRPr="00446895">
        <w:rPr>
          <w:rFonts w:ascii="Arial" w:hAnsi="Arial" w:cs="Arial"/>
          <w:sz w:val="20"/>
          <w:szCs w:val="20"/>
        </w:rPr>
        <w:t>Annual Energy Savings [</w:t>
      </w:r>
      <w:r w:rsidR="00E0684E">
        <w:rPr>
          <w:rFonts w:ascii="Arial" w:hAnsi="Arial" w:cs="Arial"/>
          <w:sz w:val="20"/>
          <w:szCs w:val="20"/>
        </w:rPr>
        <w:t>130</w:t>
      </w:r>
      <w:r w:rsidR="005F3DA0">
        <w:rPr>
          <w:rFonts w:ascii="Arial" w:hAnsi="Arial" w:cs="Arial"/>
          <w:sz w:val="20"/>
          <w:szCs w:val="20"/>
        </w:rPr>
        <w:t xml:space="preserve"> </w:t>
      </w:r>
      <w:r w:rsidRPr="00446895">
        <w:rPr>
          <w:rFonts w:ascii="Arial" w:hAnsi="Arial" w:cs="Arial"/>
          <w:sz w:val="20"/>
          <w:szCs w:val="20"/>
        </w:rPr>
        <w:t>kWh/</w:t>
      </w:r>
      <w:r>
        <w:rPr>
          <w:rFonts w:ascii="Arial" w:hAnsi="Arial" w:cs="Arial"/>
          <w:sz w:val="20"/>
          <w:szCs w:val="20"/>
        </w:rPr>
        <w:t>fixture</w:t>
      </w:r>
      <w:r w:rsidRPr="00446895">
        <w:rPr>
          <w:rFonts w:ascii="Arial" w:hAnsi="Arial" w:cs="Arial"/>
          <w:sz w:val="20"/>
          <w:szCs w:val="20"/>
        </w:rPr>
        <w:t>] = (</w:t>
      </w:r>
      <w:r w:rsidR="005F3DA0">
        <w:rPr>
          <w:rFonts w:ascii="Arial" w:hAnsi="Arial" w:cs="Arial"/>
          <w:sz w:val="20"/>
          <w:szCs w:val="20"/>
        </w:rPr>
        <w:t>208-</w:t>
      </w:r>
      <w:r w:rsidR="00E0684E">
        <w:rPr>
          <w:rFonts w:ascii="Arial" w:hAnsi="Arial" w:cs="Arial"/>
          <w:sz w:val="20"/>
          <w:szCs w:val="20"/>
        </w:rPr>
        <w:t>131</w:t>
      </w:r>
      <w:r w:rsidR="005F3DA0">
        <w:rPr>
          <w:rFonts w:ascii="Arial" w:hAnsi="Arial" w:cs="Arial"/>
          <w:sz w:val="20"/>
          <w:szCs w:val="20"/>
        </w:rPr>
        <w:t xml:space="preserve"> Watts</w:t>
      </w:r>
      <w:r w:rsidRPr="00446895">
        <w:rPr>
          <w:rFonts w:ascii="Arial" w:hAnsi="Arial" w:cs="Arial"/>
          <w:sz w:val="20"/>
          <w:szCs w:val="20"/>
        </w:rPr>
        <w:t>) x (</w:t>
      </w:r>
      <w:r w:rsidR="005F3DA0">
        <w:rPr>
          <w:rFonts w:ascii="Arial" w:hAnsi="Arial" w:cs="Arial"/>
          <w:sz w:val="20"/>
          <w:szCs w:val="20"/>
        </w:rPr>
        <w:t xml:space="preserve">1620 </w:t>
      </w:r>
      <w:proofErr w:type="spellStart"/>
      <w:r w:rsidR="005F3DA0">
        <w:rPr>
          <w:rFonts w:ascii="Arial" w:hAnsi="Arial" w:cs="Arial"/>
          <w:sz w:val="20"/>
          <w:szCs w:val="20"/>
        </w:rPr>
        <w:t>hrs</w:t>
      </w:r>
      <w:proofErr w:type="spellEnd"/>
      <w:r w:rsidR="005F3DA0">
        <w:rPr>
          <w:rFonts w:ascii="Arial" w:hAnsi="Arial" w:cs="Arial"/>
          <w:sz w:val="20"/>
          <w:szCs w:val="20"/>
        </w:rPr>
        <w:t>/</w:t>
      </w:r>
      <w:proofErr w:type="spellStart"/>
      <w:r w:rsidR="005F3DA0">
        <w:rPr>
          <w:rFonts w:ascii="Arial" w:hAnsi="Arial" w:cs="Arial"/>
          <w:sz w:val="20"/>
          <w:szCs w:val="20"/>
        </w:rPr>
        <w:t>yr</w:t>
      </w:r>
      <w:proofErr w:type="spellEnd"/>
      <w:r w:rsidRPr="00446895">
        <w:rPr>
          <w:rFonts w:ascii="Arial" w:hAnsi="Arial" w:cs="Arial"/>
          <w:sz w:val="20"/>
          <w:szCs w:val="20"/>
        </w:rPr>
        <w:t>) x (</w:t>
      </w:r>
      <w:r w:rsidR="005F3DA0">
        <w:rPr>
          <w:rFonts w:ascii="Arial" w:hAnsi="Arial" w:cs="Arial"/>
          <w:sz w:val="20"/>
          <w:szCs w:val="20"/>
        </w:rPr>
        <w:t>1.04</w:t>
      </w:r>
      <w:r w:rsidRPr="00446895">
        <w:rPr>
          <w:rFonts w:ascii="Arial" w:hAnsi="Arial" w:cs="Arial"/>
          <w:sz w:val="20"/>
          <w:szCs w:val="20"/>
        </w:rPr>
        <w:t>) / (1,000 Watts / kW)</w:t>
      </w:r>
    </w:p>
    <w:p w:rsidR="00A64106" w:rsidRDefault="00A64106" w:rsidP="000F11DD">
      <w:pPr>
        <w:rPr>
          <w:rFonts w:ascii="Arial" w:hAnsi="Arial" w:cs="Arial"/>
          <w:b/>
          <w:sz w:val="20"/>
          <w:szCs w:val="20"/>
          <w:highlight w:val="cyan"/>
        </w:rPr>
      </w:pPr>
    </w:p>
    <w:p w:rsidR="00A64106" w:rsidRDefault="00A64106" w:rsidP="000F11DD">
      <w:pPr>
        <w:rPr>
          <w:rFonts w:ascii="Arial" w:hAnsi="Arial" w:cs="Arial"/>
          <w:b/>
          <w:sz w:val="20"/>
          <w:szCs w:val="20"/>
          <w:highlight w:val="cyan"/>
        </w:rPr>
      </w:pPr>
    </w:p>
    <w:p w:rsidR="00A64106" w:rsidRDefault="00A64106" w:rsidP="000F11DD">
      <w:pPr>
        <w:rPr>
          <w:rFonts w:ascii="Arial" w:hAnsi="Arial" w:cs="Arial"/>
          <w:b/>
          <w:sz w:val="20"/>
          <w:szCs w:val="20"/>
          <w:highlight w:val="cyan"/>
        </w:rPr>
      </w:pPr>
    </w:p>
    <w:p w:rsidR="00A64106" w:rsidRDefault="00A64106" w:rsidP="000F11DD">
      <w:pPr>
        <w:rPr>
          <w:rFonts w:ascii="Arial" w:hAnsi="Arial" w:cs="Arial"/>
          <w:b/>
          <w:sz w:val="20"/>
          <w:szCs w:val="20"/>
          <w:highlight w:val="cyan"/>
        </w:rPr>
      </w:pPr>
    </w:p>
    <w:p w:rsidR="00C069A2" w:rsidRDefault="0030550A" w:rsidP="002E0043">
      <w:pPr>
        <w:pStyle w:val="Heading2"/>
        <w:keepNext w:val="0"/>
      </w:pPr>
      <w:bookmarkStart w:id="36" w:name="_Toc438562598"/>
      <w:r>
        <w:lastRenderedPageBreak/>
        <w:t>2.2. Demand R</w:t>
      </w:r>
      <w:r w:rsidR="00C069A2">
        <w:t>eduction Estimation Methodologies</w:t>
      </w:r>
      <w:bookmarkEnd w:id="36"/>
    </w:p>
    <w:p w:rsidR="00A95746" w:rsidRPr="00A209A2" w:rsidRDefault="00801249" w:rsidP="00801249">
      <w:pPr>
        <w:rPr>
          <w:rFonts w:ascii="Arial" w:hAnsi="Arial" w:cs="Arial"/>
          <w:i/>
          <w:sz w:val="20"/>
          <w:szCs w:val="20"/>
        </w:rPr>
      </w:pPr>
      <w:r w:rsidRPr="00801249">
        <w:rPr>
          <w:rFonts w:ascii="Arial" w:hAnsi="Arial" w:cs="Arial"/>
          <w:sz w:val="20"/>
          <w:szCs w:val="20"/>
        </w:rPr>
        <w:t>This measure includes HVAC interactive effects savings. This measure is not an Early Retirement measure.</w:t>
      </w:r>
    </w:p>
    <w:p w:rsidR="00044570" w:rsidRDefault="00044570" w:rsidP="00EB46D0">
      <w:pPr>
        <w:rPr>
          <w:rFonts w:ascii="Arial" w:hAnsi="Arial" w:cs="Arial"/>
          <w:i/>
          <w:sz w:val="20"/>
          <w:szCs w:val="20"/>
        </w:rPr>
      </w:pPr>
    </w:p>
    <w:p w:rsidR="003F3DED" w:rsidRPr="00CF3FF0" w:rsidRDefault="003F3DED" w:rsidP="003F3DED">
      <w:pPr>
        <w:rPr>
          <w:rFonts w:ascii="Arial" w:hAnsi="Arial" w:cs="Arial"/>
          <w:b/>
          <w:sz w:val="20"/>
          <w:szCs w:val="20"/>
        </w:rPr>
      </w:pPr>
      <w:r w:rsidRPr="00CF3FF0">
        <w:rPr>
          <w:rFonts w:ascii="Arial" w:hAnsi="Arial" w:cs="Arial"/>
          <w:b/>
          <w:sz w:val="20"/>
          <w:szCs w:val="20"/>
        </w:rPr>
        <w:t>Demand Reduction:</w:t>
      </w:r>
    </w:p>
    <w:p w:rsidR="003F3DED" w:rsidRPr="00F03117" w:rsidRDefault="003F3DED" w:rsidP="003F3DED">
      <w:pPr>
        <w:ind w:left="720"/>
        <w:rPr>
          <w:rFonts w:ascii="Arial" w:hAnsi="Arial" w:cs="Arial"/>
          <w:sz w:val="20"/>
          <w:szCs w:val="20"/>
        </w:rPr>
      </w:pPr>
      <w:r w:rsidRPr="00F03117">
        <w:rPr>
          <w:rFonts w:ascii="Arial" w:hAnsi="Arial" w:cs="Arial"/>
          <w:sz w:val="20"/>
          <w:szCs w:val="20"/>
        </w:rPr>
        <w:t>Demand Reduction [kW/</w:t>
      </w:r>
      <w:r w:rsidR="00C45648">
        <w:rPr>
          <w:rFonts w:ascii="Arial" w:hAnsi="Arial" w:cs="Arial"/>
          <w:sz w:val="20"/>
          <w:szCs w:val="20"/>
        </w:rPr>
        <w:t>fixture</w:t>
      </w:r>
      <w:r w:rsidRPr="00F03117">
        <w:rPr>
          <w:rFonts w:ascii="Arial" w:hAnsi="Arial" w:cs="Arial"/>
          <w:sz w:val="20"/>
          <w:szCs w:val="20"/>
        </w:rPr>
        <w:t>] = (</w:t>
      </w:r>
      <w:r w:rsidR="00CC34FF" w:rsidRPr="00F03117">
        <w:rPr>
          <w:rFonts w:ascii="Arial" w:hAnsi="Arial" w:cs="Arial"/>
          <w:sz w:val="20"/>
          <w:szCs w:val="20"/>
        </w:rPr>
        <w:t>∆Watts/</w:t>
      </w:r>
      <w:r w:rsidR="00C45648">
        <w:rPr>
          <w:rFonts w:ascii="Arial" w:hAnsi="Arial" w:cs="Arial"/>
          <w:sz w:val="20"/>
          <w:szCs w:val="20"/>
        </w:rPr>
        <w:t>fixture</w:t>
      </w:r>
      <w:r w:rsidR="00CC34FF" w:rsidRPr="00F03117">
        <w:rPr>
          <w:rFonts w:ascii="Arial" w:hAnsi="Arial" w:cs="Arial"/>
          <w:sz w:val="20"/>
          <w:szCs w:val="20"/>
        </w:rPr>
        <w:t>) x</w:t>
      </w:r>
      <w:r w:rsidRPr="00F03117">
        <w:rPr>
          <w:rFonts w:ascii="Arial" w:hAnsi="Arial" w:cs="Arial"/>
          <w:sz w:val="20"/>
          <w:szCs w:val="20"/>
        </w:rPr>
        <w:t xml:space="preserve"> (</w:t>
      </w:r>
      <w:r w:rsidR="00BB4412" w:rsidRPr="00F03117">
        <w:rPr>
          <w:rFonts w:ascii="Arial" w:hAnsi="Arial" w:cs="Arial"/>
          <w:sz w:val="20"/>
          <w:szCs w:val="20"/>
        </w:rPr>
        <w:t>L</w:t>
      </w:r>
      <w:r w:rsidR="00AD322C" w:rsidRPr="00F03117">
        <w:rPr>
          <w:rFonts w:ascii="Arial" w:hAnsi="Arial" w:cs="Arial"/>
          <w:sz w:val="20"/>
          <w:szCs w:val="20"/>
        </w:rPr>
        <w:t xml:space="preserve">ighting </w:t>
      </w:r>
      <w:r w:rsidR="00BB4412" w:rsidRPr="00F03117">
        <w:rPr>
          <w:rFonts w:ascii="Arial" w:hAnsi="Arial" w:cs="Arial"/>
          <w:sz w:val="20"/>
          <w:szCs w:val="20"/>
        </w:rPr>
        <w:t>C</w:t>
      </w:r>
      <w:r w:rsidR="00AD322C" w:rsidRPr="00F03117">
        <w:rPr>
          <w:rFonts w:ascii="Arial" w:hAnsi="Arial" w:cs="Arial"/>
          <w:sz w:val="20"/>
          <w:szCs w:val="20"/>
        </w:rPr>
        <w:t xml:space="preserve">oincident </w:t>
      </w:r>
      <w:r w:rsidR="00BB4412" w:rsidRPr="00F03117">
        <w:rPr>
          <w:rFonts w:ascii="Arial" w:hAnsi="Arial" w:cs="Arial"/>
          <w:sz w:val="20"/>
          <w:szCs w:val="20"/>
        </w:rPr>
        <w:t>D</w:t>
      </w:r>
      <w:r w:rsidR="00AD322C" w:rsidRPr="00F03117">
        <w:rPr>
          <w:rFonts w:ascii="Arial" w:hAnsi="Arial" w:cs="Arial"/>
          <w:sz w:val="20"/>
          <w:szCs w:val="20"/>
        </w:rPr>
        <w:t>emand</w:t>
      </w:r>
      <w:r w:rsidR="00BB4412" w:rsidRPr="00F03117">
        <w:rPr>
          <w:rFonts w:ascii="Arial" w:hAnsi="Arial" w:cs="Arial"/>
          <w:sz w:val="20"/>
          <w:szCs w:val="20"/>
        </w:rPr>
        <w:t>)</w:t>
      </w:r>
      <w:r w:rsidR="00AD322C" w:rsidRPr="00F03117">
        <w:rPr>
          <w:rFonts w:ascii="Arial" w:hAnsi="Arial" w:cs="Arial"/>
          <w:sz w:val="20"/>
          <w:szCs w:val="20"/>
        </w:rPr>
        <w:t xml:space="preserve"> x </w:t>
      </w:r>
      <w:r w:rsidR="00BB4412" w:rsidRPr="00F03117">
        <w:rPr>
          <w:rFonts w:ascii="Arial" w:hAnsi="Arial" w:cs="Arial"/>
          <w:sz w:val="20"/>
          <w:szCs w:val="20"/>
        </w:rPr>
        <w:t>(D</w:t>
      </w:r>
      <w:r w:rsidR="00AD322C" w:rsidRPr="00F03117">
        <w:rPr>
          <w:rFonts w:ascii="Arial" w:hAnsi="Arial" w:cs="Arial"/>
          <w:sz w:val="20"/>
          <w:szCs w:val="20"/>
        </w:rPr>
        <w:t xml:space="preserve">emand </w:t>
      </w:r>
      <w:r w:rsidR="00BB4412" w:rsidRPr="00F03117">
        <w:rPr>
          <w:rFonts w:ascii="Arial" w:hAnsi="Arial" w:cs="Arial"/>
          <w:sz w:val="20"/>
          <w:szCs w:val="20"/>
        </w:rPr>
        <w:t>I</w:t>
      </w:r>
      <w:r w:rsidR="00AD322C" w:rsidRPr="00F03117">
        <w:rPr>
          <w:rFonts w:ascii="Arial" w:hAnsi="Arial" w:cs="Arial"/>
          <w:sz w:val="20"/>
          <w:szCs w:val="20"/>
        </w:rPr>
        <w:t xml:space="preserve">nteractive </w:t>
      </w:r>
      <w:r w:rsidR="00BB4412" w:rsidRPr="00F03117">
        <w:rPr>
          <w:rFonts w:ascii="Arial" w:hAnsi="Arial" w:cs="Arial"/>
          <w:sz w:val="20"/>
          <w:szCs w:val="20"/>
        </w:rPr>
        <w:t>E</w:t>
      </w:r>
      <w:r w:rsidR="00AD322C" w:rsidRPr="00F03117">
        <w:rPr>
          <w:rFonts w:ascii="Arial" w:hAnsi="Arial" w:cs="Arial"/>
          <w:sz w:val="20"/>
          <w:szCs w:val="20"/>
        </w:rPr>
        <w:t>ffects</w:t>
      </w:r>
      <w:r w:rsidR="00794E75" w:rsidRPr="00F03117">
        <w:rPr>
          <w:rFonts w:ascii="Arial" w:hAnsi="Arial" w:cs="Arial"/>
          <w:sz w:val="20"/>
          <w:szCs w:val="20"/>
        </w:rPr>
        <w:t>) /</w:t>
      </w:r>
      <w:r w:rsidRPr="00F03117">
        <w:rPr>
          <w:rFonts w:ascii="Arial" w:hAnsi="Arial" w:cs="Arial"/>
          <w:sz w:val="20"/>
          <w:szCs w:val="20"/>
        </w:rPr>
        <w:t xml:space="preserve"> </w:t>
      </w:r>
      <w:r w:rsidR="00794E75" w:rsidRPr="00F03117">
        <w:rPr>
          <w:rFonts w:ascii="Arial" w:hAnsi="Arial" w:cs="Arial"/>
          <w:sz w:val="20"/>
          <w:szCs w:val="20"/>
        </w:rPr>
        <w:t>(</w:t>
      </w:r>
      <w:r w:rsidRPr="00F03117">
        <w:rPr>
          <w:rFonts w:ascii="Arial" w:hAnsi="Arial" w:cs="Arial"/>
          <w:sz w:val="20"/>
          <w:szCs w:val="20"/>
        </w:rPr>
        <w:t>1,000 Watts/kW</w:t>
      </w:r>
      <w:r w:rsidR="00794E75" w:rsidRPr="00F03117">
        <w:rPr>
          <w:rFonts w:ascii="Arial" w:hAnsi="Arial" w:cs="Arial"/>
          <w:sz w:val="20"/>
          <w:szCs w:val="20"/>
        </w:rPr>
        <w:t>)</w:t>
      </w:r>
    </w:p>
    <w:p w:rsidR="005F3DA0" w:rsidRDefault="005F3DA0" w:rsidP="005F3DA0">
      <w:pPr>
        <w:rPr>
          <w:rFonts w:ascii="Arial" w:hAnsi="Arial" w:cs="Arial"/>
          <w:b/>
          <w:sz w:val="20"/>
          <w:szCs w:val="20"/>
        </w:rPr>
      </w:pPr>
    </w:p>
    <w:p w:rsidR="005F3DA0" w:rsidRPr="00446895" w:rsidRDefault="005F3DA0" w:rsidP="005F3DA0">
      <w:pPr>
        <w:rPr>
          <w:rFonts w:ascii="Arial" w:hAnsi="Arial" w:cs="Arial"/>
          <w:b/>
          <w:sz w:val="20"/>
          <w:szCs w:val="20"/>
        </w:rPr>
      </w:pPr>
      <w:r>
        <w:rPr>
          <w:rFonts w:ascii="Arial" w:hAnsi="Arial" w:cs="Arial"/>
          <w:b/>
          <w:sz w:val="20"/>
          <w:szCs w:val="20"/>
        </w:rPr>
        <w:t xml:space="preserve">For LD101 </w:t>
      </w:r>
      <w:r w:rsidRPr="00A95A8F">
        <w:rPr>
          <w:rFonts w:ascii="Arial" w:hAnsi="Arial" w:cs="Arial"/>
          <w:b/>
          <w:sz w:val="20"/>
          <w:szCs w:val="20"/>
        </w:rPr>
        <w:t>LED High/Low Bay:  40 to 131 watts, replacing 175W PS-MH</w:t>
      </w:r>
      <w:r>
        <w:rPr>
          <w:rFonts w:ascii="Arial" w:hAnsi="Arial" w:cs="Arial"/>
          <w:b/>
          <w:sz w:val="20"/>
          <w:szCs w:val="20"/>
        </w:rPr>
        <w:t>, ASM Building Type, ROB:</w:t>
      </w:r>
    </w:p>
    <w:p w:rsidR="00DF284F" w:rsidRDefault="005F3DA0" w:rsidP="005F3DA0">
      <w:pPr>
        <w:ind w:left="720"/>
        <w:rPr>
          <w:rFonts w:ascii="Arial" w:hAnsi="Arial" w:cs="Arial"/>
          <w:b/>
          <w:sz w:val="20"/>
          <w:szCs w:val="20"/>
        </w:rPr>
      </w:pPr>
      <w:r w:rsidRPr="00F03117">
        <w:rPr>
          <w:rFonts w:ascii="Arial" w:hAnsi="Arial" w:cs="Arial"/>
          <w:sz w:val="20"/>
          <w:szCs w:val="20"/>
        </w:rPr>
        <w:t>Demand Reduction [</w:t>
      </w:r>
      <w:r>
        <w:rPr>
          <w:rFonts w:ascii="Arial" w:hAnsi="Arial" w:cs="Arial"/>
          <w:sz w:val="20"/>
          <w:szCs w:val="20"/>
        </w:rPr>
        <w:t>0.</w:t>
      </w:r>
      <w:r w:rsidR="00E0684E">
        <w:rPr>
          <w:rFonts w:ascii="Arial" w:hAnsi="Arial" w:cs="Arial"/>
          <w:sz w:val="20"/>
          <w:szCs w:val="20"/>
        </w:rPr>
        <w:t>043</w:t>
      </w:r>
      <w:r>
        <w:rPr>
          <w:rFonts w:ascii="Arial" w:hAnsi="Arial" w:cs="Arial"/>
          <w:sz w:val="20"/>
          <w:szCs w:val="20"/>
        </w:rPr>
        <w:t xml:space="preserve"> </w:t>
      </w:r>
      <w:r w:rsidRPr="00F03117">
        <w:rPr>
          <w:rFonts w:ascii="Arial" w:hAnsi="Arial" w:cs="Arial"/>
          <w:sz w:val="20"/>
          <w:szCs w:val="20"/>
        </w:rPr>
        <w:t>kW/</w:t>
      </w:r>
      <w:r>
        <w:rPr>
          <w:rFonts w:ascii="Arial" w:hAnsi="Arial" w:cs="Arial"/>
          <w:sz w:val="20"/>
          <w:szCs w:val="20"/>
        </w:rPr>
        <w:t>fixture</w:t>
      </w:r>
      <w:r w:rsidRPr="00F03117">
        <w:rPr>
          <w:rFonts w:ascii="Arial" w:hAnsi="Arial" w:cs="Arial"/>
          <w:sz w:val="20"/>
          <w:szCs w:val="20"/>
        </w:rPr>
        <w:t>] = (</w:t>
      </w:r>
      <w:r>
        <w:rPr>
          <w:rFonts w:ascii="Arial" w:hAnsi="Arial" w:cs="Arial"/>
          <w:sz w:val="20"/>
          <w:szCs w:val="20"/>
        </w:rPr>
        <w:t>208-</w:t>
      </w:r>
      <w:r w:rsidR="00E0684E">
        <w:rPr>
          <w:rFonts w:ascii="Arial" w:hAnsi="Arial" w:cs="Arial"/>
          <w:sz w:val="20"/>
          <w:szCs w:val="20"/>
        </w:rPr>
        <w:t>131</w:t>
      </w:r>
      <w:r>
        <w:rPr>
          <w:rFonts w:ascii="Arial" w:hAnsi="Arial" w:cs="Arial"/>
          <w:sz w:val="20"/>
          <w:szCs w:val="20"/>
        </w:rPr>
        <w:t xml:space="preserve"> Watts</w:t>
      </w:r>
      <w:r w:rsidRPr="00F03117">
        <w:rPr>
          <w:rFonts w:ascii="Arial" w:hAnsi="Arial" w:cs="Arial"/>
          <w:sz w:val="20"/>
          <w:szCs w:val="20"/>
        </w:rPr>
        <w:t>) x (</w:t>
      </w:r>
      <w:r>
        <w:rPr>
          <w:rFonts w:ascii="Arial" w:hAnsi="Arial" w:cs="Arial"/>
          <w:sz w:val="20"/>
          <w:szCs w:val="20"/>
        </w:rPr>
        <w:t>0.48</w:t>
      </w:r>
      <w:r w:rsidRPr="00F03117">
        <w:rPr>
          <w:rFonts w:ascii="Arial" w:hAnsi="Arial" w:cs="Arial"/>
          <w:sz w:val="20"/>
          <w:szCs w:val="20"/>
        </w:rPr>
        <w:t>) x (</w:t>
      </w:r>
      <w:r>
        <w:rPr>
          <w:rFonts w:ascii="Arial" w:hAnsi="Arial" w:cs="Arial"/>
          <w:sz w:val="20"/>
          <w:szCs w:val="20"/>
        </w:rPr>
        <w:t>1.17</w:t>
      </w:r>
      <w:r w:rsidRPr="00F03117">
        <w:rPr>
          <w:rFonts w:ascii="Arial" w:hAnsi="Arial" w:cs="Arial"/>
          <w:sz w:val="20"/>
          <w:szCs w:val="20"/>
        </w:rPr>
        <w:t>) / (1,000 Watts/kW)</w:t>
      </w:r>
    </w:p>
    <w:p w:rsidR="007878B9" w:rsidRPr="00BF0332" w:rsidRDefault="00276ED1" w:rsidP="00BF0332">
      <w:pPr>
        <w:pStyle w:val="Heading2"/>
      </w:pPr>
      <w:bookmarkStart w:id="37" w:name="_Toc438562599"/>
      <w:r w:rsidRPr="00BF0332">
        <w:t xml:space="preserve">2.3. </w:t>
      </w:r>
      <w:r w:rsidR="007878B9" w:rsidRPr="00BF0332">
        <w:t>Gas Energy Savings Estimation Methodologies</w:t>
      </w:r>
      <w:bookmarkEnd w:id="37"/>
    </w:p>
    <w:p w:rsidR="004203DD" w:rsidRPr="005F3DA0" w:rsidRDefault="00840D16" w:rsidP="005F3DA0">
      <w:pPr>
        <w:rPr>
          <w:rFonts w:ascii="Arial" w:hAnsi="Arial" w:cs="Arial"/>
          <w:i/>
          <w:sz w:val="20"/>
          <w:szCs w:val="20"/>
        </w:rPr>
      </w:pPr>
      <w:r w:rsidRPr="00840D16">
        <w:rPr>
          <w:rFonts w:ascii="Arial" w:hAnsi="Arial" w:cs="Arial"/>
          <w:sz w:val="20"/>
          <w:szCs w:val="20"/>
        </w:rPr>
        <w:t xml:space="preserve">Gas estimates are entirely based on the estimated increased gas use through calculated interactive effects. This measure includes HVAC interactive effects </w:t>
      </w:r>
      <w:r w:rsidR="00B30D5C">
        <w:rPr>
          <w:rFonts w:ascii="Arial" w:hAnsi="Arial" w:cs="Arial"/>
          <w:sz w:val="20"/>
          <w:szCs w:val="20"/>
        </w:rPr>
        <w:t>impacts</w:t>
      </w:r>
      <w:r w:rsidRPr="00840D16">
        <w:rPr>
          <w:rFonts w:ascii="Arial" w:hAnsi="Arial" w:cs="Arial"/>
          <w:sz w:val="20"/>
          <w:szCs w:val="20"/>
        </w:rPr>
        <w:t>. This measure is not an Early Retirement measure.</w:t>
      </w:r>
    </w:p>
    <w:p w:rsidR="004203DD" w:rsidRDefault="004203DD" w:rsidP="004203DD">
      <w:pPr>
        <w:ind w:left="720"/>
        <w:rPr>
          <w:rFonts w:ascii="Arial" w:hAnsi="Arial" w:cs="Arial"/>
          <w:b/>
          <w:sz w:val="20"/>
          <w:szCs w:val="20"/>
          <w:u w:val="single"/>
        </w:rPr>
      </w:pPr>
    </w:p>
    <w:p w:rsidR="00AD322C" w:rsidRPr="00CF3FF0" w:rsidRDefault="00547480" w:rsidP="00AD322C">
      <w:pPr>
        <w:rPr>
          <w:rFonts w:ascii="Arial" w:hAnsi="Arial" w:cs="Arial"/>
          <w:b/>
          <w:sz w:val="20"/>
          <w:szCs w:val="20"/>
        </w:rPr>
      </w:pPr>
      <w:r>
        <w:rPr>
          <w:rFonts w:ascii="Arial" w:hAnsi="Arial" w:cs="Arial"/>
          <w:b/>
          <w:sz w:val="20"/>
          <w:szCs w:val="20"/>
        </w:rPr>
        <w:t>Annual Gas Savings</w:t>
      </w:r>
      <w:r w:rsidR="00AD322C" w:rsidRPr="00CF3FF0">
        <w:rPr>
          <w:rFonts w:ascii="Arial" w:hAnsi="Arial" w:cs="Arial"/>
          <w:b/>
          <w:sz w:val="20"/>
          <w:szCs w:val="20"/>
        </w:rPr>
        <w:t>:</w:t>
      </w:r>
    </w:p>
    <w:p w:rsidR="00AD322C" w:rsidRPr="001A5C3F" w:rsidRDefault="004203DD" w:rsidP="00AD322C">
      <w:pPr>
        <w:rPr>
          <w:rFonts w:ascii="Arial" w:hAnsi="Arial" w:cs="Arial"/>
          <w:sz w:val="20"/>
          <w:szCs w:val="20"/>
        </w:rPr>
      </w:pPr>
      <w:r w:rsidRPr="001A5C3F">
        <w:rPr>
          <w:rFonts w:ascii="Arial" w:hAnsi="Arial" w:cs="Arial"/>
          <w:sz w:val="20"/>
          <w:szCs w:val="20"/>
        </w:rPr>
        <w:t xml:space="preserve">Annual </w:t>
      </w:r>
      <w:r w:rsidR="003C0071" w:rsidRPr="001A5C3F">
        <w:rPr>
          <w:rFonts w:ascii="Arial" w:hAnsi="Arial" w:cs="Arial"/>
          <w:sz w:val="20"/>
          <w:szCs w:val="20"/>
        </w:rPr>
        <w:t xml:space="preserve">Gas Savings </w:t>
      </w:r>
      <w:r w:rsidR="00AD322C" w:rsidRPr="001A5C3F">
        <w:rPr>
          <w:rFonts w:ascii="Arial" w:hAnsi="Arial" w:cs="Arial"/>
          <w:sz w:val="20"/>
          <w:szCs w:val="20"/>
        </w:rPr>
        <w:t>[</w:t>
      </w:r>
      <w:r w:rsidR="00547480" w:rsidRPr="001A5C3F">
        <w:rPr>
          <w:rFonts w:ascii="Arial" w:hAnsi="Arial" w:cs="Arial"/>
          <w:sz w:val="20"/>
          <w:szCs w:val="20"/>
        </w:rPr>
        <w:t>∆</w:t>
      </w:r>
      <w:proofErr w:type="spellStart"/>
      <w:r w:rsidR="00547480" w:rsidRPr="001A5C3F">
        <w:rPr>
          <w:rFonts w:ascii="Arial" w:hAnsi="Arial" w:cs="Arial"/>
          <w:sz w:val="20"/>
          <w:szCs w:val="20"/>
        </w:rPr>
        <w:t>Therms</w:t>
      </w:r>
      <w:proofErr w:type="spellEnd"/>
      <w:r w:rsidR="00547480" w:rsidRPr="001A5C3F">
        <w:rPr>
          <w:rFonts w:ascii="Arial" w:hAnsi="Arial" w:cs="Arial"/>
          <w:sz w:val="20"/>
          <w:szCs w:val="20"/>
        </w:rPr>
        <w:t>/</w:t>
      </w:r>
      <w:r w:rsidR="00C45648">
        <w:rPr>
          <w:rFonts w:ascii="Arial" w:hAnsi="Arial" w:cs="Arial"/>
          <w:sz w:val="20"/>
          <w:szCs w:val="20"/>
        </w:rPr>
        <w:t>fixture</w:t>
      </w:r>
      <w:r w:rsidR="00AD322C" w:rsidRPr="001A5C3F">
        <w:rPr>
          <w:rFonts w:ascii="Arial" w:hAnsi="Arial" w:cs="Arial"/>
          <w:sz w:val="20"/>
          <w:szCs w:val="20"/>
        </w:rPr>
        <w:t>] = (∆Watts/</w:t>
      </w:r>
      <w:r w:rsidR="00C45648">
        <w:rPr>
          <w:rFonts w:ascii="Arial" w:hAnsi="Arial" w:cs="Arial"/>
          <w:sz w:val="20"/>
          <w:szCs w:val="20"/>
        </w:rPr>
        <w:t>fixture</w:t>
      </w:r>
      <w:r w:rsidR="00AD322C" w:rsidRPr="001A5C3F">
        <w:rPr>
          <w:rFonts w:ascii="Arial" w:hAnsi="Arial" w:cs="Arial"/>
          <w:sz w:val="20"/>
          <w:szCs w:val="20"/>
        </w:rPr>
        <w:t>) x (</w:t>
      </w:r>
      <w:r w:rsidR="00547480" w:rsidRPr="001A5C3F">
        <w:rPr>
          <w:rFonts w:ascii="Arial" w:hAnsi="Arial" w:cs="Arial"/>
          <w:sz w:val="20"/>
          <w:szCs w:val="20"/>
        </w:rPr>
        <w:t>Annual Hours of Operation)</w:t>
      </w:r>
      <w:r w:rsidR="00AD322C" w:rsidRPr="001A5C3F">
        <w:rPr>
          <w:rFonts w:ascii="Arial" w:hAnsi="Arial" w:cs="Arial"/>
          <w:sz w:val="20"/>
          <w:szCs w:val="20"/>
        </w:rPr>
        <w:t xml:space="preserve"> x </w:t>
      </w:r>
      <w:r w:rsidR="00547480" w:rsidRPr="001A5C3F">
        <w:rPr>
          <w:rFonts w:ascii="Arial" w:hAnsi="Arial" w:cs="Arial"/>
          <w:sz w:val="20"/>
          <w:szCs w:val="20"/>
        </w:rPr>
        <w:t>(Gas</w:t>
      </w:r>
      <w:r w:rsidR="00AD322C" w:rsidRPr="001A5C3F">
        <w:rPr>
          <w:rFonts w:ascii="Arial" w:hAnsi="Arial" w:cs="Arial"/>
          <w:sz w:val="20"/>
          <w:szCs w:val="20"/>
        </w:rPr>
        <w:t xml:space="preserve"> </w:t>
      </w:r>
      <w:r w:rsidR="00547480" w:rsidRPr="001A5C3F">
        <w:rPr>
          <w:rFonts w:ascii="Arial" w:hAnsi="Arial" w:cs="Arial"/>
          <w:sz w:val="20"/>
          <w:szCs w:val="20"/>
        </w:rPr>
        <w:t>I</w:t>
      </w:r>
      <w:r w:rsidR="00AD322C" w:rsidRPr="001A5C3F">
        <w:rPr>
          <w:rFonts w:ascii="Arial" w:hAnsi="Arial" w:cs="Arial"/>
          <w:sz w:val="20"/>
          <w:szCs w:val="20"/>
        </w:rPr>
        <w:t xml:space="preserve">nteractive </w:t>
      </w:r>
      <w:r w:rsidR="00547480" w:rsidRPr="001A5C3F">
        <w:rPr>
          <w:rFonts w:ascii="Arial" w:hAnsi="Arial" w:cs="Arial"/>
          <w:sz w:val="20"/>
          <w:szCs w:val="20"/>
        </w:rPr>
        <w:t>E</w:t>
      </w:r>
      <w:r w:rsidR="00AD322C" w:rsidRPr="001A5C3F">
        <w:rPr>
          <w:rFonts w:ascii="Arial" w:hAnsi="Arial" w:cs="Arial"/>
          <w:sz w:val="20"/>
          <w:szCs w:val="20"/>
        </w:rPr>
        <w:t>ffects)</w:t>
      </w:r>
      <w:r w:rsidR="00547480" w:rsidRPr="001A5C3F">
        <w:rPr>
          <w:rFonts w:ascii="Arial" w:hAnsi="Arial" w:cs="Arial"/>
          <w:sz w:val="20"/>
          <w:szCs w:val="20"/>
        </w:rPr>
        <w:t xml:space="preserve"> / 1</w:t>
      </w:r>
      <w:r w:rsidR="00AD322C" w:rsidRPr="001A5C3F">
        <w:rPr>
          <w:rFonts w:ascii="Arial" w:hAnsi="Arial" w:cs="Arial"/>
          <w:sz w:val="20"/>
          <w:szCs w:val="20"/>
        </w:rPr>
        <w:t>,000 Watts/kW</w:t>
      </w:r>
    </w:p>
    <w:p w:rsidR="005F3DA0" w:rsidRDefault="005F3DA0" w:rsidP="005F3DA0">
      <w:pPr>
        <w:rPr>
          <w:rFonts w:ascii="Arial" w:hAnsi="Arial" w:cs="Arial"/>
          <w:b/>
          <w:sz w:val="20"/>
          <w:szCs w:val="20"/>
        </w:rPr>
      </w:pPr>
    </w:p>
    <w:p w:rsidR="005F3DA0" w:rsidRPr="00446895" w:rsidRDefault="005F3DA0" w:rsidP="005F3DA0">
      <w:pPr>
        <w:rPr>
          <w:rFonts w:ascii="Arial" w:hAnsi="Arial" w:cs="Arial"/>
          <w:b/>
          <w:sz w:val="20"/>
          <w:szCs w:val="20"/>
        </w:rPr>
      </w:pPr>
      <w:r>
        <w:rPr>
          <w:rFonts w:ascii="Arial" w:hAnsi="Arial" w:cs="Arial"/>
          <w:b/>
          <w:sz w:val="20"/>
          <w:szCs w:val="20"/>
        </w:rPr>
        <w:t xml:space="preserve">For LD101 </w:t>
      </w:r>
      <w:r w:rsidRPr="00A95A8F">
        <w:rPr>
          <w:rFonts w:ascii="Arial" w:hAnsi="Arial" w:cs="Arial"/>
          <w:b/>
          <w:sz w:val="20"/>
          <w:szCs w:val="20"/>
        </w:rPr>
        <w:t>LED High/Low Bay:  40 to 131 watts, replacing 175W PS-MH</w:t>
      </w:r>
      <w:r>
        <w:rPr>
          <w:rFonts w:ascii="Arial" w:hAnsi="Arial" w:cs="Arial"/>
          <w:b/>
          <w:sz w:val="20"/>
          <w:szCs w:val="20"/>
        </w:rPr>
        <w:t>, ASM Building Type, ROB:</w:t>
      </w:r>
    </w:p>
    <w:p w:rsidR="00DF284F" w:rsidRPr="001A5C3F" w:rsidRDefault="005F3DA0" w:rsidP="005F3DA0">
      <w:pPr>
        <w:ind w:left="720"/>
        <w:rPr>
          <w:rFonts w:ascii="Arial" w:hAnsi="Arial" w:cs="Arial"/>
          <w:sz w:val="20"/>
          <w:szCs w:val="20"/>
          <w:highlight w:val="cyan"/>
        </w:rPr>
      </w:pPr>
      <w:r w:rsidRPr="001A5C3F">
        <w:rPr>
          <w:rFonts w:ascii="Arial" w:hAnsi="Arial" w:cs="Arial"/>
          <w:sz w:val="20"/>
          <w:szCs w:val="20"/>
        </w:rPr>
        <w:t>Annual Gas Savings [</w:t>
      </w:r>
      <w:r>
        <w:rPr>
          <w:rFonts w:ascii="Arial" w:hAnsi="Arial" w:cs="Arial"/>
          <w:sz w:val="20"/>
          <w:szCs w:val="20"/>
        </w:rPr>
        <w:t>-</w:t>
      </w:r>
      <w:r w:rsidR="00E0684E">
        <w:rPr>
          <w:rFonts w:ascii="Arial" w:hAnsi="Arial" w:cs="Arial"/>
          <w:sz w:val="20"/>
          <w:szCs w:val="20"/>
        </w:rPr>
        <w:t>1.30</w:t>
      </w:r>
      <w:r>
        <w:rPr>
          <w:rFonts w:ascii="Arial" w:hAnsi="Arial" w:cs="Arial"/>
          <w:sz w:val="20"/>
          <w:szCs w:val="20"/>
        </w:rPr>
        <w:t xml:space="preserve"> </w:t>
      </w:r>
      <w:proofErr w:type="spellStart"/>
      <w:r w:rsidRPr="001A5C3F">
        <w:rPr>
          <w:rFonts w:ascii="Arial" w:hAnsi="Arial" w:cs="Arial"/>
          <w:sz w:val="20"/>
          <w:szCs w:val="20"/>
        </w:rPr>
        <w:t>Therms</w:t>
      </w:r>
      <w:proofErr w:type="spellEnd"/>
      <w:r w:rsidRPr="001A5C3F">
        <w:rPr>
          <w:rFonts w:ascii="Arial" w:hAnsi="Arial" w:cs="Arial"/>
          <w:sz w:val="20"/>
          <w:szCs w:val="20"/>
        </w:rPr>
        <w:t>/</w:t>
      </w:r>
      <w:r>
        <w:rPr>
          <w:rFonts w:ascii="Arial" w:hAnsi="Arial" w:cs="Arial"/>
          <w:sz w:val="20"/>
          <w:szCs w:val="20"/>
        </w:rPr>
        <w:t>fixture</w:t>
      </w:r>
      <w:r w:rsidRPr="001A5C3F">
        <w:rPr>
          <w:rFonts w:ascii="Arial" w:hAnsi="Arial" w:cs="Arial"/>
          <w:sz w:val="20"/>
          <w:szCs w:val="20"/>
        </w:rPr>
        <w:t>] = (</w:t>
      </w:r>
      <w:r>
        <w:rPr>
          <w:rFonts w:ascii="Arial" w:hAnsi="Arial" w:cs="Arial"/>
          <w:sz w:val="20"/>
          <w:szCs w:val="20"/>
        </w:rPr>
        <w:t>208-</w:t>
      </w:r>
      <w:r w:rsidR="00E0684E">
        <w:rPr>
          <w:rFonts w:ascii="Arial" w:hAnsi="Arial" w:cs="Arial"/>
          <w:sz w:val="20"/>
          <w:szCs w:val="20"/>
        </w:rPr>
        <w:t>131</w:t>
      </w:r>
      <w:r>
        <w:rPr>
          <w:rFonts w:ascii="Arial" w:hAnsi="Arial" w:cs="Arial"/>
          <w:sz w:val="20"/>
          <w:szCs w:val="20"/>
        </w:rPr>
        <w:t xml:space="preserve"> Watts</w:t>
      </w:r>
      <w:r w:rsidRPr="001A5C3F">
        <w:rPr>
          <w:rFonts w:ascii="Arial" w:hAnsi="Arial" w:cs="Arial"/>
          <w:sz w:val="20"/>
          <w:szCs w:val="20"/>
        </w:rPr>
        <w:t>) x (</w:t>
      </w:r>
      <w:r>
        <w:rPr>
          <w:rFonts w:ascii="Arial" w:hAnsi="Arial" w:cs="Arial"/>
          <w:sz w:val="20"/>
          <w:szCs w:val="20"/>
        </w:rPr>
        <w:t xml:space="preserve">1620 </w:t>
      </w:r>
      <w:proofErr w:type="spellStart"/>
      <w:r>
        <w:rPr>
          <w:rFonts w:ascii="Arial" w:hAnsi="Arial" w:cs="Arial"/>
          <w:sz w:val="20"/>
          <w:szCs w:val="20"/>
        </w:rPr>
        <w:t>hrs</w:t>
      </w:r>
      <w:proofErr w:type="spellEnd"/>
      <w:r>
        <w:rPr>
          <w:rFonts w:ascii="Arial" w:hAnsi="Arial" w:cs="Arial"/>
          <w:sz w:val="20"/>
          <w:szCs w:val="20"/>
        </w:rPr>
        <w:t>/</w:t>
      </w:r>
      <w:proofErr w:type="spellStart"/>
      <w:r>
        <w:rPr>
          <w:rFonts w:ascii="Arial" w:hAnsi="Arial" w:cs="Arial"/>
          <w:sz w:val="20"/>
          <w:szCs w:val="20"/>
        </w:rPr>
        <w:t>yr</w:t>
      </w:r>
      <w:proofErr w:type="spellEnd"/>
      <w:r w:rsidRPr="001A5C3F">
        <w:rPr>
          <w:rFonts w:ascii="Arial" w:hAnsi="Arial" w:cs="Arial"/>
          <w:sz w:val="20"/>
          <w:szCs w:val="20"/>
        </w:rPr>
        <w:t>) x (</w:t>
      </w:r>
      <w:r>
        <w:rPr>
          <w:rFonts w:ascii="Arial" w:hAnsi="Arial" w:cs="Arial"/>
          <w:sz w:val="20"/>
          <w:szCs w:val="20"/>
        </w:rPr>
        <w:t>-0.0104</w:t>
      </w:r>
      <w:r w:rsidRPr="001A5C3F">
        <w:rPr>
          <w:rFonts w:ascii="Arial" w:hAnsi="Arial" w:cs="Arial"/>
          <w:sz w:val="20"/>
          <w:szCs w:val="20"/>
        </w:rPr>
        <w:t>) / 1,000 Watts/kW</w:t>
      </w:r>
    </w:p>
    <w:p w:rsidR="005F3DA0" w:rsidRDefault="005F3DA0">
      <w:pPr>
        <w:rPr>
          <w:rFonts w:ascii="Arial" w:hAnsi="Arial" w:cs="Arial"/>
          <w:b/>
          <w:bCs/>
          <w:kern w:val="32"/>
          <w:sz w:val="28"/>
          <w:szCs w:val="28"/>
        </w:rPr>
      </w:pPr>
      <w:r>
        <w:rPr>
          <w:sz w:val="28"/>
          <w:szCs w:val="28"/>
        </w:rPr>
        <w:br w:type="page"/>
      </w:r>
    </w:p>
    <w:p w:rsidR="00B7164C" w:rsidRPr="003F7A9C" w:rsidRDefault="00C069A2" w:rsidP="00D20486">
      <w:pPr>
        <w:pStyle w:val="Heading1"/>
        <w:rPr>
          <w:sz w:val="28"/>
          <w:szCs w:val="28"/>
        </w:rPr>
      </w:pPr>
      <w:bookmarkStart w:id="38" w:name="_Toc438562600"/>
      <w:proofErr w:type="gramStart"/>
      <w:r w:rsidRPr="003F7A9C">
        <w:rPr>
          <w:sz w:val="28"/>
          <w:szCs w:val="28"/>
        </w:rPr>
        <w:lastRenderedPageBreak/>
        <w:t>Section 3</w:t>
      </w:r>
      <w:r w:rsidR="003129E8" w:rsidRPr="003F7A9C">
        <w:rPr>
          <w:sz w:val="28"/>
          <w:szCs w:val="28"/>
        </w:rPr>
        <w:t>.</w:t>
      </w:r>
      <w:proofErr w:type="gramEnd"/>
      <w:r w:rsidRPr="003F7A9C">
        <w:rPr>
          <w:sz w:val="28"/>
          <w:szCs w:val="28"/>
        </w:rPr>
        <w:t xml:space="preserve"> Load Shapes</w:t>
      </w:r>
      <w:bookmarkEnd w:id="38"/>
      <w:r w:rsidR="00844B27" w:rsidRPr="003F7A9C">
        <w:rPr>
          <w:sz w:val="28"/>
          <w:szCs w:val="28"/>
        </w:rPr>
        <w:t xml:space="preserve"> </w:t>
      </w:r>
    </w:p>
    <w:p w:rsidR="00A06A54" w:rsidRPr="0008537D" w:rsidRDefault="00A06A54" w:rsidP="00A06A54">
      <w:pPr>
        <w:autoSpaceDE w:val="0"/>
        <w:autoSpaceDN w:val="0"/>
        <w:adjustRightInd w:val="0"/>
        <w:rPr>
          <w:rFonts w:ascii="Arial" w:hAnsi="Arial" w:cs="Arial"/>
          <w:sz w:val="20"/>
          <w:szCs w:val="20"/>
        </w:rPr>
      </w:pPr>
      <w:r w:rsidRPr="0008537D">
        <w:rPr>
          <w:rFonts w:ascii="Arial" w:hAnsi="Arial" w:cs="Arial"/>
          <w:sz w:val="20"/>
          <w:szCs w:val="20"/>
        </w:rPr>
        <w:t>Load Shapes are an important part of the life-cycle cost analysis of any energy efficiency program portfolio.</w:t>
      </w:r>
      <w:r w:rsidR="00A97045">
        <w:rPr>
          <w:rFonts w:ascii="Arial" w:hAnsi="Arial" w:cs="Arial"/>
          <w:sz w:val="20"/>
          <w:szCs w:val="20"/>
        </w:rPr>
        <w:t xml:space="preserve"> </w:t>
      </w:r>
      <w:r w:rsidRPr="0008537D">
        <w:rPr>
          <w:rFonts w:ascii="Arial" w:hAnsi="Arial" w:cs="Arial"/>
          <w:sz w:val="20"/>
          <w:szCs w:val="20"/>
        </w:rPr>
        <w:t>The net benefits associated with a measure are based on the amount of energy saved and the avoided cost per unit of energy saved.</w:t>
      </w:r>
      <w:r w:rsidR="00A97045">
        <w:rPr>
          <w:rFonts w:ascii="Arial" w:hAnsi="Arial" w:cs="Arial"/>
          <w:sz w:val="20"/>
          <w:szCs w:val="20"/>
        </w:rPr>
        <w:t xml:space="preserve"> </w:t>
      </w:r>
      <w:r w:rsidRPr="0008537D">
        <w:rPr>
          <w:rFonts w:ascii="Arial" w:hAnsi="Arial" w:cs="Arial"/>
          <w:sz w:val="20"/>
          <w:szCs w:val="20"/>
        </w:rPr>
        <w:t>For electricity, the avoided cost varies hourly over an entire year.</w:t>
      </w:r>
      <w:r w:rsidR="00A97045">
        <w:rPr>
          <w:rFonts w:ascii="Arial" w:hAnsi="Arial" w:cs="Arial"/>
          <w:sz w:val="20"/>
          <w:szCs w:val="20"/>
        </w:rPr>
        <w:t xml:space="preserve"> </w:t>
      </w:r>
      <w:r w:rsidRPr="0008537D">
        <w:rPr>
          <w:rFonts w:ascii="Arial" w:hAnsi="Arial" w:cs="Arial"/>
          <w:sz w:val="20"/>
          <w:szCs w:val="20"/>
        </w:rPr>
        <w:t>Thus, the net benefits calculation for a measure requires both the total annual energy savings (kWh) of the measure and the distribution of that savings over the year.</w:t>
      </w:r>
      <w:r w:rsidR="00A97045">
        <w:rPr>
          <w:rFonts w:ascii="Arial" w:hAnsi="Arial" w:cs="Arial"/>
          <w:sz w:val="20"/>
          <w:szCs w:val="20"/>
        </w:rPr>
        <w:t xml:space="preserve"> </w:t>
      </w:r>
      <w:r w:rsidRPr="0008537D">
        <w:rPr>
          <w:rFonts w:ascii="Arial" w:hAnsi="Arial" w:cs="Arial"/>
          <w:sz w:val="20"/>
          <w:szCs w:val="20"/>
        </w:rPr>
        <w:t>The distribution of savings over the year is represented by the measure’s load shape.</w:t>
      </w:r>
      <w:r w:rsidR="00A97045">
        <w:rPr>
          <w:rFonts w:ascii="Arial" w:hAnsi="Arial" w:cs="Arial"/>
          <w:sz w:val="20"/>
          <w:szCs w:val="20"/>
        </w:rPr>
        <w:t xml:space="preserve"> </w:t>
      </w:r>
      <w:r w:rsidRPr="0008537D">
        <w:rPr>
          <w:rFonts w:ascii="Arial" w:hAnsi="Arial" w:cs="Arial"/>
          <w:sz w:val="20"/>
          <w:szCs w:val="20"/>
        </w:rPr>
        <w:t>The measure’s load shape indicates what fraction of annual energy savings occurs in each time period of the year.</w:t>
      </w:r>
      <w:r w:rsidR="00A97045">
        <w:rPr>
          <w:rFonts w:ascii="Arial" w:hAnsi="Arial" w:cs="Arial"/>
          <w:sz w:val="20"/>
          <w:szCs w:val="20"/>
        </w:rPr>
        <w:t xml:space="preserve"> </w:t>
      </w:r>
      <w:r w:rsidRPr="0008537D">
        <w:rPr>
          <w:rFonts w:ascii="Arial" w:hAnsi="Arial" w:cs="Arial"/>
          <w:sz w:val="20"/>
          <w:szCs w:val="20"/>
        </w:rPr>
        <w:t>An hourly load shape indicates what fraction of annual savings occurs for each hour of the year.</w:t>
      </w:r>
      <w:r w:rsidR="00A97045">
        <w:rPr>
          <w:rFonts w:ascii="Arial" w:hAnsi="Arial" w:cs="Arial"/>
          <w:sz w:val="20"/>
          <w:szCs w:val="20"/>
        </w:rPr>
        <w:t xml:space="preserve"> </w:t>
      </w:r>
      <w:r w:rsidRPr="0008537D">
        <w:rPr>
          <w:rFonts w:ascii="Arial" w:hAnsi="Arial" w:cs="Arial"/>
          <w:sz w:val="20"/>
          <w:szCs w:val="20"/>
        </w:rPr>
        <w:t>A Time-of-Use (TOU) load shape indicates what fraction occurs within five or six broad time-of-use periods, typically defined by a specific utility rate tariff.</w:t>
      </w:r>
      <w:r w:rsidR="00A97045">
        <w:rPr>
          <w:rFonts w:ascii="Arial" w:hAnsi="Arial" w:cs="Arial"/>
          <w:sz w:val="20"/>
          <w:szCs w:val="20"/>
        </w:rPr>
        <w:t xml:space="preserve"> </w:t>
      </w:r>
      <w:r w:rsidRPr="0008537D">
        <w:rPr>
          <w:rFonts w:ascii="Arial" w:hAnsi="Arial" w:cs="Arial"/>
          <w:sz w:val="20"/>
          <w:szCs w:val="20"/>
        </w:rPr>
        <w:t>Formally, a load shape is a set of fractions summing to unity, one fraction for each hour or for each TOU period.</w:t>
      </w:r>
      <w:r w:rsidR="00A97045">
        <w:rPr>
          <w:rFonts w:ascii="Arial" w:hAnsi="Arial" w:cs="Arial"/>
          <w:sz w:val="20"/>
          <w:szCs w:val="20"/>
        </w:rPr>
        <w:t xml:space="preserve"> </w:t>
      </w:r>
      <w:r w:rsidRPr="0008537D">
        <w:rPr>
          <w:rFonts w:ascii="Arial" w:hAnsi="Arial" w:cs="Arial"/>
          <w:sz w:val="20"/>
          <w:szCs w:val="20"/>
        </w:rPr>
        <w:t xml:space="preserve">Multiplying the measure load shape with the hourly avoided cost stream determines the average avoided cost per kWh for use in the life cycle cost analysis that determines a measure’s Total Resource Cost (TRC) benefit. </w:t>
      </w:r>
    </w:p>
    <w:p w:rsidR="00B7164C" w:rsidRPr="007A4D97" w:rsidRDefault="00BF0332" w:rsidP="00B7164C">
      <w:pPr>
        <w:pStyle w:val="Heading2"/>
        <w:keepNext w:val="0"/>
      </w:pPr>
      <w:bookmarkStart w:id="39" w:name="_Toc173742996"/>
      <w:bookmarkStart w:id="40" w:name="_Toc438562601"/>
      <w:r w:rsidRPr="007A4D97">
        <w:t>3.1 Base Case</w:t>
      </w:r>
      <w:r w:rsidR="00B7164C" w:rsidRPr="007A4D97">
        <w:t xml:space="preserve"> Load Shapes</w:t>
      </w:r>
      <w:bookmarkEnd w:id="39"/>
      <w:bookmarkEnd w:id="40"/>
    </w:p>
    <w:bookmarkStart w:id="41" w:name="_Toc173742997"/>
    <w:p w:rsidR="008840FA" w:rsidRPr="00A209A2" w:rsidRDefault="008840FA" w:rsidP="008840FA">
      <w:pPr>
        <w:rPr>
          <w:rFonts w:ascii="Arial" w:hAnsi="Arial" w:cs="Arial"/>
          <w:sz w:val="20"/>
          <w:szCs w:val="20"/>
        </w:rPr>
      </w:pPr>
      <w:r w:rsidRPr="00A209A2">
        <w:rPr>
          <w:rFonts w:ascii="Arial" w:hAnsi="Arial" w:cs="Arial"/>
          <w:sz w:val="20"/>
          <w:szCs w:val="20"/>
        </w:rPr>
        <w:fldChar w:fldCharType="begin"/>
      </w:r>
      <w:r w:rsidRPr="00A209A2">
        <w:rPr>
          <w:rFonts w:ascii="Arial" w:hAnsi="Arial" w:cs="Arial"/>
          <w:sz w:val="20"/>
          <w:szCs w:val="20"/>
        </w:rPr>
        <w:instrText xml:space="preserve"> XE "load shape" </w:instrText>
      </w:r>
      <w:r w:rsidRPr="00A209A2">
        <w:rPr>
          <w:rFonts w:ascii="Arial" w:hAnsi="Arial" w:cs="Arial"/>
          <w:sz w:val="20"/>
          <w:szCs w:val="20"/>
        </w:rPr>
        <w:fldChar w:fldCharType="end"/>
      </w:r>
      <w:r w:rsidR="00B66898" w:rsidRPr="00A209A2">
        <w:rPr>
          <w:rFonts w:ascii="Arial" w:hAnsi="Arial" w:cs="Arial"/>
          <w:sz w:val="20"/>
          <w:szCs w:val="20"/>
        </w:rPr>
        <w:t>T</w:t>
      </w:r>
      <w:r w:rsidRPr="00A209A2">
        <w:rPr>
          <w:rFonts w:ascii="Arial" w:hAnsi="Arial" w:cs="Arial"/>
          <w:sz w:val="20"/>
          <w:szCs w:val="20"/>
        </w:rPr>
        <w:t xml:space="preserve">he closest load shape chosen for this measure is the </w:t>
      </w:r>
      <w:r w:rsidR="00501673">
        <w:rPr>
          <w:rFonts w:ascii="Arial" w:hAnsi="Arial" w:cs="Arial"/>
          <w:sz w:val="20"/>
          <w:szCs w:val="20"/>
        </w:rPr>
        <w:t>“</w:t>
      </w:r>
      <w:proofErr w:type="spellStart"/>
      <w:r w:rsidR="00E0684E">
        <w:rPr>
          <w:rFonts w:ascii="Arial" w:hAnsi="Arial" w:cs="Arial"/>
          <w:sz w:val="20"/>
          <w:szCs w:val="20"/>
        </w:rPr>
        <w:t>PGE</w:t>
      </w:r>
      <w:proofErr w:type="gramStart"/>
      <w:r w:rsidR="00E0684E">
        <w:rPr>
          <w:rFonts w:ascii="Arial" w:hAnsi="Arial" w:cs="Arial"/>
          <w:sz w:val="20"/>
          <w:szCs w:val="20"/>
        </w:rPr>
        <w:t>:</w:t>
      </w:r>
      <w:r w:rsidRPr="00A209A2">
        <w:rPr>
          <w:rFonts w:ascii="Arial" w:hAnsi="Arial" w:cs="Arial"/>
          <w:sz w:val="20"/>
          <w:szCs w:val="20"/>
        </w:rPr>
        <w:t>DEER:</w:t>
      </w:r>
      <w:r w:rsidR="00E0684E">
        <w:rPr>
          <w:rFonts w:ascii="Arial" w:hAnsi="Arial" w:cs="Arial"/>
          <w:sz w:val="20"/>
          <w:szCs w:val="20"/>
        </w:rPr>
        <w:t>Com:</w:t>
      </w:r>
      <w:r w:rsidRPr="00A209A2">
        <w:rPr>
          <w:rFonts w:ascii="Arial" w:hAnsi="Arial" w:cs="Arial"/>
          <w:sz w:val="20"/>
          <w:szCs w:val="20"/>
        </w:rPr>
        <w:t>Indoor</w:t>
      </w:r>
      <w:proofErr w:type="gramEnd"/>
      <w:r w:rsidRPr="00A209A2">
        <w:rPr>
          <w:rFonts w:ascii="Arial" w:hAnsi="Arial" w:cs="Arial"/>
          <w:sz w:val="20"/>
          <w:szCs w:val="20"/>
        </w:rPr>
        <w:t>_</w:t>
      </w:r>
      <w:r w:rsidR="0079606B">
        <w:rPr>
          <w:rFonts w:ascii="Arial" w:hAnsi="Arial" w:cs="Arial"/>
          <w:sz w:val="20"/>
          <w:szCs w:val="20"/>
        </w:rPr>
        <w:t>Non-</w:t>
      </w:r>
      <w:r w:rsidRPr="00A209A2">
        <w:rPr>
          <w:rFonts w:ascii="Arial" w:hAnsi="Arial" w:cs="Arial"/>
          <w:sz w:val="20"/>
          <w:szCs w:val="20"/>
        </w:rPr>
        <w:t>CFL_Ltg</w:t>
      </w:r>
      <w:proofErr w:type="spellEnd"/>
      <w:r w:rsidR="00501673">
        <w:rPr>
          <w:rFonts w:ascii="Arial" w:hAnsi="Arial" w:cs="Arial"/>
          <w:sz w:val="20"/>
          <w:szCs w:val="20"/>
        </w:rPr>
        <w:t>”</w:t>
      </w:r>
      <w:r w:rsidRPr="00A209A2">
        <w:rPr>
          <w:rFonts w:ascii="Arial" w:hAnsi="Arial" w:cs="Arial"/>
          <w:sz w:val="20"/>
          <w:szCs w:val="20"/>
        </w:rPr>
        <w:t xml:space="preserve"> load shape.</w:t>
      </w:r>
      <w:r w:rsidR="00476B67" w:rsidRPr="00A209A2">
        <w:rPr>
          <w:rFonts w:ascii="Arial" w:hAnsi="Arial" w:cs="Arial"/>
          <w:sz w:val="20"/>
          <w:szCs w:val="20"/>
        </w:rPr>
        <w:t xml:space="preserve"> </w:t>
      </w:r>
    </w:p>
    <w:p w:rsidR="00B7164C" w:rsidRPr="00A209A2" w:rsidRDefault="00B7164C" w:rsidP="00D20486">
      <w:pPr>
        <w:pStyle w:val="Heading2"/>
        <w:keepNext w:val="0"/>
      </w:pPr>
      <w:bookmarkStart w:id="42" w:name="_Toc438562602"/>
      <w:r w:rsidRPr="00A209A2">
        <w:t>3.2 Measure Load Shapes</w:t>
      </w:r>
      <w:bookmarkEnd w:id="41"/>
      <w:bookmarkEnd w:id="42"/>
    </w:p>
    <w:p w:rsidR="00B66898" w:rsidRPr="00A209A2" w:rsidRDefault="009B6201" w:rsidP="003C6DFA">
      <w:pPr>
        <w:rPr>
          <w:rFonts w:ascii="Arial" w:hAnsi="Arial" w:cs="Arial"/>
          <w:sz w:val="20"/>
          <w:szCs w:val="20"/>
        </w:rPr>
      </w:pPr>
      <w:r w:rsidRPr="00A209A2">
        <w:rPr>
          <w:rFonts w:ascii="Arial" w:hAnsi="Arial" w:cs="Arial"/>
          <w:sz w:val="20"/>
          <w:szCs w:val="20"/>
        </w:rPr>
        <w:t xml:space="preserve">The </w:t>
      </w:r>
      <w:r w:rsidR="00F47D9D" w:rsidRPr="00A209A2">
        <w:rPr>
          <w:rFonts w:ascii="Arial" w:hAnsi="Arial" w:cs="Arial"/>
          <w:sz w:val="20"/>
          <w:szCs w:val="20"/>
        </w:rPr>
        <w:t>measure load shape for this measure is</w:t>
      </w:r>
      <w:r w:rsidR="00AB2D9E" w:rsidRPr="00A209A2">
        <w:rPr>
          <w:rFonts w:ascii="Arial" w:hAnsi="Arial" w:cs="Arial"/>
          <w:sz w:val="20"/>
          <w:szCs w:val="20"/>
        </w:rPr>
        <w:t xml:space="preserve"> determined based o</w:t>
      </w:r>
      <w:r w:rsidR="00F47D9D" w:rsidRPr="00A209A2">
        <w:rPr>
          <w:rFonts w:ascii="Arial" w:hAnsi="Arial" w:cs="Arial"/>
          <w:sz w:val="20"/>
          <w:szCs w:val="20"/>
        </w:rPr>
        <w:t>n</w:t>
      </w:r>
      <w:r w:rsidR="00AB2D9E" w:rsidRPr="00A209A2">
        <w:rPr>
          <w:rFonts w:ascii="Arial" w:hAnsi="Arial" w:cs="Arial"/>
          <w:sz w:val="20"/>
          <w:szCs w:val="20"/>
        </w:rPr>
        <w:t xml:space="preserve"> the applicable </w:t>
      </w:r>
      <w:r w:rsidR="0079606B">
        <w:rPr>
          <w:rFonts w:ascii="Arial" w:hAnsi="Arial" w:cs="Arial"/>
          <w:sz w:val="20"/>
          <w:szCs w:val="20"/>
        </w:rPr>
        <w:t xml:space="preserve">non-residential </w:t>
      </w:r>
      <w:r w:rsidR="00AB2D9E" w:rsidRPr="00A209A2">
        <w:rPr>
          <w:rFonts w:ascii="Arial" w:hAnsi="Arial" w:cs="Arial"/>
          <w:sz w:val="20"/>
          <w:szCs w:val="20"/>
        </w:rPr>
        <w:t>market sector</w:t>
      </w:r>
      <w:r w:rsidR="00F47D9D" w:rsidRPr="00A209A2">
        <w:rPr>
          <w:rFonts w:ascii="Arial" w:hAnsi="Arial" w:cs="Arial"/>
          <w:sz w:val="20"/>
          <w:szCs w:val="20"/>
        </w:rPr>
        <w:t xml:space="preserve"> and the </w:t>
      </w:r>
      <w:r w:rsidR="00A209A2" w:rsidRPr="00A209A2">
        <w:rPr>
          <w:rFonts w:ascii="Arial" w:hAnsi="Arial" w:cs="Arial"/>
          <w:sz w:val="20"/>
          <w:szCs w:val="20"/>
        </w:rPr>
        <w:t>lighting</w:t>
      </w:r>
      <w:r w:rsidR="00F47D9D" w:rsidRPr="00A209A2">
        <w:rPr>
          <w:rFonts w:ascii="Arial" w:hAnsi="Arial" w:cs="Arial"/>
          <w:sz w:val="20"/>
          <w:szCs w:val="20"/>
        </w:rPr>
        <w:t xml:space="preserve"> end-use.</w:t>
      </w:r>
      <w:r w:rsidR="00476B67" w:rsidRPr="00A209A2">
        <w:rPr>
          <w:rFonts w:ascii="Arial" w:hAnsi="Arial" w:cs="Arial"/>
          <w:sz w:val="20"/>
          <w:szCs w:val="20"/>
        </w:rPr>
        <w:t xml:space="preserve"> </w:t>
      </w:r>
    </w:p>
    <w:p w:rsidR="00DF3395" w:rsidRPr="00A209A2" w:rsidRDefault="00B66898" w:rsidP="003C6DFA">
      <w:pPr>
        <w:rPr>
          <w:rFonts w:ascii="Arial" w:hAnsi="Arial" w:cs="Arial"/>
          <w:sz w:val="20"/>
          <w:szCs w:val="20"/>
        </w:rPr>
      </w:pPr>
      <w:r w:rsidRPr="00A209A2">
        <w:rPr>
          <w:rFonts w:ascii="Arial" w:hAnsi="Arial" w:cs="Arial"/>
          <w:sz w:val="20"/>
          <w:szCs w:val="20"/>
        </w:rPr>
        <w:t xml:space="preserve"> </w:t>
      </w:r>
    </w:p>
    <w:p w:rsidR="00D87EFF" w:rsidRDefault="00B66898" w:rsidP="00D87EFF">
      <w:pPr>
        <w:rPr>
          <w:rFonts w:ascii="Arial" w:hAnsi="Arial" w:cs="Arial"/>
          <w:sz w:val="20"/>
          <w:szCs w:val="20"/>
        </w:rPr>
      </w:pPr>
      <w:r w:rsidRPr="00A209A2">
        <w:rPr>
          <w:rFonts w:ascii="Arial" w:hAnsi="Arial" w:cs="Arial"/>
          <w:sz w:val="20"/>
          <w:szCs w:val="20"/>
        </w:rPr>
        <w:t>T</w:t>
      </w:r>
      <w:r w:rsidR="00D87EFF" w:rsidRPr="00A209A2">
        <w:rPr>
          <w:rFonts w:ascii="Arial" w:hAnsi="Arial" w:cs="Arial"/>
          <w:sz w:val="20"/>
          <w:szCs w:val="20"/>
        </w:rPr>
        <w:t xml:space="preserve">he closest load shape chosen for this measure is the </w:t>
      </w:r>
      <w:proofErr w:type="spellStart"/>
      <w:r w:rsidR="00E0684E">
        <w:rPr>
          <w:rFonts w:ascii="Arial" w:hAnsi="Arial" w:cs="Arial"/>
          <w:sz w:val="20"/>
          <w:szCs w:val="20"/>
        </w:rPr>
        <w:t>PGE</w:t>
      </w:r>
      <w:proofErr w:type="gramStart"/>
      <w:r w:rsidR="00E0684E">
        <w:rPr>
          <w:rFonts w:ascii="Arial" w:hAnsi="Arial" w:cs="Arial"/>
          <w:sz w:val="20"/>
          <w:szCs w:val="20"/>
        </w:rPr>
        <w:t>:</w:t>
      </w:r>
      <w:r w:rsidR="00E0684E" w:rsidRPr="00A209A2">
        <w:rPr>
          <w:rFonts w:ascii="Arial" w:hAnsi="Arial" w:cs="Arial"/>
          <w:sz w:val="20"/>
          <w:szCs w:val="20"/>
        </w:rPr>
        <w:t>DEER:</w:t>
      </w:r>
      <w:r w:rsidR="00E0684E">
        <w:rPr>
          <w:rFonts w:ascii="Arial" w:hAnsi="Arial" w:cs="Arial"/>
          <w:sz w:val="20"/>
          <w:szCs w:val="20"/>
        </w:rPr>
        <w:t>Com:</w:t>
      </w:r>
      <w:r w:rsidR="00E0684E" w:rsidRPr="00A209A2">
        <w:rPr>
          <w:rFonts w:ascii="Arial" w:hAnsi="Arial" w:cs="Arial"/>
          <w:sz w:val="20"/>
          <w:szCs w:val="20"/>
        </w:rPr>
        <w:t>Indoor</w:t>
      </w:r>
      <w:proofErr w:type="gramEnd"/>
      <w:r w:rsidR="00E0684E" w:rsidRPr="00A209A2">
        <w:rPr>
          <w:rFonts w:ascii="Arial" w:hAnsi="Arial" w:cs="Arial"/>
          <w:sz w:val="20"/>
          <w:szCs w:val="20"/>
        </w:rPr>
        <w:t>_</w:t>
      </w:r>
      <w:r w:rsidR="00E0684E">
        <w:rPr>
          <w:rFonts w:ascii="Arial" w:hAnsi="Arial" w:cs="Arial"/>
          <w:sz w:val="20"/>
          <w:szCs w:val="20"/>
        </w:rPr>
        <w:t>Non-</w:t>
      </w:r>
      <w:r w:rsidR="00E0684E" w:rsidRPr="00A209A2">
        <w:rPr>
          <w:rFonts w:ascii="Arial" w:hAnsi="Arial" w:cs="Arial"/>
          <w:sz w:val="20"/>
          <w:szCs w:val="20"/>
        </w:rPr>
        <w:t>CFL_Ltg</w:t>
      </w:r>
      <w:proofErr w:type="spellEnd"/>
      <w:r w:rsidR="00D87EFF" w:rsidRPr="00A209A2">
        <w:rPr>
          <w:rFonts w:ascii="Arial" w:hAnsi="Arial" w:cs="Arial"/>
          <w:sz w:val="20"/>
          <w:szCs w:val="20"/>
        </w:rPr>
        <w:t xml:space="preserve"> load shape.</w:t>
      </w:r>
      <w:r w:rsidR="00476B67" w:rsidRPr="00A209A2">
        <w:rPr>
          <w:rFonts w:ascii="Arial" w:hAnsi="Arial" w:cs="Arial"/>
          <w:sz w:val="20"/>
          <w:szCs w:val="20"/>
        </w:rPr>
        <w:t xml:space="preserve"> </w:t>
      </w:r>
      <w:r w:rsidR="00D87EFF" w:rsidRPr="00A209A2">
        <w:rPr>
          <w:rFonts w:ascii="Arial" w:hAnsi="Arial" w:cs="Arial"/>
          <w:sz w:val="20"/>
          <w:szCs w:val="20"/>
        </w:rPr>
        <w:t>See the KEMA report [31] for a more thorough discussion regarding the load shapes for this measure.</w:t>
      </w:r>
    </w:p>
    <w:p w:rsidR="006A4819" w:rsidRPr="006A4819" w:rsidRDefault="006A4819" w:rsidP="006A4819"/>
    <w:p w:rsidR="005F3DA0" w:rsidRDefault="005F3DA0">
      <w:pPr>
        <w:rPr>
          <w:rFonts w:ascii="Arial" w:hAnsi="Arial" w:cs="Arial"/>
          <w:b/>
          <w:bCs/>
          <w:kern w:val="32"/>
          <w:sz w:val="32"/>
          <w:szCs w:val="32"/>
        </w:rPr>
      </w:pPr>
      <w:r>
        <w:br w:type="page"/>
      </w:r>
    </w:p>
    <w:p w:rsidR="0091058D" w:rsidRPr="0076572D" w:rsidRDefault="00C069A2" w:rsidP="006C1C28">
      <w:pPr>
        <w:pStyle w:val="Heading1"/>
        <w:keepLines/>
      </w:pPr>
      <w:bookmarkStart w:id="43" w:name="_Toc438562603"/>
      <w:proofErr w:type="gramStart"/>
      <w:r w:rsidRPr="0076572D">
        <w:lastRenderedPageBreak/>
        <w:t>Section 4</w:t>
      </w:r>
      <w:r w:rsidR="003129E8" w:rsidRPr="0076572D">
        <w:t>.</w:t>
      </w:r>
      <w:proofErr w:type="gramEnd"/>
      <w:r w:rsidRPr="0076572D">
        <w:t xml:space="preserve"> Base Case &amp; Measure Costs</w:t>
      </w:r>
      <w:bookmarkEnd w:id="43"/>
    </w:p>
    <w:p w:rsidR="00E0684E" w:rsidRPr="00E0684E" w:rsidRDefault="00E0684E" w:rsidP="00E0684E">
      <w:pPr>
        <w:rPr>
          <w:rFonts w:ascii="Arial" w:hAnsi="Arial" w:cs="Arial"/>
          <w:b/>
          <w:bCs/>
          <w:i/>
          <w:iCs/>
          <w:sz w:val="20"/>
          <w:szCs w:val="20"/>
        </w:rPr>
      </w:pPr>
      <w:r w:rsidRPr="00E0684E">
        <w:rPr>
          <w:rFonts w:ascii="Arial" w:hAnsi="Arial" w:cs="Arial"/>
          <w:sz w:val="20"/>
          <w:szCs w:val="20"/>
        </w:rPr>
        <w:t>A joint effort was made between SCE and PG&amp;E to update base case and measure costs for DEER 2016 affected measures.</w:t>
      </w:r>
      <w:r w:rsidR="0049120B">
        <w:rPr>
          <w:rFonts w:ascii="Arial" w:hAnsi="Arial" w:cs="Arial"/>
          <w:sz w:val="20"/>
          <w:szCs w:val="20"/>
        </w:rPr>
        <w:t xml:space="preserve">  Please refer to the cost spreadsheet for detailed information</w:t>
      </w:r>
    </w:p>
    <w:p w:rsidR="00D17F75" w:rsidRPr="00E0684E" w:rsidRDefault="00C069A2" w:rsidP="00D17F75">
      <w:pPr>
        <w:pStyle w:val="Heading2"/>
      </w:pPr>
      <w:bookmarkStart w:id="44" w:name="_Toc438562604"/>
      <w:r w:rsidRPr="00E0684E">
        <w:t>4.1 Base Case Costs</w:t>
      </w:r>
      <w:bookmarkEnd w:id="44"/>
    </w:p>
    <w:p w:rsidR="0049120B" w:rsidRPr="0049120B" w:rsidRDefault="0049120B" w:rsidP="0049120B">
      <w:pPr>
        <w:rPr>
          <w:rFonts w:ascii="Arial" w:hAnsi="Arial" w:cs="Arial"/>
          <w:sz w:val="20"/>
          <w:szCs w:val="20"/>
        </w:rPr>
      </w:pPr>
      <w:r>
        <w:rPr>
          <w:rFonts w:ascii="Arial" w:hAnsi="Arial" w:cs="Arial"/>
          <w:sz w:val="20"/>
          <w:szCs w:val="20"/>
        </w:rPr>
        <w:t>Base case equipment and labor c</w:t>
      </w:r>
      <w:r w:rsidRPr="0049120B">
        <w:rPr>
          <w:rFonts w:ascii="Arial" w:hAnsi="Arial" w:cs="Arial"/>
          <w:sz w:val="20"/>
          <w:szCs w:val="20"/>
        </w:rPr>
        <w:t xml:space="preserve">osts were calculated </w:t>
      </w:r>
      <w:r>
        <w:rPr>
          <w:rFonts w:ascii="Arial" w:hAnsi="Arial" w:cs="Arial"/>
          <w:sz w:val="20"/>
          <w:szCs w:val="20"/>
        </w:rPr>
        <w:t>using WO017</w:t>
      </w:r>
      <w:r w:rsidRPr="0049120B">
        <w:rPr>
          <w:rStyle w:val="EndnoteReference"/>
          <w:rFonts w:ascii="Arial" w:hAnsi="Arial" w:cs="Arial"/>
          <w:sz w:val="20"/>
          <w:szCs w:val="20"/>
        </w:rPr>
        <w:endnoteReference w:id="4"/>
      </w:r>
      <w:r>
        <w:rPr>
          <w:rFonts w:ascii="Arial" w:hAnsi="Arial" w:cs="Arial"/>
          <w:sz w:val="20"/>
          <w:szCs w:val="20"/>
        </w:rPr>
        <w:t xml:space="preserve">.  </w:t>
      </w:r>
      <w:r w:rsidRPr="0049120B">
        <w:rPr>
          <w:rFonts w:ascii="Arial" w:hAnsi="Arial" w:cs="Arial"/>
          <w:sz w:val="20"/>
          <w:szCs w:val="20"/>
        </w:rPr>
        <w:t>The labor cost for these measures are $</w:t>
      </w:r>
      <w:r>
        <w:rPr>
          <w:rFonts w:ascii="Arial" w:hAnsi="Arial" w:cs="Arial"/>
          <w:sz w:val="20"/>
          <w:szCs w:val="20"/>
        </w:rPr>
        <w:t>187.14</w:t>
      </w:r>
      <w:r w:rsidRPr="0049120B">
        <w:rPr>
          <w:rFonts w:ascii="Arial" w:hAnsi="Arial" w:cs="Arial"/>
          <w:sz w:val="20"/>
          <w:szCs w:val="20"/>
        </w:rPr>
        <w:t xml:space="preserve">.  </w:t>
      </w:r>
    </w:p>
    <w:p w:rsidR="005910C8" w:rsidRPr="00E0684E" w:rsidRDefault="005910C8" w:rsidP="0049120B">
      <w:pPr>
        <w:pStyle w:val="Heading2"/>
        <w:keepLines/>
      </w:pPr>
      <w:bookmarkStart w:id="45" w:name="_Toc438562605"/>
      <w:r w:rsidRPr="00E0684E">
        <w:t>4.2 Measure Costs</w:t>
      </w:r>
      <w:bookmarkEnd w:id="45"/>
    </w:p>
    <w:p w:rsidR="00DF0993" w:rsidRPr="0049120B" w:rsidRDefault="0049120B" w:rsidP="005910C8">
      <w:pPr>
        <w:rPr>
          <w:rFonts w:ascii="Arial" w:hAnsi="Arial" w:cs="Arial"/>
          <w:sz w:val="20"/>
          <w:szCs w:val="20"/>
        </w:rPr>
      </w:pPr>
      <w:r w:rsidRPr="0049120B">
        <w:rPr>
          <w:rFonts w:ascii="Arial" w:hAnsi="Arial" w:cs="Arial"/>
          <w:sz w:val="20"/>
          <w:szCs w:val="20"/>
        </w:rPr>
        <w:t>The measure equipme</w:t>
      </w:r>
      <w:r>
        <w:rPr>
          <w:rFonts w:ascii="Arial" w:hAnsi="Arial" w:cs="Arial"/>
          <w:sz w:val="20"/>
          <w:szCs w:val="20"/>
        </w:rPr>
        <w:t>nt costs were taken from the Nav</w:t>
      </w:r>
      <w:r w:rsidRPr="0049120B">
        <w:rPr>
          <w:rFonts w:ascii="Arial" w:hAnsi="Arial" w:cs="Arial"/>
          <w:sz w:val="20"/>
          <w:szCs w:val="20"/>
        </w:rPr>
        <w:t>i</w:t>
      </w:r>
      <w:r>
        <w:rPr>
          <w:rFonts w:ascii="Arial" w:hAnsi="Arial" w:cs="Arial"/>
          <w:sz w:val="20"/>
          <w:szCs w:val="20"/>
        </w:rPr>
        <w:t>g</w:t>
      </w:r>
      <w:r w:rsidRPr="0049120B">
        <w:rPr>
          <w:rFonts w:ascii="Arial" w:hAnsi="Arial" w:cs="Arial"/>
          <w:sz w:val="20"/>
          <w:szCs w:val="20"/>
        </w:rPr>
        <w:t>ant report, and the labor cost is the same as the base case labor cost.</w:t>
      </w:r>
    </w:p>
    <w:p w:rsidR="0030550A" w:rsidRPr="00E0684E" w:rsidRDefault="0030550A" w:rsidP="002D12AC">
      <w:pPr>
        <w:pStyle w:val="Heading2"/>
        <w:keepLines/>
      </w:pPr>
      <w:bookmarkStart w:id="46" w:name="_Toc438562606"/>
      <w:r w:rsidRPr="00E0684E">
        <w:t>4.3 Incremental &amp; Full Measure Costs</w:t>
      </w:r>
      <w:bookmarkEnd w:id="46"/>
    </w:p>
    <w:tbl>
      <w:tblPr>
        <w:tblStyle w:val="TableGrid1"/>
        <w:tblW w:w="5000" w:type="pct"/>
        <w:tblLook w:val="01E0" w:firstRow="1" w:lastRow="1" w:firstColumn="1" w:lastColumn="1" w:noHBand="0" w:noVBand="0"/>
      </w:tblPr>
      <w:tblGrid>
        <w:gridCol w:w="1286"/>
        <w:gridCol w:w="2764"/>
        <w:gridCol w:w="2674"/>
        <w:gridCol w:w="2852"/>
      </w:tblGrid>
      <w:tr w:rsidR="0049120B" w:rsidRPr="0049120B" w:rsidTr="004F55C7">
        <w:tc>
          <w:tcPr>
            <w:tcW w:w="671" w:type="pct"/>
            <w:vMerge w:val="restart"/>
            <w:shd w:val="clear" w:color="auto" w:fill="D9D9D9" w:themeFill="background1" w:themeFillShade="D9"/>
          </w:tcPr>
          <w:p w:rsidR="0049120B" w:rsidRPr="0049120B" w:rsidRDefault="0049120B" w:rsidP="004F55C7">
            <w:pPr>
              <w:rPr>
                <w:rFonts w:ascii="Arial" w:hAnsi="Arial" w:cs="Arial"/>
                <w:b/>
                <w:sz w:val="20"/>
                <w:szCs w:val="20"/>
                <w:highlight w:val="yellow"/>
              </w:rPr>
            </w:pPr>
            <w:bookmarkStart w:id="47" w:name="_Toc383697822"/>
            <w:r w:rsidRPr="0049120B">
              <w:rPr>
                <w:rFonts w:ascii="Arial" w:hAnsi="Arial" w:cs="Arial"/>
                <w:b/>
                <w:sz w:val="20"/>
                <w:szCs w:val="20"/>
              </w:rPr>
              <w:t>Installation Type</w:t>
            </w:r>
          </w:p>
        </w:tc>
        <w:tc>
          <w:tcPr>
            <w:tcW w:w="1443" w:type="pct"/>
            <w:vMerge w:val="restart"/>
            <w:shd w:val="clear" w:color="auto" w:fill="D9D9D9" w:themeFill="background1" w:themeFillShade="D9"/>
          </w:tcPr>
          <w:p w:rsidR="0049120B" w:rsidRPr="0049120B" w:rsidRDefault="0049120B" w:rsidP="004F55C7">
            <w:pPr>
              <w:rPr>
                <w:rFonts w:ascii="Arial" w:hAnsi="Arial" w:cs="Arial"/>
                <w:b/>
                <w:sz w:val="20"/>
                <w:szCs w:val="20"/>
              </w:rPr>
            </w:pPr>
            <w:r w:rsidRPr="0049120B">
              <w:rPr>
                <w:rFonts w:ascii="Arial" w:hAnsi="Arial" w:cs="Arial"/>
                <w:b/>
                <w:sz w:val="20"/>
                <w:szCs w:val="20"/>
              </w:rPr>
              <w:t>Incremental Measure Cost</w:t>
            </w:r>
          </w:p>
        </w:tc>
        <w:tc>
          <w:tcPr>
            <w:tcW w:w="2885" w:type="pct"/>
            <w:gridSpan w:val="2"/>
            <w:shd w:val="clear" w:color="auto" w:fill="D9D9D9" w:themeFill="background1" w:themeFillShade="D9"/>
          </w:tcPr>
          <w:p w:rsidR="0049120B" w:rsidRPr="0049120B" w:rsidRDefault="0049120B" w:rsidP="004F55C7">
            <w:pPr>
              <w:rPr>
                <w:rFonts w:ascii="Arial" w:hAnsi="Arial" w:cs="Arial"/>
                <w:b/>
                <w:sz w:val="20"/>
                <w:szCs w:val="20"/>
                <w:highlight w:val="yellow"/>
              </w:rPr>
            </w:pPr>
            <w:r w:rsidRPr="0049120B">
              <w:rPr>
                <w:rFonts w:ascii="Arial" w:hAnsi="Arial" w:cs="Arial"/>
                <w:b/>
                <w:sz w:val="20"/>
                <w:szCs w:val="20"/>
              </w:rPr>
              <w:t>Full Measure Cost</w:t>
            </w:r>
          </w:p>
        </w:tc>
      </w:tr>
      <w:tr w:rsidR="0049120B" w:rsidRPr="0049120B" w:rsidTr="004F55C7">
        <w:tc>
          <w:tcPr>
            <w:tcW w:w="671" w:type="pct"/>
            <w:vMerge/>
            <w:shd w:val="clear" w:color="auto" w:fill="D9D9D9" w:themeFill="background1" w:themeFillShade="D9"/>
          </w:tcPr>
          <w:p w:rsidR="0049120B" w:rsidRPr="0049120B" w:rsidRDefault="0049120B" w:rsidP="004F55C7">
            <w:pPr>
              <w:rPr>
                <w:rFonts w:ascii="Arial" w:hAnsi="Arial" w:cs="Arial"/>
                <w:b/>
                <w:sz w:val="20"/>
                <w:szCs w:val="20"/>
              </w:rPr>
            </w:pPr>
          </w:p>
        </w:tc>
        <w:tc>
          <w:tcPr>
            <w:tcW w:w="1443" w:type="pct"/>
            <w:vMerge/>
            <w:shd w:val="clear" w:color="auto" w:fill="D9D9D9" w:themeFill="background1" w:themeFillShade="D9"/>
          </w:tcPr>
          <w:p w:rsidR="0049120B" w:rsidRPr="0049120B" w:rsidRDefault="0049120B" w:rsidP="004F55C7">
            <w:pPr>
              <w:rPr>
                <w:rFonts w:ascii="Arial" w:hAnsi="Arial" w:cs="Arial"/>
                <w:b/>
                <w:sz w:val="20"/>
                <w:szCs w:val="20"/>
              </w:rPr>
            </w:pPr>
          </w:p>
        </w:tc>
        <w:tc>
          <w:tcPr>
            <w:tcW w:w="1396" w:type="pct"/>
            <w:shd w:val="clear" w:color="auto" w:fill="F2F2F2" w:themeFill="background1" w:themeFillShade="F2"/>
          </w:tcPr>
          <w:p w:rsidR="0049120B" w:rsidRPr="0049120B" w:rsidRDefault="0049120B" w:rsidP="004F55C7">
            <w:pPr>
              <w:rPr>
                <w:rFonts w:ascii="Arial" w:hAnsi="Arial" w:cs="Arial"/>
                <w:b/>
                <w:sz w:val="20"/>
                <w:szCs w:val="20"/>
              </w:rPr>
            </w:pPr>
            <w:r w:rsidRPr="0049120B">
              <w:rPr>
                <w:rFonts w:ascii="Arial" w:hAnsi="Arial" w:cs="Arial"/>
                <w:b/>
                <w:sz w:val="20"/>
                <w:szCs w:val="20"/>
              </w:rPr>
              <w:t>1</w:t>
            </w:r>
            <w:r w:rsidRPr="0049120B">
              <w:rPr>
                <w:rFonts w:ascii="Arial" w:hAnsi="Arial" w:cs="Arial"/>
                <w:b/>
                <w:sz w:val="20"/>
                <w:szCs w:val="20"/>
                <w:vertAlign w:val="superscript"/>
              </w:rPr>
              <w:t>st</w:t>
            </w:r>
            <w:r w:rsidRPr="0049120B">
              <w:rPr>
                <w:rFonts w:ascii="Arial" w:hAnsi="Arial" w:cs="Arial"/>
                <w:b/>
                <w:sz w:val="20"/>
                <w:szCs w:val="20"/>
              </w:rPr>
              <w:t xml:space="preserve"> Baseline</w:t>
            </w:r>
          </w:p>
        </w:tc>
        <w:tc>
          <w:tcPr>
            <w:tcW w:w="1489" w:type="pct"/>
            <w:shd w:val="clear" w:color="auto" w:fill="F2F2F2" w:themeFill="background1" w:themeFillShade="F2"/>
          </w:tcPr>
          <w:p w:rsidR="0049120B" w:rsidRPr="0049120B" w:rsidRDefault="0049120B" w:rsidP="004F55C7">
            <w:pPr>
              <w:rPr>
                <w:rFonts w:ascii="Arial" w:hAnsi="Arial" w:cs="Arial"/>
                <w:b/>
                <w:sz w:val="20"/>
                <w:szCs w:val="20"/>
              </w:rPr>
            </w:pPr>
            <w:r w:rsidRPr="0049120B">
              <w:rPr>
                <w:rFonts w:ascii="Arial" w:hAnsi="Arial" w:cs="Arial"/>
                <w:b/>
                <w:sz w:val="20"/>
                <w:szCs w:val="20"/>
              </w:rPr>
              <w:t>2</w:t>
            </w:r>
            <w:r w:rsidRPr="0049120B">
              <w:rPr>
                <w:rFonts w:ascii="Arial" w:hAnsi="Arial" w:cs="Arial"/>
                <w:b/>
                <w:sz w:val="20"/>
                <w:szCs w:val="20"/>
                <w:vertAlign w:val="superscript"/>
              </w:rPr>
              <w:t>nd</w:t>
            </w:r>
            <w:r w:rsidRPr="0049120B">
              <w:rPr>
                <w:rFonts w:ascii="Arial" w:hAnsi="Arial" w:cs="Arial"/>
                <w:b/>
                <w:sz w:val="20"/>
                <w:szCs w:val="20"/>
              </w:rPr>
              <w:t xml:space="preserve"> Baseline</w:t>
            </w:r>
          </w:p>
        </w:tc>
      </w:tr>
      <w:tr w:rsidR="0049120B" w:rsidRPr="0049120B" w:rsidTr="004F55C7">
        <w:tc>
          <w:tcPr>
            <w:tcW w:w="671" w:type="pct"/>
          </w:tcPr>
          <w:p w:rsidR="0049120B" w:rsidRPr="0049120B" w:rsidRDefault="0049120B" w:rsidP="004F55C7">
            <w:pPr>
              <w:rPr>
                <w:rFonts w:ascii="Arial" w:hAnsi="Arial" w:cs="Arial"/>
                <w:sz w:val="20"/>
                <w:szCs w:val="20"/>
              </w:rPr>
            </w:pPr>
            <w:r w:rsidRPr="0049120B">
              <w:rPr>
                <w:rFonts w:ascii="Arial" w:hAnsi="Arial" w:cs="Arial"/>
                <w:sz w:val="20"/>
                <w:szCs w:val="20"/>
              </w:rPr>
              <w:t>ROB</w:t>
            </w:r>
          </w:p>
        </w:tc>
        <w:tc>
          <w:tcPr>
            <w:tcW w:w="1443" w:type="pct"/>
            <w:vMerge w:val="restart"/>
          </w:tcPr>
          <w:p w:rsidR="0049120B" w:rsidRPr="0049120B" w:rsidRDefault="0049120B" w:rsidP="004F55C7">
            <w:pPr>
              <w:rPr>
                <w:rFonts w:ascii="Arial" w:hAnsi="Arial" w:cs="Arial"/>
                <w:sz w:val="20"/>
                <w:szCs w:val="20"/>
              </w:rPr>
            </w:pPr>
            <w:r w:rsidRPr="0049120B">
              <w:rPr>
                <w:rFonts w:ascii="Arial" w:hAnsi="Arial" w:cs="Arial"/>
                <w:sz w:val="20"/>
                <w:szCs w:val="20"/>
              </w:rPr>
              <w:t>(MEC + MLC) – (BEC + BLC)</w:t>
            </w:r>
          </w:p>
        </w:tc>
        <w:tc>
          <w:tcPr>
            <w:tcW w:w="1396" w:type="pct"/>
            <w:vMerge w:val="restart"/>
          </w:tcPr>
          <w:p w:rsidR="0049120B" w:rsidRPr="0049120B" w:rsidRDefault="0049120B" w:rsidP="004F55C7">
            <w:pPr>
              <w:rPr>
                <w:rFonts w:ascii="Arial" w:hAnsi="Arial" w:cs="Arial"/>
                <w:sz w:val="20"/>
                <w:szCs w:val="20"/>
              </w:rPr>
            </w:pPr>
            <w:r w:rsidRPr="0049120B">
              <w:rPr>
                <w:rFonts w:ascii="Arial" w:hAnsi="Arial" w:cs="Arial"/>
                <w:sz w:val="20"/>
                <w:szCs w:val="20"/>
              </w:rPr>
              <w:t>(MEC + MLC) – (BEC + BLC)</w:t>
            </w:r>
          </w:p>
        </w:tc>
        <w:tc>
          <w:tcPr>
            <w:tcW w:w="1489" w:type="pct"/>
            <w:vMerge w:val="restart"/>
          </w:tcPr>
          <w:p w:rsidR="0049120B" w:rsidRPr="0049120B" w:rsidRDefault="0049120B" w:rsidP="004F55C7">
            <w:pPr>
              <w:rPr>
                <w:rFonts w:ascii="Arial" w:hAnsi="Arial" w:cs="Arial"/>
                <w:sz w:val="20"/>
                <w:szCs w:val="20"/>
              </w:rPr>
            </w:pPr>
            <w:r w:rsidRPr="0049120B">
              <w:rPr>
                <w:rFonts w:ascii="Arial" w:hAnsi="Arial" w:cs="Arial"/>
                <w:sz w:val="20"/>
                <w:szCs w:val="20"/>
              </w:rPr>
              <w:t>N/A</w:t>
            </w:r>
          </w:p>
        </w:tc>
      </w:tr>
      <w:tr w:rsidR="0049120B" w:rsidRPr="0049120B" w:rsidTr="004F55C7">
        <w:tc>
          <w:tcPr>
            <w:tcW w:w="671" w:type="pct"/>
          </w:tcPr>
          <w:p w:rsidR="0049120B" w:rsidRPr="0049120B" w:rsidRDefault="0049120B" w:rsidP="004F55C7">
            <w:pPr>
              <w:rPr>
                <w:rFonts w:ascii="Arial" w:hAnsi="Arial" w:cs="Arial"/>
                <w:sz w:val="20"/>
                <w:szCs w:val="20"/>
              </w:rPr>
            </w:pPr>
            <w:r w:rsidRPr="0049120B">
              <w:rPr>
                <w:rFonts w:ascii="Arial" w:hAnsi="Arial" w:cs="Arial"/>
                <w:sz w:val="20"/>
                <w:szCs w:val="20"/>
              </w:rPr>
              <w:t>NEW/NC</w:t>
            </w:r>
          </w:p>
        </w:tc>
        <w:tc>
          <w:tcPr>
            <w:tcW w:w="1443" w:type="pct"/>
            <w:vMerge/>
          </w:tcPr>
          <w:p w:rsidR="0049120B" w:rsidRPr="0049120B" w:rsidRDefault="0049120B" w:rsidP="004F55C7">
            <w:pPr>
              <w:rPr>
                <w:rFonts w:ascii="Arial" w:hAnsi="Arial" w:cs="Arial"/>
                <w:sz w:val="20"/>
                <w:szCs w:val="20"/>
              </w:rPr>
            </w:pPr>
          </w:p>
        </w:tc>
        <w:tc>
          <w:tcPr>
            <w:tcW w:w="1396" w:type="pct"/>
            <w:vMerge/>
          </w:tcPr>
          <w:p w:rsidR="0049120B" w:rsidRPr="0049120B" w:rsidRDefault="0049120B" w:rsidP="004F55C7">
            <w:pPr>
              <w:rPr>
                <w:rFonts w:ascii="Arial" w:hAnsi="Arial" w:cs="Arial"/>
                <w:sz w:val="20"/>
                <w:szCs w:val="20"/>
              </w:rPr>
            </w:pPr>
          </w:p>
        </w:tc>
        <w:tc>
          <w:tcPr>
            <w:tcW w:w="1489" w:type="pct"/>
            <w:vMerge/>
          </w:tcPr>
          <w:p w:rsidR="0049120B" w:rsidRPr="0049120B" w:rsidRDefault="0049120B" w:rsidP="004F55C7">
            <w:pPr>
              <w:rPr>
                <w:rFonts w:ascii="Arial" w:hAnsi="Arial" w:cs="Arial"/>
                <w:sz w:val="20"/>
                <w:szCs w:val="20"/>
              </w:rPr>
            </w:pPr>
          </w:p>
        </w:tc>
      </w:tr>
      <w:tr w:rsidR="0049120B" w:rsidRPr="0049120B" w:rsidTr="004F55C7">
        <w:tc>
          <w:tcPr>
            <w:tcW w:w="671" w:type="pct"/>
          </w:tcPr>
          <w:p w:rsidR="0049120B" w:rsidRPr="0049120B" w:rsidRDefault="0049120B" w:rsidP="004F55C7">
            <w:pPr>
              <w:rPr>
                <w:rFonts w:ascii="Arial" w:hAnsi="Arial" w:cs="Arial"/>
                <w:sz w:val="20"/>
                <w:szCs w:val="20"/>
              </w:rPr>
            </w:pPr>
            <w:r w:rsidRPr="0049120B">
              <w:rPr>
                <w:rFonts w:ascii="Arial" w:hAnsi="Arial" w:cs="Arial"/>
                <w:sz w:val="20"/>
                <w:szCs w:val="20"/>
              </w:rPr>
              <w:t>RET/ER</w:t>
            </w:r>
          </w:p>
        </w:tc>
        <w:tc>
          <w:tcPr>
            <w:tcW w:w="1443" w:type="pct"/>
          </w:tcPr>
          <w:p w:rsidR="0049120B" w:rsidRPr="0049120B" w:rsidRDefault="0049120B" w:rsidP="004F55C7">
            <w:pPr>
              <w:rPr>
                <w:rFonts w:ascii="Arial" w:hAnsi="Arial" w:cs="Arial"/>
                <w:sz w:val="20"/>
                <w:szCs w:val="20"/>
              </w:rPr>
            </w:pPr>
            <w:r w:rsidRPr="0049120B">
              <w:rPr>
                <w:rFonts w:ascii="Arial" w:hAnsi="Arial" w:cs="Arial"/>
                <w:sz w:val="20"/>
                <w:szCs w:val="20"/>
              </w:rPr>
              <w:t>(MEC + MLC) – (BEC + BLC)</w:t>
            </w:r>
          </w:p>
        </w:tc>
        <w:tc>
          <w:tcPr>
            <w:tcW w:w="1396" w:type="pct"/>
          </w:tcPr>
          <w:p w:rsidR="0049120B" w:rsidRPr="0049120B" w:rsidRDefault="0049120B" w:rsidP="004F55C7">
            <w:pPr>
              <w:rPr>
                <w:rFonts w:ascii="Arial" w:hAnsi="Arial" w:cs="Arial"/>
                <w:sz w:val="20"/>
                <w:szCs w:val="20"/>
              </w:rPr>
            </w:pPr>
            <w:r w:rsidRPr="0049120B">
              <w:rPr>
                <w:rFonts w:ascii="Arial" w:hAnsi="Arial" w:cs="Arial"/>
                <w:sz w:val="20"/>
                <w:szCs w:val="20"/>
              </w:rPr>
              <w:t>MEC + MLC</w:t>
            </w:r>
          </w:p>
        </w:tc>
        <w:tc>
          <w:tcPr>
            <w:tcW w:w="1489" w:type="pct"/>
          </w:tcPr>
          <w:p w:rsidR="0049120B" w:rsidRPr="0049120B" w:rsidRDefault="0049120B" w:rsidP="004F55C7">
            <w:pPr>
              <w:rPr>
                <w:rFonts w:ascii="Arial" w:hAnsi="Arial" w:cs="Arial"/>
                <w:sz w:val="20"/>
                <w:szCs w:val="20"/>
              </w:rPr>
            </w:pPr>
            <w:r w:rsidRPr="0049120B">
              <w:rPr>
                <w:rFonts w:ascii="Arial" w:hAnsi="Arial" w:cs="Arial"/>
                <w:sz w:val="20"/>
                <w:szCs w:val="20"/>
              </w:rPr>
              <w:t>(MEC + MLC) – (BEC + BLC)</w:t>
            </w:r>
          </w:p>
        </w:tc>
      </w:tr>
      <w:tr w:rsidR="0049120B" w:rsidRPr="0049120B" w:rsidTr="004F55C7">
        <w:tc>
          <w:tcPr>
            <w:tcW w:w="671" w:type="pct"/>
          </w:tcPr>
          <w:p w:rsidR="0049120B" w:rsidRPr="0049120B" w:rsidRDefault="0049120B" w:rsidP="004F55C7">
            <w:pPr>
              <w:rPr>
                <w:rFonts w:ascii="Arial" w:hAnsi="Arial" w:cs="Arial"/>
                <w:sz w:val="20"/>
                <w:szCs w:val="20"/>
              </w:rPr>
            </w:pPr>
            <w:r w:rsidRPr="0049120B">
              <w:rPr>
                <w:rFonts w:ascii="Arial" w:hAnsi="Arial" w:cs="Arial"/>
                <w:sz w:val="20"/>
                <w:szCs w:val="20"/>
              </w:rPr>
              <w:t>REF</w:t>
            </w:r>
          </w:p>
        </w:tc>
        <w:tc>
          <w:tcPr>
            <w:tcW w:w="1443" w:type="pct"/>
          </w:tcPr>
          <w:p w:rsidR="0049120B" w:rsidRPr="0049120B" w:rsidRDefault="0049120B" w:rsidP="004F55C7">
            <w:pPr>
              <w:rPr>
                <w:rFonts w:ascii="Arial" w:hAnsi="Arial" w:cs="Arial"/>
                <w:sz w:val="20"/>
                <w:szCs w:val="20"/>
              </w:rPr>
            </w:pPr>
            <w:r w:rsidRPr="0049120B">
              <w:rPr>
                <w:rFonts w:ascii="Arial" w:hAnsi="Arial" w:cs="Arial"/>
                <w:sz w:val="20"/>
                <w:szCs w:val="20"/>
              </w:rPr>
              <w:t>(MEC + MLC) – (BEC + BLC)</w:t>
            </w:r>
          </w:p>
        </w:tc>
        <w:tc>
          <w:tcPr>
            <w:tcW w:w="1396" w:type="pct"/>
          </w:tcPr>
          <w:p w:rsidR="0049120B" w:rsidRPr="0049120B" w:rsidRDefault="0049120B" w:rsidP="004F55C7">
            <w:pPr>
              <w:rPr>
                <w:rFonts w:ascii="Arial" w:hAnsi="Arial" w:cs="Arial"/>
                <w:sz w:val="20"/>
                <w:szCs w:val="20"/>
              </w:rPr>
            </w:pPr>
            <w:r w:rsidRPr="0049120B">
              <w:rPr>
                <w:rFonts w:ascii="Arial" w:hAnsi="Arial" w:cs="Arial"/>
                <w:sz w:val="20"/>
                <w:szCs w:val="20"/>
              </w:rPr>
              <w:t>MEC + MLC</w:t>
            </w:r>
          </w:p>
        </w:tc>
        <w:tc>
          <w:tcPr>
            <w:tcW w:w="1489" w:type="pct"/>
          </w:tcPr>
          <w:p w:rsidR="0049120B" w:rsidRPr="0049120B" w:rsidRDefault="0049120B" w:rsidP="004F55C7">
            <w:pPr>
              <w:rPr>
                <w:rFonts w:ascii="Arial" w:hAnsi="Arial" w:cs="Arial"/>
                <w:sz w:val="20"/>
                <w:szCs w:val="20"/>
              </w:rPr>
            </w:pPr>
            <w:r w:rsidRPr="0049120B">
              <w:rPr>
                <w:rFonts w:ascii="Arial" w:hAnsi="Arial" w:cs="Arial"/>
                <w:sz w:val="20"/>
                <w:szCs w:val="20"/>
              </w:rPr>
              <w:t>N/A</w:t>
            </w:r>
          </w:p>
        </w:tc>
      </w:tr>
      <w:tr w:rsidR="0049120B" w:rsidRPr="0049120B" w:rsidTr="004F55C7">
        <w:tc>
          <w:tcPr>
            <w:tcW w:w="671" w:type="pct"/>
          </w:tcPr>
          <w:p w:rsidR="0049120B" w:rsidRPr="0049120B" w:rsidRDefault="0049120B" w:rsidP="004F55C7">
            <w:pPr>
              <w:rPr>
                <w:rFonts w:ascii="Arial" w:hAnsi="Arial" w:cs="Arial"/>
                <w:sz w:val="20"/>
                <w:szCs w:val="20"/>
              </w:rPr>
            </w:pPr>
            <w:r w:rsidRPr="0049120B">
              <w:rPr>
                <w:rFonts w:ascii="Arial" w:hAnsi="Arial" w:cs="Arial"/>
                <w:sz w:val="20"/>
                <w:szCs w:val="20"/>
              </w:rPr>
              <w:t>REA</w:t>
            </w:r>
          </w:p>
        </w:tc>
        <w:tc>
          <w:tcPr>
            <w:tcW w:w="1443" w:type="pct"/>
          </w:tcPr>
          <w:p w:rsidR="0049120B" w:rsidRPr="0049120B" w:rsidRDefault="0049120B" w:rsidP="004F55C7">
            <w:pPr>
              <w:rPr>
                <w:rFonts w:ascii="Arial" w:hAnsi="Arial" w:cs="Arial"/>
                <w:sz w:val="20"/>
                <w:szCs w:val="20"/>
              </w:rPr>
            </w:pPr>
            <w:r w:rsidRPr="0049120B">
              <w:rPr>
                <w:rFonts w:ascii="Arial" w:hAnsi="Arial" w:cs="Arial"/>
                <w:sz w:val="20"/>
                <w:szCs w:val="20"/>
              </w:rPr>
              <w:t>MEC + MLC</w:t>
            </w:r>
          </w:p>
        </w:tc>
        <w:tc>
          <w:tcPr>
            <w:tcW w:w="1396" w:type="pct"/>
          </w:tcPr>
          <w:p w:rsidR="0049120B" w:rsidRPr="0049120B" w:rsidRDefault="0049120B" w:rsidP="004F55C7">
            <w:pPr>
              <w:rPr>
                <w:rFonts w:ascii="Arial" w:hAnsi="Arial" w:cs="Arial"/>
                <w:sz w:val="20"/>
                <w:szCs w:val="20"/>
              </w:rPr>
            </w:pPr>
            <w:r w:rsidRPr="0049120B">
              <w:rPr>
                <w:rFonts w:ascii="Arial" w:hAnsi="Arial" w:cs="Arial"/>
                <w:sz w:val="20"/>
                <w:szCs w:val="20"/>
              </w:rPr>
              <w:t>MEC + MLC</w:t>
            </w:r>
          </w:p>
        </w:tc>
        <w:tc>
          <w:tcPr>
            <w:tcW w:w="1489" w:type="pct"/>
          </w:tcPr>
          <w:p w:rsidR="0049120B" w:rsidRPr="0049120B" w:rsidRDefault="0049120B" w:rsidP="004F55C7">
            <w:pPr>
              <w:rPr>
                <w:rFonts w:ascii="Arial" w:hAnsi="Arial" w:cs="Arial"/>
                <w:sz w:val="20"/>
                <w:szCs w:val="20"/>
              </w:rPr>
            </w:pPr>
            <w:r w:rsidRPr="0049120B">
              <w:rPr>
                <w:rFonts w:ascii="Arial" w:hAnsi="Arial" w:cs="Arial"/>
                <w:sz w:val="20"/>
                <w:szCs w:val="20"/>
              </w:rPr>
              <w:t>N/A</w:t>
            </w:r>
          </w:p>
        </w:tc>
      </w:tr>
    </w:tbl>
    <w:p w:rsidR="0049120B" w:rsidRPr="0049120B" w:rsidRDefault="0049120B" w:rsidP="0049120B">
      <w:pPr>
        <w:rPr>
          <w:rFonts w:ascii="Arial" w:hAnsi="Arial" w:cs="Arial"/>
          <w:sz w:val="20"/>
        </w:rPr>
      </w:pPr>
      <w:r w:rsidRPr="0049120B">
        <w:rPr>
          <w:rFonts w:ascii="Arial" w:hAnsi="Arial" w:cs="Arial"/>
          <w:sz w:val="20"/>
        </w:rPr>
        <w:t>MEC = Measure Equipment Cost; MLC = Measure Labor Cost</w:t>
      </w:r>
    </w:p>
    <w:p w:rsidR="0049120B" w:rsidRPr="0049120B" w:rsidRDefault="0049120B" w:rsidP="0049120B">
      <w:pPr>
        <w:rPr>
          <w:rFonts w:ascii="Arial" w:hAnsi="Arial" w:cs="Arial"/>
          <w:sz w:val="20"/>
        </w:rPr>
      </w:pPr>
      <w:r w:rsidRPr="0049120B">
        <w:rPr>
          <w:rFonts w:ascii="Arial" w:hAnsi="Arial" w:cs="Arial"/>
          <w:sz w:val="20"/>
        </w:rPr>
        <w:t>BEC = Base Case Equipment Cost; BLC = Base Case Labor Cost</w:t>
      </w:r>
    </w:p>
    <w:bookmarkEnd w:id="47"/>
    <w:p w:rsidR="0049120B" w:rsidRDefault="0049120B" w:rsidP="005F3DA0"/>
    <w:p w:rsidR="0049120B" w:rsidRPr="0049120B" w:rsidRDefault="0049120B" w:rsidP="005F3DA0">
      <w:pPr>
        <w:rPr>
          <w:rFonts w:ascii="Arial" w:hAnsi="Arial" w:cs="Arial"/>
          <w:sz w:val="20"/>
        </w:rPr>
      </w:pPr>
      <w:r w:rsidRPr="0049120B">
        <w:rPr>
          <w:rFonts w:ascii="Arial" w:hAnsi="Arial" w:cs="Arial"/>
          <w:sz w:val="20"/>
        </w:rPr>
        <w:t>Please refer to the cost spreadsheet for detailed full and incremental cost information.</w:t>
      </w:r>
      <w:r>
        <w:rPr>
          <w:rFonts w:ascii="Arial" w:hAnsi="Arial" w:cs="Arial"/>
          <w:sz w:val="20"/>
        </w:rPr>
        <w:t xml:space="preserve">  Labor costs were not considered in the incremental costs since it is the same value.</w:t>
      </w:r>
    </w:p>
    <w:p w:rsidR="005F3DA0" w:rsidRDefault="005F3DA0" w:rsidP="005F3DA0">
      <w:pPr>
        <w:rPr>
          <w:rFonts w:ascii="Arial" w:hAnsi="Arial" w:cs="Arial"/>
          <w:kern w:val="32"/>
          <w:sz w:val="32"/>
          <w:szCs w:val="32"/>
        </w:rPr>
      </w:pPr>
      <w:r>
        <w:br w:type="page"/>
      </w:r>
    </w:p>
    <w:p w:rsidR="009168A1" w:rsidRPr="000966CC" w:rsidRDefault="00DE0602" w:rsidP="00EC4B0D">
      <w:pPr>
        <w:pStyle w:val="Heading1"/>
        <w:tabs>
          <w:tab w:val="left" w:pos="3495"/>
        </w:tabs>
      </w:pPr>
      <w:bookmarkStart w:id="48" w:name="_Toc438562607"/>
      <w:r>
        <w:lastRenderedPageBreak/>
        <w:t>R</w:t>
      </w:r>
      <w:r w:rsidR="000966CC">
        <w:t>eferences</w:t>
      </w:r>
      <w:r w:rsidR="001946B1">
        <w:t>:</w:t>
      </w:r>
      <w:bookmarkEnd w:id="48"/>
      <w:r w:rsidR="00844B27">
        <w:t xml:space="preserve"> </w:t>
      </w:r>
      <w:r w:rsidR="00EC4B0D">
        <w:tab/>
      </w:r>
    </w:p>
    <w:sectPr w:rsidR="009168A1" w:rsidRPr="000966CC" w:rsidSect="00262365">
      <w:endnotePr>
        <w:numFmt w:val="decimal"/>
      </w:endnotePr>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4973" w:rsidRDefault="006C4973">
      <w:r>
        <w:separator/>
      </w:r>
    </w:p>
  </w:endnote>
  <w:endnote w:type="continuationSeparator" w:id="0">
    <w:p w:rsidR="006C4973" w:rsidRDefault="006C4973">
      <w:r>
        <w:continuationSeparator/>
      </w:r>
    </w:p>
  </w:endnote>
  <w:endnote w:id="1">
    <w:p w:rsidR="006C4973" w:rsidRDefault="006C4973" w:rsidP="00FA5F99">
      <w:pPr>
        <w:pStyle w:val="EndnoteText"/>
      </w:pPr>
      <w:r>
        <w:rPr>
          <w:rStyle w:val="EndnoteReference"/>
        </w:rPr>
        <w:endnoteRef/>
      </w:r>
      <w:r>
        <w:t xml:space="preserve"> </w:t>
      </w:r>
      <w:r w:rsidRPr="00784500">
        <w:rPr>
          <w:rFonts w:cs="Arial"/>
        </w:rPr>
        <w:t>The DEER Measure Cost Data Users Guide</w:t>
      </w:r>
      <w:r>
        <w:rPr>
          <w:rFonts w:cs="Arial"/>
        </w:rPr>
        <w:t xml:space="preserve"> found on </w:t>
      </w:r>
      <w:hyperlink r:id="rId1" w:history="1">
        <w:r w:rsidRPr="005376F2">
          <w:rPr>
            <w:rStyle w:val="Hyperlink"/>
            <w:rFonts w:cs="Arial"/>
          </w:rPr>
          <w:t>www.deeresources.com</w:t>
        </w:r>
      </w:hyperlink>
      <w:r>
        <w:rPr>
          <w:rFonts w:cs="Arial"/>
        </w:rPr>
        <w:t xml:space="preserve"> under </w:t>
      </w:r>
      <w:r w:rsidRPr="003541A6">
        <w:rPr>
          <w:rFonts w:cs="Arial"/>
          <w:i/>
        </w:rPr>
        <w:t>DEER2011 Database Format</w:t>
      </w:r>
      <w:r>
        <w:rPr>
          <w:rFonts w:cs="Arial"/>
        </w:rPr>
        <w:t xml:space="preserve"> hyperlink, </w:t>
      </w:r>
      <w:r>
        <w:rPr>
          <w:rStyle w:val="breadcrumbs"/>
          <w:color w:val="333333"/>
          <w:sz w:val="19"/>
          <w:szCs w:val="19"/>
          <w:lang w:val="en-GB"/>
        </w:rPr>
        <w:t>DEER2011 for 13-14</w:t>
      </w:r>
      <w:r>
        <w:rPr>
          <w:rFonts w:cs="Arial"/>
          <w:color w:val="333333"/>
          <w:sz w:val="19"/>
          <w:szCs w:val="19"/>
          <w:lang w:val="en-GB"/>
        </w:rPr>
        <w:t>,</w:t>
      </w:r>
      <w:r w:rsidRPr="00784500">
        <w:rPr>
          <w:rFonts w:cs="Arial"/>
        </w:rPr>
        <w:t xml:space="preserve"> </w:t>
      </w:r>
      <w:r>
        <w:rPr>
          <w:rFonts w:cs="Arial"/>
        </w:rPr>
        <w:t xml:space="preserve">spreadsheet </w:t>
      </w:r>
      <w:r w:rsidRPr="003541A6">
        <w:rPr>
          <w:rFonts w:cs="Arial"/>
          <w:i/>
        </w:rPr>
        <w:t>SPTdata_format-V0.97.xls</w:t>
      </w:r>
      <w:r>
        <w:rPr>
          <w:rFonts w:cs="Arial"/>
          <w:i/>
        </w:rPr>
        <w:t>.</w:t>
      </w:r>
    </w:p>
  </w:endnote>
  <w:endnote w:id="2">
    <w:p w:rsidR="006C4973" w:rsidRPr="00EC4B0D" w:rsidRDefault="006C4973" w:rsidP="00C37145">
      <w:pPr>
        <w:pStyle w:val="EndnoteText"/>
        <w:rPr>
          <w:rFonts w:ascii="Arial" w:hAnsi="Arial" w:cs="Arial"/>
        </w:rPr>
      </w:pPr>
      <w:r w:rsidRPr="00EC4B0D">
        <w:rPr>
          <w:rStyle w:val="EndnoteReference"/>
          <w:rFonts w:ascii="Arial" w:hAnsi="Arial" w:cs="Arial"/>
        </w:rPr>
        <w:endnoteRef/>
      </w:r>
      <w:r w:rsidRPr="00EC4B0D">
        <w:rPr>
          <w:rFonts w:ascii="Arial" w:hAnsi="Arial" w:cs="Arial"/>
        </w:rPr>
        <w:t xml:space="preserve"> Notice </w:t>
      </w:r>
      <w:proofErr w:type="gramStart"/>
      <w:r w:rsidRPr="00EC4B0D">
        <w:rPr>
          <w:rFonts w:ascii="Arial" w:hAnsi="Arial" w:cs="Arial"/>
        </w:rPr>
        <w:t>Of</w:t>
      </w:r>
      <w:proofErr w:type="gramEnd"/>
      <w:r w:rsidRPr="00EC4B0D">
        <w:rPr>
          <w:rFonts w:ascii="Arial" w:hAnsi="Arial" w:cs="Arial"/>
        </w:rPr>
        <w:t xml:space="preserve"> Proposed Rulemaking Technical Support Document: Energy Efficiency Program For Consumer Products And Certain Commercial And Industrial Equipment: Metal Halide Lamp Fixtures.  </w:t>
      </w:r>
      <w:proofErr w:type="gramStart"/>
      <w:r w:rsidRPr="00EC4B0D">
        <w:rPr>
          <w:rFonts w:ascii="Arial" w:hAnsi="Arial" w:cs="Arial"/>
        </w:rPr>
        <w:t>DOE.</w:t>
      </w:r>
      <w:proofErr w:type="gramEnd"/>
      <w:r w:rsidRPr="00EC4B0D">
        <w:rPr>
          <w:rFonts w:ascii="Arial" w:hAnsi="Arial" w:cs="Arial"/>
        </w:rPr>
        <w:t xml:space="preserve"> August 2013.</w:t>
      </w:r>
    </w:p>
  </w:endnote>
  <w:endnote w:id="3">
    <w:p w:rsidR="006C4973" w:rsidRPr="00EC4B0D" w:rsidRDefault="006C4973">
      <w:pPr>
        <w:pStyle w:val="EndnoteText"/>
        <w:rPr>
          <w:rFonts w:ascii="Arial" w:hAnsi="Arial" w:cs="Arial"/>
        </w:rPr>
      </w:pPr>
      <w:r w:rsidRPr="00EC4B0D">
        <w:rPr>
          <w:rStyle w:val="EndnoteReference"/>
          <w:rFonts w:ascii="Arial" w:hAnsi="Arial" w:cs="Arial"/>
        </w:rPr>
        <w:endnoteRef/>
      </w:r>
      <w:r w:rsidRPr="00EC4B0D">
        <w:rPr>
          <w:rFonts w:ascii="Arial" w:hAnsi="Arial" w:cs="Arial"/>
        </w:rPr>
        <w:t xml:space="preserve"> </w:t>
      </w:r>
      <w:proofErr w:type="spellStart"/>
      <w:r w:rsidRPr="00EC4B0D">
        <w:rPr>
          <w:rFonts w:ascii="Arial" w:hAnsi="Arial" w:cs="Arial"/>
        </w:rPr>
        <w:t>CALiPER</w:t>
      </w:r>
      <w:proofErr w:type="spellEnd"/>
      <w:r w:rsidRPr="00EC4B0D">
        <w:rPr>
          <w:rFonts w:ascii="Arial" w:hAnsi="Arial" w:cs="Arial"/>
        </w:rPr>
        <w:t xml:space="preserve"> Summary Report Round 13. </w:t>
      </w:r>
      <w:proofErr w:type="gramStart"/>
      <w:r w:rsidRPr="00EC4B0D">
        <w:rPr>
          <w:rFonts w:ascii="Arial" w:hAnsi="Arial" w:cs="Arial"/>
        </w:rPr>
        <w:t>DOE.</w:t>
      </w:r>
      <w:proofErr w:type="gramEnd"/>
      <w:r w:rsidRPr="00EC4B0D">
        <w:rPr>
          <w:rFonts w:ascii="Arial" w:hAnsi="Arial" w:cs="Arial"/>
        </w:rPr>
        <w:t xml:space="preserve"> October 2011.</w:t>
      </w:r>
    </w:p>
  </w:endnote>
  <w:endnote w:id="4">
    <w:p w:rsidR="0049120B" w:rsidRDefault="0049120B" w:rsidP="0049120B">
      <w:pPr>
        <w:pStyle w:val="EndnoteText"/>
      </w:pPr>
      <w:r>
        <w:rPr>
          <w:rStyle w:val="EndnoteReference"/>
        </w:rPr>
        <w:endnoteRef/>
      </w:r>
      <w:r>
        <w:t xml:space="preserve"> 2010-2012 WO017 </w:t>
      </w:r>
      <w:proofErr w:type="gramStart"/>
      <w:r>
        <w:t>Ex</w:t>
      </w:r>
      <w:proofErr w:type="gramEnd"/>
      <w:r>
        <w:t xml:space="preserve"> Ante Measure Cost Study Final Report.  </w:t>
      </w:r>
      <w:proofErr w:type="gramStart"/>
      <w:r>
        <w:t xml:space="preserve">Submitted by:  </w:t>
      </w:r>
      <w:proofErr w:type="spellStart"/>
      <w:r>
        <w:t>Itron</w:t>
      </w:r>
      <w:proofErr w:type="spellEnd"/>
      <w:r>
        <w:t>, Inc.</w:t>
      </w:r>
      <w:proofErr w:type="gramEnd"/>
      <w:r>
        <w:t xml:space="preserve">  May 27, 2014.  Table 4-6. Page 4-12. </w:t>
      </w:r>
      <w:proofErr w:type="gramStart"/>
      <w:r w:rsidRPr="00583393">
        <w:rPr>
          <w:i/>
        </w:rPr>
        <w:t>HID to T5 Fixtures high bay, lift accessible.</w:t>
      </w:r>
      <w:proofErr w:type="gramEnd"/>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973" w:rsidRDefault="006C4973"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C4973" w:rsidRDefault="006C497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973" w:rsidRPr="00846195" w:rsidRDefault="006C4973"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1A450C">
      <w:rPr>
        <w:rStyle w:val="PageNumber"/>
        <w:b/>
        <w:noProof/>
        <w:sz w:val="20"/>
        <w:szCs w:val="20"/>
      </w:rPr>
      <w:t>2</w:t>
    </w:r>
    <w:r w:rsidRPr="00846195">
      <w:rPr>
        <w:rStyle w:val="PageNumber"/>
        <w:b/>
        <w:sz w:val="20"/>
        <w:szCs w:val="20"/>
      </w:rPr>
      <w:fldChar w:fldCharType="end"/>
    </w:r>
  </w:p>
  <w:p w:rsidR="006C4973" w:rsidRDefault="006C4973" w:rsidP="00D7047A">
    <w:pPr>
      <w:pStyle w:val="Footer"/>
      <w:pBdr>
        <w:top w:val="single" w:sz="4" w:space="1" w:color="auto"/>
      </w:pBdr>
      <w:tabs>
        <w:tab w:val="clear" w:pos="8640"/>
        <w:tab w:val="right" w:pos="9360"/>
      </w:tabs>
      <w:rPr>
        <w:b/>
        <w:sz w:val="20"/>
        <w:szCs w:val="20"/>
      </w:rPr>
    </w:pPr>
    <w:r>
      <w:rPr>
        <w:b/>
        <w:color w:val="FF0000"/>
        <w:sz w:val="20"/>
        <w:szCs w:val="20"/>
      </w:rPr>
      <w:tab/>
    </w:r>
    <w:r>
      <w:rPr>
        <w:b/>
        <w:sz w:val="20"/>
        <w:szCs w:val="20"/>
      </w:rPr>
      <w:tab/>
      <w:t>1/1/2016</w:t>
    </w:r>
  </w:p>
  <w:p w:rsidR="006C4973" w:rsidRDefault="006C4973" w:rsidP="00D7047A">
    <w:pPr>
      <w:pStyle w:val="Footer"/>
      <w:rPr>
        <w:b/>
        <w:sz w:val="20"/>
        <w:szCs w:val="20"/>
      </w:rPr>
    </w:pPr>
    <w:r>
      <w:rPr>
        <w:b/>
        <w:sz w:val="20"/>
        <w:szCs w:val="20"/>
      </w:rPr>
      <w:t>Pacific Gas &amp; Electric Company</w:t>
    </w:r>
  </w:p>
  <w:p w:rsidR="006C4973" w:rsidRPr="00893A0F" w:rsidRDefault="006C4973" w:rsidP="00D7047A">
    <w:pPr>
      <w:pStyle w:val="Footer"/>
      <w:rPr>
        <w:b/>
        <w:sz w:val="20"/>
        <w:szCs w:val="20"/>
      </w:rPr>
    </w:pPr>
    <w:r w:rsidRPr="00893A0F">
      <w:rPr>
        <w:noProof/>
        <w:sz w:val="20"/>
        <w:szCs w:val="20"/>
      </w:rPr>
      <w:t>PGECOLTG</w:t>
    </w:r>
    <w:r>
      <w:rPr>
        <w:noProof/>
        <w:sz w:val="20"/>
        <w:szCs w:val="20"/>
      </w:rPr>
      <w:t>178 R2</w:t>
    </w:r>
    <w:r w:rsidRPr="00893A0F">
      <w:rPr>
        <w:noProof/>
        <w:sz w:val="20"/>
        <w:szCs w:val="20"/>
      </w:rPr>
      <w:t xml:space="preserve"> LED</w:t>
    </w:r>
    <w:r>
      <w:rPr>
        <w:noProof/>
        <w:sz w:val="20"/>
        <w:szCs w:val="20"/>
      </w:rPr>
      <w:t xml:space="preserve"> core and DI High-Low Bay Fixt</w:t>
    </w:r>
    <w:r w:rsidRPr="00893A0F">
      <w:rPr>
        <w:noProof/>
        <w:sz w:val="20"/>
        <w:szCs w:val="20"/>
      </w:rPr>
      <w:t>.doc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973" w:rsidRPr="002E0E3F" w:rsidRDefault="006C4973" w:rsidP="00D7047A">
    <w:pPr>
      <w:pStyle w:val="Footer"/>
      <w:jc w:val="right"/>
      <w:rPr>
        <w:rFonts w:ascii="Arial" w:hAnsi="Arial" w:cs="Arial"/>
        <w:b/>
        <w:sz w:val="36"/>
        <w:szCs w:val="36"/>
      </w:rPr>
    </w:pPr>
    <w:r>
      <w:rPr>
        <w:rFonts w:ascii="Arial" w:hAnsi="Arial" w:cs="Arial"/>
        <w:b/>
        <w:sz w:val="36"/>
        <w:szCs w:val="36"/>
      </w:rPr>
      <w:t>1/1/2016</w:t>
    </w:r>
  </w:p>
  <w:p w:rsidR="006C4973" w:rsidRDefault="006C49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4973" w:rsidRDefault="006C4973">
      <w:r>
        <w:separator/>
      </w:r>
    </w:p>
  </w:footnote>
  <w:footnote w:type="continuationSeparator" w:id="0">
    <w:p w:rsidR="006C4973" w:rsidRDefault="006C49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973" w:rsidRDefault="006C4973" w:rsidP="001A573F">
    <w:pPr>
      <w:pStyle w:val="Header"/>
      <w:jc w:val="right"/>
    </w:pPr>
  </w:p>
  <w:p w:rsidR="006C4973" w:rsidRDefault="006C4973" w:rsidP="001A573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2155200"/>
    <w:multiLevelType w:val="hybridMultilevel"/>
    <w:tmpl w:val="FCB8E1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1B970A8"/>
    <w:multiLevelType w:val="hybridMultilevel"/>
    <w:tmpl w:val="8F18FA6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29853F8"/>
    <w:multiLevelType w:val="hybridMultilevel"/>
    <w:tmpl w:val="4D00688A"/>
    <w:lvl w:ilvl="0" w:tplc="2196B82A">
      <w:start w:val="1"/>
      <w:numFmt w:val="bullet"/>
      <w:lvlText w:val=""/>
      <w:lvlJc w:val="left"/>
      <w:pPr>
        <w:tabs>
          <w:tab w:val="num" w:pos="504"/>
        </w:tabs>
        <w:ind w:left="288" w:hanging="72"/>
      </w:pPr>
      <w:rPr>
        <w:rFonts w:ascii="Wingdings" w:hAnsi="Wingdings" w:hint="default"/>
      </w:rPr>
    </w:lvl>
    <w:lvl w:ilvl="1" w:tplc="C72A4F4E">
      <w:start w:val="1"/>
      <w:numFmt w:val="bullet"/>
      <w:lvlText w:val="o"/>
      <w:lvlJc w:val="left"/>
      <w:pPr>
        <w:tabs>
          <w:tab w:val="num" w:pos="720"/>
        </w:tabs>
        <w:ind w:left="792" w:hanging="144"/>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2">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3F52489"/>
    <w:multiLevelType w:val="hybridMultilevel"/>
    <w:tmpl w:val="9072EA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56967D4B"/>
    <w:multiLevelType w:val="hybridMultilevel"/>
    <w:tmpl w:val="62525A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9">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64B3614A"/>
    <w:multiLevelType w:val="hybridMultilevel"/>
    <w:tmpl w:val="387AE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1F063B1"/>
    <w:multiLevelType w:val="hybridMultilevel"/>
    <w:tmpl w:val="AFCE0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2AA24A2"/>
    <w:multiLevelType w:val="hybridMultilevel"/>
    <w:tmpl w:val="39221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7820856"/>
    <w:multiLevelType w:val="singleLevel"/>
    <w:tmpl w:val="6C78A414"/>
    <w:lvl w:ilvl="0">
      <w:start w:val="1"/>
      <w:numFmt w:val="decimal"/>
      <w:lvlText w:val="%1."/>
      <w:legacy w:legacy="1" w:legacySpace="0" w:legacyIndent="0"/>
      <w:lvlJc w:val="left"/>
    </w:lvl>
  </w:abstractNum>
  <w:abstractNum w:abstractNumId="24">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C2856A2"/>
    <w:multiLevelType w:val="hybridMultilevel"/>
    <w:tmpl w:val="D11E2CA6"/>
    <w:lvl w:ilvl="0" w:tplc="0409000F">
      <w:start w:val="1"/>
      <w:numFmt w:val="decimal"/>
      <w:lvlText w:val="%1."/>
      <w:lvlJc w:val="left"/>
      <w:pPr>
        <w:ind w:left="720" w:hanging="360"/>
      </w:pPr>
    </w:lvl>
    <w:lvl w:ilvl="1" w:tplc="64546FB6">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2"/>
  </w:num>
  <w:num w:numId="3">
    <w:abstractNumId w:val="5"/>
  </w:num>
  <w:num w:numId="4">
    <w:abstractNumId w:val="7"/>
  </w:num>
  <w:num w:numId="5">
    <w:abstractNumId w:val="23"/>
  </w:num>
  <w:num w:numId="6">
    <w:abstractNumId w:val="11"/>
  </w:num>
  <w:num w:numId="7">
    <w:abstractNumId w:val="6"/>
  </w:num>
  <w:num w:numId="8">
    <w:abstractNumId w:val="13"/>
  </w:num>
  <w:num w:numId="9">
    <w:abstractNumId w:val="10"/>
  </w:num>
  <w:num w:numId="10">
    <w:abstractNumId w:val="1"/>
  </w:num>
  <w:num w:numId="11">
    <w:abstractNumId w:val="18"/>
  </w:num>
  <w:num w:numId="12">
    <w:abstractNumId w:val="19"/>
  </w:num>
  <w:num w:numId="13">
    <w:abstractNumId w:val="3"/>
  </w:num>
  <w:num w:numId="14">
    <w:abstractNumId w:val="24"/>
  </w:num>
  <w:num w:numId="15">
    <w:abstractNumId w:val="14"/>
  </w:num>
  <w:num w:numId="16">
    <w:abstractNumId w:val="15"/>
  </w:num>
  <w:num w:numId="17">
    <w:abstractNumId w:val="0"/>
  </w:num>
  <w:num w:numId="18">
    <w:abstractNumId w:val="9"/>
  </w:num>
  <w:num w:numId="19">
    <w:abstractNumId w:val="21"/>
  </w:num>
  <w:num w:numId="20">
    <w:abstractNumId w:val="22"/>
  </w:num>
  <w:num w:numId="21">
    <w:abstractNumId w:val="17"/>
  </w:num>
  <w:num w:numId="22">
    <w:abstractNumId w:val="8"/>
  </w:num>
  <w:num w:numId="23">
    <w:abstractNumId w:val="16"/>
  </w:num>
  <w:num w:numId="24">
    <w:abstractNumId w:val="20"/>
  </w:num>
  <w:num w:numId="25">
    <w:abstractNumId w:val="25"/>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411D"/>
    <w:rsid w:val="000050CC"/>
    <w:rsid w:val="00005E70"/>
    <w:rsid w:val="00012F86"/>
    <w:rsid w:val="00014740"/>
    <w:rsid w:val="00014742"/>
    <w:rsid w:val="00016772"/>
    <w:rsid w:val="000170B5"/>
    <w:rsid w:val="00017488"/>
    <w:rsid w:val="0002118E"/>
    <w:rsid w:val="00023102"/>
    <w:rsid w:val="00024AA9"/>
    <w:rsid w:val="00026F78"/>
    <w:rsid w:val="000272C2"/>
    <w:rsid w:val="0003064A"/>
    <w:rsid w:val="00032B63"/>
    <w:rsid w:val="00032F1B"/>
    <w:rsid w:val="000351CB"/>
    <w:rsid w:val="000373B0"/>
    <w:rsid w:val="000374A5"/>
    <w:rsid w:val="00044365"/>
    <w:rsid w:val="00044570"/>
    <w:rsid w:val="000448A5"/>
    <w:rsid w:val="00046D10"/>
    <w:rsid w:val="00053CD8"/>
    <w:rsid w:val="0005535A"/>
    <w:rsid w:val="00055973"/>
    <w:rsid w:val="00056DB9"/>
    <w:rsid w:val="000571F6"/>
    <w:rsid w:val="00057957"/>
    <w:rsid w:val="0005796E"/>
    <w:rsid w:val="00057C09"/>
    <w:rsid w:val="00063A83"/>
    <w:rsid w:val="00063FA7"/>
    <w:rsid w:val="0006490F"/>
    <w:rsid w:val="00066D5B"/>
    <w:rsid w:val="000678A2"/>
    <w:rsid w:val="00067EB5"/>
    <w:rsid w:val="000701EB"/>
    <w:rsid w:val="000719AA"/>
    <w:rsid w:val="00073184"/>
    <w:rsid w:val="000749EA"/>
    <w:rsid w:val="00077161"/>
    <w:rsid w:val="00077DC4"/>
    <w:rsid w:val="000814B9"/>
    <w:rsid w:val="00081DFB"/>
    <w:rsid w:val="000842B9"/>
    <w:rsid w:val="0008537D"/>
    <w:rsid w:val="00085DF5"/>
    <w:rsid w:val="00086594"/>
    <w:rsid w:val="00087378"/>
    <w:rsid w:val="00095610"/>
    <w:rsid w:val="000966CC"/>
    <w:rsid w:val="000A1ADB"/>
    <w:rsid w:val="000A2490"/>
    <w:rsid w:val="000A2FB3"/>
    <w:rsid w:val="000A48F2"/>
    <w:rsid w:val="000B0B1E"/>
    <w:rsid w:val="000B71D2"/>
    <w:rsid w:val="000C0FD3"/>
    <w:rsid w:val="000C23B1"/>
    <w:rsid w:val="000C4909"/>
    <w:rsid w:val="000C5FFA"/>
    <w:rsid w:val="000D22E1"/>
    <w:rsid w:val="000D2D93"/>
    <w:rsid w:val="000D47BE"/>
    <w:rsid w:val="000D47DA"/>
    <w:rsid w:val="000D4EB7"/>
    <w:rsid w:val="000D5047"/>
    <w:rsid w:val="000D5790"/>
    <w:rsid w:val="000D64B7"/>
    <w:rsid w:val="000D6DA4"/>
    <w:rsid w:val="000E0350"/>
    <w:rsid w:val="000E132D"/>
    <w:rsid w:val="000E273A"/>
    <w:rsid w:val="000E31B5"/>
    <w:rsid w:val="000E6E80"/>
    <w:rsid w:val="000F0069"/>
    <w:rsid w:val="000F0C5D"/>
    <w:rsid w:val="000F11DD"/>
    <w:rsid w:val="000F16B4"/>
    <w:rsid w:val="00102BF4"/>
    <w:rsid w:val="00115EB1"/>
    <w:rsid w:val="0012128C"/>
    <w:rsid w:val="00121D23"/>
    <w:rsid w:val="001231EA"/>
    <w:rsid w:val="001248A3"/>
    <w:rsid w:val="00124F32"/>
    <w:rsid w:val="00126483"/>
    <w:rsid w:val="00126A4E"/>
    <w:rsid w:val="00127CC8"/>
    <w:rsid w:val="0013046A"/>
    <w:rsid w:val="0013080C"/>
    <w:rsid w:val="0013087E"/>
    <w:rsid w:val="00133198"/>
    <w:rsid w:val="00133C60"/>
    <w:rsid w:val="00136D56"/>
    <w:rsid w:val="001379BA"/>
    <w:rsid w:val="0014398A"/>
    <w:rsid w:val="001506C5"/>
    <w:rsid w:val="00150EC7"/>
    <w:rsid w:val="00152F83"/>
    <w:rsid w:val="00153516"/>
    <w:rsid w:val="00155EF5"/>
    <w:rsid w:val="00161B73"/>
    <w:rsid w:val="00161E02"/>
    <w:rsid w:val="00163256"/>
    <w:rsid w:val="00163A05"/>
    <w:rsid w:val="00163CC0"/>
    <w:rsid w:val="00167F2B"/>
    <w:rsid w:val="0017179F"/>
    <w:rsid w:val="00171812"/>
    <w:rsid w:val="00172149"/>
    <w:rsid w:val="00173499"/>
    <w:rsid w:val="00175673"/>
    <w:rsid w:val="00176431"/>
    <w:rsid w:val="00181C0B"/>
    <w:rsid w:val="001822FC"/>
    <w:rsid w:val="0018290E"/>
    <w:rsid w:val="001835E1"/>
    <w:rsid w:val="00183C8E"/>
    <w:rsid w:val="001946B1"/>
    <w:rsid w:val="00194E14"/>
    <w:rsid w:val="001965AF"/>
    <w:rsid w:val="00196880"/>
    <w:rsid w:val="00196D7C"/>
    <w:rsid w:val="00197A23"/>
    <w:rsid w:val="001A13D5"/>
    <w:rsid w:val="001A3026"/>
    <w:rsid w:val="001A450C"/>
    <w:rsid w:val="001A4516"/>
    <w:rsid w:val="001A4B5E"/>
    <w:rsid w:val="001A550C"/>
    <w:rsid w:val="001A573F"/>
    <w:rsid w:val="001A5C3F"/>
    <w:rsid w:val="001A64C6"/>
    <w:rsid w:val="001A7081"/>
    <w:rsid w:val="001A70AD"/>
    <w:rsid w:val="001A73E3"/>
    <w:rsid w:val="001B03AC"/>
    <w:rsid w:val="001B238D"/>
    <w:rsid w:val="001B242B"/>
    <w:rsid w:val="001B45F2"/>
    <w:rsid w:val="001B4ACB"/>
    <w:rsid w:val="001B5E15"/>
    <w:rsid w:val="001B75E6"/>
    <w:rsid w:val="001B792D"/>
    <w:rsid w:val="001B7D84"/>
    <w:rsid w:val="001C1C03"/>
    <w:rsid w:val="001C28F8"/>
    <w:rsid w:val="001C2942"/>
    <w:rsid w:val="001C2E2C"/>
    <w:rsid w:val="001C64DB"/>
    <w:rsid w:val="001C6C57"/>
    <w:rsid w:val="001D067F"/>
    <w:rsid w:val="001D0750"/>
    <w:rsid w:val="001D0AF0"/>
    <w:rsid w:val="001D0FE0"/>
    <w:rsid w:val="001D11CE"/>
    <w:rsid w:val="001D16C2"/>
    <w:rsid w:val="001D1B62"/>
    <w:rsid w:val="001D3F48"/>
    <w:rsid w:val="001D483C"/>
    <w:rsid w:val="001D54AF"/>
    <w:rsid w:val="001E37BA"/>
    <w:rsid w:val="001E3AE3"/>
    <w:rsid w:val="001E7CA0"/>
    <w:rsid w:val="001F0078"/>
    <w:rsid w:val="001F2B40"/>
    <w:rsid w:val="001F4083"/>
    <w:rsid w:val="001F60D5"/>
    <w:rsid w:val="001F627F"/>
    <w:rsid w:val="001F6E49"/>
    <w:rsid w:val="001F7023"/>
    <w:rsid w:val="00200174"/>
    <w:rsid w:val="0020665C"/>
    <w:rsid w:val="00210392"/>
    <w:rsid w:val="00210550"/>
    <w:rsid w:val="00211BAC"/>
    <w:rsid w:val="002154B2"/>
    <w:rsid w:val="002170D6"/>
    <w:rsid w:val="002203EA"/>
    <w:rsid w:val="0022055B"/>
    <w:rsid w:val="0022067C"/>
    <w:rsid w:val="002207C3"/>
    <w:rsid w:val="00220F52"/>
    <w:rsid w:val="0022370C"/>
    <w:rsid w:val="0022428B"/>
    <w:rsid w:val="00224D3E"/>
    <w:rsid w:val="002257FA"/>
    <w:rsid w:val="00225AB8"/>
    <w:rsid w:val="0022619C"/>
    <w:rsid w:val="00231D53"/>
    <w:rsid w:val="0023385B"/>
    <w:rsid w:val="00235694"/>
    <w:rsid w:val="002378D5"/>
    <w:rsid w:val="00241DAA"/>
    <w:rsid w:val="0024233E"/>
    <w:rsid w:val="00243BAC"/>
    <w:rsid w:val="00244BD6"/>
    <w:rsid w:val="00245A56"/>
    <w:rsid w:val="002466F4"/>
    <w:rsid w:val="002522C9"/>
    <w:rsid w:val="00252352"/>
    <w:rsid w:val="00255067"/>
    <w:rsid w:val="0025738E"/>
    <w:rsid w:val="002574CF"/>
    <w:rsid w:val="00262365"/>
    <w:rsid w:val="002628B9"/>
    <w:rsid w:val="002635D8"/>
    <w:rsid w:val="002644BC"/>
    <w:rsid w:val="00264B03"/>
    <w:rsid w:val="00265769"/>
    <w:rsid w:val="00270FD7"/>
    <w:rsid w:val="0027323D"/>
    <w:rsid w:val="00273C4E"/>
    <w:rsid w:val="0027474D"/>
    <w:rsid w:val="00274A7E"/>
    <w:rsid w:val="0027515D"/>
    <w:rsid w:val="0027624D"/>
    <w:rsid w:val="00276918"/>
    <w:rsid w:val="00276ED1"/>
    <w:rsid w:val="0027792C"/>
    <w:rsid w:val="002856F0"/>
    <w:rsid w:val="00285AF5"/>
    <w:rsid w:val="002862B7"/>
    <w:rsid w:val="00286B3C"/>
    <w:rsid w:val="0028709C"/>
    <w:rsid w:val="002913D0"/>
    <w:rsid w:val="00291D75"/>
    <w:rsid w:val="0029371D"/>
    <w:rsid w:val="00295B67"/>
    <w:rsid w:val="002971C4"/>
    <w:rsid w:val="002A1BD1"/>
    <w:rsid w:val="002A22A4"/>
    <w:rsid w:val="002A2C2E"/>
    <w:rsid w:val="002A4B6C"/>
    <w:rsid w:val="002B0ECF"/>
    <w:rsid w:val="002B166E"/>
    <w:rsid w:val="002B7CE7"/>
    <w:rsid w:val="002C12FA"/>
    <w:rsid w:val="002C21F9"/>
    <w:rsid w:val="002C23B7"/>
    <w:rsid w:val="002C26EB"/>
    <w:rsid w:val="002C321E"/>
    <w:rsid w:val="002C42E0"/>
    <w:rsid w:val="002C4F1C"/>
    <w:rsid w:val="002C518C"/>
    <w:rsid w:val="002C53DD"/>
    <w:rsid w:val="002C7B46"/>
    <w:rsid w:val="002D0F51"/>
    <w:rsid w:val="002D12AC"/>
    <w:rsid w:val="002D27DC"/>
    <w:rsid w:val="002D4621"/>
    <w:rsid w:val="002E0043"/>
    <w:rsid w:val="002E029C"/>
    <w:rsid w:val="002E40A2"/>
    <w:rsid w:val="002E47B4"/>
    <w:rsid w:val="002E5671"/>
    <w:rsid w:val="002E7C0C"/>
    <w:rsid w:val="002F105C"/>
    <w:rsid w:val="002F11A3"/>
    <w:rsid w:val="002F3610"/>
    <w:rsid w:val="002F3FE5"/>
    <w:rsid w:val="002F4E8C"/>
    <w:rsid w:val="0030104F"/>
    <w:rsid w:val="0030114D"/>
    <w:rsid w:val="00302B74"/>
    <w:rsid w:val="003032B7"/>
    <w:rsid w:val="003034D0"/>
    <w:rsid w:val="0030390D"/>
    <w:rsid w:val="0030550A"/>
    <w:rsid w:val="00306DD7"/>
    <w:rsid w:val="00311969"/>
    <w:rsid w:val="00311B2F"/>
    <w:rsid w:val="003129E8"/>
    <w:rsid w:val="00315AB7"/>
    <w:rsid w:val="00316A0B"/>
    <w:rsid w:val="00321DB0"/>
    <w:rsid w:val="00322FB9"/>
    <w:rsid w:val="00324AFE"/>
    <w:rsid w:val="00324D0F"/>
    <w:rsid w:val="003259CD"/>
    <w:rsid w:val="0032657A"/>
    <w:rsid w:val="00332E5C"/>
    <w:rsid w:val="00333E01"/>
    <w:rsid w:val="00335017"/>
    <w:rsid w:val="00340DAD"/>
    <w:rsid w:val="003419BE"/>
    <w:rsid w:val="00344A93"/>
    <w:rsid w:val="00345971"/>
    <w:rsid w:val="00345DE6"/>
    <w:rsid w:val="0034647B"/>
    <w:rsid w:val="00350382"/>
    <w:rsid w:val="00350891"/>
    <w:rsid w:val="003523EE"/>
    <w:rsid w:val="00353DC2"/>
    <w:rsid w:val="0035498F"/>
    <w:rsid w:val="00355210"/>
    <w:rsid w:val="00356017"/>
    <w:rsid w:val="00357F8C"/>
    <w:rsid w:val="00362067"/>
    <w:rsid w:val="00362839"/>
    <w:rsid w:val="0036440B"/>
    <w:rsid w:val="00367DF8"/>
    <w:rsid w:val="00374640"/>
    <w:rsid w:val="0037707D"/>
    <w:rsid w:val="00377407"/>
    <w:rsid w:val="00377531"/>
    <w:rsid w:val="00381BB7"/>
    <w:rsid w:val="0038391A"/>
    <w:rsid w:val="00383B74"/>
    <w:rsid w:val="00387CCC"/>
    <w:rsid w:val="00391C77"/>
    <w:rsid w:val="00392734"/>
    <w:rsid w:val="00392B5E"/>
    <w:rsid w:val="00392C05"/>
    <w:rsid w:val="00393618"/>
    <w:rsid w:val="00393D41"/>
    <w:rsid w:val="003942ED"/>
    <w:rsid w:val="00395845"/>
    <w:rsid w:val="0039761A"/>
    <w:rsid w:val="003A0DE6"/>
    <w:rsid w:val="003A1B51"/>
    <w:rsid w:val="003A2593"/>
    <w:rsid w:val="003A4329"/>
    <w:rsid w:val="003A4ABF"/>
    <w:rsid w:val="003A648E"/>
    <w:rsid w:val="003A66D0"/>
    <w:rsid w:val="003A7DD4"/>
    <w:rsid w:val="003B1D79"/>
    <w:rsid w:val="003B3615"/>
    <w:rsid w:val="003B384E"/>
    <w:rsid w:val="003B44BB"/>
    <w:rsid w:val="003B51DE"/>
    <w:rsid w:val="003C0071"/>
    <w:rsid w:val="003C27C4"/>
    <w:rsid w:val="003C3A3C"/>
    <w:rsid w:val="003C479C"/>
    <w:rsid w:val="003C48C5"/>
    <w:rsid w:val="003C5915"/>
    <w:rsid w:val="003C5980"/>
    <w:rsid w:val="003C6DFA"/>
    <w:rsid w:val="003D04BC"/>
    <w:rsid w:val="003D36AD"/>
    <w:rsid w:val="003D3F36"/>
    <w:rsid w:val="003D5191"/>
    <w:rsid w:val="003D60B8"/>
    <w:rsid w:val="003E24CE"/>
    <w:rsid w:val="003E3441"/>
    <w:rsid w:val="003E3941"/>
    <w:rsid w:val="003E540D"/>
    <w:rsid w:val="003E7422"/>
    <w:rsid w:val="003E7CF9"/>
    <w:rsid w:val="003E7D3D"/>
    <w:rsid w:val="003E7E0A"/>
    <w:rsid w:val="003F0439"/>
    <w:rsid w:val="003F0CBE"/>
    <w:rsid w:val="003F2817"/>
    <w:rsid w:val="003F3107"/>
    <w:rsid w:val="003F3419"/>
    <w:rsid w:val="003F3DED"/>
    <w:rsid w:val="003F57BD"/>
    <w:rsid w:val="003F5B70"/>
    <w:rsid w:val="003F7A9C"/>
    <w:rsid w:val="004018B3"/>
    <w:rsid w:val="0040323C"/>
    <w:rsid w:val="00403FBE"/>
    <w:rsid w:val="004078BB"/>
    <w:rsid w:val="004117E0"/>
    <w:rsid w:val="0041339D"/>
    <w:rsid w:val="004148A5"/>
    <w:rsid w:val="00415754"/>
    <w:rsid w:val="004162E3"/>
    <w:rsid w:val="004203DD"/>
    <w:rsid w:val="00421984"/>
    <w:rsid w:val="00421ED8"/>
    <w:rsid w:val="0042297B"/>
    <w:rsid w:val="00422D1A"/>
    <w:rsid w:val="00422F19"/>
    <w:rsid w:val="00423B48"/>
    <w:rsid w:val="00425CE6"/>
    <w:rsid w:val="00425FE9"/>
    <w:rsid w:val="00427131"/>
    <w:rsid w:val="00427D15"/>
    <w:rsid w:val="004304AE"/>
    <w:rsid w:val="00431602"/>
    <w:rsid w:val="004323E9"/>
    <w:rsid w:val="00432C65"/>
    <w:rsid w:val="004339ED"/>
    <w:rsid w:val="00433B89"/>
    <w:rsid w:val="0043466C"/>
    <w:rsid w:val="00435469"/>
    <w:rsid w:val="00435C34"/>
    <w:rsid w:val="00436F7E"/>
    <w:rsid w:val="00437947"/>
    <w:rsid w:val="0044128D"/>
    <w:rsid w:val="004419D3"/>
    <w:rsid w:val="00442BCF"/>
    <w:rsid w:val="0044337C"/>
    <w:rsid w:val="00445790"/>
    <w:rsid w:val="0044620E"/>
    <w:rsid w:val="004464AA"/>
    <w:rsid w:val="00446895"/>
    <w:rsid w:val="00450273"/>
    <w:rsid w:val="004509A5"/>
    <w:rsid w:val="00451B66"/>
    <w:rsid w:val="00452CA5"/>
    <w:rsid w:val="00453A77"/>
    <w:rsid w:val="004551F3"/>
    <w:rsid w:val="00455856"/>
    <w:rsid w:val="004563F1"/>
    <w:rsid w:val="004602EC"/>
    <w:rsid w:val="004617A6"/>
    <w:rsid w:val="0046239D"/>
    <w:rsid w:val="00462467"/>
    <w:rsid w:val="00467FE9"/>
    <w:rsid w:val="00474025"/>
    <w:rsid w:val="00474E68"/>
    <w:rsid w:val="00475E34"/>
    <w:rsid w:val="00476B67"/>
    <w:rsid w:val="0048008C"/>
    <w:rsid w:val="004809C9"/>
    <w:rsid w:val="00480BAD"/>
    <w:rsid w:val="00480C7E"/>
    <w:rsid w:val="0048184C"/>
    <w:rsid w:val="00486CF9"/>
    <w:rsid w:val="00487D95"/>
    <w:rsid w:val="0049120B"/>
    <w:rsid w:val="00492048"/>
    <w:rsid w:val="00493555"/>
    <w:rsid w:val="0049475B"/>
    <w:rsid w:val="00495AEF"/>
    <w:rsid w:val="004967A2"/>
    <w:rsid w:val="004967EC"/>
    <w:rsid w:val="00497CD3"/>
    <w:rsid w:val="004A0A9D"/>
    <w:rsid w:val="004A1B4A"/>
    <w:rsid w:val="004A2D46"/>
    <w:rsid w:val="004A3A35"/>
    <w:rsid w:val="004A46C4"/>
    <w:rsid w:val="004A6FCA"/>
    <w:rsid w:val="004A74F0"/>
    <w:rsid w:val="004B0F48"/>
    <w:rsid w:val="004B2B9D"/>
    <w:rsid w:val="004B2CFB"/>
    <w:rsid w:val="004B4489"/>
    <w:rsid w:val="004B46D2"/>
    <w:rsid w:val="004B506E"/>
    <w:rsid w:val="004C3412"/>
    <w:rsid w:val="004C4DAB"/>
    <w:rsid w:val="004C4E2A"/>
    <w:rsid w:val="004C56D1"/>
    <w:rsid w:val="004C572C"/>
    <w:rsid w:val="004C6B9C"/>
    <w:rsid w:val="004D0E10"/>
    <w:rsid w:val="004D2C76"/>
    <w:rsid w:val="004D476D"/>
    <w:rsid w:val="004D58D5"/>
    <w:rsid w:val="004D71AF"/>
    <w:rsid w:val="004D7301"/>
    <w:rsid w:val="004E43A4"/>
    <w:rsid w:val="004F12E7"/>
    <w:rsid w:val="004F1DB8"/>
    <w:rsid w:val="004F3292"/>
    <w:rsid w:val="004F3EDB"/>
    <w:rsid w:val="004F55EC"/>
    <w:rsid w:val="004F61DD"/>
    <w:rsid w:val="00501673"/>
    <w:rsid w:val="00502569"/>
    <w:rsid w:val="00502D68"/>
    <w:rsid w:val="005035F8"/>
    <w:rsid w:val="00505D2B"/>
    <w:rsid w:val="00506204"/>
    <w:rsid w:val="00511171"/>
    <w:rsid w:val="00512C1A"/>
    <w:rsid w:val="005136CC"/>
    <w:rsid w:val="00513858"/>
    <w:rsid w:val="00514B37"/>
    <w:rsid w:val="00514EEC"/>
    <w:rsid w:val="00521874"/>
    <w:rsid w:val="00521920"/>
    <w:rsid w:val="005246B1"/>
    <w:rsid w:val="00527A8C"/>
    <w:rsid w:val="00530281"/>
    <w:rsid w:val="00530B04"/>
    <w:rsid w:val="00531AF8"/>
    <w:rsid w:val="00531E03"/>
    <w:rsid w:val="0053683E"/>
    <w:rsid w:val="00537B0D"/>
    <w:rsid w:val="005403E8"/>
    <w:rsid w:val="00542990"/>
    <w:rsid w:val="00542A98"/>
    <w:rsid w:val="00542F66"/>
    <w:rsid w:val="005453C5"/>
    <w:rsid w:val="0054599C"/>
    <w:rsid w:val="00545A84"/>
    <w:rsid w:val="00547480"/>
    <w:rsid w:val="00551046"/>
    <w:rsid w:val="0055169D"/>
    <w:rsid w:val="00551EF3"/>
    <w:rsid w:val="005521E2"/>
    <w:rsid w:val="00553781"/>
    <w:rsid w:val="00553DCA"/>
    <w:rsid w:val="00554084"/>
    <w:rsid w:val="00554611"/>
    <w:rsid w:val="005565EE"/>
    <w:rsid w:val="00557E24"/>
    <w:rsid w:val="00560593"/>
    <w:rsid w:val="00560E6F"/>
    <w:rsid w:val="0056163A"/>
    <w:rsid w:val="00562217"/>
    <w:rsid w:val="00563BE5"/>
    <w:rsid w:val="005644EF"/>
    <w:rsid w:val="00567397"/>
    <w:rsid w:val="005702B7"/>
    <w:rsid w:val="0057057B"/>
    <w:rsid w:val="0057061D"/>
    <w:rsid w:val="00571DF6"/>
    <w:rsid w:val="00574FBD"/>
    <w:rsid w:val="005767B2"/>
    <w:rsid w:val="005773BB"/>
    <w:rsid w:val="00583CB2"/>
    <w:rsid w:val="00585C83"/>
    <w:rsid w:val="00586604"/>
    <w:rsid w:val="00586E35"/>
    <w:rsid w:val="005910C8"/>
    <w:rsid w:val="00597C03"/>
    <w:rsid w:val="005A1F9D"/>
    <w:rsid w:val="005A21F6"/>
    <w:rsid w:val="005A2F5D"/>
    <w:rsid w:val="005A3157"/>
    <w:rsid w:val="005A3798"/>
    <w:rsid w:val="005A5726"/>
    <w:rsid w:val="005A67E5"/>
    <w:rsid w:val="005A7302"/>
    <w:rsid w:val="005A7C16"/>
    <w:rsid w:val="005B0F9F"/>
    <w:rsid w:val="005B5BB4"/>
    <w:rsid w:val="005C2844"/>
    <w:rsid w:val="005C6D98"/>
    <w:rsid w:val="005C7190"/>
    <w:rsid w:val="005C73FB"/>
    <w:rsid w:val="005C7752"/>
    <w:rsid w:val="005C7F3F"/>
    <w:rsid w:val="005D4792"/>
    <w:rsid w:val="005D4B08"/>
    <w:rsid w:val="005D6266"/>
    <w:rsid w:val="005E189B"/>
    <w:rsid w:val="005E2187"/>
    <w:rsid w:val="005E4ABC"/>
    <w:rsid w:val="005E4FE9"/>
    <w:rsid w:val="005E5696"/>
    <w:rsid w:val="005F19E0"/>
    <w:rsid w:val="005F3DA0"/>
    <w:rsid w:val="005F57B5"/>
    <w:rsid w:val="005F5A76"/>
    <w:rsid w:val="005F71EC"/>
    <w:rsid w:val="005F7AA1"/>
    <w:rsid w:val="006009E6"/>
    <w:rsid w:val="00604FAE"/>
    <w:rsid w:val="00607605"/>
    <w:rsid w:val="0061001E"/>
    <w:rsid w:val="00610B3C"/>
    <w:rsid w:val="00612869"/>
    <w:rsid w:val="006132A6"/>
    <w:rsid w:val="006146EE"/>
    <w:rsid w:val="00617AD5"/>
    <w:rsid w:val="00622319"/>
    <w:rsid w:val="00622A39"/>
    <w:rsid w:val="00623394"/>
    <w:rsid w:val="0062416A"/>
    <w:rsid w:val="00624EFB"/>
    <w:rsid w:val="00625FB3"/>
    <w:rsid w:val="00626129"/>
    <w:rsid w:val="00632A52"/>
    <w:rsid w:val="00633BA1"/>
    <w:rsid w:val="00634414"/>
    <w:rsid w:val="00636012"/>
    <w:rsid w:val="00636987"/>
    <w:rsid w:val="006403DD"/>
    <w:rsid w:val="0064073D"/>
    <w:rsid w:val="00640AE6"/>
    <w:rsid w:val="00640BB6"/>
    <w:rsid w:val="00642FCD"/>
    <w:rsid w:val="006433B2"/>
    <w:rsid w:val="00643E1F"/>
    <w:rsid w:val="00646C25"/>
    <w:rsid w:val="00650CAA"/>
    <w:rsid w:val="00652691"/>
    <w:rsid w:val="00652DD9"/>
    <w:rsid w:val="00654145"/>
    <w:rsid w:val="006559C8"/>
    <w:rsid w:val="00657405"/>
    <w:rsid w:val="006605C2"/>
    <w:rsid w:val="00661864"/>
    <w:rsid w:val="00663837"/>
    <w:rsid w:val="00663A00"/>
    <w:rsid w:val="00663B07"/>
    <w:rsid w:val="00664FA6"/>
    <w:rsid w:val="00665845"/>
    <w:rsid w:val="0066632E"/>
    <w:rsid w:val="006706DC"/>
    <w:rsid w:val="00671BB1"/>
    <w:rsid w:val="006732B7"/>
    <w:rsid w:val="00681E5C"/>
    <w:rsid w:val="00681F38"/>
    <w:rsid w:val="006832A4"/>
    <w:rsid w:val="0068391C"/>
    <w:rsid w:val="0068419D"/>
    <w:rsid w:val="006846E9"/>
    <w:rsid w:val="00686886"/>
    <w:rsid w:val="006872DB"/>
    <w:rsid w:val="00691999"/>
    <w:rsid w:val="006953C6"/>
    <w:rsid w:val="00695ED2"/>
    <w:rsid w:val="0069784E"/>
    <w:rsid w:val="006A03E4"/>
    <w:rsid w:val="006A1022"/>
    <w:rsid w:val="006A1A83"/>
    <w:rsid w:val="006A2C4B"/>
    <w:rsid w:val="006A4819"/>
    <w:rsid w:val="006A541C"/>
    <w:rsid w:val="006A55D2"/>
    <w:rsid w:val="006A63D0"/>
    <w:rsid w:val="006B185D"/>
    <w:rsid w:val="006B42B8"/>
    <w:rsid w:val="006B50B9"/>
    <w:rsid w:val="006B6104"/>
    <w:rsid w:val="006B6E87"/>
    <w:rsid w:val="006B763D"/>
    <w:rsid w:val="006B77A6"/>
    <w:rsid w:val="006B7BC4"/>
    <w:rsid w:val="006B7EDD"/>
    <w:rsid w:val="006C1C28"/>
    <w:rsid w:val="006C1F6D"/>
    <w:rsid w:val="006C2F62"/>
    <w:rsid w:val="006C31AA"/>
    <w:rsid w:val="006C4973"/>
    <w:rsid w:val="006C5E5C"/>
    <w:rsid w:val="006D0365"/>
    <w:rsid w:val="006D037D"/>
    <w:rsid w:val="006D2068"/>
    <w:rsid w:val="006D249D"/>
    <w:rsid w:val="006D3725"/>
    <w:rsid w:val="006D4AE1"/>
    <w:rsid w:val="006D52A7"/>
    <w:rsid w:val="006D52D8"/>
    <w:rsid w:val="006D54CD"/>
    <w:rsid w:val="006D5AAB"/>
    <w:rsid w:val="006D7A90"/>
    <w:rsid w:val="006E0111"/>
    <w:rsid w:val="006E08CC"/>
    <w:rsid w:val="006E3709"/>
    <w:rsid w:val="006E3C13"/>
    <w:rsid w:val="006F0139"/>
    <w:rsid w:val="006F214B"/>
    <w:rsid w:val="006F28C7"/>
    <w:rsid w:val="006F4D73"/>
    <w:rsid w:val="006F52ED"/>
    <w:rsid w:val="007001DD"/>
    <w:rsid w:val="00700F12"/>
    <w:rsid w:val="0070443C"/>
    <w:rsid w:val="007057D3"/>
    <w:rsid w:val="00706C40"/>
    <w:rsid w:val="00706CFB"/>
    <w:rsid w:val="00711407"/>
    <w:rsid w:val="00712407"/>
    <w:rsid w:val="00712477"/>
    <w:rsid w:val="007139B2"/>
    <w:rsid w:val="00721A54"/>
    <w:rsid w:val="00721C75"/>
    <w:rsid w:val="007228DB"/>
    <w:rsid w:val="00723862"/>
    <w:rsid w:val="0072705B"/>
    <w:rsid w:val="00731859"/>
    <w:rsid w:val="00732CD0"/>
    <w:rsid w:val="00733275"/>
    <w:rsid w:val="00735A4C"/>
    <w:rsid w:val="00735CB1"/>
    <w:rsid w:val="00735CF0"/>
    <w:rsid w:val="00736D00"/>
    <w:rsid w:val="00740904"/>
    <w:rsid w:val="00741B0E"/>
    <w:rsid w:val="00741F74"/>
    <w:rsid w:val="00742672"/>
    <w:rsid w:val="00742E8A"/>
    <w:rsid w:val="007431B7"/>
    <w:rsid w:val="00745482"/>
    <w:rsid w:val="007459F5"/>
    <w:rsid w:val="00746DDC"/>
    <w:rsid w:val="007475AA"/>
    <w:rsid w:val="0075061C"/>
    <w:rsid w:val="00752B28"/>
    <w:rsid w:val="00754727"/>
    <w:rsid w:val="00754D25"/>
    <w:rsid w:val="00755961"/>
    <w:rsid w:val="00756A18"/>
    <w:rsid w:val="00757590"/>
    <w:rsid w:val="007652CE"/>
    <w:rsid w:val="0076572D"/>
    <w:rsid w:val="00765936"/>
    <w:rsid w:val="00766C83"/>
    <w:rsid w:val="00767D6C"/>
    <w:rsid w:val="0077091B"/>
    <w:rsid w:val="00770A1E"/>
    <w:rsid w:val="0077416A"/>
    <w:rsid w:val="0077569C"/>
    <w:rsid w:val="00775A32"/>
    <w:rsid w:val="00776C05"/>
    <w:rsid w:val="00777BE6"/>
    <w:rsid w:val="007816ED"/>
    <w:rsid w:val="007821CF"/>
    <w:rsid w:val="00783DAC"/>
    <w:rsid w:val="00784500"/>
    <w:rsid w:val="00785112"/>
    <w:rsid w:val="00786700"/>
    <w:rsid w:val="007878B9"/>
    <w:rsid w:val="007931BC"/>
    <w:rsid w:val="00793646"/>
    <w:rsid w:val="00794E75"/>
    <w:rsid w:val="0079521E"/>
    <w:rsid w:val="0079606B"/>
    <w:rsid w:val="00796071"/>
    <w:rsid w:val="00796D77"/>
    <w:rsid w:val="007A0CB6"/>
    <w:rsid w:val="007A1510"/>
    <w:rsid w:val="007A2A41"/>
    <w:rsid w:val="007A2B40"/>
    <w:rsid w:val="007A4D97"/>
    <w:rsid w:val="007A5289"/>
    <w:rsid w:val="007A5D2F"/>
    <w:rsid w:val="007A768C"/>
    <w:rsid w:val="007A7853"/>
    <w:rsid w:val="007B2BAC"/>
    <w:rsid w:val="007B2CAC"/>
    <w:rsid w:val="007B44FB"/>
    <w:rsid w:val="007B4F0C"/>
    <w:rsid w:val="007C0E38"/>
    <w:rsid w:val="007C1421"/>
    <w:rsid w:val="007C18E3"/>
    <w:rsid w:val="007C1DEB"/>
    <w:rsid w:val="007C459A"/>
    <w:rsid w:val="007C4E08"/>
    <w:rsid w:val="007D18E6"/>
    <w:rsid w:val="007D2F4C"/>
    <w:rsid w:val="007D3DFF"/>
    <w:rsid w:val="007D3F38"/>
    <w:rsid w:val="007D4DB8"/>
    <w:rsid w:val="007E2197"/>
    <w:rsid w:val="007E3304"/>
    <w:rsid w:val="007E4D1F"/>
    <w:rsid w:val="007F14BA"/>
    <w:rsid w:val="007F1E48"/>
    <w:rsid w:val="007F3D79"/>
    <w:rsid w:val="007F40E3"/>
    <w:rsid w:val="007F4313"/>
    <w:rsid w:val="007F4605"/>
    <w:rsid w:val="007F6C7D"/>
    <w:rsid w:val="008002D9"/>
    <w:rsid w:val="00800FE4"/>
    <w:rsid w:val="00801249"/>
    <w:rsid w:val="008026F6"/>
    <w:rsid w:val="00803F84"/>
    <w:rsid w:val="008043AC"/>
    <w:rsid w:val="00805B61"/>
    <w:rsid w:val="00806070"/>
    <w:rsid w:val="00806EE8"/>
    <w:rsid w:val="00811D89"/>
    <w:rsid w:val="00812EE9"/>
    <w:rsid w:val="00814500"/>
    <w:rsid w:val="00816A19"/>
    <w:rsid w:val="008211DF"/>
    <w:rsid w:val="00822225"/>
    <w:rsid w:val="0082269A"/>
    <w:rsid w:val="00822F77"/>
    <w:rsid w:val="0082354A"/>
    <w:rsid w:val="008255D2"/>
    <w:rsid w:val="00832ADC"/>
    <w:rsid w:val="00833AF7"/>
    <w:rsid w:val="00834023"/>
    <w:rsid w:val="008346D1"/>
    <w:rsid w:val="00835579"/>
    <w:rsid w:val="00836F9B"/>
    <w:rsid w:val="00837487"/>
    <w:rsid w:val="00840D16"/>
    <w:rsid w:val="00843B20"/>
    <w:rsid w:val="00844106"/>
    <w:rsid w:val="00844B27"/>
    <w:rsid w:val="00844D29"/>
    <w:rsid w:val="00846195"/>
    <w:rsid w:val="00846FA0"/>
    <w:rsid w:val="008479B6"/>
    <w:rsid w:val="00851FAF"/>
    <w:rsid w:val="00852E07"/>
    <w:rsid w:val="00855AA5"/>
    <w:rsid w:val="00856B9B"/>
    <w:rsid w:val="00857671"/>
    <w:rsid w:val="0086002F"/>
    <w:rsid w:val="0086032D"/>
    <w:rsid w:val="00861906"/>
    <w:rsid w:val="00861B01"/>
    <w:rsid w:val="00863F9D"/>
    <w:rsid w:val="008645F9"/>
    <w:rsid w:val="0086628A"/>
    <w:rsid w:val="00871279"/>
    <w:rsid w:val="008716A7"/>
    <w:rsid w:val="00872913"/>
    <w:rsid w:val="008734DD"/>
    <w:rsid w:val="00873F82"/>
    <w:rsid w:val="00874B7B"/>
    <w:rsid w:val="00874F25"/>
    <w:rsid w:val="00875B3F"/>
    <w:rsid w:val="00880CA5"/>
    <w:rsid w:val="008817B1"/>
    <w:rsid w:val="008832FA"/>
    <w:rsid w:val="008834BB"/>
    <w:rsid w:val="008840FA"/>
    <w:rsid w:val="008846D2"/>
    <w:rsid w:val="008862EB"/>
    <w:rsid w:val="00890F95"/>
    <w:rsid w:val="008910AC"/>
    <w:rsid w:val="0089311A"/>
    <w:rsid w:val="0089384D"/>
    <w:rsid w:val="00893A0F"/>
    <w:rsid w:val="00893B17"/>
    <w:rsid w:val="008946C3"/>
    <w:rsid w:val="008948E0"/>
    <w:rsid w:val="0089528C"/>
    <w:rsid w:val="008A0089"/>
    <w:rsid w:val="008A7C66"/>
    <w:rsid w:val="008B034D"/>
    <w:rsid w:val="008B0BBC"/>
    <w:rsid w:val="008B13FB"/>
    <w:rsid w:val="008B245C"/>
    <w:rsid w:val="008B4153"/>
    <w:rsid w:val="008B4F64"/>
    <w:rsid w:val="008B5356"/>
    <w:rsid w:val="008B609A"/>
    <w:rsid w:val="008B7927"/>
    <w:rsid w:val="008C4770"/>
    <w:rsid w:val="008C6AD1"/>
    <w:rsid w:val="008C71B5"/>
    <w:rsid w:val="008D3D2D"/>
    <w:rsid w:val="008E36B3"/>
    <w:rsid w:val="008E431F"/>
    <w:rsid w:val="008E5E12"/>
    <w:rsid w:val="008E613B"/>
    <w:rsid w:val="008F0D2A"/>
    <w:rsid w:val="008F12D4"/>
    <w:rsid w:val="008F17A0"/>
    <w:rsid w:val="008F1814"/>
    <w:rsid w:val="008F23EF"/>
    <w:rsid w:val="008F386F"/>
    <w:rsid w:val="008F48E1"/>
    <w:rsid w:val="008F5BD0"/>
    <w:rsid w:val="008F6A88"/>
    <w:rsid w:val="008F716F"/>
    <w:rsid w:val="008F7B36"/>
    <w:rsid w:val="009003FE"/>
    <w:rsid w:val="00901955"/>
    <w:rsid w:val="00903C95"/>
    <w:rsid w:val="00904272"/>
    <w:rsid w:val="009046D4"/>
    <w:rsid w:val="00904793"/>
    <w:rsid w:val="009058DB"/>
    <w:rsid w:val="009075B6"/>
    <w:rsid w:val="0091026E"/>
    <w:rsid w:val="009104F7"/>
    <w:rsid w:val="0091058D"/>
    <w:rsid w:val="00911711"/>
    <w:rsid w:val="00913858"/>
    <w:rsid w:val="00913A0F"/>
    <w:rsid w:val="00914959"/>
    <w:rsid w:val="00914BBC"/>
    <w:rsid w:val="00915CE6"/>
    <w:rsid w:val="009162DA"/>
    <w:rsid w:val="009168A1"/>
    <w:rsid w:val="00917583"/>
    <w:rsid w:val="0092106C"/>
    <w:rsid w:val="00923BC4"/>
    <w:rsid w:val="00924681"/>
    <w:rsid w:val="0092622E"/>
    <w:rsid w:val="00926605"/>
    <w:rsid w:val="00930877"/>
    <w:rsid w:val="00930D20"/>
    <w:rsid w:val="009314F2"/>
    <w:rsid w:val="00937012"/>
    <w:rsid w:val="0094003D"/>
    <w:rsid w:val="0094273F"/>
    <w:rsid w:val="009439B0"/>
    <w:rsid w:val="0094403C"/>
    <w:rsid w:val="0094555E"/>
    <w:rsid w:val="00945CB0"/>
    <w:rsid w:val="0094667E"/>
    <w:rsid w:val="00946A66"/>
    <w:rsid w:val="00946BD7"/>
    <w:rsid w:val="00951188"/>
    <w:rsid w:val="00951AF4"/>
    <w:rsid w:val="0095234F"/>
    <w:rsid w:val="00955CBA"/>
    <w:rsid w:val="00956A95"/>
    <w:rsid w:val="00960F2F"/>
    <w:rsid w:val="009634F6"/>
    <w:rsid w:val="00963B5E"/>
    <w:rsid w:val="00963FA0"/>
    <w:rsid w:val="0096491F"/>
    <w:rsid w:val="00964FCB"/>
    <w:rsid w:val="00970C80"/>
    <w:rsid w:val="00974E95"/>
    <w:rsid w:val="00975F2D"/>
    <w:rsid w:val="00976962"/>
    <w:rsid w:val="00977BF5"/>
    <w:rsid w:val="00981F74"/>
    <w:rsid w:val="00982FEE"/>
    <w:rsid w:val="0098302D"/>
    <w:rsid w:val="00987608"/>
    <w:rsid w:val="00991891"/>
    <w:rsid w:val="00993AE3"/>
    <w:rsid w:val="009943A0"/>
    <w:rsid w:val="009953BC"/>
    <w:rsid w:val="0099543E"/>
    <w:rsid w:val="009963D2"/>
    <w:rsid w:val="009A0568"/>
    <w:rsid w:val="009A0AF9"/>
    <w:rsid w:val="009A16BE"/>
    <w:rsid w:val="009A210C"/>
    <w:rsid w:val="009A2337"/>
    <w:rsid w:val="009A2E00"/>
    <w:rsid w:val="009A355A"/>
    <w:rsid w:val="009A3B09"/>
    <w:rsid w:val="009A5369"/>
    <w:rsid w:val="009A557E"/>
    <w:rsid w:val="009A5CE8"/>
    <w:rsid w:val="009A5FBE"/>
    <w:rsid w:val="009A7074"/>
    <w:rsid w:val="009A7B5A"/>
    <w:rsid w:val="009A7F79"/>
    <w:rsid w:val="009B1119"/>
    <w:rsid w:val="009B277A"/>
    <w:rsid w:val="009B2BDC"/>
    <w:rsid w:val="009B5F5D"/>
    <w:rsid w:val="009B6201"/>
    <w:rsid w:val="009B73BA"/>
    <w:rsid w:val="009C0EEA"/>
    <w:rsid w:val="009C10D9"/>
    <w:rsid w:val="009C20A2"/>
    <w:rsid w:val="009C425A"/>
    <w:rsid w:val="009C4F43"/>
    <w:rsid w:val="009C5CA7"/>
    <w:rsid w:val="009D01D1"/>
    <w:rsid w:val="009D03F8"/>
    <w:rsid w:val="009D096F"/>
    <w:rsid w:val="009D1DF4"/>
    <w:rsid w:val="009D283C"/>
    <w:rsid w:val="009D7A24"/>
    <w:rsid w:val="009E00E4"/>
    <w:rsid w:val="009E0D20"/>
    <w:rsid w:val="009E0F6B"/>
    <w:rsid w:val="009E175A"/>
    <w:rsid w:val="009E1DB3"/>
    <w:rsid w:val="009E2964"/>
    <w:rsid w:val="009E3EB3"/>
    <w:rsid w:val="009E423C"/>
    <w:rsid w:val="009E5D18"/>
    <w:rsid w:val="009E7AFF"/>
    <w:rsid w:val="009E7DCD"/>
    <w:rsid w:val="009F55F9"/>
    <w:rsid w:val="009F5CC0"/>
    <w:rsid w:val="009F6842"/>
    <w:rsid w:val="009F6F8B"/>
    <w:rsid w:val="009F7164"/>
    <w:rsid w:val="00A02F0A"/>
    <w:rsid w:val="00A06A53"/>
    <w:rsid w:val="00A06A54"/>
    <w:rsid w:val="00A103E8"/>
    <w:rsid w:val="00A1074D"/>
    <w:rsid w:val="00A10863"/>
    <w:rsid w:val="00A11172"/>
    <w:rsid w:val="00A127DD"/>
    <w:rsid w:val="00A12D4A"/>
    <w:rsid w:val="00A14E6C"/>
    <w:rsid w:val="00A16482"/>
    <w:rsid w:val="00A167EC"/>
    <w:rsid w:val="00A16D01"/>
    <w:rsid w:val="00A172E6"/>
    <w:rsid w:val="00A17D1C"/>
    <w:rsid w:val="00A209A2"/>
    <w:rsid w:val="00A20CBF"/>
    <w:rsid w:val="00A24C8D"/>
    <w:rsid w:val="00A2542A"/>
    <w:rsid w:val="00A25718"/>
    <w:rsid w:val="00A26F15"/>
    <w:rsid w:val="00A277D0"/>
    <w:rsid w:val="00A30E37"/>
    <w:rsid w:val="00A32930"/>
    <w:rsid w:val="00A34641"/>
    <w:rsid w:val="00A34674"/>
    <w:rsid w:val="00A3494F"/>
    <w:rsid w:val="00A35CD2"/>
    <w:rsid w:val="00A35CF8"/>
    <w:rsid w:val="00A35F44"/>
    <w:rsid w:val="00A360E7"/>
    <w:rsid w:val="00A400FB"/>
    <w:rsid w:val="00A43C4F"/>
    <w:rsid w:val="00A443D1"/>
    <w:rsid w:val="00A456B3"/>
    <w:rsid w:val="00A47BFE"/>
    <w:rsid w:val="00A50DBA"/>
    <w:rsid w:val="00A51808"/>
    <w:rsid w:val="00A51D78"/>
    <w:rsid w:val="00A51EA8"/>
    <w:rsid w:val="00A549C3"/>
    <w:rsid w:val="00A55E10"/>
    <w:rsid w:val="00A561A8"/>
    <w:rsid w:val="00A562A6"/>
    <w:rsid w:val="00A60011"/>
    <w:rsid w:val="00A63635"/>
    <w:rsid w:val="00A64106"/>
    <w:rsid w:val="00A6703C"/>
    <w:rsid w:val="00A7007B"/>
    <w:rsid w:val="00A71623"/>
    <w:rsid w:val="00A73BD7"/>
    <w:rsid w:val="00A82768"/>
    <w:rsid w:val="00A84B87"/>
    <w:rsid w:val="00A84D4B"/>
    <w:rsid w:val="00A84FD0"/>
    <w:rsid w:val="00A8592D"/>
    <w:rsid w:val="00A8629D"/>
    <w:rsid w:val="00A90D08"/>
    <w:rsid w:val="00A93FFF"/>
    <w:rsid w:val="00A95196"/>
    <w:rsid w:val="00A95746"/>
    <w:rsid w:val="00A95A8F"/>
    <w:rsid w:val="00A96D45"/>
    <w:rsid w:val="00A97045"/>
    <w:rsid w:val="00A973EE"/>
    <w:rsid w:val="00AA18DD"/>
    <w:rsid w:val="00AA1F91"/>
    <w:rsid w:val="00AA3687"/>
    <w:rsid w:val="00AA4A07"/>
    <w:rsid w:val="00AA5CE1"/>
    <w:rsid w:val="00AB184B"/>
    <w:rsid w:val="00AB2D9E"/>
    <w:rsid w:val="00AB4404"/>
    <w:rsid w:val="00AB603C"/>
    <w:rsid w:val="00AC0375"/>
    <w:rsid w:val="00AC154C"/>
    <w:rsid w:val="00AC21EE"/>
    <w:rsid w:val="00AC3B22"/>
    <w:rsid w:val="00AC4101"/>
    <w:rsid w:val="00AC5597"/>
    <w:rsid w:val="00AC71C4"/>
    <w:rsid w:val="00AD0116"/>
    <w:rsid w:val="00AD1AD4"/>
    <w:rsid w:val="00AD1B42"/>
    <w:rsid w:val="00AD2871"/>
    <w:rsid w:val="00AD322C"/>
    <w:rsid w:val="00AD4B84"/>
    <w:rsid w:val="00AD5D06"/>
    <w:rsid w:val="00AE23BE"/>
    <w:rsid w:val="00AE2EAC"/>
    <w:rsid w:val="00AE2EBA"/>
    <w:rsid w:val="00AE5772"/>
    <w:rsid w:val="00AF07E7"/>
    <w:rsid w:val="00AF0AC0"/>
    <w:rsid w:val="00AF16E0"/>
    <w:rsid w:val="00AF4CA9"/>
    <w:rsid w:val="00AF5B52"/>
    <w:rsid w:val="00AF7879"/>
    <w:rsid w:val="00B00818"/>
    <w:rsid w:val="00B008BF"/>
    <w:rsid w:val="00B052BA"/>
    <w:rsid w:val="00B07460"/>
    <w:rsid w:val="00B1022B"/>
    <w:rsid w:val="00B10338"/>
    <w:rsid w:val="00B1151C"/>
    <w:rsid w:val="00B11E06"/>
    <w:rsid w:val="00B13099"/>
    <w:rsid w:val="00B1397D"/>
    <w:rsid w:val="00B16978"/>
    <w:rsid w:val="00B16BE4"/>
    <w:rsid w:val="00B17EBB"/>
    <w:rsid w:val="00B237C6"/>
    <w:rsid w:val="00B24A6F"/>
    <w:rsid w:val="00B260D9"/>
    <w:rsid w:val="00B278DB"/>
    <w:rsid w:val="00B30D4F"/>
    <w:rsid w:val="00B30D5C"/>
    <w:rsid w:val="00B3434E"/>
    <w:rsid w:val="00B34A3E"/>
    <w:rsid w:val="00B351FD"/>
    <w:rsid w:val="00B35BFD"/>
    <w:rsid w:val="00B40B13"/>
    <w:rsid w:val="00B421F2"/>
    <w:rsid w:val="00B42822"/>
    <w:rsid w:val="00B42C54"/>
    <w:rsid w:val="00B4395A"/>
    <w:rsid w:val="00B4553E"/>
    <w:rsid w:val="00B45901"/>
    <w:rsid w:val="00B4610D"/>
    <w:rsid w:val="00B46773"/>
    <w:rsid w:val="00B47091"/>
    <w:rsid w:val="00B47E14"/>
    <w:rsid w:val="00B500F9"/>
    <w:rsid w:val="00B52BB4"/>
    <w:rsid w:val="00B54256"/>
    <w:rsid w:val="00B545F4"/>
    <w:rsid w:val="00B56303"/>
    <w:rsid w:val="00B56D7B"/>
    <w:rsid w:val="00B573DA"/>
    <w:rsid w:val="00B57599"/>
    <w:rsid w:val="00B57FB2"/>
    <w:rsid w:val="00B607B6"/>
    <w:rsid w:val="00B61F2F"/>
    <w:rsid w:val="00B63199"/>
    <w:rsid w:val="00B64F62"/>
    <w:rsid w:val="00B65321"/>
    <w:rsid w:val="00B65D3A"/>
    <w:rsid w:val="00B66898"/>
    <w:rsid w:val="00B67AB6"/>
    <w:rsid w:val="00B7164C"/>
    <w:rsid w:val="00B71BA8"/>
    <w:rsid w:val="00B72CBC"/>
    <w:rsid w:val="00B807AB"/>
    <w:rsid w:val="00B80F53"/>
    <w:rsid w:val="00B8152D"/>
    <w:rsid w:val="00B82E26"/>
    <w:rsid w:val="00B910F3"/>
    <w:rsid w:val="00B91A7C"/>
    <w:rsid w:val="00B93DB5"/>
    <w:rsid w:val="00B93F2D"/>
    <w:rsid w:val="00B95781"/>
    <w:rsid w:val="00B95AC6"/>
    <w:rsid w:val="00B95FBC"/>
    <w:rsid w:val="00B97C44"/>
    <w:rsid w:val="00BA05AE"/>
    <w:rsid w:val="00BA22F7"/>
    <w:rsid w:val="00BA2FA3"/>
    <w:rsid w:val="00BA46E0"/>
    <w:rsid w:val="00BA6418"/>
    <w:rsid w:val="00BA7D18"/>
    <w:rsid w:val="00BB0704"/>
    <w:rsid w:val="00BB3A8F"/>
    <w:rsid w:val="00BB4412"/>
    <w:rsid w:val="00BB5572"/>
    <w:rsid w:val="00BC2214"/>
    <w:rsid w:val="00BC2543"/>
    <w:rsid w:val="00BC2A83"/>
    <w:rsid w:val="00BD0D15"/>
    <w:rsid w:val="00BD33EA"/>
    <w:rsid w:val="00BD5425"/>
    <w:rsid w:val="00BE06A4"/>
    <w:rsid w:val="00BE5E8F"/>
    <w:rsid w:val="00BF0332"/>
    <w:rsid w:val="00BF2BFE"/>
    <w:rsid w:val="00BF5FCC"/>
    <w:rsid w:val="00C0244F"/>
    <w:rsid w:val="00C0256C"/>
    <w:rsid w:val="00C069A2"/>
    <w:rsid w:val="00C069EC"/>
    <w:rsid w:val="00C10056"/>
    <w:rsid w:val="00C1628E"/>
    <w:rsid w:val="00C17416"/>
    <w:rsid w:val="00C1748F"/>
    <w:rsid w:val="00C201F2"/>
    <w:rsid w:val="00C21125"/>
    <w:rsid w:val="00C221D5"/>
    <w:rsid w:val="00C2280A"/>
    <w:rsid w:val="00C23D12"/>
    <w:rsid w:val="00C2652B"/>
    <w:rsid w:val="00C30598"/>
    <w:rsid w:val="00C343EA"/>
    <w:rsid w:val="00C37145"/>
    <w:rsid w:val="00C37B98"/>
    <w:rsid w:val="00C45360"/>
    <w:rsid w:val="00C45648"/>
    <w:rsid w:val="00C45C85"/>
    <w:rsid w:val="00C45D69"/>
    <w:rsid w:val="00C46744"/>
    <w:rsid w:val="00C50281"/>
    <w:rsid w:val="00C51198"/>
    <w:rsid w:val="00C51681"/>
    <w:rsid w:val="00C533E6"/>
    <w:rsid w:val="00C54DA2"/>
    <w:rsid w:val="00C56730"/>
    <w:rsid w:val="00C6024F"/>
    <w:rsid w:val="00C60CE3"/>
    <w:rsid w:val="00C61FFE"/>
    <w:rsid w:val="00C63D95"/>
    <w:rsid w:val="00C64B94"/>
    <w:rsid w:val="00C650AE"/>
    <w:rsid w:val="00C7064F"/>
    <w:rsid w:val="00C7070C"/>
    <w:rsid w:val="00C72DC1"/>
    <w:rsid w:val="00C7380E"/>
    <w:rsid w:val="00C739BF"/>
    <w:rsid w:val="00C7647E"/>
    <w:rsid w:val="00C76C24"/>
    <w:rsid w:val="00C80E3F"/>
    <w:rsid w:val="00C81BD1"/>
    <w:rsid w:val="00C8399F"/>
    <w:rsid w:val="00C85C21"/>
    <w:rsid w:val="00C8756C"/>
    <w:rsid w:val="00C90663"/>
    <w:rsid w:val="00C90E2B"/>
    <w:rsid w:val="00C92E70"/>
    <w:rsid w:val="00C93DCA"/>
    <w:rsid w:val="00C93E64"/>
    <w:rsid w:val="00CA071B"/>
    <w:rsid w:val="00CA0DD1"/>
    <w:rsid w:val="00CA304C"/>
    <w:rsid w:val="00CA5466"/>
    <w:rsid w:val="00CA734B"/>
    <w:rsid w:val="00CB0475"/>
    <w:rsid w:val="00CB1B1E"/>
    <w:rsid w:val="00CB1DB5"/>
    <w:rsid w:val="00CB2C4F"/>
    <w:rsid w:val="00CB3583"/>
    <w:rsid w:val="00CB4218"/>
    <w:rsid w:val="00CB4540"/>
    <w:rsid w:val="00CB6A8C"/>
    <w:rsid w:val="00CC34FF"/>
    <w:rsid w:val="00CC44F0"/>
    <w:rsid w:val="00CC6DB2"/>
    <w:rsid w:val="00CD0E5B"/>
    <w:rsid w:val="00CD0FE9"/>
    <w:rsid w:val="00CD29E4"/>
    <w:rsid w:val="00CD396E"/>
    <w:rsid w:val="00CD3C38"/>
    <w:rsid w:val="00CD46F6"/>
    <w:rsid w:val="00CD5104"/>
    <w:rsid w:val="00CD6046"/>
    <w:rsid w:val="00CD60D3"/>
    <w:rsid w:val="00CE06A5"/>
    <w:rsid w:val="00CE0DF1"/>
    <w:rsid w:val="00CE202E"/>
    <w:rsid w:val="00CE2229"/>
    <w:rsid w:val="00CE28F2"/>
    <w:rsid w:val="00CE374E"/>
    <w:rsid w:val="00CE475A"/>
    <w:rsid w:val="00CF0534"/>
    <w:rsid w:val="00CF3FF0"/>
    <w:rsid w:val="00CF41AF"/>
    <w:rsid w:val="00CF4567"/>
    <w:rsid w:val="00CF53AB"/>
    <w:rsid w:val="00CF6815"/>
    <w:rsid w:val="00D04520"/>
    <w:rsid w:val="00D04D3D"/>
    <w:rsid w:val="00D06C45"/>
    <w:rsid w:val="00D101C7"/>
    <w:rsid w:val="00D1143A"/>
    <w:rsid w:val="00D11B02"/>
    <w:rsid w:val="00D1202C"/>
    <w:rsid w:val="00D12617"/>
    <w:rsid w:val="00D12AFE"/>
    <w:rsid w:val="00D16DDF"/>
    <w:rsid w:val="00D16E24"/>
    <w:rsid w:val="00D171B6"/>
    <w:rsid w:val="00D17F75"/>
    <w:rsid w:val="00D20486"/>
    <w:rsid w:val="00D211F3"/>
    <w:rsid w:val="00D228D8"/>
    <w:rsid w:val="00D31439"/>
    <w:rsid w:val="00D33677"/>
    <w:rsid w:val="00D36BDD"/>
    <w:rsid w:val="00D3706F"/>
    <w:rsid w:val="00D373EC"/>
    <w:rsid w:val="00D4180D"/>
    <w:rsid w:val="00D41B01"/>
    <w:rsid w:val="00D42875"/>
    <w:rsid w:val="00D42B44"/>
    <w:rsid w:val="00D4390C"/>
    <w:rsid w:val="00D44A14"/>
    <w:rsid w:val="00D46E0B"/>
    <w:rsid w:val="00D47738"/>
    <w:rsid w:val="00D47A1A"/>
    <w:rsid w:val="00D47D36"/>
    <w:rsid w:val="00D502EB"/>
    <w:rsid w:val="00D51A9B"/>
    <w:rsid w:val="00D51D95"/>
    <w:rsid w:val="00D53EC6"/>
    <w:rsid w:val="00D5545A"/>
    <w:rsid w:val="00D55A00"/>
    <w:rsid w:val="00D56F77"/>
    <w:rsid w:val="00D60DB3"/>
    <w:rsid w:val="00D61E9F"/>
    <w:rsid w:val="00D62CC8"/>
    <w:rsid w:val="00D63232"/>
    <w:rsid w:val="00D6402F"/>
    <w:rsid w:val="00D64983"/>
    <w:rsid w:val="00D7047A"/>
    <w:rsid w:val="00D719E9"/>
    <w:rsid w:val="00D72225"/>
    <w:rsid w:val="00D73550"/>
    <w:rsid w:val="00D838F7"/>
    <w:rsid w:val="00D845DA"/>
    <w:rsid w:val="00D8479E"/>
    <w:rsid w:val="00D868F1"/>
    <w:rsid w:val="00D87EFF"/>
    <w:rsid w:val="00D90F47"/>
    <w:rsid w:val="00D91AE6"/>
    <w:rsid w:val="00D941E0"/>
    <w:rsid w:val="00D95840"/>
    <w:rsid w:val="00DA1603"/>
    <w:rsid w:val="00DA2B67"/>
    <w:rsid w:val="00DA3C9A"/>
    <w:rsid w:val="00DA4C34"/>
    <w:rsid w:val="00DA554C"/>
    <w:rsid w:val="00DA589B"/>
    <w:rsid w:val="00DA5980"/>
    <w:rsid w:val="00DA5BF6"/>
    <w:rsid w:val="00DA5F07"/>
    <w:rsid w:val="00DA6C19"/>
    <w:rsid w:val="00DB0EF6"/>
    <w:rsid w:val="00DB2668"/>
    <w:rsid w:val="00DB2CE5"/>
    <w:rsid w:val="00DB42FB"/>
    <w:rsid w:val="00DB520B"/>
    <w:rsid w:val="00DB7AEE"/>
    <w:rsid w:val="00DC04E4"/>
    <w:rsid w:val="00DC1187"/>
    <w:rsid w:val="00DC39C4"/>
    <w:rsid w:val="00DC4568"/>
    <w:rsid w:val="00DC6AFC"/>
    <w:rsid w:val="00DC6D29"/>
    <w:rsid w:val="00DD0910"/>
    <w:rsid w:val="00DD0941"/>
    <w:rsid w:val="00DD0CC5"/>
    <w:rsid w:val="00DD12F1"/>
    <w:rsid w:val="00DD1C47"/>
    <w:rsid w:val="00DD2826"/>
    <w:rsid w:val="00DD3BCF"/>
    <w:rsid w:val="00DD49FE"/>
    <w:rsid w:val="00DD643B"/>
    <w:rsid w:val="00DD6B5E"/>
    <w:rsid w:val="00DE0602"/>
    <w:rsid w:val="00DE0E3C"/>
    <w:rsid w:val="00DE13E8"/>
    <w:rsid w:val="00DE4BF6"/>
    <w:rsid w:val="00DE52A5"/>
    <w:rsid w:val="00DE5325"/>
    <w:rsid w:val="00DE5D46"/>
    <w:rsid w:val="00DE69D0"/>
    <w:rsid w:val="00DE7070"/>
    <w:rsid w:val="00DE77A3"/>
    <w:rsid w:val="00DF02F6"/>
    <w:rsid w:val="00DF0993"/>
    <w:rsid w:val="00DF163F"/>
    <w:rsid w:val="00DF21B8"/>
    <w:rsid w:val="00DF284F"/>
    <w:rsid w:val="00DF31EE"/>
    <w:rsid w:val="00DF3395"/>
    <w:rsid w:val="00DF6547"/>
    <w:rsid w:val="00DF7681"/>
    <w:rsid w:val="00E00443"/>
    <w:rsid w:val="00E02D36"/>
    <w:rsid w:val="00E03431"/>
    <w:rsid w:val="00E04625"/>
    <w:rsid w:val="00E04E43"/>
    <w:rsid w:val="00E05E74"/>
    <w:rsid w:val="00E065D9"/>
    <w:rsid w:val="00E0684E"/>
    <w:rsid w:val="00E1050E"/>
    <w:rsid w:val="00E1241D"/>
    <w:rsid w:val="00E13D0D"/>
    <w:rsid w:val="00E149CE"/>
    <w:rsid w:val="00E16AC4"/>
    <w:rsid w:val="00E17C58"/>
    <w:rsid w:val="00E20E7B"/>
    <w:rsid w:val="00E2178D"/>
    <w:rsid w:val="00E2263B"/>
    <w:rsid w:val="00E2282A"/>
    <w:rsid w:val="00E22DDE"/>
    <w:rsid w:val="00E23958"/>
    <w:rsid w:val="00E23AD4"/>
    <w:rsid w:val="00E23BEC"/>
    <w:rsid w:val="00E23EC3"/>
    <w:rsid w:val="00E24E4D"/>
    <w:rsid w:val="00E25D14"/>
    <w:rsid w:val="00E25F8C"/>
    <w:rsid w:val="00E2618B"/>
    <w:rsid w:val="00E267F1"/>
    <w:rsid w:val="00E26938"/>
    <w:rsid w:val="00E27EDD"/>
    <w:rsid w:val="00E3704F"/>
    <w:rsid w:val="00E42772"/>
    <w:rsid w:val="00E44F08"/>
    <w:rsid w:val="00E528AF"/>
    <w:rsid w:val="00E53131"/>
    <w:rsid w:val="00E5420A"/>
    <w:rsid w:val="00E5518E"/>
    <w:rsid w:val="00E56222"/>
    <w:rsid w:val="00E566D8"/>
    <w:rsid w:val="00E57743"/>
    <w:rsid w:val="00E577C9"/>
    <w:rsid w:val="00E62DD3"/>
    <w:rsid w:val="00E641D8"/>
    <w:rsid w:val="00E64B11"/>
    <w:rsid w:val="00E669B7"/>
    <w:rsid w:val="00E66D8F"/>
    <w:rsid w:val="00E6742D"/>
    <w:rsid w:val="00E7098E"/>
    <w:rsid w:val="00E71707"/>
    <w:rsid w:val="00E71EF1"/>
    <w:rsid w:val="00E73017"/>
    <w:rsid w:val="00E731C6"/>
    <w:rsid w:val="00E740C4"/>
    <w:rsid w:val="00E74686"/>
    <w:rsid w:val="00E74750"/>
    <w:rsid w:val="00E76686"/>
    <w:rsid w:val="00E80520"/>
    <w:rsid w:val="00E818D4"/>
    <w:rsid w:val="00E81BD0"/>
    <w:rsid w:val="00E81D4A"/>
    <w:rsid w:val="00E8297B"/>
    <w:rsid w:val="00E83C98"/>
    <w:rsid w:val="00E840FE"/>
    <w:rsid w:val="00E847DC"/>
    <w:rsid w:val="00E84DBD"/>
    <w:rsid w:val="00E873A0"/>
    <w:rsid w:val="00E90A99"/>
    <w:rsid w:val="00E9124C"/>
    <w:rsid w:val="00E9128A"/>
    <w:rsid w:val="00E91BFD"/>
    <w:rsid w:val="00E91C15"/>
    <w:rsid w:val="00E93BF9"/>
    <w:rsid w:val="00E943E8"/>
    <w:rsid w:val="00E945CE"/>
    <w:rsid w:val="00E94FAF"/>
    <w:rsid w:val="00E96293"/>
    <w:rsid w:val="00E96E5C"/>
    <w:rsid w:val="00E97091"/>
    <w:rsid w:val="00EA0340"/>
    <w:rsid w:val="00EA0528"/>
    <w:rsid w:val="00EA0B53"/>
    <w:rsid w:val="00EA0C10"/>
    <w:rsid w:val="00EA17FD"/>
    <w:rsid w:val="00EA347E"/>
    <w:rsid w:val="00EA4E02"/>
    <w:rsid w:val="00EA6276"/>
    <w:rsid w:val="00EA6533"/>
    <w:rsid w:val="00EB048C"/>
    <w:rsid w:val="00EB1599"/>
    <w:rsid w:val="00EB2C67"/>
    <w:rsid w:val="00EB367C"/>
    <w:rsid w:val="00EB43BA"/>
    <w:rsid w:val="00EB46D0"/>
    <w:rsid w:val="00EB4700"/>
    <w:rsid w:val="00EB4927"/>
    <w:rsid w:val="00EB7F72"/>
    <w:rsid w:val="00EC4357"/>
    <w:rsid w:val="00EC49A4"/>
    <w:rsid w:val="00EC4B0D"/>
    <w:rsid w:val="00EC4EF3"/>
    <w:rsid w:val="00ED16C8"/>
    <w:rsid w:val="00ED20C9"/>
    <w:rsid w:val="00ED21EE"/>
    <w:rsid w:val="00ED37E1"/>
    <w:rsid w:val="00ED3B31"/>
    <w:rsid w:val="00ED4EC4"/>
    <w:rsid w:val="00ED6C04"/>
    <w:rsid w:val="00EE04B4"/>
    <w:rsid w:val="00EE3912"/>
    <w:rsid w:val="00EE4040"/>
    <w:rsid w:val="00EE4094"/>
    <w:rsid w:val="00EE453D"/>
    <w:rsid w:val="00EE4D57"/>
    <w:rsid w:val="00EE53FF"/>
    <w:rsid w:val="00EE5E83"/>
    <w:rsid w:val="00EE6954"/>
    <w:rsid w:val="00EE7092"/>
    <w:rsid w:val="00EF2F5C"/>
    <w:rsid w:val="00EF52E2"/>
    <w:rsid w:val="00EF7590"/>
    <w:rsid w:val="00F02000"/>
    <w:rsid w:val="00F0231D"/>
    <w:rsid w:val="00F024CA"/>
    <w:rsid w:val="00F027AA"/>
    <w:rsid w:val="00F03117"/>
    <w:rsid w:val="00F03373"/>
    <w:rsid w:val="00F0354F"/>
    <w:rsid w:val="00F06C92"/>
    <w:rsid w:val="00F07B96"/>
    <w:rsid w:val="00F1013F"/>
    <w:rsid w:val="00F10A99"/>
    <w:rsid w:val="00F138A2"/>
    <w:rsid w:val="00F14C80"/>
    <w:rsid w:val="00F154EB"/>
    <w:rsid w:val="00F1764E"/>
    <w:rsid w:val="00F20632"/>
    <w:rsid w:val="00F20E56"/>
    <w:rsid w:val="00F23738"/>
    <w:rsid w:val="00F30846"/>
    <w:rsid w:val="00F30CAB"/>
    <w:rsid w:val="00F32479"/>
    <w:rsid w:val="00F327DF"/>
    <w:rsid w:val="00F32E2C"/>
    <w:rsid w:val="00F33121"/>
    <w:rsid w:val="00F33769"/>
    <w:rsid w:val="00F356D2"/>
    <w:rsid w:val="00F358DA"/>
    <w:rsid w:val="00F3608C"/>
    <w:rsid w:val="00F36DEB"/>
    <w:rsid w:val="00F406FD"/>
    <w:rsid w:val="00F40D24"/>
    <w:rsid w:val="00F414D0"/>
    <w:rsid w:val="00F43059"/>
    <w:rsid w:val="00F4722B"/>
    <w:rsid w:val="00F47D9D"/>
    <w:rsid w:val="00F50558"/>
    <w:rsid w:val="00F50A8E"/>
    <w:rsid w:val="00F522A8"/>
    <w:rsid w:val="00F544D2"/>
    <w:rsid w:val="00F55847"/>
    <w:rsid w:val="00F57142"/>
    <w:rsid w:val="00F5756D"/>
    <w:rsid w:val="00F62D81"/>
    <w:rsid w:val="00F62F79"/>
    <w:rsid w:val="00F630A2"/>
    <w:rsid w:val="00F643B2"/>
    <w:rsid w:val="00F652AB"/>
    <w:rsid w:val="00F65942"/>
    <w:rsid w:val="00F65BE2"/>
    <w:rsid w:val="00F65E84"/>
    <w:rsid w:val="00F66BFD"/>
    <w:rsid w:val="00F67651"/>
    <w:rsid w:val="00F7225A"/>
    <w:rsid w:val="00F72AA0"/>
    <w:rsid w:val="00F761F7"/>
    <w:rsid w:val="00F76A40"/>
    <w:rsid w:val="00F77282"/>
    <w:rsid w:val="00F808C4"/>
    <w:rsid w:val="00F80C07"/>
    <w:rsid w:val="00F814BB"/>
    <w:rsid w:val="00F85BC0"/>
    <w:rsid w:val="00F86796"/>
    <w:rsid w:val="00F87264"/>
    <w:rsid w:val="00F908E9"/>
    <w:rsid w:val="00F96295"/>
    <w:rsid w:val="00F96D19"/>
    <w:rsid w:val="00FA56D6"/>
    <w:rsid w:val="00FA595F"/>
    <w:rsid w:val="00FA5F99"/>
    <w:rsid w:val="00FA6C24"/>
    <w:rsid w:val="00FB338F"/>
    <w:rsid w:val="00FB3BA5"/>
    <w:rsid w:val="00FB5298"/>
    <w:rsid w:val="00FB651A"/>
    <w:rsid w:val="00FC0CB3"/>
    <w:rsid w:val="00FC2999"/>
    <w:rsid w:val="00FC5465"/>
    <w:rsid w:val="00FC697F"/>
    <w:rsid w:val="00FC765F"/>
    <w:rsid w:val="00FD1861"/>
    <w:rsid w:val="00FD3DCC"/>
    <w:rsid w:val="00FD3F5C"/>
    <w:rsid w:val="00FD49E8"/>
    <w:rsid w:val="00FD5375"/>
    <w:rsid w:val="00FD5B82"/>
    <w:rsid w:val="00FD61A3"/>
    <w:rsid w:val="00FD66C9"/>
    <w:rsid w:val="00FD7446"/>
    <w:rsid w:val="00FD79F6"/>
    <w:rsid w:val="00FE0371"/>
    <w:rsid w:val="00FE1258"/>
    <w:rsid w:val="00FE2025"/>
    <w:rsid w:val="00FE31D0"/>
    <w:rsid w:val="00FE3581"/>
    <w:rsid w:val="00FE7A3F"/>
    <w:rsid w:val="00FF10F6"/>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EndnoteTextChar">
    <w:name w:val="Endnote Text Char"/>
    <w:basedOn w:val="DefaultParagraphFont"/>
    <w:link w:val="EndnoteText"/>
    <w:rsid w:val="0037707D"/>
  </w:style>
  <w:style w:type="paragraph" w:styleId="ListParagraph">
    <w:name w:val="List Paragraph"/>
    <w:basedOn w:val="Normal"/>
    <w:uiPriority w:val="34"/>
    <w:qFormat/>
    <w:rsid w:val="00CB4218"/>
    <w:pPr>
      <w:ind w:left="720"/>
      <w:contextualSpacing/>
    </w:pPr>
  </w:style>
  <w:style w:type="character" w:styleId="PlaceholderText">
    <w:name w:val="Placeholder Text"/>
    <w:basedOn w:val="DefaultParagraphFont"/>
    <w:uiPriority w:val="99"/>
    <w:semiHidden/>
    <w:rsid w:val="00322FB9"/>
    <w:rPr>
      <w:color w:val="808080"/>
    </w:rPr>
  </w:style>
  <w:style w:type="character" w:customStyle="1" w:styleId="breadcrumbs">
    <w:name w:val="breadcrumbs"/>
    <w:rsid w:val="00FA5F99"/>
  </w:style>
  <w:style w:type="table" w:customStyle="1" w:styleId="TableGrid1">
    <w:name w:val="Table Grid1"/>
    <w:basedOn w:val="TableNormal"/>
    <w:next w:val="TableGrid"/>
    <w:rsid w:val="005C7190"/>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EndnoteTextChar">
    <w:name w:val="Endnote Text Char"/>
    <w:basedOn w:val="DefaultParagraphFont"/>
    <w:link w:val="EndnoteText"/>
    <w:rsid w:val="0037707D"/>
  </w:style>
  <w:style w:type="paragraph" w:styleId="ListParagraph">
    <w:name w:val="List Paragraph"/>
    <w:basedOn w:val="Normal"/>
    <w:uiPriority w:val="34"/>
    <w:qFormat/>
    <w:rsid w:val="00CB4218"/>
    <w:pPr>
      <w:ind w:left="720"/>
      <w:contextualSpacing/>
    </w:pPr>
  </w:style>
  <w:style w:type="character" w:styleId="PlaceholderText">
    <w:name w:val="Placeholder Text"/>
    <w:basedOn w:val="DefaultParagraphFont"/>
    <w:uiPriority w:val="99"/>
    <w:semiHidden/>
    <w:rsid w:val="00322FB9"/>
    <w:rPr>
      <w:color w:val="808080"/>
    </w:rPr>
  </w:style>
  <w:style w:type="character" w:customStyle="1" w:styleId="breadcrumbs">
    <w:name w:val="breadcrumbs"/>
    <w:rsid w:val="00FA5F99"/>
  </w:style>
  <w:style w:type="table" w:customStyle="1" w:styleId="TableGrid1">
    <w:name w:val="Table Grid1"/>
    <w:basedOn w:val="TableNormal"/>
    <w:next w:val="TableGrid"/>
    <w:rsid w:val="005C7190"/>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70135">
      <w:bodyDiv w:val="1"/>
      <w:marLeft w:val="0"/>
      <w:marRight w:val="0"/>
      <w:marTop w:val="0"/>
      <w:marBottom w:val="0"/>
      <w:divBdr>
        <w:top w:val="none" w:sz="0" w:space="0" w:color="auto"/>
        <w:left w:val="none" w:sz="0" w:space="0" w:color="auto"/>
        <w:bottom w:val="none" w:sz="0" w:space="0" w:color="auto"/>
        <w:right w:val="none" w:sz="0" w:space="0" w:color="auto"/>
      </w:divBdr>
    </w:div>
    <w:div w:id="88045188">
      <w:bodyDiv w:val="1"/>
      <w:marLeft w:val="0"/>
      <w:marRight w:val="0"/>
      <w:marTop w:val="0"/>
      <w:marBottom w:val="0"/>
      <w:divBdr>
        <w:top w:val="none" w:sz="0" w:space="0" w:color="auto"/>
        <w:left w:val="none" w:sz="0" w:space="0" w:color="auto"/>
        <w:bottom w:val="none" w:sz="0" w:space="0" w:color="auto"/>
        <w:right w:val="none" w:sz="0" w:space="0" w:color="auto"/>
      </w:divBdr>
    </w:div>
    <w:div w:id="90707435">
      <w:bodyDiv w:val="1"/>
      <w:marLeft w:val="0"/>
      <w:marRight w:val="0"/>
      <w:marTop w:val="0"/>
      <w:marBottom w:val="0"/>
      <w:divBdr>
        <w:top w:val="none" w:sz="0" w:space="0" w:color="auto"/>
        <w:left w:val="none" w:sz="0" w:space="0" w:color="auto"/>
        <w:bottom w:val="none" w:sz="0" w:space="0" w:color="auto"/>
        <w:right w:val="none" w:sz="0" w:space="0" w:color="auto"/>
      </w:divBdr>
    </w:div>
    <w:div w:id="97917201">
      <w:bodyDiv w:val="1"/>
      <w:marLeft w:val="0"/>
      <w:marRight w:val="0"/>
      <w:marTop w:val="0"/>
      <w:marBottom w:val="0"/>
      <w:divBdr>
        <w:top w:val="none" w:sz="0" w:space="0" w:color="auto"/>
        <w:left w:val="none" w:sz="0" w:space="0" w:color="auto"/>
        <w:bottom w:val="none" w:sz="0" w:space="0" w:color="auto"/>
        <w:right w:val="none" w:sz="0" w:space="0" w:color="auto"/>
      </w:divBdr>
    </w:div>
    <w:div w:id="175658936">
      <w:bodyDiv w:val="1"/>
      <w:marLeft w:val="0"/>
      <w:marRight w:val="0"/>
      <w:marTop w:val="0"/>
      <w:marBottom w:val="0"/>
      <w:divBdr>
        <w:top w:val="none" w:sz="0" w:space="0" w:color="auto"/>
        <w:left w:val="none" w:sz="0" w:space="0" w:color="auto"/>
        <w:bottom w:val="none" w:sz="0" w:space="0" w:color="auto"/>
        <w:right w:val="none" w:sz="0" w:space="0" w:color="auto"/>
      </w:divBdr>
    </w:div>
    <w:div w:id="205796326">
      <w:bodyDiv w:val="1"/>
      <w:marLeft w:val="0"/>
      <w:marRight w:val="0"/>
      <w:marTop w:val="0"/>
      <w:marBottom w:val="0"/>
      <w:divBdr>
        <w:top w:val="none" w:sz="0" w:space="0" w:color="auto"/>
        <w:left w:val="none" w:sz="0" w:space="0" w:color="auto"/>
        <w:bottom w:val="none" w:sz="0" w:space="0" w:color="auto"/>
        <w:right w:val="none" w:sz="0" w:space="0" w:color="auto"/>
      </w:divBdr>
    </w:div>
    <w:div w:id="286670423">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373500703">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899561381">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363631282">
      <w:bodyDiv w:val="1"/>
      <w:marLeft w:val="0"/>
      <w:marRight w:val="0"/>
      <w:marTop w:val="0"/>
      <w:marBottom w:val="0"/>
      <w:divBdr>
        <w:top w:val="none" w:sz="0" w:space="0" w:color="auto"/>
        <w:left w:val="none" w:sz="0" w:space="0" w:color="auto"/>
        <w:bottom w:val="none" w:sz="0" w:space="0" w:color="auto"/>
        <w:right w:val="none" w:sz="0" w:space="0" w:color="auto"/>
      </w:divBdr>
    </w:div>
    <w:div w:id="1447501454">
      <w:bodyDiv w:val="1"/>
      <w:marLeft w:val="0"/>
      <w:marRight w:val="0"/>
      <w:marTop w:val="0"/>
      <w:marBottom w:val="0"/>
      <w:divBdr>
        <w:top w:val="none" w:sz="0" w:space="0" w:color="auto"/>
        <w:left w:val="none" w:sz="0" w:space="0" w:color="auto"/>
        <w:bottom w:val="none" w:sz="0" w:space="0" w:color="auto"/>
        <w:right w:val="none" w:sz="0" w:space="0" w:color="auto"/>
      </w:divBdr>
    </w:div>
    <w:div w:id="1475367537">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85725467">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753232589">
      <w:bodyDiv w:val="1"/>
      <w:marLeft w:val="0"/>
      <w:marRight w:val="0"/>
      <w:marTop w:val="0"/>
      <w:marBottom w:val="0"/>
      <w:divBdr>
        <w:top w:val="none" w:sz="0" w:space="0" w:color="auto"/>
        <w:left w:val="none" w:sz="0" w:space="0" w:color="auto"/>
        <w:bottom w:val="none" w:sz="0" w:space="0" w:color="auto"/>
        <w:right w:val="none" w:sz="0" w:space="0" w:color="auto"/>
      </w:divBdr>
    </w:div>
    <w:div w:id="1795171524">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1963262219">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080011593">
      <w:bodyDiv w:val="1"/>
      <w:marLeft w:val="0"/>
      <w:marRight w:val="0"/>
      <w:marTop w:val="0"/>
      <w:marBottom w:val="0"/>
      <w:divBdr>
        <w:top w:val="none" w:sz="0" w:space="0" w:color="auto"/>
        <w:left w:val="none" w:sz="0" w:space="0" w:color="auto"/>
        <w:bottom w:val="none" w:sz="0" w:space="0" w:color="auto"/>
        <w:right w:val="none" w:sz="0" w:space="0" w:color="auto"/>
      </w:divBdr>
    </w:div>
    <w:div w:id="2096121883">
      <w:bodyDiv w:val="1"/>
      <w:marLeft w:val="0"/>
      <w:marRight w:val="0"/>
      <w:marTop w:val="0"/>
      <w:marBottom w:val="0"/>
      <w:divBdr>
        <w:top w:val="none" w:sz="0" w:space="0" w:color="auto"/>
        <w:left w:val="none" w:sz="0" w:space="0" w:color="auto"/>
        <w:bottom w:val="none" w:sz="0" w:space="0" w:color="auto"/>
        <w:right w:val="none" w:sz="0" w:space="0" w:color="auto"/>
      </w:divBdr>
    </w:div>
    <w:div w:id="2116094839">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deeresources.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1" Type="http://schemas.openxmlformats.org/officeDocument/2006/relationships/hyperlink" Target="http://www.deeresource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b:Source>
    <b:Tag>PGE</b:Tag>
    <b:SourceType>Report</b:SourceType>
    <b:Guid>{6DDA8AA3-2F04-4461-946D-0B50BCDF1326}</b:Guid>
    <b:Title>PGECOLTG164 R1 LEDGlobe.doc</b:Title>
    <b:RefOrder>1</b:RefOrder>
  </b:Source>
</b:Sourc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A238C4-30FC-42E4-A677-BA2C484FA068}"/>
</file>

<file path=customXml/itemProps2.xml><?xml version="1.0" encoding="utf-8"?>
<ds:datastoreItem xmlns:ds="http://schemas.openxmlformats.org/officeDocument/2006/customXml" ds:itemID="{25B64F69-47EF-47CC-BFD3-4B89BC8E22D2}"/>
</file>

<file path=customXml/itemProps3.xml><?xml version="1.0" encoding="utf-8"?>
<ds:datastoreItem xmlns:ds="http://schemas.openxmlformats.org/officeDocument/2006/customXml" ds:itemID="{A770FC9B-0CD7-42DC-B224-9C39B5F4815C}"/>
</file>

<file path=customXml/itemProps4.xml><?xml version="1.0" encoding="utf-8"?>
<ds:datastoreItem xmlns:ds="http://schemas.openxmlformats.org/officeDocument/2006/customXml" ds:itemID="{81A55A4D-CF3A-425E-A3F1-D3FD62C90908}"/>
</file>

<file path=docProps/app.xml><?xml version="1.0" encoding="utf-8"?>
<Properties xmlns="http://schemas.openxmlformats.org/officeDocument/2006/extended-properties" xmlns:vt="http://schemas.openxmlformats.org/officeDocument/2006/docPropsVTypes">
  <Template>SCE Work Paper Template - Final.dot</Template>
  <TotalTime>45</TotalTime>
  <Pages>16</Pages>
  <Words>3792</Words>
  <Characters>22581</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PGECOLTG178</vt:lpstr>
    </vt:vector>
  </TitlesOfParts>
  <Company>PG&amp;E</Company>
  <LinksUpToDate>false</LinksUpToDate>
  <CharactersWithSpaces>26321</CharactersWithSpaces>
  <SharedDoc>false</SharedDoc>
  <HLinks>
    <vt:vector size="210" baseType="variant">
      <vt:variant>
        <vt:i4>1114161</vt:i4>
      </vt:variant>
      <vt:variant>
        <vt:i4>209</vt:i4>
      </vt:variant>
      <vt:variant>
        <vt:i4>0</vt:i4>
      </vt:variant>
      <vt:variant>
        <vt:i4>5</vt:i4>
      </vt:variant>
      <vt:variant>
        <vt:lpwstr/>
      </vt:variant>
      <vt:variant>
        <vt:lpwstr>_Toc349833892</vt:lpwstr>
      </vt:variant>
      <vt:variant>
        <vt:i4>1114161</vt:i4>
      </vt:variant>
      <vt:variant>
        <vt:i4>203</vt:i4>
      </vt:variant>
      <vt:variant>
        <vt:i4>0</vt:i4>
      </vt:variant>
      <vt:variant>
        <vt:i4>5</vt:i4>
      </vt:variant>
      <vt:variant>
        <vt:lpwstr/>
      </vt:variant>
      <vt:variant>
        <vt:lpwstr>_Toc349833891</vt:lpwstr>
      </vt:variant>
      <vt:variant>
        <vt:i4>1114161</vt:i4>
      </vt:variant>
      <vt:variant>
        <vt:i4>197</vt:i4>
      </vt:variant>
      <vt:variant>
        <vt:i4>0</vt:i4>
      </vt:variant>
      <vt:variant>
        <vt:i4>5</vt:i4>
      </vt:variant>
      <vt:variant>
        <vt:lpwstr/>
      </vt:variant>
      <vt:variant>
        <vt:lpwstr>_Toc349833890</vt:lpwstr>
      </vt:variant>
      <vt:variant>
        <vt:i4>1048625</vt:i4>
      </vt:variant>
      <vt:variant>
        <vt:i4>191</vt:i4>
      </vt:variant>
      <vt:variant>
        <vt:i4>0</vt:i4>
      </vt:variant>
      <vt:variant>
        <vt:i4>5</vt:i4>
      </vt:variant>
      <vt:variant>
        <vt:lpwstr/>
      </vt:variant>
      <vt:variant>
        <vt:lpwstr>_Toc349833889</vt:lpwstr>
      </vt:variant>
      <vt:variant>
        <vt:i4>1048625</vt:i4>
      </vt:variant>
      <vt:variant>
        <vt:i4>185</vt:i4>
      </vt:variant>
      <vt:variant>
        <vt:i4>0</vt:i4>
      </vt:variant>
      <vt:variant>
        <vt:i4>5</vt:i4>
      </vt:variant>
      <vt:variant>
        <vt:lpwstr/>
      </vt:variant>
      <vt:variant>
        <vt:lpwstr>_Toc349833888</vt:lpwstr>
      </vt:variant>
      <vt:variant>
        <vt:i4>1048625</vt:i4>
      </vt:variant>
      <vt:variant>
        <vt:i4>179</vt:i4>
      </vt:variant>
      <vt:variant>
        <vt:i4>0</vt:i4>
      </vt:variant>
      <vt:variant>
        <vt:i4>5</vt:i4>
      </vt:variant>
      <vt:variant>
        <vt:lpwstr/>
      </vt:variant>
      <vt:variant>
        <vt:lpwstr>_Toc349833887</vt:lpwstr>
      </vt:variant>
      <vt:variant>
        <vt:i4>1048625</vt:i4>
      </vt:variant>
      <vt:variant>
        <vt:i4>173</vt:i4>
      </vt:variant>
      <vt:variant>
        <vt:i4>0</vt:i4>
      </vt:variant>
      <vt:variant>
        <vt:i4>5</vt:i4>
      </vt:variant>
      <vt:variant>
        <vt:lpwstr/>
      </vt:variant>
      <vt:variant>
        <vt:lpwstr>_Toc349833886</vt:lpwstr>
      </vt:variant>
      <vt:variant>
        <vt:i4>1048625</vt:i4>
      </vt:variant>
      <vt:variant>
        <vt:i4>167</vt:i4>
      </vt:variant>
      <vt:variant>
        <vt:i4>0</vt:i4>
      </vt:variant>
      <vt:variant>
        <vt:i4>5</vt:i4>
      </vt:variant>
      <vt:variant>
        <vt:lpwstr/>
      </vt:variant>
      <vt:variant>
        <vt:lpwstr>_Toc349833885</vt:lpwstr>
      </vt:variant>
      <vt:variant>
        <vt:i4>1048625</vt:i4>
      </vt:variant>
      <vt:variant>
        <vt:i4>161</vt:i4>
      </vt:variant>
      <vt:variant>
        <vt:i4>0</vt:i4>
      </vt:variant>
      <vt:variant>
        <vt:i4>5</vt:i4>
      </vt:variant>
      <vt:variant>
        <vt:lpwstr/>
      </vt:variant>
      <vt:variant>
        <vt:lpwstr>_Toc349833884</vt:lpwstr>
      </vt:variant>
      <vt:variant>
        <vt:i4>1048625</vt:i4>
      </vt:variant>
      <vt:variant>
        <vt:i4>155</vt:i4>
      </vt:variant>
      <vt:variant>
        <vt:i4>0</vt:i4>
      </vt:variant>
      <vt:variant>
        <vt:i4>5</vt:i4>
      </vt:variant>
      <vt:variant>
        <vt:lpwstr/>
      </vt:variant>
      <vt:variant>
        <vt:lpwstr>_Toc349833883</vt:lpwstr>
      </vt:variant>
      <vt:variant>
        <vt:i4>1048632</vt:i4>
      </vt:variant>
      <vt:variant>
        <vt:i4>146</vt:i4>
      </vt:variant>
      <vt:variant>
        <vt:i4>0</vt:i4>
      </vt:variant>
      <vt:variant>
        <vt:i4>5</vt:i4>
      </vt:variant>
      <vt:variant>
        <vt:lpwstr/>
      </vt:variant>
      <vt:variant>
        <vt:lpwstr>_Toc349721053</vt:lpwstr>
      </vt:variant>
      <vt:variant>
        <vt:i4>1048632</vt:i4>
      </vt:variant>
      <vt:variant>
        <vt:i4>140</vt:i4>
      </vt:variant>
      <vt:variant>
        <vt:i4>0</vt:i4>
      </vt:variant>
      <vt:variant>
        <vt:i4>5</vt:i4>
      </vt:variant>
      <vt:variant>
        <vt:lpwstr/>
      </vt:variant>
      <vt:variant>
        <vt:lpwstr>_Toc349721052</vt:lpwstr>
      </vt:variant>
      <vt:variant>
        <vt:i4>1048632</vt:i4>
      </vt:variant>
      <vt:variant>
        <vt:i4>134</vt:i4>
      </vt:variant>
      <vt:variant>
        <vt:i4>0</vt:i4>
      </vt:variant>
      <vt:variant>
        <vt:i4>5</vt:i4>
      </vt:variant>
      <vt:variant>
        <vt:lpwstr/>
      </vt:variant>
      <vt:variant>
        <vt:lpwstr>_Toc349721051</vt:lpwstr>
      </vt:variant>
      <vt:variant>
        <vt:i4>1048632</vt:i4>
      </vt:variant>
      <vt:variant>
        <vt:i4>128</vt:i4>
      </vt:variant>
      <vt:variant>
        <vt:i4>0</vt:i4>
      </vt:variant>
      <vt:variant>
        <vt:i4>5</vt:i4>
      </vt:variant>
      <vt:variant>
        <vt:lpwstr/>
      </vt:variant>
      <vt:variant>
        <vt:lpwstr>_Toc349721050</vt:lpwstr>
      </vt:variant>
      <vt:variant>
        <vt:i4>1114168</vt:i4>
      </vt:variant>
      <vt:variant>
        <vt:i4>122</vt:i4>
      </vt:variant>
      <vt:variant>
        <vt:i4>0</vt:i4>
      </vt:variant>
      <vt:variant>
        <vt:i4>5</vt:i4>
      </vt:variant>
      <vt:variant>
        <vt:lpwstr/>
      </vt:variant>
      <vt:variant>
        <vt:lpwstr>_Toc349721049</vt:lpwstr>
      </vt:variant>
      <vt:variant>
        <vt:i4>1114168</vt:i4>
      </vt:variant>
      <vt:variant>
        <vt:i4>116</vt:i4>
      </vt:variant>
      <vt:variant>
        <vt:i4>0</vt:i4>
      </vt:variant>
      <vt:variant>
        <vt:i4>5</vt:i4>
      </vt:variant>
      <vt:variant>
        <vt:lpwstr/>
      </vt:variant>
      <vt:variant>
        <vt:lpwstr>_Toc349721048</vt:lpwstr>
      </vt:variant>
      <vt:variant>
        <vt:i4>1114168</vt:i4>
      </vt:variant>
      <vt:variant>
        <vt:i4>110</vt:i4>
      </vt:variant>
      <vt:variant>
        <vt:i4>0</vt:i4>
      </vt:variant>
      <vt:variant>
        <vt:i4>5</vt:i4>
      </vt:variant>
      <vt:variant>
        <vt:lpwstr/>
      </vt:variant>
      <vt:variant>
        <vt:lpwstr>_Toc349721047</vt:lpwstr>
      </vt:variant>
      <vt:variant>
        <vt:i4>1114168</vt:i4>
      </vt:variant>
      <vt:variant>
        <vt:i4>104</vt:i4>
      </vt:variant>
      <vt:variant>
        <vt:i4>0</vt:i4>
      </vt:variant>
      <vt:variant>
        <vt:i4>5</vt:i4>
      </vt:variant>
      <vt:variant>
        <vt:lpwstr/>
      </vt:variant>
      <vt:variant>
        <vt:lpwstr>_Toc349721046</vt:lpwstr>
      </vt:variant>
      <vt:variant>
        <vt:i4>1114168</vt:i4>
      </vt:variant>
      <vt:variant>
        <vt:i4>98</vt:i4>
      </vt:variant>
      <vt:variant>
        <vt:i4>0</vt:i4>
      </vt:variant>
      <vt:variant>
        <vt:i4>5</vt:i4>
      </vt:variant>
      <vt:variant>
        <vt:lpwstr/>
      </vt:variant>
      <vt:variant>
        <vt:lpwstr>_Toc349721045</vt:lpwstr>
      </vt:variant>
      <vt:variant>
        <vt:i4>1114168</vt:i4>
      </vt:variant>
      <vt:variant>
        <vt:i4>92</vt:i4>
      </vt:variant>
      <vt:variant>
        <vt:i4>0</vt:i4>
      </vt:variant>
      <vt:variant>
        <vt:i4>5</vt:i4>
      </vt:variant>
      <vt:variant>
        <vt:lpwstr/>
      </vt:variant>
      <vt:variant>
        <vt:lpwstr>_Toc349721044</vt:lpwstr>
      </vt:variant>
      <vt:variant>
        <vt:i4>1114168</vt:i4>
      </vt:variant>
      <vt:variant>
        <vt:i4>86</vt:i4>
      </vt:variant>
      <vt:variant>
        <vt:i4>0</vt:i4>
      </vt:variant>
      <vt:variant>
        <vt:i4>5</vt:i4>
      </vt:variant>
      <vt:variant>
        <vt:lpwstr/>
      </vt:variant>
      <vt:variant>
        <vt:lpwstr>_Toc349721043</vt:lpwstr>
      </vt:variant>
      <vt:variant>
        <vt:i4>1114168</vt:i4>
      </vt:variant>
      <vt:variant>
        <vt:i4>80</vt:i4>
      </vt:variant>
      <vt:variant>
        <vt:i4>0</vt:i4>
      </vt:variant>
      <vt:variant>
        <vt:i4>5</vt:i4>
      </vt:variant>
      <vt:variant>
        <vt:lpwstr/>
      </vt:variant>
      <vt:variant>
        <vt:lpwstr>_Toc349721042</vt:lpwstr>
      </vt:variant>
      <vt:variant>
        <vt:i4>1114168</vt:i4>
      </vt:variant>
      <vt:variant>
        <vt:i4>74</vt:i4>
      </vt:variant>
      <vt:variant>
        <vt:i4>0</vt:i4>
      </vt:variant>
      <vt:variant>
        <vt:i4>5</vt:i4>
      </vt:variant>
      <vt:variant>
        <vt:lpwstr/>
      </vt:variant>
      <vt:variant>
        <vt:lpwstr>_Toc349721041</vt:lpwstr>
      </vt:variant>
      <vt:variant>
        <vt:i4>1114168</vt:i4>
      </vt:variant>
      <vt:variant>
        <vt:i4>68</vt:i4>
      </vt:variant>
      <vt:variant>
        <vt:i4>0</vt:i4>
      </vt:variant>
      <vt:variant>
        <vt:i4>5</vt:i4>
      </vt:variant>
      <vt:variant>
        <vt:lpwstr/>
      </vt:variant>
      <vt:variant>
        <vt:lpwstr>_Toc349721040</vt:lpwstr>
      </vt:variant>
      <vt:variant>
        <vt:i4>1441848</vt:i4>
      </vt:variant>
      <vt:variant>
        <vt:i4>62</vt:i4>
      </vt:variant>
      <vt:variant>
        <vt:i4>0</vt:i4>
      </vt:variant>
      <vt:variant>
        <vt:i4>5</vt:i4>
      </vt:variant>
      <vt:variant>
        <vt:lpwstr/>
      </vt:variant>
      <vt:variant>
        <vt:lpwstr>_Toc349721039</vt:lpwstr>
      </vt:variant>
      <vt:variant>
        <vt:i4>1441848</vt:i4>
      </vt:variant>
      <vt:variant>
        <vt:i4>56</vt:i4>
      </vt:variant>
      <vt:variant>
        <vt:i4>0</vt:i4>
      </vt:variant>
      <vt:variant>
        <vt:i4>5</vt:i4>
      </vt:variant>
      <vt:variant>
        <vt:lpwstr/>
      </vt:variant>
      <vt:variant>
        <vt:lpwstr>_Toc349721038</vt:lpwstr>
      </vt:variant>
      <vt:variant>
        <vt:i4>1441848</vt:i4>
      </vt:variant>
      <vt:variant>
        <vt:i4>50</vt:i4>
      </vt:variant>
      <vt:variant>
        <vt:i4>0</vt:i4>
      </vt:variant>
      <vt:variant>
        <vt:i4>5</vt:i4>
      </vt:variant>
      <vt:variant>
        <vt:lpwstr/>
      </vt:variant>
      <vt:variant>
        <vt:lpwstr>_Toc349721037</vt:lpwstr>
      </vt:variant>
      <vt:variant>
        <vt:i4>1441848</vt:i4>
      </vt:variant>
      <vt:variant>
        <vt:i4>44</vt:i4>
      </vt:variant>
      <vt:variant>
        <vt:i4>0</vt:i4>
      </vt:variant>
      <vt:variant>
        <vt:i4>5</vt:i4>
      </vt:variant>
      <vt:variant>
        <vt:lpwstr/>
      </vt:variant>
      <vt:variant>
        <vt:lpwstr>_Toc349721036</vt:lpwstr>
      </vt:variant>
      <vt:variant>
        <vt:i4>1441848</vt:i4>
      </vt:variant>
      <vt:variant>
        <vt:i4>38</vt:i4>
      </vt:variant>
      <vt:variant>
        <vt:i4>0</vt:i4>
      </vt:variant>
      <vt:variant>
        <vt:i4>5</vt:i4>
      </vt:variant>
      <vt:variant>
        <vt:lpwstr/>
      </vt:variant>
      <vt:variant>
        <vt:lpwstr>_Toc349721035</vt:lpwstr>
      </vt:variant>
      <vt:variant>
        <vt:i4>1441848</vt:i4>
      </vt:variant>
      <vt:variant>
        <vt:i4>32</vt:i4>
      </vt:variant>
      <vt:variant>
        <vt:i4>0</vt:i4>
      </vt:variant>
      <vt:variant>
        <vt:i4>5</vt:i4>
      </vt:variant>
      <vt:variant>
        <vt:lpwstr/>
      </vt:variant>
      <vt:variant>
        <vt:lpwstr>_Toc349721034</vt:lpwstr>
      </vt:variant>
      <vt:variant>
        <vt:i4>1441848</vt:i4>
      </vt:variant>
      <vt:variant>
        <vt:i4>26</vt:i4>
      </vt:variant>
      <vt:variant>
        <vt:i4>0</vt:i4>
      </vt:variant>
      <vt:variant>
        <vt:i4>5</vt:i4>
      </vt:variant>
      <vt:variant>
        <vt:lpwstr/>
      </vt:variant>
      <vt:variant>
        <vt:lpwstr>_Toc349721033</vt:lpwstr>
      </vt:variant>
      <vt:variant>
        <vt:i4>1441848</vt:i4>
      </vt:variant>
      <vt:variant>
        <vt:i4>20</vt:i4>
      </vt:variant>
      <vt:variant>
        <vt:i4>0</vt:i4>
      </vt:variant>
      <vt:variant>
        <vt:i4>5</vt:i4>
      </vt:variant>
      <vt:variant>
        <vt:lpwstr/>
      </vt:variant>
      <vt:variant>
        <vt:lpwstr>_Toc349721032</vt:lpwstr>
      </vt:variant>
      <vt:variant>
        <vt:i4>1441848</vt:i4>
      </vt:variant>
      <vt:variant>
        <vt:i4>14</vt:i4>
      </vt:variant>
      <vt:variant>
        <vt:i4>0</vt:i4>
      </vt:variant>
      <vt:variant>
        <vt:i4>5</vt:i4>
      </vt:variant>
      <vt:variant>
        <vt:lpwstr/>
      </vt:variant>
      <vt:variant>
        <vt:lpwstr>_Toc349721031</vt:lpwstr>
      </vt:variant>
      <vt:variant>
        <vt:i4>1441848</vt:i4>
      </vt:variant>
      <vt:variant>
        <vt:i4>8</vt:i4>
      </vt:variant>
      <vt:variant>
        <vt:i4>0</vt:i4>
      </vt:variant>
      <vt:variant>
        <vt:i4>5</vt:i4>
      </vt:variant>
      <vt:variant>
        <vt:lpwstr/>
      </vt:variant>
      <vt:variant>
        <vt:lpwstr>_Toc349721030</vt:lpwstr>
      </vt:variant>
      <vt:variant>
        <vt:i4>1507384</vt:i4>
      </vt:variant>
      <vt:variant>
        <vt:i4>2</vt:i4>
      </vt:variant>
      <vt:variant>
        <vt:i4>0</vt:i4>
      </vt:variant>
      <vt:variant>
        <vt:i4>5</vt:i4>
      </vt:variant>
      <vt:variant>
        <vt:lpwstr/>
      </vt:variant>
      <vt:variant>
        <vt:lpwstr>_Toc349721029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PGECOLTG178</dc:title>
  <dc:creator>Steven Blanc;Greg Barker</dc:creator>
  <cp:lastModifiedBy>Wan, Linda</cp:lastModifiedBy>
  <cp:revision>9</cp:revision>
  <cp:lastPrinted>2012-06-11T17:32:00Z</cp:lastPrinted>
  <dcterms:created xsi:type="dcterms:W3CDTF">2015-12-22T19:29:00Z</dcterms:created>
  <dcterms:modified xsi:type="dcterms:W3CDTF">2015-12-22T23:47:00Z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