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667CE"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B91A7C">
        <w:rPr>
          <w:rFonts w:ascii="Arial" w:hAnsi="Arial" w:cs="Arial"/>
          <w:b/>
          <w:sz w:val="48"/>
          <w:szCs w:val="48"/>
        </w:rPr>
        <w:t>17</w:t>
      </w:r>
      <w:r w:rsidR="00BA46E0">
        <w:rPr>
          <w:rFonts w:ascii="Arial" w:hAnsi="Arial" w:cs="Arial"/>
          <w:b/>
          <w:sz w:val="48"/>
          <w:szCs w:val="48"/>
        </w:rPr>
        <w:t>7</w:t>
      </w:r>
    </w:p>
    <w:p w14:paraId="1B3667CF" w14:textId="77777777"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B91A7C">
        <w:rPr>
          <w:rFonts w:ascii="Arial" w:hAnsi="Arial" w:cs="Arial"/>
          <w:b/>
          <w:sz w:val="48"/>
          <w:szCs w:val="48"/>
        </w:rPr>
        <w:t>BR-R</w:t>
      </w:r>
      <w:r w:rsidR="004464AA" w:rsidRPr="004464AA">
        <w:rPr>
          <w:rFonts w:ascii="Arial" w:hAnsi="Arial" w:cs="Arial"/>
          <w:b/>
          <w:sz w:val="48"/>
          <w:szCs w:val="48"/>
        </w:rPr>
        <w:t xml:space="preserve"> Lamps</w:t>
      </w:r>
    </w:p>
    <w:p w14:paraId="1B3667D0" w14:textId="72FC4974"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F325AB">
        <w:rPr>
          <w:rFonts w:ascii="Arial" w:hAnsi="Arial" w:cs="Arial"/>
          <w:b/>
          <w:sz w:val="48"/>
          <w:szCs w:val="48"/>
        </w:rPr>
        <w:t>6</w:t>
      </w:r>
    </w:p>
    <w:p w14:paraId="1B3667D1" w14:textId="77777777" w:rsidR="003129E8" w:rsidRDefault="003129E8" w:rsidP="003129E8"/>
    <w:p w14:paraId="1B3667D2"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1B3667D3"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1B3667D4" w14:textId="77777777" w:rsidR="004D0E10" w:rsidRDefault="004D0E10" w:rsidP="00A167EC">
      <w:pPr>
        <w:ind w:right="-720"/>
        <w:rPr>
          <w:rFonts w:ascii="Arial" w:hAnsi="Arial" w:cs="Arial"/>
          <w:b/>
          <w:sz w:val="72"/>
          <w:szCs w:val="72"/>
        </w:rPr>
      </w:pPr>
    </w:p>
    <w:p w14:paraId="1B3667D5" w14:textId="77777777" w:rsidR="004D0E10" w:rsidRDefault="004D0E10" w:rsidP="00A167EC">
      <w:pPr>
        <w:ind w:right="-720"/>
        <w:rPr>
          <w:rFonts w:ascii="Arial" w:hAnsi="Arial" w:cs="Arial"/>
          <w:b/>
          <w:sz w:val="72"/>
          <w:szCs w:val="72"/>
        </w:rPr>
      </w:pPr>
    </w:p>
    <w:p w14:paraId="1B3667D6" w14:textId="77777777" w:rsidR="004D0E10" w:rsidRDefault="004D0E10" w:rsidP="00A167EC">
      <w:pPr>
        <w:ind w:right="-720"/>
        <w:rPr>
          <w:rFonts w:ascii="Arial" w:hAnsi="Arial" w:cs="Arial"/>
          <w:b/>
          <w:sz w:val="72"/>
          <w:szCs w:val="72"/>
        </w:rPr>
      </w:pPr>
    </w:p>
    <w:p w14:paraId="1B3667D7" w14:textId="77777777" w:rsidR="00324D0F" w:rsidRDefault="004464AA" w:rsidP="00A167EC">
      <w:pPr>
        <w:ind w:right="-720"/>
        <w:rPr>
          <w:rFonts w:ascii="Arial" w:hAnsi="Arial" w:cs="Arial"/>
          <w:b/>
        </w:rPr>
      </w:pPr>
      <w:r w:rsidRPr="004464AA">
        <w:rPr>
          <w:rFonts w:ascii="Arial" w:hAnsi="Arial" w:cs="Arial"/>
          <w:b/>
          <w:sz w:val="72"/>
          <w:szCs w:val="72"/>
        </w:rPr>
        <w:t xml:space="preserve">LED </w:t>
      </w:r>
      <w:r w:rsidR="0030104F">
        <w:rPr>
          <w:rFonts w:ascii="Arial" w:hAnsi="Arial" w:cs="Arial"/>
          <w:b/>
          <w:sz w:val="72"/>
          <w:szCs w:val="72"/>
        </w:rPr>
        <w:t>BR/R</w:t>
      </w:r>
      <w:r w:rsidRPr="004464AA">
        <w:rPr>
          <w:rFonts w:ascii="Arial" w:hAnsi="Arial" w:cs="Arial"/>
          <w:b/>
          <w:sz w:val="72"/>
          <w:szCs w:val="72"/>
        </w:rPr>
        <w:t xml:space="preserve"> Lamps</w:t>
      </w:r>
      <w:r w:rsidR="00735CB1">
        <w:rPr>
          <w:rFonts w:ascii="Arial" w:hAnsi="Arial" w:cs="Arial"/>
          <w:b/>
          <w:sz w:val="72"/>
          <w:szCs w:val="72"/>
        </w:rPr>
        <w:t xml:space="preserve"> </w:t>
      </w:r>
    </w:p>
    <w:p w14:paraId="1B3667D8" w14:textId="31A2FDA4" w:rsidR="00B421F2" w:rsidRPr="00CB3583" w:rsidRDefault="00A167EC" w:rsidP="002D4621">
      <w:pPr>
        <w:ind w:right="-720"/>
        <w:rPr>
          <w:rFonts w:ascii="Arial" w:hAnsi="Arial" w:cs="Arial"/>
          <w:b/>
          <w:color w:val="FF0000"/>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270FD7">
        <w:rPr>
          <w:rFonts w:ascii="Arial" w:hAnsi="Arial" w:cs="Arial"/>
          <w:b/>
        </w:rPr>
        <w:t>1071</w:t>
      </w:r>
      <w:r w:rsidR="002C0FA5">
        <w:rPr>
          <w:rFonts w:ascii="Arial" w:hAnsi="Arial" w:cs="Arial"/>
          <w:b/>
        </w:rPr>
        <w:t>-</w:t>
      </w:r>
      <w:r w:rsidR="00735CF0">
        <w:rPr>
          <w:rFonts w:ascii="Arial" w:hAnsi="Arial" w:cs="Arial"/>
          <w:b/>
        </w:rPr>
        <w:t>L</w:t>
      </w:r>
      <w:r w:rsidR="00270FD7">
        <w:rPr>
          <w:rFonts w:ascii="Arial" w:hAnsi="Arial" w:cs="Arial"/>
          <w:b/>
        </w:rPr>
        <w:t>1073</w:t>
      </w:r>
      <w:r w:rsidR="00596DA2">
        <w:rPr>
          <w:rFonts w:ascii="Arial" w:hAnsi="Arial" w:cs="Arial"/>
          <w:b/>
        </w:rPr>
        <w:t>, LT432 – LT439</w:t>
      </w:r>
    </w:p>
    <w:p w14:paraId="1B3667D9" w14:textId="77777777" w:rsidR="00CB3583" w:rsidRDefault="00CB3583" w:rsidP="002E0043">
      <w:pPr>
        <w:rPr>
          <w:rFonts w:ascii="Arial" w:hAnsi="Arial" w:cs="Arial"/>
          <w:b/>
          <w:highlight w:val="cyan"/>
        </w:rPr>
      </w:pPr>
    </w:p>
    <w:p w14:paraId="1B3667DA" w14:textId="2E7B67FF" w:rsidR="00E71EF1" w:rsidRDefault="00C93E64" w:rsidP="001654F5">
      <w:pPr>
        <w:pStyle w:val="Heading1"/>
        <w:spacing w:before="120"/>
      </w:pPr>
      <w:r>
        <w:br w:type="page"/>
      </w:r>
      <w:r w:rsidR="00A308A4">
        <w:lastRenderedPageBreak/>
        <w:t xml:space="preserve"> </w:t>
      </w:r>
      <w:bookmarkStart w:id="2" w:name="_Toc512857022"/>
      <w:r w:rsidR="00E731C6">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D7079C" w:rsidRPr="00783DAC" w14:paraId="1B3667DF" w14:textId="77777777" w:rsidTr="00ED4875">
        <w:trPr>
          <w:trHeight w:val="465"/>
        </w:trPr>
        <w:tc>
          <w:tcPr>
            <w:tcW w:w="4161" w:type="dxa"/>
            <w:shd w:val="pct20" w:color="000000" w:fill="FFFFFF"/>
          </w:tcPr>
          <w:p w14:paraId="1B3667DB" w14:textId="77777777" w:rsidR="00D7079C" w:rsidRPr="00A60652" w:rsidRDefault="00D7079C" w:rsidP="0028709C">
            <w:pPr>
              <w:rPr>
                <w:rFonts w:ascii="Arial" w:hAnsi="Arial" w:cs="Arial"/>
                <w:b/>
                <w:bCs/>
              </w:rPr>
            </w:pPr>
            <w:r w:rsidRPr="00A60652">
              <w:rPr>
                <w:rFonts w:ascii="Arial" w:hAnsi="Arial" w:cs="Arial"/>
                <w:b/>
                <w:bCs/>
              </w:rPr>
              <w:t>Applicable Measure Codes:</w:t>
            </w:r>
          </w:p>
        </w:tc>
        <w:tc>
          <w:tcPr>
            <w:tcW w:w="5487" w:type="dxa"/>
            <w:shd w:val="pct20" w:color="000000" w:fill="FFFFFF"/>
          </w:tcPr>
          <w:p w14:paraId="1B3667DE" w14:textId="6C1EEC3F" w:rsidR="00D7079C" w:rsidRPr="00A60652" w:rsidRDefault="00D7079C" w:rsidP="00D7079C">
            <w:pPr>
              <w:tabs>
                <w:tab w:val="center" w:pos="2635"/>
              </w:tabs>
              <w:rPr>
                <w:rFonts w:ascii="Arial" w:hAnsi="Arial" w:cs="Arial"/>
                <w:bCs/>
                <w:sz w:val="20"/>
                <w:szCs w:val="20"/>
              </w:rPr>
            </w:pPr>
            <w:r>
              <w:rPr>
                <w:rFonts w:ascii="Arial" w:hAnsi="Arial" w:cs="Arial"/>
                <w:bCs/>
                <w:sz w:val="20"/>
                <w:szCs w:val="20"/>
              </w:rPr>
              <w:t>L1071 – L1073, LT432- LT439</w:t>
            </w:r>
          </w:p>
        </w:tc>
      </w:tr>
      <w:tr w:rsidR="00D7079C" w:rsidRPr="00783DAC" w14:paraId="1B3667E7" w14:textId="77777777" w:rsidTr="00ED4875">
        <w:trPr>
          <w:trHeight w:val="465"/>
        </w:trPr>
        <w:tc>
          <w:tcPr>
            <w:tcW w:w="4161" w:type="dxa"/>
            <w:shd w:val="pct5" w:color="000000" w:fill="FFFFFF"/>
          </w:tcPr>
          <w:p w14:paraId="1B3667E0" w14:textId="77777777" w:rsidR="00D7079C" w:rsidRPr="00A60652" w:rsidRDefault="00D7079C" w:rsidP="0028709C">
            <w:pPr>
              <w:rPr>
                <w:rFonts w:ascii="Arial" w:hAnsi="Arial" w:cs="Arial"/>
                <w:b/>
              </w:rPr>
            </w:pPr>
            <w:r w:rsidRPr="00A60652">
              <w:rPr>
                <w:rFonts w:ascii="Arial" w:hAnsi="Arial" w:cs="Arial"/>
                <w:b/>
              </w:rPr>
              <w:t xml:space="preserve">Measure Description: </w:t>
            </w:r>
          </w:p>
        </w:tc>
        <w:tc>
          <w:tcPr>
            <w:tcW w:w="5487" w:type="dxa"/>
            <w:shd w:val="pct5" w:color="000000" w:fill="FFFFFF"/>
          </w:tcPr>
          <w:p w14:paraId="1B3667E6" w14:textId="0E93721D" w:rsidR="00D7079C" w:rsidRPr="00A60652" w:rsidRDefault="00D7079C" w:rsidP="00777BE6">
            <w:pPr>
              <w:rPr>
                <w:rFonts w:ascii="Arial" w:hAnsi="Arial" w:cs="Arial"/>
                <w:sz w:val="20"/>
                <w:szCs w:val="20"/>
              </w:rPr>
            </w:pPr>
            <w:r>
              <w:rPr>
                <w:rFonts w:ascii="Arial" w:hAnsi="Arial" w:cs="Arial"/>
                <w:sz w:val="20"/>
                <w:szCs w:val="20"/>
              </w:rPr>
              <w:t>LED R-BR Lamps</w:t>
            </w:r>
          </w:p>
        </w:tc>
      </w:tr>
      <w:tr w:rsidR="00735CF0" w:rsidRPr="00783DAC" w14:paraId="1B3667EA" w14:textId="77777777" w:rsidTr="00783DAC">
        <w:trPr>
          <w:trHeight w:val="465"/>
        </w:trPr>
        <w:tc>
          <w:tcPr>
            <w:tcW w:w="4161" w:type="dxa"/>
            <w:shd w:val="pct20" w:color="000000" w:fill="FFFFFF"/>
          </w:tcPr>
          <w:p w14:paraId="1B3667E8" w14:textId="77777777" w:rsidR="00735CF0" w:rsidRPr="00A60652" w:rsidRDefault="00735CF0" w:rsidP="0028709C">
            <w:pPr>
              <w:rPr>
                <w:rFonts w:ascii="Arial" w:hAnsi="Arial" w:cs="Arial"/>
                <w:b/>
              </w:rPr>
            </w:pPr>
            <w:r w:rsidRPr="00A60652">
              <w:rPr>
                <w:rFonts w:ascii="Arial" w:hAnsi="Arial" w:cs="Arial"/>
                <w:b/>
              </w:rPr>
              <w:t xml:space="preserve">Energy Impact Common Units: </w:t>
            </w:r>
          </w:p>
        </w:tc>
        <w:tc>
          <w:tcPr>
            <w:tcW w:w="5487" w:type="dxa"/>
            <w:shd w:val="pct20" w:color="000000" w:fill="FFFFFF"/>
          </w:tcPr>
          <w:p w14:paraId="1B3667E9" w14:textId="77777777" w:rsidR="00735CF0" w:rsidRPr="00A60652" w:rsidRDefault="00735CF0" w:rsidP="0028709C">
            <w:pPr>
              <w:rPr>
                <w:rFonts w:ascii="Arial" w:hAnsi="Arial" w:cs="Arial"/>
                <w:sz w:val="20"/>
                <w:szCs w:val="20"/>
              </w:rPr>
            </w:pPr>
            <w:r w:rsidRPr="00A60652">
              <w:rPr>
                <w:rFonts w:ascii="Arial" w:hAnsi="Arial" w:cs="Arial"/>
                <w:sz w:val="20"/>
                <w:szCs w:val="20"/>
              </w:rPr>
              <w:t>Lamp.</w:t>
            </w:r>
          </w:p>
        </w:tc>
      </w:tr>
      <w:tr w:rsidR="00735CF0" w:rsidRPr="00783DAC" w14:paraId="1B3667EE" w14:textId="77777777" w:rsidTr="00783DAC">
        <w:trPr>
          <w:trHeight w:val="465"/>
        </w:trPr>
        <w:tc>
          <w:tcPr>
            <w:tcW w:w="4161" w:type="dxa"/>
            <w:shd w:val="pct5" w:color="000000" w:fill="FFFFFF"/>
          </w:tcPr>
          <w:p w14:paraId="1B3667EB" w14:textId="77777777" w:rsidR="00735CF0" w:rsidRPr="00A60652" w:rsidRDefault="00735CF0" w:rsidP="0028709C">
            <w:pPr>
              <w:rPr>
                <w:rFonts w:ascii="Arial" w:hAnsi="Arial" w:cs="Arial"/>
                <w:b/>
              </w:rPr>
            </w:pPr>
            <w:r w:rsidRPr="00A60652">
              <w:rPr>
                <w:rFonts w:ascii="Arial" w:hAnsi="Arial" w:cs="Arial"/>
                <w:b/>
              </w:rPr>
              <w:t>Base Case Description:</w:t>
            </w:r>
          </w:p>
        </w:tc>
        <w:tc>
          <w:tcPr>
            <w:tcW w:w="5487" w:type="dxa"/>
            <w:shd w:val="pct5" w:color="000000" w:fill="FFFFFF"/>
          </w:tcPr>
          <w:p w14:paraId="1B3667EC" w14:textId="2BA3E3E1" w:rsidR="00735CF0" w:rsidRPr="000B044B" w:rsidRDefault="00C67405" w:rsidP="0037707D">
            <w:pPr>
              <w:rPr>
                <w:rFonts w:ascii="Arial" w:hAnsi="Arial" w:cs="Arial"/>
                <w:sz w:val="20"/>
                <w:szCs w:val="20"/>
              </w:rPr>
            </w:pPr>
            <w:r w:rsidRPr="000B044B">
              <w:rPr>
                <w:rFonts w:ascii="Arial" w:hAnsi="Arial" w:cs="Arial"/>
                <w:sz w:val="20"/>
                <w:szCs w:val="20"/>
              </w:rPr>
              <w:t>40% LED, 10% CFL, and 50% Incandescent/Halogen</w:t>
            </w:r>
            <w:r w:rsidR="005D0C0E" w:rsidRPr="000B044B">
              <w:rPr>
                <w:rFonts w:ascii="Arial" w:hAnsi="Arial" w:cs="Arial"/>
                <w:sz w:val="20"/>
                <w:szCs w:val="20"/>
              </w:rPr>
              <w:t>.</w:t>
            </w:r>
          </w:p>
          <w:p w14:paraId="1B3667ED" w14:textId="09C53EF5" w:rsidR="00735CF0" w:rsidRPr="000B044B" w:rsidRDefault="00735CF0" w:rsidP="00C50046">
            <w:pPr>
              <w:rPr>
                <w:rFonts w:ascii="Arial" w:hAnsi="Arial" w:cs="Arial"/>
                <w:sz w:val="20"/>
                <w:szCs w:val="20"/>
              </w:rPr>
            </w:pPr>
            <w:r w:rsidRPr="000B044B">
              <w:rPr>
                <w:rFonts w:ascii="Arial" w:hAnsi="Arial" w:cs="Arial"/>
                <w:sz w:val="20"/>
                <w:szCs w:val="20"/>
              </w:rPr>
              <w:t xml:space="preserve">Source: </w:t>
            </w:r>
            <w:r w:rsidR="00C67405" w:rsidRPr="000B044B">
              <w:rPr>
                <w:rFonts w:ascii="Arial" w:hAnsi="Arial" w:cs="Arial"/>
                <w:sz w:val="20"/>
                <w:szCs w:val="20"/>
              </w:rPr>
              <w:t>Disposition “</w:t>
            </w:r>
            <w:r w:rsidR="00C50046">
              <w:rPr>
                <w:rFonts w:ascii="Arial" w:hAnsi="Arial" w:cs="Arial"/>
                <w:sz w:val="20"/>
                <w:szCs w:val="20"/>
              </w:rPr>
              <w:t>2018ScrewInLampSavingsMethods-1March2018</w:t>
            </w:r>
            <w:r w:rsidR="00C67405" w:rsidRPr="000B044B">
              <w:rPr>
                <w:rFonts w:ascii="Arial" w:hAnsi="Arial" w:cs="Arial"/>
                <w:sz w:val="20"/>
                <w:szCs w:val="20"/>
              </w:rPr>
              <w:t>”</w:t>
            </w:r>
          </w:p>
        </w:tc>
      </w:tr>
      <w:tr w:rsidR="00735CF0" w:rsidRPr="00783DAC" w14:paraId="1B3667F2" w14:textId="77777777" w:rsidTr="00783DAC">
        <w:trPr>
          <w:trHeight w:val="465"/>
        </w:trPr>
        <w:tc>
          <w:tcPr>
            <w:tcW w:w="4161" w:type="dxa"/>
            <w:shd w:val="pct20" w:color="000000" w:fill="FFFFFF"/>
          </w:tcPr>
          <w:p w14:paraId="1B3667EF" w14:textId="77777777" w:rsidR="00735CF0" w:rsidRPr="00A60652" w:rsidRDefault="00735CF0" w:rsidP="0028709C">
            <w:pPr>
              <w:rPr>
                <w:rFonts w:ascii="Arial" w:hAnsi="Arial" w:cs="Arial"/>
                <w:b/>
              </w:rPr>
            </w:pPr>
            <w:r w:rsidRPr="00A60652">
              <w:rPr>
                <w:rFonts w:ascii="Arial" w:hAnsi="Arial" w:cs="Arial"/>
                <w:b/>
              </w:rPr>
              <w:t xml:space="preserve">Base Case Energy Consumption: </w:t>
            </w:r>
          </w:p>
        </w:tc>
        <w:tc>
          <w:tcPr>
            <w:tcW w:w="5487" w:type="dxa"/>
            <w:shd w:val="pct20" w:color="000000" w:fill="FFFFFF"/>
          </w:tcPr>
          <w:p w14:paraId="1B3667F0" w14:textId="77777777" w:rsidR="00C64D18" w:rsidRPr="00A60652" w:rsidRDefault="00735CF0" w:rsidP="00C64D18">
            <w:pPr>
              <w:rPr>
                <w:rFonts w:ascii="Arial" w:hAnsi="Arial" w:cs="Arial"/>
                <w:sz w:val="20"/>
                <w:szCs w:val="20"/>
              </w:rPr>
            </w:pPr>
            <w:r w:rsidRPr="00A60652">
              <w:rPr>
                <w:rFonts w:ascii="Arial" w:hAnsi="Arial" w:cs="Arial"/>
                <w:sz w:val="20"/>
                <w:szCs w:val="20"/>
              </w:rPr>
              <w:t xml:space="preserve">Various. </w:t>
            </w:r>
          </w:p>
          <w:p w14:paraId="1B3667F1" w14:textId="77777777" w:rsidR="00735CF0" w:rsidRPr="00A60652" w:rsidRDefault="00735CF0" w:rsidP="00C64D18">
            <w:pPr>
              <w:rPr>
                <w:rFonts w:ascii="Arial" w:hAnsi="Arial" w:cs="Arial"/>
                <w:sz w:val="20"/>
                <w:szCs w:val="20"/>
              </w:rPr>
            </w:pPr>
            <w:r w:rsidRPr="00A60652">
              <w:rPr>
                <w:rFonts w:ascii="Arial" w:hAnsi="Arial" w:cs="Arial"/>
                <w:sz w:val="20"/>
                <w:szCs w:val="20"/>
              </w:rPr>
              <w:t xml:space="preserve">Source: </w:t>
            </w:r>
            <w:r w:rsidR="00C64D18" w:rsidRPr="00A60652">
              <w:rPr>
                <w:rFonts w:ascii="Arial" w:hAnsi="Arial" w:cs="Arial"/>
                <w:sz w:val="20"/>
                <w:szCs w:val="20"/>
              </w:rPr>
              <w:t>PG&amp;E Calculations</w:t>
            </w:r>
          </w:p>
        </w:tc>
      </w:tr>
      <w:tr w:rsidR="00735CF0" w:rsidRPr="00783DAC" w14:paraId="1B3667F7" w14:textId="77777777" w:rsidTr="00783DAC">
        <w:trPr>
          <w:trHeight w:val="465"/>
        </w:trPr>
        <w:tc>
          <w:tcPr>
            <w:tcW w:w="4161" w:type="dxa"/>
            <w:shd w:val="pct5" w:color="000000" w:fill="FFFFFF"/>
          </w:tcPr>
          <w:p w14:paraId="1B3667F3" w14:textId="77777777" w:rsidR="00735CF0" w:rsidRPr="00A60652" w:rsidRDefault="00735CF0" w:rsidP="0028709C">
            <w:pPr>
              <w:rPr>
                <w:rFonts w:ascii="Arial" w:hAnsi="Arial" w:cs="Arial"/>
                <w:b/>
              </w:rPr>
            </w:pPr>
            <w:r w:rsidRPr="00A60652">
              <w:rPr>
                <w:rFonts w:ascii="Arial" w:hAnsi="Arial" w:cs="Arial"/>
                <w:b/>
              </w:rPr>
              <w:t>Measure Energy Consumption:</w:t>
            </w:r>
          </w:p>
          <w:p w14:paraId="1B3667F4" w14:textId="77777777" w:rsidR="00735CF0" w:rsidRPr="00A60652" w:rsidRDefault="00735CF0" w:rsidP="0028709C">
            <w:pPr>
              <w:rPr>
                <w:rFonts w:ascii="Arial" w:hAnsi="Arial" w:cs="Arial"/>
                <w:b/>
                <w:sz w:val="20"/>
                <w:szCs w:val="20"/>
              </w:rPr>
            </w:pPr>
          </w:p>
        </w:tc>
        <w:tc>
          <w:tcPr>
            <w:tcW w:w="5487" w:type="dxa"/>
            <w:shd w:val="pct5" w:color="000000" w:fill="FFFFFF"/>
          </w:tcPr>
          <w:p w14:paraId="1B3667F5" w14:textId="77777777"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14:paraId="1B3667F6" w14:textId="77777777" w:rsidR="00735CF0" w:rsidRPr="00A60652" w:rsidRDefault="00735CF0" w:rsidP="00C64D18">
            <w:pPr>
              <w:rPr>
                <w:rFonts w:ascii="Arial" w:hAnsi="Arial" w:cs="Arial"/>
                <w:sz w:val="20"/>
                <w:szCs w:val="20"/>
              </w:rPr>
            </w:pPr>
            <w:r w:rsidRPr="00A60652">
              <w:rPr>
                <w:rFonts w:ascii="Arial" w:hAnsi="Arial" w:cs="Arial"/>
                <w:sz w:val="20"/>
                <w:szCs w:val="20"/>
              </w:rPr>
              <w:t>Source: PG&amp;E Calculations.</w:t>
            </w:r>
          </w:p>
        </w:tc>
      </w:tr>
      <w:tr w:rsidR="00735CF0" w:rsidRPr="00783DAC" w14:paraId="1B3667FB" w14:textId="77777777" w:rsidTr="00783DAC">
        <w:trPr>
          <w:trHeight w:val="465"/>
        </w:trPr>
        <w:tc>
          <w:tcPr>
            <w:tcW w:w="4161" w:type="dxa"/>
            <w:shd w:val="pct20" w:color="000000" w:fill="FFFFFF"/>
          </w:tcPr>
          <w:p w14:paraId="1B3667F8" w14:textId="77777777" w:rsidR="00735CF0" w:rsidRPr="00A60652" w:rsidRDefault="00735CF0" w:rsidP="0028709C">
            <w:pPr>
              <w:rPr>
                <w:rFonts w:ascii="Arial" w:hAnsi="Arial" w:cs="Arial"/>
                <w:b/>
              </w:rPr>
            </w:pPr>
            <w:r w:rsidRPr="00A60652">
              <w:rPr>
                <w:rFonts w:ascii="Arial" w:hAnsi="Arial" w:cs="Arial"/>
                <w:b/>
              </w:rPr>
              <w:t>Energy Savings (Base Case – Measure)</w:t>
            </w:r>
          </w:p>
        </w:tc>
        <w:tc>
          <w:tcPr>
            <w:tcW w:w="5487" w:type="dxa"/>
            <w:shd w:val="pct20" w:color="000000" w:fill="FFFFFF"/>
          </w:tcPr>
          <w:p w14:paraId="1B3667F9" w14:textId="77777777"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14:paraId="1B3667FA" w14:textId="77777777" w:rsidR="00735CF0" w:rsidRPr="00A60652" w:rsidRDefault="00735CF0" w:rsidP="00C64D18">
            <w:pPr>
              <w:rPr>
                <w:rFonts w:ascii="Arial" w:hAnsi="Arial" w:cs="Arial"/>
                <w:sz w:val="20"/>
                <w:szCs w:val="20"/>
              </w:rPr>
            </w:pPr>
            <w:r w:rsidRPr="00A60652">
              <w:rPr>
                <w:rFonts w:ascii="Arial" w:hAnsi="Arial" w:cs="Arial"/>
                <w:sz w:val="20"/>
                <w:szCs w:val="20"/>
              </w:rPr>
              <w:t>Source: PG&amp;E Calculatio</w:t>
            </w:r>
            <w:r w:rsidR="00556258" w:rsidRPr="00A60652">
              <w:rPr>
                <w:rFonts w:ascii="Arial" w:hAnsi="Arial" w:cs="Arial"/>
                <w:sz w:val="20"/>
                <w:szCs w:val="20"/>
              </w:rPr>
              <w:t>ns</w:t>
            </w:r>
            <w:r w:rsidR="00C64D18" w:rsidRPr="00A60652">
              <w:rPr>
                <w:rFonts w:ascii="Arial" w:hAnsi="Arial" w:cs="Arial"/>
                <w:sz w:val="20"/>
                <w:szCs w:val="20"/>
              </w:rPr>
              <w:t>.</w:t>
            </w:r>
          </w:p>
        </w:tc>
      </w:tr>
      <w:tr w:rsidR="00735CF0" w:rsidRPr="00783DAC" w14:paraId="1B3667FE" w14:textId="77777777" w:rsidTr="00783DAC">
        <w:trPr>
          <w:trHeight w:val="465"/>
        </w:trPr>
        <w:tc>
          <w:tcPr>
            <w:tcW w:w="4161" w:type="dxa"/>
            <w:shd w:val="pct5" w:color="000000" w:fill="FFFFFF"/>
          </w:tcPr>
          <w:p w14:paraId="1B3667FC" w14:textId="77777777" w:rsidR="00735CF0" w:rsidRPr="00A60652" w:rsidRDefault="00735CF0" w:rsidP="0028709C">
            <w:pPr>
              <w:rPr>
                <w:rFonts w:ascii="Arial" w:hAnsi="Arial" w:cs="Arial"/>
                <w:b/>
              </w:rPr>
            </w:pPr>
            <w:r w:rsidRPr="00A60652">
              <w:rPr>
                <w:rFonts w:ascii="Arial" w:hAnsi="Arial" w:cs="Arial"/>
                <w:b/>
              </w:rPr>
              <w:t xml:space="preserve">Costs Common Units: </w:t>
            </w:r>
          </w:p>
        </w:tc>
        <w:tc>
          <w:tcPr>
            <w:tcW w:w="5487" w:type="dxa"/>
            <w:shd w:val="pct5" w:color="000000" w:fill="FFFFFF"/>
          </w:tcPr>
          <w:p w14:paraId="1B3667FD" w14:textId="77777777" w:rsidR="00735CF0" w:rsidRPr="00A60652" w:rsidRDefault="00735CF0" w:rsidP="0037707D">
            <w:pPr>
              <w:pStyle w:val="EndnoteText"/>
              <w:rPr>
                <w:rFonts w:ascii="Arial" w:hAnsi="Arial" w:cs="Arial"/>
              </w:rPr>
            </w:pPr>
            <w:r w:rsidRPr="00A60652">
              <w:rPr>
                <w:rFonts w:ascii="Arial" w:hAnsi="Arial" w:cs="Arial"/>
              </w:rPr>
              <w:t>$ per lamp.</w:t>
            </w:r>
          </w:p>
        </w:tc>
      </w:tr>
      <w:tr w:rsidR="00735CF0" w:rsidRPr="00783DAC" w14:paraId="1B366802" w14:textId="77777777" w:rsidTr="00783DAC">
        <w:trPr>
          <w:trHeight w:val="465"/>
        </w:trPr>
        <w:tc>
          <w:tcPr>
            <w:tcW w:w="4161" w:type="dxa"/>
            <w:shd w:val="pct20" w:color="000000" w:fill="FFFFFF"/>
          </w:tcPr>
          <w:p w14:paraId="1B3667FF" w14:textId="77777777" w:rsidR="00735CF0" w:rsidRPr="00A60652" w:rsidRDefault="00735CF0" w:rsidP="0028709C">
            <w:pPr>
              <w:rPr>
                <w:rFonts w:ascii="Arial" w:hAnsi="Arial" w:cs="Arial"/>
                <w:b/>
              </w:rPr>
            </w:pPr>
            <w:r w:rsidRPr="00A60652">
              <w:rPr>
                <w:rFonts w:ascii="Arial" w:hAnsi="Arial" w:cs="Arial"/>
                <w:b/>
              </w:rPr>
              <w:t>Base Case Equipment Cost ($/lamp):</w:t>
            </w:r>
          </w:p>
        </w:tc>
        <w:tc>
          <w:tcPr>
            <w:tcW w:w="5487" w:type="dxa"/>
            <w:shd w:val="pct20" w:color="000000" w:fill="FFFFFF"/>
          </w:tcPr>
          <w:p w14:paraId="1B366800" w14:textId="77777777"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14:paraId="1B366801" w14:textId="77777777" w:rsidR="00735CF0" w:rsidRPr="0074574E" w:rsidRDefault="00735CF0" w:rsidP="0082354A">
            <w:pPr>
              <w:rPr>
                <w:rFonts w:ascii="Arial" w:hAnsi="Arial" w:cs="Arial"/>
                <w:sz w:val="20"/>
                <w:szCs w:val="20"/>
              </w:rPr>
            </w:pPr>
          </w:p>
        </w:tc>
      </w:tr>
      <w:tr w:rsidR="00735CF0" w:rsidRPr="00783DAC" w14:paraId="1B366806" w14:textId="77777777" w:rsidTr="00783DAC">
        <w:trPr>
          <w:trHeight w:val="465"/>
        </w:trPr>
        <w:tc>
          <w:tcPr>
            <w:tcW w:w="4161" w:type="dxa"/>
            <w:shd w:val="pct5" w:color="000000" w:fill="FFFFFF"/>
          </w:tcPr>
          <w:p w14:paraId="1B366803" w14:textId="77777777" w:rsidR="00735CF0" w:rsidRPr="00A60652" w:rsidRDefault="00735CF0" w:rsidP="00D171B6">
            <w:pPr>
              <w:rPr>
                <w:rFonts w:ascii="Arial" w:hAnsi="Arial" w:cs="Arial"/>
                <w:b/>
              </w:rPr>
            </w:pPr>
            <w:r w:rsidRPr="00A60652">
              <w:rPr>
                <w:rFonts w:ascii="Arial" w:hAnsi="Arial" w:cs="Arial"/>
                <w:b/>
              </w:rPr>
              <w:t xml:space="preserve">Measure Equipment Cost ($/lamp): </w:t>
            </w:r>
          </w:p>
        </w:tc>
        <w:tc>
          <w:tcPr>
            <w:tcW w:w="5487" w:type="dxa"/>
            <w:shd w:val="pct5" w:color="000000" w:fill="FFFFFF"/>
          </w:tcPr>
          <w:p w14:paraId="1B366804" w14:textId="77777777"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14:paraId="1B366805" w14:textId="77777777" w:rsidR="00735CF0" w:rsidRPr="0074574E" w:rsidRDefault="00735CF0" w:rsidP="0037707D">
            <w:pPr>
              <w:rPr>
                <w:rFonts w:ascii="Arial" w:hAnsi="Arial" w:cs="Arial"/>
                <w:sz w:val="20"/>
                <w:szCs w:val="20"/>
              </w:rPr>
            </w:pPr>
          </w:p>
        </w:tc>
      </w:tr>
      <w:tr w:rsidR="00735CF0" w:rsidRPr="00783DAC" w14:paraId="1B36680A" w14:textId="77777777" w:rsidTr="00783DAC">
        <w:trPr>
          <w:trHeight w:val="465"/>
        </w:trPr>
        <w:tc>
          <w:tcPr>
            <w:tcW w:w="4161" w:type="dxa"/>
            <w:shd w:val="pct20" w:color="000000" w:fill="FFFFFF"/>
          </w:tcPr>
          <w:p w14:paraId="1B366807" w14:textId="77777777" w:rsidR="00735CF0" w:rsidRPr="00A60652" w:rsidRDefault="00735CF0" w:rsidP="00D171B6">
            <w:pPr>
              <w:rPr>
                <w:rFonts w:ascii="Arial" w:hAnsi="Arial" w:cs="Arial"/>
                <w:b/>
              </w:rPr>
            </w:pPr>
            <w:r w:rsidRPr="00A60652">
              <w:rPr>
                <w:rFonts w:ascii="Arial" w:hAnsi="Arial" w:cs="Arial"/>
                <w:b/>
              </w:rPr>
              <w:t>Gross Measure Cost ($/lamp)</w:t>
            </w:r>
          </w:p>
        </w:tc>
        <w:tc>
          <w:tcPr>
            <w:tcW w:w="5487" w:type="dxa"/>
            <w:shd w:val="pct20" w:color="000000" w:fill="FFFFFF"/>
          </w:tcPr>
          <w:p w14:paraId="1B366808" w14:textId="77777777" w:rsidR="00735CF0" w:rsidRPr="0074574E" w:rsidRDefault="00735CF0" w:rsidP="004464AA">
            <w:pPr>
              <w:rPr>
                <w:rFonts w:ascii="Arial" w:hAnsi="Arial" w:cs="Arial"/>
                <w:sz w:val="20"/>
                <w:szCs w:val="20"/>
              </w:rPr>
            </w:pPr>
            <w:r w:rsidRPr="0074574E">
              <w:rPr>
                <w:rFonts w:ascii="Arial" w:hAnsi="Arial" w:cs="Arial"/>
                <w:sz w:val="20"/>
                <w:szCs w:val="20"/>
              </w:rPr>
              <w:t xml:space="preserve">Various. </w:t>
            </w:r>
          </w:p>
          <w:p w14:paraId="1B366809" w14:textId="77777777" w:rsidR="00735CF0" w:rsidRPr="0074574E" w:rsidRDefault="00735CF0" w:rsidP="004464AA">
            <w:pPr>
              <w:rPr>
                <w:rFonts w:ascii="Arial" w:hAnsi="Arial" w:cs="Arial"/>
                <w:sz w:val="20"/>
                <w:szCs w:val="20"/>
              </w:rPr>
            </w:pPr>
          </w:p>
        </w:tc>
      </w:tr>
      <w:tr w:rsidR="00735CF0" w:rsidRPr="00783DAC" w14:paraId="1B36680E" w14:textId="77777777" w:rsidTr="00783DAC">
        <w:trPr>
          <w:trHeight w:val="465"/>
        </w:trPr>
        <w:tc>
          <w:tcPr>
            <w:tcW w:w="4161" w:type="dxa"/>
            <w:shd w:val="pct20" w:color="000000" w:fill="FFFFFF"/>
          </w:tcPr>
          <w:p w14:paraId="1B36680B" w14:textId="77777777" w:rsidR="00735CF0" w:rsidRPr="00A60652" w:rsidRDefault="00735CF0" w:rsidP="00D171B6">
            <w:pPr>
              <w:rPr>
                <w:rFonts w:ascii="Arial" w:hAnsi="Arial" w:cs="Arial"/>
                <w:b/>
              </w:rPr>
            </w:pPr>
            <w:bookmarkStart w:id="3" w:name="OLE_LINK1"/>
            <w:r w:rsidRPr="00A60652">
              <w:rPr>
                <w:rFonts w:ascii="Arial" w:hAnsi="Arial" w:cs="Arial"/>
                <w:b/>
              </w:rPr>
              <w:t xml:space="preserve">Measure Incremental Cost ($/lamp): </w:t>
            </w:r>
            <w:bookmarkEnd w:id="3"/>
          </w:p>
        </w:tc>
        <w:tc>
          <w:tcPr>
            <w:tcW w:w="5487" w:type="dxa"/>
            <w:shd w:val="pct20" w:color="000000" w:fill="FFFFFF"/>
          </w:tcPr>
          <w:p w14:paraId="1B36680C" w14:textId="77777777"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14:paraId="1B36680D" w14:textId="77777777" w:rsidR="00735CF0" w:rsidRPr="0074574E" w:rsidRDefault="00735CF0" w:rsidP="0037707D">
            <w:pPr>
              <w:rPr>
                <w:rFonts w:ascii="Arial" w:hAnsi="Arial" w:cs="Arial"/>
                <w:sz w:val="20"/>
                <w:szCs w:val="20"/>
              </w:rPr>
            </w:pPr>
          </w:p>
        </w:tc>
      </w:tr>
      <w:tr w:rsidR="00735CF0" w:rsidRPr="00783DAC" w14:paraId="1B366812" w14:textId="77777777" w:rsidTr="00783DAC">
        <w:trPr>
          <w:trHeight w:val="465"/>
        </w:trPr>
        <w:tc>
          <w:tcPr>
            <w:tcW w:w="4161" w:type="dxa"/>
            <w:shd w:val="pct5" w:color="000000" w:fill="FFFFFF"/>
          </w:tcPr>
          <w:p w14:paraId="1B36680F" w14:textId="77777777" w:rsidR="00735CF0" w:rsidRPr="00A60652" w:rsidRDefault="00735CF0" w:rsidP="0028709C">
            <w:pPr>
              <w:rPr>
                <w:rFonts w:ascii="Arial" w:hAnsi="Arial" w:cs="Arial"/>
                <w:b/>
              </w:rPr>
            </w:pPr>
            <w:r w:rsidRPr="00A60652">
              <w:rPr>
                <w:rFonts w:ascii="Arial" w:hAnsi="Arial" w:cs="Arial"/>
                <w:b/>
              </w:rPr>
              <w:t xml:space="preserve">Effective Useful Life (years): </w:t>
            </w:r>
          </w:p>
        </w:tc>
        <w:tc>
          <w:tcPr>
            <w:tcW w:w="5487" w:type="dxa"/>
            <w:shd w:val="pct5" w:color="000000" w:fill="FFFFFF"/>
          </w:tcPr>
          <w:p w14:paraId="1B366810" w14:textId="77777777"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14:paraId="1B366811" w14:textId="77777777" w:rsidR="00735CF0" w:rsidRPr="00A60652" w:rsidRDefault="00735CF0" w:rsidP="00C64D18">
            <w:pPr>
              <w:rPr>
                <w:rFonts w:ascii="Arial" w:hAnsi="Arial" w:cs="Arial"/>
                <w:sz w:val="20"/>
                <w:szCs w:val="20"/>
              </w:rPr>
            </w:pPr>
            <w:r w:rsidRPr="00A60652">
              <w:rPr>
                <w:rFonts w:ascii="Arial" w:hAnsi="Arial" w:cs="Arial"/>
                <w:sz w:val="20"/>
                <w:szCs w:val="20"/>
              </w:rPr>
              <w:t>Source</w:t>
            </w:r>
            <w:r w:rsidRPr="00692BD1">
              <w:rPr>
                <w:rFonts w:ascii="Arial" w:hAnsi="Arial" w:cs="Arial"/>
                <w:sz w:val="20"/>
                <w:szCs w:val="20"/>
              </w:rPr>
              <w:t>: 201</w:t>
            </w:r>
            <w:r w:rsidR="00C64D18" w:rsidRPr="00692BD1">
              <w:rPr>
                <w:rFonts w:ascii="Arial" w:hAnsi="Arial" w:cs="Arial"/>
                <w:sz w:val="20"/>
                <w:szCs w:val="20"/>
              </w:rPr>
              <w:t>6</w:t>
            </w:r>
            <w:r w:rsidRPr="00692BD1">
              <w:rPr>
                <w:rFonts w:ascii="Arial" w:hAnsi="Arial" w:cs="Arial"/>
                <w:sz w:val="20"/>
                <w:szCs w:val="20"/>
              </w:rPr>
              <w:t xml:space="preserve"> DEER</w:t>
            </w:r>
          </w:p>
        </w:tc>
      </w:tr>
      <w:tr w:rsidR="00735CF0" w:rsidRPr="00783DAC" w14:paraId="1B366815" w14:textId="77777777" w:rsidTr="00783DAC">
        <w:trPr>
          <w:trHeight w:val="465"/>
        </w:trPr>
        <w:tc>
          <w:tcPr>
            <w:tcW w:w="4161" w:type="dxa"/>
            <w:shd w:val="pct20" w:color="000000" w:fill="FFFFFF"/>
          </w:tcPr>
          <w:p w14:paraId="1B366813" w14:textId="77777777" w:rsidR="00735CF0" w:rsidRPr="00A60652" w:rsidRDefault="00735CF0" w:rsidP="0028709C">
            <w:pPr>
              <w:rPr>
                <w:rFonts w:ascii="Arial" w:hAnsi="Arial" w:cs="Arial"/>
                <w:b/>
              </w:rPr>
            </w:pPr>
            <w:r w:rsidRPr="00A60652">
              <w:rPr>
                <w:rFonts w:ascii="Arial" w:hAnsi="Arial" w:cs="Arial"/>
                <w:b/>
              </w:rPr>
              <w:t>Program Type:</w:t>
            </w:r>
          </w:p>
        </w:tc>
        <w:tc>
          <w:tcPr>
            <w:tcW w:w="5487" w:type="dxa"/>
            <w:shd w:val="pct20" w:color="000000" w:fill="FFFFFF"/>
          </w:tcPr>
          <w:p w14:paraId="1B366814" w14:textId="70EBF0DB" w:rsidR="00735CF0" w:rsidRPr="00A60652" w:rsidRDefault="00735CF0" w:rsidP="00C64D18">
            <w:pPr>
              <w:rPr>
                <w:rFonts w:ascii="Arial" w:hAnsi="Arial" w:cs="Arial"/>
                <w:sz w:val="20"/>
                <w:szCs w:val="20"/>
              </w:rPr>
            </w:pPr>
            <w:r w:rsidRPr="00A60652">
              <w:rPr>
                <w:rFonts w:ascii="Arial" w:hAnsi="Arial" w:cs="Arial"/>
                <w:sz w:val="20"/>
                <w:szCs w:val="20"/>
              </w:rPr>
              <w:t>ROB</w:t>
            </w:r>
            <w:r w:rsidR="008562C2">
              <w:rPr>
                <w:rFonts w:ascii="Arial" w:hAnsi="Arial" w:cs="Arial"/>
                <w:sz w:val="20"/>
                <w:szCs w:val="20"/>
              </w:rPr>
              <w:t>, ER</w:t>
            </w:r>
          </w:p>
        </w:tc>
      </w:tr>
      <w:tr w:rsidR="00735CF0" w:rsidRPr="00783DAC" w14:paraId="1B366827" w14:textId="77777777" w:rsidTr="000F654B">
        <w:trPr>
          <w:trHeight w:val="720"/>
        </w:trPr>
        <w:tc>
          <w:tcPr>
            <w:tcW w:w="4161" w:type="dxa"/>
            <w:shd w:val="pct5" w:color="000000" w:fill="FFFFFF"/>
          </w:tcPr>
          <w:p w14:paraId="1B366816" w14:textId="77777777" w:rsidR="00735CF0" w:rsidRPr="00A60652" w:rsidRDefault="00735CF0" w:rsidP="0028709C">
            <w:pPr>
              <w:rPr>
                <w:rFonts w:ascii="Arial" w:hAnsi="Arial" w:cs="Arial"/>
                <w:b/>
              </w:rPr>
            </w:pPr>
            <w:r w:rsidRPr="00A60652">
              <w:rPr>
                <w:rFonts w:ascii="Arial" w:hAnsi="Arial" w:cs="Arial"/>
                <w:b/>
              </w:rPr>
              <w:t xml:space="preserve">Net-to-Gross Ratios: </w:t>
            </w:r>
          </w:p>
        </w:tc>
        <w:tc>
          <w:tcPr>
            <w:tcW w:w="5487" w:type="dxa"/>
            <w:shd w:val="pct5" w:color="000000" w:fill="FFFFFF"/>
          </w:tcPr>
          <w:p w14:paraId="73FCBD46" w14:textId="77777777" w:rsidR="00F060E9" w:rsidRDefault="00F060E9" w:rsidP="004464AA">
            <w:pPr>
              <w:rPr>
                <w:rFonts w:ascii="Arial" w:hAnsi="Arial" w:cs="Arial"/>
                <w:sz w:val="20"/>
                <w:szCs w:val="20"/>
              </w:rPr>
            </w:pPr>
          </w:p>
          <w:tbl>
            <w:tblPr>
              <w:tblStyle w:val="TableGrid1"/>
              <w:tblW w:w="4218" w:type="dxa"/>
              <w:tblLook w:val="01E0" w:firstRow="1" w:lastRow="1" w:firstColumn="1" w:lastColumn="1" w:noHBand="0" w:noVBand="0"/>
            </w:tblPr>
            <w:tblGrid>
              <w:gridCol w:w="3162"/>
              <w:gridCol w:w="1056"/>
            </w:tblGrid>
            <w:tr w:rsidR="00F060E9" w:rsidRPr="00A60652" w14:paraId="3ADD9874" w14:textId="77777777" w:rsidTr="00F325AB">
              <w:tc>
                <w:tcPr>
                  <w:tcW w:w="3748" w:type="pct"/>
                  <w:shd w:val="clear" w:color="auto" w:fill="D9D9D9" w:themeFill="background1" w:themeFillShade="D9"/>
                  <w:vAlign w:val="center"/>
                </w:tcPr>
                <w:p w14:paraId="1BA501A2" w14:textId="77777777" w:rsidR="00F060E9" w:rsidRPr="006B6481" w:rsidRDefault="00F060E9" w:rsidP="00F325AB">
                  <w:pPr>
                    <w:jc w:val="center"/>
                    <w:rPr>
                      <w:rFonts w:ascii="Arial" w:hAnsi="Arial" w:cs="Arial"/>
                      <w:b/>
                      <w:sz w:val="20"/>
                      <w:szCs w:val="20"/>
                    </w:rPr>
                  </w:pPr>
                  <w:r w:rsidRPr="006B6481">
                    <w:rPr>
                      <w:rFonts w:ascii="Arial" w:hAnsi="Arial" w:cs="Arial"/>
                      <w:b/>
                      <w:sz w:val="20"/>
                      <w:szCs w:val="20"/>
                    </w:rPr>
                    <w:t>NTGR ID</w:t>
                  </w:r>
                </w:p>
              </w:tc>
              <w:tc>
                <w:tcPr>
                  <w:tcW w:w="1252" w:type="pct"/>
                  <w:shd w:val="clear" w:color="auto" w:fill="D9D9D9" w:themeFill="background1" w:themeFillShade="D9"/>
                  <w:vAlign w:val="center"/>
                </w:tcPr>
                <w:p w14:paraId="243C5D8C" w14:textId="77777777" w:rsidR="00F060E9" w:rsidRPr="00A60652" w:rsidRDefault="00F060E9" w:rsidP="00F325AB">
                  <w:pPr>
                    <w:jc w:val="center"/>
                    <w:rPr>
                      <w:rFonts w:ascii="Arial" w:hAnsi="Arial" w:cs="Arial"/>
                      <w:b/>
                      <w:sz w:val="20"/>
                      <w:szCs w:val="20"/>
                    </w:rPr>
                  </w:pPr>
                  <w:r w:rsidRPr="00A60652">
                    <w:rPr>
                      <w:rFonts w:ascii="Arial" w:hAnsi="Arial" w:cs="Arial"/>
                      <w:b/>
                      <w:sz w:val="20"/>
                      <w:szCs w:val="20"/>
                    </w:rPr>
                    <w:t>NTGR</w:t>
                  </w:r>
                </w:p>
              </w:tc>
            </w:tr>
            <w:tr w:rsidR="00AB5EE7" w:rsidRPr="00A60652" w14:paraId="590282BD" w14:textId="77777777" w:rsidTr="00F325AB">
              <w:tc>
                <w:tcPr>
                  <w:tcW w:w="3748" w:type="pct"/>
                  <w:vAlign w:val="center"/>
                </w:tcPr>
                <w:p w14:paraId="3EDFCA4C" w14:textId="2AED4CBF" w:rsidR="00AB5EE7" w:rsidRPr="006B6481" w:rsidRDefault="00D7079C" w:rsidP="00F325AB">
                  <w:pPr>
                    <w:jc w:val="center"/>
                    <w:rPr>
                      <w:rFonts w:ascii="Arial" w:hAnsi="Arial" w:cs="Arial"/>
                      <w:sz w:val="20"/>
                      <w:szCs w:val="20"/>
                    </w:rPr>
                  </w:pPr>
                  <w:r w:rsidRPr="00D7079C">
                    <w:rPr>
                      <w:rFonts w:ascii="Arial" w:hAnsi="Arial" w:cs="Arial"/>
                      <w:sz w:val="20"/>
                      <w:szCs w:val="20"/>
                    </w:rPr>
                    <w:t>All-Ltg-ScrwInLED</w:t>
                  </w:r>
                </w:p>
              </w:tc>
              <w:tc>
                <w:tcPr>
                  <w:tcW w:w="1252" w:type="pct"/>
                  <w:vAlign w:val="center"/>
                </w:tcPr>
                <w:p w14:paraId="2A60A764" w14:textId="746DEB3A" w:rsidR="00AB5EE7" w:rsidRPr="009E5087" w:rsidRDefault="00AB5EE7" w:rsidP="00F325AB">
                  <w:pPr>
                    <w:jc w:val="center"/>
                    <w:rPr>
                      <w:rFonts w:ascii="Arial" w:hAnsi="Arial" w:cs="Arial"/>
                      <w:color w:val="000000" w:themeColor="text1"/>
                      <w:sz w:val="20"/>
                      <w:szCs w:val="20"/>
                    </w:rPr>
                  </w:pPr>
                  <w:r>
                    <w:rPr>
                      <w:rFonts w:ascii="Arial" w:hAnsi="Arial" w:cs="Arial"/>
                      <w:color w:val="000000" w:themeColor="text1"/>
                      <w:sz w:val="20"/>
                      <w:szCs w:val="20"/>
                    </w:rPr>
                    <w:t>0.91</w:t>
                  </w:r>
                </w:p>
              </w:tc>
            </w:tr>
          </w:tbl>
          <w:p w14:paraId="1B366826" w14:textId="6FF71995" w:rsidR="00735CF0" w:rsidRPr="00A60652" w:rsidRDefault="00735CF0" w:rsidP="004464AA">
            <w:pPr>
              <w:rPr>
                <w:rFonts w:ascii="Arial" w:hAnsi="Arial" w:cs="Arial"/>
                <w:sz w:val="20"/>
                <w:szCs w:val="20"/>
              </w:rPr>
            </w:pPr>
            <w:r w:rsidRPr="00A60652">
              <w:rPr>
                <w:rFonts w:ascii="Arial" w:hAnsi="Arial" w:cs="Arial"/>
                <w:sz w:val="20"/>
                <w:szCs w:val="20"/>
              </w:rPr>
              <w:t xml:space="preserve">Source: </w:t>
            </w:r>
            <w:r w:rsidR="00D7079C" w:rsidRPr="000B044B">
              <w:rPr>
                <w:rFonts w:ascii="Arial" w:hAnsi="Arial" w:cs="Arial"/>
                <w:sz w:val="20"/>
                <w:szCs w:val="20"/>
              </w:rPr>
              <w:t>Disposition “</w:t>
            </w:r>
            <w:r w:rsidR="00D7079C">
              <w:rPr>
                <w:rFonts w:ascii="Arial" w:hAnsi="Arial" w:cs="Arial"/>
                <w:sz w:val="20"/>
                <w:szCs w:val="20"/>
              </w:rPr>
              <w:t>2018ScrewInLampSavingsMethods-1March2018</w:t>
            </w:r>
            <w:r w:rsidR="00D7079C" w:rsidRPr="000B044B">
              <w:rPr>
                <w:rFonts w:ascii="Arial" w:hAnsi="Arial" w:cs="Arial"/>
                <w:sz w:val="20"/>
                <w:szCs w:val="20"/>
              </w:rPr>
              <w:t>”</w:t>
            </w:r>
          </w:p>
        </w:tc>
      </w:tr>
      <w:tr w:rsidR="00735CF0" w:rsidRPr="00783DAC" w14:paraId="1B36682A" w14:textId="77777777" w:rsidTr="00783DAC">
        <w:trPr>
          <w:trHeight w:val="465"/>
        </w:trPr>
        <w:tc>
          <w:tcPr>
            <w:tcW w:w="4161" w:type="dxa"/>
            <w:shd w:val="pct20" w:color="000000" w:fill="FFFFFF"/>
          </w:tcPr>
          <w:p w14:paraId="1B366828" w14:textId="77777777" w:rsidR="00735CF0" w:rsidRPr="00A60652" w:rsidRDefault="00735CF0" w:rsidP="0028709C">
            <w:pPr>
              <w:rPr>
                <w:rFonts w:ascii="Arial" w:hAnsi="Arial" w:cs="Arial"/>
                <w:b/>
              </w:rPr>
            </w:pPr>
            <w:r w:rsidRPr="00A60652">
              <w:rPr>
                <w:rFonts w:ascii="Arial" w:hAnsi="Arial" w:cs="Arial"/>
                <w:b/>
              </w:rPr>
              <w:t>Important Comments:</w:t>
            </w:r>
          </w:p>
        </w:tc>
        <w:tc>
          <w:tcPr>
            <w:tcW w:w="5487" w:type="dxa"/>
            <w:shd w:val="pct20" w:color="000000" w:fill="FFFFFF"/>
          </w:tcPr>
          <w:p w14:paraId="1B366829" w14:textId="77777777" w:rsidR="00735CF0" w:rsidRPr="00A60652" w:rsidRDefault="00735CF0" w:rsidP="0028709C">
            <w:pPr>
              <w:rPr>
                <w:rFonts w:ascii="Arial" w:hAnsi="Arial" w:cs="Arial"/>
                <w:sz w:val="20"/>
                <w:szCs w:val="20"/>
              </w:rPr>
            </w:pPr>
          </w:p>
        </w:tc>
      </w:tr>
    </w:tbl>
    <w:p w14:paraId="1B36682B" w14:textId="77777777" w:rsidR="005F19E0" w:rsidRPr="005F19E0" w:rsidRDefault="006F0139" w:rsidP="0006490F">
      <w:pPr>
        <w:rPr>
          <w:rFonts w:ascii="Arial" w:hAnsi="Arial" w:cs="Arial"/>
          <w:b/>
          <w:color w:val="FF0000"/>
          <w:sz w:val="20"/>
          <w:szCs w:val="20"/>
        </w:rPr>
        <w:sectPr w:rsidR="005F19E0" w:rsidRPr="005F19E0" w:rsidSect="00913098">
          <w:headerReference w:type="default" r:id="rId11"/>
          <w:footerReference w:type="even" r:id="rId12"/>
          <w:footerReference w:type="default" r:id="rId13"/>
          <w:footerReference w:type="first" r:id="rId14"/>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1B36682C" w14:textId="77777777" w:rsidR="00E71EF1" w:rsidRDefault="00E71EF1" w:rsidP="001654F5">
      <w:pPr>
        <w:pStyle w:val="Heading1"/>
        <w:spacing w:before="120"/>
      </w:pPr>
      <w:bookmarkStart w:id="4" w:name="_Toc512857023"/>
      <w:r>
        <w:lastRenderedPageBreak/>
        <w:t>Document Revision History</w:t>
      </w:r>
      <w:bookmarkEnd w:id="4"/>
    </w:p>
    <w:p w14:paraId="1B36682D" w14:textId="77777777" w:rsidR="00E91C15" w:rsidRDefault="004203DD" w:rsidP="001A573F">
      <w:r>
        <w:t xml:space="preserve"> </w:t>
      </w:r>
      <w:r w:rsidR="00E91C15">
        <w:tab/>
      </w:r>
      <w:r w:rsidR="00E91C15">
        <w:tab/>
      </w:r>
      <w:r w:rsidR="00E91C15">
        <w:tab/>
      </w:r>
      <w:r w:rsidR="00E91C15">
        <w:tab/>
      </w:r>
      <w:r>
        <w:t xml:space="preserve"> </w:t>
      </w:r>
      <w:r w:rsidR="00E91C15">
        <w:t xml:space="preserve"> </w:t>
      </w:r>
    </w:p>
    <w:tbl>
      <w:tblPr>
        <w:tblStyle w:val="TableGrid1"/>
        <w:tblW w:w="4944" w:type="pct"/>
        <w:tblLook w:val="01E0" w:firstRow="1" w:lastRow="1" w:firstColumn="1" w:lastColumn="1" w:noHBand="0" w:noVBand="0"/>
      </w:tblPr>
      <w:tblGrid>
        <w:gridCol w:w="1550"/>
        <w:gridCol w:w="1317"/>
        <w:gridCol w:w="4081"/>
        <w:gridCol w:w="2521"/>
      </w:tblGrid>
      <w:tr w:rsidR="000374A5" w:rsidRPr="003E2AF6" w14:paraId="1B366832" w14:textId="77777777" w:rsidTr="00D7079C">
        <w:trPr>
          <w:trHeight w:val="464"/>
        </w:trPr>
        <w:tc>
          <w:tcPr>
            <w:tcW w:w="818" w:type="pct"/>
            <w:tcBorders>
              <w:bottom w:val="single" w:sz="4" w:space="0" w:color="auto"/>
            </w:tcBorders>
            <w:shd w:val="clear" w:color="auto" w:fill="D9D9D9" w:themeFill="background1" w:themeFillShade="D9"/>
          </w:tcPr>
          <w:p w14:paraId="1B36682E" w14:textId="77777777" w:rsidR="000374A5" w:rsidRPr="003E2AF6" w:rsidRDefault="000374A5" w:rsidP="000374A5">
            <w:pPr>
              <w:jc w:val="center"/>
              <w:rPr>
                <w:rFonts w:ascii="Arial" w:hAnsi="Arial" w:cs="Arial"/>
                <w:b/>
                <w:sz w:val="20"/>
              </w:rPr>
            </w:pPr>
            <w:r w:rsidRPr="003E2AF6">
              <w:rPr>
                <w:rFonts w:ascii="Arial" w:hAnsi="Arial" w:cs="Arial"/>
                <w:b/>
                <w:sz w:val="20"/>
              </w:rPr>
              <w:t>Revision #</w:t>
            </w:r>
            <w:r w:rsidRPr="003E2AF6">
              <w:rPr>
                <w:rFonts w:ascii="Arial" w:hAnsi="Arial" w:cs="Arial"/>
                <w:b/>
                <w:sz w:val="20"/>
              </w:rPr>
              <w:tab/>
            </w:r>
          </w:p>
        </w:tc>
        <w:tc>
          <w:tcPr>
            <w:tcW w:w="695" w:type="pct"/>
            <w:tcBorders>
              <w:bottom w:val="single" w:sz="4" w:space="0" w:color="auto"/>
            </w:tcBorders>
            <w:shd w:val="clear" w:color="auto" w:fill="D9D9D9" w:themeFill="background1" w:themeFillShade="D9"/>
          </w:tcPr>
          <w:p w14:paraId="1B36682F" w14:textId="77777777" w:rsidR="000374A5" w:rsidRPr="003E2AF6" w:rsidRDefault="000374A5" w:rsidP="000374A5">
            <w:pPr>
              <w:jc w:val="center"/>
              <w:rPr>
                <w:rFonts w:ascii="Arial" w:hAnsi="Arial" w:cs="Arial"/>
                <w:b/>
                <w:sz w:val="20"/>
              </w:rPr>
            </w:pPr>
            <w:r w:rsidRPr="003E2AF6">
              <w:rPr>
                <w:rFonts w:ascii="Arial" w:hAnsi="Arial" w:cs="Arial"/>
                <w:b/>
                <w:sz w:val="20"/>
              </w:rPr>
              <w:t xml:space="preserve">Date </w:t>
            </w:r>
            <w:r w:rsidRPr="003E2AF6">
              <w:rPr>
                <w:rFonts w:ascii="Arial" w:hAnsi="Arial" w:cs="Arial"/>
                <w:b/>
                <w:sz w:val="20"/>
              </w:rPr>
              <w:tab/>
            </w:r>
          </w:p>
        </w:tc>
        <w:tc>
          <w:tcPr>
            <w:tcW w:w="2155" w:type="pct"/>
            <w:tcBorders>
              <w:bottom w:val="single" w:sz="4" w:space="0" w:color="auto"/>
            </w:tcBorders>
            <w:shd w:val="clear" w:color="auto" w:fill="D9D9D9" w:themeFill="background1" w:themeFillShade="D9"/>
          </w:tcPr>
          <w:p w14:paraId="1B366830" w14:textId="77777777" w:rsidR="000374A5" w:rsidRPr="003E2AF6" w:rsidRDefault="000374A5" w:rsidP="000374A5">
            <w:pPr>
              <w:jc w:val="center"/>
              <w:rPr>
                <w:rFonts w:ascii="Arial" w:hAnsi="Arial" w:cs="Arial"/>
                <w:b/>
                <w:sz w:val="20"/>
              </w:rPr>
            </w:pPr>
            <w:r w:rsidRPr="003E2AF6">
              <w:rPr>
                <w:rFonts w:ascii="Arial" w:hAnsi="Arial" w:cs="Arial"/>
                <w:b/>
                <w:sz w:val="20"/>
              </w:rPr>
              <w:t>Section by Section Description of Revisions</w:t>
            </w:r>
          </w:p>
        </w:tc>
        <w:tc>
          <w:tcPr>
            <w:tcW w:w="1331" w:type="pct"/>
            <w:tcBorders>
              <w:bottom w:val="single" w:sz="4" w:space="0" w:color="auto"/>
            </w:tcBorders>
            <w:shd w:val="clear" w:color="auto" w:fill="D9D9D9" w:themeFill="background1" w:themeFillShade="D9"/>
          </w:tcPr>
          <w:p w14:paraId="1B366831" w14:textId="77777777" w:rsidR="000374A5" w:rsidRPr="003E2AF6" w:rsidRDefault="000374A5" w:rsidP="000374A5">
            <w:pPr>
              <w:jc w:val="center"/>
              <w:rPr>
                <w:rFonts w:ascii="Arial" w:hAnsi="Arial" w:cs="Arial"/>
                <w:b/>
                <w:sz w:val="20"/>
              </w:rPr>
            </w:pPr>
            <w:r w:rsidRPr="003E2AF6">
              <w:rPr>
                <w:rFonts w:ascii="Arial" w:hAnsi="Arial" w:cs="Arial"/>
                <w:b/>
                <w:sz w:val="20"/>
              </w:rPr>
              <w:t>Author (Company)</w:t>
            </w:r>
          </w:p>
        </w:tc>
      </w:tr>
      <w:tr w:rsidR="0068419D" w:rsidRPr="003E2AF6" w14:paraId="1B366838" w14:textId="77777777" w:rsidTr="00D7079C">
        <w:trPr>
          <w:trHeight w:val="464"/>
        </w:trPr>
        <w:tc>
          <w:tcPr>
            <w:tcW w:w="818" w:type="pct"/>
            <w:tcBorders>
              <w:bottom w:val="single" w:sz="4" w:space="0" w:color="auto"/>
            </w:tcBorders>
            <w:shd w:val="clear" w:color="auto" w:fill="auto"/>
          </w:tcPr>
          <w:p w14:paraId="1B366833" w14:textId="77777777" w:rsidR="0068419D" w:rsidRPr="003E2AF6" w:rsidRDefault="0068419D" w:rsidP="00913098">
            <w:pPr>
              <w:rPr>
                <w:rFonts w:ascii="Arial" w:hAnsi="Arial" w:cs="Arial"/>
                <w:sz w:val="20"/>
              </w:rPr>
            </w:pPr>
            <w:r w:rsidRPr="003E2AF6">
              <w:rPr>
                <w:rFonts w:ascii="Arial" w:hAnsi="Arial" w:cs="Arial"/>
                <w:sz w:val="20"/>
              </w:rPr>
              <w:t>Revision 0</w:t>
            </w:r>
          </w:p>
        </w:tc>
        <w:tc>
          <w:tcPr>
            <w:tcW w:w="695" w:type="pct"/>
            <w:tcBorders>
              <w:bottom w:val="single" w:sz="4" w:space="0" w:color="auto"/>
            </w:tcBorders>
            <w:shd w:val="clear" w:color="auto" w:fill="auto"/>
          </w:tcPr>
          <w:p w14:paraId="1B366834" w14:textId="77777777" w:rsidR="0068419D" w:rsidRPr="003E2AF6" w:rsidRDefault="0068419D" w:rsidP="00EB4486">
            <w:pPr>
              <w:rPr>
                <w:rFonts w:ascii="Arial" w:hAnsi="Arial" w:cs="Arial"/>
                <w:sz w:val="20"/>
              </w:rPr>
            </w:pPr>
            <w:r w:rsidRPr="003E2AF6">
              <w:rPr>
                <w:rFonts w:ascii="Arial" w:hAnsi="Arial" w:cs="Arial"/>
                <w:sz w:val="20"/>
              </w:rPr>
              <w:t>2/2</w:t>
            </w:r>
            <w:r w:rsidR="00946A66" w:rsidRPr="003E2AF6">
              <w:rPr>
                <w:rFonts w:ascii="Arial" w:hAnsi="Arial" w:cs="Arial"/>
                <w:sz w:val="20"/>
              </w:rPr>
              <w:t>6</w:t>
            </w:r>
            <w:r w:rsidRPr="003E2AF6">
              <w:rPr>
                <w:rFonts w:ascii="Arial" w:hAnsi="Arial" w:cs="Arial"/>
                <w:sz w:val="20"/>
              </w:rPr>
              <w:t>/13</w:t>
            </w:r>
          </w:p>
        </w:tc>
        <w:tc>
          <w:tcPr>
            <w:tcW w:w="2155" w:type="pct"/>
            <w:tcBorders>
              <w:bottom w:val="single" w:sz="4" w:space="0" w:color="auto"/>
            </w:tcBorders>
            <w:shd w:val="clear" w:color="auto" w:fill="auto"/>
          </w:tcPr>
          <w:p w14:paraId="1B366835" w14:textId="77777777" w:rsidR="0068419D" w:rsidRPr="003E2AF6" w:rsidRDefault="00DB2CE5" w:rsidP="00913098">
            <w:pPr>
              <w:rPr>
                <w:rFonts w:ascii="Arial" w:hAnsi="Arial" w:cs="Arial"/>
                <w:sz w:val="20"/>
              </w:rPr>
            </w:pPr>
            <w:r w:rsidRPr="003E2AF6">
              <w:rPr>
                <w:rFonts w:ascii="Arial" w:hAnsi="Arial" w:cs="Arial"/>
                <w:sz w:val="20"/>
              </w:rPr>
              <w:t>PGECOLTG177</w:t>
            </w:r>
            <w:r w:rsidR="0068419D" w:rsidRPr="003E2AF6">
              <w:rPr>
                <w:rFonts w:ascii="Arial" w:hAnsi="Arial" w:cs="Arial"/>
                <w:sz w:val="20"/>
              </w:rPr>
              <w:t xml:space="preserve"> R0 LED</w:t>
            </w:r>
            <w:r w:rsidR="00946A66" w:rsidRPr="003E2AF6">
              <w:rPr>
                <w:rFonts w:ascii="Arial" w:hAnsi="Arial" w:cs="Arial"/>
                <w:sz w:val="20"/>
              </w:rPr>
              <w:t xml:space="preserve"> BR/</w:t>
            </w:r>
            <w:r w:rsidR="0068419D" w:rsidRPr="003E2AF6">
              <w:rPr>
                <w:rFonts w:ascii="Arial" w:hAnsi="Arial" w:cs="Arial"/>
                <w:sz w:val="20"/>
              </w:rPr>
              <w:t>R-Lamps.doc</w:t>
            </w:r>
          </w:p>
          <w:p w14:paraId="1B366836" w14:textId="77777777" w:rsidR="0068419D" w:rsidRPr="003E2AF6" w:rsidRDefault="00D3706F" w:rsidP="00913098">
            <w:pPr>
              <w:rPr>
                <w:rFonts w:ascii="Arial" w:hAnsi="Arial" w:cs="Arial"/>
                <w:sz w:val="20"/>
              </w:rPr>
            </w:pPr>
            <w:r w:rsidRPr="003E2AF6">
              <w:rPr>
                <w:rFonts w:ascii="Arial" w:hAnsi="Arial" w:cs="Arial"/>
                <w:sz w:val="20"/>
              </w:rPr>
              <w:t>Original Workpaper</w:t>
            </w:r>
          </w:p>
        </w:tc>
        <w:tc>
          <w:tcPr>
            <w:tcW w:w="1331" w:type="pct"/>
            <w:tcBorders>
              <w:bottom w:val="single" w:sz="4" w:space="0" w:color="auto"/>
            </w:tcBorders>
            <w:shd w:val="clear" w:color="auto" w:fill="auto"/>
          </w:tcPr>
          <w:p w14:paraId="1B366837" w14:textId="77777777" w:rsidR="0068419D" w:rsidRPr="003E2AF6" w:rsidRDefault="0068419D" w:rsidP="00913098">
            <w:pPr>
              <w:rPr>
                <w:rFonts w:ascii="Arial" w:hAnsi="Arial" w:cs="Arial"/>
                <w:sz w:val="20"/>
              </w:rPr>
            </w:pPr>
            <w:r w:rsidRPr="003E2AF6">
              <w:rPr>
                <w:rFonts w:ascii="Arial" w:hAnsi="Arial" w:cs="Arial"/>
                <w:sz w:val="20"/>
              </w:rPr>
              <w:t xml:space="preserve">Alina Zohrabian (PG&amp;E) </w:t>
            </w:r>
          </w:p>
        </w:tc>
      </w:tr>
      <w:tr w:rsidR="00E2263B" w:rsidRPr="003E2AF6" w14:paraId="1B36683E" w14:textId="77777777" w:rsidTr="00D7079C">
        <w:trPr>
          <w:trHeight w:val="464"/>
        </w:trPr>
        <w:tc>
          <w:tcPr>
            <w:tcW w:w="818" w:type="pct"/>
            <w:tcBorders>
              <w:bottom w:val="single" w:sz="4" w:space="0" w:color="auto"/>
            </w:tcBorders>
            <w:shd w:val="clear" w:color="auto" w:fill="auto"/>
          </w:tcPr>
          <w:p w14:paraId="1B366839" w14:textId="77777777" w:rsidR="00E2263B" w:rsidRPr="003E2AF6" w:rsidRDefault="00E2263B" w:rsidP="00913098">
            <w:pPr>
              <w:rPr>
                <w:rFonts w:ascii="Arial" w:hAnsi="Arial" w:cs="Arial"/>
                <w:sz w:val="20"/>
              </w:rPr>
            </w:pPr>
            <w:r w:rsidRPr="003E2AF6">
              <w:rPr>
                <w:rFonts w:ascii="Arial" w:hAnsi="Arial" w:cs="Arial"/>
                <w:sz w:val="20"/>
              </w:rPr>
              <w:t>Revision 1</w:t>
            </w:r>
          </w:p>
        </w:tc>
        <w:tc>
          <w:tcPr>
            <w:tcW w:w="695" w:type="pct"/>
            <w:tcBorders>
              <w:bottom w:val="single" w:sz="4" w:space="0" w:color="auto"/>
            </w:tcBorders>
            <w:shd w:val="clear" w:color="auto" w:fill="auto"/>
          </w:tcPr>
          <w:p w14:paraId="1B36683A" w14:textId="77777777" w:rsidR="00E2263B" w:rsidRPr="003E2AF6" w:rsidRDefault="00E2263B" w:rsidP="00EB4486">
            <w:pPr>
              <w:rPr>
                <w:rFonts w:ascii="Arial" w:hAnsi="Arial" w:cs="Arial"/>
                <w:sz w:val="20"/>
              </w:rPr>
            </w:pPr>
            <w:r w:rsidRPr="003E2AF6">
              <w:rPr>
                <w:rFonts w:ascii="Arial" w:hAnsi="Arial" w:cs="Arial"/>
                <w:sz w:val="20"/>
              </w:rPr>
              <w:t>9/16/13</w:t>
            </w:r>
          </w:p>
        </w:tc>
        <w:tc>
          <w:tcPr>
            <w:tcW w:w="2155" w:type="pct"/>
            <w:tcBorders>
              <w:bottom w:val="single" w:sz="4" w:space="0" w:color="auto"/>
            </w:tcBorders>
            <w:shd w:val="clear" w:color="auto" w:fill="auto"/>
          </w:tcPr>
          <w:p w14:paraId="1B36683B" w14:textId="77777777" w:rsidR="00E2263B" w:rsidRPr="003E2AF6" w:rsidRDefault="00E2263B" w:rsidP="00913098">
            <w:pPr>
              <w:rPr>
                <w:rFonts w:ascii="Arial" w:hAnsi="Arial" w:cs="Arial"/>
                <w:sz w:val="20"/>
              </w:rPr>
            </w:pPr>
            <w:r w:rsidRPr="003E2AF6">
              <w:rPr>
                <w:rFonts w:ascii="Arial" w:hAnsi="Arial" w:cs="Arial"/>
                <w:sz w:val="20"/>
              </w:rPr>
              <w:t>PGECOLTG177 R1 LED BR/R-Lamps.doc</w:t>
            </w:r>
          </w:p>
          <w:p w14:paraId="1B36683C" w14:textId="77777777" w:rsidR="00E2263B" w:rsidRPr="003E2AF6" w:rsidRDefault="00E2263B" w:rsidP="00913098">
            <w:pPr>
              <w:rPr>
                <w:rFonts w:ascii="Arial" w:hAnsi="Arial" w:cs="Arial"/>
                <w:sz w:val="20"/>
              </w:rPr>
            </w:pPr>
            <w:r w:rsidRPr="003E2AF6">
              <w:rPr>
                <w:rFonts w:ascii="Arial" w:hAnsi="Arial" w:cs="Arial"/>
                <w:sz w:val="20"/>
              </w:rPr>
              <w:t>Created WRR from the original workpaper calculation and applied it to the lowest wattage in the range (based on a direction from a phone conversation with Kevin Madison</w:t>
            </w:r>
            <w:r w:rsidR="00A2542A" w:rsidRPr="003E2AF6">
              <w:rPr>
                <w:rFonts w:ascii="Arial" w:hAnsi="Arial" w:cs="Arial"/>
                <w:sz w:val="20"/>
              </w:rPr>
              <w:t xml:space="preserve"> on 9/12/13</w:t>
            </w:r>
            <w:r w:rsidRPr="003E2AF6">
              <w:rPr>
                <w:rFonts w:ascii="Arial" w:hAnsi="Arial" w:cs="Arial"/>
                <w:sz w:val="20"/>
              </w:rPr>
              <w:t>.</w:t>
            </w:r>
          </w:p>
        </w:tc>
        <w:tc>
          <w:tcPr>
            <w:tcW w:w="1331" w:type="pct"/>
            <w:tcBorders>
              <w:bottom w:val="single" w:sz="4" w:space="0" w:color="auto"/>
            </w:tcBorders>
            <w:shd w:val="clear" w:color="auto" w:fill="auto"/>
          </w:tcPr>
          <w:p w14:paraId="1B36683D" w14:textId="77777777" w:rsidR="00E2263B" w:rsidRPr="003E2AF6" w:rsidRDefault="00E2263B" w:rsidP="00913098">
            <w:pPr>
              <w:rPr>
                <w:rFonts w:ascii="Arial" w:hAnsi="Arial" w:cs="Arial"/>
                <w:sz w:val="20"/>
              </w:rPr>
            </w:pPr>
            <w:r w:rsidRPr="003E2AF6">
              <w:rPr>
                <w:rFonts w:ascii="Arial" w:hAnsi="Arial" w:cs="Arial"/>
                <w:sz w:val="20"/>
              </w:rPr>
              <w:t xml:space="preserve">Alina Zohrabian (PG&amp;E) </w:t>
            </w:r>
          </w:p>
        </w:tc>
      </w:tr>
      <w:tr w:rsidR="000D2D93" w:rsidRPr="003E2AF6" w14:paraId="1B366844" w14:textId="77777777" w:rsidTr="00D7079C">
        <w:trPr>
          <w:trHeight w:val="464"/>
        </w:trPr>
        <w:tc>
          <w:tcPr>
            <w:tcW w:w="818" w:type="pct"/>
            <w:tcBorders>
              <w:bottom w:val="single" w:sz="4" w:space="0" w:color="auto"/>
            </w:tcBorders>
            <w:shd w:val="clear" w:color="auto" w:fill="auto"/>
          </w:tcPr>
          <w:p w14:paraId="1B36683F" w14:textId="77777777" w:rsidR="000D2D93" w:rsidRPr="003E2AF6" w:rsidRDefault="000D2D93" w:rsidP="00913098">
            <w:pPr>
              <w:rPr>
                <w:rFonts w:ascii="Arial" w:hAnsi="Arial" w:cs="Arial"/>
                <w:sz w:val="20"/>
              </w:rPr>
            </w:pPr>
            <w:r w:rsidRPr="003E2AF6">
              <w:rPr>
                <w:rFonts w:ascii="Arial" w:hAnsi="Arial" w:cs="Arial"/>
                <w:sz w:val="20"/>
              </w:rPr>
              <w:t>Revision 1</w:t>
            </w:r>
          </w:p>
        </w:tc>
        <w:tc>
          <w:tcPr>
            <w:tcW w:w="695" w:type="pct"/>
            <w:tcBorders>
              <w:bottom w:val="single" w:sz="4" w:space="0" w:color="auto"/>
            </w:tcBorders>
            <w:shd w:val="clear" w:color="auto" w:fill="auto"/>
          </w:tcPr>
          <w:p w14:paraId="1B366840" w14:textId="77777777" w:rsidR="000D2D93" w:rsidRPr="003E2AF6" w:rsidRDefault="000D2D93" w:rsidP="00EB4486">
            <w:pPr>
              <w:rPr>
                <w:rFonts w:ascii="Arial" w:hAnsi="Arial" w:cs="Arial"/>
                <w:sz w:val="20"/>
              </w:rPr>
            </w:pPr>
            <w:r w:rsidRPr="003E2AF6">
              <w:rPr>
                <w:rFonts w:ascii="Arial" w:hAnsi="Arial" w:cs="Arial"/>
                <w:sz w:val="20"/>
              </w:rPr>
              <w:t>10/8/13</w:t>
            </w:r>
          </w:p>
        </w:tc>
        <w:tc>
          <w:tcPr>
            <w:tcW w:w="2155" w:type="pct"/>
            <w:tcBorders>
              <w:bottom w:val="single" w:sz="4" w:space="0" w:color="auto"/>
            </w:tcBorders>
            <w:shd w:val="clear" w:color="auto" w:fill="auto"/>
          </w:tcPr>
          <w:p w14:paraId="1B366841" w14:textId="77777777" w:rsidR="000D2D93" w:rsidRPr="003E2AF6" w:rsidRDefault="000D2D93" w:rsidP="00913098">
            <w:pPr>
              <w:rPr>
                <w:rFonts w:ascii="Arial" w:hAnsi="Arial" w:cs="Arial"/>
                <w:sz w:val="20"/>
              </w:rPr>
            </w:pPr>
            <w:r w:rsidRPr="003E2AF6">
              <w:rPr>
                <w:rFonts w:ascii="Arial" w:hAnsi="Arial" w:cs="Arial"/>
                <w:sz w:val="20"/>
              </w:rPr>
              <w:t>PGECOLTG177 R1 LED BR/R-Lamps.doc</w:t>
            </w:r>
          </w:p>
          <w:p w14:paraId="1B366842" w14:textId="77777777" w:rsidR="000D2D93" w:rsidRPr="003E2AF6" w:rsidRDefault="000D2D93" w:rsidP="00913098">
            <w:pPr>
              <w:rPr>
                <w:rFonts w:ascii="Arial" w:hAnsi="Arial" w:cs="Arial"/>
                <w:sz w:val="20"/>
              </w:rPr>
            </w:pPr>
            <w:r w:rsidRPr="003E2AF6">
              <w:rPr>
                <w:rFonts w:ascii="Arial" w:hAnsi="Arial" w:cs="Arial"/>
                <w:sz w:val="20"/>
              </w:rPr>
              <w:t>Revised program description</w:t>
            </w:r>
          </w:p>
        </w:tc>
        <w:tc>
          <w:tcPr>
            <w:tcW w:w="1331" w:type="pct"/>
            <w:tcBorders>
              <w:bottom w:val="single" w:sz="4" w:space="0" w:color="auto"/>
            </w:tcBorders>
            <w:shd w:val="clear" w:color="auto" w:fill="auto"/>
          </w:tcPr>
          <w:p w14:paraId="1B366843" w14:textId="77777777" w:rsidR="000D2D93" w:rsidRPr="003E2AF6" w:rsidRDefault="000D2D93" w:rsidP="00913098">
            <w:pPr>
              <w:rPr>
                <w:rFonts w:ascii="Arial" w:hAnsi="Arial" w:cs="Arial"/>
                <w:sz w:val="20"/>
              </w:rPr>
            </w:pPr>
            <w:r w:rsidRPr="003E2AF6">
              <w:rPr>
                <w:rFonts w:ascii="Arial" w:hAnsi="Arial" w:cs="Arial"/>
                <w:sz w:val="20"/>
              </w:rPr>
              <w:t xml:space="preserve">Alina Zohrabian (PG&amp;E) </w:t>
            </w:r>
          </w:p>
        </w:tc>
      </w:tr>
      <w:tr w:rsidR="00E610A2" w:rsidRPr="003E2AF6" w14:paraId="1B36684A" w14:textId="77777777" w:rsidTr="00D7079C">
        <w:trPr>
          <w:trHeight w:val="464"/>
        </w:trPr>
        <w:tc>
          <w:tcPr>
            <w:tcW w:w="818" w:type="pct"/>
            <w:tcBorders>
              <w:bottom w:val="single" w:sz="4" w:space="0" w:color="auto"/>
            </w:tcBorders>
            <w:shd w:val="clear" w:color="auto" w:fill="auto"/>
          </w:tcPr>
          <w:p w14:paraId="1B366845" w14:textId="77777777" w:rsidR="00E610A2" w:rsidRPr="003E2AF6" w:rsidRDefault="00E610A2" w:rsidP="00913098">
            <w:pPr>
              <w:rPr>
                <w:rFonts w:ascii="Arial" w:hAnsi="Arial" w:cs="Arial"/>
                <w:sz w:val="20"/>
              </w:rPr>
            </w:pPr>
            <w:r w:rsidRPr="003E2AF6">
              <w:rPr>
                <w:rFonts w:ascii="Arial" w:hAnsi="Arial" w:cs="Arial"/>
                <w:sz w:val="20"/>
              </w:rPr>
              <w:t>Revision 2</w:t>
            </w:r>
          </w:p>
        </w:tc>
        <w:tc>
          <w:tcPr>
            <w:tcW w:w="695" w:type="pct"/>
            <w:tcBorders>
              <w:bottom w:val="single" w:sz="4" w:space="0" w:color="auto"/>
            </w:tcBorders>
            <w:shd w:val="clear" w:color="auto" w:fill="auto"/>
          </w:tcPr>
          <w:p w14:paraId="1B366846" w14:textId="77777777" w:rsidR="00E610A2" w:rsidRPr="003E2AF6" w:rsidRDefault="00E610A2" w:rsidP="00EB4486">
            <w:pPr>
              <w:rPr>
                <w:rFonts w:ascii="Arial" w:hAnsi="Arial" w:cs="Arial"/>
                <w:sz w:val="20"/>
              </w:rPr>
            </w:pPr>
            <w:r w:rsidRPr="003E2AF6">
              <w:rPr>
                <w:rFonts w:ascii="Arial" w:hAnsi="Arial" w:cs="Arial"/>
                <w:sz w:val="20"/>
              </w:rPr>
              <w:t>5/7/14</w:t>
            </w:r>
          </w:p>
        </w:tc>
        <w:tc>
          <w:tcPr>
            <w:tcW w:w="2155" w:type="pct"/>
            <w:tcBorders>
              <w:bottom w:val="single" w:sz="4" w:space="0" w:color="auto"/>
            </w:tcBorders>
            <w:shd w:val="clear" w:color="auto" w:fill="auto"/>
          </w:tcPr>
          <w:p w14:paraId="1B366847" w14:textId="77777777" w:rsidR="00E610A2" w:rsidRPr="003E2AF6" w:rsidRDefault="00E610A2" w:rsidP="00913098">
            <w:pPr>
              <w:rPr>
                <w:rFonts w:ascii="Arial" w:hAnsi="Arial" w:cs="Arial"/>
                <w:sz w:val="20"/>
              </w:rPr>
            </w:pPr>
            <w:r w:rsidRPr="003E2AF6">
              <w:rPr>
                <w:rFonts w:ascii="Arial" w:hAnsi="Arial" w:cs="Arial"/>
                <w:sz w:val="20"/>
              </w:rPr>
              <w:t xml:space="preserve">PGECOLTG177 R2 LED BR/R-Lamps.doc </w:t>
            </w:r>
          </w:p>
          <w:p w14:paraId="1B366848" w14:textId="77777777" w:rsidR="00E610A2" w:rsidRPr="003E2AF6" w:rsidRDefault="00E610A2" w:rsidP="00913098">
            <w:pPr>
              <w:rPr>
                <w:rFonts w:ascii="Arial" w:hAnsi="Arial" w:cs="Arial"/>
                <w:sz w:val="20"/>
              </w:rPr>
            </w:pPr>
            <w:r w:rsidRPr="003E2AF6">
              <w:rPr>
                <w:rFonts w:ascii="Arial" w:hAnsi="Arial" w:cs="Arial"/>
                <w:sz w:val="20"/>
              </w:rPr>
              <w:t>Added DI values (No original DI workpaper existed) and Revised savings values per ED workpaper Disposition for lighting Retrofit, December 14, 2013. For updated savings values, see file PGECOLTG177 R2.xlsx</w:t>
            </w:r>
          </w:p>
        </w:tc>
        <w:tc>
          <w:tcPr>
            <w:tcW w:w="1331" w:type="pct"/>
            <w:tcBorders>
              <w:bottom w:val="single" w:sz="4" w:space="0" w:color="auto"/>
            </w:tcBorders>
            <w:shd w:val="clear" w:color="auto" w:fill="auto"/>
          </w:tcPr>
          <w:p w14:paraId="1B366849" w14:textId="77777777" w:rsidR="00E610A2" w:rsidRPr="003E2AF6" w:rsidRDefault="00E610A2" w:rsidP="00913098">
            <w:pPr>
              <w:rPr>
                <w:rFonts w:ascii="Arial" w:hAnsi="Arial" w:cs="Arial"/>
                <w:sz w:val="20"/>
              </w:rPr>
            </w:pPr>
            <w:r w:rsidRPr="003E2AF6">
              <w:rPr>
                <w:rFonts w:ascii="Arial" w:hAnsi="Arial" w:cs="Arial"/>
                <w:sz w:val="20"/>
              </w:rPr>
              <w:t>Alina Zohrabian (PG&amp;E)</w:t>
            </w:r>
          </w:p>
        </w:tc>
      </w:tr>
      <w:tr w:rsidR="00913098" w:rsidRPr="003E2AF6" w14:paraId="1B36684F" w14:textId="77777777" w:rsidTr="00D7079C">
        <w:trPr>
          <w:trHeight w:val="1079"/>
        </w:trPr>
        <w:tc>
          <w:tcPr>
            <w:tcW w:w="818" w:type="pct"/>
            <w:tcBorders>
              <w:bottom w:val="single" w:sz="4" w:space="0" w:color="auto"/>
            </w:tcBorders>
            <w:shd w:val="clear" w:color="auto" w:fill="auto"/>
          </w:tcPr>
          <w:p w14:paraId="1B36684B" w14:textId="77777777" w:rsidR="00913098" w:rsidRPr="003E2AF6" w:rsidRDefault="00913098" w:rsidP="00913098">
            <w:pPr>
              <w:rPr>
                <w:rFonts w:ascii="Arial" w:hAnsi="Arial" w:cs="Arial"/>
                <w:sz w:val="20"/>
              </w:rPr>
            </w:pPr>
            <w:r w:rsidRPr="003E2AF6">
              <w:rPr>
                <w:rFonts w:ascii="Arial" w:hAnsi="Arial" w:cs="Arial"/>
                <w:sz w:val="20"/>
              </w:rPr>
              <w:t>Revision 3</w:t>
            </w:r>
          </w:p>
        </w:tc>
        <w:tc>
          <w:tcPr>
            <w:tcW w:w="695" w:type="pct"/>
            <w:tcBorders>
              <w:bottom w:val="single" w:sz="4" w:space="0" w:color="auto"/>
            </w:tcBorders>
            <w:shd w:val="clear" w:color="auto" w:fill="auto"/>
          </w:tcPr>
          <w:p w14:paraId="1B36684C" w14:textId="77777777" w:rsidR="00913098" w:rsidRPr="003E2AF6" w:rsidRDefault="00913098" w:rsidP="00EB4486">
            <w:pPr>
              <w:rPr>
                <w:rFonts w:ascii="Arial" w:hAnsi="Arial" w:cs="Arial"/>
                <w:sz w:val="20"/>
              </w:rPr>
            </w:pPr>
            <w:r w:rsidRPr="003E2AF6">
              <w:rPr>
                <w:rFonts w:ascii="Arial" w:hAnsi="Arial" w:cs="Arial"/>
                <w:sz w:val="20"/>
              </w:rPr>
              <w:t>1/1/2016</w:t>
            </w:r>
          </w:p>
        </w:tc>
        <w:tc>
          <w:tcPr>
            <w:tcW w:w="2155" w:type="pct"/>
            <w:tcBorders>
              <w:bottom w:val="single" w:sz="4" w:space="0" w:color="auto"/>
            </w:tcBorders>
            <w:shd w:val="clear" w:color="auto" w:fill="auto"/>
          </w:tcPr>
          <w:p w14:paraId="1B36684D" w14:textId="77777777" w:rsidR="00913098" w:rsidRPr="003E2AF6" w:rsidRDefault="00366971" w:rsidP="00366971">
            <w:pPr>
              <w:rPr>
                <w:rFonts w:ascii="Arial" w:hAnsi="Arial" w:cs="Arial"/>
                <w:sz w:val="20"/>
              </w:rPr>
            </w:pPr>
            <w:r w:rsidRPr="003E2AF6">
              <w:rPr>
                <w:rFonts w:ascii="Arial" w:hAnsi="Arial" w:cs="Arial"/>
                <w:sz w:val="20"/>
              </w:rPr>
              <w:t xml:space="preserve">Updated </w:t>
            </w:r>
            <w:r w:rsidR="001D3DFF" w:rsidRPr="003E2AF6">
              <w:rPr>
                <w:rFonts w:ascii="Arial" w:hAnsi="Arial" w:cs="Arial"/>
                <w:sz w:val="20"/>
              </w:rPr>
              <w:t xml:space="preserve">NTG, GSIA, </w:t>
            </w:r>
            <w:r w:rsidRPr="003E2AF6">
              <w:rPr>
                <w:rFonts w:ascii="Arial" w:hAnsi="Arial" w:cs="Arial"/>
                <w:sz w:val="20"/>
              </w:rPr>
              <w:t xml:space="preserve">EUL, </w:t>
            </w:r>
            <w:r w:rsidR="00963DB2">
              <w:rPr>
                <w:rFonts w:ascii="Arial" w:hAnsi="Arial" w:cs="Arial"/>
                <w:sz w:val="20"/>
              </w:rPr>
              <w:t xml:space="preserve">annual </w:t>
            </w:r>
            <w:r w:rsidRPr="003E2AF6">
              <w:rPr>
                <w:rFonts w:ascii="Arial" w:hAnsi="Arial" w:cs="Arial"/>
                <w:sz w:val="20"/>
              </w:rPr>
              <w:t>hours of operation, CDF, and IE per DEER 2016.  Base case costs and measure costs have also been updated.</w:t>
            </w:r>
          </w:p>
        </w:tc>
        <w:tc>
          <w:tcPr>
            <w:tcW w:w="1331" w:type="pct"/>
            <w:tcBorders>
              <w:bottom w:val="single" w:sz="4" w:space="0" w:color="auto"/>
            </w:tcBorders>
            <w:shd w:val="clear" w:color="auto" w:fill="auto"/>
          </w:tcPr>
          <w:p w14:paraId="1B36684E" w14:textId="77777777" w:rsidR="00913098" w:rsidRPr="003E2AF6" w:rsidRDefault="00913098" w:rsidP="00913098">
            <w:pPr>
              <w:rPr>
                <w:rFonts w:ascii="Arial" w:hAnsi="Arial" w:cs="Arial"/>
                <w:sz w:val="20"/>
              </w:rPr>
            </w:pPr>
            <w:r w:rsidRPr="003E2AF6">
              <w:rPr>
                <w:rFonts w:ascii="Arial" w:hAnsi="Arial" w:cs="Arial"/>
                <w:sz w:val="20"/>
              </w:rPr>
              <w:t>Linda Wan (PG&amp;E)/ Alina Zohrabian (PG&amp;E)</w:t>
            </w:r>
          </w:p>
        </w:tc>
      </w:tr>
      <w:tr w:rsidR="00AF6B71" w:rsidRPr="003E2AF6" w14:paraId="5B437DA9" w14:textId="77777777" w:rsidTr="00D7079C">
        <w:trPr>
          <w:trHeight w:val="464"/>
        </w:trPr>
        <w:tc>
          <w:tcPr>
            <w:tcW w:w="818" w:type="pct"/>
            <w:tcBorders>
              <w:bottom w:val="single" w:sz="4" w:space="0" w:color="auto"/>
            </w:tcBorders>
            <w:shd w:val="clear" w:color="auto" w:fill="auto"/>
          </w:tcPr>
          <w:p w14:paraId="6E5FCAA8" w14:textId="348B0FAE" w:rsidR="00AF6B71" w:rsidRPr="003E2AF6" w:rsidRDefault="00AF6B71" w:rsidP="00913098">
            <w:pPr>
              <w:rPr>
                <w:rFonts w:ascii="Arial" w:hAnsi="Arial" w:cs="Arial"/>
                <w:sz w:val="20"/>
              </w:rPr>
            </w:pPr>
            <w:r w:rsidRPr="003E2AF6">
              <w:rPr>
                <w:rFonts w:ascii="Arial" w:hAnsi="Arial" w:cs="Arial"/>
                <w:sz w:val="20"/>
              </w:rPr>
              <w:t xml:space="preserve">Revision </w:t>
            </w:r>
            <w:r w:rsidR="000C311F">
              <w:rPr>
                <w:rFonts w:ascii="Arial" w:hAnsi="Arial" w:cs="Arial"/>
                <w:sz w:val="20"/>
              </w:rPr>
              <w:t>4</w:t>
            </w:r>
          </w:p>
        </w:tc>
        <w:tc>
          <w:tcPr>
            <w:tcW w:w="695" w:type="pct"/>
            <w:tcBorders>
              <w:bottom w:val="single" w:sz="4" w:space="0" w:color="auto"/>
            </w:tcBorders>
            <w:shd w:val="clear" w:color="auto" w:fill="auto"/>
          </w:tcPr>
          <w:p w14:paraId="6BEE87E3" w14:textId="7F448F34" w:rsidR="00AF6B71" w:rsidRPr="003E2AF6" w:rsidRDefault="00AF6B71" w:rsidP="00EB4486">
            <w:pPr>
              <w:rPr>
                <w:rFonts w:ascii="Arial" w:hAnsi="Arial" w:cs="Arial"/>
                <w:sz w:val="20"/>
              </w:rPr>
            </w:pPr>
            <w:r w:rsidRPr="003E2AF6">
              <w:rPr>
                <w:rFonts w:ascii="Arial" w:hAnsi="Arial" w:cs="Arial"/>
                <w:sz w:val="20"/>
              </w:rPr>
              <w:t>1</w:t>
            </w:r>
            <w:r w:rsidR="00A12872">
              <w:rPr>
                <w:rFonts w:ascii="Arial" w:hAnsi="Arial" w:cs="Arial"/>
                <w:sz w:val="20"/>
              </w:rPr>
              <w:t>1/28</w:t>
            </w:r>
            <w:r w:rsidRPr="003E2AF6">
              <w:rPr>
                <w:rFonts w:ascii="Arial" w:hAnsi="Arial" w:cs="Arial"/>
                <w:sz w:val="20"/>
              </w:rPr>
              <w:t>/2016</w:t>
            </w:r>
          </w:p>
        </w:tc>
        <w:tc>
          <w:tcPr>
            <w:tcW w:w="2155" w:type="pct"/>
            <w:tcBorders>
              <w:bottom w:val="single" w:sz="4" w:space="0" w:color="auto"/>
            </w:tcBorders>
            <w:shd w:val="clear" w:color="auto" w:fill="auto"/>
          </w:tcPr>
          <w:p w14:paraId="38E00F38" w14:textId="1B4B1793" w:rsidR="00AF6B71" w:rsidRPr="003E2AF6" w:rsidRDefault="000C311F" w:rsidP="00366971">
            <w:pPr>
              <w:rPr>
                <w:rFonts w:ascii="Arial" w:hAnsi="Arial" w:cs="Arial"/>
                <w:sz w:val="20"/>
              </w:rPr>
            </w:pPr>
            <w:r w:rsidRPr="00470E34">
              <w:rPr>
                <w:rFonts w:ascii="Arial" w:hAnsi="Arial" w:cs="Arial"/>
                <w:sz w:val="20"/>
                <w:szCs w:val="20"/>
              </w:rPr>
              <w:t>Updated Residential Interactive Effect(IE) per DEER 2017</w:t>
            </w:r>
          </w:p>
        </w:tc>
        <w:tc>
          <w:tcPr>
            <w:tcW w:w="1331" w:type="pct"/>
            <w:tcBorders>
              <w:bottom w:val="single" w:sz="4" w:space="0" w:color="auto"/>
            </w:tcBorders>
            <w:shd w:val="clear" w:color="auto" w:fill="auto"/>
          </w:tcPr>
          <w:p w14:paraId="06B4A5A6" w14:textId="261E3BEB" w:rsidR="00AF6B71" w:rsidRPr="003E2AF6" w:rsidRDefault="00A12872" w:rsidP="00913098">
            <w:pPr>
              <w:rPr>
                <w:rFonts w:ascii="Arial" w:hAnsi="Arial" w:cs="Arial"/>
                <w:sz w:val="20"/>
              </w:rPr>
            </w:pPr>
            <w:r>
              <w:rPr>
                <w:rFonts w:ascii="Arial" w:hAnsi="Arial" w:cs="Arial"/>
                <w:sz w:val="20"/>
              </w:rPr>
              <w:t>Mini Damodaran</w:t>
            </w:r>
            <w:r w:rsidR="00AF6B71" w:rsidRPr="003E2AF6">
              <w:rPr>
                <w:rFonts w:ascii="Arial" w:hAnsi="Arial" w:cs="Arial"/>
                <w:sz w:val="20"/>
              </w:rPr>
              <w:t xml:space="preserve"> (PG&amp;E)/ Alina Zohrabian (PG&amp;E)</w:t>
            </w:r>
          </w:p>
        </w:tc>
      </w:tr>
      <w:tr w:rsidR="005F1DD3" w:rsidRPr="003E2AF6" w14:paraId="27BA426D" w14:textId="77777777" w:rsidTr="00D7079C">
        <w:trPr>
          <w:trHeight w:val="464"/>
        </w:trPr>
        <w:tc>
          <w:tcPr>
            <w:tcW w:w="818" w:type="pct"/>
            <w:shd w:val="clear" w:color="auto" w:fill="auto"/>
          </w:tcPr>
          <w:p w14:paraId="187D73EA" w14:textId="0D3F2A93" w:rsidR="005F1DD3" w:rsidRPr="003E2AF6" w:rsidRDefault="005F1DD3" w:rsidP="00913098">
            <w:pPr>
              <w:rPr>
                <w:rFonts w:ascii="Arial" w:hAnsi="Arial" w:cs="Arial"/>
                <w:sz w:val="20"/>
              </w:rPr>
            </w:pPr>
            <w:r w:rsidRPr="003E2AF6">
              <w:rPr>
                <w:rFonts w:ascii="Arial" w:hAnsi="Arial" w:cs="Arial"/>
                <w:sz w:val="20"/>
              </w:rPr>
              <w:t xml:space="preserve">Revision </w:t>
            </w:r>
            <w:r>
              <w:rPr>
                <w:rFonts w:ascii="Arial" w:hAnsi="Arial" w:cs="Arial"/>
                <w:sz w:val="20"/>
              </w:rPr>
              <w:t>5</w:t>
            </w:r>
          </w:p>
        </w:tc>
        <w:tc>
          <w:tcPr>
            <w:tcW w:w="695" w:type="pct"/>
            <w:shd w:val="clear" w:color="auto" w:fill="auto"/>
          </w:tcPr>
          <w:p w14:paraId="1FD4965A" w14:textId="4D3A6C12" w:rsidR="005F1DD3" w:rsidRPr="003E2AF6" w:rsidRDefault="005F1DD3" w:rsidP="00EB4486">
            <w:pPr>
              <w:rPr>
                <w:rFonts w:ascii="Arial" w:hAnsi="Arial" w:cs="Arial"/>
                <w:sz w:val="20"/>
              </w:rPr>
            </w:pPr>
            <w:r>
              <w:rPr>
                <w:rFonts w:ascii="Arial" w:hAnsi="Arial" w:cs="Arial"/>
                <w:sz w:val="20"/>
              </w:rPr>
              <w:t>6/7</w:t>
            </w:r>
            <w:r w:rsidRPr="003E2AF6">
              <w:rPr>
                <w:rFonts w:ascii="Arial" w:hAnsi="Arial" w:cs="Arial"/>
                <w:sz w:val="20"/>
              </w:rPr>
              <w:t>/201</w:t>
            </w:r>
            <w:r>
              <w:rPr>
                <w:rFonts w:ascii="Arial" w:hAnsi="Arial" w:cs="Arial"/>
                <w:sz w:val="20"/>
              </w:rPr>
              <w:t>7</w:t>
            </w:r>
          </w:p>
        </w:tc>
        <w:tc>
          <w:tcPr>
            <w:tcW w:w="2155" w:type="pct"/>
            <w:shd w:val="clear" w:color="auto" w:fill="auto"/>
          </w:tcPr>
          <w:p w14:paraId="3998B2F8" w14:textId="79DC4222" w:rsidR="005F1DD3" w:rsidRPr="00470E34" w:rsidRDefault="005F1DD3" w:rsidP="00366971">
            <w:pPr>
              <w:rPr>
                <w:rFonts w:ascii="Arial" w:hAnsi="Arial" w:cs="Arial"/>
                <w:sz w:val="20"/>
                <w:szCs w:val="20"/>
              </w:rPr>
            </w:pPr>
            <w:r>
              <w:rPr>
                <w:rFonts w:ascii="Arial" w:hAnsi="Arial" w:cs="Arial"/>
                <w:sz w:val="20"/>
                <w:szCs w:val="20"/>
              </w:rPr>
              <w:t>Updated WRR</w:t>
            </w:r>
            <w:r w:rsidR="009E5087">
              <w:rPr>
                <w:rFonts w:ascii="Arial" w:hAnsi="Arial" w:cs="Arial"/>
                <w:sz w:val="20"/>
                <w:szCs w:val="20"/>
              </w:rPr>
              <w:t xml:space="preserve">, base case </w:t>
            </w:r>
            <w:r w:rsidR="009E5087" w:rsidRPr="00B86133">
              <w:rPr>
                <w:rFonts w:ascii="Arial" w:hAnsi="Arial" w:cs="Arial"/>
                <w:sz w:val="20"/>
                <w:szCs w:val="20"/>
              </w:rPr>
              <w:t>percentages and NTG</w:t>
            </w:r>
            <w:r w:rsidRPr="00B86133">
              <w:rPr>
                <w:rFonts w:ascii="Arial" w:hAnsi="Arial" w:cs="Arial"/>
                <w:sz w:val="20"/>
                <w:szCs w:val="20"/>
              </w:rPr>
              <w:t xml:space="preserve"> as per </w:t>
            </w:r>
            <w:r w:rsidR="00C41CE4" w:rsidRPr="00B86133">
              <w:rPr>
                <w:rFonts w:ascii="Arial" w:hAnsi="Arial" w:cs="Arial"/>
                <w:sz w:val="20"/>
                <w:szCs w:val="20"/>
              </w:rPr>
              <w:t xml:space="preserve">2017 </w:t>
            </w:r>
            <w:r w:rsidRPr="00B86133">
              <w:rPr>
                <w:rFonts w:ascii="Arial" w:hAnsi="Arial" w:cs="Arial"/>
                <w:sz w:val="20"/>
                <w:szCs w:val="20"/>
              </w:rPr>
              <w:t>Dispo</w:t>
            </w:r>
            <w:r w:rsidR="00C41CE4" w:rsidRPr="00B86133">
              <w:rPr>
                <w:rFonts w:ascii="Arial" w:hAnsi="Arial" w:cs="Arial"/>
                <w:sz w:val="20"/>
                <w:szCs w:val="20"/>
              </w:rPr>
              <w:t>sition for Screw-In Lamps</w:t>
            </w:r>
            <w:r w:rsidR="00246F83" w:rsidRPr="00B86133">
              <w:rPr>
                <w:rFonts w:ascii="Arial" w:hAnsi="Arial" w:cs="Arial"/>
                <w:sz w:val="20"/>
                <w:szCs w:val="20"/>
              </w:rPr>
              <w:t xml:space="preserve">; </w:t>
            </w:r>
            <w:r w:rsidR="0023323C" w:rsidRPr="00B86133">
              <w:rPr>
                <w:rFonts w:ascii="Arial" w:hAnsi="Arial" w:cs="Arial"/>
                <w:sz w:val="20"/>
                <w:szCs w:val="20"/>
              </w:rPr>
              <w:t>Base costs change</w:t>
            </w:r>
            <w:r w:rsidR="009E5087" w:rsidRPr="00B86133">
              <w:rPr>
                <w:rFonts w:ascii="Arial" w:hAnsi="Arial" w:cs="Arial"/>
                <w:sz w:val="20"/>
                <w:szCs w:val="20"/>
              </w:rPr>
              <w:t>d based on bas</w:t>
            </w:r>
            <w:r w:rsidR="009E5087">
              <w:rPr>
                <w:rFonts w:ascii="Arial" w:hAnsi="Arial" w:cs="Arial"/>
                <w:sz w:val="20"/>
                <w:szCs w:val="20"/>
              </w:rPr>
              <w:t>e case %</w:t>
            </w:r>
            <w:r w:rsidR="0023323C">
              <w:rPr>
                <w:rFonts w:ascii="Arial" w:hAnsi="Arial" w:cs="Arial"/>
                <w:sz w:val="20"/>
                <w:szCs w:val="20"/>
              </w:rPr>
              <w:t xml:space="preserve">; </w:t>
            </w:r>
            <w:r w:rsidR="00246F83">
              <w:rPr>
                <w:rFonts w:ascii="Arial" w:hAnsi="Arial" w:cs="Arial"/>
                <w:sz w:val="20"/>
                <w:szCs w:val="20"/>
              </w:rPr>
              <w:t>NTG changed to 0.91</w:t>
            </w:r>
            <w:r w:rsidR="00F31174">
              <w:rPr>
                <w:rFonts w:ascii="Arial" w:hAnsi="Arial" w:cs="Arial"/>
                <w:sz w:val="20"/>
                <w:szCs w:val="20"/>
              </w:rPr>
              <w:t>; Updated Program Restrictions and Guidelines</w:t>
            </w:r>
          </w:p>
        </w:tc>
        <w:tc>
          <w:tcPr>
            <w:tcW w:w="1331" w:type="pct"/>
            <w:shd w:val="clear" w:color="auto" w:fill="auto"/>
          </w:tcPr>
          <w:p w14:paraId="32169761" w14:textId="1F80A967" w:rsidR="005F1DD3" w:rsidRDefault="005F1DD3" w:rsidP="00913098">
            <w:pPr>
              <w:rPr>
                <w:rFonts w:ascii="Arial" w:hAnsi="Arial" w:cs="Arial"/>
                <w:sz w:val="20"/>
              </w:rPr>
            </w:pPr>
            <w:r w:rsidRPr="003E2AF6">
              <w:rPr>
                <w:rFonts w:ascii="Arial" w:hAnsi="Arial" w:cs="Arial"/>
                <w:sz w:val="20"/>
              </w:rPr>
              <w:t xml:space="preserve"> Alina Zohrabian (PG&amp;E)</w:t>
            </w:r>
            <w:r w:rsidR="009E5087">
              <w:rPr>
                <w:rFonts w:ascii="Arial" w:hAnsi="Arial" w:cs="Arial"/>
                <w:sz w:val="20"/>
              </w:rPr>
              <w:t xml:space="preserve">/ </w:t>
            </w:r>
            <w:r w:rsidR="009E5087" w:rsidRPr="00B72103">
              <w:rPr>
                <w:rFonts w:ascii="Arial" w:hAnsi="Arial" w:cs="Arial"/>
                <w:sz w:val="20"/>
              </w:rPr>
              <w:t>Mini Damodaran (PG&amp;E)</w:t>
            </w:r>
          </w:p>
        </w:tc>
      </w:tr>
      <w:tr w:rsidR="00F325AB" w:rsidRPr="003E2AF6" w14:paraId="6A510BC9" w14:textId="77777777" w:rsidTr="00D7079C">
        <w:tblPrEx>
          <w:tblLook w:val="04A0" w:firstRow="1" w:lastRow="0" w:firstColumn="1" w:lastColumn="0" w:noHBand="0" w:noVBand="1"/>
        </w:tblPrEx>
        <w:trPr>
          <w:trHeight w:val="464"/>
        </w:trPr>
        <w:tc>
          <w:tcPr>
            <w:tcW w:w="818" w:type="pct"/>
            <w:shd w:val="clear" w:color="auto" w:fill="auto"/>
          </w:tcPr>
          <w:p w14:paraId="172DA33D" w14:textId="26D6DB64" w:rsidR="00F325AB" w:rsidRPr="003E2AF6" w:rsidRDefault="00F325AB" w:rsidP="00F325AB">
            <w:pPr>
              <w:rPr>
                <w:rFonts w:ascii="Arial" w:hAnsi="Arial" w:cs="Arial"/>
                <w:sz w:val="20"/>
              </w:rPr>
            </w:pPr>
            <w:bookmarkStart w:id="5" w:name="_Toc186621650"/>
            <w:r w:rsidRPr="003E2AF6">
              <w:rPr>
                <w:rFonts w:ascii="Arial" w:hAnsi="Arial" w:cs="Arial"/>
                <w:sz w:val="20"/>
              </w:rPr>
              <w:t xml:space="preserve">Revision </w:t>
            </w:r>
            <w:r>
              <w:rPr>
                <w:rFonts w:ascii="Arial" w:hAnsi="Arial" w:cs="Arial"/>
                <w:sz w:val="20"/>
              </w:rPr>
              <w:t>6</w:t>
            </w:r>
          </w:p>
        </w:tc>
        <w:tc>
          <w:tcPr>
            <w:tcW w:w="695" w:type="pct"/>
            <w:shd w:val="clear" w:color="auto" w:fill="auto"/>
          </w:tcPr>
          <w:p w14:paraId="4CDC142E" w14:textId="434BE052" w:rsidR="00F325AB" w:rsidRPr="003E2AF6" w:rsidRDefault="00D7079C" w:rsidP="00EB4486">
            <w:pPr>
              <w:rPr>
                <w:rFonts w:ascii="Arial" w:hAnsi="Arial" w:cs="Arial"/>
                <w:sz w:val="20"/>
              </w:rPr>
            </w:pPr>
            <w:r>
              <w:rPr>
                <w:rFonts w:ascii="Arial" w:hAnsi="Arial" w:cs="Arial"/>
                <w:sz w:val="20"/>
              </w:rPr>
              <w:t>4/30</w:t>
            </w:r>
            <w:r w:rsidR="00F325AB" w:rsidRPr="003E2AF6">
              <w:rPr>
                <w:rFonts w:ascii="Arial" w:hAnsi="Arial" w:cs="Arial"/>
                <w:sz w:val="20"/>
              </w:rPr>
              <w:t>/201</w:t>
            </w:r>
            <w:r w:rsidR="00F325AB">
              <w:rPr>
                <w:rFonts w:ascii="Arial" w:hAnsi="Arial" w:cs="Arial"/>
                <w:sz w:val="20"/>
              </w:rPr>
              <w:t>8</w:t>
            </w:r>
          </w:p>
        </w:tc>
        <w:tc>
          <w:tcPr>
            <w:tcW w:w="2155" w:type="pct"/>
            <w:shd w:val="clear" w:color="auto" w:fill="auto"/>
          </w:tcPr>
          <w:p w14:paraId="4C056944" w14:textId="1CB68D13" w:rsidR="003A7268" w:rsidRPr="00EB5AA9" w:rsidRDefault="00F325AB" w:rsidP="003A7268">
            <w:pPr>
              <w:rPr>
                <w:rFonts w:ascii="Arial" w:hAnsi="Arial" w:cs="Arial"/>
                <w:sz w:val="20"/>
                <w:szCs w:val="20"/>
              </w:rPr>
            </w:pPr>
            <w:r w:rsidRPr="00EB5AA9">
              <w:rPr>
                <w:rFonts w:ascii="Arial" w:hAnsi="Arial" w:cs="Arial"/>
                <w:sz w:val="20"/>
                <w:szCs w:val="20"/>
              </w:rPr>
              <w:t>Updated baseline technology mix</w:t>
            </w:r>
            <w:r w:rsidR="003A7268" w:rsidRPr="00EB5AA9">
              <w:rPr>
                <w:rFonts w:ascii="Arial" w:hAnsi="Arial" w:cs="Arial"/>
                <w:sz w:val="20"/>
                <w:szCs w:val="20"/>
              </w:rPr>
              <w:t xml:space="preserve"> </w:t>
            </w:r>
            <w:r w:rsidR="00AB5EE7" w:rsidRPr="00EB5AA9">
              <w:rPr>
                <w:rFonts w:ascii="Arial" w:hAnsi="Arial" w:cs="Arial"/>
                <w:sz w:val="20"/>
                <w:szCs w:val="20"/>
              </w:rPr>
              <w:t>to</w:t>
            </w:r>
            <w:r w:rsidR="003A7268" w:rsidRPr="00EB5AA9">
              <w:rPr>
                <w:rFonts w:ascii="Arial" w:hAnsi="Arial" w:cs="Arial"/>
                <w:sz w:val="20"/>
                <w:szCs w:val="20"/>
              </w:rPr>
              <w:t xml:space="preserve"> 40</w:t>
            </w:r>
            <w:r w:rsidRPr="00EB5AA9">
              <w:rPr>
                <w:rFonts w:ascii="Arial" w:hAnsi="Arial" w:cs="Arial"/>
                <w:sz w:val="20"/>
                <w:szCs w:val="20"/>
              </w:rPr>
              <w:t>%</w:t>
            </w:r>
            <w:r w:rsidR="00C8789E" w:rsidRPr="00EB5AA9">
              <w:rPr>
                <w:rFonts w:ascii="Arial" w:hAnsi="Arial" w:cs="Arial"/>
                <w:sz w:val="20"/>
                <w:szCs w:val="20"/>
              </w:rPr>
              <w:t xml:space="preserve"> </w:t>
            </w:r>
            <w:r w:rsidRPr="00EB5AA9">
              <w:rPr>
                <w:rFonts w:ascii="Arial" w:hAnsi="Arial" w:cs="Arial"/>
                <w:sz w:val="20"/>
                <w:szCs w:val="20"/>
              </w:rPr>
              <w:t xml:space="preserve">LED, </w:t>
            </w:r>
            <w:r w:rsidR="003A7268" w:rsidRPr="00EB5AA9">
              <w:rPr>
                <w:rFonts w:ascii="Arial" w:hAnsi="Arial" w:cs="Arial"/>
                <w:sz w:val="20"/>
                <w:szCs w:val="20"/>
              </w:rPr>
              <w:t>10</w:t>
            </w:r>
            <w:r w:rsidRPr="00EB5AA9">
              <w:rPr>
                <w:rFonts w:ascii="Arial" w:hAnsi="Arial" w:cs="Arial"/>
                <w:sz w:val="20"/>
                <w:szCs w:val="20"/>
              </w:rPr>
              <w:t>%</w:t>
            </w:r>
            <w:r w:rsidR="00C8789E" w:rsidRPr="00EB5AA9">
              <w:rPr>
                <w:rFonts w:ascii="Arial" w:hAnsi="Arial" w:cs="Arial"/>
                <w:sz w:val="20"/>
                <w:szCs w:val="20"/>
              </w:rPr>
              <w:t xml:space="preserve"> </w:t>
            </w:r>
            <w:r w:rsidRPr="00EB5AA9">
              <w:rPr>
                <w:rFonts w:ascii="Arial" w:hAnsi="Arial" w:cs="Arial"/>
                <w:sz w:val="20"/>
                <w:szCs w:val="20"/>
              </w:rPr>
              <w:t xml:space="preserve">CFL, and </w:t>
            </w:r>
            <w:r w:rsidR="003A7268" w:rsidRPr="00EB5AA9">
              <w:rPr>
                <w:rFonts w:ascii="Arial" w:hAnsi="Arial" w:cs="Arial"/>
                <w:sz w:val="20"/>
                <w:szCs w:val="20"/>
              </w:rPr>
              <w:t>5</w:t>
            </w:r>
            <w:r w:rsidRPr="00EB5AA9">
              <w:rPr>
                <w:rFonts w:ascii="Arial" w:hAnsi="Arial" w:cs="Arial"/>
                <w:sz w:val="20"/>
                <w:szCs w:val="20"/>
              </w:rPr>
              <w:t>0% Incan</w:t>
            </w:r>
            <w:r w:rsidR="0040593F">
              <w:rPr>
                <w:rFonts w:ascii="Arial" w:hAnsi="Arial" w:cs="Arial"/>
                <w:sz w:val="20"/>
                <w:szCs w:val="20"/>
              </w:rPr>
              <w:t>/Halogen</w:t>
            </w:r>
            <w:r w:rsidR="003A7268" w:rsidRPr="00EB5AA9">
              <w:rPr>
                <w:rFonts w:ascii="Arial" w:hAnsi="Arial" w:cs="Arial"/>
                <w:sz w:val="20"/>
                <w:szCs w:val="20"/>
              </w:rPr>
              <w:t>;</w:t>
            </w:r>
            <w:r w:rsidRPr="00EB5AA9">
              <w:rPr>
                <w:rFonts w:ascii="Arial" w:hAnsi="Arial" w:cs="Arial"/>
                <w:sz w:val="20"/>
                <w:szCs w:val="20"/>
              </w:rPr>
              <w:t xml:space="preserve"> </w:t>
            </w:r>
          </w:p>
          <w:p w14:paraId="67BFC2B6" w14:textId="77777777" w:rsidR="00F325AB" w:rsidRDefault="003A7268" w:rsidP="00C50046">
            <w:pPr>
              <w:rPr>
                <w:rFonts w:ascii="Arial" w:hAnsi="Arial" w:cs="Arial"/>
                <w:sz w:val="20"/>
                <w:szCs w:val="20"/>
              </w:rPr>
            </w:pPr>
            <w:r w:rsidRPr="00EB5AA9">
              <w:rPr>
                <w:rFonts w:ascii="Arial" w:hAnsi="Arial" w:cs="Arial"/>
                <w:sz w:val="20"/>
                <w:szCs w:val="20"/>
              </w:rPr>
              <w:t>New</w:t>
            </w:r>
            <w:r w:rsidR="00F325AB" w:rsidRPr="00EB5AA9">
              <w:rPr>
                <w:rFonts w:ascii="Arial" w:hAnsi="Arial" w:cs="Arial"/>
                <w:sz w:val="20"/>
                <w:szCs w:val="20"/>
              </w:rPr>
              <w:t xml:space="preserve"> WRR = 4.</w:t>
            </w:r>
            <w:r w:rsidRPr="00EB5AA9">
              <w:rPr>
                <w:rFonts w:ascii="Arial" w:hAnsi="Arial" w:cs="Arial"/>
                <w:sz w:val="20"/>
                <w:szCs w:val="20"/>
              </w:rPr>
              <w:t>17</w:t>
            </w:r>
            <w:r w:rsidR="00F325AB" w:rsidRPr="00EB5AA9">
              <w:rPr>
                <w:rFonts w:ascii="Arial" w:hAnsi="Arial" w:cs="Arial"/>
                <w:sz w:val="20"/>
                <w:szCs w:val="20"/>
              </w:rPr>
              <w:t xml:space="preserve"> for &lt;</w:t>
            </w:r>
            <w:r w:rsidRPr="00EB5AA9">
              <w:rPr>
                <w:rFonts w:ascii="Arial" w:hAnsi="Arial" w:cs="Arial"/>
                <w:sz w:val="20"/>
                <w:szCs w:val="20"/>
              </w:rPr>
              <w:t>11</w:t>
            </w:r>
            <w:r w:rsidR="00F325AB" w:rsidRPr="00EB5AA9">
              <w:rPr>
                <w:rFonts w:ascii="Arial" w:hAnsi="Arial" w:cs="Arial"/>
                <w:sz w:val="20"/>
                <w:szCs w:val="20"/>
              </w:rPr>
              <w:t xml:space="preserve">w, </w:t>
            </w:r>
            <w:r w:rsidRPr="00EB5AA9">
              <w:rPr>
                <w:rFonts w:ascii="Arial" w:hAnsi="Arial" w:cs="Arial"/>
                <w:sz w:val="20"/>
                <w:szCs w:val="20"/>
              </w:rPr>
              <w:t>3.28 for &gt;=11W to &lt;14W, and 2.97 for &gt;14W per</w:t>
            </w:r>
            <w:r w:rsidR="00F325AB" w:rsidRPr="00EB5AA9">
              <w:rPr>
                <w:rFonts w:ascii="Arial" w:hAnsi="Arial" w:cs="Arial"/>
                <w:sz w:val="20"/>
                <w:szCs w:val="20"/>
              </w:rPr>
              <w:t xml:space="preserve"> </w:t>
            </w:r>
            <w:r w:rsidRPr="00EB5AA9">
              <w:rPr>
                <w:rFonts w:ascii="Arial" w:hAnsi="Arial" w:cs="Arial"/>
                <w:sz w:val="20"/>
                <w:szCs w:val="20"/>
              </w:rPr>
              <w:t>“</w:t>
            </w:r>
            <w:r w:rsidR="00F325AB" w:rsidRPr="00EB5AA9">
              <w:rPr>
                <w:rFonts w:ascii="Arial" w:hAnsi="Arial" w:cs="Arial"/>
                <w:sz w:val="20"/>
                <w:szCs w:val="20"/>
              </w:rPr>
              <w:t>2018ScrewInLampSavingsMethods-1</w:t>
            </w:r>
            <w:r w:rsidR="00C50046">
              <w:rPr>
                <w:rFonts w:ascii="Arial" w:hAnsi="Arial" w:cs="Arial"/>
                <w:sz w:val="20"/>
                <w:szCs w:val="20"/>
              </w:rPr>
              <w:t>March2018</w:t>
            </w:r>
            <w:r w:rsidRPr="00EB5AA9">
              <w:rPr>
                <w:rFonts w:ascii="Arial" w:hAnsi="Arial" w:cs="Arial"/>
                <w:sz w:val="20"/>
                <w:szCs w:val="20"/>
              </w:rPr>
              <w:t>”</w:t>
            </w:r>
            <w:r w:rsidR="00F325AB" w:rsidRPr="00EB5AA9">
              <w:rPr>
                <w:rFonts w:ascii="Arial" w:hAnsi="Arial" w:cs="Arial"/>
                <w:sz w:val="20"/>
                <w:szCs w:val="20"/>
              </w:rPr>
              <w:t xml:space="preserve"> disposition.</w:t>
            </w:r>
          </w:p>
          <w:p w14:paraId="793ED18E" w14:textId="77777777" w:rsidR="009A4DF6" w:rsidRDefault="009A4DF6" w:rsidP="009A4DF6">
            <w:pPr>
              <w:pStyle w:val="Heading4"/>
              <w:spacing w:before="0"/>
              <w:outlineLvl w:val="3"/>
              <w:rPr>
                <w:rFonts w:ascii="Arial" w:eastAsia="Times New Roman" w:hAnsi="Arial" w:cs="Arial"/>
                <w:b w:val="0"/>
                <w:bCs w:val="0"/>
                <w:i w:val="0"/>
                <w:iCs w:val="0"/>
                <w:sz w:val="20"/>
                <w:szCs w:val="20"/>
              </w:rPr>
            </w:pPr>
            <w:r w:rsidRPr="009A4DF6">
              <w:rPr>
                <w:rFonts w:ascii="Arial" w:eastAsia="Times New Roman" w:hAnsi="Arial" w:cs="Arial"/>
                <w:b w:val="0"/>
                <w:bCs w:val="0"/>
                <w:i w:val="0"/>
                <w:iCs w:val="0"/>
                <w:sz w:val="20"/>
                <w:szCs w:val="20"/>
              </w:rPr>
              <w:t>Base case costs and measure costs have also been updated.</w:t>
            </w:r>
          </w:p>
          <w:p w14:paraId="22B8ED8D" w14:textId="77777777" w:rsidR="00596DA2" w:rsidRDefault="00EB4486" w:rsidP="00EB4486">
            <w:pPr>
              <w:rPr>
                <w:rFonts w:ascii="Arial" w:hAnsi="Arial" w:cs="Arial"/>
                <w:sz w:val="20"/>
                <w:szCs w:val="20"/>
              </w:rPr>
            </w:pPr>
            <w:r>
              <w:rPr>
                <w:rFonts w:ascii="Arial" w:hAnsi="Arial" w:cs="Arial"/>
                <w:sz w:val="20"/>
                <w:szCs w:val="20"/>
              </w:rPr>
              <w:t xml:space="preserve">Added measure type ER for Res DI channel and updated Program Requirements accordingly. </w:t>
            </w:r>
          </w:p>
          <w:p w14:paraId="31FF0B51" w14:textId="16BCEC1D" w:rsidR="00EB4486" w:rsidRPr="000C2231" w:rsidRDefault="00EB4486" w:rsidP="000C2231">
            <w:pPr>
              <w:rPr>
                <w:rFonts w:ascii="Arial" w:hAnsi="Arial" w:cs="Arial"/>
                <w:sz w:val="20"/>
                <w:szCs w:val="20"/>
              </w:rPr>
            </w:pPr>
            <w:r>
              <w:rPr>
                <w:rFonts w:ascii="Arial" w:hAnsi="Arial" w:cs="Arial"/>
                <w:sz w:val="20"/>
                <w:szCs w:val="20"/>
              </w:rPr>
              <w:t xml:space="preserve">Updated </w:t>
            </w:r>
            <w:r w:rsidR="00207416">
              <w:rPr>
                <w:rFonts w:ascii="Arial" w:hAnsi="Arial" w:cs="Arial"/>
                <w:sz w:val="20"/>
                <w:szCs w:val="20"/>
              </w:rPr>
              <w:t xml:space="preserve">NTG to 0.91 with the new </w:t>
            </w:r>
            <w:r>
              <w:rPr>
                <w:rFonts w:ascii="Arial" w:hAnsi="Arial" w:cs="Arial"/>
                <w:sz w:val="20"/>
                <w:szCs w:val="20"/>
              </w:rPr>
              <w:t xml:space="preserve">NTG ID </w:t>
            </w:r>
            <w:r w:rsidR="00207416">
              <w:rPr>
                <w:rFonts w:ascii="Arial" w:hAnsi="Arial" w:cs="Arial"/>
                <w:sz w:val="20"/>
                <w:szCs w:val="20"/>
              </w:rPr>
              <w:t>“</w:t>
            </w:r>
            <w:r w:rsidRPr="00EB4486">
              <w:rPr>
                <w:rFonts w:ascii="Arial" w:hAnsi="Arial" w:cs="Arial"/>
                <w:sz w:val="20"/>
                <w:szCs w:val="20"/>
              </w:rPr>
              <w:t>All-Ltg-ScrwInLED</w:t>
            </w:r>
            <w:r w:rsidR="00207416">
              <w:rPr>
                <w:rFonts w:ascii="Arial" w:hAnsi="Arial" w:cs="Arial"/>
                <w:sz w:val="20"/>
                <w:szCs w:val="20"/>
              </w:rPr>
              <w:t>”.</w:t>
            </w:r>
            <w:r w:rsidR="00E24F00">
              <w:rPr>
                <w:rFonts w:ascii="Arial" w:hAnsi="Arial" w:cs="Arial"/>
                <w:sz w:val="20"/>
                <w:szCs w:val="20"/>
              </w:rPr>
              <w:t xml:space="preserve">  Effective 7/1/2018.</w:t>
            </w:r>
          </w:p>
        </w:tc>
        <w:tc>
          <w:tcPr>
            <w:tcW w:w="1331" w:type="pct"/>
            <w:shd w:val="clear" w:color="auto" w:fill="auto"/>
          </w:tcPr>
          <w:p w14:paraId="2061FDC4" w14:textId="3CF19887" w:rsidR="00F325AB" w:rsidRDefault="00F325AB" w:rsidP="00F325AB">
            <w:pPr>
              <w:rPr>
                <w:rFonts w:ascii="Arial" w:hAnsi="Arial" w:cs="Arial"/>
                <w:sz w:val="20"/>
              </w:rPr>
            </w:pPr>
            <w:r w:rsidRPr="003E2AF6">
              <w:rPr>
                <w:rFonts w:ascii="Arial" w:hAnsi="Arial" w:cs="Arial"/>
                <w:sz w:val="20"/>
              </w:rPr>
              <w:t xml:space="preserve"> </w:t>
            </w:r>
            <w:r>
              <w:rPr>
                <w:rFonts w:ascii="Arial" w:hAnsi="Arial" w:cs="Arial"/>
                <w:sz w:val="20"/>
                <w:szCs w:val="20"/>
              </w:rPr>
              <w:t xml:space="preserve">Randy Kwok </w:t>
            </w:r>
            <w:r w:rsidRPr="00522E72">
              <w:rPr>
                <w:rFonts w:ascii="Arial" w:hAnsi="Arial" w:cs="Arial"/>
                <w:sz w:val="20"/>
                <w:szCs w:val="20"/>
              </w:rPr>
              <w:t>(PG&amp;E)</w:t>
            </w:r>
          </w:p>
        </w:tc>
      </w:tr>
    </w:tbl>
    <w:p w14:paraId="1B366850" w14:textId="77777777" w:rsidR="00783DAC" w:rsidRPr="00783DAC" w:rsidRDefault="00783DAC" w:rsidP="00783DAC">
      <w:pPr>
        <w:rPr>
          <w:vanish/>
        </w:rPr>
      </w:pPr>
    </w:p>
    <w:p w14:paraId="1B366851" w14:textId="77777777" w:rsidR="00E71EF1" w:rsidRDefault="00E71EF1" w:rsidP="00E61E96">
      <w:pPr>
        <w:pStyle w:val="Heading1"/>
        <w:spacing w:before="0" w:after="80"/>
      </w:pPr>
      <w:bookmarkStart w:id="6" w:name="_Toc304800197"/>
      <w:r w:rsidRPr="006832A4">
        <w:br w:type="page"/>
      </w:r>
      <w:bookmarkStart w:id="7" w:name="_Toc512857024"/>
      <w:r w:rsidR="001248A3">
        <w:lastRenderedPageBreak/>
        <w:t>Table</w:t>
      </w:r>
      <w:r w:rsidR="006559C8">
        <w:t xml:space="preserve"> of Contents</w:t>
      </w:r>
      <w:bookmarkEnd w:id="5"/>
      <w:bookmarkEnd w:id="6"/>
      <w:bookmarkEnd w:id="7"/>
    </w:p>
    <w:p w14:paraId="177CF155" w14:textId="5A33AB98" w:rsidR="000C2231" w:rsidRDefault="009F6F8B">
      <w:pPr>
        <w:pStyle w:val="TOC1"/>
        <w:tabs>
          <w:tab w:val="right" w:leader="dot" w:pos="9350"/>
        </w:tabs>
        <w:rPr>
          <w:rFonts w:asciiTheme="minorHAnsi" w:eastAsiaTheme="minorEastAsia" w:hAnsiTheme="minorHAnsi" w:cstheme="minorBidi"/>
          <w:noProof/>
          <w:sz w:val="22"/>
          <w:szCs w:val="22"/>
        </w:rPr>
      </w:pPr>
      <w:r w:rsidRPr="006C6795">
        <w:rPr>
          <w:rFonts w:ascii="Arial" w:hAnsi="Arial" w:cs="Arial"/>
          <w:b/>
          <w:bCs/>
          <w:sz w:val="20"/>
          <w:szCs w:val="20"/>
        </w:rPr>
        <w:fldChar w:fldCharType="begin"/>
      </w:r>
      <w:r w:rsidRPr="006C6795">
        <w:rPr>
          <w:rFonts w:ascii="Arial" w:hAnsi="Arial" w:cs="Arial"/>
          <w:b/>
          <w:bCs/>
          <w:sz w:val="20"/>
          <w:szCs w:val="20"/>
        </w:rPr>
        <w:instrText xml:space="preserve"> TOC \o "1-3" \h \z \u </w:instrText>
      </w:r>
      <w:r w:rsidRPr="006C6795">
        <w:rPr>
          <w:rFonts w:ascii="Arial" w:hAnsi="Arial" w:cs="Arial"/>
          <w:b/>
          <w:bCs/>
          <w:sz w:val="20"/>
          <w:szCs w:val="20"/>
        </w:rPr>
        <w:fldChar w:fldCharType="separate"/>
      </w:r>
      <w:hyperlink w:anchor="_Toc512857022" w:history="1">
        <w:r w:rsidR="000C2231" w:rsidRPr="0042536B">
          <w:rPr>
            <w:rStyle w:val="Hyperlink"/>
            <w:noProof/>
          </w:rPr>
          <w:t>At-a-Glance Summary</w:t>
        </w:r>
        <w:r w:rsidR="000C2231">
          <w:rPr>
            <w:noProof/>
            <w:webHidden/>
          </w:rPr>
          <w:tab/>
        </w:r>
        <w:r w:rsidR="000C2231">
          <w:rPr>
            <w:noProof/>
            <w:webHidden/>
          </w:rPr>
          <w:fldChar w:fldCharType="begin"/>
        </w:r>
        <w:r w:rsidR="000C2231">
          <w:rPr>
            <w:noProof/>
            <w:webHidden/>
          </w:rPr>
          <w:instrText xml:space="preserve"> PAGEREF _Toc512857022 \h </w:instrText>
        </w:r>
        <w:r w:rsidR="000C2231">
          <w:rPr>
            <w:noProof/>
            <w:webHidden/>
          </w:rPr>
        </w:r>
        <w:r w:rsidR="000C2231">
          <w:rPr>
            <w:noProof/>
            <w:webHidden/>
          </w:rPr>
          <w:fldChar w:fldCharType="separate"/>
        </w:r>
        <w:r w:rsidR="000C2231">
          <w:rPr>
            <w:noProof/>
            <w:webHidden/>
          </w:rPr>
          <w:t>ii</w:t>
        </w:r>
        <w:r w:rsidR="000C2231">
          <w:rPr>
            <w:noProof/>
            <w:webHidden/>
          </w:rPr>
          <w:fldChar w:fldCharType="end"/>
        </w:r>
      </w:hyperlink>
    </w:p>
    <w:p w14:paraId="2F4316D5" w14:textId="097AF890"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23" w:history="1">
        <w:r w:rsidR="000C2231" w:rsidRPr="0042536B">
          <w:rPr>
            <w:rStyle w:val="Hyperlink"/>
            <w:noProof/>
          </w:rPr>
          <w:t>Document Revision History</w:t>
        </w:r>
        <w:r w:rsidR="000C2231">
          <w:rPr>
            <w:noProof/>
            <w:webHidden/>
          </w:rPr>
          <w:tab/>
        </w:r>
        <w:r w:rsidR="000C2231">
          <w:rPr>
            <w:noProof/>
            <w:webHidden/>
          </w:rPr>
          <w:fldChar w:fldCharType="begin"/>
        </w:r>
        <w:r w:rsidR="000C2231">
          <w:rPr>
            <w:noProof/>
            <w:webHidden/>
          </w:rPr>
          <w:instrText xml:space="preserve"> PAGEREF _Toc512857023 \h </w:instrText>
        </w:r>
        <w:r w:rsidR="000C2231">
          <w:rPr>
            <w:noProof/>
            <w:webHidden/>
          </w:rPr>
        </w:r>
        <w:r w:rsidR="000C2231">
          <w:rPr>
            <w:noProof/>
            <w:webHidden/>
          </w:rPr>
          <w:fldChar w:fldCharType="separate"/>
        </w:r>
        <w:r w:rsidR="000C2231">
          <w:rPr>
            <w:noProof/>
            <w:webHidden/>
          </w:rPr>
          <w:t>iii</w:t>
        </w:r>
        <w:r w:rsidR="000C2231">
          <w:rPr>
            <w:noProof/>
            <w:webHidden/>
          </w:rPr>
          <w:fldChar w:fldCharType="end"/>
        </w:r>
      </w:hyperlink>
    </w:p>
    <w:p w14:paraId="3BCFB1C3" w14:textId="232C9744"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24" w:history="1">
        <w:r w:rsidR="000C2231" w:rsidRPr="0042536B">
          <w:rPr>
            <w:rStyle w:val="Hyperlink"/>
            <w:noProof/>
          </w:rPr>
          <w:t>Table of Contents</w:t>
        </w:r>
        <w:r w:rsidR="000C2231">
          <w:rPr>
            <w:noProof/>
            <w:webHidden/>
          </w:rPr>
          <w:tab/>
        </w:r>
        <w:r w:rsidR="000C2231">
          <w:rPr>
            <w:noProof/>
            <w:webHidden/>
          </w:rPr>
          <w:fldChar w:fldCharType="begin"/>
        </w:r>
        <w:r w:rsidR="000C2231">
          <w:rPr>
            <w:noProof/>
            <w:webHidden/>
          </w:rPr>
          <w:instrText xml:space="preserve"> PAGEREF _Toc512857024 \h </w:instrText>
        </w:r>
        <w:r w:rsidR="000C2231">
          <w:rPr>
            <w:noProof/>
            <w:webHidden/>
          </w:rPr>
        </w:r>
        <w:r w:rsidR="000C2231">
          <w:rPr>
            <w:noProof/>
            <w:webHidden/>
          </w:rPr>
          <w:fldChar w:fldCharType="separate"/>
        </w:r>
        <w:r w:rsidR="000C2231">
          <w:rPr>
            <w:noProof/>
            <w:webHidden/>
          </w:rPr>
          <w:t>iv</w:t>
        </w:r>
        <w:r w:rsidR="000C2231">
          <w:rPr>
            <w:noProof/>
            <w:webHidden/>
          </w:rPr>
          <w:fldChar w:fldCharType="end"/>
        </w:r>
      </w:hyperlink>
    </w:p>
    <w:p w14:paraId="29E34B26" w14:textId="633CDC3D"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25" w:history="1">
        <w:r w:rsidR="000C2231" w:rsidRPr="0042536B">
          <w:rPr>
            <w:rStyle w:val="Hyperlink"/>
            <w:noProof/>
          </w:rPr>
          <w:t>List of Tables</w:t>
        </w:r>
        <w:r w:rsidR="000C2231">
          <w:rPr>
            <w:noProof/>
            <w:webHidden/>
          </w:rPr>
          <w:tab/>
        </w:r>
        <w:r w:rsidR="000C2231">
          <w:rPr>
            <w:noProof/>
            <w:webHidden/>
          </w:rPr>
          <w:fldChar w:fldCharType="begin"/>
        </w:r>
        <w:r w:rsidR="000C2231">
          <w:rPr>
            <w:noProof/>
            <w:webHidden/>
          </w:rPr>
          <w:instrText xml:space="preserve"> PAGEREF _Toc512857025 \h </w:instrText>
        </w:r>
        <w:r w:rsidR="000C2231">
          <w:rPr>
            <w:noProof/>
            <w:webHidden/>
          </w:rPr>
        </w:r>
        <w:r w:rsidR="000C2231">
          <w:rPr>
            <w:noProof/>
            <w:webHidden/>
          </w:rPr>
          <w:fldChar w:fldCharType="separate"/>
        </w:r>
        <w:r w:rsidR="000C2231">
          <w:rPr>
            <w:noProof/>
            <w:webHidden/>
          </w:rPr>
          <w:t>iv</w:t>
        </w:r>
        <w:r w:rsidR="000C2231">
          <w:rPr>
            <w:noProof/>
            <w:webHidden/>
          </w:rPr>
          <w:fldChar w:fldCharType="end"/>
        </w:r>
      </w:hyperlink>
    </w:p>
    <w:p w14:paraId="0FC6CB52" w14:textId="7F24D6D3"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26" w:history="1">
        <w:r w:rsidR="000C2231" w:rsidRPr="0042536B">
          <w:rPr>
            <w:rStyle w:val="Hyperlink"/>
            <w:noProof/>
          </w:rPr>
          <w:t>Section 1. General Measure &amp; Baseline Data</w:t>
        </w:r>
        <w:r w:rsidR="000C2231">
          <w:rPr>
            <w:noProof/>
            <w:webHidden/>
          </w:rPr>
          <w:tab/>
        </w:r>
        <w:r w:rsidR="000C2231">
          <w:rPr>
            <w:noProof/>
            <w:webHidden/>
          </w:rPr>
          <w:fldChar w:fldCharType="begin"/>
        </w:r>
        <w:r w:rsidR="000C2231">
          <w:rPr>
            <w:noProof/>
            <w:webHidden/>
          </w:rPr>
          <w:instrText xml:space="preserve"> PAGEREF _Toc512857026 \h </w:instrText>
        </w:r>
        <w:r w:rsidR="000C2231">
          <w:rPr>
            <w:noProof/>
            <w:webHidden/>
          </w:rPr>
        </w:r>
        <w:r w:rsidR="000C2231">
          <w:rPr>
            <w:noProof/>
            <w:webHidden/>
          </w:rPr>
          <w:fldChar w:fldCharType="separate"/>
        </w:r>
        <w:r w:rsidR="000C2231">
          <w:rPr>
            <w:noProof/>
            <w:webHidden/>
          </w:rPr>
          <w:t>1</w:t>
        </w:r>
        <w:r w:rsidR="000C2231">
          <w:rPr>
            <w:noProof/>
            <w:webHidden/>
          </w:rPr>
          <w:fldChar w:fldCharType="end"/>
        </w:r>
      </w:hyperlink>
    </w:p>
    <w:p w14:paraId="5872CC73" w14:textId="3AF5A65F"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27" w:history="1">
        <w:r w:rsidR="000C2231" w:rsidRPr="0042536B">
          <w:rPr>
            <w:rStyle w:val="Hyperlink"/>
            <w:noProof/>
          </w:rPr>
          <w:t>1.1 Product Measure Description &amp; Background</w:t>
        </w:r>
        <w:r w:rsidR="000C2231">
          <w:rPr>
            <w:noProof/>
            <w:webHidden/>
          </w:rPr>
          <w:tab/>
        </w:r>
        <w:r w:rsidR="000C2231">
          <w:rPr>
            <w:noProof/>
            <w:webHidden/>
          </w:rPr>
          <w:fldChar w:fldCharType="begin"/>
        </w:r>
        <w:r w:rsidR="000C2231">
          <w:rPr>
            <w:noProof/>
            <w:webHidden/>
          </w:rPr>
          <w:instrText xml:space="preserve"> PAGEREF _Toc512857027 \h </w:instrText>
        </w:r>
        <w:r w:rsidR="000C2231">
          <w:rPr>
            <w:noProof/>
            <w:webHidden/>
          </w:rPr>
        </w:r>
        <w:r w:rsidR="000C2231">
          <w:rPr>
            <w:noProof/>
            <w:webHidden/>
          </w:rPr>
          <w:fldChar w:fldCharType="separate"/>
        </w:r>
        <w:r w:rsidR="000C2231">
          <w:rPr>
            <w:noProof/>
            <w:webHidden/>
          </w:rPr>
          <w:t>1</w:t>
        </w:r>
        <w:r w:rsidR="000C2231">
          <w:rPr>
            <w:noProof/>
            <w:webHidden/>
          </w:rPr>
          <w:fldChar w:fldCharType="end"/>
        </w:r>
      </w:hyperlink>
    </w:p>
    <w:p w14:paraId="471A3271" w14:textId="59C4BFE1"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28" w:history="1">
        <w:r w:rsidR="000C2231" w:rsidRPr="0042536B">
          <w:rPr>
            <w:rStyle w:val="Hyperlink"/>
            <w:noProof/>
          </w:rPr>
          <w:t>1.3 Measure Application Type</w:t>
        </w:r>
        <w:r w:rsidR="000C2231">
          <w:rPr>
            <w:noProof/>
            <w:webHidden/>
          </w:rPr>
          <w:tab/>
        </w:r>
        <w:r w:rsidR="000C2231">
          <w:rPr>
            <w:noProof/>
            <w:webHidden/>
          </w:rPr>
          <w:fldChar w:fldCharType="begin"/>
        </w:r>
        <w:r w:rsidR="000C2231">
          <w:rPr>
            <w:noProof/>
            <w:webHidden/>
          </w:rPr>
          <w:instrText xml:space="preserve"> PAGEREF _Toc512857028 \h </w:instrText>
        </w:r>
        <w:r w:rsidR="000C2231">
          <w:rPr>
            <w:noProof/>
            <w:webHidden/>
          </w:rPr>
        </w:r>
        <w:r w:rsidR="000C2231">
          <w:rPr>
            <w:noProof/>
            <w:webHidden/>
          </w:rPr>
          <w:fldChar w:fldCharType="separate"/>
        </w:r>
        <w:r w:rsidR="000C2231">
          <w:rPr>
            <w:noProof/>
            <w:webHidden/>
          </w:rPr>
          <w:t>4</w:t>
        </w:r>
        <w:r w:rsidR="000C2231">
          <w:rPr>
            <w:noProof/>
            <w:webHidden/>
          </w:rPr>
          <w:fldChar w:fldCharType="end"/>
        </w:r>
      </w:hyperlink>
    </w:p>
    <w:p w14:paraId="530DEAA6" w14:textId="5C8562E2"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29" w:history="1">
        <w:r w:rsidR="000C2231" w:rsidRPr="0042536B">
          <w:rPr>
            <w:rStyle w:val="Hyperlink"/>
            <w:noProof/>
          </w:rPr>
          <w:t>1.4 Product Base Case and Measure Case Data</w:t>
        </w:r>
        <w:r w:rsidR="000C2231">
          <w:rPr>
            <w:noProof/>
            <w:webHidden/>
          </w:rPr>
          <w:tab/>
        </w:r>
        <w:r w:rsidR="000C2231">
          <w:rPr>
            <w:noProof/>
            <w:webHidden/>
          </w:rPr>
          <w:fldChar w:fldCharType="begin"/>
        </w:r>
        <w:r w:rsidR="000C2231">
          <w:rPr>
            <w:noProof/>
            <w:webHidden/>
          </w:rPr>
          <w:instrText xml:space="preserve"> PAGEREF _Toc512857029 \h </w:instrText>
        </w:r>
        <w:r w:rsidR="000C2231">
          <w:rPr>
            <w:noProof/>
            <w:webHidden/>
          </w:rPr>
        </w:r>
        <w:r w:rsidR="000C2231">
          <w:rPr>
            <w:noProof/>
            <w:webHidden/>
          </w:rPr>
          <w:fldChar w:fldCharType="separate"/>
        </w:r>
        <w:r w:rsidR="000C2231">
          <w:rPr>
            <w:noProof/>
            <w:webHidden/>
          </w:rPr>
          <w:t>4</w:t>
        </w:r>
        <w:r w:rsidR="000C2231">
          <w:rPr>
            <w:noProof/>
            <w:webHidden/>
          </w:rPr>
          <w:fldChar w:fldCharType="end"/>
        </w:r>
      </w:hyperlink>
    </w:p>
    <w:p w14:paraId="57EFB4BA" w14:textId="74324062"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30" w:history="1">
        <w:r w:rsidR="000C2231" w:rsidRPr="0042536B">
          <w:rPr>
            <w:rStyle w:val="Hyperlink"/>
            <w:noProof/>
          </w:rPr>
          <w:t>1.4.1 DEER Base Case and Measure Case Information</w:t>
        </w:r>
        <w:r w:rsidR="000C2231">
          <w:rPr>
            <w:noProof/>
            <w:webHidden/>
          </w:rPr>
          <w:tab/>
        </w:r>
        <w:r w:rsidR="000C2231">
          <w:rPr>
            <w:noProof/>
            <w:webHidden/>
          </w:rPr>
          <w:fldChar w:fldCharType="begin"/>
        </w:r>
        <w:r w:rsidR="000C2231">
          <w:rPr>
            <w:noProof/>
            <w:webHidden/>
          </w:rPr>
          <w:instrText xml:space="preserve"> PAGEREF _Toc512857030 \h </w:instrText>
        </w:r>
        <w:r w:rsidR="000C2231">
          <w:rPr>
            <w:noProof/>
            <w:webHidden/>
          </w:rPr>
        </w:r>
        <w:r w:rsidR="000C2231">
          <w:rPr>
            <w:noProof/>
            <w:webHidden/>
          </w:rPr>
          <w:fldChar w:fldCharType="separate"/>
        </w:r>
        <w:r w:rsidR="000C2231">
          <w:rPr>
            <w:noProof/>
            <w:webHidden/>
          </w:rPr>
          <w:t>4</w:t>
        </w:r>
        <w:r w:rsidR="000C2231">
          <w:rPr>
            <w:noProof/>
            <w:webHidden/>
          </w:rPr>
          <w:fldChar w:fldCharType="end"/>
        </w:r>
      </w:hyperlink>
    </w:p>
    <w:p w14:paraId="21F515EB" w14:textId="76142631"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31" w:history="1">
        <w:r w:rsidR="000C2231" w:rsidRPr="0042536B">
          <w:rPr>
            <w:rStyle w:val="Hyperlink"/>
            <w:noProof/>
          </w:rPr>
          <w:t>1.4.2 Codes &amp; Standards Requirements Base Case and Measure Information</w:t>
        </w:r>
        <w:r w:rsidR="000C2231">
          <w:rPr>
            <w:noProof/>
            <w:webHidden/>
          </w:rPr>
          <w:tab/>
        </w:r>
        <w:r w:rsidR="000C2231">
          <w:rPr>
            <w:noProof/>
            <w:webHidden/>
          </w:rPr>
          <w:fldChar w:fldCharType="begin"/>
        </w:r>
        <w:r w:rsidR="000C2231">
          <w:rPr>
            <w:noProof/>
            <w:webHidden/>
          </w:rPr>
          <w:instrText xml:space="preserve"> PAGEREF _Toc512857031 \h </w:instrText>
        </w:r>
        <w:r w:rsidR="000C2231">
          <w:rPr>
            <w:noProof/>
            <w:webHidden/>
          </w:rPr>
        </w:r>
        <w:r w:rsidR="000C2231">
          <w:rPr>
            <w:noProof/>
            <w:webHidden/>
          </w:rPr>
          <w:fldChar w:fldCharType="separate"/>
        </w:r>
        <w:r w:rsidR="000C2231">
          <w:rPr>
            <w:noProof/>
            <w:webHidden/>
          </w:rPr>
          <w:t>5</w:t>
        </w:r>
        <w:r w:rsidR="000C2231">
          <w:rPr>
            <w:noProof/>
            <w:webHidden/>
          </w:rPr>
          <w:fldChar w:fldCharType="end"/>
        </w:r>
      </w:hyperlink>
    </w:p>
    <w:p w14:paraId="5256A3C0" w14:textId="387234D0"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32" w:history="1">
        <w:r w:rsidR="000C2231" w:rsidRPr="0042536B">
          <w:rPr>
            <w:rStyle w:val="Hyperlink"/>
            <w:noProof/>
          </w:rPr>
          <w:t>1.4.3 EM&amp;V, Market Potential, and Other Studies – Base Case and Measure Case Information</w:t>
        </w:r>
        <w:r w:rsidR="000C2231">
          <w:rPr>
            <w:noProof/>
            <w:webHidden/>
          </w:rPr>
          <w:tab/>
        </w:r>
        <w:r w:rsidR="000C2231">
          <w:rPr>
            <w:noProof/>
            <w:webHidden/>
          </w:rPr>
          <w:fldChar w:fldCharType="begin"/>
        </w:r>
        <w:r w:rsidR="000C2231">
          <w:rPr>
            <w:noProof/>
            <w:webHidden/>
          </w:rPr>
          <w:instrText xml:space="preserve"> PAGEREF _Toc512857032 \h </w:instrText>
        </w:r>
        <w:r w:rsidR="000C2231">
          <w:rPr>
            <w:noProof/>
            <w:webHidden/>
          </w:rPr>
        </w:r>
        <w:r w:rsidR="000C2231">
          <w:rPr>
            <w:noProof/>
            <w:webHidden/>
          </w:rPr>
          <w:fldChar w:fldCharType="separate"/>
        </w:r>
        <w:r w:rsidR="000C2231">
          <w:rPr>
            <w:noProof/>
            <w:webHidden/>
          </w:rPr>
          <w:t>6</w:t>
        </w:r>
        <w:r w:rsidR="000C2231">
          <w:rPr>
            <w:noProof/>
            <w:webHidden/>
          </w:rPr>
          <w:fldChar w:fldCharType="end"/>
        </w:r>
      </w:hyperlink>
    </w:p>
    <w:p w14:paraId="60D4CC3F" w14:textId="6E0874F4"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33" w:history="1">
        <w:r w:rsidR="000C2231" w:rsidRPr="0042536B">
          <w:rPr>
            <w:rStyle w:val="Hyperlink"/>
            <w:noProof/>
          </w:rPr>
          <w:t>1.4.4 Assumptions and Calculations from other sources—Base and Measure Cases</w:t>
        </w:r>
        <w:r w:rsidR="000C2231">
          <w:rPr>
            <w:noProof/>
            <w:webHidden/>
          </w:rPr>
          <w:tab/>
        </w:r>
        <w:r w:rsidR="000C2231">
          <w:rPr>
            <w:noProof/>
            <w:webHidden/>
          </w:rPr>
          <w:fldChar w:fldCharType="begin"/>
        </w:r>
        <w:r w:rsidR="000C2231">
          <w:rPr>
            <w:noProof/>
            <w:webHidden/>
          </w:rPr>
          <w:instrText xml:space="preserve"> PAGEREF _Toc512857033 \h </w:instrText>
        </w:r>
        <w:r w:rsidR="000C2231">
          <w:rPr>
            <w:noProof/>
            <w:webHidden/>
          </w:rPr>
        </w:r>
        <w:r w:rsidR="000C2231">
          <w:rPr>
            <w:noProof/>
            <w:webHidden/>
          </w:rPr>
          <w:fldChar w:fldCharType="separate"/>
        </w:r>
        <w:r w:rsidR="000C2231">
          <w:rPr>
            <w:noProof/>
            <w:webHidden/>
          </w:rPr>
          <w:t>7</w:t>
        </w:r>
        <w:r w:rsidR="000C2231">
          <w:rPr>
            <w:noProof/>
            <w:webHidden/>
          </w:rPr>
          <w:fldChar w:fldCharType="end"/>
        </w:r>
      </w:hyperlink>
    </w:p>
    <w:p w14:paraId="5EAC825F" w14:textId="789F14A3"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34" w:history="1">
        <w:r w:rsidR="000C2231" w:rsidRPr="0042536B">
          <w:rPr>
            <w:rStyle w:val="Hyperlink"/>
            <w:noProof/>
          </w:rPr>
          <w:t>Section 2. Calculation Methods</w:t>
        </w:r>
        <w:r w:rsidR="000C2231">
          <w:rPr>
            <w:noProof/>
            <w:webHidden/>
          </w:rPr>
          <w:tab/>
        </w:r>
        <w:r w:rsidR="000C2231">
          <w:rPr>
            <w:noProof/>
            <w:webHidden/>
          </w:rPr>
          <w:fldChar w:fldCharType="begin"/>
        </w:r>
        <w:r w:rsidR="000C2231">
          <w:rPr>
            <w:noProof/>
            <w:webHidden/>
          </w:rPr>
          <w:instrText xml:space="preserve"> PAGEREF _Toc512857034 \h </w:instrText>
        </w:r>
        <w:r w:rsidR="000C2231">
          <w:rPr>
            <w:noProof/>
            <w:webHidden/>
          </w:rPr>
        </w:r>
        <w:r w:rsidR="000C2231">
          <w:rPr>
            <w:noProof/>
            <w:webHidden/>
          </w:rPr>
          <w:fldChar w:fldCharType="separate"/>
        </w:r>
        <w:r w:rsidR="000C2231">
          <w:rPr>
            <w:noProof/>
            <w:webHidden/>
          </w:rPr>
          <w:t>8</w:t>
        </w:r>
        <w:r w:rsidR="000C2231">
          <w:rPr>
            <w:noProof/>
            <w:webHidden/>
          </w:rPr>
          <w:fldChar w:fldCharType="end"/>
        </w:r>
      </w:hyperlink>
    </w:p>
    <w:p w14:paraId="1B126F86" w14:textId="50945667"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35" w:history="1">
        <w:r w:rsidR="000C2231" w:rsidRPr="0042536B">
          <w:rPr>
            <w:rStyle w:val="Hyperlink"/>
            <w:noProof/>
          </w:rPr>
          <w:t>2.1 Electric Energy Savings Estimation Methodologies</w:t>
        </w:r>
        <w:r w:rsidR="000C2231">
          <w:rPr>
            <w:noProof/>
            <w:webHidden/>
          </w:rPr>
          <w:tab/>
        </w:r>
        <w:r w:rsidR="000C2231">
          <w:rPr>
            <w:noProof/>
            <w:webHidden/>
          </w:rPr>
          <w:fldChar w:fldCharType="begin"/>
        </w:r>
        <w:r w:rsidR="000C2231">
          <w:rPr>
            <w:noProof/>
            <w:webHidden/>
          </w:rPr>
          <w:instrText xml:space="preserve"> PAGEREF _Toc512857035 \h </w:instrText>
        </w:r>
        <w:r w:rsidR="000C2231">
          <w:rPr>
            <w:noProof/>
            <w:webHidden/>
          </w:rPr>
        </w:r>
        <w:r w:rsidR="000C2231">
          <w:rPr>
            <w:noProof/>
            <w:webHidden/>
          </w:rPr>
          <w:fldChar w:fldCharType="separate"/>
        </w:r>
        <w:r w:rsidR="000C2231">
          <w:rPr>
            <w:noProof/>
            <w:webHidden/>
          </w:rPr>
          <w:t>8</w:t>
        </w:r>
        <w:r w:rsidR="000C2231">
          <w:rPr>
            <w:noProof/>
            <w:webHidden/>
          </w:rPr>
          <w:fldChar w:fldCharType="end"/>
        </w:r>
      </w:hyperlink>
    </w:p>
    <w:p w14:paraId="2D4D2892" w14:textId="535CCD02"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36" w:history="1">
        <w:r w:rsidR="000C2231" w:rsidRPr="0042536B">
          <w:rPr>
            <w:rStyle w:val="Hyperlink"/>
            <w:noProof/>
          </w:rPr>
          <w:t>2.2. Demand Reduction Estimation Methodologies</w:t>
        </w:r>
        <w:r w:rsidR="000C2231">
          <w:rPr>
            <w:noProof/>
            <w:webHidden/>
          </w:rPr>
          <w:tab/>
        </w:r>
        <w:r w:rsidR="000C2231">
          <w:rPr>
            <w:noProof/>
            <w:webHidden/>
          </w:rPr>
          <w:fldChar w:fldCharType="begin"/>
        </w:r>
        <w:r w:rsidR="000C2231">
          <w:rPr>
            <w:noProof/>
            <w:webHidden/>
          </w:rPr>
          <w:instrText xml:space="preserve"> PAGEREF _Toc512857036 \h </w:instrText>
        </w:r>
        <w:r w:rsidR="000C2231">
          <w:rPr>
            <w:noProof/>
            <w:webHidden/>
          </w:rPr>
        </w:r>
        <w:r w:rsidR="000C2231">
          <w:rPr>
            <w:noProof/>
            <w:webHidden/>
          </w:rPr>
          <w:fldChar w:fldCharType="separate"/>
        </w:r>
        <w:r w:rsidR="000C2231">
          <w:rPr>
            <w:noProof/>
            <w:webHidden/>
          </w:rPr>
          <w:t>8</w:t>
        </w:r>
        <w:r w:rsidR="000C2231">
          <w:rPr>
            <w:noProof/>
            <w:webHidden/>
          </w:rPr>
          <w:fldChar w:fldCharType="end"/>
        </w:r>
      </w:hyperlink>
    </w:p>
    <w:p w14:paraId="041A280F" w14:textId="6D9BD68A"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37" w:history="1">
        <w:r w:rsidR="000C2231" w:rsidRPr="0042536B">
          <w:rPr>
            <w:rStyle w:val="Hyperlink"/>
            <w:noProof/>
          </w:rPr>
          <w:t>2.3. Gas Energy Savings Estimation Methodologies</w:t>
        </w:r>
        <w:r w:rsidR="000C2231">
          <w:rPr>
            <w:noProof/>
            <w:webHidden/>
          </w:rPr>
          <w:tab/>
        </w:r>
        <w:r w:rsidR="000C2231">
          <w:rPr>
            <w:noProof/>
            <w:webHidden/>
          </w:rPr>
          <w:fldChar w:fldCharType="begin"/>
        </w:r>
        <w:r w:rsidR="000C2231">
          <w:rPr>
            <w:noProof/>
            <w:webHidden/>
          </w:rPr>
          <w:instrText xml:space="preserve"> PAGEREF _Toc512857037 \h </w:instrText>
        </w:r>
        <w:r w:rsidR="000C2231">
          <w:rPr>
            <w:noProof/>
            <w:webHidden/>
          </w:rPr>
        </w:r>
        <w:r w:rsidR="000C2231">
          <w:rPr>
            <w:noProof/>
            <w:webHidden/>
          </w:rPr>
          <w:fldChar w:fldCharType="separate"/>
        </w:r>
        <w:r w:rsidR="000C2231">
          <w:rPr>
            <w:noProof/>
            <w:webHidden/>
          </w:rPr>
          <w:t>9</w:t>
        </w:r>
        <w:r w:rsidR="000C2231">
          <w:rPr>
            <w:noProof/>
            <w:webHidden/>
          </w:rPr>
          <w:fldChar w:fldCharType="end"/>
        </w:r>
      </w:hyperlink>
    </w:p>
    <w:p w14:paraId="7A7F71B5" w14:textId="7CC26801"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38" w:history="1">
        <w:r w:rsidR="000C2231" w:rsidRPr="0042536B">
          <w:rPr>
            <w:rStyle w:val="Hyperlink"/>
            <w:noProof/>
          </w:rPr>
          <w:t>Section 3. Load Shapes</w:t>
        </w:r>
        <w:r w:rsidR="000C2231">
          <w:rPr>
            <w:noProof/>
            <w:webHidden/>
          </w:rPr>
          <w:tab/>
        </w:r>
        <w:r w:rsidR="000C2231">
          <w:rPr>
            <w:noProof/>
            <w:webHidden/>
          </w:rPr>
          <w:fldChar w:fldCharType="begin"/>
        </w:r>
        <w:r w:rsidR="000C2231">
          <w:rPr>
            <w:noProof/>
            <w:webHidden/>
          </w:rPr>
          <w:instrText xml:space="preserve"> PAGEREF _Toc512857038 \h </w:instrText>
        </w:r>
        <w:r w:rsidR="000C2231">
          <w:rPr>
            <w:noProof/>
            <w:webHidden/>
          </w:rPr>
        </w:r>
        <w:r w:rsidR="000C2231">
          <w:rPr>
            <w:noProof/>
            <w:webHidden/>
          </w:rPr>
          <w:fldChar w:fldCharType="separate"/>
        </w:r>
        <w:r w:rsidR="000C2231">
          <w:rPr>
            <w:noProof/>
            <w:webHidden/>
          </w:rPr>
          <w:t>10</w:t>
        </w:r>
        <w:r w:rsidR="000C2231">
          <w:rPr>
            <w:noProof/>
            <w:webHidden/>
          </w:rPr>
          <w:fldChar w:fldCharType="end"/>
        </w:r>
      </w:hyperlink>
    </w:p>
    <w:p w14:paraId="063A17AE" w14:textId="6746AE20"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39" w:history="1">
        <w:r w:rsidR="000C2231" w:rsidRPr="0042536B">
          <w:rPr>
            <w:rStyle w:val="Hyperlink"/>
            <w:noProof/>
          </w:rPr>
          <w:t>3.1 Base Case Load Shapes</w:t>
        </w:r>
        <w:r w:rsidR="000C2231">
          <w:rPr>
            <w:noProof/>
            <w:webHidden/>
          </w:rPr>
          <w:tab/>
        </w:r>
        <w:r w:rsidR="000C2231">
          <w:rPr>
            <w:noProof/>
            <w:webHidden/>
          </w:rPr>
          <w:fldChar w:fldCharType="begin"/>
        </w:r>
        <w:r w:rsidR="000C2231">
          <w:rPr>
            <w:noProof/>
            <w:webHidden/>
          </w:rPr>
          <w:instrText xml:space="preserve"> PAGEREF _Toc512857039 \h </w:instrText>
        </w:r>
        <w:r w:rsidR="000C2231">
          <w:rPr>
            <w:noProof/>
            <w:webHidden/>
          </w:rPr>
        </w:r>
        <w:r w:rsidR="000C2231">
          <w:rPr>
            <w:noProof/>
            <w:webHidden/>
          </w:rPr>
          <w:fldChar w:fldCharType="separate"/>
        </w:r>
        <w:r w:rsidR="000C2231">
          <w:rPr>
            <w:noProof/>
            <w:webHidden/>
          </w:rPr>
          <w:t>10</w:t>
        </w:r>
        <w:r w:rsidR="000C2231">
          <w:rPr>
            <w:noProof/>
            <w:webHidden/>
          </w:rPr>
          <w:fldChar w:fldCharType="end"/>
        </w:r>
      </w:hyperlink>
    </w:p>
    <w:p w14:paraId="7DAB297A" w14:textId="4D6B581B"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40" w:history="1">
        <w:r w:rsidR="000C2231" w:rsidRPr="0042536B">
          <w:rPr>
            <w:rStyle w:val="Hyperlink"/>
            <w:noProof/>
          </w:rPr>
          <w:t>3.2 Measure Load Shapes</w:t>
        </w:r>
        <w:r w:rsidR="000C2231">
          <w:rPr>
            <w:noProof/>
            <w:webHidden/>
          </w:rPr>
          <w:tab/>
        </w:r>
        <w:r w:rsidR="000C2231">
          <w:rPr>
            <w:noProof/>
            <w:webHidden/>
          </w:rPr>
          <w:fldChar w:fldCharType="begin"/>
        </w:r>
        <w:r w:rsidR="000C2231">
          <w:rPr>
            <w:noProof/>
            <w:webHidden/>
          </w:rPr>
          <w:instrText xml:space="preserve"> PAGEREF _Toc512857040 \h </w:instrText>
        </w:r>
        <w:r w:rsidR="000C2231">
          <w:rPr>
            <w:noProof/>
            <w:webHidden/>
          </w:rPr>
        </w:r>
        <w:r w:rsidR="000C2231">
          <w:rPr>
            <w:noProof/>
            <w:webHidden/>
          </w:rPr>
          <w:fldChar w:fldCharType="separate"/>
        </w:r>
        <w:r w:rsidR="000C2231">
          <w:rPr>
            <w:noProof/>
            <w:webHidden/>
          </w:rPr>
          <w:t>10</w:t>
        </w:r>
        <w:r w:rsidR="000C2231">
          <w:rPr>
            <w:noProof/>
            <w:webHidden/>
          </w:rPr>
          <w:fldChar w:fldCharType="end"/>
        </w:r>
      </w:hyperlink>
    </w:p>
    <w:p w14:paraId="2A632129" w14:textId="53E6A4D7"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41" w:history="1">
        <w:r w:rsidR="000C2231" w:rsidRPr="0042536B">
          <w:rPr>
            <w:rStyle w:val="Hyperlink"/>
            <w:noProof/>
          </w:rPr>
          <w:t>Section 4. Base Case &amp; Measure Costs</w:t>
        </w:r>
        <w:r w:rsidR="000C2231">
          <w:rPr>
            <w:noProof/>
            <w:webHidden/>
          </w:rPr>
          <w:tab/>
        </w:r>
        <w:r w:rsidR="000C2231">
          <w:rPr>
            <w:noProof/>
            <w:webHidden/>
          </w:rPr>
          <w:fldChar w:fldCharType="begin"/>
        </w:r>
        <w:r w:rsidR="000C2231">
          <w:rPr>
            <w:noProof/>
            <w:webHidden/>
          </w:rPr>
          <w:instrText xml:space="preserve"> PAGEREF _Toc512857041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37FBF4D7" w14:textId="6BCFD627"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42" w:history="1">
        <w:r w:rsidR="000C2231" w:rsidRPr="0042536B">
          <w:rPr>
            <w:rStyle w:val="Hyperlink"/>
            <w:noProof/>
          </w:rPr>
          <w:t>4.1 Base Case(s) Costs</w:t>
        </w:r>
        <w:r w:rsidR="000C2231">
          <w:rPr>
            <w:noProof/>
            <w:webHidden/>
          </w:rPr>
          <w:tab/>
        </w:r>
        <w:r w:rsidR="000C2231">
          <w:rPr>
            <w:noProof/>
            <w:webHidden/>
          </w:rPr>
          <w:fldChar w:fldCharType="begin"/>
        </w:r>
        <w:r w:rsidR="000C2231">
          <w:rPr>
            <w:noProof/>
            <w:webHidden/>
          </w:rPr>
          <w:instrText xml:space="preserve"> PAGEREF _Toc512857042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57ECB8DE" w14:textId="69158AC0"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43" w:history="1">
        <w:r w:rsidR="000C2231" w:rsidRPr="0042536B">
          <w:rPr>
            <w:rStyle w:val="Hyperlink"/>
            <w:noProof/>
          </w:rPr>
          <w:t>4.2 Measure Case Costs</w:t>
        </w:r>
        <w:r w:rsidR="000C2231">
          <w:rPr>
            <w:noProof/>
            <w:webHidden/>
          </w:rPr>
          <w:tab/>
        </w:r>
        <w:r w:rsidR="000C2231">
          <w:rPr>
            <w:noProof/>
            <w:webHidden/>
          </w:rPr>
          <w:fldChar w:fldCharType="begin"/>
        </w:r>
        <w:r w:rsidR="000C2231">
          <w:rPr>
            <w:noProof/>
            <w:webHidden/>
          </w:rPr>
          <w:instrText xml:space="preserve"> PAGEREF _Toc512857043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2F7CF18B" w14:textId="599EE760" w:rsidR="000C2231" w:rsidRDefault="0026029C">
      <w:pPr>
        <w:pStyle w:val="TOC2"/>
        <w:tabs>
          <w:tab w:val="right" w:leader="dot" w:pos="9350"/>
        </w:tabs>
        <w:rPr>
          <w:rFonts w:asciiTheme="minorHAnsi" w:eastAsiaTheme="minorEastAsia" w:hAnsiTheme="minorHAnsi" w:cstheme="minorBidi"/>
          <w:noProof/>
          <w:sz w:val="22"/>
          <w:szCs w:val="22"/>
        </w:rPr>
      </w:pPr>
      <w:hyperlink w:anchor="_Toc512857044" w:history="1">
        <w:r w:rsidR="000C2231" w:rsidRPr="0042536B">
          <w:rPr>
            <w:rStyle w:val="Hyperlink"/>
            <w:noProof/>
          </w:rPr>
          <w:t>4.3 Incremental &amp; Full Measure Costs</w:t>
        </w:r>
        <w:r w:rsidR="000C2231">
          <w:rPr>
            <w:noProof/>
            <w:webHidden/>
          </w:rPr>
          <w:tab/>
        </w:r>
        <w:r w:rsidR="000C2231">
          <w:rPr>
            <w:noProof/>
            <w:webHidden/>
          </w:rPr>
          <w:fldChar w:fldCharType="begin"/>
        </w:r>
        <w:r w:rsidR="000C2231">
          <w:rPr>
            <w:noProof/>
            <w:webHidden/>
          </w:rPr>
          <w:instrText xml:space="preserve"> PAGEREF _Toc512857044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674B339E" w14:textId="7630AE59"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45" w:history="1">
        <w:r w:rsidR="000C2231" w:rsidRPr="0042536B">
          <w:rPr>
            <w:rStyle w:val="Hyperlink"/>
            <w:noProof/>
          </w:rPr>
          <w:t>4.3.1 Full Measure Cost</w:t>
        </w:r>
        <w:r w:rsidR="000C2231">
          <w:rPr>
            <w:noProof/>
            <w:webHidden/>
          </w:rPr>
          <w:tab/>
        </w:r>
        <w:r w:rsidR="000C2231">
          <w:rPr>
            <w:noProof/>
            <w:webHidden/>
          </w:rPr>
          <w:fldChar w:fldCharType="begin"/>
        </w:r>
        <w:r w:rsidR="000C2231">
          <w:rPr>
            <w:noProof/>
            <w:webHidden/>
          </w:rPr>
          <w:instrText xml:space="preserve"> PAGEREF _Toc512857045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4B08113C" w14:textId="48993775" w:rsidR="000C2231" w:rsidRDefault="0026029C">
      <w:pPr>
        <w:pStyle w:val="TOC3"/>
        <w:tabs>
          <w:tab w:val="right" w:leader="dot" w:pos="9350"/>
        </w:tabs>
        <w:rPr>
          <w:rFonts w:asciiTheme="minorHAnsi" w:eastAsiaTheme="minorEastAsia" w:hAnsiTheme="minorHAnsi" w:cstheme="minorBidi"/>
          <w:noProof/>
          <w:sz w:val="22"/>
          <w:szCs w:val="22"/>
        </w:rPr>
      </w:pPr>
      <w:hyperlink w:anchor="_Toc512857046" w:history="1">
        <w:r w:rsidR="000C2231" w:rsidRPr="0042536B">
          <w:rPr>
            <w:rStyle w:val="Hyperlink"/>
            <w:noProof/>
          </w:rPr>
          <w:t>4.3.2 Incremental Measure Costs</w:t>
        </w:r>
        <w:r w:rsidR="000C2231">
          <w:rPr>
            <w:noProof/>
            <w:webHidden/>
          </w:rPr>
          <w:tab/>
        </w:r>
        <w:r w:rsidR="000C2231">
          <w:rPr>
            <w:noProof/>
            <w:webHidden/>
          </w:rPr>
          <w:fldChar w:fldCharType="begin"/>
        </w:r>
        <w:r w:rsidR="000C2231">
          <w:rPr>
            <w:noProof/>
            <w:webHidden/>
          </w:rPr>
          <w:instrText xml:space="preserve"> PAGEREF _Toc512857046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0F8A06AA" w14:textId="1A96CE63" w:rsidR="000C2231" w:rsidRDefault="0026029C">
      <w:pPr>
        <w:pStyle w:val="TOC1"/>
        <w:tabs>
          <w:tab w:val="right" w:leader="dot" w:pos="9350"/>
        </w:tabs>
        <w:rPr>
          <w:rFonts w:asciiTheme="minorHAnsi" w:eastAsiaTheme="minorEastAsia" w:hAnsiTheme="minorHAnsi" w:cstheme="minorBidi"/>
          <w:noProof/>
          <w:sz w:val="22"/>
          <w:szCs w:val="22"/>
        </w:rPr>
      </w:pPr>
      <w:hyperlink w:anchor="_Toc512857047" w:history="1">
        <w:r w:rsidR="000C2231" w:rsidRPr="0042536B">
          <w:rPr>
            <w:rStyle w:val="Hyperlink"/>
            <w:noProof/>
          </w:rPr>
          <w:t>References</w:t>
        </w:r>
        <w:r w:rsidR="000C2231">
          <w:rPr>
            <w:noProof/>
            <w:webHidden/>
          </w:rPr>
          <w:tab/>
        </w:r>
        <w:r w:rsidR="000C2231">
          <w:rPr>
            <w:noProof/>
            <w:webHidden/>
          </w:rPr>
          <w:fldChar w:fldCharType="begin"/>
        </w:r>
        <w:r w:rsidR="000C2231">
          <w:rPr>
            <w:noProof/>
            <w:webHidden/>
          </w:rPr>
          <w:instrText xml:space="preserve"> PAGEREF _Toc512857047 \h </w:instrText>
        </w:r>
        <w:r w:rsidR="000C2231">
          <w:rPr>
            <w:noProof/>
            <w:webHidden/>
          </w:rPr>
        </w:r>
        <w:r w:rsidR="000C2231">
          <w:rPr>
            <w:noProof/>
            <w:webHidden/>
          </w:rPr>
          <w:fldChar w:fldCharType="separate"/>
        </w:r>
        <w:r w:rsidR="000C2231">
          <w:rPr>
            <w:noProof/>
            <w:webHidden/>
          </w:rPr>
          <w:t>12</w:t>
        </w:r>
        <w:r w:rsidR="000C2231">
          <w:rPr>
            <w:noProof/>
            <w:webHidden/>
          </w:rPr>
          <w:fldChar w:fldCharType="end"/>
        </w:r>
      </w:hyperlink>
    </w:p>
    <w:p w14:paraId="1B36686C" w14:textId="33F9F6C7" w:rsidR="00DC39C2" w:rsidRPr="00F72764" w:rsidRDefault="009F6F8B" w:rsidP="00E61E96">
      <w:pPr>
        <w:pStyle w:val="TOC1"/>
        <w:tabs>
          <w:tab w:val="right" w:leader="dot" w:pos="9350"/>
        </w:tabs>
        <w:spacing w:line="264" w:lineRule="auto"/>
        <w:rPr>
          <w:rFonts w:asciiTheme="minorHAnsi" w:eastAsiaTheme="minorEastAsia" w:hAnsiTheme="minorHAnsi" w:cstheme="minorBidi"/>
          <w:noProof/>
          <w:sz w:val="22"/>
          <w:szCs w:val="22"/>
        </w:rPr>
      </w:pPr>
      <w:r w:rsidRPr="006C6795">
        <w:rPr>
          <w:b/>
          <w:bCs/>
          <w:sz w:val="20"/>
          <w:szCs w:val="20"/>
        </w:rPr>
        <w:fldChar w:fldCharType="end"/>
      </w:r>
      <w:bookmarkStart w:id="8" w:name="_Toc172205729"/>
    </w:p>
    <w:p w14:paraId="1B36686D" w14:textId="77777777" w:rsidR="00ED21EE" w:rsidRDefault="00ED21EE" w:rsidP="00E61E96">
      <w:pPr>
        <w:pStyle w:val="Heading1"/>
        <w:spacing w:before="120" w:after="80"/>
      </w:pPr>
      <w:bookmarkStart w:id="9" w:name="_Toc512857025"/>
      <w:r>
        <w:t>List of Tables</w:t>
      </w:r>
      <w:bookmarkEnd w:id="8"/>
      <w:bookmarkEnd w:id="9"/>
    </w:p>
    <w:p w14:paraId="090F897F" w14:textId="0BBA39D6" w:rsidR="000C2231" w:rsidRDefault="00ED21EE">
      <w:pPr>
        <w:pStyle w:val="TableofFigures"/>
        <w:tabs>
          <w:tab w:val="right" w:leader="dot" w:pos="9350"/>
        </w:tabs>
        <w:rPr>
          <w:rFonts w:asciiTheme="minorHAnsi" w:eastAsiaTheme="minorEastAsia" w:hAnsiTheme="minorHAnsi" w:cstheme="minorBidi"/>
          <w:noProof/>
          <w:sz w:val="22"/>
          <w:szCs w:val="22"/>
        </w:rPr>
      </w:pPr>
      <w:r w:rsidRPr="006C6795">
        <w:rPr>
          <w:rFonts w:ascii="Arial" w:hAnsi="Arial" w:cs="Arial"/>
          <w:sz w:val="20"/>
          <w:szCs w:val="20"/>
        </w:rPr>
        <w:fldChar w:fldCharType="begin"/>
      </w:r>
      <w:r w:rsidRPr="006C6795">
        <w:rPr>
          <w:rFonts w:ascii="Arial" w:hAnsi="Arial" w:cs="Arial"/>
          <w:sz w:val="20"/>
          <w:szCs w:val="20"/>
        </w:rPr>
        <w:instrText xml:space="preserve"> TOC \h \z \c "Table" </w:instrText>
      </w:r>
      <w:r w:rsidRPr="006C6795">
        <w:rPr>
          <w:rFonts w:ascii="Arial" w:hAnsi="Arial" w:cs="Arial"/>
          <w:sz w:val="20"/>
          <w:szCs w:val="20"/>
        </w:rPr>
        <w:fldChar w:fldCharType="separate"/>
      </w:r>
      <w:hyperlink w:anchor="_Toc512857048" w:history="1">
        <w:r w:rsidR="000C2231" w:rsidRPr="00B65EC1">
          <w:rPr>
            <w:rStyle w:val="Hyperlink"/>
            <w:noProof/>
          </w:rPr>
          <w:t>Table 1 Measure Codes and Descriptions</w:t>
        </w:r>
        <w:r w:rsidR="000C2231">
          <w:rPr>
            <w:noProof/>
            <w:webHidden/>
          </w:rPr>
          <w:tab/>
        </w:r>
        <w:r w:rsidR="000C2231">
          <w:rPr>
            <w:noProof/>
            <w:webHidden/>
          </w:rPr>
          <w:fldChar w:fldCharType="begin"/>
        </w:r>
        <w:r w:rsidR="000C2231">
          <w:rPr>
            <w:noProof/>
            <w:webHidden/>
          </w:rPr>
          <w:instrText xml:space="preserve"> PAGEREF _Toc512857048 \h </w:instrText>
        </w:r>
        <w:r w:rsidR="000C2231">
          <w:rPr>
            <w:noProof/>
            <w:webHidden/>
          </w:rPr>
        </w:r>
        <w:r w:rsidR="000C2231">
          <w:rPr>
            <w:noProof/>
            <w:webHidden/>
          </w:rPr>
          <w:fldChar w:fldCharType="separate"/>
        </w:r>
        <w:r w:rsidR="000C2231">
          <w:rPr>
            <w:noProof/>
            <w:webHidden/>
          </w:rPr>
          <w:t>1</w:t>
        </w:r>
        <w:r w:rsidR="000C2231">
          <w:rPr>
            <w:noProof/>
            <w:webHidden/>
          </w:rPr>
          <w:fldChar w:fldCharType="end"/>
        </w:r>
      </w:hyperlink>
    </w:p>
    <w:p w14:paraId="341A717A" w14:textId="7AE7BCFA"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49" w:history="1">
        <w:r w:rsidR="000C2231" w:rsidRPr="00B65EC1">
          <w:rPr>
            <w:rStyle w:val="Hyperlink"/>
            <w:noProof/>
          </w:rPr>
          <w:t>Table 2 CEC Voluntary California Quality LED Lamp Specification</w:t>
        </w:r>
        <w:r w:rsidR="000C2231">
          <w:rPr>
            <w:noProof/>
            <w:webHidden/>
          </w:rPr>
          <w:tab/>
        </w:r>
        <w:r w:rsidR="000C2231">
          <w:rPr>
            <w:noProof/>
            <w:webHidden/>
          </w:rPr>
          <w:fldChar w:fldCharType="begin"/>
        </w:r>
        <w:r w:rsidR="000C2231">
          <w:rPr>
            <w:noProof/>
            <w:webHidden/>
          </w:rPr>
          <w:instrText xml:space="preserve"> PAGEREF _Toc512857049 \h </w:instrText>
        </w:r>
        <w:r w:rsidR="000C2231">
          <w:rPr>
            <w:noProof/>
            <w:webHidden/>
          </w:rPr>
        </w:r>
        <w:r w:rsidR="000C2231">
          <w:rPr>
            <w:noProof/>
            <w:webHidden/>
          </w:rPr>
          <w:fldChar w:fldCharType="separate"/>
        </w:r>
        <w:r w:rsidR="000C2231">
          <w:rPr>
            <w:noProof/>
            <w:webHidden/>
          </w:rPr>
          <w:t>2</w:t>
        </w:r>
        <w:r w:rsidR="000C2231">
          <w:rPr>
            <w:noProof/>
            <w:webHidden/>
          </w:rPr>
          <w:fldChar w:fldCharType="end"/>
        </w:r>
      </w:hyperlink>
    </w:p>
    <w:p w14:paraId="758032D4" w14:textId="605050C1"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0" w:history="1">
        <w:r w:rsidR="000C2231" w:rsidRPr="00B65EC1">
          <w:rPr>
            <w:rStyle w:val="Hyperlink"/>
            <w:noProof/>
          </w:rPr>
          <w:t>Table 3 Delivery Method and Applicable Building Types</w:t>
        </w:r>
        <w:r w:rsidR="000C2231">
          <w:rPr>
            <w:noProof/>
            <w:webHidden/>
          </w:rPr>
          <w:tab/>
        </w:r>
        <w:r w:rsidR="000C2231">
          <w:rPr>
            <w:noProof/>
            <w:webHidden/>
          </w:rPr>
          <w:fldChar w:fldCharType="begin"/>
        </w:r>
        <w:r w:rsidR="000C2231">
          <w:rPr>
            <w:noProof/>
            <w:webHidden/>
          </w:rPr>
          <w:instrText xml:space="preserve"> PAGEREF _Toc512857050 \h </w:instrText>
        </w:r>
        <w:r w:rsidR="000C2231">
          <w:rPr>
            <w:noProof/>
            <w:webHidden/>
          </w:rPr>
        </w:r>
        <w:r w:rsidR="000C2231">
          <w:rPr>
            <w:noProof/>
            <w:webHidden/>
          </w:rPr>
          <w:fldChar w:fldCharType="separate"/>
        </w:r>
        <w:r w:rsidR="000C2231">
          <w:rPr>
            <w:noProof/>
            <w:webHidden/>
          </w:rPr>
          <w:t>2</w:t>
        </w:r>
        <w:r w:rsidR="000C2231">
          <w:rPr>
            <w:noProof/>
            <w:webHidden/>
          </w:rPr>
          <w:fldChar w:fldCharType="end"/>
        </w:r>
      </w:hyperlink>
    </w:p>
    <w:p w14:paraId="522AE33B" w14:textId="17CC5047"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1" w:history="1">
        <w:r w:rsidR="000C2231" w:rsidRPr="00B65EC1">
          <w:rPr>
            <w:rStyle w:val="Hyperlink"/>
            <w:noProof/>
          </w:rPr>
          <w:t>Table 4 Measure Application Type</w:t>
        </w:r>
        <w:r w:rsidR="000C2231">
          <w:rPr>
            <w:noProof/>
            <w:webHidden/>
          </w:rPr>
          <w:tab/>
        </w:r>
        <w:r w:rsidR="000C2231">
          <w:rPr>
            <w:noProof/>
            <w:webHidden/>
          </w:rPr>
          <w:fldChar w:fldCharType="begin"/>
        </w:r>
        <w:r w:rsidR="000C2231">
          <w:rPr>
            <w:noProof/>
            <w:webHidden/>
          </w:rPr>
          <w:instrText xml:space="preserve"> PAGEREF _Toc512857051 \h </w:instrText>
        </w:r>
        <w:r w:rsidR="000C2231">
          <w:rPr>
            <w:noProof/>
            <w:webHidden/>
          </w:rPr>
        </w:r>
        <w:r w:rsidR="000C2231">
          <w:rPr>
            <w:noProof/>
            <w:webHidden/>
          </w:rPr>
          <w:fldChar w:fldCharType="separate"/>
        </w:r>
        <w:r w:rsidR="000C2231">
          <w:rPr>
            <w:noProof/>
            <w:webHidden/>
          </w:rPr>
          <w:t>4</w:t>
        </w:r>
        <w:r w:rsidR="000C2231">
          <w:rPr>
            <w:noProof/>
            <w:webHidden/>
          </w:rPr>
          <w:fldChar w:fldCharType="end"/>
        </w:r>
      </w:hyperlink>
    </w:p>
    <w:p w14:paraId="525C1DC8" w14:textId="21363C64"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2" w:history="1">
        <w:r w:rsidR="000C2231" w:rsidRPr="00B65EC1">
          <w:rPr>
            <w:rStyle w:val="Hyperlink"/>
            <w:noProof/>
          </w:rPr>
          <w:t>Table 5 Wattage Reduction Ratio</w:t>
        </w:r>
        <w:r w:rsidR="000C2231">
          <w:rPr>
            <w:noProof/>
            <w:webHidden/>
          </w:rPr>
          <w:tab/>
        </w:r>
        <w:r w:rsidR="000C2231">
          <w:rPr>
            <w:noProof/>
            <w:webHidden/>
          </w:rPr>
          <w:fldChar w:fldCharType="begin"/>
        </w:r>
        <w:r w:rsidR="000C2231">
          <w:rPr>
            <w:noProof/>
            <w:webHidden/>
          </w:rPr>
          <w:instrText xml:space="preserve"> PAGEREF _Toc512857052 \h </w:instrText>
        </w:r>
        <w:r w:rsidR="000C2231">
          <w:rPr>
            <w:noProof/>
            <w:webHidden/>
          </w:rPr>
        </w:r>
        <w:r w:rsidR="000C2231">
          <w:rPr>
            <w:noProof/>
            <w:webHidden/>
          </w:rPr>
          <w:fldChar w:fldCharType="separate"/>
        </w:r>
        <w:r w:rsidR="000C2231">
          <w:rPr>
            <w:noProof/>
            <w:webHidden/>
          </w:rPr>
          <w:t>4</w:t>
        </w:r>
        <w:r w:rsidR="000C2231">
          <w:rPr>
            <w:noProof/>
            <w:webHidden/>
          </w:rPr>
          <w:fldChar w:fldCharType="end"/>
        </w:r>
      </w:hyperlink>
    </w:p>
    <w:p w14:paraId="32EF6935" w14:textId="025A188E"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3" w:history="1">
        <w:r w:rsidR="000C2231" w:rsidRPr="00B65EC1">
          <w:rPr>
            <w:rStyle w:val="Hyperlink"/>
            <w:noProof/>
          </w:rPr>
          <w:t>Table 6 Net-to-Gross Ratios</w:t>
        </w:r>
        <w:r w:rsidR="000C2231">
          <w:rPr>
            <w:noProof/>
            <w:webHidden/>
          </w:rPr>
          <w:tab/>
        </w:r>
        <w:r w:rsidR="000C2231">
          <w:rPr>
            <w:noProof/>
            <w:webHidden/>
          </w:rPr>
          <w:fldChar w:fldCharType="begin"/>
        </w:r>
        <w:r w:rsidR="000C2231">
          <w:rPr>
            <w:noProof/>
            <w:webHidden/>
          </w:rPr>
          <w:instrText xml:space="preserve"> PAGEREF _Toc512857053 \h </w:instrText>
        </w:r>
        <w:r w:rsidR="000C2231">
          <w:rPr>
            <w:noProof/>
            <w:webHidden/>
          </w:rPr>
        </w:r>
        <w:r w:rsidR="000C2231">
          <w:rPr>
            <w:noProof/>
            <w:webHidden/>
          </w:rPr>
          <w:fldChar w:fldCharType="separate"/>
        </w:r>
        <w:r w:rsidR="000C2231">
          <w:rPr>
            <w:noProof/>
            <w:webHidden/>
          </w:rPr>
          <w:t>5</w:t>
        </w:r>
        <w:r w:rsidR="000C2231">
          <w:rPr>
            <w:noProof/>
            <w:webHidden/>
          </w:rPr>
          <w:fldChar w:fldCharType="end"/>
        </w:r>
      </w:hyperlink>
    </w:p>
    <w:p w14:paraId="25A3F125" w14:textId="472A3498"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4" w:history="1">
        <w:r w:rsidR="000C2231" w:rsidRPr="00B65EC1">
          <w:rPr>
            <w:rStyle w:val="Hyperlink"/>
            <w:noProof/>
          </w:rPr>
          <w:t>Table 7 Installation Rate</w:t>
        </w:r>
        <w:r w:rsidR="000C2231">
          <w:rPr>
            <w:noProof/>
            <w:webHidden/>
          </w:rPr>
          <w:tab/>
        </w:r>
        <w:r w:rsidR="000C2231">
          <w:rPr>
            <w:noProof/>
            <w:webHidden/>
          </w:rPr>
          <w:fldChar w:fldCharType="begin"/>
        </w:r>
        <w:r w:rsidR="000C2231">
          <w:rPr>
            <w:noProof/>
            <w:webHidden/>
          </w:rPr>
          <w:instrText xml:space="preserve"> PAGEREF _Toc512857054 \h </w:instrText>
        </w:r>
        <w:r w:rsidR="000C2231">
          <w:rPr>
            <w:noProof/>
            <w:webHidden/>
          </w:rPr>
        </w:r>
        <w:r w:rsidR="000C2231">
          <w:rPr>
            <w:noProof/>
            <w:webHidden/>
          </w:rPr>
          <w:fldChar w:fldCharType="separate"/>
        </w:r>
        <w:r w:rsidR="000C2231">
          <w:rPr>
            <w:noProof/>
            <w:webHidden/>
          </w:rPr>
          <w:t>5</w:t>
        </w:r>
        <w:r w:rsidR="000C2231">
          <w:rPr>
            <w:noProof/>
            <w:webHidden/>
          </w:rPr>
          <w:fldChar w:fldCharType="end"/>
        </w:r>
      </w:hyperlink>
    </w:p>
    <w:p w14:paraId="1D66D895" w14:textId="2CF00869"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5" w:history="1">
        <w:r w:rsidR="000C2231" w:rsidRPr="00B65EC1">
          <w:rPr>
            <w:rStyle w:val="Hyperlink"/>
            <w:noProof/>
          </w:rPr>
          <w:t>Table 8 Effective and Remaining Useful Life</w:t>
        </w:r>
        <w:r w:rsidR="000C2231">
          <w:rPr>
            <w:noProof/>
            <w:webHidden/>
          </w:rPr>
          <w:tab/>
        </w:r>
        <w:r w:rsidR="000C2231">
          <w:rPr>
            <w:noProof/>
            <w:webHidden/>
          </w:rPr>
          <w:fldChar w:fldCharType="begin"/>
        </w:r>
        <w:r w:rsidR="000C2231">
          <w:rPr>
            <w:noProof/>
            <w:webHidden/>
          </w:rPr>
          <w:instrText xml:space="preserve"> PAGEREF _Toc512857055 \h </w:instrText>
        </w:r>
        <w:r w:rsidR="000C2231">
          <w:rPr>
            <w:noProof/>
            <w:webHidden/>
          </w:rPr>
        </w:r>
        <w:r w:rsidR="000C2231">
          <w:rPr>
            <w:noProof/>
            <w:webHidden/>
          </w:rPr>
          <w:fldChar w:fldCharType="separate"/>
        </w:r>
        <w:r w:rsidR="000C2231">
          <w:rPr>
            <w:noProof/>
            <w:webHidden/>
          </w:rPr>
          <w:t>5</w:t>
        </w:r>
        <w:r w:rsidR="000C2231">
          <w:rPr>
            <w:noProof/>
            <w:webHidden/>
          </w:rPr>
          <w:fldChar w:fldCharType="end"/>
        </w:r>
      </w:hyperlink>
    </w:p>
    <w:p w14:paraId="0D8F9231" w14:textId="7845DCF7"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6" w:history="1">
        <w:r w:rsidR="000C2231" w:rsidRPr="00B65EC1">
          <w:rPr>
            <w:rStyle w:val="Hyperlink"/>
            <w:noProof/>
          </w:rPr>
          <w:t>Table 9 Previous CALiPER Testing of BR30 and R30 LED Lamps</w:t>
        </w:r>
        <w:r w:rsidR="000C2231">
          <w:rPr>
            <w:noProof/>
            <w:webHidden/>
          </w:rPr>
          <w:tab/>
        </w:r>
        <w:r w:rsidR="000C2231">
          <w:rPr>
            <w:noProof/>
            <w:webHidden/>
          </w:rPr>
          <w:fldChar w:fldCharType="begin"/>
        </w:r>
        <w:r w:rsidR="000C2231">
          <w:rPr>
            <w:noProof/>
            <w:webHidden/>
          </w:rPr>
          <w:instrText xml:space="preserve"> PAGEREF _Toc512857056 \h </w:instrText>
        </w:r>
        <w:r w:rsidR="000C2231">
          <w:rPr>
            <w:noProof/>
            <w:webHidden/>
          </w:rPr>
        </w:r>
        <w:r w:rsidR="000C2231">
          <w:rPr>
            <w:noProof/>
            <w:webHidden/>
          </w:rPr>
          <w:fldChar w:fldCharType="separate"/>
        </w:r>
        <w:r w:rsidR="000C2231">
          <w:rPr>
            <w:noProof/>
            <w:webHidden/>
          </w:rPr>
          <w:t>6</w:t>
        </w:r>
        <w:r w:rsidR="000C2231">
          <w:rPr>
            <w:noProof/>
            <w:webHidden/>
          </w:rPr>
          <w:fldChar w:fldCharType="end"/>
        </w:r>
      </w:hyperlink>
    </w:p>
    <w:p w14:paraId="57E80EE8" w14:textId="6AF1F264"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7" w:history="1">
        <w:r w:rsidR="000C2231" w:rsidRPr="00B65EC1">
          <w:rPr>
            <w:rStyle w:val="Hyperlink"/>
            <w:noProof/>
          </w:rPr>
          <w:t>Table 10 CALiPER Testing of Conventional BR30 and R30 Lamps</w:t>
        </w:r>
        <w:r w:rsidR="000C2231">
          <w:rPr>
            <w:noProof/>
            <w:webHidden/>
          </w:rPr>
          <w:tab/>
        </w:r>
        <w:r w:rsidR="000C2231">
          <w:rPr>
            <w:noProof/>
            <w:webHidden/>
          </w:rPr>
          <w:fldChar w:fldCharType="begin"/>
        </w:r>
        <w:r w:rsidR="000C2231">
          <w:rPr>
            <w:noProof/>
            <w:webHidden/>
          </w:rPr>
          <w:instrText xml:space="preserve"> PAGEREF _Toc512857057 \h </w:instrText>
        </w:r>
        <w:r w:rsidR="000C2231">
          <w:rPr>
            <w:noProof/>
            <w:webHidden/>
          </w:rPr>
        </w:r>
        <w:r w:rsidR="000C2231">
          <w:rPr>
            <w:noProof/>
            <w:webHidden/>
          </w:rPr>
          <w:fldChar w:fldCharType="separate"/>
        </w:r>
        <w:r w:rsidR="000C2231">
          <w:rPr>
            <w:noProof/>
            <w:webHidden/>
          </w:rPr>
          <w:t>6</w:t>
        </w:r>
        <w:r w:rsidR="000C2231">
          <w:rPr>
            <w:noProof/>
            <w:webHidden/>
          </w:rPr>
          <w:fldChar w:fldCharType="end"/>
        </w:r>
      </w:hyperlink>
    </w:p>
    <w:p w14:paraId="7C90C174" w14:textId="612F0677"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8" w:history="1">
        <w:r w:rsidR="000C2231" w:rsidRPr="00B65EC1">
          <w:rPr>
            <w:rStyle w:val="Hyperlink"/>
            <w:noProof/>
          </w:rPr>
          <w:t>Table 11 Results of the CALiPER Testing of BR30/R30  for the series 16 LED Lamps</w:t>
        </w:r>
        <w:r w:rsidR="000C2231">
          <w:rPr>
            <w:noProof/>
            <w:webHidden/>
          </w:rPr>
          <w:tab/>
        </w:r>
        <w:r w:rsidR="000C2231">
          <w:rPr>
            <w:noProof/>
            <w:webHidden/>
          </w:rPr>
          <w:fldChar w:fldCharType="begin"/>
        </w:r>
        <w:r w:rsidR="000C2231">
          <w:rPr>
            <w:noProof/>
            <w:webHidden/>
          </w:rPr>
          <w:instrText xml:space="preserve"> PAGEREF _Toc512857058 \h </w:instrText>
        </w:r>
        <w:r w:rsidR="000C2231">
          <w:rPr>
            <w:noProof/>
            <w:webHidden/>
          </w:rPr>
        </w:r>
        <w:r w:rsidR="000C2231">
          <w:rPr>
            <w:noProof/>
            <w:webHidden/>
          </w:rPr>
          <w:fldChar w:fldCharType="separate"/>
        </w:r>
        <w:r w:rsidR="000C2231">
          <w:rPr>
            <w:noProof/>
            <w:webHidden/>
          </w:rPr>
          <w:t>7</w:t>
        </w:r>
        <w:r w:rsidR="000C2231">
          <w:rPr>
            <w:noProof/>
            <w:webHidden/>
          </w:rPr>
          <w:fldChar w:fldCharType="end"/>
        </w:r>
      </w:hyperlink>
    </w:p>
    <w:p w14:paraId="585A83EA" w14:textId="3C111D14"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59" w:history="1">
        <w:r w:rsidR="000C2231" w:rsidRPr="00B65EC1">
          <w:rPr>
            <w:rStyle w:val="Hyperlink"/>
            <w:noProof/>
          </w:rPr>
          <w:t>Table 12 Building Types and Load Shapes</w:t>
        </w:r>
        <w:r w:rsidR="000C2231">
          <w:rPr>
            <w:noProof/>
            <w:webHidden/>
          </w:rPr>
          <w:tab/>
        </w:r>
        <w:r w:rsidR="000C2231">
          <w:rPr>
            <w:noProof/>
            <w:webHidden/>
          </w:rPr>
          <w:fldChar w:fldCharType="begin"/>
        </w:r>
        <w:r w:rsidR="000C2231">
          <w:rPr>
            <w:noProof/>
            <w:webHidden/>
          </w:rPr>
          <w:instrText xml:space="preserve"> PAGEREF _Toc512857059 \h </w:instrText>
        </w:r>
        <w:r w:rsidR="000C2231">
          <w:rPr>
            <w:noProof/>
            <w:webHidden/>
          </w:rPr>
        </w:r>
        <w:r w:rsidR="000C2231">
          <w:rPr>
            <w:noProof/>
            <w:webHidden/>
          </w:rPr>
          <w:fldChar w:fldCharType="separate"/>
        </w:r>
        <w:r w:rsidR="000C2231">
          <w:rPr>
            <w:noProof/>
            <w:webHidden/>
          </w:rPr>
          <w:t>10</w:t>
        </w:r>
        <w:r w:rsidR="000C2231">
          <w:rPr>
            <w:noProof/>
            <w:webHidden/>
          </w:rPr>
          <w:fldChar w:fldCharType="end"/>
        </w:r>
      </w:hyperlink>
    </w:p>
    <w:p w14:paraId="23837CC1" w14:textId="2149750C" w:rsidR="000C2231" w:rsidRDefault="0026029C">
      <w:pPr>
        <w:pStyle w:val="TableofFigures"/>
        <w:tabs>
          <w:tab w:val="right" w:leader="dot" w:pos="9350"/>
        </w:tabs>
        <w:rPr>
          <w:rFonts w:asciiTheme="minorHAnsi" w:eastAsiaTheme="minorEastAsia" w:hAnsiTheme="minorHAnsi" w:cstheme="minorBidi"/>
          <w:noProof/>
          <w:sz w:val="22"/>
          <w:szCs w:val="22"/>
        </w:rPr>
      </w:pPr>
      <w:hyperlink w:anchor="_Toc512857060" w:history="1">
        <w:r w:rsidR="000C2231" w:rsidRPr="00B65EC1">
          <w:rPr>
            <w:rStyle w:val="Hyperlink"/>
            <w:noProof/>
          </w:rPr>
          <w:t>Table 13 Full and Incremental Measure Cost Equations</w:t>
        </w:r>
        <w:r w:rsidR="000C2231">
          <w:rPr>
            <w:noProof/>
            <w:webHidden/>
          </w:rPr>
          <w:tab/>
        </w:r>
        <w:r w:rsidR="000C2231">
          <w:rPr>
            <w:noProof/>
            <w:webHidden/>
          </w:rPr>
          <w:fldChar w:fldCharType="begin"/>
        </w:r>
        <w:r w:rsidR="000C2231">
          <w:rPr>
            <w:noProof/>
            <w:webHidden/>
          </w:rPr>
          <w:instrText xml:space="preserve"> PAGEREF _Toc512857060 \h </w:instrText>
        </w:r>
        <w:r w:rsidR="000C2231">
          <w:rPr>
            <w:noProof/>
            <w:webHidden/>
          </w:rPr>
        </w:r>
        <w:r w:rsidR="000C2231">
          <w:rPr>
            <w:noProof/>
            <w:webHidden/>
          </w:rPr>
          <w:fldChar w:fldCharType="separate"/>
        </w:r>
        <w:r w:rsidR="000C2231">
          <w:rPr>
            <w:noProof/>
            <w:webHidden/>
          </w:rPr>
          <w:t>11</w:t>
        </w:r>
        <w:r w:rsidR="000C2231">
          <w:rPr>
            <w:noProof/>
            <w:webHidden/>
          </w:rPr>
          <w:fldChar w:fldCharType="end"/>
        </w:r>
      </w:hyperlink>
    </w:p>
    <w:p w14:paraId="1B36687A" w14:textId="5ABFBF02" w:rsidR="005A1F9D" w:rsidRPr="00A60652" w:rsidRDefault="00ED21EE" w:rsidP="00E61E96">
      <w:pPr>
        <w:spacing w:line="264" w:lineRule="auto"/>
      </w:pPr>
      <w:r w:rsidRPr="006C6795">
        <w:rPr>
          <w:rFonts w:ascii="Arial" w:hAnsi="Arial" w:cs="Arial"/>
          <w:sz w:val="20"/>
          <w:szCs w:val="20"/>
        </w:rPr>
        <w:fldChar w:fldCharType="end"/>
      </w:r>
      <w:r w:rsidR="005A1F9D" w:rsidRPr="00A60652">
        <w:t xml:space="preserve"> </w:t>
      </w:r>
    </w:p>
    <w:p w14:paraId="1B36687B" w14:textId="77777777" w:rsidR="00851FAF" w:rsidRDefault="00851FAF" w:rsidP="00ED21EE">
      <w:pPr>
        <w:pStyle w:val="Heading1"/>
        <w:sectPr w:rsidR="00851FAF" w:rsidSect="001654F5">
          <w:endnotePr>
            <w:numFmt w:val="decimal"/>
          </w:endnotePr>
          <w:pgSz w:w="12240" w:h="15840"/>
          <w:pgMar w:top="1350" w:right="1440" w:bottom="1440" w:left="1440" w:header="720" w:footer="720" w:gutter="0"/>
          <w:pgNumType w:fmt="lowerRoman" w:chapStyle="1"/>
          <w:cols w:space="720"/>
          <w:docGrid w:linePitch="360"/>
        </w:sectPr>
      </w:pPr>
      <w:bookmarkStart w:id="10" w:name="_Toc172205732"/>
    </w:p>
    <w:p w14:paraId="1B36687C" w14:textId="77777777" w:rsidR="00ED21EE" w:rsidRDefault="00ED21EE" w:rsidP="001654F5">
      <w:pPr>
        <w:pStyle w:val="Heading1"/>
        <w:spacing w:before="0"/>
      </w:pPr>
      <w:bookmarkStart w:id="11" w:name="_Toc512857026"/>
      <w:r>
        <w:lastRenderedPageBreak/>
        <w:t>Section 1. General Measure &amp; Baseline Data</w:t>
      </w:r>
      <w:bookmarkEnd w:id="11"/>
    </w:p>
    <w:p w14:paraId="1B36687D" w14:textId="77777777" w:rsidR="0037707D" w:rsidRPr="00366971" w:rsidRDefault="001248A3" w:rsidP="00366971">
      <w:pPr>
        <w:pStyle w:val="Heading2"/>
      </w:pPr>
      <w:bookmarkStart w:id="12" w:name="_Toc512857027"/>
      <w:bookmarkEnd w:id="10"/>
      <w:r>
        <w:t xml:space="preserve">1.1 </w:t>
      </w:r>
      <w:r w:rsidR="008C6AD1">
        <w:t xml:space="preserve">Product </w:t>
      </w:r>
      <w:r w:rsidR="00E71EF1" w:rsidRPr="001248A3">
        <w:t>Measure Description &amp; Background</w:t>
      </w:r>
      <w:bookmarkEnd w:id="12"/>
    </w:p>
    <w:p w14:paraId="1CD285C4" w14:textId="7EC8E540" w:rsidR="00F31174" w:rsidRPr="001716C6" w:rsidRDefault="00B25F74" w:rsidP="003713A2">
      <w:pPr>
        <w:spacing w:line="264" w:lineRule="auto"/>
        <w:rPr>
          <w:rFonts w:ascii="Arial" w:hAnsi="Arial" w:cs="Arial"/>
          <w:sz w:val="20"/>
          <w:szCs w:val="20"/>
        </w:rPr>
      </w:pPr>
      <w:r w:rsidRPr="001716C6">
        <w:rPr>
          <w:rFonts w:ascii="Arial" w:hAnsi="Arial" w:cs="Arial"/>
          <w:sz w:val="20"/>
          <w:szCs w:val="20"/>
        </w:rPr>
        <w:t xml:space="preserve">This work paper details the replacement of </w:t>
      </w:r>
      <w:r w:rsidR="004F53C1" w:rsidRPr="001716C6">
        <w:rPr>
          <w:rFonts w:ascii="Arial" w:hAnsi="Arial" w:cs="Arial"/>
          <w:sz w:val="20"/>
          <w:szCs w:val="20"/>
        </w:rPr>
        <w:t xml:space="preserve">a lumen equivalent </w:t>
      </w:r>
      <w:r w:rsidRPr="001716C6">
        <w:rPr>
          <w:rFonts w:ascii="Arial" w:hAnsi="Arial" w:cs="Arial"/>
          <w:sz w:val="20"/>
          <w:szCs w:val="20"/>
        </w:rPr>
        <w:t>R/BR lamps with LED R/BR lamps.</w:t>
      </w:r>
    </w:p>
    <w:p w14:paraId="2BA95243" w14:textId="4ABCF2BE" w:rsidR="00ED4875" w:rsidRPr="00ED4875" w:rsidRDefault="003713A2" w:rsidP="00ED4875">
      <w:pPr>
        <w:spacing w:line="264" w:lineRule="auto"/>
        <w:rPr>
          <w:rFonts w:ascii="Arial" w:hAnsi="Arial" w:cs="Arial"/>
          <w:sz w:val="20"/>
          <w:szCs w:val="20"/>
        </w:rPr>
      </w:pPr>
      <w:r w:rsidRPr="001716C6">
        <w:rPr>
          <w:rFonts w:ascii="Arial" w:hAnsi="Arial" w:cs="Arial"/>
          <w:sz w:val="20"/>
          <w:szCs w:val="20"/>
        </w:rPr>
        <w:t>This work</w:t>
      </w:r>
      <w:r w:rsidR="00D750F9" w:rsidRPr="001716C6">
        <w:rPr>
          <w:rFonts w:ascii="Arial" w:hAnsi="Arial" w:cs="Arial"/>
          <w:sz w:val="20"/>
          <w:szCs w:val="20"/>
        </w:rPr>
        <w:t xml:space="preserve"> </w:t>
      </w:r>
      <w:r w:rsidRPr="001716C6">
        <w:rPr>
          <w:rFonts w:ascii="Arial" w:hAnsi="Arial" w:cs="Arial"/>
          <w:sz w:val="20"/>
          <w:szCs w:val="20"/>
        </w:rPr>
        <w:t>paper update complies with the new baseline technology mix and wattage reduction ratio (WRR) given in the CPUC’s March1, 2018 disposition for all ROB measures.</w:t>
      </w:r>
    </w:p>
    <w:p w14:paraId="4973E225" w14:textId="71E9FD19" w:rsidR="00ED4875" w:rsidRPr="00633BF8" w:rsidRDefault="003713A2" w:rsidP="00ED4875">
      <w:pPr>
        <w:rPr>
          <w:rFonts w:ascii="Arial" w:hAnsi="Arial" w:cs="Arial"/>
          <w:sz w:val="20"/>
          <w:szCs w:val="20"/>
        </w:rPr>
      </w:pPr>
      <w:r w:rsidRPr="001716C6">
        <w:rPr>
          <w:rFonts w:ascii="Arial" w:hAnsi="Arial" w:cs="Arial"/>
          <w:sz w:val="20"/>
          <w:szCs w:val="20"/>
        </w:rPr>
        <w:t>PG&amp;E also included in this work</w:t>
      </w:r>
      <w:r w:rsidR="00D750F9" w:rsidRPr="001716C6">
        <w:rPr>
          <w:rFonts w:ascii="Arial" w:hAnsi="Arial" w:cs="Arial"/>
          <w:sz w:val="20"/>
          <w:szCs w:val="20"/>
        </w:rPr>
        <w:t xml:space="preserve"> </w:t>
      </w:r>
      <w:r w:rsidRPr="001716C6">
        <w:rPr>
          <w:rFonts w:ascii="Arial" w:hAnsi="Arial" w:cs="Arial"/>
          <w:sz w:val="20"/>
          <w:szCs w:val="20"/>
        </w:rPr>
        <w:t>paper update the early retirement (ER) measure type</w:t>
      </w:r>
      <w:r w:rsidR="00ED4875">
        <w:rPr>
          <w:rFonts w:ascii="Arial" w:hAnsi="Arial" w:cs="Arial"/>
          <w:sz w:val="20"/>
          <w:szCs w:val="20"/>
        </w:rPr>
        <w:t xml:space="preserve"> </w:t>
      </w:r>
      <w:r w:rsidR="00ED4875" w:rsidRPr="00633BF8">
        <w:rPr>
          <w:rFonts w:ascii="Arial" w:hAnsi="Arial" w:cs="Arial"/>
          <w:sz w:val="20"/>
          <w:szCs w:val="20"/>
        </w:rPr>
        <w:t>only applicable to residential direct install (DI) programs</w:t>
      </w:r>
      <w:r w:rsidR="0026029C">
        <w:rPr>
          <w:rFonts w:ascii="Arial" w:hAnsi="Arial" w:cs="Arial"/>
          <w:sz w:val="20"/>
          <w:szCs w:val="20"/>
        </w:rPr>
        <w:t xml:space="preserve"> </w:t>
      </w:r>
      <w:r w:rsidR="0026029C" w:rsidRPr="0026029C">
        <w:rPr>
          <w:rFonts w:ascii="Arial" w:hAnsi="Arial" w:cs="Arial"/>
          <w:sz w:val="20"/>
          <w:szCs w:val="20"/>
        </w:rPr>
        <w:t>targeting hard to reach (HTR) customers.</w:t>
      </w:r>
    </w:p>
    <w:p w14:paraId="34F4E38C" w14:textId="3B88EDBB" w:rsidR="003713A2" w:rsidRPr="00633BF8" w:rsidRDefault="0026029C" w:rsidP="00633BF8">
      <w:pPr>
        <w:spacing w:line="264" w:lineRule="auto"/>
        <w:rPr>
          <w:rFonts w:ascii="Arial" w:hAnsi="Arial" w:cs="Arial"/>
          <w:b/>
          <w:bCs/>
          <w:i/>
          <w:iCs/>
          <w:sz w:val="20"/>
          <w:szCs w:val="20"/>
        </w:rPr>
      </w:pPr>
      <w:bookmarkStart w:id="13" w:name="_Hlk512862723"/>
      <w:r w:rsidRPr="00BD1698">
        <w:rPr>
          <w:rFonts w:ascii="Arial" w:hAnsi="Arial" w:cs="Arial"/>
          <w:sz w:val="20"/>
          <w:szCs w:val="20"/>
        </w:rPr>
        <w:t>Measure codes are separated between incandescent to LED and CFL to LED early retirements to reflect the customer’s pre-existing equipment in place.</w:t>
      </w:r>
      <w:r>
        <w:t xml:space="preserve"> </w:t>
      </w:r>
      <w:bookmarkEnd w:id="13"/>
      <w:r w:rsidR="003713A2" w:rsidRPr="00633BF8">
        <w:rPr>
          <w:rFonts w:ascii="Arial" w:hAnsi="Arial" w:cs="Arial"/>
          <w:sz w:val="20"/>
          <w:szCs w:val="20"/>
        </w:rPr>
        <w:t>Lamp specifications for ER measures are the same as ROB measures.</w:t>
      </w:r>
      <w:r w:rsidR="00166CD2" w:rsidRPr="00633BF8">
        <w:rPr>
          <w:rFonts w:ascii="Arial" w:hAnsi="Arial" w:cs="Arial"/>
          <w:sz w:val="20"/>
          <w:szCs w:val="20"/>
        </w:rPr>
        <w:t xml:space="preserve"> If Program Restrictions and Guidelines for Early Retirement (ER) Measures cannot be met by programs, ROB residential DI measures will be used instead.</w:t>
      </w:r>
    </w:p>
    <w:p w14:paraId="1E34FF1F" w14:textId="77777777" w:rsidR="00F31174" w:rsidRPr="001716C6" w:rsidRDefault="00F31174" w:rsidP="0037582B">
      <w:pPr>
        <w:pStyle w:val="Heading4"/>
        <w:spacing w:before="0" w:line="168" w:lineRule="auto"/>
        <w:rPr>
          <w:rFonts w:ascii="Arial" w:hAnsi="Arial" w:cs="Arial"/>
          <w:sz w:val="20"/>
          <w:szCs w:val="20"/>
        </w:rPr>
      </w:pPr>
    </w:p>
    <w:p w14:paraId="1B366880" w14:textId="77777777" w:rsidR="005B5BB4" w:rsidRPr="001716C6" w:rsidRDefault="005B5BB4" w:rsidP="005C3142">
      <w:pPr>
        <w:widowControl w:val="0"/>
        <w:autoSpaceDE w:val="0"/>
        <w:autoSpaceDN w:val="0"/>
        <w:adjustRightInd w:val="0"/>
        <w:spacing w:after="80"/>
        <w:rPr>
          <w:rFonts w:ascii="Arial" w:hAnsi="Arial" w:cs="Arial"/>
          <w:b/>
          <w:color w:val="000000"/>
          <w:sz w:val="20"/>
          <w:szCs w:val="20"/>
        </w:rPr>
      </w:pPr>
      <w:r w:rsidRPr="001716C6">
        <w:rPr>
          <w:rFonts w:ascii="Arial" w:hAnsi="Arial" w:cs="Arial"/>
          <w:b/>
          <w:color w:val="000000"/>
          <w:sz w:val="20"/>
          <w:szCs w:val="20"/>
        </w:rPr>
        <w:t>Requirements:</w:t>
      </w:r>
    </w:p>
    <w:p w14:paraId="1B366881" w14:textId="77777777" w:rsidR="0037707D" w:rsidRPr="001716C6" w:rsidRDefault="0037707D" w:rsidP="005C3142">
      <w:pPr>
        <w:widowControl w:val="0"/>
        <w:numPr>
          <w:ilvl w:val="0"/>
          <w:numId w:val="18"/>
        </w:numPr>
        <w:autoSpaceDE w:val="0"/>
        <w:autoSpaceDN w:val="0"/>
        <w:adjustRightInd w:val="0"/>
        <w:spacing w:line="264" w:lineRule="auto"/>
        <w:rPr>
          <w:rFonts w:ascii="Arial" w:hAnsi="Arial" w:cs="Arial"/>
          <w:color w:val="000000"/>
          <w:sz w:val="20"/>
          <w:szCs w:val="20"/>
        </w:rPr>
      </w:pPr>
      <w:r w:rsidRPr="001716C6">
        <w:rPr>
          <w:rFonts w:ascii="Arial" w:hAnsi="Arial" w:cs="Arial"/>
          <w:sz w:val="20"/>
          <w:szCs w:val="20"/>
        </w:rPr>
        <w:t xml:space="preserve">Must replace </w:t>
      </w:r>
      <w:r w:rsidR="005B5BB4" w:rsidRPr="001716C6">
        <w:rPr>
          <w:rFonts w:ascii="Arial" w:hAnsi="Arial" w:cs="Arial"/>
          <w:sz w:val="20"/>
          <w:szCs w:val="20"/>
        </w:rPr>
        <w:t>an incandescent</w:t>
      </w:r>
      <w:r w:rsidR="0005535A" w:rsidRPr="001716C6">
        <w:rPr>
          <w:rFonts w:ascii="Arial" w:hAnsi="Arial" w:cs="Arial"/>
          <w:sz w:val="20"/>
          <w:szCs w:val="20"/>
        </w:rPr>
        <w:t xml:space="preserve"> or CFL R/BR</w:t>
      </w:r>
      <w:r w:rsidR="005B5BB4" w:rsidRPr="001716C6">
        <w:rPr>
          <w:rFonts w:ascii="Arial" w:hAnsi="Arial" w:cs="Arial"/>
          <w:sz w:val="20"/>
          <w:szCs w:val="20"/>
        </w:rPr>
        <w:t xml:space="preserve"> </w:t>
      </w:r>
      <w:r w:rsidRPr="001716C6">
        <w:rPr>
          <w:rFonts w:ascii="Arial" w:hAnsi="Arial" w:cs="Arial"/>
          <w:sz w:val="20"/>
          <w:szCs w:val="20"/>
        </w:rPr>
        <w:t xml:space="preserve">lamp </w:t>
      </w:r>
    </w:p>
    <w:p w14:paraId="1B366882" w14:textId="1D329013" w:rsidR="0037707D" w:rsidRPr="001716C6" w:rsidRDefault="0037707D" w:rsidP="005C3142">
      <w:pPr>
        <w:widowControl w:val="0"/>
        <w:numPr>
          <w:ilvl w:val="0"/>
          <w:numId w:val="18"/>
        </w:numPr>
        <w:autoSpaceDE w:val="0"/>
        <w:autoSpaceDN w:val="0"/>
        <w:adjustRightInd w:val="0"/>
        <w:spacing w:line="264" w:lineRule="auto"/>
        <w:rPr>
          <w:rFonts w:ascii="Arial" w:hAnsi="Arial" w:cs="Arial"/>
          <w:color w:val="000000"/>
          <w:sz w:val="20"/>
          <w:szCs w:val="20"/>
        </w:rPr>
      </w:pPr>
      <w:r w:rsidRPr="001716C6">
        <w:rPr>
          <w:rFonts w:ascii="Arial" w:hAnsi="Arial" w:cs="Arial"/>
          <w:sz w:val="20"/>
          <w:szCs w:val="20"/>
        </w:rPr>
        <w:t xml:space="preserve">Must </w:t>
      </w:r>
      <w:r w:rsidR="00681F38" w:rsidRPr="001716C6">
        <w:rPr>
          <w:rFonts w:ascii="Arial" w:hAnsi="Arial" w:cs="Arial"/>
          <w:sz w:val="20"/>
          <w:szCs w:val="20"/>
        </w:rPr>
        <w:t>be on the ENERGY STAR qualified</w:t>
      </w:r>
      <w:r w:rsidRPr="001716C6">
        <w:rPr>
          <w:rFonts w:ascii="Arial" w:hAnsi="Arial" w:cs="Arial"/>
          <w:sz w:val="20"/>
          <w:szCs w:val="20"/>
        </w:rPr>
        <w:t xml:space="preserve"> </w:t>
      </w:r>
      <w:r w:rsidR="00681F38" w:rsidRPr="001716C6">
        <w:rPr>
          <w:rFonts w:ascii="Arial" w:hAnsi="Arial" w:cs="Arial"/>
          <w:sz w:val="20"/>
          <w:szCs w:val="20"/>
        </w:rPr>
        <w:t xml:space="preserve">product </w:t>
      </w:r>
      <w:r w:rsidRPr="001716C6">
        <w:rPr>
          <w:rFonts w:ascii="Arial" w:hAnsi="Arial" w:cs="Arial"/>
          <w:sz w:val="20"/>
          <w:szCs w:val="20"/>
        </w:rPr>
        <w:t>list</w:t>
      </w:r>
      <w:r w:rsidR="00681F38" w:rsidRPr="001716C6">
        <w:rPr>
          <w:rFonts w:ascii="Arial" w:hAnsi="Arial" w:cs="Arial"/>
          <w:sz w:val="20"/>
          <w:szCs w:val="20"/>
        </w:rPr>
        <w:t xml:space="preserve"> and be listed with the </w:t>
      </w:r>
      <w:r w:rsidR="00427D15" w:rsidRPr="001716C6">
        <w:rPr>
          <w:rFonts w:ascii="Arial" w:hAnsi="Arial" w:cs="Arial"/>
          <w:sz w:val="20"/>
          <w:szCs w:val="20"/>
        </w:rPr>
        <w:t xml:space="preserve">Department of </w:t>
      </w:r>
      <w:r w:rsidR="005C3142" w:rsidRPr="001716C6">
        <w:rPr>
          <w:rFonts w:ascii="Arial" w:hAnsi="Arial" w:cs="Arial"/>
          <w:sz w:val="20"/>
          <w:szCs w:val="20"/>
        </w:rPr>
        <w:tab/>
      </w:r>
      <w:r w:rsidR="00427D15" w:rsidRPr="001716C6">
        <w:rPr>
          <w:rFonts w:ascii="Arial" w:hAnsi="Arial" w:cs="Arial"/>
          <w:sz w:val="20"/>
          <w:szCs w:val="20"/>
        </w:rPr>
        <w:t>E</w:t>
      </w:r>
      <w:r w:rsidR="00681F38" w:rsidRPr="001716C6">
        <w:rPr>
          <w:rFonts w:ascii="Arial" w:hAnsi="Arial" w:cs="Arial"/>
          <w:sz w:val="20"/>
          <w:szCs w:val="20"/>
        </w:rPr>
        <w:t>nergy</w:t>
      </w:r>
      <w:r w:rsidR="005C3142" w:rsidRPr="001716C6">
        <w:rPr>
          <w:rFonts w:ascii="Arial" w:hAnsi="Arial" w:cs="Arial"/>
          <w:sz w:val="20"/>
          <w:szCs w:val="20"/>
        </w:rPr>
        <w:t xml:space="preserve"> </w:t>
      </w:r>
      <w:r w:rsidR="00681F38" w:rsidRPr="001716C6">
        <w:rPr>
          <w:rFonts w:ascii="Arial" w:hAnsi="Arial" w:cs="Arial"/>
          <w:sz w:val="20"/>
          <w:szCs w:val="20"/>
        </w:rPr>
        <w:t>Lighting Facts Program</w:t>
      </w:r>
    </w:p>
    <w:p w14:paraId="1B366883" w14:textId="77777777" w:rsidR="003E2AF6" w:rsidRPr="0008537D" w:rsidRDefault="003E2AF6" w:rsidP="0029207C">
      <w:pPr>
        <w:widowControl w:val="0"/>
        <w:autoSpaceDE w:val="0"/>
        <w:autoSpaceDN w:val="0"/>
        <w:adjustRightInd w:val="0"/>
        <w:spacing w:line="120" w:lineRule="auto"/>
        <w:ind w:left="288"/>
        <w:rPr>
          <w:rFonts w:ascii="Arial" w:hAnsi="Arial" w:cs="Arial"/>
          <w:color w:val="000000"/>
          <w:sz w:val="20"/>
        </w:rPr>
      </w:pPr>
    </w:p>
    <w:p w14:paraId="1B366884" w14:textId="77777777" w:rsidR="00913098" w:rsidRPr="00992284" w:rsidRDefault="00913098" w:rsidP="00913098">
      <w:pPr>
        <w:pStyle w:val="Caption"/>
        <w:keepNext/>
        <w:jc w:val="center"/>
      </w:pPr>
      <w:bookmarkStart w:id="14" w:name="_Toc512857048"/>
      <w:r w:rsidRPr="00992284">
        <w:t xml:space="preserve">Table </w:t>
      </w:r>
      <w:fldSimple w:instr=" SEQ Table \* ARABIC ">
        <w:r w:rsidR="00510611">
          <w:rPr>
            <w:noProof/>
          </w:rPr>
          <w:t>1</w:t>
        </w:r>
      </w:fldSimple>
      <w:r w:rsidRPr="00992284">
        <w:t xml:space="preserve"> Measure Codes and Descriptions</w:t>
      </w:r>
      <w:bookmarkEnd w:id="14"/>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4"/>
        <w:gridCol w:w="5310"/>
        <w:gridCol w:w="1530"/>
      </w:tblGrid>
      <w:tr w:rsidR="0029207C" w:rsidRPr="00913098" w14:paraId="1B366887" w14:textId="6BD49FE0" w:rsidTr="00AD25A1">
        <w:trPr>
          <w:trHeight w:val="350"/>
          <w:jc w:val="center"/>
        </w:trPr>
        <w:tc>
          <w:tcPr>
            <w:tcW w:w="2124" w:type="dxa"/>
            <w:shd w:val="clear" w:color="auto" w:fill="D9D9D9" w:themeFill="background1" w:themeFillShade="D9"/>
            <w:noWrap/>
            <w:vAlign w:val="bottom"/>
          </w:tcPr>
          <w:p w14:paraId="1B366885" w14:textId="0CC4060C" w:rsidR="0029207C" w:rsidRPr="00913098" w:rsidRDefault="00AD25A1" w:rsidP="00AD25A1">
            <w:pPr>
              <w:spacing w:before="40" w:after="40"/>
              <w:jc w:val="center"/>
              <w:rPr>
                <w:rFonts w:ascii="Arial" w:hAnsi="Arial" w:cs="Arial"/>
                <w:b/>
                <w:sz w:val="20"/>
              </w:rPr>
            </w:pPr>
            <w:r>
              <w:rPr>
                <w:rFonts w:ascii="Arial" w:hAnsi="Arial" w:cs="Arial"/>
                <w:b/>
                <w:sz w:val="20"/>
              </w:rPr>
              <w:t>Measure</w:t>
            </w:r>
            <w:r w:rsidR="0029207C" w:rsidRPr="00913098">
              <w:rPr>
                <w:rFonts w:ascii="Arial" w:hAnsi="Arial" w:cs="Arial"/>
                <w:b/>
                <w:sz w:val="20"/>
              </w:rPr>
              <w:t xml:space="preserve"> Code</w:t>
            </w:r>
          </w:p>
        </w:tc>
        <w:tc>
          <w:tcPr>
            <w:tcW w:w="5310" w:type="dxa"/>
            <w:shd w:val="clear" w:color="auto" w:fill="D9D9D9" w:themeFill="background1" w:themeFillShade="D9"/>
            <w:vAlign w:val="bottom"/>
          </w:tcPr>
          <w:p w14:paraId="1B366886" w14:textId="77777777" w:rsidR="0029207C" w:rsidRPr="00913098" w:rsidRDefault="0029207C" w:rsidP="00AD25A1">
            <w:pPr>
              <w:spacing w:before="40" w:after="40"/>
              <w:rPr>
                <w:rFonts w:ascii="Arial" w:hAnsi="Arial" w:cs="Arial"/>
                <w:b/>
                <w:sz w:val="20"/>
              </w:rPr>
            </w:pPr>
            <w:r w:rsidRPr="00913098">
              <w:rPr>
                <w:rFonts w:ascii="Arial" w:hAnsi="Arial" w:cs="Arial"/>
                <w:b/>
                <w:sz w:val="20"/>
              </w:rPr>
              <w:t>Description</w:t>
            </w:r>
          </w:p>
        </w:tc>
        <w:tc>
          <w:tcPr>
            <w:tcW w:w="1530" w:type="dxa"/>
            <w:shd w:val="clear" w:color="auto" w:fill="D9D9D9" w:themeFill="background1" w:themeFillShade="D9"/>
          </w:tcPr>
          <w:p w14:paraId="57064C09" w14:textId="4C02FC28" w:rsidR="0029207C" w:rsidRPr="00913098" w:rsidRDefault="00AD25A1" w:rsidP="00AD25A1">
            <w:pPr>
              <w:spacing w:before="120"/>
              <w:jc w:val="center"/>
              <w:rPr>
                <w:rFonts w:ascii="Arial" w:hAnsi="Arial" w:cs="Arial"/>
                <w:b/>
                <w:sz w:val="20"/>
              </w:rPr>
            </w:pPr>
            <w:r>
              <w:rPr>
                <w:rFonts w:ascii="Arial" w:hAnsi="Arial" w:cs="Arial"/>
                <w:b/>
                <w:sz w:val="20"/>
              </w:rPr>
              <w:t>MAT</w:t>
            </w:r>
          </w:p>
        </w:tc>
      </w:tr>
      <w:tr w:rsidR="0029207C" w:rsidRPr="00596DA2" w14:paraId="1B36688A" w14:textId="279FD242" w:rsidTr="00AD25A1">
        <w:trPr>
          <w:trHeight w:val="157"/>
          <w:jc w:val="center"/>
        </w:trPr>
        <w:tc>
          <w:tcPr>
            <w:tcW w:w="2124" w:type="dxa"/>
            <w:shd w:val="clear" w:color="auto" w:fill="auto"/>
            <w:vAlign w:val="bottom"/>
          </w:tcPr>
          <w:p w14:paraId="1B366888" w14:textId="77777777" w:rsidR="0029207C" w:rsidRPr="00596DA2" w:rsidRDefault="0029207C"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L1071</w:t>
            </w:r>
          </w:p>
        </w:tc>
        <w:tc>
          <w:tcPr>
            <w:tcW w:w="5310" w:type="dxa"/>
            <w:shd w:val="clear" w:color="auto" w:fill="auto"/>
            <w:noWrap/>
            <w:vAlign w:val="bottom"/>
          </w:tcPr>
          <w:p w14:paraId="1B366889" w14:textId="77777777" w:rsidR="0029207C" w:rsidRPr="00596DA2" w:rsidRDefault="0029207C" w:rsidP="00D2467F">
            <w:pPr>
              <w:spacing w:line="276" w:lineRule="auto"/>
              <w:rPr>
                <w:rFonts w:asciiTheme="minorHAnsi" w:hAnsiTheme="minorHAnsi" w:cs="Arial"/>
                <w:sz w:val="22"/>
                <w:szCs w:val="22"/>
              </w:rPr>
            </w:pPr>
            <w:r w:rsidRPr="00596DA2">
              <w:rPr>
                <w:rFonts w:asciiTheme="minorHAnsi" w:hAnsiTheme="minorHAnsi" w:cs="Arial"/>
                <w:sz w:val="22"/>
                <w:szCs w:val="22"/>
              </w:rPr>
              <w:t>LED R-BR:  &lt;11 Watts</w:t>
            </w:r>
          </w:p>
        </w:tc>
        <w:tc>
          <w:tcPr>
            <w:tcW w:w="1530" w:type="dxa"/>
          </w:tcPr>
          <w:p w14:paraId="3951F16A" w14:textId="29906B6A" w:rsidR="0029207C" w:rsidRPr="00596DA2" w:rsidRDefault="00AD25A1" w:rsidP="00AD25A1">
            <w:pPr>
              <w:spacing w:line="276" w:lineRule="auto"/>
              <w:jc w:val="center"/>
              <w:rPr>
                <w:rFonts w:asciiTheme="minorHAnsi" w:hAnsiTheme="minorHAnsi" w:cs="Arial"/>
                <w:sz w:val="22"/>
                <w:szCs w:val="22"/>
              </w:rPr>
            </w:pPr>
            <w:r>
              <w:rPr>
                <w:rFonts w:asciiTheme="minorHAnsi" w:hAnsiTheme="minorHAnsi" w:cs="Arial"/>
                <w:sz w:val="22"/>
                <w:szCs w:val="22"/>
              </w:rPr>
              <w:t>ROB</w:t>
            </w:r>
          </w:p>
        </w:tc>
      </w:tr>
      <w:tr w:rsidR="0029207C" w:rsidRPr="00596DA2" w14:paraId="1B36688D" w14:textId="17A73545" w:rsidTr="00AD25A1">
        <w:trPr>
          <w:trHeight w:val="157"/>
          <w:jc w:val="center"/>
        </w:trPr>
        <w:tc>
          <w:tcPr>
            <w:tcW w:w="2124" w:type="dxa"/>
            <w:shd w:val="clear" w:color="auto" w:fill="auto"/>
            <w:vAlign w:val="bottom"/>
          </w:tcPr>
          <w:p w14:paraId="1B36688B" w14:textId="77777777" w:rsidR="0029207C" w:rsidRPr="00596DA2" w:rsidRDefault="0029207C"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L1072</w:t>
            </w:r>
          </w:p>
        </w:tc>
        <w:tc>
          <w:tcPr>
            <w:tcW w:w="5310" w:type="dxa"/>
            <w:shd w:val="clear" w:color="auto" w:fill="auto"/>
            <w:noWrap/>
            <w:vAlign w:val="bottom"/>
          </w:tcPr>
          <w:p w14:paraId="1B36688C" w14:textId="77777777" w:rsidR="0029207C" w:rsidRPr="00596DA2" w:rsidRDefault="0029207C" w:rsidP="00D2467F">
            <w:pPr>
              <w:spacing w:line="276" w:lineRule="auto"/>
              <w:rPr>
                <w:rFonts w:asciiTheme="minorHAnsi" w:hAnsiTheme="minorHAnsi" w:cs="Arial"/>
                <w:sz w:val="22"/>
                <w:szCs w:val="22"/>
              </w:rPr>
            </w:pPr>
            <w:r w:rsidRPr="00596DA2">
              <w:rPr>
                <w:rFonts w:asciiTheme="minorHAnsi" w:hAnsiTheme="minorHAnsi" w:cs="Arial"/>
                <w:sz w:val="22"/>
                <w:szCs w:val="22"/>
              </w:rPr>
              <w:t>LED R-BR:  11 to &lt;14 Watts</w:t>
            </w:r>
          </w:p>
        </w:tc>
        <w:tc>
          <w:tcPr>
            <w:tcW w:w="1530" w:type="dxa"/>
          </w:tcPr>
          <w:p w14:paraId="04B34FAB" w14:textId="58BBDC84" w:rsidR="0029207C" w:rsidRPr="00596DA2" w:rsidRDefault="00AD25A1" w:rsidP="00AD25A1">
            <w:pPr>
              <w:spacing w:line="276" w:lineRule="auto"/>
              <w:jc w:val="center"/>
              <w:rPr>
                <w:rFonts w:asciiTheme="minorHAnsi" w:hAnsiTheme="minorHAnsi" w:cs="Arial"/>
                <w:sz w:val="22"/>
                <w:szCs w:val="22"/>
              </w:rPr>
            </w:pPr>
            <w:r>
              <w:rPr>
                <w:rFonts w:asciiTheme="minorHAnsi" w:hAnsiTheme="minorHAnsi" w:cs="Arial"/>
                <w:sz w:val="22"/>
                <w:szCs w:val="22"/>
              </w:rPr>
              <w:t>ROB</w:t>
            </w:r>
          </w:p>
        </w:tc>
      </w:tr>
      <w:tr w:rsidR="0029207C" w:rsidRPr="00596DA2" w14:paraId="1B366890" w14:textId="6E03FE0D" w:rsidTr="00AD25A1">
        <w:trPr>
          <w:trHeight w:val="157"/>
          <w:jc w:val="center"/>
        </w:trPr>
        <w:tc>
          <w:tcPr>
            <w:tcW w:w="2124" w:type="dxa"/>
            <w:shd w:val="clear" w:color="auto" w:fill="auto"/>
            <w:vAlign w:val="bottom"/>
          </w:tcPr>
          <w:p w14:paraId="1B36688E" w14:textId="77777777" w:rsidR="0029207C" w:rsidRPr="00596DA2" w:rsidRDefault="0029207C"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L1073</w:t>
            </w:r>
          </w:p>
        </w:tc>
        <w:tc>
          <w:tcPr>
            <w:tcW w:w="5310" w:type="dxa"/>
            <w:shd w:val="clear" w:color="auto" w:fill="auto"/>
            <w:noWrap/>
          </w:tcPr>
          <w:p w14:paraId="1B36688F" w14:textId="77777777" w:rsidR="0029207C" w:rsidRPr="00596DA2" w:rsidRDefault="0029207C" w:rsidP="00D2467F">
            <w:pPr>
              <w:spacing w:line="276" w:lineRule="auto"/>
              <w:rPr>
                <w:rFonts w:asciiTheme="minorHAnsi" w:hAnsiTheme="minorHAnsi" w:cs="Arial"/>
                <w:sz w:val="22"/>
                <w:szCs w:val="22"/>
              </w:rPr>
            </w:pPr>
            <w:r w:rsidRPr="00596DA2">
              <w:rPr>
                <w:rFonts w:asciiTheme="minorHAnsi" w:hAnsiTheme="minorHAnsi" w:cs="Arial"/>
                <w:sz w:val="22"/>
                <w:szCs w:val="22"/>
              </w:rPr>
              <w:t>LED R-BR: 14 to ≤22 Watts</w:t>
            </w:r>
          </w:p>
        </w:tc>
        <w:tc>
          <w:tcPr>
            <w:tcW w:w="1530" w:type="dxa"/>
          </w:tcPr>
          <w:p w14:paraId="2A363C00" w14:textId="3A078DF1" w:rsidR="0029207C" w:rsidRPr="00596DA2" w:rsidRDefault="00AD25A1" w:rsidP="00AD25A1">
            <w:pPr>
              <w:spacing w:line="276" w:lineRule="auto"/>
              <w:jc w:val="center"/>
              <w:rPr>
                <w:rFonts w:asciiTheme="minorHAnsi" w:hAnsiTheme="minorHAnsi" w:cs="Arial"/>
                <w:sz w:val="22"/>
                <w:szCs w:val="22"/>
              </w:rPr>
            </w:pPr>
            <w:r>
              <w:rPr>
                <w:rFonts w:asciiTheme="minorHAnsi" w:hAnsiTheme="minorHAnsi" w:cs="Arial"/>
                <w:sz w:val="22"/>
                <w:szCs w:val="22"/>
              </w:rPr>
              <w:t>ROB</w:t>
            </w:r>
          </w:p>
        </w:tc>
      </w:tr>
      <w:tr w:rsidR="0029207C" w:rsidRPr="00596DA2" w14:paraId="1652419B" w14:textId="7DA88877" w:rsidTr="00AD25A1">
        <w:trPr>
          <w:trHeight w:val="157"/>
          <w:jc w:val="center"/>
        </w:trPr>
        <w:tc>
          <w:tcPr>
            <w:tcW w:w="2124" w:type="dxa"/>
            <w:shd w:val="clear" w:color="auto" w:fill="auto"/>
          </w:tcPr>
          <w:p w14:paraId="7CA2E30B" w14:textId="2C4304F5" w:rsidR="0029207C" w:rsidRPr="00596DA2" w:rsidRDefault="0029207C"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LT432</w:t>
            </w:r>
          </w:p>
        </w:tc>
        <w:tc>
          <w:tcPr>
            <w:tcW w:w="5310" w:type="dxa"/>
            <w:shd w:val="clear" w:color="auto" w:fill="auto"/>
            <w:noWrap/>
          </w:tcPr>
          <w:p w14:paraId="0FED1BDA" w14:textId="43331552" w:rsidR="0029207C" w:rsidRPr="00596DA2" w:rsidRDefault="0029207C" w:rsidP="00D2467F">
            <w:pPr>
              <w:spacing w:line="276" w:lineRule="auto"/>
              <w:rPr>
                <w:rFonts w:asciiTheme="minorHAnsi" w:hAnsiTheme="minorHAnsi" w:cs="Arial"/>
                <w:sz w:val="22"/>
                <w:szCs w:val="22"/>
              </w:rPr>
            </w:pPr>
            <w:r w:rsidRPr="00596DA2">
              <w:rPr>
                <w:rFonts w:asciiTheme="minorHAnsi" w:hAnsiTheme="minorHAnsi" w:cs="Arial"/>
                <w:sz w:val="22"/>
                <w:szCs w:val="22"/>
              </w:rPr>
              <w:t>LED R-BR: 5.5 WATTS REPLACING 50W R-BR</w:t>
            </w:r>
          </w:p>
        </w:tc>
        <w:tc>
          <w:tcPr>
            <w:tcW w:w="1530" w:type="dxa"/>
          </w:tcPr>
          <w:p w14:paraId="45882D79" w14:textId="4EDD3629" w:rsidR="0029207C" w:rsidRPr="00596DA2" w:rsidRDefault="00AD25A1" w:rsidP="00AD25A1">
            <w:pPr>
              <w:spacing w:line="276" w:lineRule="auto"/>
              <w:jc w:val="center"/>
              <w:rPr>
                <w:rFonts w:asciiTheme="minorHAnsi" w:hAnsiTheme="minorHAnsi" w:cs="Arial"/>
                <w:sz w:val="22"/>
                <w:szCs w:val="22"/>
              </w:rPr>
            </w:pPr>
            <w:r>
              <w:rPr>
                <w:rFonts w:asciiTheme="minorHAnsi" w:hAnsiTheme="minorHAnsi" w:cs="Arial"/>
                <w:sz w:val="22"/>
                <w:szCs w:val="22"/>
              </w:rPr>
              <w:t>ER</w:t>
            </w:r>
          </w:p>
        </w:tc>
      </w:tr>
      <w:tr w:rsidR="00AD25A1" w:rsidRPr="00596DA2" w14:paraId="1B85D5F9" w14:textId="144558B2" w:rsidTr="00AD25A1">
        <w:trPr>
          <w:trHeight w:val="157"/>
          <w:jc w:val="center"/>
        </w:trPr>
        <w:tc>
          <w:tcPr>
            <w:tcW w:w="2124" w:type="dxa"/>
            <w:shd w:val="clear" w:color="auto" w:fill="auto"/>
          </w:tcPr>
          <w:p w14:paraId="6CAB8EC1" w14:textId="792B51C5"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LT433</w:t>
            </w:r>
          </w:p>
        </w:tc>
        <w:tc>
          <w:tcPr>
            <w:tcW w:w="5310" w:type="dxa"/>
            <w:shd w:val="clear" w:color="auto" w:fill="auto"/>
            <w:noWrap/>
          </w:tcPr>
          <w:p w14:paraId="0C906BD7" w14:textId="539E2E1D"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9 WATTS REPLACING 65W R-BR</w:t>
            </w:r>
          </w:p>
        </w:tc>
        <w:tc>
          <w:tcPr>
            <w:tcW w:w="1530" w:type="dxa"/>
          </w:tcPr>
          <w:p w14:paraId="4368610E" w14:textId="0B100B08"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27556D78" w14:textId="16603F5D" w:rsidTr="00AD25A1">
        <w:trPr>
          <w:trHeight w:val="157"/>
          <w:jc w:val="center"/>
        </w:trPr>
        <w:tc>
          <w:tcPr>
            <w:tcW w:w="2124" w:type="dxa"/>
            <w:shd w:val="clear" w:color="auto" w:fill="auto"/>
          </w:tcPr>
          <w:p w14:paraId="07CA6BDC" w14:textId="27F3DCD9"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LT434</w:t>
            </w:r>
          </w:p>
        </w:tc>
        <w:tc>
          <w:tcPr>
            <w:tcW w:w="5310" w:type="dxa"/>
            <w:shd w:val="clear" w:color="auto" w:fill="auto"/>
            <w:noWrap/>
          </w:tcPr>
          <w:p w14:paraId="7B98933C" w14:textId="0C255C45"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11 WATTS REPLACING 75W R-BR</w:t>
            </w:r>
          </w:p>
        </w:tc>
        <w:tc>
          <w:tcPr>
            <w:tcW w:w="1530" w:type="dxa"/>
          </w:tcPr>
          <w:p w14:paraId="056B8E22" w14:textId="0183FA71"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056F9B84" w14:textId="0A385C70" w:rsidTr="00AD25A1">
        <w:trPr>
          <w:trHeight w:val="157"/>
          <w:jc w:val="center"/>
        </w:trPr>
        <w:tc>
          <w:tcPr>
            <w:tcW w:w="2124" w:type="dxa"/>
            <w:shd w:val="clear" w:color="auto" w:fill="auto"/>
          </w:tcPr>
          <w:p w14:paraId="13555410" w14:textId="6E2B0E78"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LT435</w:t>
            </w:r>
          </w:p>
        </w:tc>
        <w:tc>
          <w:tcPr>
            <w:tcW w:w="5310" w:type="dxa"/>
            <w:shd w:val="clear" w:color="auto" w:fill="auto"/>
            <w:noWrap/>
          </w:tcPr>
          <w:p w14:paraId="4B869785" w14:textId="7606BC3C"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15 WATTS REPLACING 85W R-BR</w:t>
            </w:r>
          </w:p>
        </w:tc>
        <w:tc>
          <w:tcPr>
            <w:tcW w:w="1530" w:type="dxa"/>
          </w:tcPr>
          <w:p w14:paraId="2F3EDD00" w14:textId="3F2B6DEF"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202FF758" w14:textId="19B11834" w:rsidTr="00AD25A1">
        <w:trPr>
          <w:trHeight w:val="157"/>
          <w:jc w:val="center"/>
        </w:trPr>
        <w:tc>
          <w:tcPr>
            <w:tcW w:w="2124" w:type="dxa"/>
            <w:shd w:val="clear" w:color="auto" w:fill="auto"/>
          </w:tcPr>
          <w:p w14:paraId="4044EC53" w14:textId="5DB46F59"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LT436</w:t>
            </w:r>
          </w:p>
        </w:tc>
        <w:tc>
          <w:tcPr>
            <w:tcW w:w="5310" w:type="dxa"/>
            <w:shd w:val="clear" w:color="auto" w:fill="auto"/>
            <w:noWrap/>
          </w:tcPr>
          <w:p w14:paraId="2F2B0372" w14:textId="1F1B4BBF"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5.5 WATTS REPLACING CFL 15W R-BR</w:t>
            </w:r>
          </w:p>
        </w:tc>
        <w:tc>
          <w:tcPr>
            <w:tcW w:w="1530" w:type="dxa"/>
          </w:tcPr>
          <w:p w14:paraId="39FA3624" w14:textId="00253C1A"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1F40CAAC" w14:textId="4EFBE635" w:rsidTr="00AD25A1">
        <w:trPr>
          <w:trHeight w:val="242"/>
          <w:jc w:val="center"/>
        </w:trPr>
        <w:tc>
          <w:tcPr>
            <w:tcW w:w="2124" w:type="dxa"/>
            <w:shd w:val="clear" w:color="auto" w:fill="auto"/>
          </w:tcPr>
          <w:p w14:paraId="6B30B705" w14:textId="6E20881D"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LT437</w:t>
            </w:r>
          </w:p>
        </w:tc>
        <w:tc>
          <w:tcPr>
            <w:tcW w:w="5310" w:type="dxa"/>
            <w:shd w:val="clear" w:color="auto" w:fill="auto"/>
            <w:noWrap/>
          </w:tcPr>
          <w:p w14:paraId="46EA22AB" w14:textId="3F858295"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9 WATTS REPLACING CFL 18W R-BR</w:t>
            </w:r>
          </w:p>
        </w:tc>
        <w:tc>
          <w:tcPr>
            <w:tcW w:w="1530" w:type="dxa"/>
          </w:tcPr>
          <w:p w14:paraId="30BB6502" w14:textId="2F7F5AF5"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6E6E5559" w14:textId="201ECAD4" w:rsidTr="00AD25A1">
        <w:trPr>
          <w:trHeight w:val="242"/>
          <w:jc w:val="center"/>
        </w:trPr>
        <w:tc>
          <w:tcPr>
            <w:tcW w:w="2124" w:type="dxa"/>
            <w:shd w:val="clear" w:color="auto" w:fill="auto"/>
          </w:tcPr>
          <w:p w14:paraId="0BF25AFC" w14:textId="4A4FECE9"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LT438</w:t>
            </w:r>
          </w:p>
        </w:tc>
        <w:tc>
          <w:tcPr>
            <w:tcW w:w="5310" w:type="dxa"/>
            <w:shd w:val="clear" w:color="auto" w:fill="auto"/>
            <w:noWrap/>
          </w:tcPr>
          <w:p w14:paraId="6B992D5E" w14:textId="1964C7C1"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11 WATTS REPLACING CFL 23W R-BR</w:t>
            </w:r>
          </w:p>
        </w:tc>
        <w:tc>
          <w:tcPr>
            <w:tcW w:w="1530" w:type="dxa"/>
          </w:tcPr>
          <w:p w14:paraId="5857FD55" w14:textId="43D1349C"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r w:rsidR="00AD25A1" w:rsidRPr="00596DA2" w14:paraId="4C13E1DE" w14:textId="429E894F" w:rsidTr="00AD25A1">
        <w:trPr>
          <w:trHeight w:val="242"/>
          <w:jc w:val="center"/>
        </w:trPr>
        <w:tc>
          <w:tcPr>
            <w:tcW w:w="2124" w:type="dxa"/>
            <w:shd w:val="clear" w:color="auto" w:fill="auto"/>
            <w:vAlign w:val="bottom"/>
          </w:tcPr>
          <w:p w14:paraId="19CD2E3F" w14:textId="2B91CE8F" w:rsidR="00AD25A1" w:rsidRPr="00596DA2" w:rsidRDefault="00AD25A1" w:rsidP="00D2467F">
            <w:pPr>
              <w:spacing w:line="276" w:lineRule="auto"/>
              <w:jc w:val="center"/>
              <w:rPr>
                <w:rFonts w:asciiTheme="minorHAnsi" w:hAnsiTheme="minorHAnsi" w:cs="Arial"/>
                <w:sz w:val="22"/>
                <w:szCs w:val="22"/>
              </w:rPr>
            </w:pPr>
            <w:r w:rsidRPr="00596DA2">
              <w:rPr>
                <w:rFonts w:asciiTheme="minorHAnsi" w:hAnsiTheme="minorHAnsi" w:cs="Arial"/>
                <w:sz w:val="22"/>
                <w:szCs w:val="22"/>
              </w:rPr>
              <w:t>LT439</w:t>
            </w:r>
          </w:p>
        </w:tc>
        <w:tc>
          <w:tcPr>
            <w:tcW w:w="5310" w:type="dxa"/>
            <w:shd w:val="clear" w:color="auto" w:fill="auto"/>
            <w:noWrap/>
          </w:tcPr>
          <w:p w14:paraId="6F73E48D" w14:textId="7E9EC252" w:rsidR="00AD25A1" w:rsidRPr="00596DA2" w:rsidRDefault="00AD25A1" w:rsidP="00D2467F">
            <w:pPr>
              <w:spacing w:line="276" w:lineRule="auto"/>
              <w:rPr>
                <w:rFonts w:asciiTheme="minorHAnsi" w:hAnsiTheme="minorHAnsi" w:cs="Arial"/>
                <w:sz w:val="22"/>
                <w:szCs w:val="22"/>
              </w:rPr>
            </w:pPr>
            <w:r w:rsidRPr="00596DA2">
              <w:rPr>
                <w:rFonts w:asciiTheme="minorHAnsi" w:hAnsiTheme="minorHAnsi" w:cs="Arial"/>
                <w:sz w:val="22"/>
                <w:szCs w:val="22"/>
              </w:rPr>
              <w:t>LED R-BR: 15 WATTS REPLACING CFL 26W R-BR</w:t>
            </w:r>
          </w:p>
        </w:tc>
        <w:tc>
          <w:tcPr>
            <w:tcW w:w="1530" w:type="dxa"/>
          </w:tcPr>
          <w:p w14:paraId="570676F6" w14:textId="4BDC1119" w:rsidR="00AD25A1" w:rsidRPr="00596DA2" w:rsidRDefault="00AD25A1" w:rsidP="00AD25A1">
            <w:pPr>
              <w:spacing w:line="276" w:lineRule="auto"/>
              <w:jc w:val="center"/>
              <w:rPr>
                <w:rFonts w:asciiTheme="minorHAnsi" w:hAnsiTheme="minorHAnsi" w:cs="Arial"/>
                <w:sz w:val="22"/>
                <w:szCs w:val="22"/>
              </w:rPr>
            </w:pPr>
            <w:r w:rsidRPr="00646FEE">
              <w:rPr>
                <w:rFonts w:asciiTheme="minorHAnsi" w:hAnsiTheme="minorHAnsi" w:cs="Arial"/>
                <w:sz w:val="22"/>
                <w:szCs w:val="22"/>
              </w:rPr>
              <w:t>ER</w:t>
            </w:r>
          </w:p>
        </w:tc>
      </w:tr>
    </w:tbl>
    <w:p w14:paraId="1B366891" w14:textId="1F35D4E2" w:rsidR="005B5BB4" w:rsidRPr="001716C6" w:rsidRDefault="0029207C" w:rsidP="00D750F9">
      <w:pPr>
        <w:widowControl w:val="0"/>
        <w:autoSpaceDE w:val="0"/>
        <w:autoSpaceDN w:val="0"/>
        <w:adjustRightInd w:val="0"/>
        <w:spacing w:before="120" w:line="264" w:lineRule="auto"/>
        <w:rPr>
          <w:rFonts w:ascii="Arial" w:hAnsi="Arial" w:cs="Arial"/>
          <w:sz w:val="20"/>
        </w:rPr>
      </w:pPr>
      <w:r w:rsidRPr="001716C6">
        <w:rPr>
          <w:rFonts w:ascii="Arial" w:hAnsi="Arial" w:cs="Arial"/>
          <w:sz w:val="20"/>
        </w:rPr>
        <w:t>For ER measures actual lamp rated wattage of incandescent and CFL are used for the base case to reflect the customer’s pre-existing equipment in place</w:t>
      </w:r>
      <w:r w:rsidR="00D750F9" w:rsidRPr="001716C6">
        <w:rPr>
          <w:rFonts w:ascii="Arial" w:hAnsi="Arial" w:cs="Arial"/>
          <w:sz w:val="20"/>
        </w:rPr>
        <w:t>.</w:t>
      </w:r>
    </w:p>
    <w:p w14:paraId="217558E5" w14:textId="77777777" w:rsidR="00AD25A1" w:rsidRPr="00AD25A1" w:rsidRDefault="00AD25A1" w:rsidP="0037582B">
      <w:pPr>
        <w:pStyle w:val="Heading4"/>
        <w:spacing w:before="0" w:line="168" w:lineRule="auto"/>
      </w:pPr>
    </w:p>
    <w:p w14:paraId="1B366892" w14:textId="70742E69" w:rsidR="00521920" w:rsidRDefault="00521920" w:rsidP="00872913">
      <w:pPr>
        <w:rPr>
          <w:rFonts w:ascii="Arial" w:hAnsi="Arial" w:cs="Arial"/>
          <w:b/>
          <w:i/>
        </w:rPr>
      </w:pPr>
      <w:r w:rsidRPr="00B877F2">
        <w:rPr>
          <w:rFonts w:ascii="Arial" w:hAnsi="Arial" w:cs="Arial"/>
          <w:b/>
          <w:i/>
        </w:rPr>
        <w:t>Program Restrictions and Guidelines</w:t>
      </w:r>
      <w:r w:rsidR="009E2CC6">
        <w:rPr>
          <w:rFonts w:ascii="Arial" w:hAnsi="Arial" w:cs="Arial"/>
          <w:b/>
          <w:i/>
        </w:rPr>
        <w:t xml:space="preserve"> for ROB Measures</w:t>
      </w:r>
      <w:r w:rsidR="008562C2">
        <w:rPr>
          <w:rFonts w:ascii="Arial" w:hAnsi="Arial" w:cs="Arial"/>
          <w:b/>
          <w:i/>
        </w:rPr>
        <w:t xml:space="preserve"> </w:t>
      </w:r>
    </w:p>
    <w:p w14:paraId="2F05BF1D" w14:textId="7C7E34A1" w:rsidR="00F31174" w:rsidRPr="001716C6" w:rsidRDefault="00F31174" w:rsidP="00D750F9">
      <w:pPr>
        <w:spacing w:before="60"/>
        <w:rPr>
          <w:rFonts w:ascii="Arial" w:hAnsi="Arial" w:cs="Arial"/>
          <w:sz w:val="20"/>
        </w:rPr>
      </w:pPr>
      <w:r w:rsidRPr="001716C6">
        <w:rPr>
          <w:rFonts w:ascii="Arial" w:hAnsi="Arial" w:cs="Arial"/>
          <w:sz w:val="20"/>
        </w:rPr>
        <w:t xml:space="preserve">This workpaper is configured to accommodate any additional program changes to address higher efficacy lamps, if necessary. Currently the lamps rebated through the residential </w:t>
      </w:r>
      <w:r w:rsidR="008562C2" w:rsidRPr="001716C6">
        <w:rPr>
          <w:rFonts w:ascii="Arial" w:hAnsi="Arial" w:cs="Arial"/>
          <w:sz w:val="20"/>
        </w:rPr>
        <w:t xml:space="preserve">upstream </w:t>
      </w:r>
      <w:r w:rsidRPr="001716C6">
        <w:rPr>
          <w:rFonts w:ascii="Arial" w:hAnsi="Arial" w:cs="Arial"/>
          <w:sz w:val="20"/>
        </w:rPr>
        <w:t xml:space="preserve">program must meet both Energy Star and the CEC Voluntary California Quality Light-Emitting Diode (LED) Lamp Specification (CEC Spec) requirements. These lamps meet higher quality product performance criteria as defined by CEC. The CEC Spec has added new efficacy requirements.  </w:t>
      </w:r>
    </w:p>
    <w:p w14:paraId="7DD74DA8" w14:textId="77777777" w:rsidR="0079350D" w:rsidRPr="001716C6" w:rsidRDefault="00F31174" w:rsidP="0037582B">
      <w:pPr>
        <w:spacing w:before="60"/>
        <w:rPr>
          <w:rFonts w:ascii="Arial" w:hAnsi="Arial" w:cs="Arial"/>
          <w:sz w:val="20"/>
        </w:rPr>
      </w:pPr>
      <w:r w:rsidRPr="001716C6">
        <w:rPr>
          <w:rFonts w:ascii="Arial" w:hAnsi="Arial" w:cs="Arial"/>
          <w:sz w:val="20"/>
        </w:rPr>
        <w:t xml:space="preserve">For lamps rebated through the commercial programs the minimum efficacy requirements have increased due to stricter Energy Star requirements. IOU’s program staff will work with CPUC program staff to make sure all the rebated lamps meet the appropriate program rules and to reach towards the same common goals. </w:t>
      </w:r>
    </w:p>
    <w:p w14:paraId="20FBA07C" w14:textId="77777777" w:rsidR="0079350D" w:rsidRPr="001716C6" w:rsidRDefault="0079350D" w:rsidP="0079350D">
      <w:pPr>
        <w:rPr>
          <w:rFonts w:ascii="Arial" w:hAnsi="Arial" w:cs="Arial"/>
          <w:sz w:val="20"/>
        </w:rPr>
      </w:pPr>
    </w:p>
    <w:p w14:paraId="6ACE5D1B" w14:textId="2E010107" w:rsidR="0079350D" w:rsidRPr="001716C6" w:rsidRDefault="0079350D" w:rsidP="0079350D">
      <w:pPr>
        <w:rPr>
          <w:rFonts w:ascii="Arial" w:hAnsi="Arial" w:cs="Arial"/>
          <w:sz w:val="20"/>
        </w:rPr>
      </w:pPr>
      <w:r w:rsidRPr="001716C6">
        <w:rPr>
          <w:rFonts w:ascii="Arial" w:hAnsi="Arial" w:cs="Arial"/>
          <w:sz w:val="20"/>
        </w:rPr>
        <w:t>T</w:t>
      </w:r>
      <w:r w:rsidR="00F31174" w:rsidRPr="001716C6">
        <w:rPr>
          <w:rFonts w:ascii="Arial" w:hAnsi="Arial" w:cs="Arial"/>
          <w:sz w:val="20"/>
        </w:rPr>
        <w:t>h</w:t>
      </w:r>
      <w:r w:rsidR="00A34FFD" w:rsidRPr="001716C6">
        <w:rPr>
          <w:rFonts w:ascii="Arial" w:hAnsi="Arial" w:cs="Arial"/>
          <w:sz w:val="20"/>
        </w:rPr>
        <w:t>is</w:t>
      </w:r>
      <w:r w:rsidR="00F31174" w:rsidRPr="001716C6">
        <w:rPr>
          <w:rFonts w:ascii="Arial" w:hAnsi="Arial" w:cs="Arial"/>
          <w:sz w:val="20"/>
        </w:rPr>
        <w:t xml:space="preserve"> </w:t>
      </w:r>
      <w:r w:rsidR="00F87B16" w:rsidRPr="001716C6">
        <w:rPr>
          <w:rFonts w:ascii="Arial" w:hAnsi="Arial" w:cs="Arial"/>
          <w:sz w:val="20"/>
        </w:rPr>
        <w:t xml:space="preserve">workpaper covers </w:t>
      </w:r>
      <w:r w:rsidR="00443018" w:rsidRPr="001716C6">
        <w:rPr>
          <w:rFonts w:ascii="Arial" w:hAnsi="Arial" w:cs="Arial"/>
          <w:sz w:val="20"/>
        </w:rPr>
        <w:t>R/BR products</w:t>
      </w:r>
      <w:r w:rsidR="00F87B16" w:rsidRPr="001716C6">
        <w:rPr>
          <w:rFonts w:ascii="Arial" w:hAnsi="Arial" w:cs="Arial"/>
          <w:sz w:val="20"/>
        </w:rPr>
        <w:t xml:space="preserve"> that</w:t>
      </w:r>
      <w:r w:rsidR="00443018" w:rsidRPr="001716C6">
        <w:rPr>
          <w:rFonts w:ascii="Arial" w:hAnsi="Arial" w:cs="Arial"/>
          <w:sz w:val="20"/>
        </w:rPr>
        <w:t xml:space="preserve"> are offered through </w:t>
      </w:r>
      <w:r w:rsidR="006A4846" w:rsidRPr="001716C6">
        <w:rPr>
          <w:rFonts w:ascii="Arial" w:hAnsi="Arial" w:cs="Arial"/>
          <w:sz w:val="20"/>
        </w:rPr>
        <w:t>multiple channels as follows:</w:t>
      </w:r>
      <w:r w:rsidR="00F31174" w:rsidRPr="001716C6">
        <w:rPr>
          <w:rFonts w:ascii="Arial" w:hAnsi="Arial" w:cs="Arial"/>
          <w:sz w:val="20"/>
        </w:rPr>
        <w:t xml:space="preserve"> </w:t>
      </w:r>
    </w:p>
    <w:p w14:paraId="0E49ED5C" w14:textId="33F00082" w:rsidR="0079350D" w:rsidRPr="001716C6" w:rsidRDefault="00F31174" w:rsidP="00F31174">
      <w:pPr>
        <w:pStyle w:val="ListParagraph"/>
        <w:numPr>
          <w:ilvl w:val="0"/>
          <w:numId w:val="24"/>
        </w:numPr>
        <w:rPr>
          <w:rFonts w:ascii="Arial" w:hAnsi="Arial" w:cs="Arial"/>
          <w:sz w:val="20"/>
        </w:rPr>
      </w:pPr>
      <w:r w:rsidRPr="001716C6">
        <w:rPr>
          <w:rFonts w:ascii="Arial" w:hAnsi="Arial" w:cs="Arial"/>
          <w:sz w:val="20"/>
        </w:rPr>
        <w:t>Upstream/Midstream Programs f</w:t>
      </w:r>
      <w:r w:rsidR="006A4846" w:rsidRPr="001716C6">
        <w:rPr>
          <w:rFonts w:ascii="Arial" w:hAnsi="Arial" w:cs="Arial"/>
          <w:sz w:val="20"/>
        </w:rPr>
        <w:t>or commercial customers</w:t>
      </w:r>
    </w:p>
    <w:p w14:paraId="01E4029A" w14:textId="1F786888" w:rsidR="0079350D" w:rsidRPr="001716C6" w:rsidRDefault="00F31174" w:rsidP="00F31174">
      <w:pPr>
        <w:pStyle w:val="ListParagraph"/>
        <w:numPr>
          <w:ilvl w:val="0"/>
          <w:numId w:val="24"/>
        </w:numPr>
        <w:rPr>
          <w:rFonts w:ascii="Arial" w:hAnsi="Arial" w:cs="Arial"/>
          <w:sz w:val="20"/>
        </w:rPr>
      </w:pPr>
      <w:r w:rsidRPr="001716C6">
        <w:rPr>
          <w:rFonts w:ascii="Arial" w:hAnsi="Arial" w:cs="Arial"/>
          <w:sz w:val="20"/>
        </w:rPr>
        <w:t>Upstream Lighting Pr</w:t>
      </w:r>
      <w:r w:rsidR="00F87B16" w:rsidRPr="001716C6">
        <w:rPr>
          <w:rFonts w:ascii="Arial" w:hAnsi="Arial" w:cs="Arial"/>
          <w:sz w:val="20"/>
        </w:rPr>
        <w:t>ogram for residential customers</w:t>
      </w:r>
      <w:r w:rsidRPr="001716C6">
        <w:rPr>
          <w:rFonts w:ascii="Arial" w:hAnsi="Arial" w:cs="Arial"/>
          <w:sz w:val="20"/>
        </w:rPr>
        <w:t xml:space="preserve"> </w:t>
      </w:r>
    </w:p>
    <w:p w14:paraId="14235510" w14:textId="6F0D0C77" w:rsidR="0079350D" w:rsidRPr="001716C6" w:rsidRDefault="00F31174" w:rsidP="00F31174">
      <w:pPr>
        <w:pStyle w:val="ListParagraph"/>
        <w:numPr>
          <w:ilvl w:val="0"/>
          <w:numId w:val="24"/>
        </w:numPr>
        <w:rPr>
          <w:rFonts w:ascii="Arial" w:hAnsi="Arial" w:cs="Arial"/>
          <w:sz w:val="20"/>
        </w:rPr>
      </w:pPr>
      <w:r w:rsidRPr="001716C6">
        <w:rPr>
          <w:rFonts w:ascii="Arial" w:hAnsi="Arial" w:cs="Arial"/>
          <w:sz w:val="20"/>
        </w:rPr>
        <w:lastRenderedPageBreak/>
        <w:t>D</w:t>
      </w:r>
      <w:r w:rsidR="00F87B16" w:rsidRPr="001716C6">
        <w:rPr>
          <w:rFonts w:ascii="Arial" w:hAnsi="Arial" w:cs="Arial"/>
          <w:sz w:val="20"/>
        </w:rPr>
        <w:t xml:space="preserve">irect Install </w:t>
      </w:r>
      <w:r w:rsidR="0057773C" w:rsidRPr="001716C6">
        <w:rPr>
          <w:rFonts w:ascii="Arial" w:hAnsi="Arial" w:cs="Arial"/>
          <w:sz w:val="20"/>
        </w:rPr>
        <w:t xml:space="preserve">(DI) </w:t>
      </w:r>
      <w:r w:rsidR="00F87B16" w:rsidRPr="001716C6">
        <w:rPr>
          <w:rFonts w:ascii="Arial" w:hAnsi="Arial" w:cs="Arial"/>
          <w:sz w:val="20"/>
        </w:rPr>
        <w:t>delivery channels</w:t>
      </w:r>
    </w:p>
    <w:p w14:paraId="14344171" w14:textId="4311DA1E" w:rsidR="00F87B16" w:rsidRPr="001716C6" w:rsidRDefault="00F31174" w:rsidP="00E37375">
      <w:pPr>
        <w:pStyle w:val="ListParagraph"/>
        <w:numPr>
          <w:ilvl w:val="0"/>
          <w:numId w:val="24"/>
        </w:numPr>
        <w:spacing w:after="120"/>
        <w:rPr>
          <w:rFonts w:ascii="Arial" w:hAnsi="Arial" w:cs="Arial"/>
          <w:sz w:val="20"/>
        </w:rPr>
      </w:pPr>
      <w:r w:rsidRPr="001716C6">
        <w:rPr>
          <w:rFonts w:ascii="Arial" w:hAnsi="Arial" w:cs="Arial"/>
          <w:sz w:val="20"/>
        </w:rPr>
        <w:t>For Multifamily customers this product is also available through the downstream</w:t>
      </w:r>
      <w:r w:rsidR="00F87B16" w:rsidRPr="001716C6">
        <w:rPr>
          <w:rFonts w:ascii="Arial" w:hAnsi="Arial" w:cs="Arial"/>
          <w:sz w:val="20"/>
        </w:rPr>
        <w:t xml:space="preserve"> program</w:t>
      </w:r>
    </w:p>
    <w:p w14:paraId="77913A03" w14:textId="77777777" w:rsidR="00A34FFD" w:rsidRPr="001716C6" w:rsidRDefault="00A34FFD" w:rsidP="00A34FFD">
      <w:pPr>
        <w:pStyle w:val="ListParagraph"/>
        <w:spacing w:line="144" w:lineRule="auto"/>
        <w:rPr>
          <w:rFonts w:ascii="Arial" w:hAnsi="Arial" w:cs="Arial"/>
          <w:sz w:val="20"/>
        </w:rPr>
      </w:pPr>
    </w:p>
    <w:p w14:paraId="79A153BD" w14:textId="33BF5974" w:rsidR="00F31174" w:rsidRPr="001716C6" w:rsidRDefault="00F31174" w:rsidP="00E37375">
      <w:pPr>
        <w:pStyle w:val="ListParagraph"/>
        <w:spacing w:before="120"/>
        <w:ind w:left="0"/>
        <w:rPr>
          <w:rFonts w:ascii="Arial" w:hAnsi="Arial" w:cs="Arial"/>
          <w:sz w:val="20"/>
        </w:rPr>
      </w:pPr>
      <w:r w:rsidRPr="001716C6">
        <w:rPr>
          <w:rFonts w:ascii="Arial" w:hAnsi="Arial" w:cs="Arial"/>
          <w:sz w:val="20"/>
        </w:rPr>
        <w:t>In support of the transition to the California Energy Commission’s Voluntary California Quality Light-Emitting Diode (LED) Lamp Specification (CEC Spec), to qualify for a rebate in the program, the replacement LED lamps must fall into one of the categories shown in the table below. Only lamps that fully meet the CEC Spec will be supported in the Upstream Lighting Program after Dec 1, 2013.</w:t>
      </w:r>
    </w:p>
    <w:p w14:paraId="4E6E13A4" w14:textId="37D20A10" w:rsidR="00E20F7C" w:rsidRDefault="00E20F7C">
      <w:pPr>
        <w:rPr>
          <w:b/>
          <w:bCs/>
          <w:sz w:val="20"/>
          <w:szCs w:val="20"/>
        </w:rPr>
      </w:pPr>
    </w:p>
    <w:p w14:paraId="1B366897" w14:textId="2DC387A5" w:rsidR="00913098" w:rsidRPr="003E2AF6" w:rsidRDefault="00913098" w:rsidP="00F31174">
      <w:pPr>
        <w:pStyle w:val="Caption"/>
        <w:ind w:left="216"/>
        <w:jc w:val="center"/>
        <w:rPr>
          <w:rFonts w:ascii="Arial" w:hAnsi="Arial" w:cs="Arial"/>
        </w:rPr>
      </w:pPr>
      <w:bookmarkStart w:id="15" w:name="_Toc512857049"/>
      <w:r w:rsidRPr="00992284">
        <w:t xml:space="preserve">Table </w:t>
      </w:r>
      <w:fldSimple w:instr=" SEQ Table \* ARABIC ">
        <w:r w:rsidR="00510611">
          <w:rPr>
            <w:noProof/>
          </w:rPr>
          <w:t>2</w:t>
        </w:r>
      </w:fldSimple>
      <w:r w:rsidRPr="00992284">
        <w:t xml:space="preserve"> </w:t>
      </w:r>
      <w:r w:rsidR="00F31174" w:rsidRPr="00E56C8B">
        <w:rPr>
          <w:sz w:val="24"/>
          <w:szCs w:val="24"/>
        </w:rPr>
        <w:t>CEC Voluntary California Quality LED Lamp Specification</w:t>
      </w:r>
      <w:bookmarkEnd w:id="15"/>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5"/>
        <w:gridCol w:w="2235"/>
      </w:tblGrid>
      <w:tr w:rsidR="00F31174" w:rsidRPr="00E12622" w14:paraId="7A296338" w14:textId="77777777" w:rsidTr="003570B7">
        <w:trPr>
          <w:trHeight w:val="222"/>
          <w:jc w:val="center"/>
        </w:trPr>
        <w:tc>
          <w:tcPr>
            <w:tcW w:w="3863" w:type="pct"/>
            <w:shd w:val="clear" w:color="auto" w:fill="BFBFBF" w:themeFill="background1" w:themeFillShade="BF"/>
            <w:vAlign w:val="center"/>
          </w:tcPr>
          <w:p w14:paraId="4F59E9FA" w14:textId="77777777" w:rsidR="00F31174" w:rsidRPr="008C2F03" w:rsidRDefault="00F31174" w:rsidP="00F325AB">
            <w:pPr>
              <w:jc w:val="center"/>
              <w:rPr>
                <w:rFonts w:ascii="Arial" w:hAnsi="Arial" w:cs="Arial"/>
                <w:b/>
                <w:sz w:val="20"/>
              </w:rPr>
            </w:pPr>
            <w:r>
              <w:rPr>
                <w:rFonts w:ascii="Arial" w:hAnsi="Arial" w:cs="Arial"/>
                <w:b/>
                <w:sz w:val="20"/>
              </w:rPr>
              <w:t xml:space="preserve">Residential: </w:t>
            </w:r>
            <w:r w:rsidRPr="008C2F03">
              <w:rPr>
                <w:rFonts w:ascii="Arial" w:hAnsi="Arial" w:cs="Arial"/>
                <w:b/>
                <w:sz w:val="20"/>
              </w:rPr>
              <w:t>Upstream</w:t>
            </w:r>
            <w:r>
              <w:rPr>
                <w:rFonts w:ascii="Arial" w:hAnsi="Arial" w:cs="Arial"/>
                <w:b/>
                <w:sz w:val="20"/>
              </w:rPr>
              <w:t xml:space="preserve"> &amp; Downstream Lighting Program </w:t>
            </w:r>
          </w:p>
        </w:tc>
        <w:tc>
          <w:tcPr>
            <w:tcW w:w="1137" w:type="pct"/>
            <w:shd w:val="clear" w:color="auto" w:fill="BFBFBF" w:themeFill="background1" w:themeFillShade="BF"/>
            <w:vAlign w:val="center"/>
          </w:tcPr>
          <w:p w14:paraId="011486F8" w14:textId="2B7816B7" w:rsidR="00F31174" w:rsidRDefault="00F31174" w:rsidP="00F325AB">
            <w:pPr>
              <w:jc w:val="center"/>
              <w:rPr>
                <w:rFonts w:ascii="Arial" w:hAnsi="Arial" w:cs="Arial"/>
                <w:b/>
                <w:sz w:val="20"/>
              </w:rPr>
            </w:pPr>
            <w:r>
              <w:rPr>
                <w:rFonts w:ascii="Arial" w:hAnsi="Arial" w:cs="Arial"/>
                <w:b/>
                <w:sz w:val="20"/>
              </w:rPr>
              <w:t xml:space="preserve">Commercial </w:t>
            </w:r>
            <w:r w:rsidRPr="008C2F03">
              <w:rPr>
                <w:rFonts w:ascii="Arial" w:hAnsi="Arial" w:cs="Arial"/>
                <w:b/>
                <w:sz w:val="20"/>
              </w:rPr>
              <w:t xml:space="preserve">Midstream / </w:t>
            </w:r>
            <w:r>
              <w:rPr>
                <w:rFonts w:ascii="Arial" w:hAnsi="Arial" w:cs="Arial"/>
                <w:b/>
                <w:sz w:val="20"/>
              </w:rPr>
              <w:t>Up</w:t>
            </w:r>
            <w:r w:rsidRPr="008C2F03">
              <w:rPr>
                <w:rFonts w:ascii="Arial" w:hAnsi="Arial" w:cs="Arial"/>
                <w:b/>
                <w:sz w:val="20"/>
              </w:rPr>
              <w:t>stream</w:t>
            </w:r>
            <w:r w:rsidR="006D774D">
              <w:rPr>
                <w:rFonts w:ascii="Arial" w:hAnsi="Arial" w:cs="Arial"/>
                <w:b/>
                <w:sz w:val="20"/>
              </w:rPr>
              <w:t xml:space="preserve">; </w:t>
            </w:r>
          </w:p>
          <w:p w14:paraId="4771F74F" w14:textId="594EB4E4" w:rsidR="006D774D" w:rsidRPr="0079350D" w:rsidRDefault="006D774D" w:rsidP="006D774D">
            <w:pPr>
              <w:jc w:val="center"/>
            </w:pPr>
            <w:r w:rsidRPr="0079350D">
              <w:rPr>
                <w:rFonts w:ascii="Arial" w:hAnsi="Arial" w:cs="Arial"/>
                <w:b/>
                <w:sz w:val="20"/>
              </w:rPr>
              <w:t>Direct Install</w:t>
            </w:r>
            <w:r w:rsidR="00DC23C7">
              <w:rPr>
                <w:rFonts w:ascii="Arial" w:hAnsi="Arial" w:cs="Arial"/>
                <w:b/>
                <w:sz w:val="20"/>
              </w:rPr>
              <w:t>, Residential Direct Install ER</w:t>
            </w:r>
          </w:p>
        </w:tc>
      </w:tr>
      <w:tr w:rsidR="00F31174" w:rsidRPr="00E12622" w14:paraId="41AA3EA9" w14:textId="77777777" w:rsidTr="003570B7">
        <w:trPr>
          <w:trHeight w:val="873"/>
          <w:jc w:val="center"/>
        </w:trPr>
        <w:tc>
          <w:tcPr>
            <w:tcW w:w="3863" w:type="pct"/>
            <w:shd w:val="clear" w:color="auto" w:fill="auto"/>
            <w:vAlign w:val="center"/>
          </w:tcPr>
          <w:p w14:paraId="20D04D29" w14:textId="765B729D" w:rsidR="00F31174" w:rsidRPr="008D3C10" w:rsidRDefault="00F31174" w:rsidP="00B877F2">
            <w:pPr>
              <w:pStyle w:val="Reminders"/>
              <w:tabs>
                <w:tab w:val="num" w:pos="360"/>
              </w:tabs>
              <w:spacing w:before="0" w:after="0"/>
              <w:rPr>
                <w:rFonts w:ascii="Times New Roman" w:hAnsi="Times New Roman"/>
                <w:i w:val="0"/>
                <w:color w:val="auto"/>
                <w:sz w:val="20"/>
                <w:szCs w:val="20"/>
              </w:rPr>
            </w:pPr>
            <w:r w:rsidRPr="00D86914">
              <w:rPr>
                <w:rFonts w:ascii="Times New Roman" w:hAnsi="Times New Roman"/>
                <w:i w:val="0"/>
                <w:color w:val="auto"/>
                <w:sz w:val="20"/>
                <w:szCs w:val="20"/>
              </w:rPr>
              <w:t>Must meet CEC specification 3.</w:t>
            </w:r>
            <w:r w:rsidR="00B877F2">
              <w:rPr>
                <w:rFonts w:ascii="Times New Roman" w:hAnsi="Times New Roman"/>
                <w:i w:val="0"/>
                <w:color w:val="auto"/>
                <w:sz w:val="20"/>
                <w:szCs w:val="20"/>
              </w:rPr>
              <w:t>1</w:t>
            </w:r>
            <w:r>
              <w:rPr>
                <w:rStyle w:val="EndnoteReference"/>
                <w:rFonts w:ascii="Times New Roman" w:hAnsi="Times New Roman"/>
                <w:i w:val="0"/>
                <w:color w:val="auto"/>
                <w:sz w:val="20"/>
                <w:szCs w:val="20"/>
              </w:rPr>
              <w:endnoteReference w:id="1"/>
            </w:r>
            <w:r w:rsidRPr="00D86914">
              <w:rPr>
                <w:rFonts w:ascii="Times New Roman" w:hAnsi="Times New Roman"/>
                <w:i w:val="0"/>
                <w:color w:val="auto"/>
                <w:sz w:val="20"/>
                <w:szCs w:val="20"/>
              </w:rPr>
              <w:t xml:space="preserve"> and Energy Star 2.0</w:t>
            </w:r>
            <w:r>
              <w:rPr>
                <w:rStyle w:val="EndnoteReference"/>
                <w:rFonts w:ascii="Times New Roman" w:hAnsi="Times New Roman"/>
                <w:i w:val="0"/>
                <w:color w:val="auto"/>
                <w:sz w:val="20"/>
                <w:szCs w:val="20"/>
              </w:rPr>
              <w:endnoteReference w:id="2"/>
            </w:r>
            <w:r w:rsidRPr="00D86914">
              <w:rPr>
                <w:rFonts w:ascii="Times New Roman" w:hAnsi="Times New Roman"/>
                <w:i w:val="0"/>
                <w:color w:val="auto"/>
                <w:sz w:val="20"/>
                <w:szCs w:val="20"/>
              </w:rPr>
              <w:t xml:space="preserve"> and be listed on both Energy Star and Modernized Appliance Efficiency Database System (</w:t>
            </w:r>
            <w:hyperlink r:id="rId15" w:history="1">
              <w:r w:rsidRPr="00D86914">
                <w:rPr>
                  <w:rFonts w:ascii="Times New Roman" w:hAnsi="Times New Roman"/>
                  <w:i w:val="0"/>
                  <w:color w:val="auto"/>
                  <w:sz w:val="20"/>
                  <w:szCs w:val="20"/>
                </w:rPr>
                <w:t>MAEDBS</w:t>
              </w:r>
            </w:hyperlink>
            <w:r w:rsidRPr="00D86914">
              <w:rPr>
                <w:rFonts w:ascii="Times New Roman" w:hAnsi="Times New Roman"/>
                <w:i w:val="0"/>
                <w:color w:val="auto"/>
                <w:sz w:val="20"/>
                <w:szCs w:val="20"/>
              </w:rPr>
              <w:t>) databases.  The lamps in MAEDBS must be listed on the “State-regulated Light Emitting Diode Lamp” list</w:t>
            </w:r>
            <w:r>
              <w:rPr>
                <w:rStyle w:val="EndnoteReference"/>
                <w:rFonts w:ascii="Times New Roman" w:hAnsi="Times New Roman"/>
                <w:i w:val="0"/>
                <w:color w:val="auto"/>
                <w:sz w:val="20"/>
                <w:szCs w:val="20"/>
              </w:rPr>
              <w:endnoteReference w:id="3"/>
            </w:r>
            <w:r w:rsidR="00BD427B">
              <w:rPr>
                <w:rFonts w:ascii="Times New Roman" w:hAnsi="Times New Roman"/>
                <w:i w:val="0"/>
                <w:color w:val="auto"/>
                <w:sz w:val="20"/>
                <w:szCs w:val="20"/>
              </w:rPr>
              <w:t xml:space="preserve"> as</w:t>
            </w:r>
            <w:r w:rsidR="007D076F">
              <w:rPr>
                <w:rFonts w:ascii="Times New Roman" w:hAnsi="Times New Roman"/>
                <w:i w:val="0"/>
                <w:color w:val="auto"/>
                <w:sz w:val="20"/>
                <w:szCs w:val="20"/>
              </w:rPr>
              <w:t xml:space="preserve"> </w:t>
            </w:r>
            <w:r w:rsidR="007D076F" w:rsidRPr="00B877F2">
              <w:rPr>
                <w:rFonts w:ascii="Times New Roman" w:hAnsi="Times New Roman"/>
                <w:i w:val="0"/>
                <w:color w:val="auto"/>
                <w:sz w:val="20"/>
                <w:szCs w:val="20"/>
              </w:rPr>
              <w:t>“Voluntarily Certified”.</w:t>
            </w:r>
          </w:p>
        </w:tc>
        <w:tc>
          <w:tcPr>
            <w:tcW w:w="1137" w:type="pct"/>
            <w:shd w:val="clear" w:color="auto" w:fill="auto"/>
            <w:vAlign w:val="center"/>
          </w:tcPr>
          <w:p w14:paraId="722CF46F" w14:textId="77777777" w:rsidR="00F31174" w:rsidRPr="008D3C10" w:rsidRDefault="00F31174" w:rsidP="00F325AB">
            <w:pPr>
              <w:pStyle w:val="Reminders"/>
              <w:tabs>
                <w:tab w:val="num" w:pos="360"/>
              </w:tabs>
              <w:spacing w:before="0" w:after="0"/>
              <w:rPr>
                <w:rFonts w:ascii="Times New Roman" w:hAnsi="Times New Roman"/>
                <w:i w:val="0"/>
                <w:color w:val="auto"/>
                <w:sz w:val="20"/>
                <w:szCs w:val="20"/>
              </w:rPr>
            </w:pPr>
            <w:r w:rsidRPr="008D3C10">
              <w:rPr>
                <w:rFonts w:ascii="Times New Roman" w:hAnsi="Times New Roman"/>
                <w:i w:val="0"/>
                <w:color w:val="auto"/>
                <w:sz w:val="20"/>
                <w:szCs w:val="20"/>
              </w:rPr>
              <w:t>Must be on THE ENERGY STAR Qualified Products List.</w:t>
            </w:r>
          </w:p>
        </w:tc>
      </w:tr>
    </w:tbl>
    <w:p w14:paraId="1B3668B2" w14:textId="042A1B55" w:rsidR="00825A37" w:rsidRPr="009A3B09" w:rsidRDefault="00825A37" w:rsidP="00CB4218">
      <w:pPr>
        <w:rPr>
          <w:rFonts w:ascii="Arial" w:hAnsi="Arial" w:cs="Arial"/>
          <w:sz w:val="20"/>
        </w:rPr>
      </w:pPr>
    </w:p>
    <w:p w14:paraId="1B3668B3" w14:textId="77777777" w:rsidR="00CB4218" w:rsidRPr="00F96D19" w:rsidRDefault="00CB4218" w:rsidP="00AD25A1">
      <w:pPr>
        <w:spacing w:line="264" w:lineRule="auto"/>
        <w:ind w:left="360" w:hanging="360"/>
        <w:rPr>
          <w:rFonts w:ascii="Arial" w:hAnsi="Arial" w:cs="Arial"/>
          <w:b/>
          <w:sz w:val="20"/>
        </w:rPr>
      </w:pPr>
      <w:r w:rsidRPr="00F96D19">
        <w:rPr>
          <w:rFonts w:ascii="Arial" w:hAnsi="Arial" w:cs="Arial"/>
          <w:b/>
          <w:sz w:val="20"/>
        </w:rPr>
        <w:t xml:space="preserve">Terms and Conditions: </w:t>
      </w:r>
    </w:p>
    <w:p w14:paraId="1B3668B4" w14:textId="3573CADF" w:rsidR="00CB4218" w:rsidRPr="001716C6" w:rsidRDefault="00CB4218" w:rsidP="00AD25A1">
      <w:pPr>
        <w:spacing w:line="264" w:lineRule="auto"/>
        <w:rPr>
          <w:rFonts w:ascii="Arial" w:hAnsi="Arial" w:cs="Arial"/>
          <w:sz w:val="22"/>
        </w:rPr>
      </w:pPr>
      <w:r w:rsidRPr="001716C6">
        <w:rPr>
          <w:rFonts w:ascii="Arial" w:hAnsi="Arial" w:cs="Arial"/>
          <w:sz w:val="22"/>
        </w:rPr>
        <w:t xml:space="preserve">The customer must be a PG&amp;E electric customer. </w:t>
      </w:r>
    </w:p>
    <w:p w14:paraId="1B3668B5" w14:textId="77777777" w:rsidR="00CB4218" w:rsidRPr="009A3B09" w:rsidRDefault="00CB4218" w:rsidP="00CB4218">
      <w:pPr>
        <w:ind w:left="360"/>
        <w:rPr>
          <w:rFonts w:ascii="Arial" w:hAnsi="Arial" w:cs="Arial"/>
          <w:sz w:val="20"/>
        </w:rPr>
      </w:pPr>
    </w:p>
    <w:p w14:paraId="1B3668B6" w14:textId="77777777" w:rsidR="00CB4218" w:rsidRPr="00F96D19" w:rsidRDefault="00CB4218" w:rsidP="00AD25A1">
      <w:pPr>
        <w:spacing w:line="264" w:lineRule="auto"/>
        <w:rPr>
          <w:rFonts w:ascii="Arial" w:hAnsi="Arial" w:cs="Arial"/>
          <w:b/>
          <w:sz w:val="20"/>
        </w:rPr>
      </w:pPr>
      <w:r w:rsidRPr="00F96D19">
        <w:rPr>
          <w:rFonts w:ascii="Arial" w:hAnsi="Arial" w:cs="Arial"/>
          <w:b/>
          <w:sz w:val="20"/>
        </w:rPr>
        <w:t xml:space="preserve">Market Applicability: </w:t>
      </w:r>
    </w:p>
    <w:p w14:paraId="1B3668B8" w14:textId="466121B7" w:rsidR="007714DC" w:rsidRPr="001716C6" w:rsidRDefault="00CB4218" w:rsidP="00AD25A1">
      <w:pPr>
        <w:spacing w:line="264" w:lineRule="auto"/>
        <w:rPr>
          <w:rFonts w:ascii="Arial" w:hAnsi="Arial" w:cs="Arial"/>
          <w:sz w:val="20"/>
          <w:szCs w:val="20"/>
        </w:rPr>
      </w:pPr>
      <w:r w:rsidRPr="001716C6">
        <w:rPr>
          <w:rFonts w:ascii="Arial" w:hAnsi="Arial" w:cs="Arial"/>
          <w:sz w:val="20"/>
          <w:szCs w:val="20"/>
        </w:rPr>
        <w:t>Single and Multi-Family Installations are eligible.</w:t>
      </w:r>
      <w:r w:rsidR="00657EE7" w:rsidRPr="001716C6">
        <w:rPr>
          <w:rFonts w:ascii="Arial" w:hAnsi="Arial" w:cs="Arial"/>
          <w:sz w:val="20"/>
          <w:szCs w:val="20"/>
        </w:rPr>
        <w:t xml:space="preserve"> These measures includ</w:t>
      </w:r>
      <w:r w:rsidR="00EB0C25" w:rsidRPr="001716C6">
        <w:rPr>
          <w:rFonts w:ascii="Arial" w:hAnsi="Arial" w:cs="Arial"/>
          <w:sz w:val="20"/>
          <w:szCs w:val="20"/>
        </w:rPr>
        <w:t>e mid and upstream rebates and d</w:t>
      </w:r>
      <w:r w:rsidR="00657EE7" w:rsidRPr="001716C6">
        <w:rPr>
          <w:rFonts w:ascii="Arial" w:hAnsi="Arial" w:cs="Arial"/>
          <w:sz w:val="20"/>
          <w:szCs w:val="20"/>
        </w:rPr>
        <w:t>i</w:t>
      </w:r>
      <w:r w:rsidR="00EB0C25" w:rsidRPr="001716C6">
        <w:rPr>
          <w:rFonts w:ascii="Arial" w:hAnsi="Arial" w:cs="Arial"/>
          <w:sz w:val="20"/>
          <w:szCs w:val="20"/>
        </w:rPr>
        <w:t>rect i</w:t>
      </w:r>
      <w:r w:rsidR="00657EE7" w:rsidRPr="001716C6">
        <w:rPr>
          <w:rFonts w:ascii="Arial" w:hAnsi="Arial" w:cs="Arial"/>
          <w:sz w:val="20"/>
          <w:szCs w:val="20"/>
        </w:rPr>
        <w:t>nstall where noted in the data</w:t>
      </w:r>
      <w:r w:rsidR="007714DC" w:rsidRPr="001716C6">
        <w:rPr>
          <w:rFonts w:ascii="Arial" w:hAnsi="Arial" w:cs="Arial"/>
          <w:sz w:val="20"/>
          <w:szCs w:val="20"/>
        </w:rPr>
        <w:t>.</w:t>
      </w:r>
    </w:p>
    <w:p w14:paraId="1B3668B9" w14:textId="77777777" w:rsidR="007714DC" w:rsidRPr="001716C6" w:rsidRDefault="007714DC" w:rsidP="00AD25A1">
      <w:pPr>
        <w:spacing w:line="264" w:lineRule="auto"/>
        <w:rPr>
          <w:rFonts w:ascii="Arial" w:hAnsi="Arial" w:cs="Arial"/>
          <w:sz w:val="20"/>
          <w:szCs w:val="20"/>
        </w:rPr>
      </w:pPr>
      <w:r w:rsidRPr="001716C6">
        <w:rPr>
          <w:rFonts w:ascii="Arial" w:hAnsi="Arial" w:cs="Arial"/>
          <w:sz w:val="20"/>
          <w:szCs w:val="20"/>
        </w:rPr>
        <w:t xml:space="preserve">Please refer to the table below for applicable delivery types, building types, and application types: </w:t>
      </w:r>
    </w:p>
    <w:p w14:paraId="1B3668BA" w14:textId="77777777" w:rsidR="009A3B09" w:rsidRDefault="009A3B09" w:rsidP="00CB4218"/>
    <w:p w14:paraId="1B3668BB" w14:textId="77777777" w:rsidR="001D3DFF" w:rsidRPr="00992284" w:rsidRDefault="001D3DFF" w:rsidP="001D3DFF">
      <w:pPr>
        <w:pStyle w:val="Caption"/>
        <w:keepNext/>
        <w:jc w:val="center"/>
      </w:pPr>
      <w:bookmarkStart w:id="16" w:name="_Toc512857050"/>
      <w:r w:rsidRPr="00992284">
        <w:t xml:space="preserve">Table </w:t>
      </w:r>
      <w:fldSimple w:instr=" SEQ Table \* ARABIC ">
        <w:r w:rsidR="00510611">
          <w:rPr>
            <w:noProof/>
          </w:rPr>
          <w:t>3</w:t>
        </w:r>
      </w:fldSimple>
      <w:r w:rsidRPr="00992284">
        <w:t xml:space="preserve"> Delivery Method and Applicable Building Types</w:t>
      </w:r>
      <w:bookmarkEnd w:id="16"/>
    </w:p>
    <w:tbl>
      <w:tblPr>
        <w:tblStyle w:val="TableGrid"/>
        <w:tblW w:w="9200" w:type="dxa"/>
        <w:jc w:val="center"/>
        <w:tblLook w:val="04A0" w:firstRow="1" w:lastRow="0" w:firstColumn="1" w:lastColumn="0" w:noHBand="0" w:noVBand="1"/>
      </w:tblPr>
      <w:tblGrid>
        <w:gridCol w:w="2710"/>
        <w:gridCol w:w="3952"/>
        <w:gridCol w:w="2538"/>
      </w:tblGrid>
      <w:tr w:rsidR="001D3DFF" w:rsidRPr="0034275C" w14:paraId="1B3668BF" w14:textId="77777777" w:rsidTr="00F87B16">
        <w:trPr>
          <w:trHeight w:val="332"/>
          <w:jc w:val="center"/>
        </w:trPr>
        <w:tc>
          <w:tcPr>
            <w:tcW w:w="2710" w:type="dxa"/>
            <w:shd w:val="clear" w:color="auto" w:fill="D9D9D9" w:themeFill="background1" w:themeFillShade="D9"/>
          </w:tcPr>
          <w:p w14:paraId="1B3668BC" w14:textId="77777777" w:rsidR="001D3DFF" w:rsidRPr="0034275C" w:rsidRDefault="001D3DFF" w:rsidP="00F87B16">
            <w:pPr>
              <w:spacing w:before="40"/>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14:paraId="1B3668BD" w14:textId="77777777" w:rsidR="001D3DFF" w:rsidRPr="0034275C" w:rsidRDefault="001D3DFF" w:rsidP="00F87B16">
            <w:pPr>
              <w:spacing w:before="40"/>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14:paraId="1B3668BE" w14:textId="77777777" w:rsidR="001D3DFF" w:rsidRPr="0034275C" w:rsidRDefault="001D3DFF" w:rsidP="00F87B16">
            <w:pPr>
              <w:spacing w:before="40"/>
              <w:rPr>
                <w:rFonts w:ascii="Arial" w:hAnsi="Arial" w:cs="Arial"/>
                <w:b/>
                <w:sz w:val="20"/>
                <w:szCs w:val="20"/>
              </w:rPr>
            </w:pPr>
            <w:r w:rsidRPr="0034275C">
              <w:rPr>
                <w:rFonts w:ascii="Arial" w:hAnsi="Arial" w:cs="Arial"/>
                <w:b/>
                <w:sz w:val="20"/>
                <w:szCs w:val="20"/>
              </w:rPr>
              <w:t>Application Type</w:t>
            </w:r>
          </w:p>
        </w:tc>
      </w:tr>
      <w:tr w:rsidR="001D3DFF" w:rsidRPr="0034275C" w14:paraId="1B3668C3" w14:textId="77777777" w:rsidTr="001D3DFF">
        <w:trPr>
          <w:jc w:val="center"/>
        </w:trPr>
        <w:tc>
          <w:tcPr>
            <w:tcW w:w="2710" w:type="dxa"/>
          </w:tcPr>
          <w:p w14:paraId="1B3668C0" w14:textId="77777777" w:rsidR="001D3DFF" w:rsidRPr="0034275C" w:rsidRDefault="001D3DFF" w:rsidP="00F87B16">
            <w:pPr>
              <w:spacing w:before="40" w:after="40"/>
              <w:rPr>
                <w:rFonts w:ascii="Arial" w:hAnsi="Arial" w:cs="Arial"/>
                <w:sz w:val="20"/>
                <w:szCs w:val="20"/>
              </w:rPr>
            </w:pPr>
            <w:r>
              <w:rPr>
                <w:rFonts w:ascii="Arial" w:hAnsi="Arial" w:cs="Arial"/>
                <w:sz w:val="20"/>
                <w:szCs w:val="20"/>
              </w:rPr>
              <w:t>Upstream</w:t>
            </w:r>
          </w:p>
        </w:tc>
        <w:tc>
          <w:tcPr>
            <w:tcW w:w="3952" w:type="dxa"/>
          </w:tcPr>
          <w:p w14:paraId="1B3668C1" w14:textId="77777777" w:rsidR="001D3DFF" w:rsidRPr="0034275C" w:rsidRDefault="005B2FBE" w:rsidP="00F87B16">
            <w:pPr>
              <w:spacing w:before="40" w:after="40"/>
              <w:rPr>
                <w:rFonts w:ascii="Arial" w:hAnsi="Arial" w:cs="Arial"/>
                <w:sz w:val="20"/>
                <w:szCs w:val="20"/>
              </w:rPr>
            </w:pPr>
            <w:r>
              <w:rPr>
                <w:rFonts w:ascii="Arial" w:hAnsi="Arial" w:cs="Arial"/>
                <w:sz w:val="20"/>
                <w:szCs w:val="20"/>
              </w:rPr>
              <w:t>“Com</w:t>
            </w:r>
            <w:r w:rsidR="001D3DFF">
              <w:rPr>
                <w:rFonts w:ascii="Arial" w:hAnsi="Arial" w:cs="Arial"/>
                <w:sz w:val="20"/>
                <w:szCs w:val="20"/>
              </w:rPr>
              <w:t>”</w:t>
            </w:r>
            <w:r>
              <w:rPr>
                <w:rFonts w:ascii="Arial" w:hAnsi="Arial" w:cs="Arial"/>
                <w:sz w:val="20"/>
                <w:szCs w:val="20"/>
              </w:rPr>
              <w:t xml:space="preserve"> and</w:t>
            </w:r>
            <w:r w:rsidR="001D3DFF">
              <w:rPr>
                <w:rFonts w:ascii="Arial" w:hAnsi="Arial" w:cs="Arial"/>
                <w:sz w:val="20"/>
                <w:szCs w:val="20"/>
              </w:rPr>
              <w:t xml:space="preserve"> “Res,”</w:t>
            </w:r>
          </w:p>
        </w:tc>
        <w:tc>
          <w:tcPr>
            <w:tcW w:w="2538" w:type="dxa"/>
          </w:tcPr>
          <w:p w14:paraId="1B3668C2" w14:textId="77777777" w:rsidR="001D3DFF" w:rsidRPr="0034275C" w:rsidRDefault="001D3DFF" w:rsidP="00F87B16">
            <w:pPr>
              <w:spacing w:before="40" w:after="40"/>
              <w:rPr>
                <w:rFonts w:ascii="Arial" w:hAnsi="Arial" w:cs="Arial"/>
                <w:sz w:val="20"/>
                <w:szCs w:val="20"/>
              </w:rPr>
            </w:pPr>
            <w:r>
              <w:rPr>
                <w:rFonts w:ascii="Arial" w:hAnsi="Arial" w:cs="Arial"/>
                <w:sz w:val="20"/>
                <w:szCs w:val="20"/>
              </w:rPr>
              <w:t>ROB</w:t>
            </w:r>
          </w:p>
        </w:tc>
      </w:tr>
      <w:tr w:rsidR="00F87B16" w:rsidRPr="0034275C" w14:paraId="3ACF09C8" w14:textId="77777777" w:rsidTr="00FA4BFE">
        <w:trPr>
          <w:jc w:val="center"/>
        </w:trPr>
        <w:tc>
          <w:tcPr>
            <w:tcW w:w="2710" w:type="dxa"/>
          </w:tcPr>
          <w:p w14:paraId="6374AE69" w14:textId="77777777" w:rsidR="00F87B16" w:rsidRPr="0034275C" w:rsidRDefault="00F87B16" w:rsidP="00F87B16">
            <w:pPr>
              <w:spacing w:before="40" w:after="40"/>
              <w:rPr>
                <w:rFonts w:ascii="Arial" w:hAnsi="Arial" w:cs="Arial"/>
                <w:sz w:val="20"/>
                <w:szCs w:val="20"/>
              </w:rPr>
            </w:pPr>
            <w:r w:rsidRPr="0034275C">
              <w:rPr>
                <w:rFonts w:ascii="Arial" w:hAnsi="Arial" w:cs="Arial"/>
                <w:sz w:val="20"/>
                <w:szCs w:val="20"/>
              </w:rPr>
              <w:t>Downstream</w:t>
            </w:r>
          </w:p>
        </w:tc>
        <w:tc>
          <w:tcPr>
            <w:tcW w:w="3952" w:type="dxa"/>
          </w:tcPr>
          <w:p w14:paraId="0E53EA1C" w14:textId="77777777" w:rsidR="00F87B16" w:rsidRPr="0034275C" w:rsidRDefault="00F87B16" w:rsidP="00F87B16">
            <w:pPr>
              <w:spacing w:before="40" w:after="40"/>
              <w:rPr>
                <w:rFonts w:ascii="Arial" w:hAnsi="Arial" w:cs="Arial"/>
                <w:sz w:val="20"/>
                <w:szCs w:val="20"/>
              </w:rPr>
            </w:pPr>
            <w:r>
              <w:rPr>
                <w:rFonts w:ascii="Arial" w:hAnsi="Arial" w:cs="Arial"/>
                <w:sz w:val="20"/>
                <w:szCs w:val="20"/>
              </w:rPr>
              <w:t>DEER Building Types</w:t>
            </w:r>
          </w:p>
        </w:tc>
        <w:tc>
          <w:tcPr>
            <w:tcW w:w="2538" w:type="dxa"/>
          </w:tcPr>
          <w:p w14:paraId="4448E03B" w14:textId="77777777" w:rsidR="00F87B16" w:rsidRPr="0034275C" w:rsidRDefault="00F87B16" w:rsidP="00F87B16">
            <w:pPr>
              <w:spacing w:before="40" w:after="40"/>
              <w:rPr>
                <w:rFonts w:ascii="Arial" w:hAnsi="Arial" w:cs="Arial"/>
                <w:sz w:val="20"/>
                <w:szCs w:val="20"/>
              </w:rPr>
            </w:pPr>
            <w:r w:rsidRPr="0034275C">
              <w:rPr>
                <w:rFonts w:ascii="Arial" w:hAnsi="Arial" w:cs="Arial"/>
                <w:sz w:val="20"/>
                <w:szCs w:val="20"/>
              </w:rPr>
              <w:t>ROB</w:t>
            </w:r>
          </w:p>
        </w:tc>
      </w:tr>
      <w:tr w:rsidR="001D3DFF" w:rsidRPr="0034275C" w14:paraId="1B3668C7" w14:textId="77777777" w:rsidTr="001D3DFF">
        <w:trPr>
          <w:jc w:val="center"/>
        </w:trPr>
        <w:tc>
          <w:tcPr>
            <w:tcW w:w="2710" w:type="dxa"/>
          </w:tcPr>
          <w:p w14:paraId="1B3668C4" w14:textId="77777777" w:rsidR="001D3DFF" w:rsidRPr="0034275C" w:rsidRDefault="001D3DFF" w:rsidP="00F87B16">
            <w:pPr>
              <w:spacing w:before="40" w:after="40"/>
              <w:rPr>
                <w:rFonts w:ascii="Arial" w:hAnsi="Arial" w:cs="Arial"/>
                <w:sz w:val="20"/>
                <w:szCs w:val="20"/>
              </w:rPr>
            </w:pPr>
            <w:r>
              <w:rPr>
                <w:rFonts w:ascii="Arial" w:hAnsi="Arial" w:cs="Arial"/>
                <w:sz w:val="20"/>
                <w:szCs w:val="20"/>
              </w:rPr>
              <w:t>Direct Install</w:t>
            </w:r>
          </w:p>
        </w:tc>
        <w:tc>
          <w:tcPr>
            <w:tcW w:w="3952" w:type="dxa"/>
          </w:tcPr>
          <w:p w14:paraId="1B3668C5" w14:textId="77777777" w:rsidR="001D3DFF" w:rsidRPr="0034275C" w:rsidRDefault="005B2FBE" w:rsidP="00F87B16">
            <w:pPr>
              <w:spacing w:before="40" w:after="40"/>
              <w:rPr>
                <w:rFonts w:ascii="Arial" w:hAnsi="Arial" w:cs="Arial"/>
                <w:sz w:val="20"/>
                <w:szCs w:val="20"/>
              </w:rPr>
            </w:pPr>
            <w:r>
              <w:rPr>
                <w:rFonts w:ascii="Arial" w:hAnsi="Arial" w:cs="Arial"/>
                <w:sz w:val="20"/>
                <w:szCs w:val="20"/>
              </w:rPr>
              <w:t>DEER Building Types</w:t>
            </w:r>
          </w:p>
        </w:tc>
        <w:tc>
          <w:tcPr>
            <w:tcW w:w="2538" w:type="dxa"/>
          </w:tcPr>
          <w:p w14:paraId="1B3668C6" w14:textId="77777777" w:rsidR="001D3DFF" w:rsidRPr="0034275C" w:rsidRDefault="001D3DFF" w:rsidP="00F87B16">
            <w:pPr>
              <w:spacing w:before="40" w:after="40"/>
              <w:rPr>
                <w:rFonts w:ascii="Arial" w:hAnsi="Arial" w:cs="Arial"/>
                <w:sz w:val="20"/>
                <w:szCs w:val="20"/>
              </w:rPr>
            </w:pPr>
            <w:r>
              <w:rPr>
                <w:rFonts w:ascii="Arial" w:hAnsi="Arial" w:cs="Arial"/>
                <w:sz w:val="20"/>
                <w:szCs w:val="20"/>
              </w:rPr>
              <w:t>ROB</w:t>
            </w:r>
          </w:p>
        </w:tc>
      </w:tr>
      <w:tr w:rsidR="009E2CC6" w:rsidRPr="0034275C" w14:paraId="69F6AC70" w14:textId="77777777" w:rsidTr="001D3DFF">
        <w:trPr>
          <w:jc w:val="center"/>
        </w:trPr>
        <w:tc>
          <w:tcPr>
            <w:tcW w:w="2710" w:type="dxa"/>
          </w:tcPr>
          <w:p w14:paraId="3AA16332" w14:textId="1EBE9B28" w:rsidR="009E2CC6" w:rsidRDefault="009E2CC6" w:rsidP="00F87B16">
            <w:pPr>
              <w:spacing w:before="40" w:after="40"/>
              <w:rPr>
                <w:rFonts w:ascii="Arial" w:hAnsi="Arial" w:cs="Arial"/>
                <w:sz w:val="20"/>
                <w:szCs w:val="20"/>
              </w:rPr>
            </w:pPr>
            <w:r>
              <w:rPr>
                <w:rFonts w:ascii="Arial" w:hAnsi="Arial" w:cs="Arial"/>
                <w:sz w:val="20"/>
                <w:szCs w:val="20"/>
              </w:rPr>
              <w:t>Direct Install</w:t>
            </w:r>
          </w:p>
        </w:tc>
        <w:tc>
          <w:tcPr>
            <w:tcW w:w="3952" w:type="dxa"/>
          </w:tcPr>
          <w:p w14:paraId="5C674A5B" w14:textId="7B43C56D" w:rsidR="009E2CC6" w:rsidRDefault="009E2CC6" w:rsidP="00F87B16">
            <w:pPr>
              <w:spacing w:before="40" w:after="40"/>
              <w:rPr>
                <w:rFonts w:ascii="Arial" w:hAnsi="Arial" w:cs="Arial"/>
                <w:sz w:val="20"/>
                <w:szCs w:val="20"/>
              </w:rPr>
            </w:pPr>
            <w:r>
              <w:rPr>
                <w:rFonts w:ascii="Arial" w:hAnsi="Arial" w:cs="Arial"/>
                <w:sz w:val="20"/>
                <w:szCs w:val="20"/>
              </w:rPr>
              <w:t>“Res”</w:t>
            </w:r>
          </w:p>
        </w:tc>
        <w:tc>
          <w:tcPr>
            <w:tcW w:w="2538" w:type="dxa"/>
          </w:tcPr>
          <w:p w14:paraId="019C730F" w14:textId="1E13892B" w:rsidR="009E2CC6" w:rsidRDefault="009E2CC6" w:rsidP="00F87B16">
            <w:pPr>
              <w:spacing w:before="40" w:after="40"/>
              <w:rPr>
                <w:rFonts w:ascii="Arial" w:hAnsi="Arial" w:cs="Arial"/>
                <w:sz w:val="20"/>
                <w:szCs w:val="20"/>
              </w:rPr>
            </w:pPr>
            <w:r>
              <w:rPr>
                <w:rFonts w:ascii="Arial" w:hAnsi="Arial" w:cs="Arial"/>
                <w:sz w:val="20"/>
                <w:szCs w:val="20"/>
              </w:rPr>
              <w:t>ER</w:t>
            </w:r>
          </w:p>
        </w:tc>
      </w:tr>
    </w:tbl>
    <w:p w14:paraId="4820065A" w14:textId="0665E508" w:rsidR="00E129D0" w:rsidRDefault="00E129D0" w:rsidP="00806070">
      <w:pPr>
        <w:rPr>
          <w:rFonts w:ascii="Arial" w:hAnsi="Arial" w:cs="Arial"/>
          <w:b/>
          <w:i/>
          <w:sz w:val="28"/>
          <w:szCs w:val="28"/>
        </w:rPr>
      </w:pPr>
    </w:p>
    <w:p w14:paraId="2F071CEB" w14:textId="77777777" w:rsidR="003570B7" w:rsidRDefault="003570B7">
      <w:pPr>
        <w:rPr>
          <w:rFonts w:ascii="Arial" w:hAnsi="Arial" w:cs="Arial"/>
          <w:b/>
          <w:i/>
        </w:rPr>
      </w:pPr>
      <w:r>
        <w:rPr>
          <w:rFonts w:ascii="Arial" w:hAnsi="Arial" w:cs="Arial"/>
          <w:b/>
          <w:i/>
        </w:rPr>
        <w:br w:type="page"/>
      </w:r>
    </w:p>
    <w:p w14:paraId="634D2E6B" w14:textId="1F26D005" w:rsidR="009E2CC6" w:rsidRDefault="009E2CC6" w:rsidP="009E2CC6">
      <w:pPr>
        <w:rPr>
          <w:rFonts w:ascii="Arial" w:hAnsi="Arial" w:cs="Arial"/>
          <w:b/>
          <w:i/>
        </w:rPr>
      </w:pPr>
      <w:r w:rsidRPr="00B877F2">
        <w:rPr>
          <w:rFonts w:ascii="Arial" w:hAnsi="Arial" w:cs="Arial"/>
          <w:b/>
          <w:i/>
        </w:rPr>
        <w:lastRenderedPageBreak/>
        <w:t>Program Restrictions and Guidelines</w:t>
      </w:r>
      <w:r>
        <w:rPr>
          <w:rFonts w:ascii="Arial" w:hAnsi="Arial" w:cs="Arial"/>
          <w:b/>
          <w:i/>
        </w:rPr>
        <w:t xml:space="preserve"> for E</w:t>
      </w:r>
      <w:r w:rsidR="002343D0">
        <w:rPr>
          <w:rFonts w:ascii="Arial" w:hAnsi="Arial" w:cs="Arial"/>
          <w:b/>
          <w:i/>
        </w:rPr>
        <w:t>arly Retirement (ER)</w:t>
      </w:r>
      <w:r>
        <w:rPr>
          <w:rFonts w:ascii="Arial" w:hAnsi="Arial" w:cs="Arial"/>
          <w:b/>
          <w:i/>
        </w:rPr>
        <w:t xml:space="preserve"> Measures </w:t>
      </w:r>
    </w:p>
    <w:p w14:paraId="3AEA7D67" w14:textId="7569C5D9" w:rsidR="009E2CC6" w:rsidRPr="001716C6" w:rsidRDefault="009E2CC6" w:rsidP="0029207C">
      <w:pPr>
        <w:autoSpaceDE w:val="0"/>
        <w:autoSpaceDN w:val="0"/>
        <w:adjustRightInd w:val="0"/>
        <w:spacing w:before="80"/>
        <w:rPr>
          <w:rFonts w:ascii="Arial" w:hAnsi="Arial" w:cs="Arial"/>
          <w:sz w:val="20"/>
          <w:szCs w:val="20"/>
        </w:rPr>
      </w:pPr>
      <w:r w:rsidRPr="001716C6">
        <w:rPr>
          <w:rFonts w:ascii="Arial" w:hAnsi="Arial" w:cs="Arial"/>
          <w:sz w:val="20"/>
          <w:szCs w:val="20"/>
        </w:rPr>
        <w:t>For Residential Direct Install Programs</w:t>
      </w:r>
      <w:r w:rsidR="004E6F9D" w:rsidRPr="001716C6">
        <w:rPr>
          <w:rFonts w:ascii="Arial" w:hAnsi="Arial" w:cs="Arial"/>
          <w:sz w:val="20"/>
          <w:szCs w:val="20"/>
        </w:rPr>
        <w:t xml:space="preserve"> targeting Hard to Reach (HTR) customers following program requirements apply:</w:t>
      </w:r>
    </w:p>
    <w:p w14:paraId="14B2C99D" w14:textId="64FB9685" w:rsidR="004E6F9D" w:rsidRPr="001716C6" w:rsidRDefault="00483840" w:rsidP="00FA4BFE">
      <w:pPr>
        <w:pStyle w:val="Heading4"/>
        <w:spacing w:before="120"/>
        <w:rPr>
          <w:rFonts w:ascii="Arial" w:hAnsi="Arial" w:cs="Arial"/>
          <w:sz w:val="20"/>
          <w:szCs w:val="20"/>
          <w:u w:val="single"/>
        </w:rPr>
      </w:pPr>
      <w:r w:rsidRPr="001716C6">
        <w:rPr>
          <w:rFonts w:ascii="Arial" w:hAnsi="Arial" w:cs="Arial"/>
          <w:sz w:val="20"/>
          <w:szCs w:val="20"/>
          <w:u w:val="single"/>
        </w:rPr>
        <w:t>Option 1</w:t>
      </w:r>
    </w:p>
    <w:p w14:paraId="54DA21D8" w14:textId="25A092A5" w:rsidR="004E6F9D" w:rsidRDefault="004E6F9D" w:rsidP="00483840">
      <w:pPr>
        <w:pStyle w:val="ListParagraph"/>
        <w:numPr>
          <w:ilvl w:val="0"/>
          <w:numId w:val="25"/>
        </w:numPr>
        <w:spacing w:before="80"/>
        <w:rPr>
          <w:rFonts w:ascii="Arial" w:hAnsi="Arial" w:cs="Arial"/>
          <w:sz w:val="20"/>
          <w:szCs w:val="20"/>
        </w:rPr>
      </w:pPr>
      <w:r w:rsidRPr="0079350D">
        <w:rPr>
          <w:rFonts w:ascii="Arial" w:hAnsi="Arial" w:cs="Arial"/>
          <w:sz w:val="20"/>
          <w:szCs w:val="20"/>
        </w:rPr>
        <w:t>Eligible for Hard to Reach (HTR) customers only. If customer do</w:t>
      </w:r>
      <w:r w:rsidR="002343D0" w:rsidRPr="0079350D">
        <w:rPr>
          <w:rFonts w:ascii="Arial" w:hAnsi="Arial" w:cs="Arial"/>
          <w:sz w:val="20"/>
          <w:szCs w:val="20"/>
        </w:rPr>
        <w:t>esn</w:t>
      </w:r>
      <w:r w:rsidRPr="0079350D">
        <w:rPr>
          <w:rFonts w:ascii="Arial" w:hAnsi="Arial" w:cs="Arial"/>
          <w:sz w:val="20"/>
          <w:szCs w:val="20"/>
        </w:rPr>
        <w:t xml:space="preserve">’t qualify </w:t>
      </w:r>
      <w:r w:rsidR="00FA4BFE">
        <w:rPr>
          <w:rFonts w:ascii="Arial" w:hAnsi="Arial" w:cs="Arial"/>
          <w:sz w:val="20"/>
          <w:szCs w:val="20"/>
        </w:rPr>
        <w:t xml:space="preserve">for HTR then </w:t>
      </w:r>
      <w:r w:rsidRPr="0079350D">
        <w:rPr>
          <w:rFonts w:ascii="Arial" w:hAnsi="Arial" w:cs="Arial"/>
          <w:sz w:val="20"/>
          <w:szCs w:val="20"/>
        </w:rPr>
        <w:t xml:space="preserve">ROB measures should be utilized. </w:t>
      </w:r>
      <w:r w:rsidR="002343D0" w:rsidRPr="0079350D">
        <w:rPr>
          <w:rFonts w:ascii="Arial" w:hAnsi="Arial" w:cs="Arial"/>
          <w:sz w:val="20"/>
          <w:szCs w:val="20"/>
        </w:rPr>
        <w:t xml:space="preserve">HTR definition </w:t>
      </w:r>
      <w:r w:rsidR="00687920">
        <w:rPr>
          <w:rFonts w:ascii="Arial" w:hAnsi="Arial" w:cs="Arial"/>
          <w:sz w:val="20"/>
          <w:szCs w:val="20"/>
        </w:rPr>
        <w:t>pursuant to Resolution G-3497 as referenced in</w:t>
      </w:r>
      <w:r w:rsidR="002343D0" w:rsidRPr="0079350D">
        <w:rPr>
          <w:rFonts w:ascii="Arial" w:hAnsi="Arial" w:cs="Arial"/>
          <w:sz w:val="20"/>
          <w:szCs w:val="20"/>
        </w:rPr>
        <w:t xml:space="preserve"> </w:t>
      </w:r>
      <w:r w:rsidR="00687920">
        <w:rPr>
          <w:rFonts w:ascii="Arial" w:hAnsi="Arial" w:cs="Arial"/>
          <w:sz w:val="20"/>
          <w:szCs w:val="20"/>
        </w:rPr>
        <w:t>A.17-01-013 et al Proposed Decision (04/04/2018):</w:t>
      </w:r>
    </w:p>
    <w:p w14:paraId="6235C363" w14:textId="77777777" w:rsidR="00687920" w:rsidRDefault="00687920" w:rsidP="0079350D">
      <w:pPr>
        <w:pStyle w:val="ListParagraph"/>
        <w:rPr>
          <w:rFonts w:ascii="Arial" w:hAnsi="Arial" w:cs="Arial"/>
          <w:sz w:val="20"/>
          <w:szCs w:val="20"/>
        </w:rPr>
      </w:pPr>
    </w:p>
    <w:p w14:paraId="62AE94D5" w14:textId="310F2D4F" w:rsidR="00687920" w:rsidRPr="0079350D" w:rsidRDefault="00687920">
      <w:pPr>
        <w:pStyle w:val="ListParagraph"/>
        <w:rPr>
          <w:rFonts w:ascii="Arial" w:hAnsi="Arial" w:cs="Arial"/>
          <w:i/>
          <w:sz w:val="20"/>
          <w:szCs w:val="20"/>
        </w:rPr>
      </w:pPr>
      <w:r w:rsidRPr="0079350D">
        <w:rPr>
          <w:rFonts w:ascii="Arial" w:hAnsi="Arial" w:cs="Arial"/>
          <w:i/>
          <w:sz w:val="20"/>
          <w:szCs w:val="20"/>
        </w:rPr>
        <w:t>Specific criteria were developed by staff to be used in classifying a</w:t>
      </w:r>
      <w:r>
        <w:rPr>
          <w:rFonts w:ascii="Arial" w:hAnsi="Arial" w:cs="Arial"/>
          <w:i/>
          <w:sz w:val="20"/>
          <w:szCs w:val="20"/>
        </w:rPr>
        <w:t xml:space="preserve"> </w:t>
      </w:r>
      <w:r w:rsidRPr="0079350D">
        <w:rPr>
          <w:rFonts w:ascii="Arial" w:hAnsi="Arial" w:cs="Arial"/>
          <w:i/>
          <w:sz w:val="20"/>
          <w:szCs w:val="20"/>
        </w:rPr>
        <w:t>customer as hard-to-reach. Two criteria are considered sufficient if</w:t>
      </w:r>
      <w:r>
        <w:rPr>
          <w:rFonts w:ascii="Arial" w:hAnsi="Arial" w:cs="Arial"/>
          <w:i/>
          <w:sz w:val="20"/>
          <w:szCs w:val="20"/>
        </w:rPr>
        <w:t xml:space="preserve"> </w:t>
      </w:r>
      <w:r w:rsidRPr="0079350D">
        <w:rPr>
          <w:rFonts w:ascii="Arial" w:hAnsi="Arial" w:cs="Arial"/>
          <w:i/>
          <w:sz w:val="20"/>
          <w:szCs w:val="20"/>
        </w:rPr>
        <w:t>one of the criteria met is the geographic criteria defined below.</w:t>
      </w:r>
      <w:r w:rsidR="00F04C7C">
        <w:rPr>
          <w:rFonts w:ascii="Arial" w:hAnsi="Arial" w:cs="Arial"/>
          <w:i/>
          <w:sz w:val="20"/>
          <w:szCs w:val="20"/>
        </w:rPr>
        <w:t xml:space="preserve"> </w:t>
      </w:r>
      <w:r w:rsidRPr="0079350D">
        <w:rPr>
          <w:rFonts w:ascii="Arial" w:hAnsi="Arial" w:cs="Arial"/>
          <w:i/>
          <w:sz w:val="20"/>
          <w:szCs w:val="20"/>
        </w:rPr>
        <w:t>There are common as well as separate criteria when defining</w:t>
      </w:r>
      <w:r w:rsidR="00F04C7C">
        <w:rPr>
          <w:rFonts w:ascii="Arial" w:hAnsi="Arial" w:cs="Arial"/>
          <w:i/>
          <w:sz w:val="20"/>
          <w:szCs w:val="20"/>
        </w:rPr>
        <w:t xml:space="preserve"> </w:t>
      </w:r>
      <w:r w:rsidRPr="0079350D">
        <w:rPr>
          <w:rFonts w:ascii="Arial" w:hAnsi="Arial" w:cs="Arial"/>
          <w:i/>
          <w:sz w:val="20"/>
          <w:szCs w:val="20"/>
        </w:rPr>
        <w:t>hard-to-reach for residential versus small business customers. The</w:t>
      </w:r>
      <w:r w:rsidR="00F04C7C">
        <w:rPr>
          <w:rFonts w:ascii="Arial" w:hAnsi="Arial" w:cs="Arial"/>
          <w:i/>
          <w:sz w:val="20"/>
          <w:szCs w:val="20"/>
        </w:rPr>
        <w:t xml:space="preserve"> </w:t>
      </w:r>
      <w:r w:rsidRPr="0079350D">
        <w:rPr>
          <w:rFonts w:ascii="Arial" w:hAnsi="Arial" w:cs="Arial"/>
          <w:i/>
          <w:sz w:val="20"/>
          <w:szCs w:val="20"/>
        </w:rPr>
        <w:t>barriers common to both include:</w:t>
      </w:r>
    </w:p>
    <w:p w14:paraId="5E908C37" w14:textId="77777777" w:rsidR="00687920" w:rsidRPr="0079350D" w:rsidRDefault="00687920" w:rsidP="00687920">
      <w:pPr>
        <w:pStyle w:val="ListParagraph"/>
        <w:rPr>
          <w:rFonts w:ascii="Arial" w:hAnsi="Arial" w:cs="Arial"/>
          <w:i/>
          <w:sz w:val="20"/>
          <w:szCs w:val="20"/>
        </w:rPr>
      </w:pPr>
    </w:p>
    <w:p w14:paraId="59FA921B" w14:textId="4B1B7B10" w:rsidR="00687920" w:rsidRDefault="00687920" w:rsidP="0079350D">
      <w:pPr>
        <w:pStyle w:val="ListParagraph"/>
        <w:numPr>
          <w:ilvl w:val="0"/>
          <w:numId w:val="26"/>
        </w:numPr>
        <w:ind w:left="900" w:hanging="180"/>
        <w:rPr>
          <w:rFonts w:ascii="Arial" w:hAnsi="Arial" w:cs="Arial"/>
          <w:i/>
          <w:sz w:val="20"/>
          <w:szCs w:val="20"/>
        </w:rPr>
      </w:pPr>
      <w:r w:rsidRPr="0079350D">
        <w:rPr>
          <w:rFonts w:ascii="Arial" w:hAnsi="Arial" w:cs="Arial"/>
          <w:i/>
          <w:sz w:val="20"/>
          <w:szCs w:val="20"/>
        </w:rPr>
        <w:t>Those customers who do not have easy access to program</w:t>
      </w:r>
      <w:r w:rsidR="00F04C7C">
        <w:rPr>
          <w:rFonts w:ascii="Arial" w:hAnsi="Arial" w:cs="Arial"/>
          <w:i/>
          <w:sz w:val="20"/>
          <w:szCs w:val="20"/>
        </w:rPr>
        <w:t xml:space="preserve"> </w:t>
      </w:r>
      <w:r w:rsidR="00F04C7C" w:rsidRPr="00F04C7C">
        <w:rPr>
          <w:rFonts w:ascii="Arial" w:hAnsi="Arial" w:cs="Arial"/>
          <w:i/>
          <w:sz w:val="20"/>
          <w:szCs w:val="20"/>
        </w:rPr>
        <w:t xml:space="preserve">information or generally do not </w:t>
      </w:r>
      <w:r w:rsidRPr="0079350D">
        <w:rPr>
          <w:rFonts w:ascii="Arial" w:hAnsi="Arial" w:cs="Arial"/>
          <w:i/>
          <w:sz w:val="20"/>
          <w:szCs w:val="20"/>
        </w:rPr>
        <w:t>participate in energy efficiency</w:t>
      </w:r>
      <w:r w:rsidR="00F04C7C">
        <w:rPr>
          <w:rFonts w:ascii="Arial" w:hAnsi="Arial" w:cs="Arial"/>
          <w:i/>
          <w:sz w:val="20"/>
          <w:szCs w:val="20"/>
        </w:rPr>
        <w:t xml:space="preserve"> </w:t>
      </w:r>
      <w:r w:rsidRPr="0079350D">
        <w:rPr>
          <w:rFonts w:ascii="Arial" w:hAnsi="Arial" w:cs="Arial"/>
          <w:i/>
          <w:sz w:val="20"/>
          <w:szCs w:val="20"/>
        </w:rPr>
        <w:t>programs due to a combination of language, business size,</w:t>
      </w:r>
      <w:r w:rsidR="00F04C7C">
        <w:rPr>
          <w:rFonts w:ascii="Arial" w:hAnsi="Arial" w:cs="Arial"/>
          <w:i/>
          <w:sz w:val="20"/>
          <w:szCs w:val="20"/>
        </w:rPr>
        <w:t xml:space="preserve"> </w:t>
      </w:r>
      <w:r w:rsidRPr="0079350D">
        <w:rPr>
          <w:rFonts w:ascii="Arial" w:hAnsi="Arial" w:cs="Arial"/>
          <w:i/>
          <w:sz w:val="20"/>
          <w:szCs w:val="20"/>
        </w:rPr>
        <w:t>geographic, and lease (split incentive) barriers. These barriers to</w:t>
      </w:r>
      <w:r w:rsidR="00F04C7C" w:rsidRPr="0079350D">
        <w:rPr>
          <w:rFonts w:ascii="Arial" w:hAnsi="Arial" w:cs="Arial"/>
          <w:i/>
          <w:sz w:val="20"/>
          <w:szCs w:val="20"/>
        </w:rPr>
        <w:t xml:space="preserve"> </w:t>
      </w:r>
      <w:r w:rsidRPr="0079350D">
        <w:rPr>
          <w:rFonts w:ascii="Arial" w:hAnsi="Arial" w:cs="Arial"/>
          <w:i/>
          <w:sz w:val="20"/>
          <w:szCs w:val="20"/>
        </w:rPr>
        <w:t>consider include:</w:t>
      </w:r>
    </w:p>
    <w:p w14:paraId="784CF5D7" w14:textId="77777777" w:rsidR="00F04C7C" w:rsidRPr="0079350D" w:rsidRDefault="00F04C7C" w:rsidP="0079350D">
      <w:pPr>
        <w:pStyle w:val="ListParagraph"/>
        <w:ind w:left="900"/>
        <w:rPr>
          <w:rFonts w:ascii="Arial" w:hAnsi="Arial" w:cs="Arial"/>
          <w:i/>
          <w:sz w:val="20"/>
          <w:szCs w:val="20"/>
        </w:rPr>
      </w:pPr>
    </w:p>
    <w:p w14:paraId="0496BBED" w14:textId="5544C02F" w:rsidR="00687920" w:rsidRPr="0079350D" w:rsidRDefault="00687920" w:rsidP="0079350D">
      <w:pPr>
        <w:pStyle w:val="ListParagraph"/>
        <w:numPr>
          <w:ilvl w:val="0"/>
          <w:numId w:val="27"/>
        </w:numPr>
        <w:rPr>
          <w:rFonts w:ascii="Arial" w:hAnsi="Arial" w:cs="Arial"/>
          <w:i/>
          <w:sz w:val="20"/>
          <w:szCs w:val="20"/>
        </w:rPr>
      </w:pPr>
      <w:r w:rsidRPr="0079350D">
        <w:rPr>
          <w:rFonts w:ascii="Arial" w:hAnsi="Arial" w:cs="Arial"/>
          <w:i/>
          <w:sz w:val="20"/>
          <w:szCs w:val="20"/>
        </w:rPr>
        <w:t>Language – Primary language spoken is other than English,</w:t>
      </w:r>
      <w:r w:rsidR="00F04C7C">
        <w:rPr>
          <w:rFonts w:ascii="Arial" w:hAnsi="Arial" w:cs="Arial"/>
          <w:i/>
          <w:sz w:val="20"/>
          <w:szCs w:val="20"/>
        </w:rPr>
        <w:t xml:space="preserve"> </w:t>
      </w:r>
      <w:r w:rsidRPr="0079350D">
        <w:rPr>
          <w:rFonts w:ascii="Arial" w:hAnsi="Arial" w:cs="Arial"/>
          <w:i/>
          <w:sz w:val="20"/>
          <w:szCs w:val="20"/>
        </w:rPr>
        <w:t>and/or</w:t>
      </w:r>
    </w:p>
    <w:p w14:paraId="7C4058A3" w14:textId="42912C80" w:rsidR="00687920" w:rsidRPr="0079350D" w:rsidRDefault="00687920" w:rsidP="0079350D">
      <w:pPr>
        <w:pStyle w:val="ListParagraph"/>
        <w:numPr>
          <w:ilvl w:val="0"/>
          <w:numId w:val="27"/>
        </w:numPr>
        <w:rPr>
          <w:rFonts w:ascii="Arial" w:hAnsi="Arial" w:cs="Arial"/>
          <w:i/>
          <w:sz w:val="20"/>
          <w:szCs w:val="20"/>
        </w:rPr>
      </w:pPr>
      <w:r w:rsidRPr="0079350D">
        <w:rPr>
          <w:rFonts w:ascii="Arial" w:hAnsi="Arial" w:cs="Arial"/>
          <w:i/>
          <w:sz w:val="20"/>
          <w:szCs w:val="20"/>
        </w:rPr>
        <w:t>Geographic – Businesses or homes in areas other than the</w:t>
      </w:r>
      <w:r w:rsidR="00F04C7C">
        <w:rPr>
          <w:rFonts w:ascii="Arial" w:hAnsi="Arial" w:cs="Arial"/>
          <w:i/>
          <w:sz w:val="20"/>
          <w:szCs w:val="20"/>
        </w:rPr>
        <w:t xml:space="preserve"> </w:t>
      </w:r>
      <w:r w:rsidRPr="0079350D">
        <w:rPr>
          <w:rFonts w:ascii="Arial" w:hAnsi="Arial" w:cs="Arial"/>
          <w:i/>
          <w:sz w:val="20"/>
          <w:szCs w:val="20"/>
        </w:rPr>
        <w:t>United States Office of Management and Budget Combined</w:t>
      </w:r>
      <w:r w:rsidR="00F04C7C">
        <w:rPr>
          <w:rFonts w:ascii="Arial" w:hAnsi="Arial" w:cs="Arial"/>
          <w:i/>
          <w:sz w:val="20"/>
          <w:szCs w:val="20"/>
        </w:rPr>
        <w:t xml:space="preserve"> </w:t>
      </w:r>
      <w:r w:rsidRPr="0079350D">
        <w:rPr>
          <w:rFonts w:ascii="Arial" w:hAnsi="Arial" w:cs="Arial"/>
          <w:i/>
          <w:sz w:val="20"/>
          <w:szCs w:val="20"/>
        </w:rPr>
        <w:t>Statistical Areas of the San Francisco Bay Area, the Greater</w:t>
      </w:r>
      <w:r w:rsidR="00F04C7C">
        <w:rPr>
          <w:rFonts w:ascii="Arial" w:hAnsi="Arial" w:cs="Arial"/>
          <w:i/>
          <w:sz w:val="20"/>
          <w:szCs w:val="20"/>
        </w:rPr>
        <w:t xml:space="preserve"> </w:t>
      </w:r>
      <w:r w:rsidRPr="0079350D">
        <w:rPr>
          <w:rFonts w:ascii="Arial" w:hAnsi="Arial" w:cs="Arial"/>
          <w:i/>
          <w:sz w:val="20"/>
          <w:szCs w:val="20"/>
        </w:rPr>
        <w:t>Los Angeles Area and the Greater Sacramento Area or the</w:t>
      </w:r>
      <w:r w:rsidR="00F04C7C">
        <w:rPr>
          <w:rFonts w:ascii="Arial" w:hAnsi="Arial" w:cs="Arial"/>
          <w:i/>
          <w:sz w:val="20"/>
          <w:szCs w:val="20"/>
        </w:rPr>
        <w:t xml:space="preserve"> </w:t>
      </w:r>
      <w:r w:rsidR="00F04C7C" w:rsidRPr="00F04C7C">
        <w:rPr>
          <w:rFonts w:ascii="Arial" w:hAnsi="Arial" w:cs="Arial"/>
          <w:i/>
          <w:sz w:val="20"/>
          <w:szCs w:val="20"/>
        </w:rPr>
        <w:t xml:space="preserve">Office of </w:t>
      </w:r>
      <w:r w:rsidRPr="0079350D">
        <w:rPr>
          <w:rFonts w:ascii="Arial" w:hAnsi="Arial" w:cs="Arial"/>
          <w:i/>
          <w:sz w:val="20"/>
          <w:szCs w:val="20"/>
        </w:rPr>
        <w:t>Management and Budget metropolitan statistical</w:t>
      </w:r>
      <w:r w:rsidR="00F04C7C">
        <w:rPr>
          <w:rFonts w:ascii="Arial" w:hAnsi="Arial" w:cs="Arial"/>
          <w:i/>
          <w:sz w:val="20"/>
          <w:szCs w:val="20"/>
        </w:rPr>
        <w:t xml:space="preserve"> </w:t>
      </w:r>
      <w:r w:rsidRPr="0079350D">
        <w:rPr>
          <w:rFonts w:ascii="Arial" w:hAnsi="Arial" w:cs="Arial"/>
          <w:i/>
          <w:sz w:val="20"/>
          <w:szCs w:val="20"/>
        </w:rPr>
        <w:t>areas of San Diego County.</w:t>
      </w:r>
    </w:p>
    <w:p w14:paraId="4B9561D2" w14:textId="77777777" w:rsidR="00687920" w:rsidRPr="0079350D" w:rsidRDefault="00687920" w:rsidP="00687920">
      <w:pPr>
        <w:pStyle w:val="ListParagraph"/>
        <w:rPr>
          <w:rFonts w:ascii="Arial" w:hAnsi="Arial" w:cs="Arial"/>
          <w:i/>
          <w:sz w:val="20"/>
          <w:szCs w:val="20"/>
        </w:rPr>
      </w:pPr>
    </w:p>
    <w:p w14:paraId="3CD691D3" w14:textId="6A9B19B2" w:rsidR="00687920" w:rsidRPr="0079350D" w:rsidRDefault="00687920" w:rsidP="0079350D">
      <w:pPr>
        <w:pStyle w:val="ListParagraph"/>
        <w:numPr>
          <w:ilvl w:val="0"/>
          <w:numId w:val="26"/>
        </w:numPr>
        <w:ind w:left="990" w:hanging="270"/>
        <w:rPr>
          <w:rFonts w:ascii="Arial" w:hAnsi="Arial" w:cs="Arial"/>
          <w:i/>
          <w:sz w:val="20"/>
          <w:szCs w:val="20"/>
        </w:rPr>
      </w:pPr>
      <w:r w:rsidRPr="0079350D">
        <w:rPr>
          <w:rFonts w:ascii="Arial" w:hAnsi="Arial" w:cs="Arial"/>
          <w:i/>
          <w:sz w:val="20"/>
          <w:szCs w:val="20"/>
        </w:rPr>
        <w:t>For residential added criteria to the above to consider:</w:t>
      </w:r>
    </w:p>
    <w:p w14:paraId="211E168C" w14:textId="796A5AFF" w:rsidR="00687920" w:rsidRPr="0079350D" w:rsidRDefault="00687920" w:rsidP="0079350D">
      <w:pPr>
        <w:pStyle w:val="ListParagraph"/>
        <w:numPr>
          <w:ilvl w:val="0"/>
          <w:numId w:val="28"/>
        </w:numPr>
        <w:ind w:left="1440"/>
        <w:rPr>
          <w:rFonts w:ascii="Arial" w:hAnsi="Arial" w:cs="Arial"/>
          <w:i/>
          <w:sz w:val="20"/>
          <w:szCs w:val="20"/>
        </w:rPr>
      </w:pPr>
      <w:r w:rsidRPr="0079350D">
        <w:rPr>
          <w:rFonts w:ascii="Arial" w:hAnsi="Arial" w:cs="Arial"/>
          <w:i/>
          <w:sz w:val="20"/>
          <w:szCs w:val="20"/>
        </w:rPr>
        <w:t>Income – Those customers who qualify for the California</w:t>
      </w:r>
      <w:r w:rsidR="00F04C7C">
        <w:rPr>
          <w:rFonts w:ascii="Arial" w:hAnsi="Arial" w:cs="Arial"/>
          <w:i/>
          <w:sz w:val="20"/>
          <w:szCs w:val="20"/>
        </w:rPr>
        <w:t xml:space="preserve"> </w:t>
      </w:r>
      <w:r w:rsidRPr="0079350D">
        <w:rPr>
          <w:rFonts w:ascii="Arial" w:hAnsi="Arial" w:cs="Arial"/>
          <w:i/>
          <w:sz w:val="20"/>
          <w:szCs w:val="20"/>
        </w:rPr>
        <w:t>Alternative Rates for Energy (CARE) or the Family Electric</w:t>
      </w:r>
      <w:r w:rsidR="00F04C7C">
        <w:rPr>
          <w:rFonts w:ascii="Arial" w:hAnsi="Arial" w:cs="Arial"/>
          <w:i/>
          <w:sz w:val="20"/>
          <w:szCs w:val="20"/>
        </w:rPr>
        <w:t xml:space="preserve"> </w:t>
      </w:r>
      <w:r w:rsidRPr="0079350D">
        <w:rPr>
          <w:rFonts w:ascii="Arial" w:hAnsi="Arial" w:cs="Arial"/>
          <w:i/>
          <w:sz w:val="20"/>
          <w:szCs w:val="20"/>
        </w:rPr>
        <w:t>Rate Assistance Program (FERA), and/or</w:t>
      </w:r>
    </w:p>
    <w:p w14:paraId="13904DF2" w14:textId="7A1452B7" w:rsidR="00687920" w:rsidRPr="0079350D" w:rsidRDefault="00687920" w:rsidP="0079350D">
      <w:pPr>
        <w:pStyle w:val="ListParagraph"/>
        <w:numPr>
          <w:ilvl w:val="0"/>
          <w:numId w:val="28"/>
        </w:numPr>
        <w:ind w:left="1440"/>
        <w:rPr>
          <w:rFonts w:ascii="Arial" w:hAnsi="Arial" w:cs="Arial"/>
          <w:i/>
          <w:sz w:val="20"/>
          <w:szCs w:val="20"/>
        </w:rPr>
      </w:pPr>
      <w:r w:rsidRPr="0079350D">
        <w:rPr>
          <w:rFonts w:ascii="Arial" w:hAnsi="Arial" w:cs="Arial"/>
          <w:i/>
          <w:sz w:val="20"/>
          <w:szCs w:val="20"/>
        </w:rPr>
        <w:t>Housing Type – Multi-family and Mobile Home Tenants (rent</w:t>
      </w:r>
      <w:r w:rsidR="00F04C7C">
        <w:rPr>
          <w:rFonts w:ascii="Arial" w:hAnsi="Arial" w:cs="Arial"/>
          <w:i/>
          <w:sz w:val="20"/>
          <w:szCs w:val="20"/>
        </w:rPr>
        <w:t xml:space="preserve"> </w:t>
      </w:r>
      <w:r w:rsidRPr="0079350D">
        <w:rPr>
          <w:rFonts w:ascii="Arial" w:hAnsi="Arial" w:cs="Arial"/>
          <w:i/>
          <w:sz w:val="20"/>
          <w:szCs w:val="20"/>
        </w:rPr>
        <w:t>and lease).</w:t>
      </w:r>
    </w:p>
    <w:p w14:paraId="245E4E97" w14:textId="77777777" w:rsidR="00687920" w:rsidRPr="0079350D" w:rsidRDefault="00687920" w:rsidP="0079350D">
      <w:pPr>
        <w:pStyle w:val="ListParagraph"/>
        <w:rPr>
          <w:rFonts w:ascii="Arial" w:hAnsi="Arial" w:cs="Arial"/>
          <w:sz w:val="20"/>
          <w:szCs w:val="20"/>
        </w:rPr>
      </w:pPr>
    </w:p>
    <w:p w14:paraId="0A87750D" w14:textId="22E8B5CE" w:rsidR="004E6F9D" w:rsidRPr="0079350D" w:rsidRDefault="004E6F9D" w:rsidP="00A34FFD">
      <w:pPr>
        <w:pStyle w:val="ListParagraph"/>
        <w:numPr>
          <w:ilvl w:val="0"/>
          <w:numId w:val="25"/>
        </w:numPr>
        <w:spacing w:line="264" w:lineRule="auto"/>
        <w:rPr>
          <w:rFonts w:ascii="Arial" w:hAnsi="Arial" w:cs="Arial"/>
          <w:sz w:val="20"/>
          <w:szCs w:val="20"/>
        </w:rPr>
      </w:pPr>
      <w:r w:rsidRPr="0079350D">
        <w:rPr>
          <w:rFonts w:ascii="Arial" w:hAnsi="Arial" w:cs="Arial"/>
          <w:sz w:val="20"/>
          <w:szCs w:val="20"/>
        </w:rPr>
        <w:t xml:space="preserve">Document inventory of removed equipment by one of the following options: </w:t>
      </w:r>
    </w:p>
    <w:p w14:paraId="4E595C2D" w14:textId="3581D3C0" w:rsidR="004E6F9D" w:rsidRDefault="004E6F9D" w:rsidP="00A34FFD">
      <w:pPr>
        <w:pStyle w:val="ListParagraph"/>
        <w:numPr>
          <w:ilvl w:val="1"/>
          <w:numId w:val="25"/>
        </w:numPr>
        <w:spacing w:line="264" w:lineRule="auto"/>
        <w:rPr>
          <w:rFonts w:ascii="Arial" w:hAnsi="Arial" w:cs="Arial"/>
          <w:sz w:val="20"/>
          <w:szCs w:val="20"/>
        </w:rPr>
      </w:pPr>
      <w:r w:rsidRPr="0079350D">
        <w:rPr>
          <w:rFonts w:ascii="Arial" w:hAnsi="Arial" w:cs="Arial"/>
          <w:sz w:val="20"/>
          <w:szCs w:val="20"/>
        </w:rPr>
        <w:t>Record of wattage and type (CFL or Incandescent) of replaced equipment.</w:t>
      </w:r>
    </w:p>
    <w:p w14:paraId="5C9E2FC5" w14:textId="6F3A1648" w:rsidR="0026029C" w:rsidRPr="00E91C8A" w:rsidRDefault="0026029C" w:rsidP="0026029C">
      <w:pPr>
        <w:pStyle w:val="ListParagraph"/>
        <w:numPr>
          <w:ilvl w:val="2"/>
          <w:numId w:val="25"/>
        </w:numPr>
        <w:rPr>
          <w:rFonts w:ascii="Arial" w:hAnsi="Arial" w:cs="Arial"/>
          <w:sz w:val="20"/>
          <w:szCs w:val="20"/>
        </w:rPr>
      </w:pPr>
      <w:r w:rsidRPr="00E91C8A">
        <w:rPr>
          <w:rFonts w:ascii="Arial" w:hAnsi="Arial" w:cs="Arial"/>
          <w:sz w:val="20"/>
          <w:szCs w:val="20"/>
        </w:rPr>
        <w:t xml:space="preserve">In instances where exact lamp type is not available, replacement lamps from adjacent measure wattage are permissible within the same technology type. For example, a 50W incandescent can be replaced by a 5.5W or 9W LED measure.  </w:t>
      </w:r>
    </w:p>
    <w:p w14:paraId="50A53C19" w14:textId="37843347" w:rsidR="0026029C" w:rsidRPr="00E91C8A" w:rsidRDefault="0026029C" w:rsidP="00E91C8A">
      <w:pPr>
        <w:pStyle w:val="ListParagraph"/>
        <w:numPr>
          <w:ilvl w:val="2"/>
          <w:numId w:val="25"/>
        </w:numPr>
        <w:rPr>
          <w:rFonts w:ascii="Arial" w:hAnsi="Arial" w:cs="Arial"/>
          <w:sz w:val="20"/>
          <w:szCs w:val="20"/>
        </w:rPr>
      </w:pPr>
      <w:r w:rsidRPr="00E91C8A">
        <w:rPr>
          <w:rFonts w:ascii="Arial" w:hAnsi="Arial" w:cs="Arial"/>
          <w:sz w:val="20"/>
          <w:szCs w:val="20"/>
        </w:rPr>
        <w:t>It is not permissible to use a measure code for a different technology type. A 23 W CFL cannot be replaced by a 11 WATTS REPLACING 75W R-BR</w:t>
      </w:r>
      <w:r w:rsidR="00BD1698" w:rsidRPr="00E91C8A">
        <w:rPr>
          <w:rFonts w:ascii="Arial" w:hAnsi="Arial" w:cs="Arial"/>
          <w:sz w:val="20"/>
          <w:szCs w:val="20"/>
        </w:rPr>
        <w:t xml:space="preserve"> measure</w:t>
      </w:r>
      <w:r w:rsidRPr="00E91C8A">
        <w:rPr>
          <w:rFonts w:ascii="Arial" w:hAnsi="Arial" w:cs="Arial"/>
          <w:sz w:val="20"/>
          <w:szCs w:val="20"/>
        </w:rPr>
        <w:t>.</w:t>
      </w:r>
      <w:bookmarkStart w:id="17" w:name="_GoBack"/>
      <w:bookmarkEnd w:id="17"/>
    </w:p>
    <w:p w14:paraId="0BC61069" w14:textId="24CB7A68" w:rsidR="004E6F9D" w:rsidRPr="0079350D" w:rsidRDefault="00FA4BFE" w:rsidP="00A34FFD">
      <w:pPr>
        <w:pStyle w:val="ListParagraph"/>
        <w:numPr>
          <w:ilvl w:val="1"/>
          <w:numId w:val="25"/>
        </w:numPr>
        <w:spacing w:line="264" w:lineRule="auto"/>
        <w:rPr>
          <w:rFonts w:ascii="Arial" w:hAnsi="Arial" w:cs="Arial"/>
          <w:sz w:val="20"/>
          <w:szCs w:val="20"/>
        </w:rPr>
      </w:pPr>
      <w:r w:rsidRPr="00FA4BFE">
        <w:rPr>
          <w:rFonts w:ascii="Arial" w:hAnsi="Arial" w:cs="Arial"/>
          <w:sz w:val="20"/>
          <w:szCs w:val="20"/>
        </w:rPr>
        <w:t xml:space="preserve">Pictures of replaced equipment - end of day pile per household. </w:t>
      </w:r>
      <w:r w:rsidR="004E6F9D" w:rsidRPr="0079350D">
        <w:rPr>
          <w:rFonts w:ascii="Arial" w:hAnsi="Arial" w:cs="Arial"/>
          <w:sz w:val="20"/>
          <w:szCs w:val="20"/>
        </w:rPr>
        <w:t xml:space="preserve"> </w:t>
      </w:r>
    </w:p>
    <w:p w14:paraId="64988638" w14:textId="77AF71B1" w:rsidR="004E6F9D" w:rsidRDefault="004E6F9D" w:rsidP="00A34FFD">
      <w:pPr>
        <w:pStyle w:val="ListParagraph"/>
        <w:numPr>
          <w:ilvl w:val="1"/>
          <w:numId w:val="25"/>
        </w:numPr>
        <w:spacing w:line="264" w:lineRule="auto"/>
        <w:rPr>
          <w:rFonts w:ascii="Arial" w:hAnsi="Arial" w:cs="Arial"/>
          <w:sz w:val="20"/>
          <w:szCs w:val="20"/>
        </w:rPr>
      </w:pPr>
      <w:r w:rsidRPr="0079350D">
        <w:rPr>
          <w:rFonts w:ascii="Arial" w:hAnsi="Arial" w:cs="Arial"/>
          <w:sz w:val="20"/>
          <w:szCs w:val="20"/>
        </w:rPr>
        <w:t xml:space="preserve">Recycling receipts </w:t>
      </w:r>
      <w:r w:rsidR="00FA4BFE">
        <w:rPr>
          <w:rFonts w:ascii="Arial" w:hAnsi="Arial" w:cs="Arial"/>
          <w:sz w:val="20"/>
          <w:szCs w:val="20"/>
        </w:rPr>
        <w:t xml:space="preserve">which bulb </w:t>
      </w:r>
      <w:r w:rsidR="00A34FFD">
        <w:rPr>
          <w:rFonts w:ascii="Arial" w:hAnsi="Arial" w:cs="Arial"/>
          <w:sz w:val="20"/>
          <w:szCs w:val="20"/>
        </w:rPr>
        <w:t>quantit</w:t>
      </w:r>
      <w:r w:rsidR="00FA4BFE">
        <w:rPr>
          <w:rFonts w:ascii="Arial" w:hAnsi="Arial" w:cs="Arial"/>
          <w:sz w:val="20"/>
          <w:szCs w:val="20"/>
        </w:rPr>
        <w:t>ies</w:t>
      </w:r>
      <w:r w:rsidRPr="0079350D">
        <w:rPr>
          <w:rFonts w:ascii="Arial" w:hAnsi="Arial" w:cs="Arial"/>
          <w:sz w:val="20"/>
          <w:szCs w:val="20"/>
        </w:rPr>
        <w:t xml:space="preserve"> </w:t>
      </w:r>
      <w:r w:rsidR="00FA4BFE">
        <w:rPr>
          <w:rFonts w:ascii="Arial" w:hAnsi="Arial" w:cs="Arial"/>
          <w:sz w:val="20"/>
          <w:szCs w:val="20"/>
        </w:rPr>
        <w:t>are</w:t>
      </w:r>
      <w:r w:rsidRPr="0079350D">
        <w:rPr>
          <w:rFonts w:ascii="Arial" w:hAnsi="Arial" w:cs="Arial"/>
          <w:sz w:val="20"/>
          <w:szCs w:val="20"/>
        </w:rPr>
        <w:t xml:space="preserve"> included. </w:t>
      </w:r>
    </w:p>
    <w:p w14:paraId="541DE546" w14:textId="77777777" w:rsidR="00A34FFD" w:rsidRPr="0079350D" w:rsidRDefault="00A34FFD" w:rsidP="00A34FFD">
      <w:pPr>
        <w:pStyle w:val="ListParagraph"/>
        <w:ind w:left="1440"/>
        <w:rPr>
          <w:rFonts w:ascii="Arial" w:hAnsi="Arial" w:cs="Arial"/>
          <w:sz w:val="20"/>
          <w:szCs w:val="20"/>
        </w:rPr>
      </w:pPr>
    </w:p>
    <w:p w14:paraId="58BA73E3" w14:textId="296B0461" w:rsidR="00BD1698" w:rsidRPr="00BD1698" w:rsidRDefault="004E6F9D" w:rsidP="00BD1698">
      <w:pPr>
        <w:pStyle w:val="ListParagraph"/>
        <w:numPr>
          <w:ilvl w:val="0"/>
          <w:numId w:val="25"/>
        </w:numPr>
        <w:rPr>
          <w:rFonts w:ascii="Arial" w:hAnsi="Arial" w:cs="Arial"/>
          <w:sz w:val="20"/>
          <w:szCs w:val="20"/>
        </w:rPr>
      </w:pPr>
      <w:r w:rsidRPr="0079350D">
        <w:rPr>
          <w:rFonts w:ascii="Arial" w:hAnsi="Arial" w:cs="Arial"/>
          <w:sz w:val="20"/>
          <w:szCs w:val="20"/>
        </w:rPr>
        <w:t>Provi</w:t>
      </w:r>
      <w:r w:rsidR="002343D0" w:rsidRPr="0079350D">
        <w:rPr>
          <w:rFonts w:ascii="Arial" w:hAnsi="Arial" w:cs="Arial"/>
          <w:sz w:val="20"/>
          <w:szCs w:val="20"/>
        </w:rPr>
        <w:t>de field team training</w:t>
      </w:r>
      <w:r w:rsidRPr="0079350D">
        <w:rPr>
          <w:rFonts w:ascii="Arial" w:hAnsi="Arial" w:cs="Arial"/>
          <w:sz w:val="20"/>
          <w:szCs w:val="20"/>
        </w:rPr>
        <w:t xml:space="preserve"> </w:t>
      </w:r>
      <w:r w:rsidR="002343D0" w:rsidRPr="0079350D">
        <w:rPr>
          <w:rFonts w:ascii="Arial" w:hAnsi="Arial" w:cs="Arial"/>
          <w:sz w:val="20"/>
          <w:szCs w:val="20"/>
        </w:rPr>
        <w:t xml:space="preserve">documentation </w:t>
      </w:r>
      <w:r w:rsidRPr="0079350D">
        <w:rPr>
          <w:rFonts w:ascii="Arial" w:hAnsi="Arial" w:cs="Arial"/>
          <w:sz w:val="20"/>
          <w:szCs w:val="20"/>
        </w:rPr>
        <w:t>that only existing functioning incandescent or CFL lamps</w:t>
      </w:r>
      <w:r w:rsidR="002343D0" w:rsidRPr="0079350D">
        <w:rPr>
          <w:rFonts w:ascii="Arial" w:hAnsi="Arial" w:cs="Arial"/>
          <w:sz w:val="20"/>
          <w:szCs w:val="20"/>
        </w:rPr>
        <w:t>, within reach of safe installation</w:t>
      </w:r>
      <w:r w:rsidRPr="0079350D">
        <w:rPr>
          <w:rFonts w:ascii="Arial" w:hAnsi="Arial" w:cs="Arial"/>
          <w:sz w:val="20"/>
          <w:szCs w:val="20"/>
        </w:rPr>
        <w:t xml:space="preserve"> are </w:t>
      </w:r>
      <w:r w:rsidR="002343D0" w:rsidRPr="0079350D">
        <w:rPr>
          <w:rFonts w:ascii="Arial" w:hAnsi="Arial" w:cs="Arial"/>
          <w:sz w:val="20"/>
          <w:szCs w:val="20"/>
        </w:rPr>
        <w:t xml:space="preserve">to be </w:t>
      </w:r>
      <w:r w:rsidRPr="0079350D">
        <w:rPr>
          <w:rFonts w:ascii="Arial" w:hAnsi="Arial" w:cs="Arial"/>
          <w:sz w:val="20"/>
          <w:szCs w:val="20"/>
        </w:rPr>
        <w:t>replaced</w:t>
      </w:r>
      <w:r w:rsidR="002343D0" w:rsidRPr="0079350D">
        <w:rPr>
          <w:rFonts w:ascii="Arial" w:hAnsi="Arial" w:cs="Arial"/>
          <w:sz w:val="20"/>
          <w:szCs w:val="20"/>
        </w:rPr>
        <w:t xml:space="preserve"> with corresponding </w:t>
      </w:r>
      <w:r w:rsidR="00BD1698" w:rsidRPr="00BD1698">
        <w:rPr>
          <w:rFonts w:ascii="Arial" w:hAnsi="Arial" w:cs="Arial"/>
          <w:sz w:val="20"/>
          <w:szCs w:val="20"/>
        </w:rPr>
        <w:t xml:space="preserve">allowed LED lamps per Option 1, 2a. </w:t>
      </w:r>
    </w:p>
    <w:p w14:paraId="65D8F0DF" w14:textId="613921E6" w:rsidR="004E6F9D" w:rsidRPr="0079350D" w:rsidRDefault="004E6F9D" w:rsidP="00E91C8A">
      <w:pPr>
        <w:pStyle w:val="ListParagraph"/>
        <w:spacing w:before="120" w:line="264" w:lineRule="auto"/>
        <w:rPr>
          <w:rFonts w:ascii="Arial" w:hAnsi="Arial" w:cs="Arial"/>
          <w:sz w:val="20"/>
          <w:szCs w:val="20"/>
        </w:rPr>
      </w:pPr>
    </w:p>
    <w:p w14:paraId="08E868EB" w14:textId="2DFD14C9" w:rsidR="002343D0" w:rsidRPr="00483840" w:rsidRDefault="00483840" w:rsidP="00FA4BFE">
      <w:pPr>
        <w:pStyle w:val="Heading4"/>
        <w:spacing w:before="120"/>
        <w:rPr>
          <w:rFonts w:ascii="Arial" w:hAnsi="Arial" w:cs="Arial"/>
          <w:sz w:val="20"/>
          <w:szCs w:val="20"/>
          <w:u w:val="single"/>
        </w:rPr>
      </w:pPr>
      <w:r w:rsidRPr="00483840">
        <w:rPr>
          <w:rFonts w:ascii="Arial" w:hAnsi="Arial" w:cs="Arial"/>
          <w:sz w:val="20"/>
          <w:szCs w:val="20"/>
          <w:u w:val="single"/>
        </w:rPr>
        <w:t>Option 2</w:t>
      </w:r>
    </w:p>
    <w:p w14:paraId="0E1027F2" w14:textId="01C85F58" w:rsidR="009E2CC6" w:rsidRDefault="00FA4BFE" w:rsidP="00FC0349">
      <w:pPr>
        <w:pStyle w:val="Heading4"/>
        <w:spacing w:before="120"/>
        <w:rPr>
          <w:rFonts w:ascii="Arial" w:eastAsia="Times New Roman" w:hAnsi="Arial" w:cs="Arial"/>
          <w:b w:val="0"/>
          <w:bCs w:val="0"/>
          <w:i w:val="0"/>
          <w:iCs w:val="0"/>
          <w:sz w:val="20"/>
          <w:szCs w:val="20"/>
        </w:rPr>
      </w:pPr>
      <w:r w:rsidRPr="00FA4BFE">
        <w:rPr>
          <w:rFonts w:ascii="Arial" w:eastAsia="Times New Roman" w:hAnsi="Arial" w:cs="Arial"/>
          <w:b w:val="0"/>
          <w:bCs w:val="0"/>
          <w:i w:val="0"/>
          <w:iCs w:val="0"/>
          <w:sz w:val="20"/>
          <w:szCs w:val="20"/>
        </w:rPr>
        <w:t>If programs fail to provide any of the above evidence for ER, then ROB measures must be used following all applicable Program Restrictions and Guidelines for ROB Measures.</w:t>
      </w:r>
    </w:p>
    <w:p w14:paraId="6C71A297" w14:textId="77777777" w:rsidR="00FA4BFE" w:rsidRPr="00FA4BFE" w:rsidRDefault="00FA4BFE" w:rsidP="00FA4BFE"/>
    <w:p w14:paraId="1B3668CD" w14:textId="77777777" w:rsidR="00521920" w:rsidRPr="00806070" w:rsidRDefault="00806070" w:rsidP="0029207C">
      <w:pPr>
        <w:spacing w:before="120"/>
        <w:rPr>
          <w:rFonts w:ascii="Arial" w:hAnsi="Arial" w:cs="Arial"/>
          <w:b/>
          <w:i/>
          <w:sz w:val="28"/>
          <w:szCs w:val="28"/>
        </w:rPr>
      </w:pPr>
      <w:r>
        <w:rPr>
          <w:rFonts w:ascii="Arial" w:hAnsi="Arial" w:cs="Arial"/>
          <w:b/>
          <w:i/>
          <w:sz w:val="28"/>
          <w:szCs w:val="28"/>
        </w:rPr>
        <w:t xml:space="preserve">1.2 Product </w:t>
      </w:r>
      <w:r w:rsidR="00521920" w:rsidRPr="00806070">
        <w:rPr>
          <w:rFonts w:ascii="Arial" w:hAnsi="Arial" w:cs="Arial"/>
          <w:b/>
          <w:i/>
          <w:sz w:val="28"/>
          <w:szCs w:val="28"/>
        </w:rPr>
        <w:t>Technical Description</w:t>
      </w:r>
    </w:p>
    <w:p w14:paraId="1B3668CE" w14:textId="77777777" w:rsidR="00B40B13" w:rsidRDefault="00917583" w:rsidP="00A34FFD">
      <w:pPr>
        <w:autoSpaceDE w:val="0"/>
        <w:autoSpaceDN w:val="0"/>
        <w:adjustRightInd w:val="0"/>
        <w:spacing w:before="80"/>
        <w:rPr>
          <w:rFonts w:ascii="Arial" w:hAnsi="Arial" w:cs="Arial"/>
          <w:sz w:val="20"/>
        </w:rPr>
      </w:pPr>
      <w:r w:rsidRPr="0008537D">
        <w:rPr>
          <w:rFonts w:ascii="Arial" w:hAnsi="Arial" w:cs="Arial"/>
          <w:sz w:val="20"/>
        </w:rPr>
        <w:t>Light emitting diode (LED) sources have improved over the past decade making them an efficient and reliable lighting technology.</w:t>
      </w:r>
      <w:r w:rsidR="00476B67" w:rsidRPr="0008537D">
        <w:rPr>
          <w:rFonts w:ascii="Arial" w:hAnsi="Arial" w:cs="Arial"/>
          <w:sz w:val="20"/>
        </w:rPr>
        <w:t xml:space="preserve"> </w:t>
      </w:r>
      <w:r w:rsidRPr="0008537D">
        <w:rPr>
          <w:rFonts w:ascii="Arial" w:hAnsi="Arial" w:cs="Arial"/>
          <w:sz w:val="20"/>
        </w:rPr>
        <w:t>Many LED products successfully replaced other lighting sources and made their way into the market by continuing to improve to be able to compete in any application.</w:t>
      </w:r>
      <w:r w:rsidR="00B40B13">
        <w:rPr>
          <w:rFonts w:ascii="Arial" w:hAnsi="Arial" w:cs="Arial"/>
          <w:sz w:val="20"/>
        </w:rPr>
        <w:t xml:space="preserve"> </w:t>
      </w:r>
    </w:p>
    <w:p w14:paraId="1B3668CF" w14:textId="77777777" w:rsidR="00B40B13" w:rsidRDefault="00B40B13" w:rsidP="00917583">
      <w:pPr>
        <w:autoSpaceDE w:val="0"/>
        <w:autoSpaceDN w:val="0"/>
        <w:adjustRightInd w:val="0"/>
        <w:rPr>
          <w:rFonts w:ascii="Arial" w:hAnsi="Arial" w:cs="Arial"/>
          <w:sz w:val="20"/>
        </w:rPr>
      </w:pPr>
    </w:p>
    <w:p w14:paraId="1B3668D0" w14:textId="77777777" w:rsidR="00EE3912" w:rsidRDefault="00EE3912" w:rsidP="00917583">
      <w:pPr>
        <w:autoSpaceDE w:val="0"/>
        <w:autoSpaceDN w:val="0"/>
        <w:adjustRightInd w:val="0"/>
        <w:rPr>
          <w:rFonts w:ascii="Arial" w:hAnsi="Arial" w:cs="Arial"/>
          <w:sz w:val="20"/>
        </w:rPr>
      </w:pPr>
      <w:r>
        <w:rPr>
          <w:rFonts w:ascii="Arial" w:hAnsi="Arial" w:cs="Arial"/>
          <w:sz w:val="20"/>
        </w:rPr>
        <w:t>The R symbol (short for Reflector) is to indicate that a bulb includes a parabolic or elliptical section below the major diameter design</w:t>
      </w:r>
      <w:r w:rsidR="0029371D">
        <w:rPr>
          <w:rFonts w:ascii="Arial" w:hAnsi="Arial" w:cs="Arial"/>
          <w:sz w:val="20"/>
        </w:rPr>
        <w:t>ed</w:t>
      </w:r>
      <w:r>
        <w:rPr>
          <w:rFonts w:ascii="Arial" w:hAnsi="Arial" w:cs="Arial"/>
          <w:sz w:val="20"/>
        </w:rPr>
        <w:t xml:space="preserve"> to </w:t>
      </w:r>
      <w:r w:rsidR="0029371D">
        <w:rPr>
          <w:rFonts w:ascii="Arial" w:hAnsi="Arial" w:cs="Arial"/>
          <w:sz w:val="20"/>
        </w:rPr>
        <w:t>have</w:t>
      </w:r>
      <w:r>
        <w:rPr>
          <w:rFonts w:ascii="Arial" w:hAnsi="Arial" w:cs="Arial"/>
          <w:sz w:val="20"/>
        </w:rPr>
        <w:t xml:space="preserve"> a reflector coating to direct the light beam. </w:t>
      </w:r>
      <w:r w:rsidR="0029371D">
        <w:rPr>
          <w:rFonts w:ascii="Arial" w:hAnsi="Arial" w:cs="Arial"/>
          <w:sz w:val="20"/>
        </w:rPr>
        <w:t>The B symbol on the BR (Bulged Reflector) lamp is to indicate a bulb in which the curve making up the major portion of the side of the bulb has a radius greater than one-half the bulb diameter and a center in the plane of maximum diameter. The first number symbol indicates the diameter of the bulb in eights of an inch. For example, a BR30 lamp has a nominal diameter of 30 eights of an inch, or 3.75 inches</w:t>
      </w:r>
      <w:bookmarkStart w:id="18" w:name="_Ref349290944"/>
      <w:r w:rsidR="0029371D">
        <w:rPr>
          <w:rStyle w:val="EndnoteReference"/>
          <w:rFonts w:ascii="Arial" w:hAnsi="Arial" w:cs="Arial"/>
          <w:sz w:val="20"/>
        </w:rPr>
        <w:endnoteReference w:id="4"/>
      </w:r>
      <w:bookmarkEnd w:id="18"/>
      <w:r w:rsidR="0029371D">
        <w:rPr>
          <w:rFonts w:ascii="Arial" w:hAnsi="Arial" w:cs="Arial"/>
          <w:sz w:val="20"/>
        </w:rPr>
        <w:t xml:space="preserve">. </w:t>
      </w:r>
    </w:p>
    <w:p w14:paraId="1B3668D1" w14:textId="77777777" w:rsidR="00EE3912" w:rsidRDefault="00EE3912" w:rsidP="00917583">
      <w:pPr>
        <w:autoSpaceDE w:val="0"/>
        <w:autoSpaceDN w:val="0"/>
        <w:adjustRightInd w:val="0"/>
        <w:rPr>
          <w:rFonts w:ascii="Arial" w:hAnsi="Arial" w:cs="Arial"/>
          <w:sz w:val="20"/>
        </w:rPr>
      </w:pPr>
    </w:p>
    <w:p w14:paraId="1B3668D2" w14:textId="65C1AD7F" w:rsidR="00B40B13" w:rsidRDefault="0029371D" w:rsidP="00917583">
      <w:pPr>
        <w:autoSpaceDE w:val="0"/>
        <w:autoSpaceDN w:val="0"/>
        <w:adjustRightInd w:val="0"/>
        <w:rPr>
          <w:rFonts w:ascii="Arial" w:hAnsi="Arial" w:cs="Arial"/>
          <w:sz w:val="20"/>
        </w:rPr>
      </w:pPr>
      <w:r>
        <w:rPr>
          <w:rFonts w:ascii="Arial" w:hAnsi="Arial" w:cs="Arial"/>
          <w:sz w:val="20"/>
        </w:rPr>
        <w:t>R/BR</w:t>
      </w:r>
      <w:r w:rsidR="00B40B13">
        <w:rPr>
          <w:rFonts w:ascii="Arial" w:hAnsi="Arial" w:cs="Arial"/>
          <w:sz w:val="20"/>
        </w:rPr>
        <w:t xml:space="preserve"> lamps </w:t>
      </w:r>
      <w:r w:rsidR="009C0EEA">
        <w:rPr>
          <w:rFonts w:ascii="Arial" w:hAnsi="Arial" w:cs="Arial"/>
          <w:sz w:val="20"/>
        </w:rPr>
        <w:t>are directional lamps but have a softer distribution and wider beam angles than PAR lamps and are used mostly in residential applications.</w:t>
      </w:r>
      <w:r w:rsidR="00B40B13">
        <w:rPr>
          <w:rFonts w:ascii="Arial" w:hAnsi="Arial" w:cs="Arial"/>
          <w:sz w:val="20"/>
        </w:rPr>
        <w:t xml:space="preserve"> </w:t>
      </w:r>
      <w:r w:rsidR="00EE3912">
        <w:rPr>
          <w:rFonts w:ascii="Arial" w:hAnsi="Arial" w:cs="Arial"/>
          <w:sz w:val="20"/>
        </w:rPr>
        <w:t>These lamps come in different size</w:t>
      </w:r>
      <w:r w:rsidR="00A34FFD">
        <w:rPr>
          <w:rFonts w:ascii="Arial" w:hAnsi="Arial" w:cs="Arial"/>
          <w:sz w:val="20"/>
        </w:rPr>
        <w:t>s and</w:t>
      </w:r>
      <w:r w:rsidR="00EE3912">
        <w:rPr>
          <w:rFonts w:ascii="Arial" w:hAnsi="Arial" w:cs="Arial"/>
          <w:sz w:val="20"/>
        </w:rPr>
        <w:t xml:space="preserve"> diameters </w:t>
      </w:r>
      <w:r w:rsidR="00A34FFD">
        <w:rPr>
          <w:rFonts w:ascii="Arial" w:hAnsi="Arial" w:cs="Arial"/>
          <w:sz w:val="20"/>
        </w:rPr>
        <w:t xml:space="preserve">such as </w:t>
      </w:r>
      <w:r w:rsidR="00EE3912">
        <w:rPr>
          <w:rFonts w:ascii="Arial" w:hAnsi="Arial" w:cs="Arial"/>
          <w:sz w:val="20"/>
        </w:rPr>
        <w:t>R20</w:t>
      </w:r>
      <w:r w:rsidR="00A34FFD">
        <w:rPr>
          <w:rFonts w:ascii="Arial" w:hAnsi="Arial" w:cs="Arial"/>
          <w:sz w:val="20"/>
        </w:rPr>
        <w:t xml:space="preserve">, </w:t>
      </w:r>
      <w:r w:rsidR="00EE3912">
        <w:rPr>
          <w:rFonts w:ascii="Arial" w:hAnsi="Arial" w:cs="Arial"/>
          <w:sz w:val="20"/>
        </w:rPr>
        <w:t>BR20, R30, BR30</w:t>
      </w:r>
      <w:r w:rsidR="00A34FFD">
        <w:rPr>
          <w:rFonts w:ascii="Arial" w:hAnsi="Arial" w:cs="Arial"/>
          <w:sz w:val="20"/>
        </w:rPr>
        <w:t xml:space="preserve">, and BR40. </w:t>
      </w:r>
      <w:r w:rsidR="00B40B13">
        <w:rPr>
          <w:rFonts w:ascii="Arial" w:hAnsi="Arial" w:cs="Arial"/>
          <w:sz w:val="20"/>
        </w:rPr>
        <w:t xml:space="preserve">LEDs are inherently directional </w:t>
      </w:r>
      <w:r w:rsidR="009C0EEA">
        <w:rPr>
          <w:rFonts w:ascii="Arial" w:hAnsi="Arial" w:cs="Arial"/>
          <w:sz w:val="20"/>
        </w:rPr>
        <w:t>which makes them well suited for use in lamps intended to replace conventional reflector lamps. Additionally, the optics can be arranged at the LED package level, eliminating the need for reflectors</w:t>
      </w:r>
      <w:r w:rsidR="009A5369">
        <w:rPr>
          <w:rFonts w:ascii="Arial" w:hAnsi="Arial" w:cs="Arial"/>
          <w:sz w:val="20"/>
        </w:rPr>
        <w:t xml:space="preserve"> and lenses that shape the beam</w:t>
      </w:r>
      <w:r w:rsidR="00B40B13">
        <w:rPr>
          <w:rFonts w:ascii="Arial" w:hAnsi="Arial" w:cs="Arial"/>
          <w:sz w:val="20"/>
        </w:rPr>
        <w:t xml:space="preserve">. </w:t>
      </w:r>
    </w:p>
    <w:p w14:paraId="0856CB1F" w14:textId="77777777" w:rsidR="00FC0349" w:rsidRPr="00FC0349" w:rsidRDefault="00FC0349" w:rsidP="003570B7">
      <w:pPr>
        <w:pStyle w:val="Heading4"/>
        <w:spacing w:before="120"/>
      </w:pPr>
    </w:p>
    <w:p w14:paraId="1B3668D7" w14:textId="1F350C6E" w:rsidR="008154E0" w:rsidRPr="00692BD1" w:rsidRDefault="009C5CA7" w:rsidP="00483840">
      <w:pPr>
        <w:pStyle w:val="Heading2"/>
        <w:keepNext w:val="0"/>
        <w:spacing w:before="0"/>
      </w:pPr>
      <w:bookmarkStart w:id="19" w:name="_Toc512857028"/>
      <w:r>
        <w:t>1.</w:t>
      </w:r>
      <w:r w:rsidR="00806070">
        <w:t>3</w:t>
      </w:r>
      <w:r>
        <w:t xml:space="preserve"> </w:t>
      </w:r>
      <w:r w:rsidR="00FA31AD">
        <w:t>Measure Application Type</w:t>
      </w:r>
      <w:bookmarkEnd w:id="19"/>
      <w:r w:rsidR="00FA595F">
        <w:t xml:space="preserve"> </w:t>
      </w:r>
    </w:p>
    <w:p w14:paraId="53AB16C6" w14:textId="1F262E55" w:rsidR="003D7679" w:rsidRPr="005E242D" w:rsidRDefault="00FA31AD" w:rsidP="003D7679">
      <w:pPr>
        <w:rPr>
          <w:rFonts w:ascii="Arial" w:hAnsi="Arial" w:cs="Arial"/>
          <w:sz w:val="20"/>
          <w:szCs w:val="20"/>
        </w:rPr>
      </w:pPr>
      <w:r w:rsidRPr="005E242D">
        <w:rPr>
          <w:rFonts w:ascii="Arial" w:hAnsi="Arial" w:cs="Arial"/>
          <w:sz w:val="20"/>
          <w:szCs w:val="20"/>
        </w:rPr>
        <w:t xml:space="preserve">The Database for Energy Efficiency Resources (DEER) developed by the California Public Utilities Commission defines the measure application </w:t>
      </w:r>
      <w:r w:rsidR="003D7679" w:rsidRPr="005E242D">
        <w:rPr>
          <w:rFonts w:ascii="Arial" w:hAnsi="Arial" w:cs="Arial"/>
          <w:sz w:val="20"/>
          <w:szCs w:val="20"/>
        </w:rPr>
        <w:t xml:space="preserve">type. The </w:t>
      </w:r>
      <w:r w:rsidR="00B06DD6" w:rsidRPr="005E242D">
        <w:rPr>
          <w:rFonts w:ascii="Arial" w:hAnsi="Arial" w:cs="Arial"/>
          <w:sz w:val="20"/>
          <w:szCs w:val="20"/>
        </w:rPr>
        <w:t>Support</w:t>
      </w:r>
      <w:r w:rsidR="003D7679" w:rsidRPr="005E242D">
        <w:rPr>
          <w:rFonts w:ascii="Arial" w:hAnsi="Arial" w:cs="Arial"/>
          <w:sz w:val="20"/>
          <w:szCs w:val="20"/>
        </w:rPr>
        <w:t xml:space="preserve"> table “Measure Application Type” in the “Measure Catalog” can be found using the latest version of the Remote Ex-Ante Database Interface (READI) on the Database for Energy-Efficient Resources (DEER) website</w:t>
      </w:r>
      <w:r w:rsidR="003D7679" w:rsidRPr="005E242D">
        <w:rPr>
          <w:rFonts w:ascii="Arial" w:hAnsi="Arial" w:cs="Arial"/>
          <w:b/>
          <w:sz w:val="20"/>
          <w:szCs w:val="20"/>
          <w:vertAlign w:val="superscript"/>
        </w:rPr>
        <w:endnoteReference w:id="5"/>
      </w:r>
      <w:r w:rsidR="00B06DD6" w:rsidRPr="005E242D">
        <w:rPr>
          <w:rFonts w:ascii="Arial" w:hAnsi="Arial" w:cs="Arial"/>
          <w:sz w:val="20"/>
          <w:szCs w:val="20"/>
        </w:rPr>
        <w:t>.</w:t>
      </w:r>
    </w:p>
    <w:p w14:paraId="360C35CC" w14:textId="77777777" w:rsidR="003D7679" w:rsidRPr="003D7679" w:rsidRDefault="003D7679" w:rsidP="003D7679">
      <w:pPr>
        <w:rPr>
          <w:lang w:val="en-GB"/>
        </w:rPr>
      </w:pPr>
    </w:p>
    <w:p w14:paraId="1B3668D9" w14:textId="7CBAC63B" w:rsidR="008154E0" w:rsidRPr="00992284" w:rsidRDefault="008154E0" w:rsidP="007714DC">
      <w:pPr>
        <w:pStyle w:val="Caption"/>
        <w:keepNext/>
        <w:jc w:val="center"/>
        <w:rPr>
          <w:sz w:val="26"/>
          <w:szCs w:val="26"/>
        </w:rPr>
      </w:pPr>
      <w:bookmarkStart w:id="20" w:name="_Toc324427642"/>
      <w:bookmarkStart w:id="21" w:name="_Toc383697824"/>
      <w:bookmarkStart w:id="22" w:name="_Toc512857051"/>
      <w:r w:rsidRPr="00992284">
        <w:t xml:space="preserve">Table </w:t>
      </w:r>
      <w:fldSimple w:instr=" SEQ Table \* ARABIC ">
        <w:r w:rsidR="00510611">
          <w:rPr>
            <w:noProof/>
          </w:rPr>
          <w:t>4</w:t>
        </w:r>
      </w:fldSimple>
      <w:bookmarkStart w:id="23" w:name="RANGE!B222"/>
      <w:r w:rsidRPr="00992284">
        <w:rPr>
          <w:sz w:val="26"/>
          <w:szCs w:val="26"/>
        </w:rPr>
        <w:t xml:space="preserve"> </w:t>
      </w:r>
      <w:r w:rsidRPr="00992284">
        <w:t>Measure Application Type</w:t>
      </w:r>
      <w:bookmarkEnd w:id="20"/>
      <w:bookmarkEnd w:id="21"/>
      <w:bookmarkEnd w:id="23"/>
      <w:bookmarkEnd w:id="22"/>
    </w:p>
    <w:tbl>
      <w:tblPr>
        <w:tblW w:w="9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2610"/>
        <w:gridCol w:w="5580"/>
      </w:tblGrid>
      <w:tr w:rsidR="00692BD1" w:rsidRPr="00BD02D0" w14:paraId="4FE1F5AB" w14:textId="77777777" w:rsidTr="0079350D">
        <w:trPr>
          <w:trHeight w:val="315"/>
        </w:trPr>
        <w:tc>
          <w:tcPr>
            <w:tcW w:w="919" w:type="dxa"/>
            <w:shd w:val="clear" w:color="000000" w:fill="D9D9D9"/>
            <w:noWrap/>
            <w:vAlign w:val="bottom"/>
            <w:hideMark/>
          </w:tcPr>
          <w:p w14:paraId="68E11C1F" w14:textId="77777777" w:rsidR="00692BD1" w:rsidRPr="00453CE7" w:rsidRDefault="00692BD1" w:rsidP="001E0300">
            <w:pPr>
              <w:keepNext/>
              <w:rPr>
                <w:rFonts w:ascii="Calibri" w:hAnsi="Calibri" w:cs="Calibri"/>
                <w:b/>
                <w:color w:val="000000"/>
                <w:szCs w:val="22"/>
              </w:rPr>
            </w:pPr>
            <w:r w:rsidRPr="00453CE7">
              <w:rPr>
                <w:rFonts w:ascii="Calibri" w:hAnsi="Calibri" w:cs="Calibri"/>
                <w:b/>
                <w:color w:val="000000"/>
                <w:szCs w:val="22"/>
              </w:rPr>
              <w:t>Code</w:t>
            </w:r>
          </w:p>
        </w:tc>
        <w:tc>
          <w:tcPr>
            <w:tcW w:w="2610" w:type="dxa"/>
            <w:shd w:val="clear" w:color="000000" w:fill="D9D9D9"/>
            <w:noWrap/>
            <w:vAlign w:val="bottom"/>
            <w:hideMark/>
          </w:tcPr>
          <w:p w14:paraId="1F00B67E" w14:textId="77777777" w:rsidR="00692BD1" w:rsidRPr="00453CE7" w:rsidRDefault="00692BD1" w:rsidP="001E030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shd w:val="clear" w:color="000000" w:fill="D9D9D9"/>
            <w:noWrap/>
            <w:vAlign w:val="bottom"/>
            <w:hideMark/>
          </w:tcPr>
          <w:p w14:paraId="7965C275" w14:textId="77777777" w:rsidR="00692BD1" w:rsidRPr="00453CE7" w:rsidRDefault="00692BD1" w:rsidP="001E0300">
            <w:pPr>
              <w:keepNext/>
              <w:rPr>
                <w:rFonts w:ascii="Calibri" w:hAnsi="Calibri" w:cs="Calibri"/>
                <w:b/>
                <w:color w:val="000000"/>
                <w:szCs w:val="22"/>
              </w:rPr>
            </w:pPr>
            <w:r w:rsidRPr="00453CE7">
              <w:rPr>
                <w:rFonts w:ascii="Calibri" w:hAnsi="Calibri" w:cs="Calibri"/>
                <w:b/>
                <w:color w:val="000000"/>
                <w:szCs w:val="22"/>
              </w:rPr>
              <w:t>Comment</w:t>
            </w:r>
          </w:p>
        </w:tc>
      </w:tr>
      <w:tr w:rsidR="00692BD1" w:rsidRPr="00216C95" w14:paraId="72094576" w14:textId="77777777" w:rsidTr="0079350D">
        <w:trPr>
          <w:trHeight w:val="600"/>
        </w:trPr>
        <w:tc>
          <w:tcPr>
            <w:tcW w:w="919" w:type="dxa"/>
            <w:shd w:val="clear" w:color="auto" w:fill="auto"/>
            <w:noWrap/>
            <w:vAlign w:val="center"/>
            <w:hideMark/>
          </w:tcPr>
          <w:p w14:paraId="2A9A8201" w14:textId="77777777" w:rsidR="00692BD1" w:rsidRPr="00216C95" w:rsidRDefault="00692BD1" w:rsidP="001E0300">
            <w:pPr>
              <w:keepNext/>
              <w:rPr>
                <w:rFonts w:ascii="Calibri" w:hAnsi="Calibri" w:cs="Calibri"/>
                <w:sz w:val="22"/>
                <w:szCs w:val="22"/>
              </w:rPr>
            </w:pPr>
            <w:r w:rsidRPr="00216C95">
              <w:rPr>
                <w:rFonts w:ascii="Calibri" w:hAnsi="Calibri" w:cs="Calibri"/>
                <w:sz w:val="22"/>
                <w:szCs w:val="22"/>
              </w:rPr>
              <w:t>ROB</w:t>
            </w:r>
          </w:p>
        </w:tc>
        <w:tc>
          <w:tcPr>
            <w:tcW w:w="2610" w:type="dxa"/>
            <w:shd w:val="clear" w:color="auto" w:fill="auto"/>
            <w:noWrap/>
            <w:vAlign w:val="center"/>
            <w:hideMark/>
          </w:tcPr>
          <w:p w14:paraId="047A34E3" w14:textId="77777777" w:rsidR="00692BD1" w:rsidRPr="00216C95" w:rsidRDefault="00692BD1" w:rsidP="001E0300">
            <w:pPr>
              <w:keepNext/>
              <w:rPr>
                <w:rFonts w:ascii="Calibri" w:hAnsi="Calibri" w:cs="Calibri"/>
                <w:sz w:val="22"/>
                <w:szCs w:val="22"/>
              </w:rPr>
            </w:pPr>
            <w:r w:rsidRPr="00216C95">
              <w:rPr>
                <w:rFonts w:ascii="Calibri" w:hAnsi="Calibri" w:cs="Calibri"/>
                <w:sz w:val="22"/>
                <w:szCs w:val="22"/>
              </w:rPr>
              <w:t>Replace on Burnout</w:t>
            </w:r>
          </w:p>
        </w:tc>
        <w:tc>
          <w:tcPr>
            <w:tcW w:w="5580" w:type="dxa"/>
            <w:shd w:val="clear" w:color="auto" w:fill="auto"/>
            <w:vAlign w:val="center"/>
            <w:hideMark/>
          </w:tcPr>
          <w:p w14:paraId="5F4B97BE" w14:textId="77777777" w:rsidR="00692BD1" w:rsidRPr="00216C95" w:rsidRDefault="00692BD1" w:rsidP="001E0300">
            <w:pPr>
              <w:keepNext/>
              <w:rPr>
                <w:rFonts w:ascii="Calibri" w:hAnsi="Calibri" w:cs="Calibri"/>
                <w:i/>
                <w:iCs/>
                <w:sz w:val="22"/>
                <w:szCs w:val="22"/>
              </w:rPr>
            </w:pPr>
            <w:r w:rsidRPr="00216C95">
              <w:rPr>
                <w:rFonts w:ascii="Calibri" w:hAnsi="Calibri" w:cs="Calibri"/>
                <w:i/>
                <w:iCs/>
                <w:sz w:val="22"/>
                <w:szCs w:val="22"/>
              </w:rPr>
              <w:t>Measure technology applied instead of Code/Standard technology at the time of replacement, Single baseline (above code), incremental or full costs</w:t>
            </w:r>
          </w:p>
        </w:tc>
      </w:tr>
      <w:tr w:rsidR="005B648C" w:rsidRPr="00216C95" w14:paraId="3E509F0D" w14:textId="77777777" w:rsidTr="0079350D">
        <w:trPr>
          <w:trHeight w:val="600"/>
        </w:trPr>
        <w:tc>
          <w:tcPr>
            <w:tcW w:w="919" w:type="dxa"/>
            <w:shd w:val="clear" w:color="auto" w:fill="auto"/>
            <w:noWrap/>
            <w:vAlign w:val="center"/>
          </w:tcPr>
          <w:p w14:paraId="4BB7D9F0" w14:textId="78D731E2" w:rsidR="005B648C" w:rsidRPr="00216C95" w:rsidRDefault="005B648C" w:rsidP="001E0300">
            <w:pPr>
              <w:rPr>
                <w:rFonts w:ascii="Calibri" w:hAnsi="Calibri" w:cs="Calibri"/>
                <w:sz w:val="22"/>
                <w:szCs w:val="22"/>
              </w:rPr>
            </w:pPr>
            <w:r w:rsidRPr="00216C95">
              <w:rPr>
                <w:rFonts w:ascii="Calibri" w:hAnsi="Calibri" w:cs="Calibri"/>
                <w:sz w:val="22"/>
                <w:szCs w:val="22"/>
              </w:rPr>
              <w:t>ER</w:t>
            </w:r>
          </w:p>
        </w:tc>
        <w:tc>
          <w:tcPr>
            <w:tcW w:w="2610" w:type="dxa"/>
            <w:shd w:val="clear" w:color="auto" w:fill="auto"/>
            <w:noWrap/>
            <w:vAlign w:val="center"/>
          </w:tcPr>
          <w:p w14:paraId="6730988A" w14:textId="1F71B1F4" w:rsidR="005B648C" w:rsidRPr="00216C95" w:rsidRDefault="00D062B7" w:rsidP="001E0300">
            <w:pPr>
              <w:rPr>
                <w:rFonts w:ascii="Calibri" w:hAnsi="Calibri" w:cs="Calibri"/>
                <w:sz w:val="22"/>
                <w:szCs w:val="22"/>
              </w:rPr>
            </w:pPr>
            <w:r w:rsidRPr="00216C95">
              <w:rPr>
                <w:rFonts w:ascii="Calibri" w:hAnsi="Calibri" w:cs="Calibri"/>
                <w:sz w:val="22"/>
                <w:szCs w:val="22"/>
              </w:rPr>
              <w:t>Early Retirement</w:t>
            </w:r>
          </w:p>
        </w:tc>
        <w:tc>
          <w:tcPr>
            <w:tcW w:w="5580" w:type="dxa"/>
            <w:shd w:val="clear" w:color="auto" w:fill="auto"/>
            <w:vAlign w:val="center"/>
          </w:tcPr>
          <w:p w14:paraId="4E58C37E" w14:textId="1D43C6DD" w:rsidR="005B648C" w:rsidRPr="00216C95" w:rsidRDefault="00D062B7" w:rsidP="001E0300">
            <w:pPr>
              <w:rPr>
                <w:rFonts w:ascii="Calibri" w:hAnsi="Calibri" w:cs="Calibri"/>
                <w:i/>
                <w:iCs/>
                <w:sz w:val="22"/>
                <w:szCs w:val="22"/>
              </w:rPr>
            </w:pPr>
            <w:r w:rsidRPr="00216C95">
              <w:rPr>
                <w:rFonts w:ascii="Arial" w:hAnsi="Arial" w:cs="Arial"/>
                <w:i/>
                <w:sz w:val="22"/>
                <w:szCs w:val="22"/>
              </w:rPr>
              <w:t>Measure applied while existing equipment still viable, or retrofit of existing equipment</w:t>
            </w:r>
          </w:p>
        </w:tc>
      </w:tr>
    </w:tbl>
    <w:p w14:paraId="1B3668EB" w14:textId="77777777" w:rsidR="001D3DFF" w:rsidRDefault="001D3DFF" w:rsidP="008154E0">
      <w:pPr>
        <w:rPr>
          <w:rFonts w:ascii="Arial" w:hAnsi="Arial" w:cs="Arial"/>
          <w:sz w:val="20"/>
          <w:szCs w:val="20"/>
        </w:rPr>
      </w:pPr>
    </w:p>
    <w:p w14:paraId="771A32D4" w14:textId="36AB0D56" w:rsidR="00FC0349" w:rsidRDefault="00AE075F" w:rsidP="00FC0349">
      <w:pPr>
        <w:spacing w:line="276" w:lineRule="auto"/>
        <w:rPr>
          <w:rFonts w:ascii="Arial" w:hAnsi="Arial" w:cs="Arial"/>
          <w:sz w:val="20"/>
          <w:szCs w:val="20"/>
        </w:rPr>
      </w:pPr>
      <w:r>
        <w:rPr>
          <w:rFonts w:ascii="Arial" w:hAnsi="Arial" w:cs="Arial"/>
          <w:sz w:val="20"/>
          <w:szCs w:val="20"/>
        </w:rPr>
        <w:t xml:space="preserve">PG&amp;E </w:t>
      </w:r>
      <w:r w:rsidR="00FC0349">
        <w:rPr>
          <w:rFonts w:ascii="Arial" w:hAnsi="Arial" w:cs="Arial"/>
          <w:sz w:val="20"/>
          <w:szCs w:val="20"/>
        </w:rPr>
        <w:t>has added the E</w:t>
      </w:r>
      <w:r w:rsidRPr="00AE075F">
        <w:rPr>
          <w:rFonts w:ascii="Arial" w:hAnsi="Arial" w:cs="Arial"/>
          <w:sz w:val="20"/>
          <w:szCs w:val="20"/>
        </w:rPr>
        <w:t xml:space="preserve">arly </w:t>
      </w:r>
      <w:r w:rsidR="00FC0349">
        <w:rPr>
          <w:rFonts w:ascii="Arial" w:hAnsi="Arial" w:cs="Arial"/>
          <w:sz w:val="20"/>
          <w:szCs w:val="20"/>
        </w:rPr>
        <w:t>R</w:t>
      </w:r>
      <w:r w:rsidRPr="00AE075F">
        <w:rPr>
          <w:rFonts w:ascii="Arial" w:hAnsi="Arial" w:cs="Arial"/>
          <w:sz w:val="20"/>
          <w:szCs w:val="20"/>
        </w:rPr>
        <w:t>etir</w:t>
      </w:r>
      <w:r w:rsidR="00FC0349">
        <w:rPr>
          <w:rFonts w:ascii="Arial" w:hAnsi="Arial" w:cs="Arial"/>
          <w:sz w:val="20"/>
          <w:szCs w:val="20"/>
        </w:rPr>
        <w:t xml:space="preserve">ement (Accelerated Replacement) measure type </w:t>
      </w:r>
      <w:r w:rsidRPr="00AE075F">
        <w:rPr>
          <w:rFonts w:ascii="Arial" w:hAnsi="Arial" w:cs="Arial"/>
          <w:sz w:val="20"/>
          <w:szCs w:val="20"/>
        </w:rPr>
        <w:t xml:space="preserve">for this </w:t>
      </w:r>
      <w:r w:rsidR="00FC0349">
        <w:rPr>
          <w:rFonts w:ascii="Arial" w:hAnsi="Arial" w:cs="Arial"/>
          <w:sz w:val="20"/>
          <w:szCs w:val="20"/>
        </w:rPr>
        <w:t xml:space="preserve">workpaper </w:t>
      </w:r>
      <w:r w:rsidRPr="00AE075F">
        <w:rPr>
          <w:rFonts w:ascii="Arial" w:hAnsi="Arial" w:cs="Arial"/>
          <w:sz w:val="20"/>
          <w:szCs w:val="20"/>
        </w:rPr>
        <w:t>update.</w:t>
      </w:r>
      <w:r w:rsidR="00FC0349">
        <w:rPr>
          <w:rFonts w:ascii="Arial" w:hAnsi="Arial" w:cs="Arial"/>
          <w:sz w:val="20"/>
          <w:szCs w:val="20"/>
        </w:rPr>
        <w:t xml:space="preserve">  M</w:t>
      </w:r>
      <w:r w:rsidR="00FC0349" w:rsidRPr="0019745A">
        <w:rPr>
          <w:rFonts w:ascii="Arial" w:hAnsi="Arial" w:cs="Arial"/>
          <w:sz w:val="20"/>
          <w:szCs w:val="20"/>
        </w:rPr>
        <w:t xml:space="preserve">easures within this workpaper are </w:t>
      </w:r>
      <w:r w:rsidR="00FC0349">
        <w:rPr>
          <w:rFonts w:ascii="Arial" w:hAnsi="Arial" w:cs="Arial"/>
          <w:sz w:val="20"/>
          <w:szCs w:val="20"/>
        </w:rPr>
        <w:t xml:space="preserve">either </w:t>
      </w:r>
      <w:r w:rsidR="00FC0349" w:rsidRPr="0019745A">
        <w:rPr>
          <w:rFonts w:ascii="Arial" w:hAnsi="Arial" w:cs="Arial"/>
          <w:sz w:val="20"/>
          <w:szCs w:val="20"/>
        </w:rPr>
        <w:t>ROB</w:t>
      </w:r>
      <w:r w:rsidR="00FC0349">
        <w:rPr>
          <w:rFonts w:ascii="Arial" w:hAnsi="Arial" w:cs="Arial"/>
          <w:sz w:val="20"/>
          <w:szCs w:val="20"/>
        </w:rPr>
        <w:t xml:space="preserve"> or ER. </w:t>
      </w:r>
    </w:p>
    <w:p w14:paraId="35CF9782" w14:textId="77777777" w:rsidR="00216C95" w:rsidRPr="00216C95" w:rsidRDefault="00216C95" w:rsidP="00216C95">
      <w:pPr>
        <w:pStyle w:val="Heading4"/>
        <w:spacing w:before="120"/>
      </w:pPr>
    </w:p>
    <w:p w14:paraId="1B3668ED" w14:textId="7B75A0C8" w:rsidR="00806070" w:rsidRPr="00843E3C" w:rsidRDefault="00806070" w:rsidP="003570B7">
      <w:pPr>
        <w:pStyle w:val="Heading2"/>
        <w:spacing w:before="0" w:after="0"/>
      </w:pPr>
      <w:bookmarkStart w:id="24" w:name="_Toc512857029"/>
      <w:r>
        <w:t>1.4 Product Base Case and Measure Case Data</w:t>
      </w:r>
      <w:bookmarkEnd w:id="24"/>
    </w:p>
    <w:p w14:paraId="26E5A95C" w14:textId="77777777" w:rsidR="003570B7" w:rsidRDefault="003570B7" w:rsidP="003570B7">
      <w:pPr>
        <w:pStyle w:val="Heading3"/>
        <w:spacing w:before="0"/>
      </w:pPr>
    </w:p>
    <w:p w14:paraId="1B3668F1" w14:textId="77777777" w:rsidR="00E71EF1" w:rsidRDefault="001248A3" w:rsidP="003570B7">
      <w:pPr>
        <w:pStyle w:val="Heading3"/>
        <w:spacing w:before="0"/>
      </w:pPr>
      <w:bookmarkStart w:id="25" w:name="_Toc512857030"/>
      <w:r>
        <w:t>1.</w:t>
      </w:r>
      <w:r w:rsidR="00806070">
        <w:t>4.1</w:t>
      </w:r>
      <w:r w:rsidR="00FA595F">
        <w:t xml:space="preserve"> </w:t>
      </w:r>
      <w:r w:rsidR="00C069A2" w:rsidRPr="001248A3">
        <w:t xml:space="preserve">DEER </w:t>
      </w:r>
      <w:r w:rsidR="008C6AD1">
        <w:t>Base Case and Measure Case Information</w:t>
      </w:r>
      <w:bookmarkEnd w:id="25"/>
      <w:r w:rsidR="008C6AD1">
        <w:t xml:space="preserve"> </w:t>
      </w:r>
    </w:p>
    <w:p w14:paraId="3C38B027" w14:textId="4D327F47" w:rsidR="0051410C" w:rsidRPr="009838A9" w:rsidRDefault="00255967" w:rsidP="00FC0349">
      <w:pPr>
        <w:autoSpaceDE w:val="0"/>
        <w:autoSpaceDN w:val="0"/>
        <w:adjustRightInd w:val="0"/>
        <w:spacing w:line="264" w:lineRule="auto"/>
        <w:rPr>
          <w:rFonts w:ascii="PalatinoLinotype-Roman" w:hAnsi="PalatinoLinotype-Roman" w:cs="PalatinoLinotype-Roman"/>
          <w:sz w:val="20"/>
          <w:szCs w:val="20"/>
        </w:rPr>
      </w:pPr>
      <w:r w:rsidRPr="00996A6A">
        <w:rPr>
          <w:rFonts w:ascii="Arial" w:hAnsi="Arial" w:cs="Arial"/>
          <w:sz w:val="20"/>
          <w:szCs w:val="20"/>
        </w:rPr>
        <w:t>The base case wattage is calculated using the</w:t>
      </w:r>
      <w:r w:rsidR="00DE682A">
        <w:rPr>
          <w:rFonts w:ascii="Arial" w:hAnsi="Arial" w:cs="Arial"/>
          <w:sz w:val="20"/>
          <w:szCs w:val="20"/>
        </w:rPr>
        <w:t xml:space="preserve"> wattage reduction ratio (</w:t>
      </w:r>
      <w:r>
        <w:rPr>
          <w:rFonts w:ascii="Arial" w:hAnsi="Arial" w:cs="Arial"/>
          <w:sz w:val="20"/>
          <w:szCs w:val="20"/>
        </w:rPr>
        <w:t>WRR</w:t>
      </w:r>
      <w:r w:rsidR="00DE682A">
        <w:rPr>
          <w:rFonts w:ascii="Arial" w:hAnsi="Arial" w:cs="Arial"/>
          <w:sz w:val="20"/>
          <w:szCs w:val="20"/>
        </w:rPr>
        <w:t>).</w:t>
      </w:r>
      <w:r w:rsidR="009838A9">
        <w:rPr>
          <w:rFonts w:ascii="Arial" w:hAnsi="Arial" w:cs="Arial"/>
          <w:sz w:val="20"/>
          <w:szCs w:val="20"/>
        </w:rPr>
        <w:t xml:space="preserve"> WRR is </w:t>
      </w:r>
      <w:r w:rsidR="009838A9" w:rsidRPr="009838A9">
        <w:rPr>
          <w:rFonts w:ascii="Arial" w:hAnsi="Arial" w:cs="Arial"/>
          <w:sz w:val="20"/>
          <w:szCs w:val="20"/>
        </w:rPr>
        <w:t xml:space="preserve">the ratio of the </w:t>
      </w:r>
      <w:r w:rsidR="009838A9" w:rsidRPr="00643148">
        <w:rPr>
          <w:rFonts w:ascii="Arial" w:hAnsi="Arial" w:cs="Arial"/>
          <w:sz w:val="20"/>
          <w:szCs w:val="20"/>
        </w:rPr>
        <w:t>deemed baseline wattage to the deemed LED wattage.</w:t>
      </w:r>
      <w:r w:rsidR="00DE682A" w:rsidRPr="00643148">
        <w:rPr>
          <w:rFonts w:ascii="Arial" w:hAnsi="Arial" w:cs="Arial"/>
          <w:sz w:val="20"/>
          <w:szCs w:val="20"/>
        </w:rPr>
        <w:t xml:space="preserve"> </w:t>
      </w:r>
      <w:r w:rsidR="00677D9F" w:rsidRPr="00643148">
        <w:rPr>
          <w:rFonts w:ascii="Arial" w:hAnsi="Arial" w:cs="Arial"/>
          <w:sz w:val="20"/>
          <w:szCs w:val="20"/>
        </w:rPr>
        <w:t>Table 5 below shows the approved WRR from “2018ScrewInLampSavingsMethods-1</w:t>
      </w:r>
      <w:r w:rsidR="00643148" w:rsidRPr="00643148">
        <w:rPr>
          <w:rFonts w:ascii="Arial" w:hAnsi="Arial" w:cs="Arial"/>
          <w:sz w:val="20"/>
          <w:szCs w:val="20"/>
        </w:rPr>
        <w:t>March2018</w:t>
      </w:r>
      <w:r w:rsidR="00677D9F" w:rsidRPr="00643148">
        <w:rPr>
          <w:rFonts w:ascii="Arial" w:hAnsi="Arial" w:cs="Arial"/>
          <w:sz w:val="20"/>
          <w:szCs w:val="20"/>
        </w:rPr>
        <w:t xml:space="preserve">” Disposition from the California Public Utilities Commission; Energy Division, dated </w:t>
      </w:r>
      <w:r w:rsidR="00643148" w:rsidRPr="00643148">
        <w:rPr>
          <w:rFonts w:ascii="Arial" w:hAnsi="Arial" w:cs="Arial"/>
          <w:sz w:val="20"/>
          <w:szCs w:val="20"/>
        </w:rPr>
        <w:t>March 1, 2018</w:t>
      </w:r>
      <w:r w:rsidR="00A308A4" w:rsidRPr="00643148">
        <w:rPr>
          <w:rFonts w:ascii="Arial" w:hAnsi="Arial" w:cs="Arial"/>
          <w:sz w:val="20"/>
          <w:szCs w:val="20"/>
        </w:rPr>
        <w:t>.</w:t>
      </w:r>
    </w:p>
    <w:p w14:paraId="739EF262" w14:textId="2B316754" w:rsidR="002A4D71" w:rsidRPr="00DE682A" w:rsidRDefault="00DE682A" w:rsidP="00DE682A">
      <w:pPr>
        <w:rPr>
          <w:rFonts w:ascii="Arial" w:hAnsi="Arial" w:cs="Arial"/>
          <w:sz w:val="20"/>
          <w:szCs w:val="20"/>
        </w:rPr>
      </w:pPr>
      <w:r>
        <w:rPr>
          <w:rFonts w:ascii="Arial" w:hAnsi="Arial" w:cs="Arial"/>
          <w:sz w:val="20"/>
          <w:szCs w:val="20"/>
        </w:rPr>
        <w:t xml:space="preserve"> </w:t>
      </w:r>
    </w:p>
    <w:p w14:paraId="1B3668F2" w14:textId="10CEE1DA" w:rsidR="00476B67" w:rsidRDefault="00255967" w:rsidP="00255967">
      <w:pPr>
        <w:pStyle w:val="Caption"/>
        <w:jc w:val="center"/>
        <w:rPr>
          <w:rFonts w:ascii="Arial" w:hAnsi="Arial" w:cs="Arial"/>
        </w:rPr>
      </w:pPr>
      <w:bookmarkStart w:id="26" w:name="_Toc512857052"/>
      <w:r>
        <w:t xml:space="preserve">Table </w:t>
      </w:r>
      <w:fldSimple w:instr=" SEQ Table \* ARABIC ">
        <w:r w:rsidR="00510611">
          <w:rPr>
            <w:noProof/>
          </w:rPr>
          <w:t>5</w:t>
        </w:r>
      </w:fldSimple>
      <w:r>
        <w:t xml:space="preserve"> </w:t>
      </w:r>
      <w:r w:rsidRPr="00A71F1E">
        <w:t>Wattage Reduction Ratio</w:t>
      </w:r>
      <w:bookmarkEnd w:id="26"/>
    </w:p>
    <w:tbl>
      <w:tblPr>
        <w:tblStyle w:val="TableGrid"/>
        <w:tblW w:w="0" w:type="auto"/>
        <w:jc w:val="center"/>
        <w:tblLook w:val="04A0" w:firstRow="1" w:lastRow="0" w:firstColumn="1" w:lastColumn="0" w:noHBand="0" w:noVBand="1"/>
      </w:tblPr>
      <w:tblGrid>
        <w:gridCol w:w="6550"/>
        <w:gridCol w:w="943"/>
      </w:tblGrid>
      <w:tr w:rsidR="00255967" w:rsidRPr="00684EDF" w14:paraId="1B01ACA6" w14:textId="77777777" w:rsidTr="00DA4314">
        <w:trPr>
          <w:trHeight w:val="253"/>
          <w:jc w:val="center"/>
        </w:trPr>
        <w:tc>
          <w:tcPr>
            <w:tcW w:w="6550" w:type="dxa"/>
            <w:shd w:val="clear" w:color="auto" w:fill="BFBFBF" w:themeFill="background1" w:themeFillShade="BF"/>
          </w:tcPr>
          <w:p w14:paraId="44020E28" w14:textId="0BB8D041" w:rsidR="00255967" w:rsidRPr="00684EDF" w:rsidRDefault="00255967" w:rsidP="008867CE">
            <w:pPr>
              <w:jc w:val="center"/>
              <w:rPr>
                <w:rFonts w:ascii="Arial" w:hAnsi="Arial" w:cs="Arial"/>
                <w:b/>
                <w:sz w:val="20"/>
                <w:szCs w:val="20"/>
              </w:rPr>
            </w:pPr>
            <w:r w:rsidRPr="00684EDF">
              <w:rPr>
                <w:rFonts w:ascii="Arial" w:hAnsi="Arial" w:cs="Arial"/>
                <w:b/>
                <w:sz w:val="20"/>
                <w:szCs w:val="20"/>
              </w:rPr>
              <w:t>Description</w:t>
            </w:r>
          </w:p>
        </w:tc>
        <w:tc>
          <w:tcPr>
            <w:tcW w:w="943" w:type="dxa"/>
            <w:shd w:val="clear" w:color="auto" w:fill="BFBFBF" w:themeFill="background1" w:themeFillShade="BF"/>
          </w:tcPr>
          <w:p w14:paraId="1DE5FC02" w14:textId="77777777" w:rsidR="00255967" w:rsidRPr="00684EDF" w:rsidRDefault="00255967" w:rsidP="008867CE">
            <w:pPr>
              <w:jc w:val="center"/>
              <w:rPr>
                <w:rFonts w:ascii="Arial" w:hAnsi="Arial" w:cs="Arial"/>
                <w:b/>
                <w:sz w:val="20"/>
                <w:szCs w:val="20"/>
              </w:rPr>
            </w:pPr>
            <w:r w:rsidRPr="00684EDF">
              <w:rPr>
                <w:rFonts w:ascii="Arial" w:hAnsi="Arial" w:cs="Arial"/>
                <w:b/>
                <w:sz w:val="20"/>
                <w:szCs w:val="20"/>
              </w:rPr>
              <w:t>WRR</w:t>
            </w:r>
          </w:p>
        </w:tc>
      </w:tr>
      <w:tr w:rsidR="00255967" w:rsidRPr="00643148" w14:paraId="25AD406A" w14:textId="77777777" w:rsidTr="00DA4314">
        <w:trPr>
          <w:trHeight w:val="253"/>
          <w:jc w:val="center"/>
        </w:trPr>
        <w:tc>
          <w:tcPr>
            <w:tcW w:w="6550" w:type="dxa"/>
          </w:tcPr>
          <w:p w14:paraId="2A492091" w14:textId="76783DC7" w:rsidR="00255967" w:rsidRPr="00643148" w:rsidRDefault="00255967" w:rsidP="008867CE">
            <w:pPr>
              <w:jc w:val="center"/>
              <w:rPr>
                <w:rFonts w:ascii="Arial" w:hAnsi="Arial" w:cs="Arial"/>
                <w:sz w:val="20"/>
                <w:szCs w:val="20"/>
              </w:rPr>
            </w:pPr>
            <w:r w:rsidRPr="00643148">
              <w:rPr>
                <w:rFonts w:ascii="Arial" w:hAnsi="Arial" w:cs="Arial"/>
                <w:sz w:val="20"/>
                <w:szCs w:val="20"/>
              </w:rPr>
              <w:t>LED lamps less than 11 watts</w:t>
            </w:r>
          </w:p>
        </w:tc>
        <w:tc>
          <w:tcPr>
            <w:tcW w:w="943" w:type="dxa"/>
          </w:tcPr>
          <w:p w14:paraId="5273205C" w14:textId="1D43A24E" w:rsidR="00255967" w:rsidRPr="00643148" w:rsidRDefault="00DA4314" w:rsidP="008867CE">
            <w:pPr>
              <w:jc w:val="center"/>
              <w:rPr>
                <w:rFonts w:ascii="Arial" w:hAnsi="Arial" w:cs="Arial"/>
                <w:sz w:val="20"/>
                <w:szCs w:val="20"/>
              </w:rPr>
            </w:pPr>
            <w:r w:rsidRPr="00643148">
              <w:rPr>
                <w:rFonts w:ascii="Arial" w:hAnsi="Arial" w:cs="Arial"/>
                <w:sz w:val="20"/>
                <w:szCs w:val="20"/>
              </w:rPr>
              <w:t>4.17</w:t>
            </w:r>
          </w:p>
        </w:tc>
      </w:tr>
      <w:tr w:rsidR="00255967" w:rsidRPr="00643148" w14:paraId="0600FC36" w14:textId="77777777" w:rsidTr="00DA4314">
        <w:trPr>
          <w:trHeight w:val="253"/>
          <w:jc w:val="center"/>
        </w:trPr>
        <w:tc>
          <w:tcPr>
            <w:tcW w:w="6550" w:type="dxa"/>
          </w:tcPr>
          <w:p w14:paraId="028CF7EE" w14:textId="2D9480AB" w:rsidR="00255967" w:rsidRPr="00643148" w:rsidRDefault="00255967" w:rsidP="00BD322D">
            <w:pPr>
              <w:jc w:val="center"/>
              <w:rPr>
                <w:rFonts w:ascii="Arial" w:hAnsi="Arial" w:cs="Arial"/>
                <w:sz w:val="20"/>
                <w:szCs w:val="20"/>
              </w:rPr>
            </w:pPr>
            <w:r w:rsidRPr="00643148">
              <w:rPr>
                <w:rFonts w:ascii="Arial" w:hAnsi="Arial" w:cs="Arial"/>
                <w:sz w:val="20"/>
                <w:szCs w:val="20"/>
              </w:rPr>
              <w:t xml:space="preserve">LED lamps </w:t>
            </w:r>
            <w:r w:rsidR="00DA4314" w:rsidRPr="00643148">
              <w:rPr>
                <w:rFonts w:ascii="Arial" w:hAnsi="Arial" w:cs="Arial"/>
                <w:sz w:val="20"/>
                <w:szCs w:val="20"/>
              </w:rPr>
              <w:t xml:space="preserve">equal to or greater than 11 watts </w:t>
            </w:r>
            <w:r w:rsidR="00BD322D" w:rsidRPr="00643148">
              <w:rPr>
                <w:rFonts w:ascii="Arial" w:hAnsi="Arial" w:cs="Arial"/>
                <w:sz w:val="20"/>
                <w:szCs w:val="20"/>
              </w:rPr>
              <w:t>to</w:t>
            </w:r>
            <w:r w:rsidR="00DA4314" w:rsidRPr="00643148">
              <w:rPr>
                <w:rFonts w:ascii="Arial" w:hAnsi="Arial" w:cs="Arial"/>
                <w:sz w:val="20"/>
                <w:szCs w:val="20"/>
              </w:rPr>
              <w:t xml:space="preserve"> less than 14 </w:t>
            </w:r>
            <w:r w:rsidRPr="00643148">
              <w:rPr>
                <w:rFonts w:ascii="Arial" w:hAnsi="Arial" w:cs="Arial"/>
                <w:sz w:val="20"/>
                <w:szCs w:val="20"/>
              </w:rPr>
              <w:t>watts</w:t>
            </w:r>
          </w:p>
        </w:tc>
        <w:tc>
          <w:tcPr>
            <w:tcW w:w="943" w:type="dxa"/>
          </w:tcPr>
          <w:p w14:paraId="75101BA2" w14:textId="614D7765" w:rsidR="00255967" w:rsidRPr="00643148" w:rsidRDefault="00DA4314" w:rsidP="00DA4314">
            <w:pPr>
              <w:jc w:val="center"/>
              <w:rPr>
                <w:rFonts w:ascii="Arial" w:hAnsi="Arial" w:cs="Arial"/>
                <w:sz w:val="20"/>
                <w:szCs w:val="20"/>
              </w:rPr>
            </w:pPr>
            <w:r w:rsidRPr="00643148">
              <w:rPr>
                <w:rFonts w:ascii="Arial" w:hAnsi="Arial" w:cs="Arial"/>
                <w:sz w:val="20"/>
                <w:szCs w:val="20"/>
              </w:rPr>
              <w:t>3.28</w:t>
            </w:r>
          </w:p>
        </w:tc>
      </w:tr>
      <w:tr w:rsidR="00255967" w14:paraId="2284AD76" w14:textId="77777777" w:rsidTr="00DA4314">
        <w:trPr>
          <w:trHeight w:val="270"/>
          <w:jc w:val="center"/>
        </w:trPr>
        <w:tc>
          <w:tcPr>
            <w:tcW w:w="6550" w:type="dxa"/>
          </w:tcPr>
          <w:p w14:paraId="55695E93" w14:textId="773AC7EE" w:rsidR="00255967" w:rsidRPr="00643148" w:rsidRDefault="00255967" w:rsidP="008867CE">
            <w:pPr>
              <w:jc w:val="center"/>
              <w:rPr>
                <w:rFonts w:ascii="Arial" w:hAnsi="Arial" w:cs="Arial"/>
                <w:sz w:val="20"/>
                <w:szCs w:val="20"/>
              </w:rPr>
            </w:pPr>
            <w:r w:rsidRPr="00643148">
              <w:rPr>
                <w:rFonts w:ascii="Arial" w:hAnsi="Arial" w:cs="Arial"/>
                <w:sz w:val="20"/>
                <w:szCs w:val="20"/>
              </w:rPr>
              <w:t>LED lamps equal to or greater than 14 watts</w:t>
            </w:r>
          </w:p>
        </w:tc>
        <w:tc>
          <w:tcPr>
            <w:tcW w:w="943" w:type="dxa"/>
          </w:tcPr>
          <w:p w14:paraId="465E1627" w14:textId="035BE45A" w:rsidR="00255967" w:rsidRPr="00643148" w:rsidRDefault="00DA4314" w:rsidP="008867CE">
            <w:pPr>
              <w:jc w:val="center"/>
              <w:rPr>
                <w:rFonts w:ascii="Arial" w:hAnsi="Arial" w:cs="Arial"/>
                <w:sz w:val="20"/>
                <w:szCs w:val="20"/>
              </w:rPr>
            </w:pPr>
            <w:r w:rsidRPr="00643148">
              <w:rPr>
                <w:rFonts w:ascii="Arial" w:hAnsi="Arial" w:cs="Arial"/>
                <w:sz w:val="20"/>
                <w:szCs w:val="20"/>
              </w:rPr>
              <w:t>2.97</w:t>
            </w:r>
          </w:p>
        </w:tc>
      </w:tr>
    </w:tbl>
    <w:p w14:paraId="77C9A4FC" w14:textId="77777777" w:rsidR="006E1897" w:rsidRDefault="006E1897" w:rsidP="006E1897">
      <w:pPr>
        <w:rPr>
          <w:rFonts w:ascii="Arial" w:hAnsi="Arial" w:cs="Arial"/>
          <w:b/>
          <w:sz w:val="20"/>
          <w:szCs w:val="20"/>
        </w:rPr>
      </w:pPr>
    </w:p>
    <w:p w14:paraId="1B3668F4" w14:textId="77777777" w:rsidR="003A49E0" w:rsidRDefault="003A49E0" w:rsidP="009B3A28">
      <w:pPr>
        <w:spacing w:before="60" w:line="264" w:lineRule="auto"/>
        <w:rPr>
          <w:rFonts w:ascii="Arial" w:hAnsi="Arial" w:cs="Arial"/>
          <w:b/>
          <w:sz w:val="20"/>
          <w:szCs w:val="20"/>
        </w:rPr>
      </w:pPr>
      <w:r>
        <w:rPr>
          <w:rFonts w:ascii="Arial" w:hAnsi="Arial" w:cs="Arial"/>
          <w:b/>
          <w:sz w:val="20"/>
          <w:szCs w:val="20"/>
        </w:rPr>
        <w:t>Hours of Operation</w:t>
      </w:r>
    </w:p>
    <w:p w14:paraId="1B3668F5" w14:textId="12E430EC" w:rsidR="003A49E0" w:rsidRPr="003A49E0" w:rsidRDefault="00DE682A" w:rsidP="009B3A28">
      <w:pPr>
        <w:spacing w:line="264" w:lineRule="auto"/>
        <w:rPr>
          <w:rFonts w:ascii="Arial" w:hAnsi="Arial" w:cs="Arial"/>
          <w:sz w:val="20"/>
          <w:szCs w:val="20"/>
        </w:rPr>
      </w:pPr>
      <w:r>
        <w:rPr>
          <w:rFonts w:ascii="Arial" w:hAnsi="Arial" w:cs="Arial"/>
          <w:sz w:val="20"/>
          <w:szCs w:val="20"/>
        </w:rPr>
        <w:t>The DEER 2017</w:t>
      </w:r>
      <w:r w:rsidR="003A49E0">
        <w:rPr>
          <w:rFonts w:ascii="Arial" w:hAnsi="Arial" w:cs="Arial"/>
          <w:sz w:val="20"/>
          <w:szCs w:val="20"/>
        </w:rPr>
        <w:t xml:space="preserve"> hours of operation and interactive effects are used for the savings calculations.</w:t>
      </w:r>
    </w:p>
    <w:p w14:paraId="04B44D4F" w14:textId="77777777" w:rsidR="004748B5" w:rsidRDefault="004748B5" w:rsidP="00175673">
      <w:pPr>
        <w:tabs>
          <w:tab w:val="left" w:pos="6435"/>
        </w:tabs>
        <w:rPr>
          <w:rFonts w:ascii="Arial" w:hAnsi="Arial" w:cs="Arial"/>
          <w:b/>
          <w:sz w:val="20"/>
          <w:szCs w:val="20"/>
        </w:rPr>
      </w:pPr>
    </w:p>
    <w:p w14:paraId="007083DB" w14:textId="77777777" w:rsidR="003570B7" w:rsidRDefault="003570B7" w:rsidP="00175673">
      <w:pPr>
        <w:tabs>
          <w:tab w:val="left" w:pos="6435"/>
        </w:tabs>
        <w:rPr>
          <w:rFonts w:ascii="Arial" w:hAnsi="Arial" w:cs="Arial"/>
          <w:b/>
          <w:sz w:val="20"/>
          <w:szCs w:val="20"/>
        </w:rPr>
      </w:pPr>
    </w:p>
    <w:p w14:paraId="777F0987" w14:textId="77777777" w:rsidR="003570B7" w:rsidRDefault="003570B7" w:rsidP="00175673">
      <w:pPr>
        <w:tabs>
          <w:tab w:val="left" w:pos="6435"/>
        </w:tabs>
        <w:rPr>
          <w:rFonts w:ascii="Arial" w:hAnsi="Arial" w:cs="Arial"/>
          <w:b/>
          <w:sz w:val="20"/>
          <w:szCs w:val="20"/>
        </w:rPr>
      </w:pPr>
    </w:p>
    <w:p w14:paraId="1B3668F7" w14:textId="385E5A8D" w:rsidR="009C5CA7" w:rsidRPr="006B6481" w:rsidRDefault="00BC18FB" w:rsidP="00175673">
      <w:pPr>
        <w:tabs>
          <w:tab w:val="left" w:pos="6435"/>
        </w:tabs>
        <w:rPr>
          <w:rFonts w:ascii="Arial" w:hAnsi="Arial" w:cs="Arial"/>
          <w:b/>
          <w:sz w:val="20"/>
          <w:szCs w:val="20"/>
          <w:u w:val="single"/>
        </w:rPr>
      </w:pPr>
      <w:r w:rsidRPr="006B6481">
        <w:rPr>
          <w:rFonts w:ascii="Arial" w:hAnsi="Arial" w:cs="Arial"/>
          <w:b/>
          <w:sz w:val="20"/>
          <w:szCs w:val="20"/>
        </w:rPr>
        <w:t>Net to Gross Assumption</w:t>
      </w:r>
    </w:p>
    <w:p w14:paraId="572B906E" w14:textId="1F88EF99" w:rsidR="00BC2970" w:rsidRPr="008B1914" w:rsidRDefault="00BC2970" w:rsidP="00BC2970">
      <w:pPr>
        <w:spacing w:before="60" w:after="120"/>
        <w:rPr>
          <w:rFonts w:ascii="Arial" w:hAnsi="Arial" w:cs="Arial"/>
          <w:sz w:val="20"/>
          <w:szCs w:val="20"/>
        </w:rPr>
      </w:pPr>
      <w:r>
        <w:rPr>
          <w:rFonts w:ascii="Arial" w:hAnsi="Arial" w:cs="Arial"/>
          <w:sz w:val="20"/>
          <w:szCs w:val="20"/>
        </w:rPr>
        <w:t xml:space="preserve">Table below shows the approved NTG values from the </w:t>
      </w:r>
      <w:r w:rsidRPr="00E22A48">
        <w:rPr>
          <w:rFonts w:ascii="Arial" w:hAnsi="Arial" w:cs="Arial"/>
          <w:sz w:val="20"/>
          <w:szCs w:val="20"/>
        </w:rPr>
        <w:t>2018 Phase 1 Scre</w:t>
      </w:r>
      <w:r w:rsidR="00FC3FC1">
        <w:rPr>
          <w:rFonts w:ascii="Arial" w:hAnsi="Arial" w:cs="Arial"/>
          <w:sz w:val="20"/>
          <w:szCs w:val="20"/>
        </w:rPr>
        <w:t>w-in Lamp Disposition, Section 5</w:t>
      </w:r>
      <w:r w:rsidRPr="00DD2826">
        <w:rPr>
          <w:rFonts w:ascii="Arial" w:hAnsi="Arial" w:cs="Arial"/>
          <w:sz w:val="20"/>
          <w:szCs w:val="20"/>
        </w:rPr>
        <w:t>.</w:t>
      </w:r>
      <w:r w:rsidRPr="008B1914">
        <w:rPr>
          <w:rFonts w:ascii="Arial" w:hAnsi="Arial" w:cs="Arial"/>
          <w:sz w:val="20"/>
          <w:szCs w:val="20"/>
        </w:rPr>
        <w:t xml:space="preserve"> T</w:t>
      </w:r>
      <w:r>
        <w:rPr>
          <w:rFonts w:ascii="Arial" w:hAnsi="Arial" w:cs="Arial"/>
          <w:sz w:val="20"/>
          <w:szCs w:val="20"/>
        </w:rPr>
        <w:t>he table</w:t>
      </w:r>
      <w:r w:rsidRPr="008B1914">
        <w:rPr>
          <w:rFonts w:ascii="Arial" w:hAnsi="Arial" w:cs="Arial"/>
          <w:sz w:val="20"/>
          <w:szCs w:val="20"/>
        </w:rPr>
        <w:t xml:space="preserve"> below summarizes all applicable Net-to-Gross ratios for programs that may be used by this measure.</w:t>
      </w:r>
    </w:p>
    <w:p w14:paraId="1B3668FA" w14:textId="19501657" w:rsidR="008F48E1" w:rsidRPr="00992284" w:rsidRDefault="00D719E9" w:rsidP="001D3DFF">
      <w:pPr>
        <w:pStyle w:val="Caption"/>
        <w:jc w:val="center"/>
      </w:pPr>
      <w:bookmarkStart w:id="27" w:name="_Toc512857053"/>
      <w:r w:rsidRPr="00992284">
        <w:t>Table</w:t>
      </w:r>
      <w:r w:rsidR="00A04831">
        <w:t xml:space="preserve"> </w:t>
      </w:r>
      <w:fldSimple w:instr=" SEQ Table \* ARABIC \s 1 ">
        <w:r w:rsidR="00510611">
          <w:rPr>
            <w:noProof/>
          </w:rPr>
          <w:t>6</w:t>
        </w:r>
      </w:fldSimple>
      <w:r w:rsidR="00476B67" w:rsidRPr="00992284">
        <w:t xml:space="preserve"> </w:t>
      </w:r>
      <w:r w:rsidR="001D3DFF" w:rsidRPr="00992284">
        <w:t xml:space="preserve">Net-to-Gross </w:t>
      </w:r>
      <w:r w:rsidRPr="00992284">
        <w:t>Ratios</w:t>
      </w:r>
      <w:bookmarkEnd w:id="27"/>
    </w:p>
    <w:tbl>
      <w:tblPr>
        <w:tblStyle w:val="TableGrid1"/>
        <w:tblW w:w="5000" w:type="pct"/>
        <w:tblLayout w:type="fixed"/>
        <w:tblLook w:val="01E0" w:firstRow="1" w:lastRow="1" w:firstColumn="1" w:lastColumn="1" w:noHBand="0" w:noVBand="0"/>
      </w:tblPr>
      <w:tblGrid>
        <w:gridCol w:w="2130"/>
        <w:gridCol w:w="3299"/>
        <w:gridCol w:w="827"/>
        <w:gridCol w:w="1192"/>
        <w:gridCol w:w="1467"/>
        <w:gridCol w:w="841"/>
      </w:tblGrid>
      <w:tr w:rsidR="001D3DFF" w:rsidRPr="00A60D47" w14:paraId="1B366901" w14:textId="77777777" w:rsidTr="00BC2970">
        <w:tc>
          <w:tcPr>
            <w:tcW w:w="1091" w:type="pct"/>
            <w:shd w:val="clear" w:color="auto" w:fill="D9D9D9" w:themeFill="background1" w:themeFillShade="D9"/>
            <w:vAlign w:val="center"/>
          </w:tcPr>
          <w:p w14:paraId="1B3668FB" w14:textId="77777777" w:rsidR="001D3DFF" w:rsidRPr="00A60D47" w:rsidRDefault="001D3DFF" w:rsidP="001D3DFF">
            <w:pPr>
              <w:jc w:val="center"/>
              <w:rPr>
                <w:rFonts w:ascii="Arial" w:hAnsi="Arial" w:cs="Arial"/>
                <w:b/>
                <w:sz w:val="20"/>
                <w:szCs w:val="20"/>
              </w:rPr>
            </w:pPr>
            <w:r w:rsidRPr="00643148">
              <w:rPr>
                <w:rFonts w:ascii="Arial" w:hAnsi="Arial" w:cs="Arial"/>
                <w:b/>
                <w:sz w:val="20"/>
                <w:szCs w:val="20"/>
              </w:rPr>
              <w:t>NTGR ID</w:t>
            </w:r>
          </w:p>
        </w:tc>
        <w:tc>
          <w:tcPr>
            <w:tcW w:w="1691" w:type="pct"/>
            <w:shd w:val="clear" w:color="auto" w:fill="D9D9D9" w:themeFill="background1" w:themeFillShade="D9"/>
            <w:vAlign w:val="center"/>
          </w:tcPr>
          <w:p w14:paraId="1B3668FC" w14:textId="77777777" w:rsidR="001D3DFF" w:rsidRPr="00A60D47" w:rsidRDefault="001D3DFF" w:rsidP="001D3DFF">
            <w:pPr>
              <w:jc w:val="center"/>
              <w:rPr>
                <w:rFonts w:ascii="Arial" w:hAnsi="Arial" w:cs="Arial"/>
                <w:b/>
                <w:sz w:val="20"/>
                <w:szCs w:val="20"/>
              </w:rPr>
            </w:pPr>
            <w:r w:rsidRPr="006B6481">
              <w:rPr>
                <w:rFonts w:ascii="Arial" w:hAnsi="Arial" w:cs="Arial"/>
                <w:b/>
                <w:sz w:val="20"/>
                <w:szCs w:val="20"/>
              </w:rPr>
              <w:t>Description</w:t>
            </w:r>
          </w:p>
        </w:tc>
        <w:tc>
          <w:tcPr>
            <w:tcW w:w="424" w:type="pct"/>
            <w:shd w:val="clear" w:color="auto" w:fill="D9D9D9" w:themeFill="background1" w:themeFillShade="D9"/>
            <w:vAlign w:val="center"/>
          </w:tcPr>
          <w:p w14:paraId="1B3668FD" w14:textId="77777777" w:rsidR="001D3DFF" w:rsidRPr="00A60D47" w:rsidRDefault="001D3DFF" w:rsidP="001D3DFF">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14:paraId="1B3668FE" w14:textId="77777777" w:rsidR="001D3DFF" w:rsidRPr="00A60D47" w:rsidRDefault="001D3DFF" w:rsidP="001D3DFF">
            <w:pPr>
              <w:jc w:val="center"/>
              <w:rPr>
                <w:rFonts w:ascii="Arial" w:hAnsi="Arial" w:cs="Arial"/>
                <w:b/>
                <w:sz w:val="20"/>
                <w:szCs w:val="20"/>
              </w:rPr>
            </w:pPr>
            <w:r w:rsidRPr="00A60D47">
              <w:rPr>
                <w:rFonts w:ascii="Arial" w:hAnsi="Arial" w:cs="Arial"/>
                <w:b/>
                <w:sz w:val="20"/>
                <w:szCs w:val="20"/>
              </w:rPr>
              <w:t>BldgType</w:t>
            </w:r>
          </w:p>
        </w:tc>
        <w:tc>
          <w:tcPr>
            <w:tcW w:w="752" w:type="pct"/>
            <w:shd w:val="clear" w:color="auto" w:fill="D9D9D9" w:themeFill="background1" w:themeFillShade="D9"/>
            <w:vAlign w:val="center"/>
          </w:tcPr>
          <w:p w14:paraId="1B3668FF" w14:textId="77777777" w:rsidR="001D3DFF" w:rsidRPr="00A60D47" w:rsidRDefault="001D3DFF" w:rsidP="001D3DFF">
            <w:pPr>
              <w:jc w:val="center"/>
              <w:rPr>
                <w:rFonts w:ascii="Arial" w:hAnsi="Arial" w:cs="Arial"/>
                <w:b/>
                <w:sz w:val="20"/>
                <w:szCs w:val="20"/>
              </w:rPr>
            </w:pPr>
            <w:r w:rsidRPr="00A60D47">
              <w:rPr>
                <w:rFonts w:ascii="Arial" w:hAnsi="Arial" w:cs="Arial"/>
                <w:b/>
                <w:sz w:val="20"/>
                <w:szCs w:val="20"/>
              </w:rPr>
              <w:t>Delivery Method</w:t>
            </w:r>
          </w:p>
        </w:tc>
        <w:tc>
          <w:tcPr>
            <w:tcW w:w="431" w:type="pct"/>
            <w:shd w:val="clear" w:color="auto" w:fill="D9D9D9" w:themeFill="background1" w:themeFillShade="D9"/>
            <w:vAlign w:val="center"/>
          </w:tcPr>
          <w:p w14:paraId="1B366900" w14:textId="77777777" w:rsidR="001D3DFF" w:rsidRPr="00A60D47" w:rsidRDefault="001D3DFF" w:rsidP="001D3DFF">
            <w:pPr>
              <w:jc w:val="center"/>
              <w:rPr>
                <w:rFonts w:ascii="Arial" w:hAnsi="Arial" w:cs="Arial"/>
                <w:b/>
                <w:sz w:val="20"/>
                <w:szCs w:val="20"/>
              </w:rPr>
            </w:pPr>
            <w:r w:rsidRPr="00A60D47">
              <w:rPr>
                <w:rFonts w:ascii="Arial" w:hAnsi="Arial" w:cs="Arial"/>
                <w:b/>
                <w:sz w:val="20"/>
                <w:szCs w:val="20"/>
              </w:rPr>
              <w:t>NTGR</w:t>
            </w:r>
          </w:p>
        </w:tc>
      </w:tr>
      <w:tr w:rsidR="001D3DFF" w:rsidRPr="00A60D47" w14:paraId="1B366908" w14:textId="77777777" w:rsidTr="00BC2970">
        <w:trPr>
          <w:trHeight w:val="287"/>
        </w:trPr>
        <w:tc>
          <w:tcPr>
            <w:tcW w:w="1091" w:type="pct"/>
            <w:vAlign w:val="center"/>
          </w:tcPr>
          <w:p w14:paraId="1B366902" w14:textId="3769ADB3" w:rsidR="001D3DFF" w:rsidRPr="0057773C" w:rsidRDefault="00BC2970" w:rsidP="001D3DFF">
            <w:pPr>
              <w:jc w:val="center"/>
              <w:rPr>
                <w:rFonts w:ascii="Arial" w:hAnsi="Arial" w:cs="Arial"/>
                <w:color w:val="FF0000"/>
                <w:sz w:val="20"/>
                <w:szCs w:val="20"/>
              </w:rPr>
            </w:pPr>
            <w:r w:rsidRPr="00E22A48">
              <w:rPr>
                <w:rFonts w:ascii="Arial" w:hAnsi="Arial" w:cs="Arial"/>
                <w:sz w:val="20"/>
                <w:szCs w:val="20"/>
              </w:rPr>
              <w:t>All-Ltg-ScrwInLED</w:t>
            </w:r>
          </w:p>
        </w:tc>
        <w:tc>
          <w:tcPr>
            <w:tcW w:w="1691" w:type="pct"/>
            <w:vAlign w:val="center"/>
          </w:tcPr>
          <w:p w14:paraId="1B366903" w14:textId="6688F3EB" w:rsidR="001D3DFF" w:rsidRPr="0057773C" w:rsidRDefault="00BC2970" w:rsidP="001D3DFF">
            <w:pPr>
              <w:jc w:val="center"/>
              <w:rPr>
                <w:rFonts w:ascii="Arial" w:hAnsi="Arial" w:cs="Arial"/>
                <w:color w:val="FF0000"/>
                <w:sz w:val="20"/>
                <w:szCs w:val="20"/>
              </w:rPr>
            </w:pPr>
            <w:r w:rsidRPr="00E22A48">
              <w:rPr>
                <w:rFonts w:ascii="Arial" w:hAnsi="Arial" w:cs="Arial"/>
                <w:sz w:val="20"/>
                <w:szCs w:val="20"/>
              </w:rPr>
              <w:t>All LED lamps and Can Retrofits</w:t>
            </w:r>
          </w:p>
        </w:tc>
        <w:tc>
          <w:tcPr>
            <w:tcW w:w="424" w:type="pct"/>
            <w:vAlign w:val="center"/>
          </w:tcPr>
          <w:p w14:paraId="1B366904" w14:textId="4AFAF135" w:rsidR="001D3DFF" w:rsidRPr="00A60D47" w:rsidRDefault="00F650BD" w:rsidP="001D3DFF">
            <w:pPr>
              <w:jc w:val="center"/>
              <w:rPr>
                <w:rFonts w:ascii="Arial" w:hAnsi="Arial" w:cs="Arial"/>
                <w:sz w:val="20"/>
                <w:szCs w:val="20"/>
              </w:rPr>
            </w:pPr>
            <w:r>
              <w:rPr>
                <w:rFonts w:ascii="Arial" w:hAnsi="Arial" w:cs="Arial"/>
                <w:sz w:val="20"/>
                <w:szCs w:val="20"/>
              </w:rPr>
              <w:t>Any</w:t>
            </w:r>
          </w:p>
        </w:tc>
        <w:tc>
          <w:tcPr>
            <w:tcW w:w="611" w:type="pct"/>
            <w:vAlign w:val="center"/>
          </w:tcPr>
          <w:p w14:paraId="1B366905" w14:textId="77777777"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752" w:type="pct"/>
            <w:vAlign w:val="center"/>
          </w:tcPr>
          <w:p w14:paraId="1B366906" w14:textId="77777777"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431" w:type="pct"/>
            <w:vAlign w:val="center"/>
          </w:tcPr>
          <w:p w14:paraId="1B366907" w14:textId="10BDCF01" w:rsidR="001D3DFF" w:rsidRPr="00A60D47" w:rsidRDefault="001D3DFF" w:rsidP="001D3DFF">
            <w:pPr>
              <w:jc w:val="center"/>
              <w:rPr>
                <w:rFonts w:ascii="Arial" w:hAnsi="Arial" w:cs="Arial"/>
                <w:sz w:val="20"/>
                <w:szCs w:val="20"/>
              </w:rPr>
            </w:pPr>
            <w:r>
              <w:rPr>
                <w:rFonts w:ascii="Arial" w:hAnsi="Arial" w:cs="Arial"/>
                <w:sz w:val="20"/>
                <w:szCs w:val="20"/>
              </w:rPr>
              <w:t>0.</w:t>
            </w:r>
            <w:r w:rsidR="008F2057">
              <w:rPr>
                <w:rFonts w:ascii="Arial" w:hAnsi="Arial" w:cs="Arial"/>
                <w:sz w:val="20"/>
                <w:szCs w:val="20"/>
              </w:rPr>
              <w:t>91</w:t>
            </w:r>
          </w:p>
        </w:tc>
      </w:tr>
    </w:tbl>
    <w:p w14:paraId="1B36691E" w14:textId="77777777" w:rsidR="001D3DFF" w:rsidRDefault="001D3DFF" w:rsidP="001D3DFF"/>
    <w:p w14:paraId="1B36691F" w14:textId="77777777" w:rsidR="001D3DFF" w:rsidRPr="00B83999" w:rsidRDefault="001D3DFF" w:rsidP="001D3DFF">
      <w:pPr>
        <w:rPr>
          <w:rFonts w:ascii="Arial" w:hAnsi="Arial" w:cs="Arial"/>
          <w:b/>
          <w:sz w:val="20"/>
          <w:szCs w:val="20"/>
        </w:rPr>
      </w:pPr>
      <w:r w:rsidRPr="00B83999">
        <w:rPr>
          <w:rFonts w:ascii="Arial" w:hAnsi="Arial" w:cs="Arial"/>
          <w:b/>
          <w:sz w:val="20"/>
          <w:szCs w:val="20"/>
        </w:rPr>
        <w:t>Spillage Rate</w:t>
      </w:r>
    </w:p>
    <w:p w14:paraId="1B366920" w14:textId="77777777" w:rsidR="001D3DFF" w:rsidRPr="00B83999" w:rsidRDefault="001D3DFF" w:rsidP="001D3DFF">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14:paraId="1B366921" w14:textId="77777777" w:rsidR="001D3DFF" w:rsidRPr="00B83999" w:rsidRDefault="001D3DFF" w:rsidP="001D3DFF">
      <w:pPr>
        <w:rPr>
          <w:rFonts w:ascii="Arial" w:hAnsi="Arial" w:cs="Arial"/>
          <w:b/>
          <w:sz w:val="20"/>
          <w:szCs w:val="20"/>
        </w:rPr>
      </w:pPr>
    </w:p>
    <w:p w14:paraId="1B366922" w14:textId="77777777" w:rsidR="001D3DFF" w:rsidRPr="00B83999" w:rsidRDefault="001D3DFF" w:rsidP="001D3DFF">
      <w:pPr>
        <w:rPr>
          <w:rFonts w:ascii="Arial" w:hAnsi="Arial" w:cs="Arial"/>
          <w:b/>
          <w:sz w:val="20"/>
          <w:szCs w:val="20"/>
        </w:rPr>
      </w:pPr>
      <w:r w:rsidRPr="00B83999">
        <w:rPr>
          <w:rFonts w:ascii="Arial" w:hAnsi="Arial" w:cs="Arial"/>
          <w:b/>
          <w:sz w:val="20"/>
          <w:szCs w:val="20"/>
        </w:rPr>
        <w:t>Installation Rate</w:t>
      </w:r>
    </w:p>
    <w:p w14:paraId="1B366923" w14:textId="77777777" w:rsidR="001D3DFF" w:rsidRDefault="001D3DFF" w:rsidP="009B3A28">
      <w:pPr>
        <w:spacing w:after="120"/>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14:paraId="1B366925" w14:textId="77777777" w:rsidR="001D3DFF" w:rsidRDefault="001D3DFF" w:rsidP="001D3DFF">
      <w:pPr>
        <w:pStyle w:val="Caption"/>
        <w:keepNext/>
        <w:jc w:val="center"/>
      </w:pPr>
      <w:bookmarkStart w:id="28" w:name="_Toc512857054"/>
      <w:r w:rsidRPr="00992284">
        <w:t xml:space="preserve">Table </w:t>
      </w:r>
      <w:fldSimple w:instr=" SEQ Table \* ARABIC ">
        <w:r w:rsidR="00510611">
          <w:rPr>
            <w:noProof/>
          </w:rPr>
          <w:t>7</w:t>
        </w:r>
      </w:fldSimple>
      <w:r w:rsidRPr="00992284">
        <w:t xml:space="preserve"> Installation Rate</w:t>
      </w:r>
      <w:bookmarkEnd w:id="28"/>
    </w:p>
    <w:tbl>
      <w:tblPr>
        <w:tblStyle w:val="TableGrid1"/>
        <w:tblW w:w="5000" w:type="pct"/>
        <w:tblLook w:val="01E0" w:firstRow="1" w:lastRow="1" w:firstColumn="1" w:lastColumn="1" w:noHBand="0" w:noVBand="0"/>
      </w:tblPr>
      <w:tblGrid>
        <w:gridCol w:w="1397"/>
        <w:gridCol w:w="2728"/>
        <w:gridCol w:w="1331"/>
        <w:gridCol w:w="1662"/>
        <w:gridCol w:w="1376"/>
        <w:gridCol w:w="1262"/>
      </w:tblGrid>
      <w:tr w:rsidR="001D3DFF" w:rsidRPr="00B83999" w14:paraId="1B36692C" w14:textId="77777777" w:rsidTr="001D3DFF">
        <w:tc>
          <w:tcPr>
            <w:tcW w:w="716" w:type="pct"/>
            <w:shd w:val="clear" w:color="auto" w:fill="D9D9D9" w:themeFill="background1" w:themeFillShade="D9"/>
            <w:vAlign w:val="center"/>
          </w:tcPr>
          <w:p w14:paraId="1B366926"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GSIA ID</w:t>
            </w:r>
          </w:p>
        </w:tc>
        <w:tc>
          <w:tcPr>
            <w:tcW w:w="1398" w:type="pct"/>
            <w:shd w:val="clear" w:color="auto" w:fill="D9D9D9" w:themeFill="background1" w:themeFillShade="D9"/>
            <w:vAlign w:val="center"/>
          </w:tcPr>
          <w:p w14:paraId="1B366927"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Description</w:t>
            </w:r>
          </w:p>
        </w:tc>
        <w:tc>
          <w:tcPr>
            <w:tcW w:w="682" w:type="pct"/>
            <w:shd w:val="clear" w:color="auto" w:fill="D9D9D9" w:themeFill="background1" w:themeFillShade="D9"/>
            <w:vAlign w:val="center"/>
          </w:tcPr>
          <w:p w14:paraId="1B366928"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Sector</w:t>
            </w:r>
          </w:p>
        </w:tc>
        <w:tc>
          <w:tcPr>
            <w:tcW w:w="852" w:type="pct"/>
            <w:shd w:val="clear" w:color="auto" w:fill="D9D9D9" w:themeFill="background1" w:themeFillShade="D9"/>
            <w:vAlign w:val="center"/>
          </w:tcPr>
          <w:p w14:paraId="1B366929"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BldgType</w:t>
            </w:r>
          </w:p>
        </w:tc>
        <w:tc>
          <w:tcPr>
            <w:tcW w:w="705" w:type="pct"/>
            <w:shd w:val="clear" w:color="auto" w:fill="D9D9D9" w:themeFill="background1" w:themeFillShade="D9"/>
            <w:vAlign w:val="center"/>
          </w:tcPr>
          <w:p w14:paraId="1B36692A"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ProgDelivID</w:t>
            </w:r>
          </w:p>
        </w:tc>
        <w:tc>
          <w:tcPr>
            <w:tcW w:w="647" w:type="pct"/>
            <w:shd w:val="clear" w:color="auto" w:fill="D9D9D9" w:themeFill="background1" w:themeFillShade="D9"/>
            <w:vAlign w:val="center"/>
          </w:tcPr>
          <w:p w14:paraId="1B36692B" w14:textId="77777777" w:rsidR="001D3DFF" w:rsidRPr="00B83999" w:rsidRDefault="001D3DFF" w:rsidP="001D3DFF">
            <w:pPr>
              <w:jc w:val="center"/>
              <w:rPr>
                <w:rFonts w:ascii="Arial" w:hAnsi="Arial" w:cs="Arial"/>
                <w:b/>
                <w:sz w:val="20"/>
                <w:szCs w:val="20"/>
              </w:rPr>
            </w:pPr>
            <w:r w:rsidRPr="00B83999">
              <w:rPr>
                <w:rFonts w:ascii="Arial" w:hAnsi="Arial" w:cs="Arial"/>
                <w:b/>
                <w:sz w:val="20"/>
                <w:szCs w:val="20"/>
              </w:rPr>
              <w:t>GSIAValue</w:t>
            </w:r>
          </w:p>
        </w:tc>
      </w:tr>
      <w:tr w:rsidR="001D3DFF" w:rsidRPr="00B83999" w14:paraId="1B366933" w14:textId="77777777" w:rsidTr="001D3DFF">
        <w:tc>
          <w:tcPr>
            <w:tcW w:w="716" w:type="pct"/>
            <w:shd w:val="clear" w:color="auto" w:fill="auto"/>
            <w:vAlign w:val="center"/>
          </w:tcPr>
          <w:p w14:paraId="1B36692D"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Com-LED-PGE</w:t>
            </w:r>
          </w:p>
        </w:tc>
        <w:tc>
          <w:tcPr>
            <w:tcW w:w="1398" w:type="pct"/>
            <w:shd w:val="clear" w:color="auto" w:fill="auto"/>
            <w:vAlign w:val="center"/>
          </w:tcPr>
          <w:p w14:paraId="1B36692E"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2" w:type="pct"/>
            <w:shd w:val="clear" w:color="auto" w:fill="auto"/>
            <w:vAlign w:val="center"/>
          </w:tcPr>
          <w:p w14:paraId="1B36692F"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Com</w:t>
            </w:r>
          </w:p>
        </w:tc>
        <w:tc>
          <w:tcPr>
            <w:tcW w:w="852" w:type="pct"/>
            <w:shd w:val="clear" w:color="auto" w:fill="auto"/>
            <w:vAlign w:val="center"/>
          </w:tcPr>
          <w:p w14:paraId="1B366930"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Any</w:t>
            </w:r>
          </w:p>
        </w:tc>
        <w:tc>
          <w:tcPr>
            <w:tcW w:w="705" w:type="pct"/>
            <w:shd w:val="clear" w:color="auto" w:fill="auto"/>
            <w:vAlign w:val="center"/>
          </w:tcPr>
          <w:p w14:paraId="1B366931"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NonUpStrm</w:t>
            </w:r>
          </w:p>
        </w:tc>
        <w:tc>
          <w:tcPr>
            <w:tcW w:w="647" w:type="pct"/>
            <w:shd w:val="clear" w:color="auto" w:fill="auto"/>
            <w:vAlign w:val="center"/>
          </w:tcPr>
          <w:p w14:paraId="1B366932"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1</w:t>
            </w:r>
          </w:p>
        </w:tc>
      </w:tr>
      <w:tr w:rsidR="001D3DFF" w:rsidRPr="00B83999" w14:paraId="1B36693A" w14:textId="77777777" w:rsidTr="001D3DFF">
        <w:tc>
          <w:tcPr>
            <w:tcW w:w="716" w:type="pct"/>
            <w:shd w:val="clear" w:color="auto" w:fill="auto"/>
            <w:vAlign w:val="center"/>
          </w:tcPr>
          <w:p w14:paraId="1B366934"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Def-GSIA</w:t>
            </w:r>
          </w:p>
        </w:tc>
        <w:tc>
          <w:tcPr>
            <w:tcW w:w="1398" w:type="pct"/>
            <w:shd w:val="clear" w:color="auto" w:fill="auto"/>
            <w:vAlign w:val="center"/>
          </w:tcPr>
          <w:p w14:paraId="1B366935" w14:textId="77777777" w:rsidR="001D3DFF" w:rsidRPr="00B83999" w:rsidRDefault="001D3DFF" w:rsidP="001D3DFF">
            <w:pPr>
              <w:jc w:val="center"/>
              <w:rPr>
                <w:rFonts w:ascii="Arial" w:hAnsi="Arial" w:cs="Arial"/>
                <w:sz w:val="20"/>
                <w:szCs w:val="20"/>
              </w:rPr>
            </w:pPr>
            <w:r w:rsidRPr="00B83999">
              <w:rPr>
                <w:rFonts w:ascii="Arial" w:hAnsi="Arial" w:cs="Arial"/>
                <w:sz w:val="20"/>
                <w:szCs w:val="20"/>
              </w:rPr>
              <w:t>Default GSIA values</w:t>
            </w:r>
          </w:p>
        </w:tc>
        <w:tc>
          <w:tcPr>
            <w:tcW w:w="682" w:type="pct"/>
            <w:shd w:val="clear" w:color="auto" w:fill="auto"/>
            <w:vAlign w:val="center"/>
          </w:tcPr>
          <w:p w14:paraId="1B366936" w14:textId="77777777"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852" w:type="pct"/>
            <w:shd w:val="clear" w:color="auto" w:fill="auto"/>
            <w:vAlign w:val="center"/>
          </w:tcPr>
          <w:p w14:paraId="1B366937" w14:textId="77777777"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705" w:type="pct"/>
            <w:shd w:val="clear" w:color="auto" w:fill="auto"/>
            <w:vAlign w:val="center"/>
          </w:tcPr>
          <w:p w14:paraId="1B366938" w14:textId="77777777"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647" w:type="pct"/>
            <w:shd w:val="clear" w:color="auto" w:fill="auto"/>
            <w:vAlign w:val="center"/>
          </w:tcPr>
          <w:p w14:paraId="1B366939" w14:textId="77777777" w:rsidR="001D3DFF" w:rsidRPr="00B83999" w:rsidRDefault="001D3DFF" w:rsidP="001D3DFF">
            <w:pPr>
              <w:jc w:val="center"/>
              <w:rPr>
                <w:rFonts w:ascii="Arial" w:hAnsi="Arial" w:cs="Arial"/>
                <w:sz w:val="20"/>
                <w:szCs w:val="20"/>
              </w:rPr>
            </w:pPr>
            <w:r>
              <w:rPr>
                <w:rFonts w:ascii="Arial" w:hAnsi="Arial" w:cs="Arial"/>
                <w:sz w:val="20"/>
                <w:szCs w:val="20"/>
              </w:rPr>
              <w:t>1</w:t>
            </w:r>
          </w:p>
        </w:tc>
      </w:tr>
    </w:tbl>
    <w:p w14:paraId="1B36693B" w14:textId="77777777" w:rsidR="00DD2826" w:rsidRPr="001D3DFF" w:rsidRDefault="00DD2826" w:rsidP="009B1119">
      <w:pPr>
        <w:tabs>
          <w:tab w:val="left" w:pos="6435"/>
        </w:tabs>
        <w:rPr>
          <w:rFonts w:ascii="Arial" w:hAnsi="Arial" w:cs="Arial"/>
          <w:b/>
          <w:sz w:val="20"/>
          <w:szCs w:val="20"/>
        </w:rPr>
      </w:pPr>
    </w:p>
    <w:p w14:paraId="1B36693C" w14:textId="77777777" w:rsidR="00DD2826" w:rsidRDefault="00DD2826" w:rsidP="00216C95">
      <w:pPr>
        <w:tabs>
          <w:tab w:val="left" w:pos="6435"/>
        </w:tabs>
        <w:spacing w:before="80"/>
        <w:rPr>
          <w:rFonts w:ascii="Arial" w:hAnsi="Arial" w:cs="Arial"/>
          <w:b/>
          <w:sz w:val="20"/>
          <w:szCs w:val="20"/>
          <w:u w:val="single"/>
        </w:rPr>
      </w:pPr>
      <w:r w:rsidRPr="001D3DFF">
        <w:rPr>
          <w:rFonts w:ascii="Arial" w:hAnsi="Arial" w:cs="Arial"/>
          <w:b/>
          <w:sz w:val="20"/>
          <w:szCs w:val="20"/>
        </w:rPr>
        <w:t>Effective Useful Life / Remaining Useful Life</w:t>
      </w:r>
    </w:p>
    <w:p w14:paraId="1B36693E" w14:textId="3C28A180" w:rsidR="00DD2826" w:rsidRPr="00DD2826" w:rsidRDefault="00DB623F" w:rsidP="00216C95">
      <w:pPr>
        <w:spacing w:before="80"/>
        <w:rPr>
          <w:rFonts w:ascii="Arial" w:hAnsi="Arial" w:cs="Arial"/>
          <w:sz w:val="20"/>
          <w:szCs w:val="20"/>
        </w:rPr>
      </w:pPr>
      <w:r>
        <w:rPr>
          <w:rFonts w:ascii="Arial" w:hAnsi="Arial" w:cs="Arial"/>
          <w:sz w:val="20"/>
          <w:szCs w:val="20"/>
        </w:rPr>
        <w:t>Although the EULs for both products are listed as min 25,000 and max 50,000 hours,</w:t>
      </w:r>
      <w:r w:rsidRPr="00DD2826">
        <w:rPr>
          <w:rFonts w:ascii="Arial" w:hAnsi="Arial" w:cs="Arial"/>
          <w:sz w:val="20"/>
          <w:szCs w:val="20"/>
        </w:rPr>
        <w:t xml:space="preserve"> </w:t>
      </w:r>
      <w:r w:rsidR="00DD2826" w:rsidRPr="00DD2826">
        <w:rPr>
          <w:rFonts w:ascii="Arial" w:hAnsi="Arial" w:cs="Arial"/>
          <w:sz w:val="20"/>
          <w:szCs w:val="20"/>
        </w:rPr>
        <w:t>Energy Division recommended a lamp li</w:t>
      </w:r>
      <w:r w:rsidR="00F62F79">
        <w:rPr>
          <w:rFonts w:ascii="Arial" w:hAnsi="Arial" w:cs="Arial"/>
          <w:sz w:val="20"/>
          <w:szCs w:val="20"/>
        </w:rPr>
        <w:t>fe of 2</w:t>
      </w:r>
      <w:r w:rsidR="00B60485">
        <w:rPr>
          <w:rFonts w:ascii="Arial" w:hAnsi="Arial" w:cs="Arial"/>
          <w:sz w:val="20"/>
          <w:szCs w:val="20"/>
        </w:rPr>
        <w:t>0</w:t>
      </w:r>
      <w:r w:rsidR="00DD2826" w:rsidRPr="00DD2826">
        <w:rPr>
          <w:rFonts w:ascii="Arial" w:hAnsi="Arial" w:cs="Arial"/>
          <w:sz w:val="20"/>
          <w:szCs w:val="20"/>
        </w:rPr>
        <w:t>,000 hours</w:t>
      </w:r>
      <w:r w:rsidR="002378D5">
        <w:rPr>
          <w:rFonts w:ascii="Arial" w:hAnsi="Arial" w:cs="Arial"/>
          <w:sz w:val="20"/>
          <w:szCs w:val="20"/>
        </w:rPr>
        <w:t xml:space="preserve"> for </w:t>
      </w:r>
      <w:r w:rsidR="00B60485">
        <w:rPr>
          <w:rFonts w:ascii="Arial" w:hAnsi="Arial" w:cs="Arial"/>
          <w:sz w:val="20"/>
          <w:szCs w:val="20"/>
        </w:rPr>
        <w:t>LED BR/R Lamps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hours of operation, the EUL varies by building type. </w:t>
      </w:r>
      <w:r>
        <w:rPr>
          <w:rFonts w:ascii="Arial" w:hAnsi="Arial" w:cs="Arial"/>
          <w:sz w:val="20"/>
          <w:szCs w:val="20"/>
        </w:rPr>
        <w:t xml:space="preserve"> </w:t>
      </w:r>
      <w:r w:rsidR="00DD2826" w:rsidRPr="00DD2826">
        <w:rPr>
          <w:rFonts w:ascii="Arial" w:hAnsi="Arial" w:cs="Arial"/>
          <w:sz w:val="20"/>
          <w:szCs w:val="20"/>
        </w:rPr>
        <w:t>The Energy Division also recommended using a maximum value of 12 years for EUL, which is the life of a pin-based CFL fixture in commercial application. For residential application the life of a pin-based CFL fixture is 16 years.</w:t>
      </w:r>
    </w:p>
    <w:p w14:paraId="765A0146" w14:textId="224C26C7" w:rsidR="00DE682A" w:rsidRPr="00757361" w:rsidRDefault="00DD2826" w:rsidP="009B3A28">
      <w:pPr>
        <w:spacing w:after="120"/>
        <w:rPr>
          <w:rFonts w:ascii="Arial" w:hAnsi="Arial" w:cs="Arial"/>
          <w:sz w:val="20"/>
          <w:szCs w:val="20"/>
        </w:rPr>
      </w:pPr>
      <w:r w:rsidRPr="00DD2826">
        <w:rPr>
          <w:rFonts w:ascii="Arial" w:hAnsi="Arial" w:cs="Arial"/>
          <w:sz w:val="20"/>
          <w:szCs w:val="20"/>
        </w:rPr>
        <w:t xml:space="preserve">The EUL is based on </w:t>
      </w:r>
      <w:r w:rsidR="00B60485">
        <w:rPr>
          <w:rFonts w:ascii="Arial" w:hAnsi="Arial" w:cs="Arial"/>
          <w:sz w:val="20"/>
          <w:szCs w:val="20"/>
        </w:rPr>
        <w:t>20</w:t>
      </w:r>
      <w:r w:rsidR="006C2F62">
        <w:rPr>
          <w:rFonts w:ascii="Arial" w:hAnsi="Arial" w:cs="Arial"/>
          <w:sz w:val="20"/>
          <w:szCs w:val="20"/>
        </w:rPr>
        <w:t>,000</w:t>
      </w:r>
      <w:r w:rsidRPr="00DD2826">
        <w:rPr>
          <w:rFonts w:ascii="Arial" w:hAnsi="Arial" w:cs="Arial"/>
          <w:sz w:val="20"/>
          <w:szCs w:val="20"/>
        </w:rPr>
        <w:t xml:space="preserve"> hours approved </w:t>
      </w:r>
      <w:r w:rsidR="00F0311C">
        <w:rPr>
          <w:rFonts w:ascii="Arial" w:hAnsi="Arial" w:cs="Arial"/>
          <w:sz w:val="20"/>
          <w:szCs w:val="20"/>
        </w:rPr>
        <w:t>Lamp</w:t>
      </w:r>
      <w:r w:rsidRPr="00DD2826">
        <w:rPr>
          <w:rFonts w:ascii="Arial" w:hAnsi="Arial" w:cs="Arial"/>
          <w:sz w:val="20"/>
          <w:szCs w:val="20"/>
        </w:rPr>
        <w:t xml:space="preserve"> life divided by average annual hours of operation for each building type:</w:t>
      </w:r>
    </w:p>
    <w:p w14:paraId="24FDBC87" w14:textId="46B6F609" w:rsidR="00757361" w:rsidRPr="00E02FDE" w:rsidRDefault="00DD2826" w:rsidP="00E02FDE">
      <w:pPr>
        <w:jc w:val="center"/>
        <w:rPr>
          <w:rFonts w:ascii="Arial" w:hAnsi="Arial" w:cs="Arial"/>
          <w:sz w:val="20"/>
          <w:szCs w:val="20"/>
        </w:rPr>
      </w:pPr>
      <w:r w:rsidRPr="00DD2826">
        <w:rPr>
          <w:rFonts w:ascii="Arial" w:hAnsi="Arial" w:cs="Arial"/>
          <w:sz w:val="20"/>
          <w:szCs w:val="20"/>
        </w:rPr>
        <w:t>EUL = (</w:t>
      </w:r>
      <w:r w:rsidR="00F0311C">
        <w:rPr>
          <w:rFonts w:ascii="Arial" w:hAnsi="Arial" w:cs="Arial"/>
          <w:sz w:val="20"/>
          <w:szCs w:val="20"/>
        </w:rPr>
        <w:t>Lamp</w:t>
      </w:r>
      <w:r w:rsidRPr="00DD2826">
        <w:rPr>
          <w:rFonts w:ascii="Arial" w:hAnsi="Arial" w:cs="Arial"/>
          <w:sz w:val="20"/>
          <w:szCs w:val="20"/>
        </w:rPr>
        <w:t xml:space="preserve"> Life (</w:t>
      </w:r>
      <w:r w:rsidR="00DF104A">
        <w:rPr>
          <w:rFonts w:ascii="Arial" w:hAnsi="Arial" w:cs="Arial"/>
          <w:sz w:val="20"/>
          <w:szCs w:val="20"/>
        </w:rPr>
        <w:t>20,0</w:t>
      </w:r>
      <w:r w:rsidR="00DB623F">
        <w:rPr>
          <w:rFonts w:ascii="Arial" w:hAnsi="Arial" w:cs="Arial"/>
          <w:sz w:val="20"/>
          <w:szCs w:val="20"/>
        </w:rPr>
        <w:t xml:space="preserve">00 </w:t>
      </w:r>
      <w:r w:rsidRPr="00DD2826">
        <w:rPr>
          <w:rFonts w:ascii="Arial" w:hAnsi="Arial" w:cs="Arial"/>
          <w:sz w:val="20"/>
          <w:szCs w:val="20"/>
        </w:rPr>
        <w:t>hou</w:t>
      </w:r>
      <w:r w:rsidR="00216C95">
        <w:rPr>
          <w:rFonts w:ascii="Arial" w:hAnsi="Arial" w:cs="Arial"/>
          <w:sz w:val="20"/>
          <w:szCs w:val="20"/>
        </w:rPr>
        <w:t xml:space="preserve">rs)) / (Average Operating Hours </w:t>
      </w:r>
      <w:r w:rsidRPr="00DD2826">
        <w:rPr>
          <w:rFonts w:ascii="Arial" w:hAnsi="Arial" w:cs="Arial"/>
          <w:sz w:val="20"/>
          <w:szCs w:val="20"/>
        </w:rPr>
        <w:t>Per Year)</w:t>
      </w:r>
    </w:p>
    <w:p w14:paraId="5F96A11E" w14:textId="77777777" w:rsidR="00757361" w:rsidRDefault="00757361" w:rsidP="001D3DFF">
      <w:pPr>
        <w:pStyle w:val="Caption"/>
        <w:keepNext/>
        <w:jc w:val="center"/>
      </w:pPr>
    </w:p>
    <w:p w14:paraId="1B366943" w14:textId="77777777" w:rsidR="001D3DFF" w:rsidRPr="00992284" w:rsidRDefault="001D3DFF" w:rsidP="001D3DFF">
      <w:pPr>
        <w:pStyle w:val="Caption"/>
        <w:keepNext/>
        <w:jc w:val="center"/>
      </w:pPr>
      <w:bookmarkStart w:id="29" w:name="_Toc512857055"/>
      <w:r w:rsidRPr="00992284">
        <w:t xml:space="preserve">Table </w:t>
      </w:r>
      <w:fldSimple w:instr=" SEQ Table \* ARABIC ">
        <w:r w:rsidR="00510611">
          <w:rPr>
            <w:noProof/>
          </w:rPr>
          <w:t>8</w:t>
        </w:r>
      </w:fldSimple>
      <w:r w:rsidRPr="00992284">
        <w:t xml:space="preserve"> Effective and Remaining Useful Life</w:t>
      </w:r>
      <w:bookmarkEnd w:id="29"/>
    </w:p>
    <w:tbl>
      <w:tblPr>
        <w:tblStyle w:val="TableGrid1"/>
        <w:tblW w:w="5000" w:type="pct"/>
        <w:tblLayout w:type="fixed"/>
        <w:tblLook w:val="04A0" w:firstRow="1" w:lastRow="0" w:firstColumn="1" w:lastColumn="0" w:noHBand="0" w:noVBand="1"/>
      </w:tblPr>
      <w:tblGrid>
        <w:gridCol w:w="2129"/>
        <w:gridCol w:w="3116"/>
        <w:gridCol w:w="917"/>
        <w:gridCol w:w="1559"/>
        <w:gridCol w:w="1120"/>
        <w:gridCol w:w="915"/>
      </w:tblGrid>
      <w:tr w:rsidR="001D3DFF" w:rsidRPr="0099358A" w14:paraId="1B36694A" w14:textId="77777777" w:rsidTr="00E20F7C">
        <w:tc>
          <w:tcPr>
            <w:tcW w:w="1091" w:type="pct"/>
            <w:shd w:val="clear" w:color="auto" w:fill="D9D9D9" w:themeFill="background1" w:themeFillShade="D9"/>
            <w:vAlign w:val="center"/>
          </w:tcPr>
          <w:p w14:paraId="1B366944"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EUL ID</w:t>
            </w:r>
          </w:p>
        </w:tc>
        <w:tc>
          <w:tcPr>
            <w:tcW w:w="1597" w:type="pct"/>
            <w:shd w:val="clear" w:color="auto" w:fill="D9D9D9" w:themeFill="background1" w:themeFillShade="D9"/>
            <w:vAlign w:val="center"/>
          </w:tcPr>
          <w:p w14:paraId="1B366945"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Description</w:t>
            </w:r>
          </w:p>
        </w:tc>
        <w:tc>
          <w:tcPr>
            <w:tcW w:w="470" w:type="pct"/>
            <w:shd w:val="clear" w:color="auto" w:fill="D9D9D9" w:themeFill="background1" w:themeFillShade="D9"/>
            <w:vAlign w:val="center"/>
          </w:tcPr>
          <w:p w14:paraId="1B366946"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Sector</w:t>
            </w:r>
          </w:p>
        </w:tc>
        <w:tc>
          <w:tcPr>
            <w:tcW w:w="799" w:type="pct"/>
            <w:shd w:val="clear" w:color="auto" w:fill="D9D9D9" w:themeFill="background1" w:themeFillShade="D9"/>
            <w:vAlign w:val="center"/>
          </w:tcPr>
          <w:p w14:paraId="1B366947"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UseCategory</w:t>
            </w:r>
          </w:p>
        </w:tc>
        <w:tc>
          <w:tcPr>
            <w:tcW w:w="574" w:type="pct"/>
            <w:shd w:val="clear" w:color="auto" w:fill="D9D9D9" w:themeFill="background1" w:themeFillShade="D9"/>
            <w:vAlign w:val="center"/>
          </w:tcPr>
          <w:p w14:paraId="1B366948"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14:paraId="1B366949" w14:textId="77777777" w:rsidR="001D3DFF" w:rsidRPr="0099358A" w:rsidRDefault="001D3DFF" w:rsidP="001D3DFF">
            <w:pPr>
              <w:jc w:val="center"/>
              <w:rPr>
                <w:rFonts w:ascii="Arial" w:hAnsi="Arial" w:cs="Arial"/>
                <w:b/>
                <w:sz w:val="20"/>
                <w:szCs w:val="20"/>
              </w:rPr>
            </w:pPr>
            <w:r w:rsidRPr="0099358A">
              <w:rPr>
                <w:rFonts w:ascii="Arial" w:hAnsi="Arial" w:cs="Arial"/>
                <w:b/>
                <w:sz w:val="20"/>
                <w:szCs w:val="20"/>
              </w:rPr>
              <w:t>RUL (Years)</w:t>
            </w:r>
          </w:p>
        </w:tc>
      </w:tr>
      <w:tr w:rsidR="001D3DFF" w:rsidRPr="0099358A" w14:paraId="1B366951" w14:textId="77777777" w:rsidTr="00E20F7C">
        <w:trPr>
          <w:trHeight w:val="243"/>
        </w:trPr>
        <w:tc>
          <w:tcPr>
            <w:tcW w:w="1091" w:type="pct"/>
            <w:vAlign w:val="center"/>
          </w:tcPr>
          <w:p w14:paraId="1B36694B" w14:textId="77777777" w:rsidR="001D3DFF" w:rsidRPr="0099358A" w:rsidRDefault="00DB623F" w:rsidP="001D3DFF">
            <w:pPr>
              <w:jc w:val="center"/>
              <w:rPr>
                <w:rFonts w:ascii="Arial" w:hAnsi="Arial" w:cs="Arial"/>
                <w:sz w:val="20"/>
                <w:szCs w:val="20"/>
              </w:rPr>
            </w:pPr>
            <w:r w:rsidRPr="00DB623F">
              <w:rPr>
                <w:rFonts w:ascii="Arial" w:hAnsi="Arial" w:cs="Arial"/>
                <w:sz w:val="20"/>
                <w:szCs w:val="20"/>
              </w:rPr>
              <w:t>ILtg-Res-LED-20000hr</w:t>
            </w:r>
          </w:p>
        </w:tc>
        <w:tc>
          <w:tcPr>
            <w:tcW w:w="1597" w:type="pct"/>
            <w:vAlign w:val="center"/>
          </w:tcPr>
          <w:p w14:paraId="1B36694C" w14:textId="77777777" w:rsidR="001D3DFF" w:rsidRPr="0099358A" w:rsidRDefault="00DB623F" w:rsidP="001D3DFF">
            <w:pPr>
              <w:jc w:val="center"/>
              <w:rPr>
                <w:rFonts w:ascii="Arial" w:hAnsi="Arial" w:cs="Arial"/>
                <w:sz w:val="20"/>
                <w:szCs w:val="20"/>
              </w:rPr>
            </w:pPr>
            <w:r w:rsidRPr="00DB623F">
              <w:rPr>
                <w:rFonts w:ascii="Arial" w:hAnsi="Arial" w:cs="Arial"/>
                <w:sz w:val="20"/>
                <w:szCs w:val="20"/>
              </w:rPr>
              <w:t>LED lamp - Indoor - Residential</w:t>
            </w:r>
          </w:p>
        </w:tc>
        <w:tc>
          <w:tcPr>
            <w:tcW w:w="470" w:type="pct"/>
            <w:vAlign w:val="center"/>
          </w:tcPr>
          <w:p w14:paraId="1B36694D"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Res</w:t>
            </w:r>
          </w:p>
        </w:tc>
        <w:tc>
          <w:tcPr>
            <w:tcW w:w="799" w:type="pct"/>
            <w:vAlign w:val="center"/>
          </w:tcPr>
          <w:p w14:paraId="1B36694E"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Lighting</w:t>
            </w:r>
          </w:p>
        </w:tc>
        <w:tc>
          <w:tcPr>
            <w:tcW w:w="574" w:type="pct"/>
            <w:vAlign w:val="center"/>
          </w:tcPr>
          <w:p w14:paraId="1B36694F"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16</w:t>
            </w:r>
          </w:p>
        </w:tc>
        <w:tc>
          <w:tcPr>
            <w:tcW w:w="469" w:type="pct"/>
            <w:vAlign w:val="center"/>
          </w:tcPr>
          <w:p w14:paraId="1B366950"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5.33</w:t>
            </w:r>
          </w:p>
        </w:tc>
      </w:tr>
      <w:tr w:rsidR="001D3DFF" w:rsidRPr="0099358A" w14:paraId="1B366958" w14:textId="77777777" w:rsidTr="00E20F7C">
        <w:trPr>
          <w:trHeight w:val="243"/>
        </w:trPr>
        <w:tc>
          <w:tcPr>
            <w:tcW w:w="1091" w:type="pct"/>
            <w:vAlign w:val="center"/>
          </w:tcPr>
          <w:p w14:paraId="1B366952" w14:textId="77777777" w:rsidR="001D3DFF" w:rsidRPr="0099358A" w:rsidRDefault="00DB623F" w:rsidP="001D3DFF">
            <w:pPr>
              <w:jc w:val="center"/>
              <w:rPr>
                <w:rFonts w:ascii="Arial" w:hAnsi="Arial" w:cs="Arial"/>
                <w:sz w:val="20"/>
                <w:szCs w:val="20"/>
              </w:rPr>
            </w:pPr>
            <w:r w:rsidRPr="00DB623F">
              <w:rPr>
                <w:rFonts w:ascii="Arial" w:hAnsi="Arial" w:cs="Arial"/>
                <w:sz w:val="20"/>
                <w:szCs w:val="20"/>
              </w:rPr>
              <w:t>ILtg-Com-LED-20000hr</w:t>
            </w:r>
          </w:p>
        </w:tc>
        <w:tc>
          <w:tcPr>
            <w:tcW w:w="1597" w:type="pct"/>
            <w:vAlign w:val="center"/>
          </w:tcPr>
          <w:p w14:paraId="1B366953" w14:textId="77777777" w:rsidR="001D3DFF" w:rsidRPr="0099358A" w:rsidRDefault="00DB623F" w:rsidP="001D3DFF">
            <w:pPr>
              <w:jc w:val="center"/>
              <w:rPr>
                <w:rFonts w:ascii="Arial" w:hAnsi="Arial" w:cs="Arial"/>
                <w:sz w:val="20"/>
                <w:szCs w:val="20"/>
              </w:rPr>
            </w:pPr>
            <w:r w:rsidRPr="00DB623F">
              <w:rPr>
                <w:rFonts w:ascii="Arial" w:hAnsi="Arial" w:cs="Arial"/>
                <w:sz w:val="20"/>
                <w:szCs w:val="20"/>
              </w:rPr>
              <w:t>LED Lamp - Indoor- Commercial</w:t>
            </w:r>
          </w:p>
        </w:tc>
        <w:tc>
          <w:tcPr>
            <w:tcW w:w="470" w:type="pct"/>
            <w:vAlign w:val="center"/>
          </w:tcPr>
          <w:p w14:paraId="1B366954"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Com</w:t>
            </w:r>
          </w:p>
        </w:tc>
        <w:tc>
          <w:tcPr>
            <w:tcW w:w="799" w:type="pct"/>
            <w:vAlign w:val="center"/>
          </w:tcPr>
          <w:p w14:paraId="1B366955"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Lighting</w:t>
            </w:r>
          </w:p>
        </w:tc>
        <w:tc>
          <w:tcPr>
            <w:tcW w:w="574" w:type="pct"/>
            <w:vAlign w:val="center"/>
          </w:tcPr>
          <w:p w14:paraId="1B366956"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Varies</w:t>
            </w:r>
            <w:r w:rsidR="00DB623F">
              <w:rPr>
                <w:rFonts w:ascii="Arial" w:hAnsi="Arial" w:cs="Arial"/>
                <w:sz w:val="20"/>
                <w:szCs w:val="20"/>
              </w:rPr>
              <w:t xml:space="preserve"> (max 12)</w:t>
            </w:r>
          </w:p>
        </w:tc>
        <w:tc>
          <w:tcPr>
            <w:tcW w:w="469" w:type="pct"/>
            <w:vAlign w:val="center"/>
          </w:tcPr>
          <w:p w14:paraId="1B366957" w14:textId="77777777" w:rsidR="001D3DFF" w:rsidRPr="0099358A" w:rsidRDefault="001D3DFF" w:rsidP="001D3DFF">
            <w:pPr>
              <w:jc w:val="center"/>
              <w:rPr>
                <w:rFonts w:ascii="Arial" w:hAnsi="Arial" w:cs="Arial"/>
                <w:sz w:val="20"/>
                <w:szCs w:val="20"/>
              </w:rPr>
            </w:pPr>
            <w:r w:rsidRPr="0099358A">
              <w:rPr>
                <w:rFonts w:ascii="Arial" w:hAnsi="Arial" w:cs="Arial"/>
                <w:sz w:val="20"/>
                <w:szCs w:val="20"/>
              </w:rPr>
              <w:t>Varies</w:t>
            </w:r>
          </w:p>
        </w:tc>
      </w:tr>
    </w:tbl>
    <w:p w14:paraId="1B366959" w14:textId="07E02A38" w:rsidR="002E0043" w:rsidRPr="002E0043" w:rsidRDefault="00E02FDE" w:rsidP="005333B8">
      <w:pPr>
        <w:pStyle w:val="Heading3"/>
        <w:spacing w:after="0"/>
      </w:pPr>
      <w:bookmarkStart w:id="30" w:name="_Toc512857031"/>
      <w:r>
        <w:t>1.</w:t>
      </w:r>
      <w:r w:rsidR="00FA595F">
        <w:t>4</w:t>
      </w:r>
      <w:r w:rsidR="00793646">
        <w:t>.2</w:t>
      </w:r>
      <w:r w:rsidR="00FA595F">
        <w:t xml:space="preserve"> </w:t>
      </w:r>
      <w:r w:rsidR="00E71EF1" w:rsidRPr="001248A3">
        <w:t xml:space="preserve">Codes &amp; Standards Requirements </w:t>
      </w:r>
      <w:r w:rsidR="009C5CA7">
        <w:t>Base Case and Measure Information</w:t>
      </w:r>
      <w:bookmarkEnd w:id="30"/>
    </w:p>
    <w:p w14:paraId="1B36695A" w14:textId="77777777" w:rsidR="00640BB6" w:rsidRDefault="00EE53FF" w:rsidP="00216C95">
      <w:pPr>
        <w:spacing w:before="120" w:line="264" w:lineRule="auto"/>
        <w:rPr>
          <w:rFonts w:ascii="Arial" w:hAnsi="Arial" w:cs="Arial"/>
          <w:sz w:val="20"/>
          <w:szCs w:val="20"/>
        </w:rPr>
      </w:pPr>
      <w:r w:rsidRPr="009B3A28">
        <w:rPr>
          <w:rFonts w:ascii="Arial" w:hAnsi="Arial" w:cs="Arial"/>
          <w:b/>
          <w:i/>
          <w:sz w:val="22"/>
          <w:szCs w:val="22"/>
        </w:rPr>
        <w:t>Title 20:</w:t>
      </w:r>
      <w:r w:rsidRPr="00B13099">
        <w:rPr>
          <w:rFonts w:ascii="Arial" w:hAnsi="Arial" w:cs="Arial"/>
        </w:rPr>
        <w:t xml:space="preserve"> </w:t>
      </w:r>
      <w:r w:rsidR="00DB623F">
        <w:rPr>
          <w:rFonts w:ascii="Arial" w:hAnsi="Arial" w:cs="Arial"/>
          <w:sz w:val="20"/>
          <w:szCs w:val="20"/>
        </w:rPr>
        <w:t>Under Title 20 [2015] incandescent reflector lamps manufactured before July 15, 2012 must meet Table K-3</w:t>
      </w:r>
      <w:r w:rsidR="00476B67">
        <w:rPr>
          <w:rFonts w:ascii="Arial" w:hAnsi="Arial" w:cs="Arial"/>
          <w:sz w:val="20"/>
          <w:szCs w:val="20"/>
        </w:rPr>
        <w:t xml:space="preserve"> </w:t>
      </w:r>
      <w:r w:rsidR="00DB623F">
        <w:rPr>
          <w:rFonts w:ascii="Arial" w:hAnsi="Arial" w:cs="Arial"/>
          <w:sz w:val="20"/>
          <w:szCs w:val="20"/>
        </w:rPr>
        <w:t>minimum average lamp efficacy (LPW).  For incandescent reflector lamps manufactured on or after July 15, 2012, Table K-4 must be satisfied.  Additional minimum average lamp efficacy requirements of Table K-9 are in effect for state-regulated incandescent reflector lamps manufactured on or after January 1, 2008.</w:t>
      </w:r>
    </w:p>
    <w:p w14:paraId="1B36695B" w14:textId="77777777" w:rsidR="00EE53FF" w:rsidRPr="00B13099" w:rsidRDefault="00EE53FF" w:rsidP="009B3A28">
      <w:pPr>
        <w:spacing w:before="80"/>
        <w:rPr>
          <w:i/>
        </w:rPr>
      </w:pPr>
      <w:r w:rsidRPr="009B3A28">
        <w:rPr>
          <w:rFonts w:ascii="Arial" w:hAnsi="Arial" w:cs="Arial"/>
          <w:b/>
          <w:i/>
          <w:sz w:val="22"/>
          <w:szCs w:val="22"/>
        </w:rPr>
        <w:t>Title 24:</w:t>
      </w:r>
      <w:r w:rsidRPr="009B3A28">
        <w:rPr>
          <w:sz w:val="22"/>
          <w:szCs w:val="22"/>
        </w:rPr>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 xml:space="preserve">under Title 24 </w:t>
      </w:r>
      <w:r w:rsidR="00751297">
        <w:rPr>
          <w:rFonts w:ascii="Arial" w:hAnsi="Arial" w:cs="Arial"/>
          <w:sz w:val="20"/>
          <w:szCs w:val="20"/>
        </w:rPr>
        <w:t xml:space="preserve">[2013] </w:t>
      </w:r>
      <w:r w:rsidRPr="00B13099">
        <w:rPr>
          <w:rFonts w:ascii="Arial" w:hAnsi="Arial" w:cs="Arial"/>
          <w:sz w:val="20"/>
          <w:szCs w:val="20"/>
        </w:rPr>
        <w:t>of the California Energy Regulations.</w:t>
      </w:r>
      <w:r w:rsidR="00476B67">
        <w:rPr>
          <w:rFonts w:ascii="Arial" w:hAnsi="Arial" w:cs="Arial"/>
          <w:sz w:val="20"/>
          <w:szCs w:val="20"/>
        </w:rPr>
        <w:t xml:space="preserve"> </w:t>
      </w:r>
    </w:p>
    <w:p w14:paraId="04E41BF8" w14:textId="77777777" w:rsidR="00403171" w:rsidRDefault="00EE53FF" w:rsidP="009B3A28">
      <w:pPr>
        <w:spacing w:before="80"/>
      </w:pPr>
      <w:r w:rsidRPr="009B3A28">
        <w:rPr>
          <w:rFonts w:ascii="Arial" w:hAnsi="Arial" w:cs="Arial"/>
          <w:b/>
          <w:i/>
          <w:sz w:val="22"/>
          <w:szCs w:val="22"/>
        </w:rPr>
        <w:lastRenderedPageBreak/>
        <w:t>Federal Standards:</w:t>
      </w:r>
      <w:r w:rsidRPr="009B3A28">
        <w:rPr>
          <w:sz w:val="22"/>
          <w:szCs w:val="22"/>
        </w:rPr>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under Federal DOE or EPA Energy Regulations.</w:t>
      </w:r>
    </w:p>
    <w:p w14:paraId="1B36695D" w14:textId="1376C413" w:rsidR="002E0043" w:rsidRPr="00403171" w:rsidRDefault="001248A3" w:rsidP="00403171">
      <w:pPr>
        <w:pStyle w:val="Heading3"/>
        <w:rPr>
          <w:color w:val="FF0000"/>
          <w:sz w:val="20"/>
          <w:szCs w:val="20"/>
        </w:rPr>
      </w:pPr>
      <w:bookmarkStart w:id="31" w:name="_Toc51285703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31"/>
    </w:p>
    <w:p w14:paraId="1B36695E" w14:textId="77777777" w:rsidR="009E2964" w:rsidRPr="00670C9E" w:rsidRDefault="001E37BA" w:rsidP="00992284">
      <w:pPr>
        <w:pStyle w:val="Heading4"/>
      </w:pPr>
      <w:r w:rsidRPr="00670C9E">
        <w:t>1.4.3.1 CALiPER Application Summary Report 16</w:t>
      </w:r>
      <w:r w:rsidRPr="00670C9E">
        <w:fldChar w:fldCharType="begin"/>
      </w:r>
      <w:r w:rsidRPr="00670C9E">
        <w:instrText xml:space="preserve"> NOTEREF _Ref349290944 \h  \* MERGEFORMAT </w:instrText>
      </w:r>
      <w:r w:rsidRPr="00670C9E">
        <w:fldChar w:fldCharType="separate"/>
      </w:r>
      <w:r w:rsidR="00510611">
        <w:t>1</w:t>
      </w:r>
      <w:r w:rsidRPr="00670C9E">
        <w:fldChar w:fldCharType="end"/>
      </w:r>
      <w:r w:rsidRPr="00670C9E">
        <w:t>:</w:t>
      </w:r>
    </w:p>
    <w:p w14:paraId="1B36695F" w14:textId="77777777" w:rsidR="009E3EB3" w:rsidRDefault="006C31AA" w:rsidP="0040593F">
      <w:pPr>
        <w:spacing w:line="264" w:lineRule="auto"/>
        <w:rPr>
          <w:rFonts w:ascii="Arial" w:hAnsi="Arial" w:cs="Arial"/>
          <w:sz w:val="20"/>
          <w:szCs w:val="20"/>
        </w:rPr>
      </w:pPr>
      <w:r>
        <w:rPr>
          <w:rFonts w:ascii="Arial" w:hAnsi="Arial" w:cs="Arial"/>
          <w:sz w:val="20"/>
          <w:szCs w:val="20"/>
        </w:rPr>
        <w:t>T</w:t>
      </w:r>
      <w:r w:rsidR="00597C03" w:rsidRPr="00597C03">
        <w:rPr>
          <w:rFonts w:ascii="Arial" w:hAnsi="Arial" w:cs="Arial"/>
          <w:sz w:val="20"/>
          <w:szCs w:val="20"/>
        </w:rPr>
        <w:t>he most recent CALiPER report stated that as of January of 2012, DOE estimated that BR30 lamps made up approximately 38% of the installed base case of PAR, BR, and R lamps, which corresponds to approximately 2.02 million units</w:t>
      </w:r>
      <w:r w:rsidR="00E9124C">
        <w:rPr>
          <w:rFonts w:ascii="Arial" w:hAnsi="Arial" w:cs="Arial"/>
          <w:sz w:val="20"/>
          <w:szCs w:val="20"/>
        </w:rPr>
        <w:t xml:space="preserve"> in the US</w:t>
      </w:r>
      <w:r w:rsidR="00597C03" w:rsidRPr="00597C03">
        <w:rPr>
          <w:rFonts w:ascii="Arial" w:hAnsi="Arial" w:cs="Arial"/>
          <w:sz w:val="20"/>
          <w:szCs w:val="20"/>
        </w:rPr>
        <w:t xml:space="preserve">. </w:t>
      </w:r>
      <w:r w:rsidR="00597C03">
        <w:rPr>
          <w:rFonts w:ascii="Arial" w:hAnsi="Arial" w:cs="Arial"/>
          <w:sz w:val="20"/>
          <w:szCs w:val="20"/>
        </w:rPr>
        <w:t>Approximately 89% of the products were estimated to be installed in residential applications.</w:t>
      </w:r>
    </w:p>
    <w:p w14:paraId="285CAFB3" w14:textId="0A7B9E4B" w:rsidR="00C60953" w:rsidRDefault="00597C03" w:rsidP="0040593F">
      <w:pPr>
        <w:spacing w:line="264" w:lineRule="auto"/>
        <w:rPr>
          <w:rFonts w:ascii="Arial" w:hAnsi="Arial" w:cs="Arial"/>
          <w:sz w:val="20"/>
          <w:szCs w:val="20"/>
        </w:rPr>
      </w:pPr>
      <w:r>
        <w:rPr>
          <w:rFonts w:ascii="Arial" w:hAnsi="Arial" w:cs="Arial"/>
          <w:sz w:val="20"/>
          <w:szCs w:val="20"/>
        </w:rPr>
        <w:t xml:space="preserve">Based on the CALiPER report product selection the BR30/R30 with 65 watts is the most common of all the BR/R lamps especially in </w:t>
      </w:r>
      <w:r w:rsidR="00055973">
        <w:rPr>
          <w:rFonts w:ascii="Arial" w:hAnsi="Arial" w:cs="Arial"/>
          <w:sz w:val="20"/>
          <w:szCs w:val="20"/>
        </w:rPr>
        <w:t xml:space="preserve">residential applications. </w:t>
      </w:r>
      <w:r>
        <w:rPr>
          <w:rFonts w:ascii="Arial" w:hAnsi="Arial" w:cs="Arial"/>
          <w:sz w:val="20"/>
          <w:szCs w:val="20"/>
        </w:rPr>
        <w:t xml:space="preserve">CALiPER tested a few BR/R lamps in the earlier rounds (4 products in round 2, one product in round 3, and one product in round 9). The </w:t>
      </w:r>
      <w:r w:rsidR="006C31AA">
        <w:rPr>
          <w:rFonts w:ascii="Arial" w:hAnsi="Arial" w:cs="Arial"/>
          <w:sz w:val="20"/>
          <w:szCs w:val="20"/>
        </w:rPr>
        <w:t xml:space="preserve">test ID </w:t>
      </w:r>
      <w:r>
        <w:rPr>
          <w:rFonts w:ascii="Arial" w:hAnsi="Arial" w:cs="Arial"/>
          <w:sz w:val="20"/>
          <w:szCs w:val="20"/>
        </w:rPr>
        <w:t xml:space="preserve">RT42 was reported in “retail replacement lamps in April, 2012. </w:t>
      </w:r>
      <w:r w:rsidR="00DD49FE">
        <w:rPr>
          <w:rFonts w:ascii="Arial" w:hAnsi="Arial" w:cs="Arial"/>
          <w:sz w:val="20"/>
          <w:szCs w:val="20"/>
        </w:rPr>
        <w:t xml:space="preserve">CALiPER tested not only for lumen output, input wattage and efficacy, but for CCT (Correlated Color Temperature),CRI (Color Rendering Index), power factor, </w:t>
      </w:r>
      <w:r w:rsidR="00DA5BF6">
        <w:rPr>
          <w:rFonts w:ascii="Arial" w:hAnsi="Arial" w:cs="Arial"/>
          <w:sz w:val="20"/>
          <w:szCs w:val="20"/>
        </w:rPr>
        <w:t>R9 (Special color rendering index, mostly for red colors), D</w:t>
      </w:r>
      <w:r w:rsidR="00DA5BF6" w:rsidRPr="00DA5BF6">
        <w:rPr>
          <w:rFonts w:ascii="Arial" w:hAnsi="Arial" w:cs="Arial"/>
          <w:sz w:val="20"/>
          <w:szCs w:val="20"/>
          <w:vertAlign w:val="subscript"/>
        </w:rPr>
        <w:t>uv</w:t>
      </w:r>
      <w:r w:rsidR="00DA5BF6">
        <w:rPr>
          <w:rFonts w:ascii="Arial" w:hAnsi="Arial" w:cs="Arial"/>
          <w:sz w:val="20"/>
          <w:szCs w:val="20"/>
        </w:rPr>
        <w:t xml:space="preserve"> (the distance from Planckian locus on the CIE 1960 chromaticity diagram). Some of t</w:t>
      </w:r>
      <w:r>
        <w:rPr>
          <w:rFonts w:ascii="Arial" w:hAnsi="Arial" w:cs="Arial"/>
          <w:sz w:val="20"/>
          <w:szCs w:val="20"/>
        </w:rPr>
        <w:t xml:space="preserve">he results of the tests are shown </w:t>
      </w:r>
      <w:r w:rsidR="00C5040C">
        <w:rPr>
          <w:rFonts w:ascii="Arial" w:hAnsi="Arial" w:cs="Arial"/>
          <w:sz w:val="20"/>
          <w:szCs w:val="20"/>
        </w:rPr>
        <w:t>in table below</w:t>
      </w:r>
      <w:r w:rsidR="004A46C4">
        <w:rPr>
          <w:rFonts w:ascii="Arial" w:hAnsi="Arial" w:cs="Arial"/>
          <w:sz w:val="20"/>
          <w:szCs w:val="20"/>
        </w:rPr>
        <w:t>.</w:t>
      </w:r>
      <w:r>
        <w:rPr>
          <w:rFonts w:ascii="Arial" w:hAnsi="Arial" w:cs="Arial"/>
          <w:sz w:val="20"/>
          <w:szCs w:val="20"/>
        </w:rPr>
        <w:t xml:space="preserve"> </w:t>
      </w:r>
    </w:p>
    <w:p w14:paraId="43746901" w14:textId="77777777" w:rsidR="00DA14F2" w:rsidRPr="00DA14F2" w:rsidRDefault="00DA14F2" w:rsidP="00216C95">
      <w:pPr>
        <w:pStyle w:val="Heading4"/>
        <w:spacing w:before="120"/>
      </w:pPr>
    </w:p>
    <w:p w14:paraId="1B366963" w14:textId="5457B056" w:rsidR="0091026E" w:rsidRPr="00992284" w:rsidRDefault="0091026E" w:rsidP="0091026E">
      <w:pPr>
        <w:pStyle w:val="Caption"/>
        <w:jc w:val="center"/>
      </w:pPr>
      <w:bookmarkStart w:id="32" w:name="_Toc512857056"/>
      <w:r w:rsidRPr="00992284">
        <w:t xml:space="preserve">Table </w:t>
      </w:r>
      <w:fldSimple w:instr=" SEQ Table \* ARABIC ">
        <w:r w:rsidR="00510611">
          <w:rPr>
            <w:noProof/>
          </w:rPr>
          <w:t>9</w:t>
        </w:r>
      </w:fldSimple>
      <w:r w:rsidR="00A04831">
        <w:t xml:space="preserve"> </w:t>
      </w:r>
      <w:r w:rsidRPr="00992284">
        <w:t>Previous CALiPER Testing of BR30 and R30 LED Lamps</w:t>
      </w:r>
      <w:bookmarkEnd w:id="3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78"/>
        <w:gridCol w:w="1114"/>
        <w:gridCol w:w="984"/>
        <w:gridCol w:w="828"/>
        <w:gridCol w:w="769"/>
        <w:gridCol w:w="777"/>
      </w:tblGrid>
      <w:tr w:rsidR="0091026E" w:rsidRPr="00474E68" w14:paraId="1B36696D" w14:textId="77777777" w:rsidTr="00B2344B">
        <w:trPr>
          <w:jc w:val="center"/>
        </w:trPr>
        <w:tc>
          <w:tcPr>
            <w:tcW w:w="1139" w:type="dxa"/>
            <w:shd w:val="clear" w:color="auto" w:fill="auto"/>
            <w:vAlign w:val="center"/>
          </w:tcPr>
          <w:p w14:paraId="1B366964"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DOE CALiPER Test ID</w:t>
            </w:r>
          </w:p>
        </w:tc>
        <w:tc>
          <w:tcPr>
            <w:tcW w:w="978" w:type="dxa"/>
            <w:shd w:val="clear" w:color="auto" w:fill="auto"/>
            <w:vAlign w:val="center"/>
          </w:tcPr>
          <w:p w14:paraId="1B366965"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Initial Output (lm)</w:t>
            </w:r>
          </w:p>
        </w:tc>
        <w:tc>
          <w:tcPr>
            <w:tcW w:w="1114" w:type="dxa"/>
            <w:shd w:val="clear" w:color="auto" w:fill="auto"/>
            <w:vAlign w:val="center"/>
          </w:tcPr>
          <w:p w14:paraId="1B366966"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Total Input Power</w:t>
            </w:r>
          </w:p>
          <w:p w14:paraId="1B366967"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(w)</w:t>
            </w:r>
          </w:p>
        </w:tc>
        <w:tc>
          <w:tcPr>
            <w:tcW w:w="857" w:type="dxa"/>
            <w:shd w:val="clear" w:color="auto" w:fill="auto"/>
            <w:vAlign w:val="center"/>
          </w:tcPr>
          <w:p w14:paraId="1B366968"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Efficacy</w:t>
            </w:r>
          </w:p>
          <w:p w14:paraId="1B366969"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(lm/W)</w:t>
            </w:r>
          </w:p>
        </w:tc>
        <w:tc>
          <w:tcPr>
            <w:tcW w:w="828" w:type="dxa"/>
            <w:shd w:val="clear" w:color="auto" w:fill="auto"/>
            <w:vAlign w:val="center"/>
          </w:tcPr>
          <w:p w14:paraId="1B36696A"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14:paraId="1B36696B"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14:paraId="1B36696C"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CCT</w:t>
            </w:r>
          </w:p>
        </w:tc>
      </w:tr>
      <w:tr w:rsidR="0091026E" w:rsidRPr="00474E68" w14:paraId="1B366975" w14:textId="77777777" w:rsidTr="00B2344B">
        <w:trPr>
          <w:jc w:val="center"/>
        </w:trPr>
        <w:tc>
          <w:tcPr>
            <w:tcW w:w="1139" w:type="dxa"/>
            <w:shd w:val="clear" w:color="auto" w:fill="auto"/>
            <w:vAlign w:val="center"/>
          </w:tcPr>
          <w:p w14:paraId="1B36696E"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07-08</w:t>
            </w:r>
          </w:p>
        </w:tc>
        <w:tc>
          <w:tcPr>
            <w:tcW w:w="978" w:type="dxa"/>
            <w:shd w:val="clear" w:color="auto" w:fill="auto"/>
            <w:vAlign w:val="center"/>
          </w:tcPr>
          <w:p w14:paraId="1B36696F"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229</w:t>
            </w:r>
          </w:p>
        </w:tc>
        <w:tc>
          <w:tcPr>
            <w:tcW w:w="1114" w:type="dxa"/>
            <w:shd w:val="clear" w:color="auto" w:fill="auto"/>
            <w:vAlign w:val="center"/>
          </w:tcPr>
          <w:p w14:paraId="1B366970"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8.8</w:t>
            </w:r>
          </w:p>
        </w:tc>
        <w:tc>
          <w:tcPr>
            <w:tcW w:w="857" w:type="dxa"/>
            <w:shd w:val="clear" w:color="auto" w:fill="auto"/>
            <w:vAlign w:val="center"/>
          </w:tcPr>
          <w:p w14:paraId="1B366971"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27</w:t>
            </w:r>
          </w:p>
        </w:tc>
        <w:tc>
          <w:tcPr>
            <w:tcW w:w="828" w:type="dxa"/>
            <w:shd w:val="clear" w:color="auto" w:fill="auto"/>
            <w:vAlign w:val="center"/>
          </w:tcPr>
          <w:p w14:paraId="1B366972"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0.58</w:t>
            </w:r>
          </w:p>
        </w:tc>
        <w:tc>
          <w:tcPr>
            <w:tcW w:w="769" w:type="dxa"/>
            <w:shd w:val="clear" w:color="auto" w:fill="auto"/>
            <w:vAlign w:val="center"/>
          </w:tcPr>
          <w:p w14:paraId="1B366973"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72</w:t>
            </w:r>
          </w:p>
        </w:tc>
        <w:tc>
          <w:tcPr>
            <w:tcW w:w="777" w:type="dxa"/>
            <w:shd w:val="clear" w:color="auto" w:fill="auto"/>
            <w:vAlign w:val="center"/>
          </w:tcPr>
          <w:p w14:paraId="1B366974"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2945</w:t>
            </w:r>
          </w:p>
        </w:tc>
      </w:tr>
      <w:tr w:rsidR="0091026E" w:rsidRPr="00474E68" w14:paraId="1B36697D" w14:textId="77777777" w:rsidTr="00B2344B">
        <w:trPr>
          <w:jc w:val="center"/>
        </w:trPr>
        <w:tc>
          <w:tcPr>
            <w:tcW w:w="1139" w:type="dxa"/>
            <w:shd w:val="clear" w:color="auto" w:fill="auto"/>
            <w:vAlign w:val="center"/>
          </w:tcPr>
          <w:p w14:paraId="1B366976"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07-09</w:t>
            </w:r>
          </w:p>
        </w:tc>
        <w:tc>
          <w:tcPr>
            <w:tcW w:w="978" w:type="dxa"/>
            <w:shd w:val="clear" w:color="auto" w:fill="auto"/>
            <w:vAlign w:val="center"/>
          </w:tcPr>
          <w:p w14:paraId="1B366977"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310</w:t>
            </w:r>
          </w:p>
        </w:tc>
        <w:tc>
          <w:tcPr>
            <w:tcW w:w="1114" w:type="dxa"/>
            <w:shd w:val="clear" w:color="auto" w:fill="auto"/>
            <w:vAlign w:val="center"/>
          </w:tcPr>
          <w:p w14:paraId="1B366978"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9.1</w:t>
            </w:r>
          </w:p>
        </w:tc>
        <w:tc>
          <w:tcPr>
            <w:tcW w:w="857" w:type="dxa"/>
            <w:shd w:val="clear" w:color="auto" w:fill="auto"/>
            <w:vAlign w:val="center"/>
          </w:tcPr>
          <w:p w14:paraId="1B366979"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34</w:t>
            </w:r>
          </w:p>
        </w:tc>
        <w:tc>
          <w:tcPr>
            <w:tcW w:w="828" w:type="dxa"/>
            <w:shd w:val="clear" w:color="auto" w:fill="auto"/>
            <w:vAlign w:val="center"/>
          </w:tcPr>
          <w:p w14:paraId="1B36697A"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0.59</w:t>
            </w:r>
          </w:p>
        </w:tc>
        <w:tc>
          <w:tcPr>
            <w:tcW w:w="769" w:type="dxa"/>
            <w:shd w:val="clear" w:color="auto" w:fill="auto"/>
            <w:vAlign w:val="center"/>
          </w:tcPr>
          <w:p w14:paraId="1B36697B"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14:paraId="1B36697C"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5973</w:t>
            </w:r>
          </w:p>
        </w:tc>
      </w:tr>
      <w:tr w:rsidR="0091026E" w:rsidRPr="00474E68" w14:paraId="1B366985" w14:textId="77777777" w:rsidTr="00B2344B">
        <w:trPr>
          <w:jc w:val="center"/>
        </w:trPr>
        <w:tc>
          <w:tcPr>
            <w:tcW w:w="1139" w:type="dxa"/>
            <w:shd w:val="clear" w:color="auto" w:fill="auto"/>
            <w:vAlign w:val="center"/>
          </w:tcPr>
          <w:p w14:paraId="1B36697E"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07-13</w:t>
            </w:r>
          </w:p>
        </w:tc>
        <w:tc>
          <w:tcPr>
            <w:tcW w:w="978" w:type="dxa"/>
            <w:shd w:val="clear" w:color="auto" w:fill="auto"/>
            <w:vAlign w:val="center"/>
          </w:tcPr>
          <w:p w14:paraId="1B36697F"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406</w:t>
            </w:r>
          </w:p>
        </w:tc>
        <w:tc>
          <w:tcPr>
            <w:tcW w:w="1114" w:type="dxa"/>
            <w:shd w:val="clear" w:color="auto" w:fill="auto"/>
            <w:vAlign w:val="center"/>
          </w:tcPr>
          <w:p w14:paraId="1B366980"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15.6</w:t>
            </w:r>
          </w:p>
        </w:tc>
        <w:tc>
          <w:tcPr>
            <w:tcW w:w="857" w:type="dxa"/>
            <w:shd w:val="clear" w:color="auto" w:fill="auto"/>
            <w:vAlign w:val="center"/>
          </w:tcPr>
          <w:p w14:paraId="1B366981"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26</w:t>
            </w:r>
          </w:p>
        </w:tc>
        <w:tc>
          <w:tcPr>
            <w:tcW w:w="828" w:type="dxa"/>
            <w:shd w:val="clear" w:color="auto" w:fill="auto"/>
            <w:vAlign w:val="center"/>
          </w:tcPr>
          <w:p w14:paraId="1B366982"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0.47</w:t>
            </w:r>
          </w:p>
        </w:tc>
        <w:tc>
          <w:tcPr>
            <w:tcW w:w="769" w:type="dxa"/>
            <w:shd w:val="clear" w:color="auto" w:fill="auto"/>
            <w:vAlign w:val="center"/>
          </w:tcPr>
          <w:p w14:paraId="1B366983"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14</w:t>
            </w:r>
          </w:p>
        </w:tc>
        <w:tc>
          <w:tcPr>
            <w:tcW w:w="777" w:type="dxa"/>
            <w:shd w:val="clear" w:color="auto" w:fill="auto"/>
            <w:vAlign w:val="center"/>
          </w:tcPr>
          <w:p w14:paraId="1B366984"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2689</w:t>
            </w:r>
          </w:p>
        </w:tc>
      </w:tr>
      <w:tr w:rsidR="0091026E" w:rsidRPr="00474E68" w14:paraId="1B36698D" w14:textId="77777777" w:rsidTr="00B2344B">
        <w:trPr>
          <w:jc w:val="center"/>
        </w:trPr>
        <w:tc>
          <w:tcPr>
            <w:tcW w:w="1139" w:type="dxa"/>
            <w:shd w:val="clear" w:color="auto" w:fill="auto"/>
            <w:vAlign w:val="center"/>
          </w:tcPr>
          <w:p w14:paraId="1B366986"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07-14</w:t>
            </w:r>
          </w:p>
        </w:tc>
        <w:tc>
          <w:tcPr>
            <w:tcW w:w="978" w:type="dxa"/>
            <w:shd w:val="clear" w:color="auto" w:fill="auto"/>
            <w:vAlign w:val="center"/>
          </w:tcPr>
          <w:p w14:paraId="1B366987"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352</w:t>
            </w:r>
          </w:p>
        </w:tc>
        <w:tc>
          <w:tcPr>
            <w:tcW w:w="1114" w:type="dxa"/>
            <w:shd w:val="clear" w:color="auto" w:fill="auto"/>
            <w:vAlign w:val="center"/>
          </w:tcPr>
          <w:p w14:paraId="1B366988"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13.8</w:t>
            </w:r>
          </w:p>
        </w:tc>
        <w:tc>
          <w:tcPr>
            <w:tcW w:w="857" w:type="dxa"/>
            <w:shd w:val="clear" w:color="auto" w:fill="auto"/>
            <w:vAlign w:val="center"/>
          </w:tcPr>
          <w:p w14:paraId="1B366989"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25</w:t>
            </w:r>
          </w:p>
        </w:tc>
        <w:tc>
          <w:tcPr>
            <w:tcW w:w="828" w:type="dxa"/>
            <w:shd w:val="clear" w:color="auto" w:fill="auto"/>
            <w:vAlign w:val="center"/>
          </w:tcPr>
          <w:p w14:paraId="1B36698A"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0.46</w:t>
            </w:r>
          </w:p>
        </w:tc>
        <w:tc>
          <w:tcPr>
            <w:tcW w:w="769" w:type="dxa"/>
            <w:shd w:val="clear" w:color="auto" w:fill="auto"/>
            <w:vAlign w:val="center"/>
          </w:tcPr>
          <w:p w14:paraId="1B36698B"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13</w:t>
            </w:r>
          </w:p>
        </w:tc>
        <w:tc>
          <w:tcPr>
            <w:tcW w:w="777" w:type="dxa"/>
            <w:shd w:val="clear" w:color="auto" w:fill="auto"/>
            <w:vAlign w:val="center"/>
          </w:tcPr>
          <w:p w14:paraId="1B36698C"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4006</w:t>
            </w:r>
          </w:p>
        </w:tc>
      </w:tr>
      <w:tr w:rsidR="0091026E" w:rsidRPr="00474E68" w14:paraId="1B366995" w14:textId="77777777" w:rsidTr="00B2344B">
        <w:trPr>
          <w:jc w:val="center"/>
        </w:trPr>
        <w:tc>
          <w:tcPr>
            <w:tcW w:w="1139" w:type="dxa"/>
            <w:shd w:val="clear" w:color="auto" w:fill="auto"/>
            <w:vAlign w:val="center"/>
          </w:tcPr>
          <w:p w14:paraId="1B36698E"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07-18</w:t>
            </w:r>
          </w:p>
        </w:tc>
        <w:tc>
          <w:tcPr>
            <w:tcW w:w="978" w:type="dxa"/>
            <w:shd w:val="clear" w:color="auto" w:fill="auto"/>
            <w:vAlign w:val="center"/>
          </w:tcPr>
          <w:p w14:paraId="1B36698F"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180</w:t>
            </w:r>
          </w:p>
        </w:tc>
        <w:tc>
          <w:tcPr>
            <w:tcW w:w="1114" w:type="dxa"/>
            <w:shd w:val="clear" w:color="auto" w:fill="auto"/>
            <w:vAlign w:val="center"/>
          </w:tcPr>
          <w:p w14:paraId="1B366990"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8.6</w:t>
            </w:r>
          </w:p>
        </w:tc>
        <w:tc>
          <w:tcPr>
            <w:tcW w:w="857" w:type="dxa"/>
            <w:shd w:val="clear" w:color="auto" w:fill="auto"/>
            <w:vAlign w:val="center"/>
          </w:tcPr>
          <w:p w14:paraId="1B366991"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21</w:t>
            </w:r>
          </w:p>
        </w:tc>
        <w:tc>
          <w:tcPr>
            <w:tcW w:w="828" w:type="dxa"/>
            <w:shd w:val="clear" w:color="auto" w:fill="auto"/>
            <w:vAlign w:val="center"/>
          </w:tcPr>
          <w:p w14:paraId="1B366992"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0.60</w:t>
            </w:r>
          </w:p>
        </w:tc>
        <w:tc>
          <w:tcPr>
            <w:tcW w:w="769" w:type="dxa"/>
            <w:shd w:val="clear" w:color="auto" w:fill="auto"/>
            <w:vAlign w:val="center"/>
          </w:tcPr>
          <w:p w14:paraId="1B366993"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77</w:t>
            </w:r>
          </w:p>
        </w:tc>
        <w:tc>
          <w:tcPr>
            <w:tcW w:w="777" w:type="dxa"/>
            <w:shd w:val="clear" w:color="auto" w:fill="auto"/>
            <w:vAlign w:val="center"/>
          </w:tcPr>
          <w:p w14:paraId="1B366994"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7878</w:t>
            </w:r>
          </w:p>
        </w:tc>
      </w:tr>
      <w:tr w:rsidR="0091026E" w:rsidRPr="00474E68" w14:paraId="1B36699D" w14:textId="77777777" w:rsidTr="00B2344B">
        <w:trPr>
          <w:jc w:val="center"/>
        </w:trPr>
        <w:tc>
          <w:tcPr>
            <w:tcW w:w="1139" w:type="dxa"/>
            <w:shd w:val="clear" w:color="auto" w:fill="auto"/>
            <w:vAlign w:val="center"/>
          </w:tcPr>
          <w:p w14:paraId="1B366996"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09-64</w:t>
            </w:r>
          </w:p>
        </w:tc>
        <w:tc>
          <w:tcPr>
            <w:tcW w:w="978" w:type="dxa"/>
            <w:shd w:val="clear" w:color="auto" w:fill="auto"/>
            <w:vAlign w:val="center"/>
          </w:tcPr>
          <w:p w14:paraId="1B366997"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186</w:t>
            </w:r>
          </w:p>
        </w:tc>
        <w:tc>
          <w:tcPr>
            <w:tcW w:w="1114" w:type="dxa"/>
            <w:shd w:val="clear" w:color="auto" w:fill="auto"/>
            <w:vAlign w:val="center"/>
          </w:tcPr>
          <w:p w14:paraId="1B366998"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3.5</w:t>
            </w:r>
          </w:p>
        </w:tc>
        <w:tc>
          <w:tcPr>
            <w:tcW w:w="857" w:type="dxa"/>
            <w:shd w:val="clear" w:color="auto" w:fill="auto"/>
            <w:vAlign w:val="center"/>
          </w:tcPr>
          <w:p w14:paraId="1B366999"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53</w:t>
            </w:r>
          </w:p>
        </w:tc>
        <w:tc>
          <w:tcPr>
            <w:tcW w:w="828" w:type="dxa"/>
            <w:shd w:val="clear" w:color="auto" w:fill="auto"/>
            <w:vAlign w:val="center"/>
          </w:tcPr>
          <w:p w14:paraId="1B36699A"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0.50</w:t>
            </w:r>
          </w:p>
        </w:tc>
        <w:tc>
          <w:tcPr>
            <w:tcW w:w="769" w:type="dxa"/>
            <w:shd w:val="clear" w:color="auto" w:fill="auto"/>
            <w:vAlign w:val="center"/>
          </w:tcPr>
          <w:p w14:paraId="1B36699B"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71</w:t>
            </w:r>
          </w:p>
        </w:tc>
        <w:tc>
          <w:tcPr>
            <w:tcW w:w="777" w:type="dxa"/>
            <w:shd w:val="clear" w:color="auto" w:fill="auto"/>
            <w:vAlign w:val="center"/>
          </w:tcPr>
          <w:p w14:paraId="1B36699C"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5554</w:t>
            </w:r>
          </w:p>
        </w:tc>
      </w:tr>
      <w:tr w:rsidR="0091026E" w:rsidRPr="00474E68" w14:paraId="1B3669A5" w14:textId="77777777" w:rsidTr="00B2344B">
        <w:trPr>
          <w:jc w:val="center"/>
        </w:trPr>
        <w:tc>
          <w:tcPr>
            <w:tcW w:w="1139" w:type="dxa"/>
            <w:shd w:val="clear" w:color="auto" w:fill="auto"/>
            <w:vAlign w:val="center"/>
          </w:tcPr>
          <w:p w14:paraId="1B36699E"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RT42</w:t>
            </w:r>
          </w:p>
        </w:tc>
        <w:tc>
          <w:tcPr>
            <w:tcW w:w="978" w:type="dxa"/>
            <w:shd w:val="clear" w:color="auto" w:fill="auto"/>
            <w:vAlign w:val="center"/>
          </w:tcPr>
          <w:p w14:paraId="1B36699F"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365</w:t>
            </w:r>
          </w:p>
        </w:tc>
        <w:tc>
          <w:tcPr>
            <w:tcW w:w="1114" w:type="dxa"/>
            <w:shd w:val="clear" w:color="auto" w:fill="auto"/>
            <w:vAlign w:val="center"/>
          </w:tcPr>
          <w:p w14:paraId="1B3669A0"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8.0</w:t>
            </w:r>
          </w:p>
        </w:tc>
        <w:tc>
          <w:tcPr>
            <w:tcW w:w="857" w:type="dxa"/>
            <w:shd w:val="clear" w:color="auto" w:fill="auto"/>
            <w:vAlign w:val="center"/>
          </w:tcPr>
          <w:p w14:paraId="1B3669A1"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46</w:t>
            </w:r>
          </w:p>
        </w:tc>
        <w:tc>
          <w:tcPr>
            <w:tcW w:w="828" w:type="dxa"/>
            <w:shd w:val="clear" w:color="auto" w:fill="auto"/>
            <w:vAlign w:val="center"/>
          </w:tcPr>
          <w:p w14:paraId="1B3669A2"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0.49</w:t>
            </w:r>
          </w:p>
        </w:tc>
        <w:tc>
          <w:tcPr>
            <w:tcW w:w="769" w:type="dxa"/>
            <w:shd w:val="clear" w:color="auto" w:fill="auto"/>
            <w:vAlign w:val="center"/>
          </w:tcPr>
          <w:p w14:paraId="1B3669A3" w14:textId="77777777" w:rsidR="0091026E" w:rsidRPr="00474E68" w:rsidRDefault="0091026E" w:rsidP="00474E68">
            <w:pPr>
              <w:jc w:val="center"/>
              <w:rPr>
                <w:rFonts w:ascii="Arial" w:hAnsi="Arial" w:cs="Arial"/>
                <w:sz w:val="20"/>
                <w:szCs w:val="20"/>
              </w:rPr>
            </w:pPr>
            <w:r w:rsidRPr="00474E68">
              <w:rPr>
                <w:rFonts w:ascii="Arial" w:hAnsi="Arial" w:cs="Arial"/>
                <w:sz w:val="20"/>
                <w:szCs w:val="20"/>
              </w:rPr>
              <w:t>67</w:t>
            </w:r>
          </w:p>
        </w:tc>
        <w:tc>
          <w:tcPr>
            <w:tcW w:w="777" w:type="dxa"/>
            <w:shd w:val="clear" w:color="auto" w:fill="auto"/>
            <w:vAlign w:val="center"/>
          </w:tcPr>
          <w:p w14:paraId="1B3669A4" w14:textId="77777777" w:rsidR="0091026E" w:rsidRPr="00474E68" w:rsidRDefault="00C7070C" w:rsidP="00474E68">
            <w:pPr>
              <w:jc w:val="center"/>
              <w:rPr>
                <w:rFonts w:ascii="Arial" w:hAnsi="Arial" w:cs="Arial"/>
                <w:sz w:val="20"/>
                <w:szCs w:val="20"/>
              </w:rPr>
            </w:pPr>
            <w:r w:rsidRPr="00474E68">
              <w:rPr>
                <w:rFonts w:ascii="Arial" w:hAnsi="Arial" w:cs="Arial"/>
                <w:sz w:val="20"/>
                <w:szCs w:val="20"/>
              </w:rPr>
              <w:t>3225</w:t>
            </w:r>
          </w:p>
        </w:tc>
      </w:tr>
      <w:tr w:rsidR="0091026E" w:rsidRPr="00474E68" w14:paraId="1B3669AD" w14:textId="77777777" w:rsidTr="00B2344B">
        <w:trPr>
          <w:jc w:val="center"/>
        </w:trPr>
        <w:tc>
          <w:tcPr>
            <w:tcW w:w="1139" w:type="dxa"/>
            <w:shd w:val="clear" w:color="auto" w:fill="auto"/>
            <w:vAlign w:val="center"/>
          </w:tcPr>
          <w:p w14:paraId="1B3669A6"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Minimum</w:t>
            </w:r>
          </w:p>
        </w:tc>
        <w:tc>
          <w:tcPr>
            <w:tcW w:w="978" w:type="dxa"/>
            <w:shd w:val="clear" w:color="auto" w:fill="auto"/>
            <w:vAlign w:val="center"/>
          </w:tcPr>
          <w:p w14:paraId="1B3669A7"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180</w:t>
            </w:r>
          </w:p>
        </w:tc>
        <w:tc>
          <w:tcPr>
            <w:tcW w:w="1114" w:type="dxa"/>
            <w:shd w:val="clear" w:color="auto" w:fill="auto"/>
            <w:vAlign w:val="center"/>
          </w:tcPr>
          <w:p w14:paraId="1B3669A8"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3.5</w:t>
            </w:r>
          </w:p>
        </w:tc>
        <w:tc>
          <w:tcPr>
            <w:tcW w:w="857" w:type="dxa"/>
            <w:shd w:val="clear" w:color="auto" w:fill="auto"/>
            <w:vAlign w:val="center"/>
          </w:tcPr>
          <w:p w14:paraId="1B3669A9"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21</w:t>
            </w:r>
          </w:p>
        </w:tc>
        <w:tc>
          <w:tcPr>
            <w:tcW w:w="828" w:type="dxa"/>
            <w:shd w:val="clear" w:color="auto" w:fill="auto"/>
            <w:vAlign w:val="center"/>
          </w:tcPr>
          <w:p w14:paraId="1B3669AA"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0.46</w:t>
            </w:r>
          </w:p>
        </w:tc>
        <w:tc>
          <w:tcPr>
            <w:tcW w:w="769" w:type="dxa"/>
            <w:shd w:val="clear" w:color="auto" w:fill="auto"/>
            <w:vAlign w:val="center"/>
          </w:tcPr>
          <w:p w14:paraId="1B3669AB"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13</w:t>
            </w:r>
          </w:p>
        </w:tc>
        <w:tc>
          <w:tcPr>
            <w:tcW w:w="777" w:type="dxa"/>
            <w:shd w:val="clear" w:color="auto" w:fill="auto"/>
            <w:vAlign w:val="center"/>
          </w:tcPr>
          <w:p w14:paraId="1B3669AC" w14:textId="77777777" w:rsidR="0091026E" w:rsidRPr="00474E68" w:rsidRDefault="00C7070C" w:rsidP="00474E68">
            <w:pPr>
              <w:jc w:val="center"/>
              <w:rPr>
                <w:rFonts w:ascii="Arial" w:hAnsi="Arial" w:cs="Arial"/>
                <w:b/>
                <w:sz w:val="20"/>
                <w:szCs w:val="20"/>
              </w:rPr>
            </w:pPr>
            <w:r w:rsidRPr="00474E68">
              <w:rPr>
                <w:rFonts w:ascii="Arial" w:hAnsi="Arial" w:cs="Arial"/>
                <w:b/>
                <w:sz w:val="20"/>
                <w:szCs w:val="20"/>
              </w:rPr>
              <w:t>2689</w:t>
            </w:r>
          </w:p>
        </w:tc>
      </w:tr>
      <w:tr w:rsidR="0091026E" w:rsidRPr="00474E68" w14:paraId="1B3669B5" w14:textId="77777777" w:rsidTr="00B2344B">
        <w:trPr>
          <w:jc w:val="center"/>
        </w:trPr>
        <w:tc>
          <w:tcPr>
            <w:tcW w:w="1139" w:type="dxa"/>
            <w:shd w:val="clear" w:color="auto" w:fill="auto"/>
            <w:vAlign w:val="center"/>
          </w:tcPr>
          <w:p w14:paraId="1B3669AE"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Mean</w:t>
            </w:r>
          </w:p>
        </w:tc>
        <w:tc>
          <w:tcPr>
            <w:tcW w:w="978" w:type="dxa"/>
            <w:shd w:val="clear" w:color="auto" w:fill="auto"/>
            <w:vAlign w:val="center"/>
          </w:tcPr>
          <w:p w14:paraId="1B3669AF"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291</w:t>
            </w:r>
          </w:p>
        </w:tc>
        <w:tc>
          <w:tcPr>
            <w:tcW w:w="1114" w:type="dxa"/>
            <w:shd w:val="clear" w:color="auto" w:fill="auto"/>
            <w:vAlign w:val="center"/>
          </w:tcPr>
          <w:p w14:paraId="1B3669B0"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9.6</w:t>
            </w:r>
          </w:p>
        </w:tc>
        <w:tc>
          <w:tcPr>
            <w:tcW w:w="857" w:type="dxa"/>
            <w:shd w:val="clear" w:color="auto" w:fill="auto"/>
            <w:vAlign w:val="center"/>
          </w:tcPr>
          <w:p w14:paraId="1B3669B1"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33</w:t>
            </w:r>
          </w:p>
        </w:tc>
        <w:tc>
          <w:tcPr>
            <w:tcW w:w="828" w:type="dxa"/>
            <w:shd w:val="clear" w:color="auto" w:fill="auto"/>
            <w:vAlign w:val="center"/>
          </w:tcPr>
          <w:p w14:paraId="1B3669B2"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0.53</w:t>
            </w:r>
          </w:p>
        </w:tc>
        <w:tc>
          <w:tcPr>
            <w:tcW w:w="769" w:type="dxa"/>
            <w:shd w:val="clear" w:color="auto" w:fill="auto"/>
            <w:vAlign w:val="center"/>
          </w:tcPr>
          <w:p w14:paraId="1B3669B3"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57</w:t>
            </w:r>
          </w:p>
        </w:tc>
        <w:tc>
          <w:tcPr>
            <w:tcW w:w="777" w:type="dxa"/>
            <w:shd w:val="clear" w:color="auto" w:fill="auto"/>
            <w:vAlign w:val="center"/>
          </w:tcPr>
          <w:p w14:paraId="1B3669B4" w14:textId="77777777" w:rsidR="0091026E" w:rsidRPr="00474E68" w:rsidRDefault="00C7070C" w:rsidP="00474E68">
            <w:pPr>
              <w:jc w:val="center"/>
              <w:rPr>
                <w:rFonts w:ascii="Arial" w:hAnsi="Arial" w:cs="Arial"/>
                <w:b/>
                <w:sz w:val="20"/>
                <w:szCs w:val="20"/>
              </w:rPr>
            </w:pPr>
            <w:r w:rsidRPr="00474E68">
              <w:rPr>
                <w:rFonts w:ascii="Arial" w:hAnsi="Arial" w:cs="Arial"/>
                <w:b/>
                <w:sz w:val="20"/>
                <w:szCs w:val="20"/>
              </w:rPr>
              <w:t>4610</w:t>
            </w:r>
          </w:p>
        </w:tc>
      </w:tr>
      <w:tr w:rsidR="0091026E" w:rsidRPr="00474E68" w14:paraId="1B3669BD" w14:textId="77777777" w:rsidTr="00B2344B">
        <w:trPr>
          <w:jc w:val="center"/>
        </w:trPr>
        <w:tc>
          <w:tcPr>
            <w:tcW w:w="1139" w:type="dxa"/>
            <w:shd w:val="clear" w:color="auto" w:fill="auto"/>
            <w:vAlign w:val="center"/>
          </w:tcPr>
          <w:p w14:paraId="1B3669B6"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Maximum</w:t>
            </w:r>
          </w:p>
        </w:tc>
        <w:tc>
          <w:tcPr>
            <w:tcW w:w="978" w:type="dxa"/>
            <w:shd w:val="clear" w:color="auto" w:fill="auto"/>
            <w:vAlign w:val="center"/>
          </w:tcPr>
          <w:p w14:paraId="1B3669B7"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406</w:t>
            </w:r>
          </w:p>
        </w:tc>
        <w:tc>
          <w:tcPr>
            <w:tcW w:w="1114" w:type="dxa"/>
            <w:shd w:val="clear" w:color="auto" w:fill="auto"/>
            <w:vAlign w:val="center"/>
          </w:tcPr>
          <w:p w14:paraId="1B3669B8"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15.6</w:t>
            </w:r>
          </w:p>
        </w:tc>
        <w:tc>
          <w:tcPr>
            <w:tcW w:w="857" w:type="dxa"/>
            <w:shd w:val="clear" w:color="auto" w:fill="auto"/>
            <w:vAlign w:val="center"/>
          </w:tcPr>
          <w:p w14:paraId="1B3669B9"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53</w:t>
            </w:r>
          </w:p>
        </w:tc>
        <w:tc>
          <w:tcPr>
            <w:tcW w:w="828" w:type="dxa"/>
            <w:shd w:val="clear" w:color="auto" w:fill="auto"/>
            <w:vAlign w:val="center"/>
          </w:tcPr>
          <w:p w14:paraId="1B3669BA"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0.60</w:t>
            </w:r>
          </w:p>
        </w:tc>
        <w:tc>
          <w:tcPr>
            <w:tcW w:w="769" w:type="dxa"/>
            <w:shd w:val="clear" w:color="auto" w:fill="auto"/>
            <w:vAlign w:val="center"/>
          </w:tcPr>
          <w:p w14:paraId="1B3669BB" w14:textId="77777777" w:rsidR="0091026E" w:rsidRPr="00474E68" w:rsidRDefault="0091026E" w:rsidP="00474E68">
            <w:pPr>
              <w:jc w:val="center"/>
              <w:rPr>
                <w:rFonts w:ascii="Arial" w:hAnsi="Arial" w:cs="Arial"/>
                <w:b/>
                <w:sz w:val="20"/>
                <w:szCs w:val="20"/>
              </w:rPr>
            </w:pPr>
            <w:r w:rsidRPr="00474E68">
              <w:rPr>
                <w:rFonts w:ascii="Arial" w:hAnsi="Arial" w:cs="Arial"/>
                <w:b/>
                <w:sz w:val="20"/>
                <w:szCs w:val="20"/>
              </w:rPr>
              <w:t>82</w:t>
            </w:r>
          </w:p>
        </w:tc>
        <w:tc>
          <w:tcPr>
            <w:tcW w:w="777" w:type="dxa"/>
            <w:shd w:val="clear" w:color="auto" w:fill="auto"/>
            <w:vAlign w:val="center"/>
          </w:tcPr>
          <w:p w14:paraId="1B3669BC" w14:textId="77777777" w:rsidR="0091026E" w:rsidRPr="00474E68" w:rsidRDefault="00C7070C" w:rsidP="00474E68">
            <w:pPr>
              <w:jc w:val="center"/>
              <w:rPr>
                <w:rFonts w:ascii="Arial" w:hAnsi="Arial" w:cs="Arial"/>
                <w:b/>
                <w:sz w:val="20"/>
                <w:szCs w:val="20"/>
              </w:rPr>
            </w:pPr>
            <w:r w:rsidRPr="00474E68">
              <w:rPr>
                <w:rFonts w:ascii="Arial" w:hAnsi="Arial" w:cs="Arial"/>
                <w:b/>
                <w:sz w:val="20"/>
                <w:szCs w:val="20"/>
              </w:rPr>
              <w:t>7878</w:t>
            </w:r>
          </w:p>
        </w:tc>
      </w:tr>
    </w:tbl>
    <w:p w14:paraId="1B3669C0" w14:textId="0E23E400" w:rsidR="00F96295" w:rsidRDefault="00C7070C" w:rsidP="0040593F">
      <w:pPr>
        <w:spacing w:before="120" w:after="120" w:line="264" w:lineRule="auto"/>
        <w:rPr>
          <w:rFonts w:ascii="Arial" w:hAnsi="Arial" w:cs="Arial"/>
          <w:sz w:val="20"/>
          <w:szCs w:val="20"/>
        </w:rPr>
      </w:pPr>
      <w:r w:rsidRPr="00C7070C">
        <w:rPr>
          <w:rFonts w:ascii="Arial" w:hAnsi="Arial" w:cs="Arial"/>
          <w:sz w:val="20"/>
          <w:szCs w:val="20"/>
        </w:rPr>
        <w:t xml:space="preserve">As we can see from the </w:t>
      </w:r>
      <w:r w:rsidR="00055973">
        <w:rPr>
          <w:rFonts w:ascii="Arial" w:hAnsi="Arial" w:cs="Arial"/>
          <w:sz w:val="20"/>
          <w:szCs w:val="20"/>
        </w:rPr>
        <w:t xml:space="preserve">earlier </w:t>
      </w:r>
      <w:r w:rsidRPr="00C7070C">
        <w:rPr>
          <w:rFonts w:ascii="Arial" w:hAnsi="Arial" w:cs="Arial"/>
          <w:sz w:val="20"/>
          <w:szCs w:val="20"/>
        </w:rPr>
        <w:t xml:space="preserve">results of the testing </w:t>
      </w:r>
      <w:r w:rsidR="00216C95">
        <w:rPr>
          <w:rFonts w:ascii="Arial" w:hAnsi="Arial" w:cs="Arial"/>
          <w:sz w:val="20"/>
          <w:szCs w:val="20"/>
        </w:rPr>
        <w:t xml:space="preserve">of </w:t>
      </w:r>
      <w:r w:rsidRPr="00C7070C">
        <w:rPr>
          <w:rFonts w:ascii="Arial" w:hAnsi="Arial" w:cs="Arial"/>
          <w:sz w:val="20"/>
          <w:szCs w:val="20"/>
        </w:rPr>
        <w:t>the</w:t>
      </w:r>
      <w:r w:rsidR="00216C95">
        <w:rPr>
          <w:rFonts w:ascii="Arial" w:hAnsi="Arial" w:cs="Arial"/>
          <w:sz w:val="20"/>
          <w:szCs w:val="20"/>
        </w:rPr>
        <w:t xml:space="preserve"> lamp</w:t>
      </w:r>
      <w:r w:rsidRPr="00C7070C">
        <w:rPr>
          <w:rFonts w:ascii="Arial" w:hAnsi="Arial" w:cs="Arial"/>
          <w:sz w:val="20"/>
          <w:szCs w:val="20"/>
        </w:rPr>
        <w:t xml:space="preserve"> efficacy</w:t>
      </w:r>
      <w:r w:rsidR="009104F7">
        <w:rPr>
          <w:rFonts w:ascii="Arial" w:hAnsi="Arial" w:cs="Arial"/>
          <w:sz w:val="20"/>
          <w:szCs w:val="20"/>
        </w:rPr>
        <w:t>,</w:t>
      </w:r>
      <w:r w:rsidRPr="00C7070C">
        <w:rPr>
          <w:rFonts w:ascii="Arial" w:hAnsi="Arial" w:cs="Arial"/>
          <w:sz w:val="20"/>
          <w:szCs w:val="20"/>
        </w:rPr>
        <w:t xml:space="preserve"> of </w:t>
      </w:r>
      <w:r w:rsidR="007C1421">
        <w:rPr>
          <w:rFonts w:ascii="Arial" w:hAnsi="Arial" w:cs="Arial"/>
          <w:sz w:val="20"/>
          <w:szCs w:val="20"/>
        </w:rPr>
        <w:t>the LED</w:t>
      </w:r>
      <w:r w:rsidRPr="00C7070C">
        <w:rPr>
          <w:rFonts w:ascii="Arial" w:hAnsi="Arial" w:cs="Arial"/>
          <w:sz w:val="20"/>
          <w:szCs w:val="20"/>
        </w:rPr>
        <w:t xml:space="preserve"> lamps </w:t>
      </w:r>
      <w:r w:rsidR="00055973">
        <w:rPr>
          <w:rFonts w:ascii="Arial" w:hAnsi="Arial" w:cs="Arial"/>
          <w:sz w:val="20"/>
          <w:szCs w:val="20"/>
        </w:rPr>
        <w:t>were</w:t>
      </w:r>
      <w:r w:rsidR="00643E1F">
        <w:rPr>
          <w:rFonts w:ascii="Arial" w:hAnsi="Arial" w:cs="Arial"/>
          <w:sz w:val="20"/>
          <w:szCs w:val="20"/>
        </w:rPr>
        <w:t xml:space="preserve"> </w:t>
      </w:r>
      <w:r w:rsidRPr="00C7070C">
        <w:rPr>
          <w:rFonts w:ascii="Arial" w:hAnsi="Arial" w:cs="Arial"/>
          <w:sz w:val="20"/>
          <w:szCs w:val="20"/>
        </w:rPr>
        <w:t>between 21 to 53 (lm/W) with a mean of 33</w:t>
      </w:r>
      <w:r w:rsidR="00736D00">
        <w:rPr>
          <w:rFonts w:ascii="Arial" w:hAnsi="Arial" w:cs="Arial"/>
          <w:sz w:val="20"/>
          <w:szCs w:val="20"/>
        </w:rPr>
        <w:t xml:space="preserve"> </w:t>
      </w:r>
      <w:r w:rsidRPr="00C7070C">
        <w:rPr>
          <w:rFonts w:ascii="Arial" w:hAnsi="Arial" w:cs="Arial"/>
          <w:sz w:val="20"/>
          <w:szCs w:val="20"/>
        </w:rPr>
        <w:t>lm/W</w:t>
      </w:r>
      <w:r>
        <w:rPr>
          <w:rFonts w:ascii="Arial" w:hAnsi="Arial" w:cs="Arial"/>
          <w:sz w:val="20"/>
          <w:szCs w:val="20"/>
        </w:rPr>
        <w:t xml:space="preserve">. </w:t>
      </w:r>
      <w:r w:rsidR="007C1421">
        <w:rPr>
          <w:rFonts w:ascii="Arial" w:hAnsi="Arial" w:cs="Arial"/>
          <w:sz w:val="20"/>
          <w:szCs w:val="20"/>
        </w:rPr>
        <w:t xml:space="preserve">The </w:t>
      </w:r>
      <w:r w:rsidR="000727D2">
        <w:rPr>
          <w:rFonts w:ascii="Arial" w:hAnsi="Arial" w:cs="Arial"/>
          <w:sz w:val="20"/>
          <w:szCs w:val="20"/>
        </w:rPr>
        <w:t xml:space="preserve">minimum </w:t>
      </w:r>
      <w:r w:rsidR="007C1421">
        <w:rPr>
          <w:rFonts w:ascii="Arial" w:hAnsi="Arial" w:cs="Arial"/>
          <w:sz w:val="20"/>
          <w:szCs w:val="20"/>
        </w:rPr>
        <w:t xml:space="preserve">lumen output and the </w:t>
      </w:r>
      <w:r w:rsidR="000727D2">
        <w:rPr>
          <w:rFonts w:ascii="Arial" w:hAnsi="Arial" w:cs="Arial"/>
          <w:sz w:val="20"/>
          <w:szCs w:val="20"/>
        </w:rPr>
        <w:t xml:space="preserve">minimum </w:t>
      </w:r>
      <w:r w:rsidR="007C1421">
        <w:rPr>
          <w:rFonts w:ascii="Arial" w:hAnsi="Arial" w:cs="Arial"/>
          <w:sz w:val="20"/>
          <w:szCs w:val="20"/>
        </w:rPr>
        <w:t xml:space="preserve">efficacy of these LED lamps don’t come close to the conventional lamps tested by </w:t>
      </w:r>
      <w:r>
        <w:rPr>
          <w:rFonts w:ascii="Arial" w:hAnsi="Arial" w:cs="Arial"/>
          <w:sz w:val="20"/>
          <w:szCs w:val="20"/>
        </w:rPr>
        <w:t>CALiPER</w:t>
      </w:r>
      <w:r w:rsidR="007C1421">
        <w:rPr>
          <w:rFonts w:ascii="Arial" w:hAnsi="Arial" w:cs="Arial"/>
          <w:sz w:val="20"/>
          <w:szCs w:val="20"/>
        </w:rPr>
        <w:t xml:space="preserve"> and shown </w:t>
      </w:r>
      <w:r w:rsidR="000727D2">
        <w:rPr>
          <w:rFonts w:ascii="Arial" w:hAnsi="Arial" w:cs="Arial"/>
          <w:sz w:val="20"/>
          <w:szCs w:val="20"/>
        </w:rPr>
        <w:t>in Table 9</w:t>
      </w:r>
      <w:r w:rsidR="007C1421">
        <w:rPr>
          <w:rFonts w:ascii="Arial" w:hAnsi="Arial" w:cs="Arial"/>
          <w:sz w:val="20"/>
          <w:szCs w:val="20"/>
        </w:rPr>
        <w:t xml:space="preserve">. </w:t>
      </w:r>
      <w:r>
        <w:rPr>
          <w:rFonts w:ascii="Arial" w:hAnsi="Arial" w:cs="Arial"/>
          <w:sz w:val="20"/>
          <w:szCs w:val="20"/>
        </w:rPr>
        <w:t xml:space="preserve"> </w:t>
      </w:r>
      <w:r w:rsidR="000727D2">
        <w:rPr>
          <w:rFonts w:ascii="Arial" w:hAnsi="Arial" w:cs="Arial"/>
          <w:sz w:val="20"/>
          <w:szCs w:val="20"/>
        </w:rPr>
        <w:t xml:space="preserve">Although the mean efficacy of the LED and conventional </w:t>
      </w:r>
      <w:r w:rsidR="00216C95">
        <w:rPr>
          <w:rFonts w:ascii="Arial" w:hAnsi="Arial" w:cs="Arial"/>
          <w:sz w:val="20"/>
          <w:szCs w:val="20"/>
        </w:rPr>
        <w:t xml:space="preserve">lamps </w:t>
      </w:r>
      <w:r w:rsidR="000727D2">
        <w:rPr>
          <w:rFonts w:ascii="Arial" w:hAnsi="Arial" w:cs="Arial"/>
          <w:sz w:val="20"/>
          <w:szCs w:val="20"/>
        </w:rPr>
        <w:t xml:space="preserve">are close, the mean lumen outputs do not come close. </w:t>
      </w:r>
    </w:p>
    <w:p w14:paraId="1B3669C2" w14:textId="4314BFE3" w:rsidR="00C7070C" w:rsidRPr="00751297" w:rsidRDefault="00C7070C" w:rsidP="005E4ABC">
      <w:pPr>
        <w:pStyle w:val="Caption"/>
        <w:jc w:val="center"/>
        <w:rPr>
          <w:rFonts w:ascii="Arial" w:hAnsi="Arial" w:cs="Arial"/>
        </w:rPr>
      </w:pPr>
      <w:bookmarkStart w:id="33" w:name="_Toc512857057"/>
      <w:r w:rsidRPr="00992284">
        <w:t xml:space="preserve">Table </w:t>
      </w:r>
      <w:fldSimple w:instr=" SEQ Table \* ARABIC ">
        <w:r w:rsidR="00510611">
          <w:rPr>
            <w:noProof/>
          </w:rPr>
          <w:t>10</w:t>
        </w:r>
      </w:fldSimple>
      <w:r w:rsidRPr="00992284">
        <w:t xml:space="preserve"> CALiPER Testing of Conventional BR30 and R30 Lamps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06"/>
        <w:gridCol w:w="872"/>
        <w:gridCol w:w="817"/>
        <w:gridCol w:w="984"/>
        <w:gridCol w:w="828"/>
        <w:gridCol w:w="769"/>
        <w:gridCol w:w="777"/>
      </w:tblGrid>
      <w:tr w:rsidR="00C7070C" w:rsidRPr="00474E68" w14:paraId="1B3669CD" w14:textId="77777777" w:rsidTr="00474E68">
        <w:trPr>
          <w:jc w:val="center"/>
        </w:trPr>
        <w:tc>
          <w:tcPr>
            <w:tcW w:w="1139" w:type="dxa"/>
            <w:shd w:val="clear" w:color="auto" w:fill="auto"/>
            <w:vAlign w:val="center"/>
          </w:tcPr>
          <w:p w14:paraId="1B3669C3"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DOE CALiPER Test ID</w:t>
            </w:r>
          </w:p>
        </w:tc>
        <w:tc>
          <w:tcPr>
            <w:tcW w:w="872" w:type="dxa"/>
            <w:shd w:val="clear" w:color="auto" w:fill="auto"/>
          </w:tcPr>
          <w:p w14:paraId="1B3669C4"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Source Type</w:t>
            </w:r>
          </w:p>
        </w:tc>
        <w:tc>
          <w:tcPr>
            <w:tcW w:w="872" w:type="dxa"/>
            <w:shd w:val="clear" w:color="auto" w:fill="auto"/>
            <w:vAlign w:val="center"/>
          </w:tcPr>
          <w:p w14:paraId="1B3669C5"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Initial Output (lm)</w:t>
            </w:r>
          </w:p>
        </w:tc>
        <w:tc>
          <w:tcPr>
            <w:tcW w:w="817" w:type="dxa"/>
            <w:shd w:val="clear" w:color="auto" w:fill="auto"/>
            <w:vAlign w:val="center"/>
          </w:tcPr>
          <w:p w14:paraId="1B3669C6"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Total Input Power</w:t>
            </w:r>
          </w:p>
          <w:p w14:paraId="1B3669C7"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(w)</w:t>
            </w:r>
          </w:p>
        </w:tc>
        <w:tc>
          <w:tcPr>
            <w:tcW w:w="984" w:type="dxa"/>
            <w:shd w:val="clear" w:color="auto" w:fill="auto"/>
            <w:vAlign w:val="center"/>
          </w:tcPr>
          <w:p w14:paraId="1B3669C8"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Efficacy</w:t>
            </w:r>
          </w:p>
          <w:p w14:paraId="1B3669C9"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(lm/W)</w:t>
            </w:r>
          </w:p>
        </w:tc>
        <w:tc>
          <w:tcPr>
            <w:tcW w:w="828" w:type="dxa"/>
            <w:shd w:val="clear" w:color="auto" w:fill="auto"/>
            <w:vAlign w:val="center"/>
          </w:tcPr>
          <w:p w14:paraId="1B3669CA"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14:paraId="1B3669CB"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14:paraId="1B3669CC"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CCT</w:t>
            </w:r>
          </w:p>
        </w:tc>
      </w:tr>
      <w:tr w:rsidR="00C7070C" w:rsidRPr="00474E68" w14:paraId="1B3669D6" w14:textId="77777777" w:rsidTr="00474E68">
        <w:trPr>
          <w:jc w:val="center"/>
        </w:trPr>
        <w:tc>
          <w:tcPr>
            <w:tcW w:w="1139" w:type="dxa"/>
            <w:shd w:val="clear" w:color="auto" w:fill="auto"/>
            <w:vAlign w:val="center"/>
          </w:tcPr>
          <w:p w14:paraId="1B3669CE"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12-54</w:t>
            </w:r>
          </w:p>
        </w:tc>
        <w:tc>
          <w:tcPr>
            <w:tcW w:w="872" w:type="dxa"/>
            <w:shd w:val="clear" w:color="auto" w:fill="auto"/>
          </w:tcPr>
          <w:p w14:paraId="1B3669CF"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Incandescent</w:t>
            </w:r>
          </w:p>
        </w:tc>
        <w:tc>
          <w:tcPr>
            <w:tcW w:w="872" w:type="dxa"/>
            <w:shd w:val="clear" w:color="auto" w:fill="auto"/>
            <w:vAlign w:val="center"/>
          </w:tcPr>
          <w:p w14:paraId="1B3669D0"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650</w:t>
            </w:r>
          </w:p>
        </w:tc>
        <w:tc>
          <w:tcPr>
            <w:tcW w:w="817" w:type="dxa"/>
            <w:shd w:val="clear" w:color="auto" w:fill="auto"/>
            <w:vAlign w:val="center"/>
          </w:tcPr>
          <w:p w14:paraId="1B3669D1"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65.7</w:t>
            </w:r>
          </w:p>
        </w:tc>
        <w:tc>
          <w:tcPr>
            <w:tcW w:w="984" w:type="dxa"/>
            <w:shd w:val="clear" w:color="auto" w:fill="auto"/>
            <w:vAlign w:val="center"/>
          </w:tcPr>
          <w:p w14:paraId="1B3669D2"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10</w:t>
            </w:r>
          </w:p>
        </w:tc>
        <w:tc>
          <w:tcPr>
            <w:tcW w:w="828" w:type="dxa"/>
            <w:shd w:val="clear" w:color="auto" w:fill="auto"/>
            <w:vAlign w:val="center"/>
          </w:tcPr>
          <w:p w14:paraId="1B3669D3"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69" w:type="dxa"/>
            <w:shd w:val="clear" w:color="auto" w:fill="auto"/>
            <w:vAlign w:val="center"/>
          </w:tcPr>
          <w:p w14:paraId="1B3669D4"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77" w:type="dxa"/>
            <w:shd w:val="clear" w:color="auto" w:fill="auto"/>
            <w:vAlign w:val="center"/>
          </w:tcPr>
          <w:p w14:paraId="1B3669D5"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2698</w:t>
            </w:r>
          </w:p>
        </w:tc>
      </w:tr>
      <w:tr w:rsidR="00C7070C" w:rsidRPr="00474E68" w14:paraId="1B3669DF" w14:textId="77777777" w:rsidTr="00474E68">
        <w:trPr>
          <w:jc w:val="center"/>
        </w:trPr>
        <w:tc>
          <w:tcPr>
            <w:tcW w:w="1139" w:type="dxa"/>
            <w:shd w:val="clear" w:color="auto" w:fill="auto"/>
            <w:vAlign w:val="center"/>
          </w:tcPr>
          <w:p w14:paraId="1B3669D7"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08-13</w:t>
            </w:r>
          </w:p>
        </w:tc>
        <w:tc>
          <w:tcPr>
            <w:tcW w:w="872" w:type="dxa"/>
            <w:shd w:val="clear" w:color="auto" w:fill="auto"/>
          </w:tcPr>
          <w:p w14:paraId="1B3669D8"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Incandescent</w:t>
            </w:r>
          </w:p>
        </w:tc>
        <w:tc>
          <w:tcPr>
            <w:tcW w:w="872" w:type="dxa"/>
            <w:shd w:val="clear" w:color="auto" w:fill="auto"/>
            <w:vAlign w:val="center"/>
          </w:tcPr>
          <w:p w14:paraId="1B3669D9"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732</w:t>
            </w:r>
          </w:p>
        </w:tc>
        <w:tc>
          <w:tcPr>
            <w:tcW w:w="817" w:type="dxa"/>
            <w:shd w:val="clear" w:color="auto" w:fill="auto"/>
            <w:vAlign w:val="center"/>
          </w:tcPr>
          <w:p w14:paraId="1B3669DA"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65.0</w:t>
            </w:r>
          </w:p>
        </w:tc>
        <w:tc>
          <w:tcPr>
            <w:tcW w:w="984" w:type="dxa"/>
            <w:shd w:val="clear" w:color="auto" w:fill="auto"/>
            <w:vAlign w:val="center"/>
          </w:tcPr>
          <w:p w14:paraId="1B3669DB"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11</w:t>
            </w:r>
          </w:p>
        </w:tc>
        <w:tc>
          <w:tcPr>
            <w:tcW w:w="828" w:type="dxa"/>
            <w:shd w:val="clear" w:color="auto" w:fill="auto"/>
            <w:vAlign w:val="center"/>
          </w:tcPr>
          <w:p w14:paraId="1B3669DC"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69" w:type="dxa"/>
            <w:shd w:val="clear" w:color="auto" w:fill="auto"/>
            <w:vAlign w:val="center"/>
          </w:tcPr>
          <w:p w14:paraId="1B3669DD"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99</w:t>
            </w:r>
          </w:p>
        </w:tc>
        <w:tc>
          <w:tcPr>
            <w:tcW w:w="777" w:type="dxa"/>
            <w:shd w:val="clear" w:color="auto" w:fill="auto"/>
            <w:vAlign w:val="center"/>
          </w:tcPr>
          <w:p w14:paraId="1B3669DE"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2681</w:t>
            </w:r>
          </w:p>
        </w:tc>
      </w:tr>
      <w:tr w:rsidR="00C7070C" w:rsidRPr="00474E68" w14:paraId="1B3669E8" w14:textId="77777777" w:rsidTr="00474E68">
        <w:trPr>
          <w:jc w:val="center"/>
        </w:trPr>
        <w:tc>
          <w:tcPr>
            <w:tcW w:w="1139" w:type="dxa"/>
            <w:shd w:val="clear" w:color="auto" w:fill="auto"/>
            <w:vAlign w:val="center"/>
          </w:tcPr>
          <w:p w14:paraId="1B3669E0"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12-21</w:t>
            </w:r>
          </w:p>
        </w:tc>
        <w:tc>
          <w:tcPr>
            <w:tcW w:w="872" w:type="dxa"/>
            <w:shd w:val="clear" w:color="auto" w:fill="auto"/>
          </w:tcPr>
          <w:p w14:paraId="1B3669E1"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14:paraId="1B3669E2"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776</w:t>
            </w:r>
          </w:p>
        </w:tc>
        <w:tc>
          <w:tcPr>
            <w:tcW w:w="817" w:type="dxa"/>
            <w:shd w:val="clear" w:color="auto" w:fill="auto"/>
            <w:vAlign w:val="center"/>
          </w:tcPr>
          <w:p w14:paraId="1B3669E3"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14.9</w:t>
            </w:r>
          </w:p>
        </w:tc>
        <w:tc>
          <w:tcPr>
            <w:tcW w:w="984" w:type="dxa"/>
            <w:shd w:val="clear" w:color="auto" w:fill="auto"/>
            <w:vAlign w:val="center"/>
          </w:tcPr>
          <w:p w14:paraId="1B3669E4"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52</w:t>
            </w:r>
          </w:p>
        </w:tc>
        <w:tc>
          <w:tcPr>
            <w:tcW w:w="828" w:type="dxa"/>
            <w:shd w:val="clear" w:color="auto" w:fill="auto"/>
            <w:vAlign w:val="center"/>
          </w:tcPr>
          <w:p w14:paraId="1B3669E5"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0.60</w:t>
            </w:r>
          </w:p>
        </w:tc>
        <w:tc>
          <w:tcPr>
            <w:tcW w:w="769" w:type="dxa"/>
            <w:shd w:val="clear" w:color="auto" w:fill="auto"/>
            <w:vAlign w:val="center"/>
          </w:tcPr>
          <w:p w14:paraId="1B3669E6"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14:paraId="1B3669E7"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2684</w:t>
            </w:r>
          </w:p>
        </w:tc>
      </w:tr>
      <w:tr w:rsidR="00C7070C" w:rsidRPr="00474E68" w14:paraId="1B3669F1" w14:textId="77777777" w:rsidTr="00474E68">
        <w:trPr>
          <w:jc w:val="center"/>
        </w:trPr>
        <w:tc>
          <w:tcPr>
            <w:tcW w:w="1139" w:type="dxa"/>
            <w:shd w:val="clear" w:color="auto" w:fill="auto"/>
            <w:vAlign w:val="center"/>
          </w:tcPr>
          <w:p w14:paraId="1B3669E9"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12-58</w:t>
            </w:r>
          </w:p>
        </w:tc>
        <w:tc>
          <w:tcPr>
            <w:tcW w:w="872" w:type="dxa"/>
            <w:shd w:val="clear" w:color="auto" w:fill="auto"/>
          </w:tcPr>
          <w:p w14:paraId="1B3669EA"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14:paraId="1B3669EB"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732</w:t>
            </w:r>
          </w:p>
        </w:tc>
        <w:tc>
          <w:tcPr>
            <w:tcW w:w="817" w:type="dxa"/>
            <w:shd w:val="clear" w:color="auto" w:fill="auto"/>
            <w:vAlign w:val="center"/>
          </w:tcPr>
          <w:p w14:paraId="1B3669EC"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16.1</w:t>
            </w:r>
          </w:p>
        </w:tc>
        <w:tc>
          <w:tcPr>
            <w:tcW w:w="984" w:type="dxa"/>
            <w:shd w:val="clear" w:color="auto" w:fill="auto"/>
            <w:vAlign w:val="center"/>
          </w:tcPr>
          <w:p w14:paraId="1B3669ED"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46</w:t>
            </w:r>
          </w:p>
        </w:tc>
        <w:tc>
          <w:tcPr>
            <w:tcW w:w="828" w:type="dxa"/>
            <w:shd w:val="clear" w:color="auto" w:fill="auto"/>
            <w:vAlign w:val="center"/>
          </w:tcPr>
          <w:p w14:paraId="1B3669EE"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0.57</w:t>
            </w:r>
          </w:p>
        </w:tc>
        <w:tc>
          <w:tcPr>
            <w:tcW w:w="769" w:type="dxa"/>
            <w:shd w:val="clear" w:color="auto" w:fill="auto"/>
            <w:vAlign w:val="center"/>
          </w:tcPr>
          <w:p w14:paraId="1B3669EF"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14:paraId="1B3669F0"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2883</w:t>
            </w:r>
          </w:p>
        </w:tc>
      </w:tr>
      <w:tr w:rsidR="00C7070C" w:rsidRPr="00474E68" w14:paraId="1B3669FA" w14:textId="77777777" w:rsidTr="00474E68">
        <w:trPr>
          <w:jc w:val="center"/>
        </w:trPr>
        <w:tc>
          <w:tcPr>
            <w:tcW w:w="1139" w:type="dxa"/>
            <w:shd w:val="clear" w:color="auto" w:fill="auto"/>
            <w:vAlign w:val="center"/>
          </w:tcPr>
          <w:p w14:paraId="1B3669F2"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08-06</w:t>
            </w:r>
          </w:p>
        </w:tc>
        <w:tc>
          <w:tcPr>
            <w:tcW w:w="872" w:type="dxa"/>
            <w:shd w:val="clear" w:color="auto" w:fill="auto"/>
          </w:tcPr>
          <w:p w14:paraId="1B3669F3" w14:textId="77777777"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14:paraId="1B3669F4"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841</w:t>
            </w:r>
          </w:p>
        </w:tc>
        <w:tc>
          <w:tcPr>
            <w:tcW w:w="817" w:type="dxa"/>
            <w:shd w:val="clear" w:color="auto" w:fill="auto"/>
            <w:vAlign w:val="center"/>
          </w:tcPr>
          <w:p w14:paraId="1B3669F5" w14:textId="77777777" w:rsidR="00C7070C" w:rsidRPr="00474E68" w:rsidRDefault="00CD29E4" w:rsidP="00474E68">
            <w:pPr>
              <w:jc w:val="center"/>
              <w:rPr>
                <w:rFonts w:ascii="Arial" w:hAnsi="Arial" w:cs="Arial"/>
                <w:sz w:val="20"/>
                <w:szCs w:val="20"/>
              </w:rPr>
            </w:pPr>
            <w:r w:rsidRPr="00474E68">
              <w:rPr>
                <w:rFonts w:ascii="Arial" w:hAnsi="Arial" w:cs="Arial"/>
                <w:sz w:val="20"/>
                <w:szCs w:val="20"/>
              </w:rPr>
              <w:t>15.8</w:t>
            </w:r>
          </w:p>
        </w:tc>
        <w:tc>
          <w:tcPr>
            <w:tcW w:w="984" w:type="dxa"/>
            <w:shd w:val="clear" w:color="auto" w:fill="auto"/>
            <w:vAlign w:val="center"/>
          </w:tcPr>
          <w:p w14:paraId="1B3669F6"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53</w:t>
            </w:r>
          </w:p>
        </w:tc>
        <w:tc>
          <w:tcPr>
            <w:tcW w:w="828" w:type="dxa"/>
            <w:shd w:val="clear" w:color="auto" w:fill="auto"/>
            <w:vAlign w:val="center"/>
          </w:tcPr>
          <w:p w14:paraId="1B3669F7"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0.55</w:t>
            </w:r>
          </w:p>
        </w:tc>
        <w:tc>
          <w:tcPr>
            <w:tcW w:w="769" w:type="dxa"/>
            <w:shd w:val="clear" w:color="auto" w:fill="auto"/>
            <w:vAlign w:val="center"/>
          </w:tcPr>
          <w:p w14:paraId="1B3669F8"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14:paraId="1B3669F9" w14:textId="77777777" w:rsidR="00C7070C" w:rsidRPr="00474E68" w:rsidRDefault="007816ED" w:rsidP="00474E68">
            <w:pPr>
              <w:jc w:val="center"/>
              <w:rPr>
                <w:rFonts w:ascii="Arial" w:hAnsi="Arial" w:cs="Arial"/>
                <w:sz w:val="20"/>
                <w:szCs w:val="20"/>
              </w:rPr>
            </w:pPr>
            <w:r w:rsidRPr="00474E68">
              <w:rPr>
                <w:rFonts w:ascii="Arial" w:hAnsi="Arial" w:cs="Arial"/>
                <w:sz w:val="20"/>
                <w:szCs w:val="20"/>
              </w:rPr>
              <w:t>2740</w:t>
            </w:r>
          </w:p>
        </w:tc>
      </w:tr>
      <w:tr w:rsidR="00C7070C" w:rsidRPr="00474E68" w14:paraId="1B366A03" w14:textId="77777777" w:rsidTr="00474E68">
        <w:trPr>
          <w:jc w:val="center"/>
        </w:trPr>
        <w:tc>
          <w:tcPr>
            <w:tcW w:w="1139" w:type="dxa"/>
            <w:shd w:val="clear" w:color="auto" w:fill="auto"/>
            <w:vAlign w:val="center"/>
          </w:tcPr>
          <w:p w14:paraId="1B3669FB"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Minimum</w:t>
            </w:r>
          </w:p>
        </w:tc>
        <w:tc>
          <w:tcPr>
            <w:tcW w:w="872" w:type="dxa"/>
            <w:shd w:val="clear" w:color="auto" w:fill="auto"/>
          </w:tcPr>
          <w:p w14:paraId="1B3669FC" w14:textId="77777777" w:rsidR="00C7070C" w:rsidRPr="00474E68" w:rsidRDefault="00C7070C" w:rsidP="00474E68">
            <w:pPr>
              <w:jc w:val="center"/>
              <w:rPr>
                <w:rFonts w:ascii="Arial" w:hAnsi="Arial" w:cs="Arial"/>
                <w:b/>
                <w:sz w:val="20"/>
                <w:szCs w:val="20"/>
              </w:rPr>
            </w:pPr>
          </w:p>
        </w:tc>
        <w:tc>
          <w:tcPr>
            <w:tcW w:w="872" w:type="dxa"/>
            <w:shd w:val="clear" w:color="auto" w:fill="auto"/>
            <w:vAlign w:val="center"/>
          </w:tcPr>
          <w:p w14:paraId="1B3669FD"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650</w:t>
            </w:r>
          </w:p>
        </w:tc>
        <w:tc>
          <w:tcPr>
            <w:tcW w:w="817" w:type="dxa"/>
            <w:shd w:val="clear" w:color="auto" w:fill="auto"/>
            <w:vAlign w:val="center"/>
          </w:tcPr>
          <w:p w14:paraId="1B3669FE"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14.9</w:t>
            </w:r>
          </w:p>
        </w:tc>
        <w:tc>
          <w:tcPr>
            <w:tcW w:w="984" w:type="dxa"/>
            <w:shd w:val="clear" w:color="auto" w:fill="auto"/>
            <w:vAlign w:val="center"/>
          </w:tcPr>
          <w:p w14:paraId="1B3669FF"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10</w:t>
            </w:r>
          </w:p>
        </w:tc>
        <w:tc>
          <w:tcPr>
            <w:tcW w:w="828" w:type="dxa"/>
            <w:shd w:val="clear" w:color="auto" w:fill="auto"/>
            <w:vAlign w:val="center"/>
          </w:tcPr>
          <w:p w14:paraId="1B366A00"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0.55</w:t>
            </w:r>
          </w:p>
        </w:tc>
        <w:tc>
          <w:tcPr>
            <w:tcW w:w="769" w:type="dxa"/>
            <w:shd w:val="clear" w:color="auto" w:fill="auto"/>
            <w:vAlign w:val="center"/>
          </w:tcPr>
          <w:p w14:paraId="1B366A01"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82</w:t>
            </w:r>
          </w:p>
        </w:tc>
        <w:tc>
          <w:tcPr>
            <w:tcW w:w="777" w:type="dxa"/>
            <w:shd w:val="clear" w:color="auto" w:fill="auto"/>
            <w:vAlign w:val="center"/>
          </w:tcPr>
          <w:p w14:paraId="1B366A02"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2681</w:t>
            </w:r>
          </w:p>
        </w:tc>
      </w:tr>
      <w:tr w:rsidR="00C7070C" w:rsidRPr="00474E68" w14:paraId="1B366A0C" w14:textId="77777777" w:rsidTr="00474E68">
        <w:trPr>
          <w:jc w:val="center"/>
        </w:trPr>
        <w:tc>
          <w:tcPr>
            <w:tcW w:w="1139" w:type="dxa"/>
            <w:shd w:val="clear" w:color="auto" w:fill="auto"/>
            <w:vAlign w:val="center"/>
          </w:tcPr>
          <w:p w14:paraId="1B366A04"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Mean</w:t>
            </w:r>
          </w:p>
        </w:tc>
        <w:tc>
          <w:tcPr>
            <w:tcW w:w="872" w:type="dxa"/>
            <w:shd w:val="clear" w:color="auto" w:fill="auto"/>
          </w:tcPr>
          <w:p w14:paraId="1B366A05" w14:textId="77777777" w:rsidR="00C7070C" w:rsidRPr="00474E68" w:rsidRDefault="00C7070C" w:rsidP="00474E68">
            <w:pPr>
              <w:jc w:val="center"/>
              <w:rPr>
                <w:rFonts w:ascii="Arial" w:hAnsi="Arial" w:cs="Arial"/>
                <w:b/>
                <w:sz w:val="20"/>
                <w:szCs w:val="20"/>
              </w:rPr>
            </w:pPr>
          </w:p>
        </w:tc>
        <w:tc>
          <w:tcPr>
            <w:tcW w:w="872" w:type="dxa"/>
            <w:shd w:val="clear" w:color="auto" w:fill="auto"/>
            <w:vAlign w:val="center"/>
          </w:tcPr>
          <w:p w14:paraId="1B366A06"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746</w:t>
            </w:r>
          </w:p>
        </w:tc>
        <w:tc>
          <w:tcPr>
            <w:tcW w:w="817" w:type="dxa"/>
            <w:shd w:val="clear" w:color="auto" w:fill="auto"/>
            <w:vAlign w:val="center"/>
          </w:tcPr>
          <w:p w14:paraId="1B366A07"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35.5</w:t>
            </w:r>
          </w:p>
        </w:tc>
        <w:tc>
          <w:tcPr>
            <w:tcW w:w="984" w:type="dxa"/>
            <w:shd w:val="clear" w:color="auto" w:fill="auto"/>
            <w:vAlign w:val="center"/>
          </w:tcPr>
          <w:p w14:paraId="1B366A08"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34</w:t>
            </w:r>
          </w:p>
        </w:tc>
        <w:tc>
          <w:tcPr>
            <w:tcW w:w="828" w:type="dxa"/>
            <w:shd w:val="clear" w:color="auto" w:fill="auto"/>
            <w:vAlign w:val="center"/>
          </w:tcPr>
          <w:p w14:paraId="1B366A09"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0.74</w:t>
            </w:r>
          </w:p>
        </w:tc>
        <w:tc>
          <w:tcPr>
            <w:tcW w:w="769" w:type="dxa"/>
            <w:shd w:val="clear" w:color="auto" w:fill="auto"/>
            <w:vAlign w:val="center"/>
          </w:tcPr>
          <w:p w14:paraId="1B366A0A"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89</w:t>
            </w:r>
          </w:p>
        </w:tc>
        <w:tc>
          <w:tcPr>
            <w:tcW w:w="777" w:type="dxa"/>
            <w:shd w:val="clear" w:color="auto" w:fill="auto"/>
            <w:vAlign w:val="center"/>
          </w:tcPr>
          <w:p w14:paraId="1B366A0B"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2737</w:t>
            </w:r>
          </w:p>
        </w:tc>
      </w:tr>
      <w:tr w:rsidR="00C7070C" w:rsidRPr="00474E68" w14:paraId="1B366A15" w14:textId="77777777" w:rsidTr="00474E68">
        <w:trPr>
          <w:jc w:val="center"/>
        </w:trPr>
        <w:tc>
          <w:tcPr>
            <w:tcW w:w="1139" w:type="dxa"/>
            <w:shd w:val="clear" w:color="auto" w:fill="auto"/>
            <w:vAlign w:val="center"/>
          </w:tcPr>
          <w:p w14:paraId="1B366A0D" w14:textId="77777777" w:rsidR="00C7070C" w:rsidRPr="00474E68" w:rsidRDefault="00C7070C" w:rsidP="00474E68">
            <w:pPr>
              <w:jc w:val="center"/>
              <w:rPr>
                <w:rFonts w:ascii="Arial" w:hAnsi="Arial" w:cs="Arial"/>
                <w:b/>
                <w:sz w:val="20"/>
                <w:szCs w:val="20"/>
              </w:rPr>
            </w:pPr>
            <w:r w:rsidRPr="00474E68">
              <w:rPr>
                <w:rFonts w:ascii="Arial" w:hAnsi="Arial" w:cs="Arial"/>
                <w:b/>
                <w:sz w:val="20"/>
                <w:szCs w:val="20"/>
              </w:rPr>
              <w:t>Maximum</w:t>
            </w:r>
          </w:p>
        </w:tc>
        <w:tc>
          <w:tcPr>
            <w:tcW w:w="872" w:type="dxa"/>
            <w:shd w:val="clear" w:color="auto" w:fill="auto"/>
          </w:tcPr>
          <w:p w14:paraId="1B366A0E" w14:textId="77777777" w:rsidR="00C7070C" w:rsidRPr="00474E68" w:rsidRDefault="00C7070C" w:rsidP="00474E68">
            <w:pPr>
              <w:jc w:val="center"/>
              <w:rPr>
                <w:rFonts w:ascii="Arial" w:hAnsi="Arial" w:cs="Arial"/>
                <w:b/>
                <w:sz w:val="20"/>
                <w:szCs w:val="20"/>
              </w:rPr>
            </w:pPr>
          </w:p>
        </w:tc>
        <w:tc>
          <w:tcPr>
            <w:tcW w:w="872" w:type="dxa"/>
            <w:shd w:val="clear" w:color="auto" w:fill="auto"/>
            <w:vAlign w:val="center"/>
          </w:tcPr>
          <w:p w14:paraId="1B366A0F"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841</w:t>
            </w:r>
          </w:p>
        </w:tc>
        <w:tc>
          <w:tcPr>
            <w:tcW w:w="817" w:type="dxa"/>
            <w:shd w:val="clear" w:color="auto" w:fill="auto"/>
            <w:vAlign w:val="center"/>
          </w:tcPr>
          <w:p w14:paraId="1B366A10" w14:textId="77777777" w:rsidR="00C7070C" w:rsidRPr="00474E68" w:rsidRDefault="00CD29E4" w:rsidP="00474E68">
            <w:pPr>
              <w:jc w:val="center"/>
              <w:rPr>
                <w:rFonts w:ascii="Arial" w:hAnsi="Arial" w:cs="Arial"/>
                <w:b/>
                <w:sz w:val="20"/>
                <w:szCs w:val="20"/>
              </w:rPr>
            </w:pPr>
            <w:r w:rsidRPr="00474E68">
              <w:rPr>
                <w:rFonts w:ascii="Arial" w:hAnsi="Arial" w:cs="Arial"/>
                <w:b/>
                <w:sz w:val="20"/>
                <w:szCs w:val="20"/>
              </w:rPr>
              <w:t>65.7</w:t>
            </w:r>
          </w:p>
        </w:tc>
        <w:tc>
          <w:tcPr>
            <w:tcW w:w="984" w:type="dxa"/>
            <w:shd w:val="clear" w:color="auto" w:fill="auto"/>
            <w:vAlign w:val="center"/>
          </w:tcPr>
          <w:p w14:paraId="1B366A11"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53</w:t>
            </w:r>
          </w:p>
        </w:tc>
        <w:tc>
          <w:tcPr>
            <w:tcW w:w="828" w:type="dxa"/>
            <w:shd w:val="clear" w:color="auto" w:fill="auto"/>
            <w:vAlign w:val="center"/>
          </w:tcPr>
          <w:p w14:paraId="1B366A12"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1.00</w:t>
            </w:r>
          </w:p>
        </w:tc>
        <w:tc>
          <w:tcPr>
            <w:tcW w:w="769" w:type="dxa"/>
            <w:shd w:val="clear" w:color="auto" w:fill="auto"/>
            <w:vAlign w:val="center"/>
          </w:tcPr>
          <w:p w14:paraId="1B366A13"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100</w:t>
            </w:r>
          </w:p>
        </w:tc>
        <w:tc>
          <w:tcPr>
            <w:tcW w:w="777" w:type="dxa"/>
            <w:shd w:val="clear" w:color="auto" w:fill="auto"/>
            <w:vAlign w:val="center"/>
          </w:tcPr>
          <w:p w14:paraId="1B366A14" w14:textId="77777777" w:rsidR="00C7070C" w:rsidRPr="00474E68" w:rsidRDefault="007816ED" w:rsidP="00474E68">
            <w:pPr>
              <w:jc w:val="center"/>
              <w:rPr>
                <w:rFonts w:ascii="Arial" w:hAnsi="Arial" w:cs="Arial"/>
                <w:b/>
                <w:sz w:val="20"/>
                <w:szCs w:val="20"/>
              </w:rPr>
            </w:pPr>
            <w:r w:rsidRPr="00474E68">
              <w:rPr>
                <w:rFonts w:ascii="Arial" w:hAnsi="Arial" w:cs="Arial"/>
                <w:b/>
                <w:sz w:val="20"/>
                <w:szCs w:val="20"/>
              </w:rPr>
              <w:t>2883</w:t>
            </w:r>
          </w:p>
        </w:tc>
      </w:tr>
    </w:tbl>
    <w:p w14:paraId="1B366A16" w14:textId="77777777" w:rsidR="00C7070C" w:rsidRPr="00055973" w:rsidRDefault="00C7070C" w:rsidP="00A35CF8">
      <w:pPr>
        <w:rPr>
          <w:rFonts w:ascii="Arial" w:hAnsi="Arial" w:cs="Arial"/>
          <w:sz w:val="20"/>
          <w:szCs w:val="20"/>
        </w:rPr>
      </w:pPr>
    </w:p>
    <w:p w14:paraId="56C8ABF2" w14:textId="77777777" w:rsidR="00B2344B" w:rsidRDefault="00B2344B">
      <w:pPr>
        <w:rPr>
          <w:rFonts w:ascii="Arial" w:hAnsi="Arial" w:cs="Arial"/>
          <w:sz w:val="20"/>
          <w:szCs w:val="20"/>
        </w:rPr>
      </w:pPr>
      <w:r>
        <w:rPr>
          <w:rFonts w:ascii="Arial" w:hAnsi="Arial" w:cs="Arial"/>
          <w:sz w:val="20"/>
          <w:szCs w:val="20"/>
        </w:rPr>
        <w:br w:type="page"/>
      </w:r>
    </w:p>
    <w:p w14:paraId="1B366A17" w14:textId="6ADA6103" w:rsidR="007C1421" w:rsidRDefault="00055973" w:rsidP="00A35CF8">
      <w:pPr>
        <w:rPr>
          <w:rFonts w:ascii="Arial" w:hAnsi="Arial" w:cs="Arial"/>
          <w:sz w:val="20"/>
          <w:szCs w:val="20"/>
        </w:rPr>
      </w:pPr>
      <w:r w:rsidRPr="00055973">
        <w:rPr>
          <w:rFonts w:ascii="Arial" w:hAnsi="Arial" w:cs="Arial"/>
          <w:sz w:val="20"/>
          <w:szCs w:val="20"/>
        </w:rPr>
        <w:lastRenderedPageBreak/>
        <w:t xml:space="preserve">In the most recent CALiPER study, 13 LED lamps were tested and the results are </w:t>
      </w:r>
      <w:r w:rsidR="00F0311C">
        <w:rPr>
          <w:rFonts w:ascii="Arial" w:hAnsi="Arial" w:cs="Arial"/>
          <w:sz w:val="20"/>
          <w:szCs w:val="20"/>
        </w:rPr>
        <w:t>considerably</w:t>
      </w:r>
      <w:r>
        <w:rPr>
          <w:rFonts w:ascii="Arial" w:hAnsi="Arial" w:cs="Arial"/>
          <w:sz w:val="20"/>
          <w:szCs w:val="20"/>
        </w:rPr>
        <w:t xml:space="preserve"> different than </w:t>
      </w:r>
      <w:r w:rsidR="00B00818">
        <w:rPr>
          <w:rFonts w:ascii="Arial" w:hAnsi="Arial" w:cs="Arial"/>
          <w:sz w:val="20"/>
          <w:szCs w:val="20"/>
        </w:rPr>
        <w:t>previous</w:t>
      </w:r>
      <w:r>
        <w:rPr>
          <w:rFonts w:ascii="Arial" w:hAnsi="Arial" w:cs="Arial"/>
          <w:sz w:val="20"/>
          <w:szCs w:val="20"/>
        </w:rPr>
        <w:t xml:space="preserve"> LED test</w:t>
      </w:r>
      <w:r w:rsidR="00F0311C">
        <w:rPr>
          <w:rFonts w:ascii="Arial" w:hAnsi="Arial" w:cs="Arial"/>
          <w:sz w:val="20"/>
          <w:szCs w:val="20"/>
        </w:rPr>
        <w:t xml:space="preserve"> data</w:t>
      </w:r>
      <w:r>
        <w:rPr>
          <w:rFonts w:ascii="Arial" w:hAnsi="Arial" w:cs="Arial"/>
          <w:sz w:val="20"/>
          <w:szCs w:val="20"/>
        </w:rPr>
        <w:t xml:space="preserve">. The efficacy of these newer products are </w:t>
      </w:r>
      <w:r w:rsidR="00F0311C">
        <w:rPr>
          <w:rFonts w:ascii="Arial" w:hAnsi="Arial" w:cs="Arial"/>
          <w:sz w:val="20"/>
          <w:szCs w:val="20"/>
        </w:rPr>
        <w:t xml:space="preserve">in the range of </w:t>
      </w:r>
      <w:r w:rsidR="00736D00">
        <w:rPr>
          <w:rFonts w:ascii="Arial" w:hAnsi="Arial" w:cs="Arial"/>
          <w:sz w:val="20"/>
          <w:szCs w:val="20"/>
        </w:rPr>
        <w:t xml:space="preserve">51 to 91 (lm/W) with a mean of 59 lm/W, which is very comparable and in many cases much better than the conventional lamps. The lumen </w:t>
      </w:r>
      <w:r w:rsidR="00B00818">
        <w:rPr>
          <w:rFonts w:ascii="Arial" w:hAnsi="Arial" w:cs="Arial"/>
          <w:sz w:val="20"/>
          <w:szCs w:val="20"/>
        </w:rPr>
        <w:t>output of these LED’s is</w:t>
      </w:r>
      <w:r w:rsidR="00736D00">
        <w:rPr>
          <w:rFonts w:ascii="Arial" w:hAnsi="Arial" w:cs="Arial"/>
          <w:sz w:val="20"/>
          <w:szCs w:val="20"/>
        </w:rPr>
        <w:t xml:space="preserve"> from 463 to 860 lumens with a mean of 662 lumens. The light output of these products in also well comparable to the con</w:t>
      </w:r>
      <w:r w:rsidR="00391C77">
        <w:rPr>
          <w:rFonts w:ascii="Arial" w:hAnsi="Arial" w:cs="Arial"/>
          <w:sz w:val="20"/>
          <w:szCs w:val="20"/>
        </w:rPr>
        <w:t>ventional</w:t>
      </w:r>
      <w:r w:rsidR="00736D00">
        <w:rPr>
          <w:rFonts w:ascii="Arial" w:hAnsi="Arial" w:cs="Arial"/>
          <w:sz w:val="20"/>
          <w:szCs w:val="20"/>
        </w:rPr>
        <w:t xml:space="preserve"> lamps. CALiPER tested for color consistency and color temperature and </w:t>
      </w:r>
      <w:r w:rsidR="00391C77">
        <w:rPr>
          <w:rFonts w:ascii="Arial" w:hAnsi="Arial" w:cs="Arial"/>
          <w:sz w:val="20"/>
          <w:szCs w:val="20"/>
        </w:rPr>
        <w:t xml:space="preserve">for other characteristics and </w:t>
      </w:r>
      <w:r w:rsidR="00736D00">
        <w:rPr>
          <w:rFonts w:ascii="Arial" w:hAnsi="Arial" w:cs="Arial"/>
          <w:sz w:val="20"/>
          <w:szCs w:val="20"/>
        </w:rPr>
        <w:t xml:space="preserve">the results are shown in the </w:t>
      </w:r>
      <w:r w:rsidR="004A46C4">
        <w:rPr>
          <w:rFonts w:ascii="Arial" w:hAnsi="Arial" w:cs="Arial"/>
          <w:sz w:val="20"/>
          <w:szCs w:val="20"/>
        </w:rPr>
        <w:t>Table</w:t>
      </w:r>
      <w:r w:rsidR="000727D2">
        <w:rPr>
          <w:rFonts w:ascii="Arial" w:hAnsi="Arial" w:cs="Arial"/>
          <w:sz w:val="20"/>
          <w:szCs w:val="20"/>
        </w:rPr>
        <w:t xml:space="preserve"> 10</w:t>
      </w:r>
      <w:r w:rsidR="00736D00">
        <w:rPr>
          <w:rFonts w:ascii="Arial" w:hAnsi="Arial" w:cs="Arial"/>
          <w:sz w:val="20"/>
          <w:szCs w:val="20"/>
        </w:rPr>
        <w:t xml:space="preserve">. </w:t>
      </w:r>
    </w:p>
    <w:p w14:paraId="1B366A18" w14:textId="77777777" w:rsidR="00736D00" w:rsidRDefault="00736D00" w:rsidP="00A35CF8">
      <w:pPr>
        <w:rPr>
          <w:rFonts w:ascii="Arial" w:hAnsi="Arial" w:cs="Arial"/>
          <w:sz w:val="20"/>
          <w:szCs w:val="20"/>
        </w:rPr>
      </w:pPr>
    </w:p>
    <w:p w14:paraId="1B366A19" w14:textId="2CEEA7E8" w:rsidR="00736D00" w:rsidRPr="00992284" w:rsidRDefault="00751297" w:rsidP="00751297">
      <w:pPr>
        <w:pStyle w:val="Caption"/>
        <w:tabs>
          <w:tab w:val="left" w:pos="885"/>
          <w:tab w:val="center" w:pos="4680"/>
        </w:tabs>
      </w:pPr>
      <w:r>
        <w:tab/>
      </w:r>
      <w:r w:rsidRPr="00751297">
        <w:rPr>
          <w:rFonts w:ascii="Arial" w:hAnsi="Arial" w:cs="Arial"/>
        </w:rPr>
        <w:tab/>
      </w:r>
      <w:bookmarkStart w:id="34" w:name="_Toc512857058"/>
      <w:r w:rsidR="00736D00" w:rsidRPr="00992284">
        <w:t xml:space="preserve">Table </w:t>
      </w:r>
      <w:fldSimple w:instr=" SEQ Table \* ARABIC ">
        <w:r w:rsidR="00510611">
          <w:rPr>
            <w:noProof/>
          </w:rPr>
          <w:t>11</w:t>
        </w:r>
      </w:fldSimple>
      <w:r w:rsidR="00736D00" w:rsidRPr="00992284">
        <w:t xml:space="preserve"> Results of the CALiPER Testing of BR30/R30  for the series 16 LED Lamps</w:t>
      </w:r>
      <w:bookmarkEnd w:id="34"/>
      <w:r w:rsidR="00736D00" w:rsidRPr="00992284">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72"/>
        <w:gridCol w:w="817"/>
        <w:gridCol w:w="984"/>
        <w:gridCol w:w="828"/>
        <w:gridCol w:w="769"/>
        <w:gridCol w:w="777"/>
      </w:tblGrid>
      <w:tr w:rsidR="00736D00" w:rsidRPr="00474E68" w14:paraId="1B366A23" w14:textId="77777777" w:rsidTr="00474E68">
        <w:trPr>
          <w:jc w:val="center"/>
        </w:trPr>
        <w:tc>
          <w:tcPr>
            <w:tcW w:w="1139" w:type="dxa"/>
            <w:shd w:val="clear" w:color="auto" w:fill="auto"/>
            <w:vAlign w:val="center"/>
          </w:tcPr>
          <w:p w14:paraId="1B366A1A"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DOE CALiPER Test ID</w:t>
            </w:r>
          </w:p>
        </w:tc>
        <w:tc>
          <w:tcPr>
            <w:tcW w:w="872" w:type="dxa"/>
            <w:shd w:val="clear" w:color="auto" w:fill="auto"/>
            <w:vAlign w:val="center"/>
          </w:tcPr>
          <w:p w14:paraId="1B366A1B"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Initial Output (lm)</w:t>
            </w:r>
          </w:p>
        </w:tc>
        <w:tc>
          <w:tcPr>
            <w:tcW w:w="817" w:type="dxa"/>
            <w:shd w:val="clear" w:color="auto" w:fill="auto"/>
            <w:vAlign w:val="center"/>
          </w:tcPr>
          <w:p w14:paraId="1B366A1C"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Total Input Power</w:t>
            </w:r>
          </w:p>
          <w:p w14:paraId="1B366A1D"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(w)</w:t>
            </w:r>
          </w:p>
        </w:tc>
        <w:tc>
          <w:tcPr>
            <w:tcW w:w="984" w:type="dxa"/>
            <w:shd w:val="clear" w:color="auto" w:fill="auto"/>
            <w:vAlign w:val="center"/>
          </w:tcPr>
          <w:p w14:paraId="1B366A1E"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Efficacy</w:t>
            </w:r>
          </w:p>
          <w:p w14:paraId="1B366A1F"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(lm/W)</w:t>
            </w:r>
          </w:p>
        </w:tc>
        <w:tc>
          <w:tcPr>
            <w:tcW w:w="828" w:type="dxa"/>
            <w:shd w:val="clear" w:color="auto" w:fill="auto"/>
            <w:vAlign w:val="center"/>
          </w:tcPr>
          <w:p w14:paraId="1B366A20"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14:paraId="1B366A21"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14:paraId="1B366A22"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CCT</w:t>
            </w:r>
          </w:p>
        </w:tc>
      </w:tr>
      <w:tr w:rsidR="00736D00" w:rsidRPr="00474E68" w14:paraId="1B366A2B" w14:textId="77777777" w:rsidTr="00474E68">
        <w:trPr>
          <w:jc w:val="center"/>
        </w:trPr>
        <w:tc>
          <w:tcPr>
            <w:tcW w:w="1139" w:type="dxa"/>
            <w:shd w:val="clear" w:color="auto" w:fill="auto"/>
            <w:vAlign w:val="center"/>
          </w:tcPr>
          <w:p w14:paraId="1B366A24"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12-15</w:t>
            </w:r>
          </w:p>
        </w:tc>
        <w:tc>
          <w:tcPr>
            <w:tcW w:w="872" w:type="dxa"/>
            <w:shd w:val="clear" w:color="auto" w:fill="auto"/>
            <w:vAlign w:val="center"/>
          </w:tcPr>
          <w:p w14:paraId="1B366A25"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544</w:t>
            </w:r>
          </w:p>
        </w:tc>
        <w:tc>
          <w:tcPr>
            <w:tcW w:w="817" w:type="dxa"/>
            <w:shd w:val="clear" w:color="auto" w:fill="auto"/>
            <w:vAlign w:val="center"/>
          </w:tcPr>
          <w:p w14:paraId="1B366A26"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6.0</w:t>
            </w:r>
          </w:p>
        </w:tc>
        <w:tc>
          <w:tcPr>
            <w:tcW w:w="984" w:type="dxa"/>
            <w:shd w:val="clear" w:color="auto" w:fill="auto"/>
            <w:vAlign w:val="center"/>
          </w:tcPr>
          <w:p w14:paraId="1B366A27"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91</w:t>
            </w:r>
          </w:p>
        </w:tc>
        <w:tc>
          <w:tcPr>
            <w:tcW w:w="828" w:type="dxa"/>
            <w:shd w:val="clear" w:color="auto" w:fill="auto"/>
            <w:vAlign w:val="center"/>
          </w:tcPr>
          <w:p w14:paraId="1B366A28"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0.53</w:t>
            </w:r>
          </w:p>
        </w:tc>
        <w:tc>
          <w:tcPr>
            <w:tcW w:w="769" w:type="dxa"/>
            <w:shd w:val="clear" w:color="auto" w:fill="auto"/>
            <w:vAlign w:val="center"/>
          </w:tcPr>
          <w:p w14:paraId="1B366A29"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14:paraId="1B366A2A"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5389</w:t>
            </w:r>
          </w:p>
        </w:tc>
      </w:tr>
      <w:tr w:rsidR="00736D00" w:rsidRPr="00474E68" w14:paraId="1B366A33" w14:textId="77777777" w:rsidTr="00474E68">
        <w:trPr>
          <w:jc w:val="center"/>
        </w:trPr>
        <w:tc>
          <w:tcPr>
            <w:tcW w:w="1139" w:type="dxa"/>
            <w:shd w:val="clear" w:color="auto" w:fill="auto"/>
            <w:vAlign w:val="center"/>
          </w:tcPr>
          <w:p w14:paraId="1B366A2C"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12-16</w:t>
            </w:r>
          </w:p>
        </w:tc>
        <w:tc>
          <w:tcPr>
            <w:tcW w:w="872" w:type="dxa"/>
            <w:shd w:val="clear" w:color="auto" w:fill="auto"/>
            <w:vAlign w:val="center"/>
          </w:tcPr>
          <w:p w14:paraId="1B366A2D"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564</w:t>
            </w:r>
          </w:p>
        </w:tc>
        <w:tc>
          <w:tcPr>
            <w:tcW w:w="817" w:type="dxa"/>
            <w:shd w:val="clear" w:color="auto" w:fill="auto"/>
            <w:vAlign w:val="center"/>
          </w:tcPr>
          <w:p w14:paraId="1B366A2E"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11.1</w:t>
            </w:r>
          </w:p>
        </w:tc>
        <w:tc>
          <w:tcPr>
            <w:tcW w:w="984" w:type="dxa"/>
            <w:shd w:val="clear" w:color="auto" w:fill="auto"/>
            <w:vAlign w:val="center"/>
          </w:tcPr>
          <w:p w14:paraId="1B366A2F"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14:paraId="1B366A30"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0.97</w:t>
            </w:r>
          </w:p>
        </w:tc>
        <w:tc>
          <w:tcPr>
            <w:tcW w:w="769" w:type="dxa"/>
            <w:shd w:val="clear" w:color="auto" w:fill="auto"/>
            <w:vAlign w:val="center"/>
          </w:tcPr>
          <w:p w14:paraId="1B366A31"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14:paraId="1B366A32"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3520</w:t>
            </w:r>
          </w:p>
        </w:tc>
      </w:tr>
      <w:tr w:rsidR="00736D00" w:rsidRPr="00474E68" w14:paraId="1B366A3B" w14:textId="77777777" w:rsidTr="00474E68">
        <w:trPr>
          <w:jc w:val="center"/>
        </w:trPr>
        <w:tc>
          <w:tcPr>
            <w:tcW w:w="1139" w:type="dxa"/>
            <w:shd w:val="clear" w:color="auto" w:fill="auto"/>
            <w:vAlign w:val="center"/>
          </w:tcPr>
          <w:p w14:paraId="1B366A34"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12-17</w:t>
            </w:r>
          </w:p>
        </w:tc>
        <w:tc>
          <w:tcPr>
            <w:tcW w:w="872" w:type="dxa"/>
            <w:shd w:val="clear" w:color="auto" w:fill="auto"/>
            <w:vAlign w:val="center"/>
          </w:tcPr>
          <w:p w14:paraId="1B366A35"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745</w:t>
            </w:r>
          </w:p>
        </w:tc>
        <w:tc>
          <w:tcPr>
            <w:tcW w:w="817" w:type="dxa"/>
            <w:shd w:val="clear" w:color="auto" w:fill="auto"/>
            <w:vAlign w:val="center"/>
          </w:tcPr>
          <w:p w14:paraId="1B366A36"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12.1</w:t>
            </w:r>
          </w:p>
        </w:tc>
        <w:tc>
          <w:tcPr>
            <w:tcW w:w="984" w:type="dxa"/>
            <w:shd w:val="clear" w:color="auto" w:fill="auto"/>
            <w:vAlign w:val="center"/>
          </w:tcPr>
          <w:p w14:paraId="1B366A37"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62</w:t>
            </w:r>
          </w:p>
        </w:tc>
        <w:tc>
          <w:tcPr>
            <w:tcW w:w="828" w:type="dxa"/>
            <w:shd w:val="clear" w:color="auto" w:fill="auto"/>
            <w:vAlign w:val="center"/>
          </w:tcPr>
          <w:p w14:paraId="1B366A38"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0.74</w:t>
            </w:r>
          </w:p>
        </w:tc>
        <w:tc>
          <w:tcPr>
            <w:tcW w:w="769" w:type="dxa"/>
            <w:shd w:val="clear" w:color="auto" w:fill="auto"/>
            <w:vAlign w:val="center"/>
          </w:tcPr>
          <w:p w14:paraId="1B366A39"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84</w:t>
            </w:r>
          </w:p>
        </w:tc>
        <w:tc>
          <w:tcPr>
            <w:tcW w:w="777" w:type="dxa"/>
            <w:shd w:val="clear" w:color="auto" w:fill="auto"/>
            <w:vAlign w:val="center"/>
          </w:tcPr>
          <w:p w14:paraId="1B366A3A"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2675</w:t>
            </w:r>
          </w:p>
        </w:tc>
      </w:tr>
      <w:tr w:rsidR="00736D00" w:rsidRPr="00474E68" w14:paraId="1B366A43" w14:textId="77777777" w:rsidTr="00474E68">
        <w:trPr>
          <w:jc w:val="center"/>
        </w:trPr>
        <w:tc>
          <w:tcPr>
            <w:tcW w:w="1139" w:type="dxa"/>
            <w:shd w:val="clear" w:color="auto" w:fill="auto"/>
            <w:vAlign w:val="center"/>
          </w:tcPr>
          <w:p w14:paraId="1B366A3C"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12-18</w:t>
            </w:r>
          </w:p>
        </w:tc>
        <w:tc>
          <w:tcPr>
            <w:tcW w:w="872" w:type="dxa"/>
            <w:shd w:val="clear" w:color="auto" w:fill="auto"/>
            <w:vAlign w:val="center"/>
          </w:tcPr>
          <w:p w14:paraId="1B366A3D"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859</w:t>
            </w:r>
          </w:p>
        </w:tc>
        <w:tc>
          <w:tcPr>
            <w:tcW w:w="817" w:type="dxa"/>
            <w:shd w:val="clear" w:color="auto" w:fill="auto"/>
            <w:vAlign w:val="center"/>
          </w:tcPr>
          <w:p w14:paraId="1B366A3E"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14.0</w:t>
            </w:r>
          </w:p>
        </w:tc>
        <w:tc>
          <w:tcPr>
            <w:tcW w:w="984" w:type="dxa"/>
            <w:shd w:val="clear" w:color="auto" w:fill="auto"/>
            <w:vAlign w:val="center"/>
          </w:tcPr>
          <w:p w14:paraId="1B366A3F"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61</w:t>
            </w:r>
          </w:p>
        </w:tc>
        <w:tc>
          <w:tcPr>
            <w:tcW w:w="828" w:type="dxa"/>
            <w:shd w:val="clear" w:color="auto" w:fill="auto"/>
            <w:vAlign w:val="center"/>
          </w:tcPr>
          <w:p w14:paraId="1B366A40"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0.78</w:t>
            </w:r>
          </w:p>
        </w:tc>
        <w:tc>
          <w:tcPr>
            <w:tcW w:w="769" w:type="dxa"/>
            <w:shd w:val="clear" w:color="auto" w:fill="auto"/>
            <w:vAlign w:val="center"/>
          </w:tcPr>
          <w:p w14:paraId="1B366A41"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14:paraId="1B366A42"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2704</w:t>
            </w:r>
          </w:p>
        </w:tc>
      </w:tr>
      <w:tr w:rsidR="00736D00" w:rsidRPr="00474E68" w14:paraId="1B366A4B" w14:textId="77777777" w:rsidTr="00474E68">
        <w:trPr>
          <w:jc w:val="center"/>
        </w:trPr>
        <w:tc>
          <w:tcPr>
            <w:tcW w:w="1139" w:type="dxa"/>
            <w:shd w:val="clear" w:color="auto" w:fill="auto"/>
            <w:vAlign w:val="center"/>
          </w:tcPr>
          <w:p w14:paraId="1B366A44"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12-19</w:t>
            </w:r>
          </w:p>
        </w:tc>
        <w:tc>
          <w:tcPr>
            <w:tcW w:w="872" w:type="dxa"/>
            <w:shd w:val="clear" w:color="auto" w:fill="auto"/>
            <w:vAlign w:val="center"/>
          </w:tcPr>
          <w:p w14:paraId="1B366A45"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740</w:t>
            </w:r>
          </w:p>
        </w:tc>
        <w:tc>
          <w:tcPr>
            <w:tcW w:w="817" w:type="dxa"/>
            <w:shd w:val="clear" w:color="auto" w:fill="auto"/>
            <w:vAlign w:val="center"/>
          </w:tcPr>
          <w:p w14:paraId="1B366A46"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11.3</w:t>
            </w:r>
          </w:p>
        </w:tc>
        <w:tc>
          <w:tcPr>
            <w:tcW w:w="984" w:type="dxa"/>
            <w:shd w:val="clear" w:color="auto" w:fill="auto"/>
            <w:vAlign w:val="center"/>
          </w:tcPr>
          <w:p w14:paraId="1B366A47"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65</w:t>
            </w:r>
          </w:p>
        </w:tc>
        <w:tc>
          <w:tcPr>
            <w:tcW w:w="828" w:type="dxa"/>
            <w:shd w:val="clear" w:color="auto" w:fill="auto"/>
            <w:vAlign w:val="center"/>
          </w:tcPr>
          <w:p w14:paraId="1B366A48"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0.98</w:t>
            </w:r>
          </w:p>
        </w:tc>
        <w:tc>
          <w:tcPr>
            <w:tcW w:w="769" w:type="dxa"/>
            <w:shd w:val="clear" w:color="auto" w:fill="auto"/>
            <w:vAlign w:val="center"/>
          </w:tcPr>
          <w:p w14:paraId="1B366A49"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77</w:t>
            </w:r>
          </w:p>
        </w:tc>
        <w:tc>
          <w:tcPr>
            <w:tcW w:w="777" w:type="dxa"/>
            <w:shd w:val="clear" w:color="auto" w:fill="auto"/>
            <w:vAlign w:val="center"/>
          </w:tcPr>
          <w:p w14:paraId="1B366A4A"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6586</w:t>
            </w:r>
          </w:p>
        </w:tc>
      </w:tr>
      <w:tr w:rsidR="00736D00" w:rsidRPr="00474E68" w14:paraId="1B366A53" w14:textId="77777777" w:rsidTr="00474E68">
        <w:trPr>
          <w:jc w:val="center"/>
        </w:trPr>
        <w:tc>
          <w:tcPr>
            <w:tcW w:w="1139" w:type="dxa"/>
            <w:shd w:val="clear" w:color="auto" w:fill="auto"/>
            <w:vAlign w:val="center"/>
          </w:tcPr>
          <w:p w14:paraId="1B366A4C"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12-20</w:t>
            </w:r>
          </w:p>
        </w:tc>
        <w:tc>
          <w:tcPr>
            <w:tcW w:w="872" w:type="dxa"/>
            <w:shd w:val="clear" w:color="auto" w:fill="auto"/>
            <w:vAlign w:val="center"/>
          </w:tcPr>
          <w:p w14:paraId="1B366A4D"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550</w:t>
            </w:r>
          </w:p>
        </w:tc>
        <w:tc>
          <w:tcPr>
            <w:tcW w:w="817" w:type="dxa"/>
            <w:shd w:val="clear" w:color="auto" w:fill="auto"/>
            <w:vAlign w:val="center"/>
          </w:tcPr>
          <w:p w14:paraId="1B366A4E"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9.5</w:t>
            </w:r>
          </w:p>
        </w:tc>
        <w:tc>
          <w:tcPr>
            <w:tcW w:w="984" w:type="dxa"/>
            <w:shd w:val="clear" w:color="auto" w:fill="auto"/>
            <w:vAlign w:val="center"/>
          </w:tcPr>
          <w:p w14:paraId="1B366A4F"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58</w:t>
            </w:r>
          </w:p>
        </w:tc>
        <w:tc>
          <w:tcPr>
            <w:tcW w:w="828" w:type="dxa"/>
            <w:shd w:val="clear" w:color="auto" w:fill="auto"/>
            <w:vAlign w:val="center"/>
          </w:tcPr>
          <w:p w14:paraId="1B366A50"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0.93</w:t>
            </w:r>
          </w:p>
        </w:tc>
        <w:tc>
          <w:tcPr>
            <w:tcW w:w="769" w:type="dxa"/>
            <w:shd w:val="clear" w:color="auto" w:fill="auto"/>
            <w:vAlign w:val="center"/>
          </w:tcPr>
          <w:p w14:paraId="1B366A51"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14:paraId="1B366A52"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2769</w:t>
            </w:r>
          </w:p>
        </w:tc>
      </w:tr>
      <w:tr w:rsidR="00736D00" w:rsidRPr="00474E68" w14:paraId="1B366A5B" w14:textId="77777777" w:rsidTr="00474E68">
        <w:trPr>
          <w:jc w:val="center"/>
        </w:trPr>
        <w:tc>
          <w:tcPr>
            <w:tcW w:w="1139" w:type="dxa"/>
            <w:shd w:val="clear" w:color="auto" w:fill="auto"/>
            <w:vAlign w:val="center"/>
          </w:tcPr>
          <w:p w14:paraId="1B366A54" w14:textId="77777777" w:rsidR="00736D00" w:rsidRPr="00474E68" w:rsidRDefault="009439B0" w:rsidP="00474E68">
            <w:pPr>
              <w:jc w:val="center"/>
              <w:rPr>
                <w:rFonts w:ascii="Arial" w:hAnsi="Arial" w:cs="Arial"/>
                <w:sz w:val="20"/>
                <w:szCs w:val="20"/>
              </w:rPr>
            </w:pPr>
            <w:r w:rsidRPr="00474E68">
              <w:rPr>
                <w:rFonts w:ascii="Arial" w:hAnsi="Arial" w:cs="Arial"/>
                <w:sz w:val="20"/>
                <w:szCs w:val="20"/>
              </w:rPr>
              <w:t>12-51</w:t>
            </w:r>
          </w:p>
        </w:tc>
        <w:tc>
          <w:tcPr>
            <w:tcW w:w="872" w:type="dxa"/>
            <w:shd w:val="clear" w:color="auto" w:fill="auto"/>
            <w:vAlign w:val="center"/>
          </w:tcPr>
          <w:p w14:paraId="1B366A55" w14:textId="77777777" w:rsidR="00736D00" w:rsidRPr="00474E68" w:rsidRDefault="007A5289" w:rsidP="00474E68">
            <w:pPr>
              <w:jc w:val="center"/>
              <w:rPr>
                <w:rFonts w:ascii="Arial" w:hAnsi="Arial" w:cs="Arial"/>
                <w:sz w:val="20"/>
                <w:szCs w:val="20"/>
              </w:rPr>
            </w:pPr>
            <w:r w:rsidRPr="00474E68">
              <w:rPr>
                <w:rFonts w:ascii="Arial" w:hAnsi="Arial" w:cs="Arial"/>
                <w:sz w:val="20"/>
                <w:szCs w:val="20"/>
              </w:rPr>
              <w:t>595</w:t>
            </w:r>
          </w:p>
        </w:tc>
        <w:tc>
          <w:tcPr>
            <w:tcW w:w="817" w:type="dxa"/>
            <w:shd w:val="clear" w:color="auto" w:fill="auto"/>
            <w:vAlign w:val="center"/>
          </w:tcPr>
          <w:p w14:paraId="1B366A56"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11.7</w:t>
            </w:r>
          </w:p>
        </w:tc>
        <w:tc>
          <w:tcPr>
            <w:tcW w:w="984" w:type="dxa"/>
            <w:shd w:val="clear" w:color="auto" w:fill="auto"/>
            <w:vAlign w:val="center"/>
          </w:tcPr>
          <w:p w14:paraId="1B366A57"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14:paraId="1B366A58"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0.88</w:t>
            </w:r>
          </w:p>
        </w:tc>
        <w:tc>
          <w:tcPr>
            <w:tcW w:w="769" w:type="dxa"/>
            <w:shd w:val="clear" w:color="auto" w:fill="auto"/>
            <w:vAlign w:val="center"/>
          </w:tcPr>
          <w:p w14:paraId="1B366A59"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92</w:t>
            </w:r>
          </w:p>
        </w:tc>
        <w:tc>
          <w:tcPr>
            <w:tcW w:w="777" w:type="dxa"/>
            <w:shd w:val="clear" w:color="auto" w:fill="auto"/>
            <w:vAlign w:val="center"/>
          </w:tcPr>
          <w:p w14:paraId="1B366A5A" w14:textId="77777777" w:rsidR="00736D00" w:rsidRPr="00474E68" w:rsidRDefault="00663B07" w:rsidP="00474E68">
            <w:pPr>
              <w:jc w:val="center"/>
              <w:rPr>
                <w:rFonts w:ascii="Arial" w:hAnsi="Arial" w:cs="Arial"/>
                <w:sz w:val="20"/>
                <w:szCs w:val="20"/>
              </w:rPr>
            </w:pPr>
            <w:r w:rsidRPr="00474E68">
              <w:rPr>
                <w:rFonts w:ascii="Arial" w:hAnsi="Arial" w:cs="Arial"/>
                <w:sz w:val="20"/>
                <w:szCs w:val="20"/>
              </w:rPr>
              <w:t>2663</w:t>
            </w:r>
          </w:p>
        </w:tc>
      </w:tr>
      <w:tr w:rsidR="009439B0" w:rsidRPr="00474E68" w14:paraId="1B366A63" w14:textId="77777777" w:rsidTr="00474E68">
        <w:trPr>
          <w:jc w:val="center"/>
        </w:trPr>
        <w:tc>
          <w:tcPr>
            <w:tcW w:w="1139" w:type="dxa"/>
            <w:shd w:val="clear" w:color="auto" w:fill="auto"/>
            <w:vAlign w:val="center"/>
          </w:tcPr>
          <w:p w14:paraId="1B366A5C"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12-52</w:t>
            </w:r>
          </w:p>
        </w:tc>
        <w:tc>
          <w:tcPr>
            <w:tcW w:w="872" w:type="dxa"/>
            <w:shd w:val="clear" w:color="auto" w:fill="auto"/>
            <w:vAlign w:val="center"/>
          </w:tcPr>
          <w:p w14:paraId="1B366A5D"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463</w:t>
            </w:r>
          </w:p>
        </w:tc>
        <w:tc>
          <w:tcPr>
            <w:tcW w:w="817" w:type="dxa"/>
            <w:shd w:val="clear" w:color="auto" w:fill="auto"/>
            <w:vAlign w:val="center"/>
          </w:tcPr>
          <w:p w14:paraId="1B366A5E"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984" w:type="dxa"/>
            <w:shd w:val="clear" w:color="auto" w:fill="auto"/>
            <w:vAlign w:val="center"/>
          </w:tcPr>
          <w:p w14:paraId="1B366A5F"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57</w:t>
            </w:r>
          </w:p>
        </w:tc>
        <w:tc>
          <w:tcPr>
            <w:tcW w:w="828" w:type="dxa"/>
            <w:shd w:val="clear" w:color="auto" w:fill="auto"/>
            <w:vAlign w:val="center"/>
          </w:tcPr>
          <w:p w14:paraId="1B366A60"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0.93</w:t>
            </w:r>
          </w:p>
        </w:tc>
        <w:tc>
          <w:tcPr>
            <w:tcW w:w="769" w:type="dxa"/>
            <w:shd w:val="clear" w:color="auto" w:fill="auto"/>
            <w:vAlign w:val="center"/>
          </w:tcPr>
          <w:p w14:paraId="1B366A61"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85</w:t>
            </w:r>
          </w:p>
        </w:tc>
        <w:tc>
          <w:tcPr>
            <w:tcW w:w="777" w:type="dxa"/>
            <w:shd w:val="clear" w:color="auto" w:fill="auto"/>
            <w:vAlign w:val="center"/>
          </w:tcPr>
          <w:p w14:paraId="1B366A62"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2966</w:t>
            </w:r>
          </w:p>
        </w:tc>
      </w:tr>
      <w:tr w:rsidR="009439B0" w:rsidRPr="00474E68" w14:paraId="1B366A6B" w14:textId="77777777" w:rsidTr="00474E68">
        <w:trPr>
          <w:jc w:val="center"/>
        </w:trPr>
        <w:tc>
          <w:tcPr>
            <w:tcW w:w="1139" w:type="dxa"/>
            <w:shd w:val="clear" w:color="auto" w:fill="auto"/>
            <w:vAlign w:val="center"/>
          </w:tcPr>
          <w:p w14:paraId="1B366A64"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12-53</w:t>
            </w:r>
          </w:p>
        </w:tc>
        <w:tc>
          <w:tcPr>
            <w:tcW w:w="872" w:type="dxa"/>
            <w:shd w:val="clear" w:color="auto" w:fill="auto"/>
            <w:vAlign w:val="center"/>
          </w:tcPr>
          <w:p w14:paraId="1B366A65"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616</w:t>
            </w:r>
          </w:p>
        </w:tc>
        <w:tc>
          <w:tcPr>
            <w:tcW w:w="817" w:type="dxa"/>
            <w:shd w:val="clear" w:color="auto" w:fill="auto"/>
            <w:vAlign w:val="center"/>
          </w:tcPr>
          <w:p w14:paraId="1B366A66"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12.1</w:t>
            </w:r>
          </w:p>
        </w:tc>
        <w:tc>
          <w:tcPr>
            <w:tcW w:w="984" w:type="dxa"/>
            <w:shd w:val="clear" w:color="auto" w:fill="auto"/>
            <w:vAlign w:val="center"/>
          </w:tcPr>
          <w:p w14:paraId="1B366A67"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14:paraId="1B366A68"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0.94</w:t>
            </w:r>
          </w:p>
        </w:tc>
        <w:tc>
          <w:tcPr>
            <w:tcW w:w="769" w:type="dxa"/>
            <w:shd w:val="clear" w:color="auto" w:fill="auto"/>
            <w:vAlign w:val="center"/>
          </w:tcPr>
          <w:p w14:paraId="1B366A69"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93</w:t>
            </w:r>
          </w:p>
        </w:tc>
        <w:tc>
          <w:tcPr>
            <w:tcW w:w="777" w:type="dxa"/>
            <w:shd w:val="clear" w:color="auto" w:fill="auto"/>
            <w:vAlign w:val="center"/>
          </w:tcPr>
          <w:p w14:paraId="1B366A6A"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2729</w:t>
            </w:r>
          </w:p>
        </w:tc>
      </w:tr>
      <w:tr w:rsidR="009439B0" w:rsidRPr="00474E68" w14:paraId="1B366A73" w14:textId="77777777" w:rsidTr="00474E68">
        <w:trPr>
          <w:jc w:val="center"/>
        </w:trPr>
        <w:tc>
          <w:tcPr>
            <w:tcW w:w="1139" w:type="dxa"/>
            <w:shd w:val="clear" w:color="auto" w:fill="auto"/>
            <w:vAlign w:val="center"/>
          </w:tcPr>
          <w:p w14:paraId="1B366A6C"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12-55</w:t>
            </w:r>
          </w:p>
        </w:tc>
        <w:tc>
          <w:tcPr>
            <w:tcW w:w="872" w:type="dxa"/>
            <w:shd w:val="clear" w:color="auto" w:fill="auto"/>
            <w:vAlign w:val="center"/>
          </w:tcPr>
          <w:p w14:paraId="1B366A6D"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699</w:t>
            </w:r>
          </w:p>
        </w:tc>
        <w:tc>
          <w:tcPr>
            <w:tcW w:w="817" w:type="dxa"/>
            <w:shd w:val="clear" w:color="auto" w:fill="auto"/>
            <w:vAlign w:val="center"/>
          </w:tcPr>
          <w:p w14:paraId="1B366A6E"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13.5</w:t>
            </w:r>
          </w:p>
        </w:tc>
        <w:tc>
          <w:tcPr>
            <w:tcW w:w="984" w:type="dxa"/>
            <w:shd w:val="clear" w:color="auto" w:fill="auto"/>
            <w:vAlign w:val="center"/>
          </w:tcPr>
          <w:p w14:paraId="1B366A6F"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52</w:t>
            </w:r>
          </w:p>
        </w:tc>
        <w:tc>
          <w:tcPr>
            <w:tcW w:w="828" w:type="dxa"/>
            <w:shd w:val="clear" w:color="auto" w:fill="auto"/>
            <w:vAlign w:val="center"/>
          </w:tcPr>
          <w:p w14:paraId="1B366A70"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0.76</w:t>
            </w:r>
          </w:p>
        </w:tc>
        <w:tc>
          <w:tcPr>
            <w:tcW w:w="769" w:type="dxa"/>
            <w:shd w:val="clear" w:color="auto" w:fill="auto"/>
            <w:vAlign w:val="center"/>
          </w:tcPr>
          <w:p w14:paraId="1B366A71"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14:paraId="1B366A72"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2734</w:t>
            </w:r>
          </w:p>
        </w:tc>
      </w:tr>
      <w:tr w:rsidR="009439B0" w:rsidRPr="00474E68" w14:paraId="1B366A7B" w14:textId="77777777" w:rsidTr="00474E68">
        <w:trPr>
          <w:jc w:val="center"/>
        </w:trPr>
        <w:tc>
          <w:tcPr>
            <w:tcW w:w="1139" w:type="dxa"/>
            <w:shd w:val="clear" w:color="auto" w:fill="auto"/>
            <w:vAlign w:val="center"/>
          </w:tcPr>
          <w:p w14:paraId="1B366A74"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12-56</w:t>
            </w:r>
          </w:p>
        </w:tc>
        <w:tc>
          <w:tcPr>
            <w:tcW w:w="872" w:type="dxa"/>
            <w:shd w:val="clear" w:color="auto" w:fill="auto"/>
            <w:vAlign w:val="center"/>
          </w:tcPr>
          <w:p w14:paraId="1B366A75"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667</w:t>
            </w:r>
          </w:p>
        </w:tc>
        <w:tc>
          <w:tcPr>
            <w:tcW w:w="817" w:type="dxa"/>
            <w:shd w:val="clear" w:color="auto" w:fill="auto"/>
            <w:vAlign w:val="center"/>
          </w:tcPr>
          <w:p w14:paraId="1B366A76"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11.6</w:t>
            </w:r>
          </w:p>
        </w:tc>
        <w:tc>
          <w:tcPr>
            <w:tcW w:w="984" w:type="dxa"/>
            <w:shd w:val="clear" w:color="auto" w:fill="auto"/>
            <w:vAlign w:val="center"/>
          </w:tcPr>
          <w:p w14:paraId="1B366A77"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58</w:t>
            </w:r>
          </w:p>
        </w:tc>
        <w:tc>
          <w:tcPr>
            <w:tcW w:w="828" w:type="dxa"/>
            <w:shd w:val="clear" w:color="auto" w:fill="auto"/>
            <w:vAlign w:val="center"/>
          </w:tcPr>
          <w:p w14:paraId="1B366A78"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0.87</w:t>
            </w:r>
          </w:p>
        </w:tc>
        <w:tc>
          <w:tcPr>
            <w:tcW w:w="769" w:type="dxa"/>
            <w:shd w:val="clear" w:color="auto" w:fill="auto"/>
            <w:vAlign w:val="center"/>
          </w:tcPr>
          <w:p w14:paraId="1B366A79"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14:paraId="1B366A7A"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2709</w:t>
            </w:r>
          </w:p>
        </w:tc>
      </w:tr>
      <w:tr w:rsidR="009439B0" w:rsidRPr="00474E68" w14:paraId="1B366A83" w14:textId="77777777" w:rsidTr="00474E68">
        <w:trPr>
          <w:jc w:val="center"/>
        </w:trPr>
        <w:tc>
          <w:tcPr>
            <w:tcW w:w="1139" w:type="dxa"/>
            <w:shd w:val="clear" w:color="auto" w:fill="auto"/>
            <w:vAlign w:val="center"/>
          </w:tcPr>
          <w:p w14:paraId="1B366A7C"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12-57</w:t>
            </w:r>
          </w:p>
        </w:tc>
        <w:tc>
          <w:tcPr>
            <w:tcW w:w="872" w:type="dxa"/>
            <w:shd w:val="clear" w:color="auto" w:fill="auto"/>
            <w:vAlign w:val="center"/>
          </w:tcPr>
          <w:p w14:paraId="1B366A7D"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705</w:t>
            </w:r>
          </w:p>
        </w:tc>
        <w:tc>
          <w:tcPr>
            <w:tcW w:w="817" w:type="dxa"/>
            <w:shd w:val="clear" w:color="auto" w:fill="auto"/>
            <w:vAlign w:val="center"/>
          </w:tcPr>
          <w:p w14:paraId="1B366A7E"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12.6</w:t>
            </w:r>
          </w:p>
        </w:tc>
        <w:tc>
          <w:tcPr>
            <w:tcW w:w="984" w:type="dxa"/>
            <w:shd w:val="clear" w:color="auto" w:fill="auto"/>
            <w:vAlign w:val="center"/>
          </w:tcPr>
          <w:p w14:paraId="1B366A7F"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56</w:t>
            </w:r>
          </w:p>
        </w:tc>
        <w:tc>
          <w:tcPr>
            <w:tcW w:w="828" w:type="dxa"/>
            <w:shd w:val="clear" w:color="auto" w:fill="auto"/>
            <w:vAlign w:val="center"/>
          </w:tcPr>
          <w:p w14:paraId="1B366A80"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0.80</w:t>
            </w:r>
          </w:p>
        </w:tc>
        <w:tc>
          <w:tcPr>
            <w:tcW w:w="769" w:type="dxa"/>
            <w:shd w:val="clear" w:color="auto" w:fill="auto"/>
            <w:vAlign w:val="center"/>
          </w:tcPr>
          <w:p w14:paraId="1B366A81"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14:paraId="1B366A82"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3112</w:t>
            </w:r>
          </w:p>
        </w:tc>
      </w:tr>
      <w:tr w:rsidR="009439B0" w:rsidRPr="00474E68" w14:paraId="1B366A8B" w14:textId="77777777" w:rsidTr="00474E68">
        <w:trPr>
          <w:jc w:val="center"/>
        </w:trPr>
        <w:tc>
          <w:tcPr>
            <w:tcW w:w="1139" w:type="dxa"/>
            <w:shd w:val="clear" w:color="auto" w:fill="auto"/>
            <w:vAlign w:val="center"/>
          </w:tcPr>
          <w:p w14:paraId="1B366A84" w14:textId="77777777" w:rsidR="009439B0" w:rsidRPr="00474E68" w:rsidRDefault="009439B0" w:rsidP="00474E68">
            <w:pPr>
              <w:jc w:val="center"/>
              <w:rPr>
                <w:rFonts w:ascii="Arial" w:hAnsi="Arial" w:cs="Arial"/>
                <w:sz w:val="20"/>
                <w:szCs w:val="20"/>
              </w:rPr>
            </w:pPr>
            <w:r w:rsidRPr="00474E68">
              <w:rPr>
                <w:rFonts w:ascii="Arial" w:hAnsi="Arial" w:cs="Arial"/>
                <w:sz w:val="20"/>
                <w:szCs w:val="20"/>
              </w:rPr>
              <w:t>12-59</w:t>
            </w:r>
          </w:p>
        </w:tc>
        <w:tc>
          <w:tcPr>
            <w:tcW w:w="872" w:type="dxa"/>
            <w:shd w:val="clear" w:color="auto" w:fill="auto"/>
            <w:vAlign w:val="center"/>
          </w:tcPr>
          <w:p w14:paraId="1B366A85" w14:textId="77777777" w:rsidR="009439B0" w:rsidRPr="00474E68" w:rsidRDefault="007A5289" w:rsidP="00474E68">
            <w:pPr>
              <w:jc w:val="center"/>
              <w:rPr>
                <w:rFonts w:ascii="Arial" w:hAnsi="Arial" w:cs="Arial"/>
                <w:sz w:val="20"/>
                <w:szCs w:val="20"/>
              </w:rPr>
            </w:pPr>
            <w:r w:rsidRPr="00474E68">
              <w:rPr>
                <w:rFonts w:ascii="Arial" w:hAnsi="Arial" w:cs="Arial"/>
                <w:sz w:val="20"/>
                <w:szCs w:val="20"/>
              </w:rPr>
              <w:t>860</w:t>
            </w:r>
          </w:p>
        </w:tc>
        <w:tc>
          <w:tcPr>
            <w:tcW w:w="817" w:type="dxa"/>
            <w:shd w:val="clear" w:color="auto" w:fill="auto"/>
            <w:vAlign w:val="center"/>
          </w:tcPr>
          <w:p w14:paraId="1B366A86"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14.3</w:t>
            </w:r>
          </w:p>
        </w:tc>
        <w:tc>
          <w:tcPr>
            <w:tcW w:w="984" w:type="dxa"/>
            <w:shd w:val="clear" w:color="auto" w:fill="auto"/>
            <w:vAlign w:val="center"/>
          </w:tcPr>
          <w:p w14:paraId="1B366A87"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60</w:t>
            </w:r>
          </w:p>
        </w:tc>
        <w:tc>
          <w:tcPr>
            <w:tcW w:w="828" w:type="dxa"/>
            <w:shd w:val="clear" w:color="auto" w:fill="auto"/>
            <w:vAlign w:val="center"/>
          </w:tcPr>
          <w:p w14:paraId="1B366A88"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0.77</w:t>
            </w:r>
          </w:p>
        </w:tc>
        <w:tc>
          <w:tcPr>
            <w:tcW w:w="769" w:type="dxa"/>
            <w:shd w:val="clear" w:color="auto" w:fill="auto"/>
            <w:vAlign w:val="center"/>
          </w:tcPr>
          <w:p w14:paraId="1B366A89"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14:paraId="1B366A8A" w14:textId="77777777" w:rsidR="009439B0" w:rsidRPr="00474E68" w:rsidRDefault="00663B07" w:rsidP="00474E68">
            <w:pPr>
              <w:jc w:val="center"/>
              <w:rPr>
                <w:rFonts w:ascii="Arial" w:hAnsi="Arial" w:cs="Arial"/>
                <w:sz w:val="20"/>
                <w:szCs w:val="20"/>
              </w:rPr>
            </w:pPr>
            <w:r w:rsidRPr="00474E68">
              <w:rPr>
                <w:rFonts w:ascii="Arial" w:hAnsi="Arial" w:cs="Arial"/>
                <w:sz w:val="20"/>
                <w:szCs w:val="20"/>
              </w:rPr>
              <w:t>3000</w:t>
            </w:r>
          </w:p>
        </w:tc>
      </w:tr>
      <w:tr w:rsidR="00736D00" w:rsidRPr="00474E68" w14:paraId="1B366A93" w14:textId="77777777" w:rsidTr="00474E68">
        <w:trPr>
          <w:jc w:val="center"/>
        </w:trPr>
        <w:tc>
          <w:tcPr>
            <w:tcW w:w="1139" w:type="dxa"/>
            <w:shd w:val="clear" w:color="auto" w:fill="auto"/>
            <w:vAlign w:val="center"/>
          </w:tcPr>
          <w:p w14:paraId="1B366A8C"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Minimum</w:t>
            </w:r>
          </w:p>
        </w:tc>
        <w:tc>
          <w:tcPr>
            <w:tcW w:w="872" w:type="dxa"/>
            <w:shd w:val="clear" w:color="auto" w:fill="auto"/>
            <w:vAlign w:val="center"/>
          </w:tcPr>
          <w:p w14:paraId="1B366A8D" w14:textId="77777777" w:rsidR="00736D00" w:rsidRPr="00474E68" w:rsidRDefault="007A5289" w:rsidP="00474E68">
            <w:pPr>
              <w:jc w:val="center"/>
              <w:rPr>
                <w:rFonts w:ascii="Arial" w:hAnsi="Arial" w:cs="Arial"/>
                <w:b/>
                <w:sz w:val="20"/>
                <w:szCs w:val="20"/>
              </w:rPr>
            </w:pPr>
            <w:r w:rsidRPr="00474E68">
              <w:rPr>
                <w:rFonts w:ascii="Arial" w:hAnsi="Arial" w:cs="Arial"/>
                <w:b/>
                <w:sz w:val="20"/>
                <w:szCs w:val="20"/>
              </w:rPr>
              <w:t>463</w:t>
            </w:r>
          </w:p>
        </w:tc>
        <w:tc>
          <w:tcPr>
            <w:tcW w:w="817" w:type="dxa"/>
            <w:shd w:val="clear" w:color="auto" w:fill="auto"/>
            <w:vAlign w:val="center"/>
          </w:tcPr>
          <w:p w14:paraId="1B366A8E"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6.0</w:t>
            </w:r>
          </w:p>
        </w:tc>
        <w:tc>
          <w:tcPr>
            <w:tcW w:w="984" w:type="dxa"/>
            <w:shd w:val="clear" w:color="auto" w:fill="auto"/>
            <w:vAlign w:val="center"/>
          </w:tcPr>
          <w:p w14:paraId="1B366A8F"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51</w:t>
            </w:r>
          </w:p>
        </w:tc>
        <w:tc>
          <w:tcPr>
            <w:tcW w:w="828" w:type="dxa"/>
            <w:shd w:val="clear" w:color="auto" w:fill="auto"/>
            <w:vAlign w:val="center"/>
          </w:tcPr>
          <w:p w14:paraId="1B366A90"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0.53</w:t>
            </w:r>
          </w:p>
        </w:tc>
        <w:tc>
          <w:tcPr>
            <w:tcW w:w="769" w:type="dxa"/>
            <w:shd w:val="clear" w:color="auto" w:fill="auto"/>
            <w:vAlign w:val="center"/>
          </w:tcPr>
          <w:p w14:paraId="1B366A91"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77</w:t>
            </w:r>
          </w:p>
        </w:tc>
        <w:tc>
          <w:tcPr>
            <w:tcW w:w="777" w:type="dxa"/>
            <w:shd w:val="clear" w:color="auto" w:fill="auto"/>
            <w:vAlign w:val="center"/>
          </w:tcPr>
          <w:p w14:paraId="1B366A92"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2663</w:t>
            </w:r>
          </w:p>
        </w:tc>
      </w:tr>
      <w:tr w:rsidR="00736D00" w:rsidRPr="00474E68" w14:paraId="1B366A9B" w14:textId="77777777" w:rsidTr="00474E68">
        <w:trPr>
          <w:jc w:val="center"/>
        </w:trPr>
        <w:tc>
          <w:tcPr>
            <w:tcW w:w="1139" w:type="dxa"/>
            <w:shd w:val="clear" w:color="auto" w:fill="auto"/>
            <w:vAlign w:val="center"/>
          </w:tcPr>
          <w:p w14:paraId="1B366A94"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Mean</w:t>
            </w:r>
          </w:p>
        </w:tc>
        <w:tc>
          <w:tcPr>
            <w:tcW w:w="872" w:type="dxa"/>
            <w:shd w:val="clear" w:color="auto" w:fill="auto"/>
            <w:vAlign w:val="center"/>
          </w:tcPr>
          <w:p w14:paraId="1B366A95" w14:textId="77777777" w:rsidR="00736D00" w:rsidRPr="00474E68" w:rsidRDefault="007A5289" w:rsidP="00474E68">
            <w:pPr>
              <w:jc w:val="center"/>
              <w:rPr>
                <w:rFonts w:ascii="Arial" w:hAnsi="Arial" w:cs="Arial"/>
                <w:b/>
                <w:sz w:val="20"/>
                <w:szCs w:val="20"/>
              </w:rPr>
            </w:pPr>
            <w:r w:rsidRPr="00474E68">
              <w:rPr>
                <w:rFonts w:ascii="Arial" w:hAnsi="Arial" w:cs="Arial"/>
                <w:b/>
                <w:sz w:val="20"/>
                <w:szCs w:val="20"/>
              </w:rPr>
              <w:t>662</w:t>
            </w:r>
          </w:p>
        </w:tc>
        <w:tc>
          <w:tcPr>
            <w:tcW w:w="817" w:type="dxa"/>
            <w:shd w:val="clear" w:color="auto" w:fill="auto"/>
            <w:vAlign w:val="center"/>
          </w:tcPr>
          <w:p w14:paraId="1B366A96"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11.4</w:t>
            </w:r>
          </w:p>
        </w:tc>
        <w:tc>
          <w:tcPr>
            <w:tcW w:w="984" w:type="dxa"/>
            <w:shd w:val="clear" w:color="auto" w:fill="auto"/>
            <w:vAlign w:val="center"/>
          </w:tcPr>
          <w:p w14:paraId="1B366A97"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59</w:t>
            </w:r>
          </w:p>
        </w:tc>
        <w:tc>
          <w:tcPr>
            <w:tcW w:w="828" w:type="dxa"/>
            <w:shd w:val="clear" w:color="auto" w:fill="auto"/>
            <w:vAlign w:val="center"/>
          </w:tcPr>
          <w:p w14:paraId="1B366A98"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0.84</w:t>
            </w:r>
          </w:p>
        </w:tc>
        <w:tc>
          <w:tcPr>
            <w:tcW w:w="769" w:type="dxa"/>
            <w:shd w:val="clear" w:color="auto" w:fill="auto"/>
            <w:vAlign w:val="center"/>
          </w:tcPr>
          <w:p w14:paraId="1B366A99"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84</w:t>
            </w:r>
          </w:p>
        </w:tc>
        <w:tc>
          <w:tcPr>
            <w:tcW w:w="777" w:type="dxa"/>
            <w:shd w:val="clear" w:color="auto" w:fill="auto"/>
            <w:vAlign w:val="center"/>
          </w:tcPr>
          <w:p w14:paraId="1B366A9A"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3350</w:t>
            </w:r>
          </w:p>
        </w:tc>
      </w:tr>
      <w:tr w:rsidR="00736D00" w:rsidRPr="00474E68" w14:paraId="1B366AA3" w14:textId="77777777" w:rsidTr="00474E68">
        <w:trPr>
          <w:jc w:val="center"/>
        </w:trPr>
        <w:tc>
          <w:tcPr>
            <w:tcW w:w="1139" w:type="dxa"/>
            <w:shd w:val="clear" w:color="auto" w:fill="auto"/>
            <w:vAlign w:val="center"/>
          </w:tcPr>
          <w:p w14:paraId="1B366A9C" w14:textId="77777777" w:rsidR="00736D00" w:rsidRPr="00474E68" w:rsidRDefault="00736D00" w:rsidP="00474E68">
            <w:pPr>
              <w:jc w:val="center"/>
              <w:rPr>
                <w:rFonts w:ascii="Arial" w:hAnsi="Arial" w:cs="Arial"/>
                <w:b/>
                <w:sz w:val="20"/>
                <w:szCs w:val="20"/>
              </w:rPr>
            </w:pPr>
            <w:r w:rsidRPr="00474E68">
              <w:rPr>
                <w:rFonts w:ascii="Arial" w:hAnsi="Arial" w:cs="Arial"/>
                <w:b/>
                <w:sz w:val="20"/>
                <w:szCs w:val="20"/>
              </w:rPr>
              <w:t>Maximum</w:t>
            </w:r>
          </w:p>
        </w:tc>
        <w:tc>
          <w:tcPr>
            <w:tcW w:w="872" w:type="dxa"/>
            <w:shd w:val="clear" w:color="auto" w:fill="auto"/>
            <w:vAlign w:val="center"/>
          </w:tcPr>
          <w:p w14:paraId="1B366A9D" w14:textId="77777777" w:rsidR="00736D00" w:rsidRPr="00474E68" w:rsidRDefault="007A5289" w:rsidP="00474E68">
            <w:pPr>
              <w:jc w:val="center"/>
              <w:rPr>
                <w:rFonts w:ascii="Arial" w:hAnsi="Arial" w:cs="Arial"/>
                <w:b/>
                <w:sz w:val="20"/>
                <w:szCs w:val="20"/>
              </w:rPr>
            </w:pPr>
            <w:r w:rsidRPr="00474E68">
              <w:rPr>
                <w:rFonts w:ascii="Arial" w:hAnsi="Arial" w:cs="Arial"/>
                <w:b/>
                <w:sz w:val="20"/>
                <w:szCs w:val="20"/>
              </w:rPr>
              <w:t>860</w:t>
            </w:r>
          </w:p>
        </w:tc>
        <w:tc>
          <w:tcPr>
            <w:tcW w:w="817" w:type="dxa"/>
            <w:shd w:val="clear" w:color="auto" w:fill="auto"/>
            <w:vAlign w:val="center"/>
          </w:tcPr>
          <w:p w14:paraId="1B366A9E"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14.3</w:t>
            </w:r>
          </w:p>
        </w:tc>
        <w:tc>
          <w:tcPr>
            <w:tcW w:w="984" w:type="dxa"/>
            <w:shd w:val="clear" w:color="auto" w:fill="auto"/>
            <w:vAlign w:val="center"/>
          </w:tcPr>
          <w:p w14:paraId="1B366A9F"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91</w:t>
            </w:r>
          </w:p>
        </w:tc>
        <w:tc>
          <w:tcPr>
            <w:tcW w:w="828" w:type="dxa"/>
            <w:shd w:val="clear" w:color="auto" w:fill="auto"/>
            <w:vAlign w:val="center"/>
          </w:tcPr>
          <w:p w14:paraId="1B366AA0"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0.98</w:t>
            </w:r>
          </w:p>
        </w:tc>
        <w:tc>
          <w:tcPr>
            <w:tcW w:w="769" w:type="dxa"/>
            <w:shd w:val="clear" w:color="auto" w:fill="auto"/>
            <w:vAlign w:val="center"/>
          </w:tcPr>
          <w:p w14:paraId="1B366AA1"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93</w:t>
            </w:r>
          </w:p>
        </w:tc>
        <w:tc>
          <w:tcPr>
            <w:tcW w:w="777" w:type="dxa"/>
            <w:shd w:val="clear" w:color="auto" w:fill="auto"/>
            <w:vAlign w:val="center"/>
          </w:tcPr>
          <w:p w14:paraId="1B366AA2" w14:textId="77777777" w:rsidR="00736D00" w:rsidRPr="00474E68" w:rsidRDefault="00663B07" w:rsidP="00474E68">
            <w:pPr>
              <w:jc w:val="center"/>
              <w:rPr>
                <w:rFonts w:ascii="Arial" w:hAnsi="Arial" w:cs="Arial"/>
                <w:b/>
                <w:sz w:val="20"/>
                <w:szCs w:val="20"/>
              </w:rPr>
            </w:pPr>
            <w:r w:rsidRPr="00474E68">
              <w:rPr>
                <w:rFonts w:ascii="Arial" w:hAnsi="Arial" w:cs="Arial"/>
                <w:b/>
                <w:sz w:val="20"/>
                <w:szCs w:val="20"/>
              </w:rPr>
              <w:t>6586</w:t>
            </w:r>
          </w:p>
        </w:tc>
      </w:tr>
    </w:tbl>
    <w:p w14:paraId="1B366AA4" w14:textId="77777777" w:rsidR="00B00818" w:rsidRDefault="00B00818" w:rsidP="00A35CF8">
      <w:pPr>
        <w:rPr>
          <w:rFonts w:ascii="Arial" w:hAnsi="Arial" w:cs="Arial"/>
          <w:sz w:val="20"/>
          <w:szCs w:val="20"/>
        </w:rPr>
      </w:pPr>
    </w:p>
    <w:p w14:paraId="1B366AA5" w14:textId="77777777" w:rsidR="00736D00" w:rsidRDefault="00B00818" w:rsidP="00A35CF8">
      <w:pPr>
        <w:rPr>
          <w:rFonts w:ascii="Arial" w:hAnsi="Arial" w:cs="Arial"/>
          <w:sz w:val="20"/>
          <w:szCs w:val="20"/>
        </w:rPr>
      </w:pPr>
      <w:r w:rsidRPr="00B00818">
        <w:rPr>
          <w:rFonts w:ascii="Arial" w:hAnsi="Arial" w:cs="Arial"/>
          <w:sz w:val="20"/>
          <w:szCs w:val="20"/>
        </w:rPr>
        <w:t>A few of the conclusions that CALiPER reported for the LED testes were:</w:t>
      </w:r>
    </w:p>
    <w:p w14:paraId="1B366AA6" w14:textId="77777777" w:rsidR="00391C77" w:rsidRP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The lumen output of many of the products was equivalent to 65 Watt or 75 Watt </w:t>
      </w:r>
      <w:r w:rsidR="00740904" w:rsidRPr="00391C77">
        <w:rPr>
          <w:rFonts w:ascii="Arial" w:hAnsi="Arial" w:cs="Arial"/>
          <w:sz w:val="20"/>
          <w:szCs w:val="20"/>
        </w:rPr>
        <w:t>incandescent</w:t>
      </w:r>
      <w:r w:rsidRPr="00391C77">
        <w:rPr>
          <w:rFonts w:ascii="Arial" w:hAnsi="Arial" w:cs="Arial"/>
          <w:sz w:val="20"/>
          <w:szCs w:val="20"/>
        </w:rPr>
        <w:t xml:space="preserve"> BR30/R30 lamps.</w:t>
      </w:r>
    </w:p>
    <w:p w14:paraId="1B366AA7" w14:textId="77777777" w:rsidR="00391C77" w:rsidRP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Most of the </w:t>
      </w:r>
      <w:r w:rsidR="0022619C">
        <w:rPr>
          <w:rFonts w:ascii="Arial" w:hAnsi="Arial" w:cs="Arial"/>
          <w:sz w:val="20"/>
          <w:szCs w:val="20"/>
        </w:rPr>
        <w:t>“</w:t>
      </w:r>
      <w:r w:rsidRPr="00391C77">
        <w:rPr>
          <w:rFonts w:ascii="Arial" w:hAnsi="Arial" w:cs="Arial"/>
          <w:sz w:val="20"/>
          <w:szCs w:val="20"/>
        </w:rPr>
        <w:t>series 16</w:t>
      </w:r>
      <w:r w:rsidR="0022619C">
        <w:rPr>
          <w:rFonts w:ascii="Arial" w:hAnsi="Arial" w:cs="Arial"/>
          <w:sz w:val="20"/>
          <w:szCs w:val="20"/>
        </w:rPr>
        <w:t>”</w:t>
      </w:r>
      <w:r w:rsidRPr="00391C77">
        <w:rPr>
          <w:rFonts w:ascii="Arial" w:hAnsi="Arial" w:cs="Arial"/>
          <w:sz w:val="20"/>
          <w:szCs w:val="20"/>
        </w:rPr>
        <w:t xml:space="preserve"> LED’s had color quality attributes similar to incandescent lamps.</w:t>
      </w:r>
    </w:p>
    <w:p w14:paraId="1B366AA8" w14:textId="77777777" w:rsid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The power factor of the </w:t>
      </w:r>
      <w:r w:rsidR="0022619C">
        <w:rPr>
          <w:rFonts w:ascii="Arial" w:hAnsi="Arial" w:cs="Arial"/>
          <w:sz w:val="20"/>
          <w:szCs w:val="20"/>
        </w:rPr>
        <w:t>“</w:t>
      </w:r>
      <w:r w:rsidRPr="00391C77">
        <w:rPr>
          <w:rFonts w:ascii="Arial" w:hAnsi="Arial" w:cs="Arial"/>
          <w:sz w:val="20"/>
          <w:szCs w:val="20"/>
        </w:rPr>
        <w:t>series 16</w:t>
      </w:r>
      <w:r w:rsidR="0022619C">
        <w:rPr>
          <w:rFonts w:ascii="Arial" w:hAnsi="Arial" w:cs="Arial"/>
          <w:sz w:val="20"/>
          <w:szCs w:val="20"/>
        </w:rPr>
        <w:t>”</w:t>
      </w:r>
      <w:r w:rsidRPr="00391C77">
        <w:rPr>
          <w:rFonts w:ascii="Arial" w:hAnsi="Arial" w:cs="Arial"/>
          <w:sz w:val="20"/>
          <w:szCs w:val="20"/>
        </w:rPr>
        <w:t xml:space="preserve"> LED’s was considerably better than previously tested LED BR30/R30 lamps, with all but one of the products exceeding the ENERGY STAR minimum requirements.</w:t>
      </w:r>
    </w:p>
    <w:p w14:paraId="1B366AA9" w14:textId="77777777" w:rsidR="00391C77" w:rsidRPr="00856B9B" w:rsidRDefault="00391C77" w:rsidP="00856B9B">
      <w:pPr>
        <w:numPr>
          <w:ilvl w:val="0"/>
          <w:numId w:val="20"/>
        </w:numPr>
        <w:rPr>
          <w:rFonts w:ascii="Arial" w:hAnsi="Arial" w:cs="Arial"/>
          <w:sz w:val="20"/>
          <w:szCs w:val="20"/>
        </w:rPr>
      </w:pPr>
      <w:r w:rsidRPr="00856B9B">
        <w:rPr>
          <w:rFonts w:ascii="Arial" w:hAnsi="Arial" w:cs="Arial"/>
          <w:sz w:val="20"/>
          <w:szCs w:val="20"/>
        </w:rPr>
        <w:t xml:space="preserve">Many of the manufacturer claims were accurate; however, there was a tendency for the lamps to exhibit higher efficacies than reported in the manufacturer’s literature.  </w:t>
      </w:r>
    </w:p>
    <w:p w14:paraId="61085699" w14:textId="77777777" w:rsidR="0040593F" w:rsidRDefault="0040593F" w:rsidP="0040593F">
      <w:pPr>
        <w:pStyle w:val="Heading3"/>
        <w:spacing w:before="0" w:line="264" w:lineRule="auto"/>
      </w:pPr>
    </w:p>
    <w:p w14:paraId="1B366AAA" w14:textId="77777777" w:rsidR="009C5CA7" w:rsidRDefault="001248A3" w:rsidP="0040593F">
      <w:pPr>
        <w:pStyle w:val="Heading3"/>
        <w:spacing w:before="60"/>
      </w:pPr>
      <w:bookmarkStart w:id="35" w:name="_Toc512857033"/>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35"/>
    </w:p>
    <w:p w14:paraId="0EFD6499" w14:textId="48269552" w:rsidR="00A355DD" w:rsidRPr="0040593F" w:rsidRDefault="009210E8" w:rsidP="0040593F">
      <w:pPr>
        <w:spacing w:line="264" w:lineRule="auto"/>
        <w:rPr>
          <w:rFonts w:ascii="Arial" w:hAnsi="Arial" w:cs="Arial"/>
          <w:sz w:val="20"/>
          <w:szCs w:val="20"/>
        </w:rPr>
      </w:pPr>
      <w:r w:rsidRPr="0040593F">
        <w:rPr>
          <w:rFonts w:ascii="Arial" w:hAnsi="Arial" w:cs="Arial"/>
          <w:sz w:val="20"/>
          <w:szCs w:val="20"/>
        </w:rPr>
        <w:t xml:space="preserve">The base case is split into </w:t>
      </w:r>
      <w:r w:rsidR="00AF5F14" w:rsidRPr="0040593F">
        <w:rPr>
          <w:rFonts w:ascii="Arial" w:hAnsi="Arial" w:cs="Arial"/>
          <w:sz w:val="20"/>
          <w:szCs w:val="20"/>
        </w:rPr>
        <w:t>40% LED, 1</w:t>
      </w:r>
      <w:r w:rsidRPr="0040593F">
        <w:rPr>
          <w:rFonts w:ascii="Arial" w:hAnsi="Arial" w:cs="Arial"/>
          <w:sz w:val="20"/>
          <w:szCs w:val="20"/>
        </w:rPr>
        <w:t xml:space="preserve">0% CFL and </w:t>
      </w:r>
      <w:r w:rsidR="00AF5F14" w:rsidRPr="0040593F">
        <w:rPr>
          <w:rFonts w:ascii="Arial" w:hAnsi="Arial" w:cs="Arial"/>
          <w:sz w:val="20"/>
          <w:szCs w:val="20"/>
        </w:rPr>
        <w:t>5</w:t>
      </w:r>
      <w:r w:rsidRPr="0040593F">
        <w:rPr>
          <w:rFonts w:ascii="Arial" w:hAnsi="Arial" w:cs="Arial"/>
          <w:sz w:val="20"/>
          <w:szCs w:val="20"/>
        </w:rPr>
        <w:t>0% incandescent</w:t>
      </w:r>
      <w:r w:rsidR="00336085" w:rsidRPr="0040593F">
        <w:rPr>
          <w:rFonts w:ascii="Arial" w:hAnsi="Arial" w:cs="Arial"/>
          <w:sz w:val="20"/>
          <w:szCs w:val="20"/>
        </w:rPr>
        <w:t>/halogen</w:t>
      </w:r>
      <w:r w:rsidR="0040593F" w:rsidRPr="0040593F">
        <w:rPr>
          <w:rFonts w:ascii="Arial" w:hAnsi="Arial" w:cs="Arial"/>
          <w:sz w:val="20"/>
          <w:szCs w:val="20"/>
        </w:rPr>
        <w:t xml:space="preserve"> based on</w:t>
      </w:r>
      <w:r w:rsidR="001C443B" w:rsidRPr="0040593F">
        <w:rPr>
          <w:rFonts w:ascii="Arial" w:hAnsi="Arial" w:cs="Arial"/>
          <w:sz w:val="20"/>
          <w:szCs w:val="20"/>
        </w:rPr>
        <w:t xml:space="preserve"> the</w:t>
      </w:r>
      <w:r w:rsidR="00205335" w:rsidRPr="0040593F">
        <w:rPr>
          <w:rFonts w:ascii="Arial" w:hAnsi="Arial" w:cs="Arial"/>
          <w:sz w:val="20"/>
          <w:szCs w:val="20"/>
        </w:rPr>
        <w:t xml:space="preserve"> </w:t>
      </w:r>
      <w:r w:rsidR="0040593F" w:rsidRPr="0040593F">
        <w:rPr>
          <w:rFonts w:ascii="Arial" w:hAnsi="Arial" w:cs="Arial"/>
          <w:sz w:val="20"/>
          <w:szCs w:val="20"/>
        </w:rPr>
        <w:t xml:space="preserve">disposition </w:t>
      </w:r>
      <w:r w:rsidR="00AF5F14" w:rsidRPr="0040593F">
        <w:rPr>
          <w:rFonts w:ascii="Arial" w:hAnsi="Arial" w:cs="Arial"/>
          <w:sz w:val="20"/>
          <w:szCs w:val="20"/>
        </w:rPr>
        <w:t>“</w:t>
      </w:r>
      <w:r w:rsidR="00643148" w:rsidRPr="0040593F">
        <w:rPr>
          <w:rFonts w:ascii="Arial" w:hAnsi="Arial" w:cs="Arial"/>
          <w:sz w:val="20"/>
          <w:szCs w:val="20"/>
        </w:rPr>
        <w:t>2018ScrewInLampSavingsMethods-1March2018</w:t>
      </w:r>
      <w:r w:rsidR="00AF5F14" w:rsidRPr="0040593F">
        <w:rPr>
          <w:rFonts w:ascii="Arial" w:hAnsi="Arial" w:cs="Arial"/>
          <w:sz w:val="20"/>
          <w:szCs w:val="20"/>
        </w:rPr>
        <w:t xml:space="preserve">” </w:t>
      </w:r>
      <w:r w:rsidR="00C57CBA" w:rsidRPr="0040593F">
        <w:rPr>
          <w:rFonts w:ascii="Arial" w:hAnsi="Arial" w:cs="Arial"/>
          <w:sz w:val="20"/>
          <w:szCs w:val="20"/>
        </w:rPr>
        <w:t xml:space="preserve">from the California Public Utilities Commission; Energy Division, dated </w:t>
      </w:r>
      <w:r w:rsidR="00643148" w:rsidRPr="0040593F">
        <w:rPr>
          <w:rFonts w:ascii="Arial" w:hAnsi="Arial" w:cs="Arial"/>
          <w:sz w:val="20"/>
          <w:szCs w:val="20"/>
        </w:rPr>
        <w:t>March 1, 2018</w:t>
      </w:r>
      <w:r w:rsidR="00C57CBA" w:rsidRPr="0040593F">
        <w:rPr>
          <w:rFonts w:ascii="Arial" w:hAnsi="Arial" w:cs="Arial"/>
          <w:sz w:val="20"/>
          <w:szCs w:val="20"/>
        </w:rPr>
        <w:t>.</w:t>
      </w:r>
    </w:p>
    <w:p w14:paraId="2CAA9F31" w14:textId="77777777" w:rsidR="004418C4" w:rsidRDefault="004418C4">
      <w:pPr>
        <w:rPr>
          <w:rFonts w:ascii="Arial" w:hAnsi="Arial" w:cs="Arial"/>
          <w:b/>
          <w:bCs/>
          <w:kern w:val="32"/>
          <w:sz w:val="32"/>
          <w:szCs w:val="32"/>
        </w:rPr>
      </w:pPr>
      <w:r>
        <w:br w:type="page"/>
      </w:r>
    </w:p>
    <w:p w14:paraId="1B366AAD" w14:textId="04A0ECD7" w:rsidR="00C069A2" w:rsidRDefault="00CF3FF0" w:rsidP="001D3DFF">
      <w:pPr>
        <w:pStyle w:val="Heading1"/>
      </w:pPr>
      <w:bookmarkStart w:id="36" w:name="_Toc512857034"/>
      <w:r w:rsidRPr="00CF3FF0">
        <w:lastRenderedPageBreak/>
        <w:t xml:space="preserve">Section </w:t>
      </w:r>
      <w:r w:rsidR="00C069A2" w:rsidRPr="00CF3FF0">
        <w:t>2</w:t>
      </w:r>
      <w:r w:rsidR="003129E8" w:rsidRPr="00CF3FF0">
        <w:t>.</w:t>
      </w:r>
      <w:r w:rsidR="00C069A2" w:rsidRPr="00CF3FF0">
        <w:t xml:space="preserve"> Calculation Methods</w:t>
      </w:r>
      <w:bookmarkEnd w:id="36"/>
    </w:p>
    <w:p w14:paraId="250A6270" w14:textId="6905E3B7" w:rsidR="00F20808" w:rsidRPr="00FC3FC1" w:rsidRDefault="00F20808" w:rsidP="00FC3FC1">
      <w:pPr>
        <w:rPr>
          <w:rFonts w:ascii="Arial" w:hAnsi="Arial" w:cs="Arial"/>
          <w:sz w:val="20"/>
          <w:u w:val="single"/>
        </w:rPr>
      </w:pPr>
      <w:r w:rsidRPr="00FC3FC1">
        <w:rPr>
          <w:rFonts w:ascii="Arial" w:hAnsi="Arial" w:cs="Arial"/>
          <w:sz w:val="20"/>
          <w:u w:val="single"/>
        </w:rPr>
        <w:t>ROB Measures</w:t>
      </w:r>
    </w:p>
    <w:p w14:paraId="3D4230EF" w14:textId="2085CE5F" w:rsidR="00AD5DDA" w:rsidRPr="00FC3FC1" w:rsidRDefault="00BF3A76" w:rsidP="00FC3FC1">
      <w:pPr>
        <w:rPr>
          <w:rFonts w:ascii="Arial" w:hAnsi="Arial" w:cs="Arial"/>
          <w:sz w:val="20"/>
        </w:rPr>
      </w:pPr>
      <w:r w:rsidRPr="00FC3FC1">
        <w:rPr>
          <w:rFonts w:ascii="Arial" w:hAnsi="Arial" w:cs="Arial"/>
          <w:sz w:val="20"/>
        </w:rPr>
        <w:t>Wattage Reduction R</w:t>
      </w:r>
      <w:r w:rsidR="009838A9" w:rsidRPr="00FC3FC1">
        <w:rPr>
          <w:rFonts w:ascii="Arial" w:hAnsi="Arial" w:cs="Arial"/>
          <w:sz w:val="20"/>
        </w:rPr>
        <w:t>at</w:t>
      </w:r>
      <w:r w:rsidRPr="00FC3FC1">
        <w:rPr>
          <w:rFonts w:ascii="Arial" w:hAnsi="Arial" w:cs="Arial"/>
          <w:sz w:val="20"/>
        </w:rPr>
        <w:t xml:space="preserve">io (WRR) </w:t>
      </w:r>
      <w:r w:rsidR="009838A9" w:rsidRPr="00FC3FC1">
        <w:rPr>
          <w:rFonts w:ascii="Arial" w:hAnsi="Arial" w:cs="Arial"/>
          <w:sz w:val="20"/>
        </w:rPr>
        <w:t xml:space="preserve">savings </w:t>
      </w:r>
      <w:r w:rsidR="002B1FD1" w:rsidRPr="00FC3FC1">
        <w:rPr>
          <w:rFonts w:ascii="Arial" w:hAnsi="Arial" w:cs="Arial"/>
          <w:sz w:val="20"/>
        </w:rPr>
        <w:t>calculation</w:t>
      </w:r>
      <w:r w:rsidR="009838A9" w:rsidRPr="00FC3FC1">
        <w:rPr>
          <w:rFonts w:ascii="Arial" w:hAnsi="Arial" w:cs="Arial"/>
          <w:sz w:val="20"/>
        </w:rPr>
        <w:t xml:space="preserve"> methodology is used </w:t>
      </w:r>
      <w:r w:rsidR="00564C9F" w:rsidRPr="00FC3FC1">
        <w:rPr>
          <w:rFonts w:ascii="Arial" w:hAnsi="Arial" w:cs="Arial"/>
          <w:sz w:val="20"/>
        </w:rPr>
        <w:t xml:space="preserve">per </w:t>
      </w:r>
      <w:r w:rsidR="00C57CBA" w:rsidRPr="00FC3FC1">
        <w:rPr>
          <w:rFonts w:ascii="Arial" w:hAnsi="Arial" w:cs="Arial"/>
          <w:sz w:val="20"/>
        </w:rPr>
        <w:t xml:space="preserve">Screw-In Lamps” </w:t>
      </w:r>
      <w:r w:rsidR="00F20808" w:rsidRPr="00FC3FC1">
        <w:rPr>
          <w:rFonts w:ascii="Arial" w:hAnsi="Arial" w:cs="Arial"/>
          <w:sz w:val="20"/>
        </w:rPr>
        <w:t>d</w:t>
      </w:r>
      <w:r w:rsidR="00C57CBA" w:rsidRPr="00FC3FC1">
        <w:rPr>
          <w:rFonts w:ascii="Arial" w:hAnsi="Arial" w:cs="Arial"/>
          <w:sz w:val="20"/>
        </w:rPr>
        <w:t>isposition from the California Public Utilities Commission</w:t>
      </w:r>
      <w:r w:rsidR="002B1FD1" w:rsidRPr="00FC3FC1">
        <w:rPr>
          <w:rFonts w:ascii="Arial" w:hAnsi="Arial" w:cs="Arial"/>
          <w:sz w:val="20"/>
        </w:rPr>
        <w:t xml:space="preserve">’s </w:t>
      </w:r>
      <w:r w:rsidR="00C57CBA" w:rsidRPr="00FC3FC1">
        <w:rPr>
          <w:rFonts w:ascii="Arial" w:hAnsi="Arial" w:cs="Arial"/>
          <w:sz w:val="20"/>
        </w:rPr>
        <w:t xml:space="preserve">Energy Division, dated </w:t>
      </w:r>
      <w:r w:rsidR="00643148" w:rsidRPr="00FC3FC1">
        <w:rPr>
          <w:rFonts w:ascii="Arial" w:hAnsi="Arial" w:cs="Arial"/>
          <w:sz w:val="20"/>
        </w:rPr>
        <w:t>March 1, 2018</w:t>
      </w:r>
      <w:r w:rsidR="00AD5DDA" w:rsidRPr="00FC3FC1">
        <w:rPr>
          <w:rFonts w:ascii="Arial" w:hAnsi="Arial" w:cs="Arial"/>
          <w:sz w:val="20"/>
        </w:rPr>
        <w:t xml:space="preserve"> w</w:t>
      </w:r>
      <w:r w:rsidR="002B1FD1" w:rsidRPr="00FC3FC1">
        <w:rPr>
          <w:rFonts w:ascii="Arial" w:hAnsi="Arial" w:cs="Arial"/>
          <w:sz w:val="20"/>
        </w:rPr>
        <w:t xml:space="preserve">ith </w:t>
      </w:r>
      <w:r w:rsidR="00E03F06" w:rsidRPr="00FC3FC1">
        <w:rPr>
          <w:rFonts w:ascii="Arial" w:hAnsi="Arial" w:cs="Arial"/>
          <w:sz w:val="20"/>
        </w:rPr>
        <w:t xml:space="preserve">values </w:t>
      </w:r>
      <w:r w:rsidR="002B1FD1" w:rsidRPr="00FC3FC1">
        <w:rPr>
          <w:rFonts w:ascii="Arial" w:hAnsi="Arial" w:cs="Arial"/>
          <w:sz w:val="20"/>
        </w:rPr>
        <w:t xml:space="preserve">given as follows: </w:t>
      </w:r>
      <w:r w:rsidR="00AD5DDA" w:rsidRPr="00FC3FC1">
        <w:rPr>
          <w:rFonts w:ascii="Arial" w:hAnsi="Arial" w:cs="Arial"/>
          <w:sz w:val="20"/>
        </w:rPr>
        <w:t>WRR = 4.17 for &lt;11w, 3.28 for &gt;=11W to &lt;14W, and 2.97 for &gt;14W.</w:t>
      </w:r>
    </w:p>
    <w:p w14:paraId="3B54B861" w14:textId="77777777" w:rsidR="00FC3FC1" w:rsidRDefault="00FC3FC1" w:rsidP="00FC3FC1">
      <w:pPr>
        <w:rPr>
          <w:rFonts w:ascii="Arial" w:hAnsi="Arial" w:cs="Arial"/>
          <w:sz w:val="20"/>
        </w:rPr>
      </w:pPr>
    </w:p>
    <w:p w14:paraId="484ADE6A" w14:textId="072BEDF6" w:rsidR="00F20808" w:rsidRPr="00FC3FC1" w:rsidRDefault="00F20808" w:rsidP="00FC3FC1">
      <w:pPr>
        <w:rPr>
          <w:rFonts w:ascii="Arial" w:hAnsi="Arial" w:cs="Arial"/>
          <w:sz w:val="20"/>
          <w:u w:val="single"/>
        </w:rPr>
      </w:pPr>
      <w:r w:rsidRPr="00FC3FC1">
        <w:rPr>
          <w:rFonts w:ascii="Arial" w:hAnsi="Arial" w:cs="Arial"/>
          <w:sz w:val="20"/>
          <w:u w:val="single"/>
        </w:rPr>
        <w:t>ER Measures</w:t>
      </w:r>
    </w:p>
    <w:p w14:paraId="371779D3" w14:textId="291370AB" w:rsidR="00F20808" w:rsidRPr="00FC3FC1" w:rsidRDefault="00FC3FC1" w:rsidP="00FC3FC1">
      <w:pPr>
        <w:pStyle w:val="ListParagraph"/>
        <w:numPr>
          <w:ilvl w:val="0"/>
          <w:numId w:val="29"/>
        </w:numPr>
        <w:rPr>
          <w:rFonts w:ascii="Arial" w:hAnsi="Arial" w:cs="Arial"/>
          <w:bCs/>
          <w:iCs/>
          <w:color w:val="000000"/>
          <w:sz w:val="20"/>
        </w:rPr>
      </w:pPr>
      <w:bookmarkStart w:id="37" w:name="_Toc512809877"/>
      <w:r w:rsidRPr="00FC3FC1">
        <w:rPr>
          <w:rFonts w:ascii="Arial" w:hAnsi="Arial" w:cs="Arial"/>
          <w:bCs/>
          <w:iCs/>
          <w:color w:val="000000"/>
          <w:sz w:val="20"/>
        </w:rPr>
        <w:t>1</w:t>
      </w:r>
      <w:r w:rsidRPr="00FC3FC1">
        <w:rPr>
          <w:rFonts w:ascii="Arial" w:hAnsi="Arial" w:cs="Arial"/>
          <w:bCs/>
          <w:iCs/>
          <w:color w:val="000000"/>
          <w:sz w:val="20"/>
          <w:vertAlign w:val="superscript"/>
        </w:rPr>
        <w:t>st</w:t>
      </w:r>
      <w:r w:rsidRPr="00FC3FC1">
        <w:rPr>
          <w:rFonts w:ascii="Arial" w:hAnsi="Arial" w:cs="Arial"/>
          <w:bCs/>
          <w:iCs/>
          <w:color w:val="000000"/>
          <w:sz w:val="20"/>
        </w:rPr>
        <w:t xml:space="preserve"> Baseline:  </w:t>
      </w:r>
      <w:r w:rsidR="00F20808" w:rsidRPr="00FC3FC1">
        <w:rPr>
          <w:rFonts w:ascii="Arial" w:hAnsi="Arial" w:cs="Arial"/>
          <w:bCs/>
          <w:iCs/>
          <w:color w:val="000000"/>
          <w:sz w:val="20"/>
        </w:rPr>
        <w:t xml:space="preserve">Actual lamp rated wattage of incandescent and compact fluorescent (CFL) are used for the base case to reflect what the customer </w:t>
      </w:r>
      <w:r w:rsidR="000C2231" w:rsidRPr="00FC3FC1">
        <w:rPr>
          <w:rFonts w:ascii="Arial" w:hAnsi="Arial" w:cs="Arial"/>
          <w:bCs/>
          <w:iCs/>
          <w:color w:val="000000"/>
          <w:sz w:val="20"/>
        </w:rPr>
        <w:t>has</w:t>
      </w:r>
      <w:r w:rsidR="00F20808" w:rsidRPr="00FC3FC1">
        <w:rPr>
          <w:rFonts w:ascii="Arial" w:hAnsi="Arial" w:cs="Arial"/>
          <w:bCs/>
          <w:iCs/>
          <w:color w:val="000000"/>
          <w:sz w:val="20"/>
        </w:rPr>
        <w:t xml:space="preserve"> in place.  The corresponding measure case LED wattages to incandescent are obtained from the “Product Analysis” tab in the “2018ScrewInLampDispositionBackup-21Dec2017-1.xlsm” file provided by the CPUC’s commission staff.</w:t>
      </w:r>
      <w:bookmarkEnd w:id="37"/>
      <w:r>
        <w:rPr>
          <w:rFonts w:ascii="Arial" w:hAnsi="Arial" w:cs="Arial"/>
          <w:bCs/>
          <w:iCs/>
          <w:color w:val="000000"/>
          <w:sz w:val="20"/>
        </w:rPr>
        <w:t xml:space="preserve">  </w:t>
      </w:r>
      <w:r w:rsidR="00F20808" w:rsidRPr="00FC3FC1">
        <w:rPr>
          <w:rFonts w:ascii="Arial" w:hAnsi="Arial" w:cs="Arial"/>
          <w:sz w:val="20"/>
        </w:rPr>
        <w:t xml:space="preserve">The </w:t>
      </w:r>
      <w:r w:rsidR="00C8355E" w:rsidRPr="00FC3FC1">
        <w:rPr>
          <w:rFonts w:ascii="Arial" w:hAnsi="Arial" w:cs="Arial"/>
          <w:sz w:val="20"/>
        </w:rPr>
        <w:t>base case</w:t>
      </w:r>
      <w:r w:rsidR="00F20808" w:rsidRPr="00FC3FC1">
        <w:rPr>
          <w:rFonts w:ascii="Arial" w:hAnsi="Arial" w:cs="Arial"/>
          <w:sz w:val="20"/>
        </w:rPr>
        <w:t xml:space="preserve"> CFL </w:t>
      </w:r>
      <w:r w:rsidR="00C8355E" w:rsidRPr="00FC3FC1">
        <w:rPr>
          <w:rFonts w:ascii="Arial" w:hAnsi="Arial" w:cs="Arial"/>
          <w:sz w:val="20"/>
        </w:rPr>
        <w:t xml:space="preserve">wattages </w:t>
      </w:r>
      <w:r w:rsidR="00F20808" w:rsidRPr="00FC3FC1">
        <w:rPr>
          <w:rFonts w:ascii="Arial" w:hAnsi="Arial" w:cs="Arial"/>
          <w:sz w:val="20"/>
        </w:rPr>
        <w:t xml:space="preserve">are </w:t>
      </w:r>
      <w:r w:rsidR="00C8355E" w:rsidRPr="00FC3FC1">
        <w:rPr>
          <w:rFonts w:ascii="Arial" w:hAnsi="Arial" w:cs="Arial"/>
          <w:sz w:val="20"/>
        </w:rPr>
        <w:t xml:space="preserve">determined </w:t>
      </w:r>
      <w:r w:rsidR="00F20808" w:rsidRPr="00FC3FC1">
        <w:rPr>
          <w:rFonts w:ascii="Arial" w:hAnsi="Arial" w:cs="Arial"/>
          <w:sz w:val="20"/>
        </w:rPr>
        <w:t>based on the lumen output equivalency of</w:t>
      </w:r>
      <w:r w:rsidR="00C8355E" w:rsidRPr="00FC3FC1">
        <w:rPr>
          <w:rFonts w:ascii="Arial" w:hAnsi="Arial" w:cs="Arial"/>
          <w:sz w:val="20"/>
        </w:rPr>
        <w:t xml:space="preserve"> the corresponding incandescent lamps. </w:t>
      </w:r>
    </w:p>
    <w:p w14:paraId="17169D38" w14:textId="51C9F269" w:rsidR="00FC3FC1" w:rsidRPr="00FC3FC1" w:rsidRDefault="00FC3FC1" w:rsidP="00FC3FC1">
      <w:pPr>
        <w:pStyle w:val="ListParagraph"/>
        <w:numPr>
          <w:ilvl w:val="0"/>
          <w:numId w:val="29"/>
        </w:numPr>
        <w:rPr>
          <w:rFonts w:ascii="Arial" w:hAnsi="Arial" w:cs="Arial"/>
          <w:bCs/>
          <w:iCs/>
          <w:color w:val="000000"/>
          <w:sz w:val="20"/>
        </w:rPr>
      </w:pPr>
      <w:r>
        <w:rPr>
          <w:rFonts w:ascii="Arial" w:hAnsi="Arial" w:cs="Arial"/>
          <w:sz w:val="20"/>
        </w:rPr>
        <w:t>2</w:t>
      </w:r>
      <w:r w:rsidRPr="00FC3FC1">
        <w:rPr>
          <w:rFonts w:ascii="Arial" w:hAnsi="Arial" w:cs="Arial"/>
          <w:sz w:val="20"/>
          <w:vertAlign w:val="superscript"/>
        </w:rPr>
        <w:t>nd</w:t>
      </w:r>
      <w:r>
        <w:rPr>
          <w:rFonts w:ascii="Arial" w:hAnsi="Arial" w:cs="Arial"/>
          <w:sz w:val="20"/>
        </w:rPr>
        <w:t xml:space="preserve"> Baseline:  Due to limited savings associated with the 2</w:t>
      </w:r>
      <w:r w:rsidRPr="00FC3FC1">
        <w:rPr>
          <w:rFonts w:ascii="Arial" w:hAnsi="Arial" w:cs="Arial"/>
          <w:sz w:val="20"/>
          <w:vertAlign w:val="superscript"/>
        </w:rPr>
        <w:t>nd</w:t>
      </w:r>
      <w:r>
        <w:rPr>
          <w:rFonts w:ascii="Arial" w:hAnsi="Arial" w:cs="Arial"/>
          <w:sz w:val="20"/>
        </w:rPr>
        <w:t xml:space="preserve"> baseline, the calculations show no savings for the second baseline.</w:t>
      </w:r>
    </w:p>
    <w:p w14:paraId="7F0E34B2" w14:textId="77777777" w:rsidR="00010D4A" w:rsidRPr="00FC3FC1" w:rsidRDefault="00010D4A" w:rsidP="00FC3FC1">
      <w:pPr>
        <w:rPr>
          <w:rFonts w:ascii="Arial" w:hAnsi="Arial" w:cs="Arial"/>
          <w:sz w:val="20"/>
        </w:rPr>
      </w:pPr>
    </w:p>
    <w:p w14:paraId="3715F077" w14:textId="2F5C0862" w:rsidR="00BF3A76" w:rsidRPr="00FC3FC1" w:rsidRDefault="00BF3A76" w:rsidP="00FC3FC1">
      <w:pPr>
        <w:rPr>
          <w:rFonts w:ascii="Arial" w:hAnsi="Arial" w:cs="Arial"/>
          <w:sz w:val="20"/>
        </w:rPr>
      </w:pPr>
      <w:r w:rsidRPr="00FC3FC1">
        <w:rPr>
          <w:rFonts w:ascii="Arial" w:hAnsi="Arial" w:cs="Arial"/>
          <w:sz w:val="20"/>
        </w:rPr>
        <w:t>The demand difference (</w:t>
      </w:r>
      <w:r w:rsidR="00146385" w:rsidRPr="00FC3FC1">
        <w:rPr>
          <w:rFonts w:ascii="Arial" w:hAnsi="Arial" w:cs="Arial"/>
          <w:bCs/>
          <w:sz w:val="20"/>
        </w:rPr>
        <w:t>Δ Watts/lamp</w:t>
      </w:r>
      <w:r w:rsidRPr="00FC3FC1">
        <w:rPr>
          <w:rFonts w:ascii="Arial" w:hAnsi="Arial" w:cs="Arial"/>
          <w:sz w:val="20"/>
        </w:rPr>
        <w:t>) is simply the difference between the electric demand of the base case lamp and the electric demand of the measure case lamp. The base case wattage of the lamp is calculated by applying the WRR multiplier to the lowest measure case wattage within the measure case range.</w:t>
      </w:r>
      <w:r w:rsidR="009838A9" w:rsidRPr="00FC3FC1">
        <w:rPr>
          <w:rFonts w:ascii="Arial" w:hAnsi="Arial" w:cs="Arial"/>
          <w:sz w:val="20"/>
        </w:rPr>
        <w:t xml:space="preserve"> </w:t>
      </w:r>
    </w:p>
    <w:p w14:paraId="177B9310" w14:textId="055BCE1F" w:rsidR="00BF3A76" w:rsidRDefault="00E37FAD" w:rsidP="00BF3A76">
      <w:pPr>
        <w:pStyle w:val="Default"/>
        <w:ind w:left="720"/>
        <w:rPr>
          <w:sz w:val="20"/>
          <w:szCs w:val="20"/>
        </w:rPr>
      </w:pPr>
      <w:r w:rsidRPr="008D320C">
        <w:rPr>
          <w:position w:val="-30"/>
          <w:sz w:val="20"/>
          <w:szCs w:val="20"/>
        </w:rPr>
        <w:object w:dxaOrig="7320" w:dyaOrig="720" w14:anchorId="7AC57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36.75pt" o:ole="">
            <v:imagedata r:id="rId16" o:title=""/>
          </v:shape>
          <o:OLEObject Type="Embed" ProgID="Equation.3" ShapeID="_x0000_i1025" DrawAspect="Content" ObjectID="_1586614644" r:id="rId17"/>
        </w:object>
      </w:r>
    </w:p>
    <w:p w14:paraId="4713A5B7" w14:textId="77777777" w:rsidR="00BF3A76" w:rsidRDefault="00BF3A76" w:rsidP="009838A9">
      <w:pPr>
        <w:pStyle w:val="Default"/>
        <w:rPr>
          <w:sz w:val="20"/>
          <w:szCs w:val="20"/>
        </w:rPr>
      </w:pPr>
    </w:p>
    <w:p w14:paraId="17438854" w14:textId="4952006D" w:rsidR="009838A9" w:rsidRPr="00C47FD3" w:rsidRDefault="00146385" w:rsidP="00C47FD3">
      <w:pPr>
        <w:ind w:left="720"/>
        <w:jc w:val="both"/>
        <w:rPr>
          <w:rFonts w:ascii="Arial" w:hAnsi="Arial" w:cs="Arial"/>
          <w:sz w:val="20"/>
          <w:szCs w:val="20"/>
        </w:rPr>
      </w:pPr>
      <w:r w:rsidRPr="008D320C">
        <w:rPr>
          <w:rFonts w:ascii="Arial" w:hAnsi="Arial" w:cs="Arial"/>
          <w:position w:val="-30"/>
          <w:sz w:val="20"/>
          <w:szCs w:val="20"/>
        </w:rPr>
        <w:object w:dxaOrig="6460" w:dyaOrig="720" w14:anchorId="5CDABC47">
          <v:shape id="_x0000_i1026" type="#_x0000_t75" style="width:323.25pt;height:36.75pt" o:ole="">
            <v:imagedata r:id="rId18" o:title=""/>
          </v:shape>
          <o:OLEObject Type="Embed" ProgID="Equation.3" ShapeID="_x0000_i1026" DrawAspect="Content" ObjectID="_1586614645" r:id="rId19"/>
        </w:object>
      </w:r>
      <w:r w:rsidR="009838A9">
        <w:rPr>
          <w:b/>
          <w:bCs/>
          <w:sz w:val="20"/>
          <w:szCs w:val="20"/>
        </w:rPr>
        <w:t xml:space="preserve"> </w:t>
      </w:r>
    </w:p>
    <w:p w14:paraId="1B366AB6" w14:textId="77777777" w:rsidR="00C069A2" w:rsidRDefault="00C069A2" w:rsidP="00D20486">
      <w:pPr>
        <w:pStyle w:val="Heading2"/>
      </w:pPr>
      <w:bookmarkStart w:id="38" w:name="_Toc512857035"/>
      <w:r>
        <w:t xml:space="preserve">2.1 </w:t>
      </w:r>
      <w:r w:rsidR="007878B9">
        <w:t xml:space="preserve">Electric </w:t>
      </w:r>
      <w:r>
        <w:t>Energy Savings Estimation Methodologies</w:t>
      </w:r>
      <w:bookmarkEnd w:id="38"/>
      <w:r w:rsidR="007C1DEB">
        <w:t xml:space="preserve"> </w:t>
      </w:r>
    </w:p>
    <w:p w14:paraId="1B366AB8" w14:textId="28C21C31" w:rsidR="00C55A56" w:rsidRDefault="00273E35" w:rsidP="00DC39C2">
      <w:pPr>
        <w:rPr>
          <w:rFonts w:ascii="Arial" w:hAnsi="Arial" w:cs="Arial"/>
          <w:sz w:val="20"/>
          <w:szCs w:val="20"/>
        </w:rPr>
      </w:pPr>
      <w:r w:rsidRPr="00171CD2">
        <w:rPr>
          <w:rFonts w:ascii="Arial" w:hAnsi="Arial" w:cs="Arial"/>
          <w:sz w:val="20"/>
          <w:szCs w:val="20"/>
        </w:rPr>
        <w:t>T</w:t>
      </w:r>
      <w:r>
        <w:rPr>
          <w:rFonts w:ascii="Arial" w:hAnsi="Arial" w:cs="Arial"/>
          <w:sz w:val="20"/>
          <w:szCs w:val="20"/>
        </w:rPr>
        <w:t xml:space="preserve">he energy savings calculation </w:t>
      </w:r>
      <w:r w:rsidR="00E261DD">
        <w:rPr>
          <w:rFonts w:ascii="Arial" w:hAnsi="Arial" w:cs="Arial"/>
          <w:sz w:val="20"/>
          <w:szCs w:val="20"/>
        </w:rPr>
        <w:t xml:space="preserve">for ROB measure type </w:t>
      </w:r>
      <w:r>
        <w:rPr>
          <w:rFonts w:ascii="Arial" w:hAnsi="Arial" w:cs="Arial"/>
          <w:sz w:val="20"/>
          <w:szCs w:val="20"/>
        </w:rPr>
        <w:t>uses</w:t>
      </w:r>
      <w:r w:rsidRPr="00171CD2">
        <w:rPr>
          <w:rFonts w:ascii="Arial" w:hAnsi="Arial" w:cs="Arial"/>
          <w:sz w:val="20"/>
          <w:szCs w:val="20"/>
        </w:rPr>
        <w:t xml:space="preserve"> the wattage reduction ratio </w:t>
      </w:r>
      <w:r>
        <w:rPr>
          <w:rFonts w:ascii="Arial" w:hAnsi="Arial" w:cs="Arial"/>
          <w:sz w:val="20"/>
          <w:szCs w:val="20"/>
        </w:rPr>
        <w:t xml:space="preserve">(WRR) </w:t>
      </w:r>
      <w:r w:rsidRPr="00171CD2">
        <w:rPr>
          <w:rFonts w:ascii="Arial" w:hAnsi="Arial" w:cs="Arial"/>
          <w:sz w:val="20"/>
          <w:szCs w:val="20"/>
        </w:rPr>
        <w:t>methodology.</w:t>
      </w:r>
      <w:r>
        <w:rPr>
          <w:rFonts w:ascii="Arial" w:hAnsi="Arial" w:cs="Arial"/>
          <w:sz w:val="20"/>
          <w:szCs w:val="20"/>
        </w:rPr>
        <w:t xml:space="preserve"> </w:t>
      </w:r>
      <w:r w:rsidR="00C55A56" w:rsidRPr="00DC39C2">
        <w:rPr>
          <w:rFonts w:ascii="Arial" w:hAnsi="Arial" w:cs="Arial"/>
          <w:sz w:val="20"/>
        </w:rPr>
        <w:t>Energy savings vary by market sector and building type because of differences in operating hours and in</w:t>
      </w:r>
      <w:r w:rsidR="00027C38">
        <w:rPr>
          <w:rFonts w:ascii="Arial" w:hAnsi="Arial" w:cs="Arial"/>
          <w:sz w:val="20"/>
        </w:rPr>
        <w:t xml:space="preserve">teractive effect multipliers. </w:t>
      </w:r>
      <w:r w:rsidR="00255967" w:rsidRPr="008443D6">
        <w:rPr>
          <w:rFonts w:ascii="Arial" w:hAnsi="Arial" w:cs="Arial"/>
          <w:sz w:val="20"/>
          <w:szCs w:val="20"/>
        </w:rPr>
        <w:t>The operating hours and interactive effects for Commercial were taken from DEER 2016 data.  The operating hours and interactive effects for Residential were taken from DEER 2017.</w:t>
      </w:r>
      <w:r w:rsidR="00255967">
        <w:rPr>
          <w:rFonts w:ascii="Arial" w:hAnsi="Arial" w:cs="Arial"/>
          <w:sz w:val="20"/>
          <w:szCs w:val="20"/>
        </w:rPr>
        <w:t xml:space="preserve"> Refer to the equation below for the energy savings calculation:</w:t>
      </w:r>
    </w:p>
    <w:p w14:paraId="60E173C2" w14:textId="044E44B2" w:rsidR="00C47FD3" w:rsidRPr="00C47FD3" w:rsidRDefault="00C47FD3" w:rsidP="00010D4A">
      <w:pPr>
        <w:pStyle w:val="Heading4"/>
        <w:spacing w:before="120"/>
      </w:pPr>
      <w:r w:rsidRPr="00DC39C2">
        <w:rPr>
          <w:rFonts w:ascii="Arial" w:hAnsi="Arial" w:cs="Arial"/>
          <w:position w:val="-30"/>
          <w:sz w:val="20"/>
        </w:rPr>
        <w:object w:dxaOrig="8100" w:dyaOrig="720" w14:anchorId="4422C0E1">
          <v:shape id="_x0000_i1027" type="#_x0000_t75" style="width:405pt;height:36pt" o:ole="">
            <v:imagedata r:id="rId20" o:title=""/>
          </v:shape>
          <o:OLEObject Type="Embed" ProgID="Equation.3" ShapeID="_x0000_i1027" DrawAspect="Content" ObjectID="_1586614646" r:id="rId21"/>
        </w:object>
      </w:r>
    </w:p>
    <w:p w14:paraId="20F753FE" w14:textId="1126909E" w:rsidR="00E37FAD" w:rsidRPr="00E37FAD" w:rsidRDefault="00C47FD3" w:rsidP="00010D4A">
      <w:pPr>
        <w:pStyle w:val="Heading4"/>
        <w:spacing w:before="120"/>
        <w:jc w:val="center"/>
      </w:pPr>
      <w:r>
        <w:rPr>
          <w:rFonts w:ascii="Arial" w:hAnsi="Arial" w:cs="Arial"/>
          <w:b w:val="0"/>
          <w:sz w:val="20"/>
          <w:szCs w:val="20"/>
        </w:rPr>
        <w:t xml:space="preserve">Where </w:t>
      </w:r>
      <w:r w:rsidR="00F21CED" w:rsidRPr="00E37FAD">
        <w:rPr>
          <w:rFonts w:ascii="Arial" w:hAnsi="Arial" w:cs="Arial"/>
          <w:b w:val="0"/>
          <w:position w:val="-24"/>
          <w:sz w:val="20"/>
          <w:szCs w:val="20"/>
        </w:rPr>
        <w:object w:dxaOrig="5700" w:dyaOrig="620" w14:anchorId="4B5DFE28">
          <v:shape id="_x0000_i1028" type="#_x0000_t75" style="width:283.5pt;height:31.5pt" o:ole="">
            <v:imagedata r:id="rId22" o:title=""/>
          </v:shape>
          <o:OLEObject Type="Embed" ProgID="Equation.3" ShapeID="_x0000_i1028" DrawAspect="Content" ObjectID="_1586614647" r:id="rId23"/>
        </w:object>
      </w:r>
    </w:p>
    <w:p w14:paraId="1B366AB9" w14:textId="2B651B9F" w:rsidR="00126A4E" w:rsidRPr="00DC39C2" w:rsidRDefault="00126A4E" w:rsidP="00010D4A">
      <w:pPr>
        <w:spacing w:line="144" w:lineRule="auto"/>
        <w:jc w:val="center"/>
        <w:rPr>
          <w:rFonts w:ascii="Arial" w:hAnsi="Arial" w:cs="Arial"/>
          <w:sz w:val="20"/>
        </w:rPr>
      </w:pPr>
    </w:p>
    <w:p w14:paraId="7CFF2E14" w14:textId="6497C294" w:rsidR="00E37FAD" w:rsidRPr="00E37FAD" w:rsidRDefault="00C55A56" w:rsidP="00E37FAD">
      <w:pPr>
        <w:rPr>
          <w:rFonts w:ascii="Arial" w:hAnsi="Arial" w:cs="Arial"/>
          <w:sz w:val="20"/>
        </w:rPr>
      </w:pPr>
      <w:r w:rsidRPr="00DC39C2">
        <w:rPr>
          <w:rFonts w:ascii="Arial" w:hAnsi="Arial" w:cs="Arial"/>
          <w:sz w:val="20"/>
        </w:rPr>
        <w:t>The following example calculation demonstrates the annual energy savings, kWh per year, for the ASM building type, for a 6W LED R/BR lamp:</w:t>
      </w:r>
    </w:p>
    <w:p w14:paraId="1B366ABB" w14:textId="16A96E75" w:rsidR="00DF284F" w:rsidRPr="00DC39C2" w:rsidRDefault="00E37FAD" w:rsidP="002B1FD1">
      <w:pPr>
        <w:spacing w:before="60"/>
        <w:rPr>
          <w:rFonts w:ascii="Arial" w:hAnsi="Arial" w:cs="Arial"/>
          <w:sz w:val="20"/>
        </w:rPr>
      </w:pPr>
      <w:r>
        <w:rPr>
          <w:b/>
          <w:bCs/>
          <w:sz w:val="20"/>
          <w:szCs w:val="20"/>
        </w:rPr>
        <w:t>Example:</w:t>
      </w:r>
    </w:p>
    <w:p w14:paraId="30BD29E7" w14:textId="37142FE3" w:rsidR="00AB1F98" w:rsidRPr="00925789" w:rsidRDefault="00AB1F98" w:rsidP="00AB1F98">
      <w:pPr>
        <w:rPr>
          <w:i/>
          <w:sz w:val="22"/>
          <w:szCs w:val="22"/>
        </w:rPr>
      </w:pPr>
      <m:oMathPara>
        <m:oMath>
          <m:r>
            <w:rPr>
              <w:rFonts w:ascii="Cambria Math" w:hAnsi="Cambria Math"/>
              <w:sz w:val="22"/>
              <w:szCs w:val="22"/>
            </w:rPr>
            <m:t>Energy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kWh</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0.006 x 4.17-0.006</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1160</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1.04</m:t>
              </m:r>
            </m:e>
          </m:d>
          <m:r>
            <w:rPr>
              <w:rFonts w:ascii="Cambria Math" w:hAnsi="Cambria Math"/>
              <w:sz w:val="22"/>
              <w:szCs w:val="22"/>
            </w:rPr>
            <m:t>=23</m:t>
          </m:r>
        </m:oMath>
      </m:oMathPara>
    </w:p>
    <w:p w14:paraId="3A6E3392" w14:textId="77777777" w:rsidR="00AB1F98" w:rsidRPr="00AB1F98" w:rsidRDefault="00AB1F98" w:rsidP="00010D4A">
      <w:pPr>
        <w:pStyle w:val="Heading4"/>
        <w:spacing w:before="0"/>
      </w:pPr>
    </w:p>
    <w:p w14:paraId="1B366ABE" w14:textId="77777777" w:rsidR="00C069A2" w:rsidRDefault="0030550A" w:rsidP="00C55A56">
      <w:pPr>
        <w:pStyle w:val="Heading2"/>
        <w:spacing w:before="0" w:after="0"/>
      </w:pPr>
      <w:bookmarkStart w:id="39" w:name="_Toc512857036"/>
      <w:r>
        <w:t>2.2. Demand R</w:t>
      </w:r>
      <w:r w:rsidR="00C069A2">
        <w:t>eduction Estimation Methodologies</w:t>
      </w:r>
      <w:bookmarkEnd w:id="39"/>
    </w:p>
    <w:p w14:paraId="1B366ABF" w14:textId="696B0EFF" w:rsidR="00C55A56" w:rsidRPr="00DC39C2" w:rsidRDefault="00C55A56" w:rsidP="00AD5DDA">
      <w:pPr>
        <w:spacing w:before="80" w:line="264" w:lineRule="auto"/>
        <w:rPr>
          <w:rFonts w:ascii="Arial" w:hAnsi="Arial" w:cs="Arial"/>
          <w:sz w:val="20"/>
        </w:rPr>
      </w:pPr>
      <w:r w:rsidRPr="00DC39C2">
        <w:rPr>
          <w:rFonts w:ascii="Arial" w:hAnsi="Arial" w:cs="Arial"/>
          <w:sz w:val="20"/>
        </w:rPr>
        <w:t xml:space="preserve">Demand reduction varies by market sector and building type due to different HVAC interactive effects and coincident peak demand multipliers for each type of building type. The operating hours, interactive effects, </w:t>
      </w:r>
      <w:r w:rsidRPr="00DC39C2">
        <w:rPr>
          <w:rFonts w:ascii="Arial" w:hAnsi="Arial" w:cs="Arial"/>
          <w:sz w:val="20"/>
        </w:rPr>
        <w:lastRenderedPageBreak/>
        <w:t>and coincident diversity factors (CDF) for each segment were taken fro</w:t>
      </w:r>
      <w:r w:rsidR="002A4D71">
        <w:rPr>
          <w:rFonts w:ascii="Arial" w:hAnsi="Arial" w:cs="Arial"/>
          <w:sz w:val="20"/>
        </w:rPr>
        <w:t>m DEER 2017</w:t>
      </w:r>
      <w:r w:rsidRPr="00DC39C2">
        <w:rPr>
          <w:rFonts w:ascii="Arial" w:hAnsi="Arial" w:cs="Arial"/>
          <w:sz w:val="20"/>
        </w:rPr>
        <w:t xml:space="preserve"> data.  Below is the equation to calculate demand savings:</w:t>
      </w:r>
    </w:p>
    <w:p w14:paraId="1B366AC1" w14:textId="77777777" w:rsidR="00C55A56" w:rsidRPr="00DC39C2" w:rsidRDefault="006E0D12" w:rsidP="00F21CED">
      <w:pPr>
        <w:jc w:val="center"/>
        <w:rPr>
          <w:rFonts w:ascii="Arial" w:hAnsi="Arial" w:cs="Arial"/>
          <w:sz w:val="20"/>
        </w:rPr>
      </w:pPr>
      <w:r w:rsidRPr="00DC39C2">
        <w:rPr>
          <w:rFonts w:ascii="Arial" w:hAnsi="Arial" w:cs="Arial"/>
          <w:position w:val="-30"/>
          <w:sz w:val="20"/>
        </w:rPr>
        <w:object w:dxaOrig="8520" w:dyaOrig="720" w14:anchorId="1B366B1F">
          <v:shape id="_x0000_i1029" type="#_x0000_t75" style="width:426.75pt;height:36pt" o:ole="">
            <v:imagedata r:id="rId24" o:title=""/>
          </v:shape>
          <o:OLEObject Type="Embed" ProgID="Equation.3" ShapeID="_x0000_i1029" DrawAspect="Content" ObjectID="_1586614648" r:id="rId25"/>
        </w:object>
      </w:r>
    </w:p>
    <w:p w14:paraId="1B366AC2" w14:textId="77777777" w:rsidR="00C55A56" w:rsidRPr="00DC39C2" w:rsidRDefault="00C55A56" w:rsidP="00AD5DDA">
      <w:pPr>
        <w:spacing w:after="60"/>
        <w:rPr>
          <w:rFonts w:ascii="Arial" w:hAnsi="Arial" w:cs="Arial"/>
          <w:sz w:val="20"/>
        </w:rPr>
      </w:pPr>
      <w:r w:rsidRPr="00DC39C2">
        <w:rPr>
          <w:rFonts w:ascii="Arial" w:hAnsi="Arial" w:cs="Arial"/>
          <w:sz w:val="20"/>
        </w:rPr>
        <w:t xml:space="preserve">The following example calculation demonstrates the annual energy demand savings, kW per year, for the </w:t>
      </w:r>
      <w:r w:rsidR="00CD5D5B" w:rsidRPr="00DC39C2">
        <w:rPr>
          <w:rFonts w:ascii="Arial" w:hAnsi="Arial" w:cs="Arial"/>
          <w:sz w:val="20"/>
        </w:rPr>
        <w:t>ASM</w:t>
      </w:r>
      <w:r w:rsidRPr="00DC39C2">
        <w:rPr>
          <w:rFonts w:ascii="Arial" w:hAnsi="Arial" w:cs="Arial"/>
          <w:sz w:val="20"/>
        </w:rPr>
        <w:t xml:space="preserve"> building type, for a</w:t>
      </w:r>
      <w:r w:rsidR="00CD5D5B" w:rsidRPr="00DC39C2">
        <w:rPr>
          <w:rFonts w:ascii="Arial" w:hAnsi="Arial" w:cs="Arial"/>
          <w:sz w:val="20"/>
        </w:rPr>
        <w:t xml:space="preserve"> 6W LED R/BR lamp</w:t>
      </w:r>
      <w:r w:rsidRPr="00DC39C2">
        <w:rPr>
          <w:rFonts w:ascii="Arial" w:hAnsi="Arial" w:cs="Arial"/>
          <w:sz w:val="20"/>
        </w:rPr>
        <w:t>:</w:t>
      </w:r>
    </w:p>
    <w:p w14:paraId="6B3860A1" w14:textId="461E7C45" w:rsidR="00AB1F98" w:rsidRPr="00925789" w:rsidRDefault="00AB1F98" w:rsidP="00AB1F98">
      <w:pPr>
        <w:rPr>
          <w:i/>
          <w:sz w:val="22"/>
          <w:szCs w:val="22"/>
        </w:rPr>
      </w:pPr>
      <m:oMathPara>
        <m:oMath>
          <m:r>
            <w:rPr>
              <w:rFonts w:ascii="Cambria Math" w:hAnsi="Cambria Math"/>
              <w:sz w:val="22"/>
              <w:szCs w:val="22"/>
            </w:rPr>
            <m:t>Demand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0.006 x 4.17-0.006</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0.221</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1.18</m:t>
              </m:r>
            </m:e>
          </m:d>
          <m:r>
            <w:rPr>
              <w:rFonts w:ascii="Cambria Math" w:hAnsi="Cambria Math"/>
              <w:sz w:val="22"/>
              <w:szCs w:val="22"/>
            </w:rPr>
            <m:t>=0.0050</m:t>
          </m:r>
        </m:oMath>
      </m:oMathPara>
    </w:p>
    <w:p w14:paraId="24788E39" w14:textId="77777777" w:rsidR="002B1FD1" w:rsidRDefault="002B1FD1" w:rsidP="00010D4A">
      <w:pPr>
        <w:pStyle w:val="Heading2"/>
        <w:spacing w:before="0" w:after="0" w:line="192" w:lineRule="auto"/>
      </w:pPr>
    </w:p>
    <w:p w14:paraId="1B366AC5" w14:textId="77777777" w:rsidR="007878B9" w:rsidRPr="00BF0332" w:rsidRDefault="00276ED1" w:rsidP="002B1FD1">
      <w:pPr>
        <w:pStyle w:val="Heading2"/>
        <w:spacing w:before="0"/>
      </w:pPr>
      <w:bookmarkStart w:id="40" w:name="_Toc512857037"/>
      <w:r w:rsidRPr="00BF0332">
        <w:t xml:space="preserve">2.3. </w:t>
      </w:r>
      <w:r w:rsidR="007878B9" w:rsidRPr="00BF0332">
        <w:t>Gas Energy Savings Estimation Methodologies</w:t>
      </w:r>
      <w:bookmarkEnd w:id="40"/>
    </w:p>
    <w:p w14:paraId="1B366AC6" w14:textId="77777777" w:rsidR="00C55A56" w:rsidRPr="00D726EF" w:rsidRDefault="00C55A56" w:rsidP="00C55A56">
      <w:pPr>
        <w:rPr>
          <w:rFonts w:ascii="Arial" w:hAnsi="Arial" w:cs="Arial"/>
          <w:sz w:val="20"/>
          <w:szCs w:val="20"/>
        </w:rPr>
      </w:pPr>
      <w:r w:rsidRPr="00D726EF">
        <w:rPr>
          <w:rFonts w:ascii="Arial" w:hAnsi="Arial" w:cs="Arial"/>
          <w:sz w:val="20"/>
          <w:szCs w:val="20"/>
        </w:rPr>
        <w:t>Gas estimates are entirely based on the estimated increased gas use through calculated interactive effects. This measure includes HVAC interactive effects savings.</w:t>
      </w:r>
      <w:r>
        <w:rPr>
          <w:rFonts w:ascii="Arial" w:hAnsi="Arial" w:cs="Arial"/>
          <w:sz w:val="20"/>
          <w:szCs w:val="20"/>
        </w:rPr>
        <w:t xml:space="preserve">  The equation below calculates the gas savings:</w:t>
      </w:r>
    </w:p>
    <w:p w14:paraId="1B366AC8" w14:textId="77777777" w:rsidR="00C55A56" w:rsidRPr="00D726EF" w:rsidRDefault="00F21CED" w:rsidP="00CD5D5B">
      <w:pPr>
        <w:jc w:val="center"/>
        <w:rPr>
          <w:rFonts w:ascii="Arial" w:hAnsi="Arial" w:cs="Arial"/>
          <w:sz w:val="20"/>
          <w:szCs w:val="20"/>
        </w:rPr>
      </w:pPr>
      <w:r w:rsidRPr="00CD5D5B">
        <w:rPr>
          <w:rFonts w:ascii="Arial" w:hAnsi="Arial" w:cs="Arial"/>
          <w:position w:val="-30"/>
          <w:sz w:val="20"/>
          <w:szCs w:val="20"/>
        </w:rPr>
        <w:object w:dxaOrig="7820" w:dyaOrig="720" w14:anchorId="1B366B21">
          <v:shape id="_x0000_i1030" type="#_x0000_t75" style="width:391.5pt;height:35.25pt" o:ole="">
            <v:imagedata r:id="rId26" o:title=""/>
          </v:shape>
          <o:OLEObject Type="Embed" ProgID="Equation.3" ShapeID="_x0000_i1030" DrawAspect="Content" ObjectID="_1586614649" r:id="rId27"/>
        </w:object>
      </w:r>
    </w:p>
    <w:p w14:paraId="1B366AC9" w14:textId="77777777" w:rsidR="00CD5D5B" w:rsidRDefault="00CD5D5B" w:rsidP="00010D4A">
      <w:pPr>
        <w:spacing w:line="144" w:lineRule="auto"/>
        <w:rPr>
          <w:rFonts w:ascii="Arial" w:hAnsi="Arial" w:cs="Arial"/>
          <w:sz w:val="20"/>
          <w:szCs w:val="20"/>
        </w:rPr>
      </w:pPr>
    </w:p>
    <w:p w14:paraId="1B366ACA" w14:textId="77777777" w:rsidR="00CD5D5B" w:rsidRDefault="00C55A56" w:rsidP="00C55A56">
      <w:pPr>
        <w:rPr>
          <w:rFonts w:ascii="Arial" w:hAnsi="Arial" w:cs="Arial"/>
          <w:sz w:val="20"/>
          <w:szCs w:val="20"/>
        </w:rPr>
      </w:pPr>
      <w:r>
        <w:rPr>
          <w:rFonts w:ascii="Arial" w:hAnsi="Arial" w:cs="Arial"/>
          <w:sz w:val="20"/>
          <w:szCs w:val="20"/>
        </w:rPr>
        <w:t>The following example calculation demonstrates the annual energy demand</w:t>
      </w:r>
      <w:r w:rsidR="00CD5D5B">
        <w:rPr>
          <w:rFonts w:ascii="Arial" w:hAnsi="Arial" w:cs="Arial"/>
          <w:sz w:val="20"/>
          <w:szCs w:val="20"/>
        </w:rPr>
        <w:t xml:space="preserve"> savings, kW per year, for the </w:t>
      </w:r>
    </w:p>
    <w:p w14:paraId="1B366ACB" w14:textId="77777777" w:rsidR="00C55A56" w:rsidRDefault="00CD5D5B" w:rsidP="00757288">
      <w:pPr>
        <w:spacing w:after="60"/>
        <w:rPr>
          <w:rFonts w:ascii="Arial" w:hAnsi="Arial" w:cs="Arial"/>
          <w:sz w:val="20"/>
          <w:szCs w:val="20"/>
        </w:rPr>
      </w:pPr>
      <w:r>
        <w:rPr>
          <w:rFonts w:ascii="Arial" w:hAnsi="Arial" w:cs="Arial"/>
          <w:sz w:val="20"/>
          <w:szCs w:val="20"/>
        </w:rPr>
        <w:t>ASM</w:t>
      </w:r>
      <w:r w:rsidR="00C55A56">
        <w:rPr>
          <w:rFonts w:ascii="Arial" w:hAnsi="Arial" w:cs="Arial"/>
          <w:sz w:val="20"/>
          <w:szCs w:val="20"/>
        </w:rPr>
        <w:t xml:space="preserve"> building type, for a </w:t>
      </w:r>
      <w:r>
        <w:rPr>
          <w:rFonts w:ascii="Arial" w:hAnsi="Arial" w:cs="Arial"/>
          <w:sz w:val="20"/>
          <w:szCs w:val="20"/>
        </w:rPr>
        <w:t>6W LED R/BR lamp</w:t>
      </w:r>
      <w:r w:rsidR="00C55A56">
        <w:rPr>
          <w:rFonts w:ascii="Arial" w:hAnsi="Arial" w:cs="Arial"/>
          <w:sz w:val="20"/>
          <w:szCs w:val="20"/>
        </w:rPr>
        <w:t>:</w:t>
      </w:r>
    </w:p>
    <w:p w14:paraId="38B979B2" w14:textId="3D9629FE" w:rsidR="00AB1F98" w:rsidRPr="00B877F2" w:rsidRDefault="00AB1F98" w:rsidP="00AB1F98">
      <w:pPr>
        <w:ind w:right="540"/>
        <w:jc w:val="center"/>
        <w:rPr>
          <w:rFonts w:ascii="Arial" w:hAnsi="Arial" w:cs="Arial"/>
          <w:color w:val="FF0000"/>
          <w:sz w:val="22"/>
          <w:szCs w:val="22"/>
        </w:rPr>
      </w:pPr>
      <m:oMathPara>
        <m:oMath>
          <m:r>
            <w:rPr>
              <w:rFonts w:ascii="Cambria Math" w:hAnsi="Cambria Math"/>
              <w:sz w:val="22"/>
              <w:szCs w:val="22"/>
            </w:rPr>
            <m:t xml:space="preserve">Gas Savings </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Therm</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m:rPr>
                  <m:sty m:val="p"/>
                </m:rPr>
                <w:rPr>
                  <w:rFonts w:ascii="Cambria Math" w:hAnsi="Cambria Math"/>
                  <w:sz w:val="22"/>
                  <w:szCs w:val="22"/>
                </w:rPr>
                <m:t>0.006 x 4.17-0.006</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1160</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-0.0099</m:t>
              </m:r>
            </m:e>
          </m:d>
          <m:r>
            <w:rPr>
              <w:rFonts w:ascii="Cambria Math" w:hAnsi="Cambria Math"/>
              <w:sz w:val="22"/>
              <w:szCs w:val="22"/>
            </w:rPr>
            <m:t>=-0.2184</m:t>
          </m:r>
        </m:oMath>
      </m:oMathPara>
    </w:p>
    <w:p w14:paraId="75181A65" w14:textId="77777777" w:rsidR="00AB1F98" w:rsidRPr="00AB1F98" w:rsidRDefault="00AB1F98" w:rsidP="00757288">
      <w:pPr>
        <w:pStyle w:val="Heading4"/>
        <w:spacing w:before="120"/>
      </w:pPr>
    </w:p>
    <w:p w14:paraId="619A5C10" w14:textId="77777777" w:rsidR="000C2231" w:rsidRDefault="000C2231">
      <w:pPr>
        <w:rPr>
          <w:rFonts w:ascii="Arial" w:hAnsi="Arial" w:cs="Arial"/>
          <w:b/>
          <w:bCs/>
          <w:kern w:val="32"/>
          <w:sz w:val="32"/>
          <w:szCs w:val="32"/>
        </w:rPr>
      </w:pPr>
      <w:r>
        <w:br w:type="page"/>
      </w:r>
    </w:p>
    <w:p w14:paraId="1B366AD0" w14:textId="71D3B381" w:rsidR="00B7164C" w:rsidRPr="001D3DFF" w:rsidRDefault="00C069A2" w:rsidP="0057773C">
      <w:pPr>
        <w:pStyle w:val="Heading1"/>
        <w:spacing w:before="0"/>
      </w:pPr>
      <w:bookmarkStart w:id="41" w:name="_Toc512857038"/>
      <w:r w:rsidRPr="001D3DFF">
        <w:lastRenderedPageBreak/>
        <w:t>Section 3</w:t>
      </w:r>
      <w:r w:rsidR="003129E8" w:rsidRPr="001D3DFF">
        <w:t>.</w:t>
      </w:r>
      <w:r w:rsidRPr="001D3DFF">
        <w:t xml:space="preserve"> Load Shapes</w:t>
      </w:r>
      <w:bookmarkEnd w:id="41"/>
      <w:r w:rsidR="00844B27" w:rsidRPr="001D3DFF">
        <w:t xml:space="preserve"> </w:t>
      </w:r>
    </w:p>
    <w:p w14:paraId="6E29B103" w14:textId="652CFE39" w:rsidR="0065119D" w:rsidRDefault="00A06A54" w:rsidP="0057773C">
      <w:pPr>
        <w:autoSpaceDE w:val="0"/>
        <w:autoSpaceDN w:val="0"/>
        <w:adjustRightInd w:val="0"/>
        <w:spacing w:line="264" w:lineRule="auto"/>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bookmarkStart w:id="42" w:name="_Toc173742996"/>
    </w:p>
    <w:p w14:paraId="21B85B46" w14:textId="77777777" w:rsidR="00B2344B" w:rsidRPr="00B2344B" w:rsidRDefault="00B2344B" w:rsidP="00757288">
      <w:pPr>
        <w:pStyle w:val="Heading4"/>
        <w:spacing w:before="0" w:line="192" w:lineRule="auto"/>
      </w:pPr>
    </w:p>
    <w:p w14:paraId="1B366AD2" w14:textId="77777777" w:rsidR="00B7164C" w:rsidRPr="001D3DFF" w:rsidRDefault="00BF0332" w:rsidP="00757288">
      <w:pPr>
        <w:pStyle w:val="Heading2"/>
        <w:spacing w:before="0" w:after="40"/>
      </w:pPr>
      <w:bookmarkStart w:id="43" w:name="_Toc512857039"/>
      <w:r w:rsidRPr="001D3DFF">
        <w:t>3.1 Base Case</w:t>
      </w:r>
      <w:r w:rsidR="00B7164C" w:rsidRPr="001D3DFF">
        <w:t xml:space="preserve"> Load Shapes</w:t>
      </w:r>
      <w:bookmarkEnd w:id="42"/>
      <w:bookmarkEnd w:id="43"/>
    </w:p>
    <w:p w14:paraId="1B366AD3" w14:textId="77777777" w:rsidR="008840FA" w:rsidRDefault="002E59D0" w:rsidP="008840FA">
      <w:pPr>
        <w:rPr>
          <w:rFonts w:ascii="Arial" w:hAnsi="Arial" w:cs="Arial"/>
          <w:sz w:val="20"/>
          <w:szCs w:val="20"/>
        </w:rPr>
      </w:pPr>
      <w:bookmarkStart w:id="44" w:name="_Toc173742997"/>
      <w:r w:rsidRPr="00D7131A">
        <w:rPr>
          <w:rFonts w:ascii="Arial" w:hAnsi="Arial" w:cs="Arial"/>
          <w:sz w:val="20"/>
          <w:szCs w:val="20"/>
        </w:rPr>
        <w:t>The base case load shape would be expected to follow a typical residential and commercial lighting end use load shape.</w:t>
      </w:r>
    </w:p>
    <w:p w14:paraId="26BEDEAA" w14:textId="77777777" w:rsidR="00B2344B" w:rsidRPr="00B2344B" w:rsidRDefault="00B2344B" w:rsidP="00757288">
      <w:pPr>
        <w:pStyle w:val="Heading4"/>
        <w:spacing w:before="0" w:line="192" w:lineRule="auto"/>
      </w:pPr>
    </w:p>
    <w:p w14:paraId="1B366AD5" w14:textId="77777777" w:rsidR="00B7164C" w:rsidRPr="00A209A2" w:rsidRDefault="00B7164C" w:rsidP="00757288">
      <w:pPr>
        <w:pStyle w:val="Heading2"/>
        <w:keepNext w:val="0"/>
        <w:spacing w:before="0" w:after="40"/>
      </w:pPr>
      <w:bookmarkStart w:id="45" w:name="_Toc512857040"/>
      <w:r w:rsidRPr="00A209A2">
        <w:t>3.2 Measure Load Shapes</w:t>
      </w:r>
      <w:bookmarkEnd w:id="44"/>
      <w:bookmarkEnd w:id="45"/>
    </w:p>
    <w:p w14:paraId="1B366AD6" w14:textId="3AF1DEAA" w:rsidR="002E59D0" w:rsidRPr="00D7131A" w:rsidRDefault="002E59D0" w:rsidP="00757288">
      <w:pPr>
        <w:rPr>
          <w:rFonts w:ascii="Arial" w:hAnsi="Arial" w:cs="Arial"/>
          <w:sz w:val="20"/>
          <w:szCs w:val="20"/>
        </w:rPr>
      </w:pPr>
      <w:r w:rsidRPr="00D7131A">
        <w:rPr>
          <w:rFonts w:ascii="Arial" w:hAnsi="Arial" w:cs="Arial"/>
          <w:sz w:val="20"/>
          <w:szCs w:val="20"/>
        </w:rPr>
        <w:t xml:space="preserve">For purposes of the net benefits estimates in the E3 calculator, what is required is the load shape that ideally represents the difference between the base equipment and the installed energy efficiency measure.  This difference load profile is what is called the Measure Load Shape and would be the preferred load shape for use in the net benefits calculations.  </w:t>
      </w:r>
    </w:p>
    <w:p w14:paraId="1B366AD8" w14:textId="77777777" w:rsidR="00D87EFF" w:rsidRDefault="002E59D0" w:rsidP="00757288">
      <w:pPr>
        <w:spacing w:after="60"/>
        <w:rPr>
          <w:rFonts w:ascii="Arial" w:hAnsi="Arial" w:cs="Arial"/>
          <w:sz w:val="20"/>
          <w:szCs w:val="20"/>
        </w:rPr>
      </w:pPr>
      <w:r w:rsidRPr="00D7131A">
        <w:rPr>
          <w:rFonts w:ascii="Arial" w:hAnsi="Arial" w:cs="Arial"/>
          <w:sz w:val="20"/>
          <w:szCs w:val="20"/>
        </w:rPr>
        <w:t>The measure load shape for this measure is determined by the E3 calculator based on the applicable residential</w:t>
      </w:r>
      <w:r w:rsidRPr="00D7131A">
        <w:rPr>
          <w:rFonts w:ascii="Arial" w:hAnsi="Arial" w:cs="Arial"/>
          <w:i/>
          <w:sz w:val="20"/>
          <w:szCs w:val="20"/>
        </w:rPr>
        <w:t xml:space="preserve"> </w:t>
      </w:r>
      <w:r w:rsidRPr="00D7131A">
        <w:rPr>
          <w:rFonts w:ascii="Arial" w:hAnsi="Arial" w:cs="Arial"/>
          <w:sz w:val="20"/>
          <w:szCs w:val="20"/>
        </w:rPr>
        <w:t>and commercial</w:t>
      </w:r>
      <w:r w:rsidRPr="00D7131A">
        <w:rPr>
          <w:rFonts w:ascii="Arial" w:hAnsi="Arial" w:cs="Arial"/>
          <w:i/>
          <w:sz w:val="20"/>
          <w:szCs w:val="20"/>
        </w:rPr>
        <w:t xml:space="preserve"> </w:t>
      </w:r>
      <w:r w:rsidRPr="00D7131A">
        <w:rPr>
          <w:rFonts w:ascii="Arial" w:hAnsi="Arial" w:cs="Arial"/>
          <w:sz w:val="20"/>
          <w:szCs w:val="20"/>
        </w:rPr>
        <w:t>market sector and the lighting end-use.</w:t>
      </w:r>
    </w:p>
    <w:p w14:paraId="1B366ADA" w14:textId="77777777" w:rsidR="001D3DFF" w:rsidRPr="001D3DFF" w:rsidRDefault="001D3DFF" w:rsidP="001D3DFF">
      <w:pPr>
        <w:pStyle w:val="Caption"/>
        <w:keepNext/>
        <w:jc w:val="center"/>
        <w:rPr>
          <w:rFonts w:ascii="Arial" w:hAnsi="Arial" w:cs="Arial"/>
        </w:rPr>
      </w:pPr>
      <w:bookmarkStart w:id="46" w:name="_Toc512857059"/>
      <w:r w:rsidRPr="00992284">
        <w:t xml:space="preserve">Table </w:t>
      </w:r>
      <w:fldSimple w:instr=" SEQ Table \* ARABIC ">
        <w:r w:rsidR="00510611">
          <w:rPr>
            <w:noProof/>
          </w:rPr>
          <w:t>12</w:t>
        </w:r>
      </w:fldSimple>
      <w:r w:rsidRPr="00992284">
        <w:t xml:space="preserve"> Building Types and Load Shapes</w:t>
      </w:r>
      <w:bookmarkEnd w:id="46"/>
    </w:p>
    <w:tbl>
      <w:tblPr>
        <w:tblStyle w:val="TableGrid1"/>
        <w:tblW w:w="5000" w:type="pct"/>
        <w:tblLook w:val="01E0" w:firstRow="1" w:lastRow="1" w:firstColumn="1" w:lastColumn="1" w:noHBand="0" w:noVBand="0"/>
      </w:tblPr>
      <w:tblGrid>
        <w:gridCol w:w="3290"/>
        <w:gridCol w:w="3471"/>
        <w:gridCol w:w="2995"/>
      </w:tblGrid>
      <w:tr w:rsidR="001D3DFF" w:rsidRPr="00CB0EB0" w14:paraId="1B366ADE" w14:textId="77777777" w:rsidTr="001D3DFF">
        <w:tc>
          <w:tcPr>
            <w:tcW w:w="1686" w:type="pct"/>
            <w:shd w:val="clear" w:color="auto" w:fill="D9D9D9" w:themeFill="background1" w:themeFillShade="D9"/>
          </w:tcPr>
          <w:p w14:paraId="1B366ADB" w14:textId="77777777" w:rsidR="001D3DFF" w:rsidRPr="00CB0EB0" w:rsidRDefault="001D3DFF" w:rsidP="001D3DFF">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14:paraId="1B366ADC" w14:textId="77777777" w:rsidR="001D3DFF" w:rsidRPr="00CB0EB0" w:rsidRDefault="001D3DFF" w:rsidP="001D3DFF">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14:paraId="1B366ADD" w14:textId="77777777" w:rsidR="001D3DFF" w:rsidRPr="00CB0EB0" w:rsidRDefault="001D3DFF" w:rsidP="001D3DFF">
            <w:pPr>
              <w:rPr>
                <w:rFonts w:ascii="Arial" w:hAnsi="Arial" w:cs="Arial"/>
                <w:b/>
                <w:sz w:val="20"/>
                <w:szCs w:val="20"/>
                <w:highlight w:val="yellow"/>
              </w:rPr>
            </w:pPr>
            <w:r w:rsidRPr="00CB0EB0">
              <w:rPr>
                <w:rFonts w:ascii="Arial" w:hAnsi="Arial" w:cs="Arial"/>
                <w:b/>
                <w:sz w:val="20"/>
                <w:szCs w:val="20"/>
              </w:rPr>
              <w:t>E3 Alternate Building Type</w:t>
            </w:r>
          </w:p>
        </w:tc>
      </w:tr>
      <w:tr w:rsidR="001D3DFF" w:rsidRPr="00CB0EB0" w14:paraId="1B366AE2" w14:textId="77777777" w:rsidTr="001D3DFF">
        <w:tc>
          <w:tcPr>
            <w:tcW w:w="1686" w:type="pct"/>
          </w:tcPr>
          <w:p w14:paraId="1B366ADF" w14:textId="77777777" w:rsidR="001D3DFF" w:rsidRPr="00CB0EB0" w:rsidRDefault="001D3DFF" w:rsidP="001D3DFF">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14:paraId="1B366AE0" w14:textId="77777777" w:rsidR="001D3DFF" w:rsidRPr="00CB0EB0" w:rsidRDefault="001D3DFF" w:rsidP="001D3DFF">
            <w:pPr>
              <w:rPr>
                <w:rFonts w:ascii="Arial" w:hAnsi="Arial" w:cs="Arial"/>
                <w:sz w:val="20"/>
                <w:szCs w:val="20"/>
              </w:rPr>
            </w:pPr>
            <w:r w:rsidRPr="00CB0EB0">
              <w:rPr>
                <w:rFonts w:ascii="Arial" w:hAnsi="Arial" w:cs="Arial"/>
                <w:sz w:val="20"/>
                <w:szCs w:val="20"/>
              </w:rPr>
              <w:t>PGE:DEER:Com:Indoor_CFL_Ltg</w:t>
            </w:r>
          </w:p>
        </w:tc>
        <w:tc>
          <w:tcPr>
            <w:tcW w:w="1535" w:type="pct"/>
          </w:tcPr>
          <w:p w14:paraId="1B366AE1" w14:textId="77777777" w:rsidR="001D3DFF" w:rsidRPr="00CB0EB0" w:rsidRDefault="001D3DFF" w:rsidP="001D3DFF">
            <w:pPr>
              <w:rPr>
                <w:rFonts w:ascii="Arial" w:hAnsi="Arial" w:cs="Arial"/>
                <w:sz w:val="20"/>
                <w:szCs w:val="20"/>
              </w:rPr>
            </w:pPr>
            <w:r w:rsidRPr="00CB0EB0">
              <w:rPr>
                <w:rFonts w:ascii="Arial" w:hAnsi="Arial" w:cs="Arial"/>
                <w:sz w:val="20"/>
                <w:szCs w:val="20"/>
              </w:rPr>
              <w:t>NON_RES</w:t>
            </w:r>
          </w:p>
        </w:tc>
      </w:tr>
      <w:tr w:rsidR="001D3DFF" w:rsidRPr="00CB0EB0" w14:paraId="1B366AE6" w14:textId="77777777" w:rsidTr="001D3DFF">
        <w:tc>
          <w:tcPr>
            <w:tcW w:w="1686" w:type="pct"/>
          </w:tcPr>
          <w:p w14:paraId="1B366AE3" w14:textId="77777777" w:rsidR="001D3DFF" w:rsidRPr="00CB0EB0" w:rsidRDefault="001D3DFF" w:rsidP="001D3DFF">
            <w:pPr>
              <w:rPr>
                <w:rFonts w:ascii="Arial" w:hAnsi="Arial" w:cs="Arial"/>
                <w:sz w:val="20"/>
                <w:szCs w:val="20"/>
              </w:rPr>
            </w:pPr>
            <w:r>
              <w:rPr>
                <w:rFonts w:ascii="Arial" w:hAnsi="Arial" w:cs="Arial"/>
                <w:sz w:val="20"/>
                <w:szCs w:val="20"/>
              </w:rPr>
              <w:t>All Residential, “Res”</w:t>
            </w:r>
          </w:p>
        </w:tc>
        <w:tc>
          <w:tcPr>
            <w:tcW w:w="1779" w:type="pct"/>
          </w:tcPr>
          <w:p w14:paraId="1B366AE4" w14:textId="77777777" w:rsidR="001D3DFF" w:rsidRPr="00CB0EB0" w:rsidRDefault="001D3DFF" w:rsidP="001D3DFF">
            <w:pPr>
              <w:rPr>
                <w:rFonts w:ascii="Arial" w:hAnsi="Arial" w:cs="Arial"/>
                <w:sz w:val="20"/>
                <w:szCs w:val="20"/>
              </w:rPr>
            </w:pPr>
            <w:r w:rsidRPr="00CB0EB0">
              <w:rPr>
                <w:rFonts w:ascii="Arial" w:hAnsi="Arial" w:cs="Arial"/>
                <w:sz w:val="20"/>
                <w:szCs w:val="20"/>
              </w:rPr>
              <w:t>PGE:DEER:Indoor_CFL_Ltg</w:t>
            </w:r>
          </w:p>
        </w:tc>
        <w:tc>
          <w:tcPr>
            <w:tcW w:w="1535" w:type="pct"/>
          </w:tcPr>
          <w:p w14:paraId="1B366AE5" w14:textId="77777777" w:rsidR="001D3DFF" w:rsidRPr="00CB0EB0" w:rsidRDefault="001D3DFF" w:rsidP="001D3DFF">
            <w:pPr>
              <w:rPr>
                <w:rFonts w:ascii="Arial" w:hAnsi="Arial" w:cs="Arial"/>
                <w:sz w:val="20"/>
                <w:szCs w:val="20"/>
              </w:rPr>
            </w:pPr>
            <w:r>
              <w:rPr>
                <w:rFonts w:ascii="Arial" w:hAnsi="Arial" w:cs="Arial"/>
                <w:sz w:val="20"/>
                <w:szCs w:val="20"/>
              </w:rPr>
              <w:t>RES</w:t>
            </w:r>
          </w:p>
        </w:tc>
      </w:tr>
    </w:tbl>
    <w:p w14:paraId="1B366AE9" w14:textId="15DBF1CB" w:rsidR="0091058D" w:rsidRPr="001E37A5" w:rsidRDefault="007A6F67" w:rsidP="00757288">
      <w:pPr>
        <w:pStyle w:val="Heading1"/>
        <w:spacing w:before="0"/>
      </w:pPr>
      <w:r>
        <w:br w:type="page"/>
      </w:r>
      <w:bookmarkStart w:id="47" w:name="_Toc512857041"/>
      <w:r w:rsidR="004D23FD">
        <w:lastRenderedPageBreak/>
        <w:t xml:space="preserve">Section </w:t>
      </w:r>
      <w:r w:rsidR="00C069A2" w:rsidRPr="00F37F17">
        <w:t>4</w:t>
      </w:r>
      <w:r w:rsidR="004D23FD">
        <w:t>.</w:t>
      </w:r>
      <w:r w:rsidR="00C069A2" w:rsidRPr="00F37F17">
        <w:t xml:space="preserve"> Base Case &amp; Measure Costs</w:t>
      </w:r>
      <w:bookmarkEnd w:id="47"/>
    </w:p>
    <w:p w14:paraId="1B366AEA" w14:textId="09C96EAC" w:rsidR="001E37A5" w:rsidRDefault="004418C4" w:rsidP="001E37A5">
      <w:pPr>
        <w:rPr>
          <w:rFonts w:ascii="Arial" w:hAnsi="Arial" w:cs="Arial"/>
          <w:sz w:val="20"/>
        </w:rPr>
      </w:pPr>
      <w:r>
        <w:rPr>
          <w:rFonts w:ascii="Arial" w:hAnsi="Arial" w:cs="Arial"/>
          <w:sz w:val="20"/>
        </w:rPr>
        <w:t xml:space="preserve">To comply with the </w:t>
      </w:r>
      <w:r w:rsidR="00643148">
        <w:rPr>
          <w:rFonts w:ascii="Arial" w:hAnsi="Arial" w:cs="Arial"/>
          <w:sz w:val="20"/>
        </w:rPr>
        <w:t>March 1, 2018</w:t>
      </w:r>
      <w:r>
        <w:rPr>
          <w:rFonts w:ascii="Arial" w:hAnsi="Arial" w:cs="Arial"/>
          <w:sz w:val="20"/>
        </w:rPr>
        <w:t xml:space="preserve"> disposition </w:t>
      </w:r>
      <w:r w:rsidR="003858A2">
        <w:rPr>
          <w:rFonts w:ascii="Arial" w:hAnsi="Arial" w:cs="Arial"/>
          <w:sz w:val="20"/>
        </w:rPr>
        <w:t xml:space="preserve">PG&amp;E obtained </w:t>
      </w:r>
      <w:r>
        <w:rPr>
          <w:rFonts w:ascii="Arial" w:hAnsi="Arial" w:cs="Arial"/>
          <w:sz w:val="20"/>
        </w:rPr>
        <w:t xml:space="preserve">cost </w:t>
      </w:r>
      <w:r w:rsidR="003858A2">
        <w:rPr>
          <w:rFonts w:ascii="Arial" w:hAnsi="Arial" w:cs="Arial"/>
          <w:sz w:val="20"/>
        </w:rPr>
        <w:t>data through web scraping</w:t>
      </w:r>
      <w:r>
        <w:rPr>
          <w:rFonts w:ascii="Arial" w:hAnsi="Arial" w:cs="Arial"/>
          <w:sz w:val="20"/>
        </w:rPr>
        <w:t xml:space="preserve"> </w:t>
      </w:r>
      <w:r w:rsidR="00643148">
        <w:rPr>
          <w:rFonts w:ascii="Arial" w:hAnsi="Arial" w:cs="Arial"/>
          <w:sz w:val="20"/>
        </w:rPr>
        <w:t>and also</w:t>
      </w:r>
      <w:r>
        <w:rPr>
          <w:rFonts w:ascii="Arial" w:hAnsi="Arial" w:cs="Arial"/>
          <w:sz w:val="20"/>
        </w:rPr>
        <w:t xml:space="preserve"> changed the percentages</w:t>
      </w:r>
      <w:r w:rsidR="003858A2">
        <w:rPr>
          <w:rFonts w:ascii="Arial" w:hAnsi="Arial" w:cs="Arial"/>
          <w:sz w:val="20"/>
        </w:rPr>
        <w:t xml:space="preserve"> of the technology mix</w:t>
      </w:r>
      <w:r>
        <w:rPr>
          <w:rFonts w:ascii="Arial" w:hAnsi="Arial" w:cs="Arial"/>
          <w:sz w:val="20"/>
        </w:rPr>
        <w:t xml:space="preserve"> in the base cost as per the disposition.</w:t>
      </w:r>
      <w:r w:rsidR="001E37A5" w:rsidRPr="001E37A5">
        <w:rPr>
          <w:rFonts w:ascii="Arial" w:hAnsi="Arial" w:cs="Arial"/>
          <w:sz w:val="20"/>
        </w:rPr>
        <w:t xml:space="preserve"> </w:t>
      </w:r>
      <w:r w:rsidR="009D6FF3">
        <w:rPr>
          <w:rFonts w:ascii="Arial" w:hAnsi="Arial" w:cs="Arial"/>
          <w:sz w:val="20"/>
        </w:rPr>
        <w:t>PG&amp;E will share the cost data with other IOUs to collaborate and be consistent statewide.</w:t>
      </w:r>
    </w:p>
    <w:p w14:paraId="0720125A" w14:textId="2EC5C333" w:rsidR="00D61048" w:rsidRPr="00D61048" w:rsidRDefault="00D61048" w:rsidP="00E0682D">
      <w:pPr>
        <w:spacing w:before="60" w:line="264" w:lineRule="auto"/>
        <w:rPr>
          <w:rFonts w:ascii="Arial" w:hAnsi="Arial" w:cs="Arial"/>
          <w:sz w:val="20"/>
        </w:rPr>
      </w:pPr>
      <w:r w:rsidRPr="00D61048">
        <w:rPr>
          <w:rFonts w:ascii="Arial" w:hAnsi="Arial" w:cs="Arial"/>
          <w:sz w:val="20"/>
        </w:rPr>
        <w:t>For Direct Install programs actual costs are reported based on post-install project invoices</w:t>
      </w:r>
      <w:r>
        <w:rPr>
          <w:rFonts w:ascii="Arial" w:hAnsi="Arial" w:cs="Arial"/>
          <w:sz w:val="20"/>
        </w:rPr>
        <w:t>. P</w:t>
      </w:r>
      <w:r w:rsidRPr="00D61048">
        <w:rPr>
          <w:rFonts w:ascii="Arial" w:hAnsi="Arial" w:cs="Arial"/>
          <w:sz w:val="20"/>
        </w:rPr>
        <w:t xml:space="preserve">laceholder material and labor costs are assigned to </w:t>
      </w:r>
      <w:r>
        <w:rPr>
          <w:rFonts w:ascii="Arial" w:hAnsi="Arial" w:cs="Arial"/>
          <w:sz w:val="20"/>
        </w:rPr>
        <w:t xml:space="preserve">DI </w:t>
      </w:r>
      <w:r w:rsidRPr="00D61048">
        <w:rPr>
          <w:rFonts w:ascii="Arial" w:hAnsi="Arial" w:cs="Arial"/>
          <w:sz w:val="20"/>
        </w:rPr>
        <w:t>measure</w:t>
      </w:r>
      <w:r>
        <w:rPr>
          <w:rFonts w:ascii="Arial" w:hAnsi="Arial" w:cs="Arial"/>
          <w:sz w:val="20"/>
        </w:rPr>
        <w:t>s</w:t>
      </w:r>
      <w:r w:rsidRPr="00D61048">
        <w:rPr>
          <w:rFonts w:ascii="Arial" w:hAnsi="Arial" w:cs="Arial"/>
          <w:sz w:val="20"/>
        </w:rPr>
        <w:t xml:space="preserve"> in the work paper.</w:t>
      </w:r>
    </w:p>
    <w:p w14:paraId="746CC329" w14:textId="7B1F8E18" w:rsidR="00D61048" w:rsidRPr="00D61048" w:rsidRDefault="00D61048" w:rsidP="00D61048">
      <w:pPr>
        <w:rPr>
          <w:rFonts w:ascii="Arial" w:hAnsi="Arial" w:cs="Arial"/>
          <w:sz w:val="20"/>
        </w:rPr>
      </w:pPr>
      <w:r w:rsidRPr="00D61048">
        <w:rPr>
          <w:rFonts w:ascii="Arial" w:hAnsi="Arial" w:cs="Arial"/>
          <w:sz w:val="20"/>
        </w:rPr>
        <w:t xml:space="preserve">Direct Install </w:t>
      </w:r>
      <w:r>
        <w:rPr>
          <w:rFonts w:ascii="Arial" w:hAnsi="Arial" w:cs="Arial"/>
          <w:sz w:val="20"/>
        </w:rPr>
        <w:t xml:space="preserve">ER measures </w:t>
      </w:r>
      <w:r w:rsidRPr="00D61048">
        <w:rPr>
          <w:rFonts w:ascii="Arial" w:hAnsi="Arial" w:cs="Arial"/>
          <w:sz w:val="20"/>
        </w:rPr>
        <w:t>are exempted from the early retirement cost calculation.</w:t>
      </w:r>
    </w:p>
    <w:p w14:paraId="1B366AEB" w14:textId="77777777" w:rsidR="00D17F75" w:rsidRPr="00DA53B8" w:rsidRDefault="00C069A2" w:rsidP="00D17F75">
      <w:pPr>
        <w:pStyle w:val="Heading2"/>
      </w:pPr>
      <w:bookmarkStart w:id="48" w:name="_Toc512857042"/>
      <w:r w:rsidRPr="00DA53B8">
        <w:t>4.1 Base Case</w:t>
      </w:r>
      <w:r w:rsidR="00C221D5" w:rsidRPr="00DA53B8">
        <w:t>(</w:t>
      </w:r>
      <w:r w:rsidRPr="00DA53B8">
        <w:t>s</w:t>
      </w:r>
      <w:r w:rsidR="00C221D5" w:rsidRPr="00DA53B8">
        <w:t>)</w:t>
      </w:r>
      <w:r w:rsidRPr="00DA53B8">
        <w:t xml:space="preserve"> Costs</w:t>
      </w:r>
      <w:bookmarkEnd w:id="48"/>
    </w:p>
    <w:p w14:paraId="1F0C5299" w14:textId="4A7BF445" w:rsidR="00977F33" w:rsidRPr="00A2208D" w:rsidRDefault="00014B8B" w:rsidP="00D61048">
      <w:pPr>
        <w:pStyle w:val="Heading4"/>
        <w:spacing w:before="0" w:line="264" w:lineRule="auto"/>
        <w:rPr>
          <w:rFonts w:ascii="Arial" w:eastAsia="Times New Roman" w:hAnsi="Arial" w:cs="Arial"/>
          <w:b w:val="0"/>
          <w:bCs w:val="0"/>
          <w:i w:val="0"/>
          <w:iCs w:val="0"/>
          <w:sz w:val="20"/>
          <w:szCs w:val="20"/>
        </w:rPr>
      </w:pPr>
      <w:r>
        <w:rPr>
          <w:rFonts w:ascii="Arial" w:eastAsia="Times New Roman" w:hAnsi="Arial" w:cs="Arial"/>
          <w:b w:val="0"/>
          <w:bCs w:val="0"/>
          <w:i w:val="0"/>
          <w:iCs w:val="0"/>
          <w:sz w:val="20"/>
          <w:szCs w:val="20"/>
        </w:rPr>
        <w:t>ROB</w:t>
      </w:r>
      <w:r w:rsidR="00977F33" w:rsidRPr="00A2208D">
        <w:rPr>
          <w:rFonts w:ascii="Arial" w:eastAsia="Times New Roman" w:hAnsi="Arial" w:cs="Arial"/>
          <w:b w:val="0"/>
          <w:bCs w:val="0"/>
          <w:i w:val="0"/>
          <w:iCs w:val="0"/>
          <w:sz w:val="20"/>
          <w:szCs w:val="20"/>
        </w:rPr>
        <w:t xml:space="preserve"> </w:t>
      </w:r>
      <w:r w:rsidR="00F00C2A">
        <w:rPr>
          <w:rFonts w:ascii="Arial" w:eastAsia="Times New Roman" w:hAnsi="Arial" w:cs="Arial"/>
          <w:b w:val="0"/>
          <w:bCs w:val="0"/>
          <w:i w:val="0"/>
          <w:iCs w:val="0"/>
          <w:sz w:val="20"/>
          <w:szCs w:val="20"/>
        </w:rPr>
        <w:t>base case costs are web scraped</w:t>
      </w:r>
      <w:r w:rsidR="00977F33" w:rsidRPr="00A2208D">
        <w:rPr>
          <w:rFonts w:ascii="Arial" w:eastAsia="Times New Roman" w:hAnsi="Arial" w:cs="Arial"/>
          <w:b w:val="0"/>
          <w:bCs w:val="0"/>
          <w:i w:val="0"/>
          <w:iCs w:val="0"/>
          <w:sz w:val="20"/>
          <w:szCs w:val="20"/>
        </w:rPr>
        <w:t>.</w:t>
      </w:r>
      <w:r w:rsidR="009C0C28" w:rsidRPr="00A2208D">
        <w:rPr>
          <w:rFonts w:ascii="Arial" w:eastAsia="Times New Roman" w:hAnsi="Arial" w:cs="Arial"/>
          <w:b w:val="0"/>
          <w:bCs w:val="0"/>
          <w:i w:val="0"/>
          <w:iCs w:val="0"/>
          <w:sz w:val="20"/>
          <w:szCs w:val="20"/>
        </w:rPr>
        <w:t xml:space="preserve"> </w:t>
      </w:r>
      <w:r w:rsidR="00A2208D" w:rsidRPr="00A2208D">
        <w:rPr>
          <w:rFonts w:ascii="Arial" w:eastAsia="Times New Roman" w:hAnsi="Arial" w:cs="Arial"/>
          <w:b w:val="0"/>
          <w:bCs w:val="0"/>
          <w:i w:val="0"/>
          <w:iCs w:val="0"/>
          <w:sz w:val="20"/>
          <w:szCs w:val="20"/>
        </w:rPr>
        <w:t>See “</w:t>
      </w:r>
      <w:r w:rsidR="000C2231" w:rsidRPr="000C2231">
        <w:rPr>
          <w:rFonts w:ascii="Arial" w:eastAsia="Times New Roman" w:hAnsi="Arial" w:cs="Arial"/>
          <w:b w:val="0"/>
          <w:bCs w:val="0"/>
          <w:i w:val="0"/>
          <w:iCs w:val="0"/>
          <w:sz w:val="20"/>
          <w:szCs w:val="20"/>
        </w:rPr>
        <w:t>PGECOLTG177 R6 - R-BRCostSummary</w:t>
      </w:r>
      <w:r w:rsidR="00A2208D" w:rsidRPr="00A2208D">
        <w:rPr>
          <w:rFonts w:ascii="Arial" w:eastAsia="Times New Roman" w:hAnsi="Arial" w:cs="Arial"/>
          <w:b w:val="0"/>
          <w:bCs w:val="0"/>
          <w:i w:val="0"/>
          <w:iCs w:val="0"/>
          <w:sz w:val="20"/>
          <w:szCs w:val="20"/>
        </w:rPr>
        <w:t>.xls</w:t>
      </w:r>
      <w:r w:rsidR="000C2231">
        <w:rPr>
          <w:rFonts w:ascii="Arial" w:eastAsia="Times New Roman" w:hAnsi="Arial" w:cs="Arial"/>
          <w:b w:val="0"/>
          <w:bCs w:val="0"/>
          <w:i w:val="0"/>
          <w:iCs w:val="0"/>
          <w:sz w:val="20"/>
          <w:szCs w:val="20"/>
        </w:rPr>
        <w:t>x</w:t>
      </w:r>
      <w:r w:rsidR="00A2208D" w:rsidRPr="00A2208D">
        <w:rPr>
          <w:rFonts w:ascii="Arial" w:eastAsia="Times New Roman" w:hAnsi="Arial" w:cs="Arial"/>
          <w:b w:val="0"/>
          <w:bCs w:val="0"/>
          <w:i w:val="0"/>
          <w:iCs w:val="0"/>
          <w:sz w:val="20"/>
          <w:szCs w:val="20"/>
        </w:rPr>
        <w:t>” for more details on the cost data and analysis.</w:t>
      </w:r>
    </w:p>
    <w:p w14:paraId="2A4B81D7" w14:textId="049B288E" w:rsidR="003858A2" w:rsidRDefault="003858A2" w:rsidP="00D61048">
      <w:pPr>
        <w:keepNext/>
        <w:spacing w:line="264" w:lineRule="auto"/>
        <w:rPr>
          <w:rFonts w:ascii="Arial" w:hAnsi="Arial" w:cs="Arial"/>
          <w:sz w:val="20"/>
          <w:szCs w:val="20"/>
        </w:rPr>
      </w:pPr>
      <w:r w:rsidRPr="00821EFE">
        <w:rPr>
          <w:rFonts w:ascii="Arial" w:hAnsi="Arial" w:cs="Arial"/>
          <w:sz w:val="20"/>
          <w:szCs w:val="20"/>
        </w:rPr>
        <w:t xml:space="preserve">The base case costs </w:t>
      </w:r>
      <w:r w:rsidR="00D61048">
        <w:rPr>
          <w:rFonts w:ascii="Arial" w:hAnsi="Arial" w:cs="Arial"/>
          <w:sz w:val="20"/>
          <w:szCs w:val="20"/>
        </w:rPr>
        <w:t xml:space="preserve">for ROB measures </w:t>
      </w:r>
      <w:r w:rsidRPr="00821EFE">
        <w:rPr>
          <w:rFonts w:ascii="Arial" w:hAnsi="Arial" w:cs="Arial"/>
          <w:sz w:val="20"/>
          <w:szCs w:val="20"/>
        </w:rPr>
        <w:t xml:space="preserve">are split into 40% LED, 10% CFL and 50% </w:t>
      </w:r>
      <w:r w:rsidR="005143B4">
        <w:rPr>
          <w:rFonts w:ascii="Arial" w:hAnsi="Arial" w:cs="Arial"/>
          <w:sz w:val="20"/>
          <w:szCs w:val="20"/>
        </w:rPr>
        <w:t>incandescent</w:t>
      </w:r>
      <w:r w:rsidR="00F00C2A">
        <w:rPr>
          <w:rFonts w:ascii="Arial" w:hAnsi="Arial" w:cs="Arial"/>
          <w:sz w:val="20"/>
          <w:szCs w:val="20"/>
        </w:rPr>
        <w:t xml:space="preserve">/halogen </w:t>
      </w:r>
      <w:r w:rsidRPr="00821EFE">
        <w:rPr>
          <w:rFonts w:ascii="Arial" w:hAnsi="Arial" w:cs="Arial"/>
          <w:sz w:val="20"/>
          <w:szCs w:val="20"/>
        </w:rPr>
        <w:t xml:space="preserve">based on the </w:t>
      </w:r>
      <w:r>
        <w:rPr>
          <w:rFonts w:ascii="Arial" w:hAnsi="Arial" w:cs="Arial"/>
          <w:sz w:val="20"/>
          <w:szCs w:val="20"/>
        </w:rPr>
        <w:t xml:space="preserve">Disposition </w:t>
      </w:r>
      <w:r w:rsidRPr="00821EFE">
        <w:rPr>
          <w:rFonts w:ascii="Arial" w:hAnsi="Arial" w:cs="Arial"/>
          <w:sz w:val="20"/>
          <w:szCs w:val="20"/>
        </w:rPr>
        <w:t>“2018ScrewInLampSavingsMethods-</w:t>
      </w:r>
      <w:r w:rsidR="00643148">
        <w:rPr>
          <w:rFonts w:ascii="Arial" w:hAnsi="Arial" w:cs="Arial"/>
          <w:sz w:val="20"/>
          <w:szCs w:val="20"/>
        </w:rPr>
        <w:t>1March2018</w:t>
      </w:r>
      <w:r w:rsidRPr="00821EFE">
        <w:rPr>
          <w:rFonts w:ascii="Arial" w:hAnsi="Arial" w:cs="Arial"/>
          <w:sz w:val="20"/>
          <w:szCs w:val="20"/>
        </w:rPr>
        <w:t xml:space="preserve">” from </w:t>
      </w:r>
      <w:r>
        <w:rPr>
          <w:rFonts w:ascii="Arial" w:hAnsi="Arial" w:cs="Arial"/>
          <w:sz w:val="20"/>
          <w:szCs w:val="20"/>
        </w:rPr>
        <w:t xml:space="preserve">the California Public Utilities </w:t>
      </w:r>
      <w:r w:rsidRPr="00821EFE">
        <w:rPr>
          <w:rFonts w:ascii="Arial" w:hAnsi="Arial" w:cs="Arial"/>
          <w:sz w:val="20"/>
          <w:szCs w:val="20"/>
        </w:rPr>
        <w:t>Commission</w:t>
      </w:r>
      <w:r w:rsidR="00D61048">
        <w:rPr>
          <w:rFonts w:ascii="Arial" w:hAnsi="Arial" w:cs="Arial"/>
          <w:sz w:val="20"/>
          <w:szCs w:val="20"/>
        </w:rPr>
        <w:t xml:space="preserve">’s </w:t>
      </w:r>
      <w:r w:rsidRPr="00821EFE">
        <w:rPr>
          <w:rFonts w:ascii="Arial" w:hAnsi="Arial" w:cs="Arial"/>
          <w:sz w:val="20"/>
          <w:szCs w:val="20"/>
        </w:rPr>
        <w:t xml:space="preserve">Energy Division, dated </w:t>
      </w:r>
      <w:r w:rsidR="00643148">
        <w:rPr>
          <w:rFonts w:ascii="Arial" w:hAnsi="Arial" w:cs="Arial"/>
          <w:sz w:val="20"/>
          <w:szCs w:val="20"/>
        </w:rPr>
        <w:t>March 1, 2018</w:t>
      </w:r>
      <w:r w:rsidRPr="00821EFE">
        <w:rPr>
          <w:rFonts w:ascii="Arial" w:hAnsi="Arial" w:cs="Arial"/>
          <w:sz w:val="20"/>
          <w:szCs w:val="20"/>
        </w:rPr>
        <w:t>.</w:t>
      </w:r>
      <w:r w:rsidRPr="00DA53B8">
        <w:rPr>
          <w:rFonts w:ascii="Arial" w:hAnsi="Arial" w:cs="Arial"/>
          <w:sz w:val="20"/>
          <w:szCs w:val="20"/>
        </w:rPr>
        <w:t xml:space="preserve"> </w:t>
      </w:r>
    </w:p>
    <w:p w14:paraId="01D71039" w14:textId="16991470" w:rsidR="00023325" w:rsidRDefault="00D61048" w:rsidP="00D61048">
      <w:pPr>
        <w:keepNext/>
        <w:spacing w:line="264" w:lineRule="auto"/>
        <w:rPr>
          <w:rFonts w:ascii="Arial" w:hAnsi="Arial" w:cs="Arial"/>
          <w:sz w:val="20"/>
          <w:szCs w:val="20"/>
        </w:rPr>
      </w:pPr>
      <w:r w:rsidRPr="00D61048">
        <w:rPr>
          <w:rFonts w:ascii="Arial" w:hAnsi="Arial" w:cs="Arial"/>
          <w:sz w:val="20"/>
          <w:szCs w:val="20"/>
        </w:rPr>
        <w:t xml:space="preserve">Direct Install </w:t>
      </w:r>
      <w:r>
        <w:rPr>
          <w:rFonts w:ascii="Arial" w:hAnsi="Arial" w:cs="Arial"/>
          <w:sz w:val="20"/>
          <w:szCs w:val="20"/>
        </w:rPr>
        <w:t>measures</w:t>
      </w:r>
      <w:r w:rsidRPr="00D61048">
        <w:rPr>
          <w:rFonts w:ascii="Arial" w:hAnsi="Arial" w:cs="Arial"/>
          <w:sz w:val="20"/>
          <w:szCs w:val="20"/>
        </w:rPr>
        <w:t xml:space="preserve"> are allowed to report full measure cost</w:t>
      </w:r>
      <w:r>
        <w:rPr>
          <w:rFonts w:ascii="Arial" w:hAnsi="Arial" w:cs="Arial"/>
          <w:sz w:val="20"/>
          <w:szCs w:val="20"/>
        </w:rPr>
        <w:t>; therefore, the base case cost is set to zero.</w:t>
      </w:r>
    </w:p>
    <w:p w14:paraId="1B366AED" w14:textId="77777777" w:rsidR="005910C8" w:rsidRPr="001E37A5" w:rsidRDefault="005910C8" w:rsidP="00A2208D">
      <w:pPr>
        <w:pStyle w:val="Heading2"/>
        <w:keepLines/>
        <w:spacing w:before="120"/>
      </w:pPr>
      <w:bookmarkStart w:id="49" w:name="_Toc512857043"/>
      <w:r w:rsidRPr="001E37A5">
        <w:t>4.2 Measure Case Costs</w:t>
      </w:r>
      <w:bookmarkEnd w:id="49"/>
    </w:p>
    <w:p w14:paraId="10280091" w14:textId="7FBFB057" w:rsidR="00A2208D" w:rsidRDefault="00014B8B" w:rsidP="00D61048">
      <w:pPr>
        <w:pStyle w:val="Heading4"/>
        <w:spacing w:before="0"/>
        <w:rPr>
          <w:rFonts w:ascii="Arial" w:eastAsia="Times New Roman" w:hAnsi="Arial" w:cs="Arial"/>
          <w:b w:val="0"/>
          <w:bCs w:val="0"/>
          <w:i w:val="0"/>
          <w:iCs w:val="0"/>
          <w:sz w:val="20"/>
          <w:szCs w:val="20"/>
        </w:rPr>
      </w:pPr>
      <w:r>
        <w:rPr>
          <w:rFonts w:ascii="Arial" w:eastAsia="Times New Roman" w:hAnsi="Arial" w:cs="Arial"/>
          <w:b w:val="0"/>
          <w:bCs w:val="0"/>
          <w:i w:val="0"/>
          <w:iCs w:val="0"/>
          <w:sz w:val="20"/>
          <w:szCs w:val="20"/>
        </w:rPr>
        <w:t xml:space="preserve">ROB </w:t>
      </w:r>
      <w:r w:rsidR="00A2208D">
        <w:rPr>
          <w:rFonts w:ascii="Arial" w:eastAsia="Times New Roman" w:hAnsi="Arial" w:cs="Arial"/>
          <w:b w:val="0"/>
          <w:bCs w:val="0"/>
          <w:i w:val="0"/>
          <w:iCs w:val="0"/>
          <w:sz w:val="20"/>
          <w:szCs w:val="20"/>
        </w:rPr>
        <w:t>measure</w:t>
      </w:r>
      <w:r w:rsidR="00A2208D" w:rsidRPr="00A2208D">
        <w:rPr>
          <w:rFonts w:ascii="Arial" w:eastAsia="Times New Roman" w:hAnsi="Arial" w:cs="Arial"/>
          <w:b w:val="0"/>
          <w:bCs w:val="0"/>
          <w:i w:val="0"/>
          <w:iCs w:val="0"/>
          <w:sz w:val="20"/>
          <w:szCs w:val="20"/>
        </w:rPr>
        <w:t xml:space="preserve"> case costs are web scraped. See “</w:t>
      </w:r>
      <w:r w:rsidR="000C2231" w:rsidRPr="000C2231">
        <w:rPr>
          <w:rFonts w:ascii="Arial" w:eastAsia="Times New Roman" w:hAnsi="Arial" w:cs="Arial"/>
          <w:b w:val="0"/>
          <w:bCs w:val="0"/>
          <w:i w:val="0"/>
          <w:iCs w:val="0"/>
          <w:sz w:val="20"/>
          <w:szCs w:val="20"/>
        </w:rPr>
        <w:t>PGECOLTG177 R6 - R-BRCostSummary</w:t>
      </w:r>
      <w:r w:rsidR="00A2208D" w:rsidRPr="00A2208D">
        <w:rPr>
          <w:rFonts w:ascii="Arial" w:eastAsia="Times New Roman" w:hAnsi="Arial" w:cs="Arial"/>
          <w:b w:val="0"/>
          <w:bCs w:val="0"/>
          <w:i w:val="0"/>
          <w:iCs w:val="0"/>
          <w:sz w:val="20"/>
          <w:szCs w:val="20"/>
        </w:rPr>
        <w:t>.xls</w:t>
      </w:r>
      <w:r w:rsidR="000C2231">
        <w:rPr>
          <w:rFonts w:ascii="Arial" w:eastAsia="Times New Roman" w:hAnsi="Arial" w:cs="Arial"/>
          <w:b w:val="0"/>
          <w:bCs w:val="0"/>
          <w:i w:val="0"/>
          <w:iCs w:val="0"/>
          <w:sz w:val="20"/>
          <w:szCs w:val="20"/>
        </w:rPr>
        <w:t>x</w:t>
      </w:r>
      <w:r w:rsidR="00A2208D" w:rsidRPr="00A2208D">
        <w:rPr>
          <w:rFonts w:ascii="Arial" w:eastAsia="Times New Roman" w:hAnsi="Arial" w:cs="Arial"/>
          <w:b w:val="0"/>
          <w:bCs w:val="0"/>
          <w:i w:val="0"/>
          <w:iCs w:val="0"/>
          <w:sz w:val="20"/>
          <w:szCs w:val="20"/>
        </w:rPr>
        <w:t>” for more details on the cost data and analysis.</w:t>
      </w:r>
    </w:p>
    <w:p w14:paraId="13A4BE0C" w14:textId="41F0BB39" w:rsidR="00014B8B" w:rsidRPr="00014B8B" w:rsidRDefault="00014B8B" w:rsidP="00014B8B">
      <w:pPr>
        <w:rPr>
          <w:rFonts w:ascii="Arial" w:hAnsi="Arial" w:cs="Arial"/>
          <w:sz w:val="20"/>
          <w:szCs w:val="20"/>
        </w:rPr>
      </w:pPr>
      <w:r>
        <w:rPr>
          <w:rFonts w:ascii="Arial" w:hAnsi="Arial" w:cs="Arial"/>
          <w:sz w:val="20"/>
          <w:szCs w:val="20"/>
        </w:rPr>
        <w:t>ER</w:t>
      </w:r>
      <w:r w:rsidRPr="00014B8B">
        <w:rPr>
          <w:rFonts w:ascii="Arial" w:hAnsi="Arial" w:cs="Arial"/>
          <w:sz w:val="20"/>
          <w:szCs w:val="20"/>
        </w:rPr>
        <w:t xml:space="preserve"> </w:t>
      </w:r>
      <w:r>
        <w:rPr>
          <w:rFonts w:ascii="Arial" w:hAnsi="Arial" w:cs="Arial"/>
          <w:sz w:val="20"/>
          <w:szCs w:val="20"/>
        </w:rPr>
        <w:t>measure</w:t>
      </w:r>
      <w:r w:rsidRPr="00014B8B">
        <w:rPr>
          <w:rFonts w:ascii="Arial" w:hAnsi="Arial" w:cs="Arial"/>
          <w:sz w:val="20"/>
          <w:szCs w:val="20"/>
        </w:rPr>
        <w:t xml:space="preserve"> case costs</w:t>
      </w:r>
      <w:r>
        <w:rPr>
          <w:rFonts w:ascii="Arial" w:hAnsi="Arial" w:cs="Arial"/>
          <w:sz w:val="20"/>
          <w:szCs w:val="20"/>
        </w:rPr>
        <w:t xml:space="preserve"> are </w:t>
      </w:r>
      <w:r w:rsidRPr="00014B8B">
        <w:rPr>
          <w:rFonts w:ascii="Arial" w:hAnsi="Arial" w:cs="Arial"/>
          <w:sz w:val="20"/>
          <w:szCs w:val="20"/>
        </w:rPr>
        <w:t>placeholder material and labor costs assigned to each measure code in the work paper.</w:t>
      </w:r>
    </w:p>
    <w:p w14:paraId="1B366AEF" w14:textId="77777777" w:rsidR="0030550A" w:rsidRPr="001E37A5" w:rsidRDefault="0030550A" w:rsidP="002D12AC">
      <w:pPr>
        <w:pStyle w:val="Heading2"/>
        <w:keepLines/>
      </w:pPr>
      <w:bookmarkStart w:id="50" w:name="_Toc512857044"/>
      <w:r w:rsidRPr="001E37A5">
        <w:t>4.3 Incremental &amp; Full Measure Costs</w:t>
      </w:r>
      <w:bookmarkEnd w:id="50"/>
    </w:p>
    <w:p w14:paraId="1B366AF0" w14:textId="77777777" w:rsidR="001E37A5" w:rsidRPr="00992284" w:rsidRDefault="001E37A5" w:rsidP="001E37A5">
      <w:pPr>
        <w:pStyle w:val="Caption"/>
        <w:keepNext/>
        <w:jc w:val="center"/>
      </w:pPr>
      <w:bookmarkStart w:id="51" w:name="_Toc512857060"/>
      <w:r w:rsidRPr="00992284">
        <w:t xml:space="preserve">Table </w:t>
      </w:r>
      <w:fldSimple w:instr=" SEQ Table \* ARABIC ">
        <w:r w:rsidR="00510611">
          <w:rPr>
            <w:noProof/>
          </w:rPr>
          <w:t>13</w:t>
        </w:r>
      </w:fldSimple>
      <w:r w:rsidRPr="00992284">
        <w:t xml:space="preserve"> Full and Incremental Measure Cost Equations</w:t>
      </w:r>
      <w:bookmarkEnd w:id="51"/>
    </w:p>
    <w:tbl>
      <w:tblPr>
        <w:tblStyle w:val="TableGrid1"/>
        <w:tblW w:w="5000" w:type="pct"/>
        <w:tblLook w:val="01E0" w:firstRow="1" w:lastRow="1" w:firstColumn="1" w:lastColumn="1" w:noHBand="0" w:noVBand="0"/>
      </w:tblPr>
      <w:tblGrid>
        <w:gridCol w:w="1310"/>
        <w:gridCol w:w="2817"/>
        <w:gridCol w:w="2724"/>
        <w:gridCol w:w="2905"/>
      </w:tblGrid>
      <w:tr w:rsidR="001E37A5" w:rsidRPr="001E37A5" w14:paraId="1B366AF4" w14:textId="77777777" w:rsidTr="009A2B53">
        <w:tc>
          <w:tcPr>
            <w:tcW w:w="671" w:type="pct"/>
            <w:vMerge w:val="restart"/>
            <w:shd w:val="clear" w:color="auto" w:fill="D9D9D9" w:themeFill="background1" w:themeFillShade="D9"/>
          </w:tcPr>
          <w:p w14:paraId="1B366AF1" w14:textId="77777777" w:rsidR="001E37A5" w:rsidRPr="001E37A5" w:rsidRDefault="001E37A5" w:rsidP="009A2B53">
            <w:pPr>
              <w:rPr>
                <w:rFonts w:ascii="Arial" w:hAnsi="Arial" w:cs="Arial"/>
                <w:b/>
                <w:sz w:val="20"/>
                <w:szCs w:val="20"/>
              </w:rPr>
            </w:pPr>
            <w:r w:rsidRPr="001E37A5">
              <w:rPr>
                <w:rFonts w:ascii="Arial" w:hAnsi="Arial" w:cs="Arial"/>
                <w:b/>
                <w:sz w:val="20"/>
                <w:szCs w:val="20"/>
              </w:rPr>
              <w:t>Installation Type</w:t>
            </w:r>
          </w:p>
        </w:tc>
        <w:tc>
          <w:tcPr>
            <w:tcW w:w="1443" w:type="pct"/>
            <w:vMerge w:val="restart"/>
            <w:shd w:val="clear" w:color="auto" w:fill="D9D9D9" w:themeFill="background1" w:themeFillShade="D9"/>
          </w:tcPr>
          <w:p w14:paraId="1B366AF2" w14:textId="77777777" w:rsidR="001E37A5" w:rsidRPr="001E37A5" w:rsidRDefault="001E37A5" w:rsidP="009A2B53">
            <w:pPr>
              <w:rPr>
                <w:rFonts w:ascii="Arial" w:hAnsi="Arial" w:cs="Arial"/>
                <w:b/>
                <w:sz w:val="20"/>
                <w:szCs w:val="20"/>
              </w:rPr>
            </w:pPr>
            <w:r w:rsidRPr="001E37A5">
              <w:rPr>
                <w:rFonts w:ascii="Arial" w:hAnsi="Arial" w:cs="Arial"/>
                <w:b/>
                <w:sz w:val="20"/>
                <w:szCs w:val="20"/>
              </w:rPr>
              <w:t>Incremental Measure Cost</w:t>
            </w:r>
          </w:p>
        </w:tc>
        <w:tc>
          <w:tcPr>
            <w:tcW w:w="2885" w:type="pct"/>
            <w:gridSpan w:val="2"/>
            <w:shd w:val="clear" w:color="auto" w:fill="D9D9D9" w:themeFill="background1" w:themeFillShade="D9"/>
          </w:tcPr>
          <w:p w14:paraId="1B366AF3" w14:textId="77777777" w:rsidR="001E37A5" w:rsidRPr="001E37A5" w:rsidRDefault="001E37A5" w:rsidP="009A2B53">
            <w:pPr>
              <w:rPr>
                <w:rFonts w:ascii="Arial" w:hAnsi="Arial" w:cs="Arial"/>
                <w:b/>
                <w:sz w:val="20"/>
                <w:szCs w:val="20"/>
              </w:rPr>
            </w:pPr>
            <w:r w:rsidRPr="001E37A5">
              <w:rPr>
                <w:rFonts w:ascii="Arial" w:hAnsi="Arial" w:cs="Arial"/>
                <w:b/>
                <w:sz w:val="20"/>
                <w:szCs w:val="20"/>
              </w:rPr>
              <w:t>Full Measure Cost</w:t>
            </w:r>
          </w:p>
        </w:tc>
      </w:tr>
      <w:tr w:rsidR="001E37A5" w:rsidRPr="001E37A5" w14:paraId="1B366AF9" w14:textId="77777777" w:rsidTr="009A2B53">
        <w:tc>
          <w:tcPr>
            <w:tcW w:w="671" w:type="pct"/>
            <w:vMerge/>
            <w:shd w:val="clear" w:color="auto" w:fill="D9D9D9" w:themeFill="background1" w:themeFillShade="D9"/>
          </w:tcPr>
          <w:p w14:paraId="1B366AF5" w14:textId="77777777" w:rsidR="001E37A5" w:rsidRPr="001E37A5" w:rsidRDefault="001E37A5" w:rsidP="009A2B53">
            <w:pPr>
              <w:rPr>
                <w:rFonts w:ascii="Arial" w:hAnsi="Arial" w:cs="Arial"/>
                <w:b/>
                <w:sz w:val="20"/>
                <w:szCs w:val="20"/>
              </w:rPr>
            </w:pPr>
          </w:p>
        </w:tc>
        <w:tc>
          <w:tcPr>
            <w:tcW w:w="1443" w:type="pct"/>
            <w:vMerge/>
            <w:shd w:val="clear" w:color="auto" w:fill="D9D9D9" w:themeFill="background1" w:themeFillShade="D9"/>
          </w:tcPr>
          <w:p w14:paraId="1B366AF6" w14:textId="77777777" w:rsidR="001E37A5" w:rsidRPr="001E37A5" w:rsidRDefault="001E37A5" w:rsidP="009A2B53">
            <w:pPr>
              <w:rPr>
                <w:rFonts w:ascii="Arial" w:hAnsi="Arial" w:cs="Arial"/>
                <w:b/>
                <w:sz w:val="20"/>
                <w:szCs w:val="20"/>
              </w:rPr>
            </w:pPr>
          </w:p>
        </w:tc>
        <w:tc>
          <w:tcPr>
            <w:tcW w:w="1396" w:type="pct"/>
            <w:shd w:val="clear" w:color="auto" w:fill="F2F2F2" w:themeFill="background1" w:themeFillShade="F2"/>
          </w:tcPr>
          <w:p w14:paraId="1B366AF7" w14:textId="77777777" w:rsidR="001E37A5" w:rsidRPr="001E37A5" w:rsidRDefault="001E37A5" w:rsidP="009A2B53">
            <w:pPr>
              <w:rPr>
                <w:rFonts w:ascii="Arial" w:hAnsi="Arial" w:cs="Arial"/>
                <w:b/>
                <w:sz w:val="20"/>
                <w:szCs w:val="20"/>
              </w:rPr>
            </w:pPr>
            <w:r w:rsidRPr="001E37A5">
              <w:rPr>
                <w:rFonts w:ascii="Arial" w:hAnsi="Arial" w:cs="Arial"/>
                <w:b/>
                <w:sz w:val="20"/>
                <w:szCs w:val="20"/>
              </w:rPr>
              <w:t>1</w:t>
            </w:r>
            <w:r w:rsidRPr="001E37A5">
              <w:rPr>
                <w:rFonts w:ascii="Arial" w:hAnsi="Arial" w:cs="Arial"/>
                <w:b/>
                <w:sz w:val="20"/>
                <w:szCs w:val="20"/>
                <w:vertAlign w:val="superscript"/>
              </w:rPr>
              <w:t>st</w:t>
            </w:r>
            <w:r w:rsidRPr="001E37A5">
              <w:rPr>
                <w:rFonts w:ascii="Arial" w:hAnsi="Arial" w:cs="Arial"/>
                <w:b/>
                <w:sz w:val="20"/>
                <w:szCs w:val="20"/>
              </w:rPr>
              <w:t xml:space="preserve"> Baseline</w:t>
            </w:r>
          </w:p>
        </w:tc>
        <w:tc>
          <w:tcPr>
            <w:tcW w:w="1489" w:type="pct"/>
            <w:shd w:val="clear" w:color="auto" w:fill="F2F2F2" w:themeFill="background1" w:themeFillShade="F2"/>
          </w:tcPr>
          <w:p w14:paraId="1B366AF8" w14:textId="77777777" w:rsidR="001E37A5" w:rsidRPr="001E37A5" w:rsidRDefault="001E37A5" w:rsidP="009A2B53">
            <w:pPr>
              <w:rPr>
                <w:rFonts w:ascii="Arial" w:hAnsi="Arial" w:cs="Arial"/>
                <w:b/>
                <w:sz w:val="20"/>
                <w:szCs w:val="20"/>
              </w:rPr>
            </w:pPr>
            <w:r w:rsidRPr="001E37A5">
              <w:rPr>
                <w:rFonts w:ascii="Arial" w:hAnsi="Arial" w:cs="Arial"/>
                <w:b/>
                <w:sz w:val="20"/>
                <w:szCs w:val="20"/>
              </w:rPr>
              <w:t>2</w:t>
            </w:r>
            <w:r w:rsidRPr="001E37A5">
              <w:rPr>
                <w:rFonts w:ascii="Arial" w:hAnsi="Arial" w:cs="Arial"/>
                <w:b/>
                <w:sz w:val="20"/>
                <w:szCs w:val="20"/>
                <w:vertAlign w:val="superscript"/>
              </w:rPr>
              <w:t>nd</w:t>
            </w:r>
            <w:r w:rsidRPr="001E37A5">
              <w:rPr>
                <w:rFonts w:ascii="Arial" w:hAnsi="Arial" w:cs="Arial"/>
                <w:b/>
                <w:sz w:val="20"/>
                <w:szCs w:val="20"/>
              </w:rPr>
              <w:t xml:space="preserve"> Baseline</w:t>
            </w:r>
          </w:p>
        </w:tc>
      </w:tr>
      <w:tr w:rsidR="001E37A5" w:rsidRPr="001E37A5" w14:paraId="1B366AFE" w14:textId="77777777" w:rsidTr="00B2344B">
        <w:trPr>
          <w:trHeight w:val="503"/>
        </w:trPr>
        <w:tc>
          <w:tcPr>
            <w:tcW w:w="671" w:type="pct"/>
          </w:tcPr>
          <w:p w14:paraId="1B366AFA" w14:textId="73516A1A" w:rsidR="001E37A5" w:rsidRPr="001E37A5" w:rsidRDefault="00B2344B" w:rsidP="003F41EF">
            <w:pPr>
              <w:spacing w:before="40"/>
              <w:rPr>
                <w:rFonts w:ascii="Arial" w:hAnsi="Arial" w:cs="Arial"/>
                <w:sz w:val="20"/>
                <w:szCs w:val="20"/>
              </w:rPr>
            </w:pPr>
            <w:r>
              <w:rPr>
                <w:rFonts w:ascii="Arial" w:hAnsi="Arial" w:cs="Arial"/>
                <w:sz w:val="20"/>
                <w:szCs w:val="20"/>
              </w:rPr>
              <w:t>ROB</w:t>
            </w:r>
          </w:p>
        </w:tc>
        <w:tc>
          <w:tcPr>
            <w:tcW w:w="1443" w:type="pct"/>
          </w:tcPr>
          <w:p w14:paraId="1B366AFB"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 – (BEC + BLC)</w:t>
            </w:r>
          </w:p>
        </w:tc>
        <w:tc>
          <w:tcPr>
            <w:tcW w:w="1396" w:type="pct"/>
          </w:tcPr>
          <w:p w14:paraId="1B366AFC"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 – (BEC + BLC)</w:t>
            </w:r>
          </w:p>
        </w:tc>
        <w:tc>
          <w:tcPr>
            <w:tcW w:w="1489" w:type="pct"/>
          </w:tcPr>
          <w:p w14:paraId="1B366AFD"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N/A</w:t>
            </w:r>
          </w:p>
        </w:tc>
      </w:tr>
      <w:tr w:rsidR="001E37A5" w:rsidRPr="001E37A5" w14:paraId="1B366B08" w14:textId="77777777" w:rsidTr="009A2B53">
        <w:tc>
          <w:tcPr>
            <w:tcW w:w="671" w:type="pct"/>
          </w:tcPr>
          <w:p w14:paraId="1B366B04" w14:textId="72C3641E" w:rsidR="001E37A5" w:rsidRPr="001E37A5" w:rsidRDefault="001E37A5" w:rsidP="003F41EF">
            <w:pPr>
              <w:spacing w:before="40"/>
              <w:rPr>
                <w:rFonts w:ascii="Arial" w:hAnsi="Arial" w:cs="Arial"/>
                <w:sz w:val="20"/>
                <w:szCs w:val="20"/>
              </w:rPr>
            </w:pPr>
            <w:r w:rsidRPr="001E37A5">
              <w:rPr>
                <w:rFonts w:ascii="Arial" w:hAnsi="Arial" w:cs="Arial"/>
                <w:sz w:val="20"/>
                <w:szCs w:val="20"/>
              </w:rPr>
              <w:t>ER</w:t>
            </w:r>
          </w:p>
        </w:tc>
        <w:tc>
          <w:tcPr>
            <w:tcW w:w="1443" w:type="pct"/>
          </w:tcPr>
          <w:p w14:paraId="1B366B05"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 – (BEC + BLC)</w:t>
            </w:r>
          </w:p>
        </w:tc>
        <w:tc>
          <w:tcPr>
            <w:tcW w:w="1396" w:type="pct"/>
          </w:tcPr>
          <w:p w14:paraId="1B366B06"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w:t>
            </w:r>
          </w:p>
        </w:tc>
        <w:tc>
          <w:tcPr>
            <w:tcW w:w="1489" w:type="pct"/>
          </w:tcPr>
          <w:p w14:paraId="1B366B07"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 – (BEC + BLC)</w:t>
            </w:r>
          </w:p>
        </w:tc>
      </w:tr>
      <w:tr w:rsidR="001E37A5" w:rsidRPr="001E37A5" w14:paraId="1B366B0D" w14:textId="77777777" w:rsidTr="009A2B53">
        <w:tc>
          <w:tcPr>
            <w:tcW w:w="671" w:type="pct"/>
          </w:tcPr>
          <w:p w14:paraId="1B366B09"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REF</w:t>
            </w:r>
          </w:p>
        </w:tc>
        <w:tc>
          <w:tcPr>
            <w:tcW w:w="1443" w:type="pct"/>
          </w:tcPr>
          <w:p w14:paraId="1B366B0A"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 – (BEC + BLC)</w:t>
            </w:r>
          </w:p>
        </w:tc>
        <w:tc>
          <w:tcPr>
            <w:tcW w:w="1396" w:type="pct"/>
          </w:tcPr>
          <w:p w14:paraId="1B366B0B"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w:t>
            </w:r>
          </w:p>
        </w:tc>
        <w:tc>
          <w:tcPr>
            <w:tcW w:w="1489" w:type="pct"/>
          </w:tcPr>
          <w:p w14:paraId="1B366B0C"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N/A</w:t>
            </w:r>
          </w:p>
        </w:tc>
      </w:tr>
      <w:tr w:rsidR="001E37A5" w:rsidRPr="001E37A5" w14:paraId="1B366B12" w14:textId="77777777" w:rsidTr="003F41EF">
        <w:trPr>
          <w:trHeight w:val="323"/>
        </w:trPr>
        <w:tc>
          <w:tcPr>
            <w:tcW w:w="671" w:type="pct"/>
          </w:tcPr>
          <w:p w14:paraId="1B366B0E"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REA</w:t>
            </w:r>
          </w:p>
        </w:tc>
        <w:tc>
          <w:tcPr>
            <w:tcW w:w="1443" w:type="pct"/>
          </w:tcPr>
          <w:p w14:paraId="1B366B0F"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w:t>
            </w:r>
          </w:p>
        </w:tc>
        <w:tc>
          <w:tcPr>
            <w:tcW w:w="1396" w:type="pct"/>
          </w:tcPr>
          <w:p w14:paraId="1B366B10"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MEC + MLC</w:t>
            </w:r>
          </w:p>
        </w:tc>
        <w:tc>
          <w:tcPr>
            <w:tcW w:w="1489" w:type="pct"/>
          </w:tcPr>
          <w:p w14:paraId="1B366B11" w14:textId="77777777" w:rsidR="001E37A5" w:rsidRPr="001E37A5" w:rsidRDefault="001E37A5" w:rsidP="003F41EF">
            <w:pPr>
              <w:spacing w:before="40"/>
              <w:rPr>
                <w:rFonts w:ascii="Arial" w:hAnsi="Arial" w:cs="Arial"/>
                <w:sz w:val="20"/>
                <w:szCs w:val="20"/>
              </w:rPr>
            </w:pPr>
            <w:r w:rsidRPr="001E37A5">
              <w:rPr>
                <w:rFonts w:ascii="Arial" w:hAnsi="Arial" w:cs="Arial"/>
                <w:sz w:val="20"/>
                <w:szCs w:val="20"/>
              </w:rPr>
              <w:t>N/A</w:t>
            </w:r>
          </w:p>
        </w:tc>
      </w:tr>
    </w:tbl>
    <w:p w14:paraId="1B366B13" w14:textId="77777777" w:rsidR="005B1679" w:rsidRPr="005B1679" w:rsidRDefault="005B1679" w:rsidP="005B1679">
      <w:pPr>
        <w:rPr>
          <w:rFonts w:ascii="Arial" w:hAnsi="Arial" w:cs="Arial"/>
          <w:sz w:val="20"/>
          <w:szCs w:val="20"/>
        </w:rPr>
      </w:pPr>
      <w:r w:rsidRPr="005B1679">
        <w:rPr>
          <w:rFonts w:ascii="Arial" w:hAnsi="Arial" w:cs="Arial"/>
          <w:sz w:val="20"/>
          <w:szCs w:val="20"/>
        </w:rPr>
        <w:t>MEC = Measure Equipment Cost; MLC = Measure Labor Cost</w:t>
      </w:r>
    </w:p>
    <w:p w14:paraId="1B366B14" w14:textId="77777777" w:rsidR="00E26BAD" w:rsidRPr="001E37A5" w:rsidRDefault="005B1679" w:rsidP="005B1679">
      <w:r w:rsidRPr="005B1679">
        <w:rPr>
          <w:rFonts w:ascii="Arial" w:hAnsi="Arial" w:cs="Arial"/>
          <w:sz w:val="20"/>
          <w:szCs w:val="20"/>
        </w:rPr>
        <w:t>BEC = Base Case Equipment Cost; BLC = Base Case Labor Cost</w:t>
      </w:r>
    </w:p>
    <w:p w14:paraId="1B366B15" w14:textId="77777777" w:rsidR="00E26BAD" w:rsidRPr="001E37A5" w:rsidRDefault="00E26BAD" w:rsidP="001D06A0">
      <w:pPr>
        <w:pStyle w:val="Heading3"/>
      </w:pPr>
      <w:bookmarkStart w:id="52" w:name="_Toc383697822"/>
      <w:bookmarkStart w:id="53" w:name="_Toc512857045"/>
      <w:r w:rsidRPr="001E37A5">
        <w:t>4.3.1 Full Measure Cost</w:t>
      </w:r>
      <w:bookmarkEnd w:id="52"/>
      <w:bookmarkEnd w:id="53"/>
      <w:r w:rsidRPr="001E37A5">
        <w:t xml:space="preserve"> </w:t>
      </w:r>
    </w:p>
    <w:p w14:paraId="1B366B16" w14:textId="77777777" w:rsidR="001E37A5" w:rsidRPr="001E37A5" w:rsidRDefault="001E37A5" w:rsidP="0057773C">
      <w:pPr>
        <w:spacing w:line="264" w:lineRule="auto"/>
        <w:rPr>
          <w:rFonts w:ascii="Arial" w:hAnsi="Arial" w:cs="Arial"/>
          <w:sz w:val="20"/>
          <w:szCs w:val="20"/>
        </w:rPr>
      </w:pPr>
      <w:bookmarkStart w:id="54" w:name="_Toc324318376"/>
      <w:bookmarkStart w:id="55" w:name="_Toc324340505"/>
      <w:bookmarkStart w:id="56" w:name="_Toc381279689"/>
      <w:bookmarkStart w:id="57" w:name="_Toc383697823"/>
      <w:r w:rsidRPr="001E37A5">
        <w:rPr>
          <w:rFonts w:ascii="Arial" w:hAnsi="Arial" w:cs="Arial"/>
          <w:sz w:val="20"/>
          <w:szCs w:val="20"/>
        </w:rPr>
        <w:t>Full Measure Cost is the cost to install an energy efficient measure per the CPUC calculators. This definition implies a different meaning depending on the Measure Application type.</w:t>
      </w:r>
    </w:p>
    <w:p w14:paraId="1B366B18" w14:textId="36077CAC" w:rsidR="001E37A5" w:rsidRPr="001E37A5" w:rsidRDefault="001E37A5" w:rsidP="0057773C">
      <w:pPr>
        <w:spacing w:before="60" w:line="264" w:lineRule="auto"/>
        <w:rPr>
          <w:rFonts w:ascii="Arial" w:hAnsi="Arial" w:cs="Arial"/>
          <w:sz w:val="20"/>
          <w:szCs w:val="20"/>
        </w:rPr>
      </w:pPr>
      <w:r w:rsidRPr="001E37A5">
        <w:rPr>
          <w:rFonts w:ascii="Arial" w:hAnsi="Arial" w:cs="Arial"/>
          <w:sz w:val="20"/>
          <w:szCs w:val="20"/>
        </w:rPr>
        <w:t xml:space="preserve">The Full measure cost is used for Direct Install Measures. </w:t>
      </w:r>
      <w:r w:rsidR="0057773C">
        <w:rPr>
          <w:rFonts w:ascii="Arial" w:hAnsi="Arial" w:cs="Arial"/>
          <w:sz w:val="20"/>
          <w:szCs w:val="20"/>
        </w:rPr>
        <w:t>A</w:t>
      </w:r>
      <w:r w:rsidR="0057773C" w:rsidRPr="0057773C">
        <w:rPr>
          <w:rFonts w:ascii="Arial" w:hAnsi="Arial" w:cs="Arial"/>
          <w:sz w:val="20"/>
          <w:szCs w:val="20"/>
        </w:rPr>
        <w:t xml:space="preserve">ctual costs are reported based on post-installation project invoices; however, placeholder material and labor costs are being assigned to each measure code in the work paper. </w:t>
      </w:r>
      <w:r w:rsidR="0057773C" w:rsidRPr="001E37A5">
        <w:rPr>
          <w:rFonts w:ascii="Arial" w:hAnsi="Arial" w:cs="Arial"/>
          <w:sz w:val="20"/>
          <w:szCs w:val="20"/>
        </w:rPr>
        <w:t xml:space="preserve"> </w:t>
      </w:r>
      <w:r w:rsidRPr="001E37A5">
        <w:rPr>
          <w:rFonts w:ascii="Arial" w:hAnsi="Arial" w:cs="Arial"/>
          <w:sz w:val="20"/>
          <w:szCs w:val="20"/>
        </w:rPr>
        <w:t>For full measure costs please refer to the LED lamp cost spreadsheet.</w:t>
      </w:r>
      <w:r w:rsidR="00EB27C1">
        <w:rPr>
          <w:rFonts w:ascii="Arial" w:hAnsi="Arial" w:cs="Arial"/>
          <w:sz w:val="20"/>
          <w:szCs w:val="20"/>
        </w:rPr>
        <w:t xml:space="preserve"> DI ER projects are not subject to </w:t>
      </w:r>
      <w:r w:rsidR="00040C5C">
        <w:rPr>
          <w:rFonts w:ascii="Arial" w:hAnsi="Arial" w:cs="Arial"/>
          <w:sz w:val="20"/>
          <w:szCs w:val="20"/>
        </w:rPr>
        <w:t>the requirement of ER cost</w:t>
      </w:r>
      <w:r w:rsidR="00014B8B">
        <w:rPr>
          <w:rFonts w:ascii="Arial" w:hAnsi="Arial" w:cs="Arial"/>
          <w:sz w:val="20"/>
          <w:szCs w:val="20"/>
        </w:rPr>
        <w:t xml:space="preserve"> calculation</w:t>
      </w:r>
      <w:r w:rsidR="00040C5C">
        <w:rPr>
          <w:rFonts w:ascii="Arial" w:hAnsi="Arial" w:cs="Arial"/>
          <w:sz w:val="20"/>
          <w:szCs w:val="20"/>
        </w:rPr>
        <w:t>.</w:t>
      </w:r>
      <w:r w:rsidR="00EB27C1">
        <w:rPr>
          <w:rFonts w:ascii="Arial" w:hAnsi="Arial" w:cs="Arial"/>
          <w:sz w:val="20"/>
          <w:szCs w:val="20"/>
        </w:rPr>
        <w:t xml:space="preserve"> </w:t>
      </w:r>
    </w:p>
    <w:p w14:paraId="1B366B19" w14:textId="77777777" w:rsidR="00E26BAD" w:rsidRPr="001E37A5" w:rsidRDefault="00E26BAD" w:rsidP="001D06A0">
      <w:pPr>
        <w:pStyle w:val="Heading3"/>
      </w:pPr>
      <w:bookmarkStart w:id="58" w:name="_Toc512857046"/>
      <w:r w:rsidRPr="001E37A5">
        <w:t>4.3.2 Incremental Measure Costs</w:t>
      </w:r>
      <w:bookmarkEnd w:id="54"/>
      <w:bookmarkEnd w:id="55"/>
      <w:bookmarkEnd w:id="56"/>
      <w:bookmarkEnd w:id="57"/>
      <w:bookmarkEnd w:id="58"/>
    </w:p>
    <w:p w14:paraId="1B366B1A" w14:textId="7C31E0F3" w:rsidR="001E37A5" w:rsidRDefault="001E37A5" w:rsidP="00040C5C">
      <w:pPr>
        <w:spacing w:line="264" w:lineRule="auto"/>
        <w:rPr>
          <w:rFonts w:ascii="Arial" w:hAnsi="Arial" w:cs="Arial"/>
          <w:sz w:val="20"/>
          <w:szCs w:val="20"/>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w:t>
      </w:r>
      <w:r w:rsidR="004D23FD" w:rsidRPr="004D23FD">
        <w:rPr>
          <w:rFonts w:ascii="Arial" w:hAnsi="Arial" w:cs="Arial"/>
          <w:sz w:val="20"/>
          <w:szCs w:val="20"/>
        </w:rPr>
        <w:t>RBR-Cost-2018.xls</w:t>
      </w:r>
      <w:r w:rsidR="004D23FD">
        <w:rPr>
          <w:rFonts w:ascii="Arial" w:hAnsi="Arial" w:cs="Arial"/>
          <w:sz w:val="20"/>
          <w:szCs w:val="20"/>
        </w:rPr>
        <w:t xml:space="preserve"> </w:t>
      </w:r>
      <w:r>
        <w:rPr>
          <w:rFonts w:ascii="Arial" w:hAnsi="Arial" w:cs="Arial"/>
          <w:sz w:val="20"/>
          <w:szCs w:val="20"/>
        </w:rPr>
        <w:t>spreadsheet.</w:t>
      </w:r>
    </w:p>
    <w:p w14:paraId="1B366B1C" w14:textId="77777777" w:rsidR="009168A1" w:rsidRPr="000966CC" w:rsidRDefault="00DE0602" w:rsidP="00DE0602">
      <w:pPr>
        <w:pStyle w:val="Heading1"/>
      </w:pPr>
      <w:bookmarkStart w:id="59" w:name="_Toc512857047"/>
      <w:r>
        <w:lastRenderedPageBreak/>
        <w:t>R</w:t>
      </w:r>
      <w:r w:rsidR="000966CC">
        <w:t>eferences</w:t>
      </w:r>
      <w:bookmarkEnd w:id="59"/>
    </w:p>
    <w:sectPr w:rsidR="009168A1" w:rsidRPr="000966CC" w:rsidSect="00010D4A">
      <w:endnotePr>
        <w:numFmt w:val="decimal"/>
      </w:endnotePr>
      <w:pgSz w:w="12240" w:h="15840"/>
      <w:pgMar w:top="1440" w:right="126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B4D80" w14:textId="77777777" w:rsidR="0026029C" w:rsidRDefault="0026029C">
      <w:r>
        <w:separator/>
      </w:r>
    </w:p>
  </w:endnote>
  <w:endnote w:type="continuationSeparator" w:id="0">
    <w:p w14:paraId="74641A28" w14:textId="77777777" w:rsidR="0026029C" w:rsidRDefault="0026029C">
      <w:r>
        <w:continuationSeparator/>
      </w:r>
    </w:p>
  </w:endnote>
  <w:endnote w:id="1">
    <w:p w14:paraId="61478F52" w14:textId="1800F038" w:rsidR="0026029C" w:rsidRDefault="0026029C" w:rsidP="00B877F2">
      <w:pPr>
        <w:pStyle w:val="CommentText"/>
      </w:pPr>
      <w:r>
        <w:rPr>
          <w:rStyle w:val="EndnoteReference"/>
        </w:rPr>
        <w:endnoteRef/>
      </w:r>
      <w:r w:rsidRPr="00C047D4">
        <w:t xml:space="preserve"> CEC Spec v3.</w:t>
      </w:r>
      <w:r>
        <w:t>1</w:t>
      </w:r>
      <w:r w:rsidRPr="00C047D4">
        <w:t xml:space="preserve">: </w:t>
      </w:r>
      <w:hyperlink r:id="rId1" w:history="1">
        <w:r w:rsidRPr="006F2798">
          <w:rPr>
            <w:rStyle w:val="Hyperlink"/>
          </w:rPr>
          <w:t>http://www.energy.ca.gov/business_meetings/2017_packets/2017-12-13/Item_01e_VoluntaryLEDSpec/Voluntary%20CA%20Quality%20Spec%20v.3.1.pdf</w:t>
        </w:r>
      </w:hyperlink>
    </w:p>
    <w:p w14:paraId="3B32A872" w14:textId="2D48EA0C" w:rsidR="0026029C" w:rsidRPr="00C047D4" w:rsidRDefault="0026029C" w:rsidP="00F31174">
      <w:pPr>
        <w:rPr>
          <w:sz w:val="20"/>
          <w:szCs w:val="20"/>
        </w:rPr>
      </w:pPr>
    </w:p>
    <w:p w14:paraId="2174E918" w14:textId="77777777" w:rsidR="0026029C" w:rsidRPr="00C047D4" w:rsidRDefault="0026029C" w:rsidP="00F31174">
      <w:pPr>
        <w:pStyle w:val="EndnoteText"/>
      </w:pPr>
    </w:p>
  </w:endnote>
  <w:endnote w:id="2">
    <w:p w14:paraId="1D1F02BB" w14:textId="77777777" w:rsidR="0026029C" w:rsidRPr="00C047D4" w:rsidRDefault="0026029C" w:rsidP="00F31174">
      <w:pPr>
        <w:rPr>
          <w:sz w:val="20"/>
          <w:szCs w:val="20"/>
        </w:rPr>
      </w:pPr>
      <w:r w:rsidRPr="00C047D4">
        <w:rPr>
          <w:rStyle w:val="EndnoteReference"/>
          <w:sz w:val="20"/>
          <w:szCs w:val="20"/>
        </w:rPr>
        <w:endnoteRef/>
      </w:r>
      <w:r w:rsidRPr="00C047D4">
        <w:rPr>
          <w:sz w:val="20"/>
          <w:szCs w:val="20"/>
        </w:rPr>
        <w:t xml:space="preserve"> EnergyStar v2.0: </w:t>
      </w:r>
      <w:hyperlink r:id="rId2" w:history="1">
        <w:r w:rsidRPr="00C047D4">
          <w:rPr>
            <w:rStyle w:val="Hyperlink"/>
            <w:sz w:val="20"/>
            <w:szCs w:val="20"/>
          </w:rPr>
          <w:t>https://www.energystar.gov/sites/default/files/asset/document/ENERGY%20STAR%20Lamps%20V2%20Revised%20Spec.pdf</w:t>
        </w:r>
      </w:hyperlink>
    </w:p>
    <w:p w14:paraId="49B87E93" w14:textId="77777777" w:rsidR="0026029C" w:rsidRPr="00C047D4" w:rsidRDefault="0026029C" w:rsidP="00F31174">
      <w:pPr>
        <w:pStyle w:val="EndnoteText"/>
      </w:pPr>
    </w:p>
  </w:endnote>
  <w:endnote w:id="3">
    <w:p w14:paraId="45DCA18C" w14:textId="77777777" w:rsidR="0026029C" w:rsidRPr="00C047D4" w:rsidRDefault="0026029C" w:rsidP="00F31174">
      <w:pPr>
        <w:pStyle w:val="EndnoteText"/>
      </w:pPr>
      <w:r w:rsidRPr="00C047D4">
        <w:rPr>
          <w:rStyle w:val="EndnoteReference"/>
        </w:rPr>
        <w:endnoteRef/>
      </w:r>
      <w:r w:rsidRPr="00C047D4">
        <w:t xml:space="preserve"> MAEDBS, State-regulated Light Emitting Diode Lamp list, </w:t>
      </w:r>
      <w:hyperlink r:id="rId3" w:history="1">
        <w:r w:rsidRPr="00C047D4">
          <w:rPr>
            <w:rStyle w:val="Hyperlink"/>
          </w:rPr>
          <w:t>https://cacertappliances.energy.ca.gov/Pages/ApplianceSearch.aspx</w:t>
        </w:r>
      </w:hyperlink>
    </w:p>
  </w:endnote>
  <w:endnote w:id="4">
    <w:p w14:paraId="1B366B31" w14:textId="77777777" w:rsidR="0026029C" w:rsidRPr="00C047D4" w:rsidRDefault="0026029C">
      <w:pPr>
        <w:pStyle w:val="EndnoteText"/>
      </w:pPr>
    </w:p>
    <w:p w14:paraId="1B366B32" w14:textId="77777777" w:rsidR="0026029C" w:rsidRPr="00C047D4" w:rsidRDefault="0026029C">
      <w:pPr>
        <w:pStyle w:val="EndnoteText"/>
      </w:pPr>
      <w:r w:rsidRPr="00C047D4">
        <w:rPr>
          <w:rStyle w:val="EndnoteReference"/>
        </w:rPr>
        <w:endnoteRef/>
      </w:r>
      <w:r w:rsidRPr="00C047D4">
        <w:t xml:space="preserve"> CALiPER, Application Summary Report 16: LED BR30 and R30 Lamps, July 2012</w:t>
      </w:r>
    </w:p>
  </w:endnote>
  <w:endnote w:id="5">
    <w:p w14:paraId="3A790B11" w14:textId="77777777" w:rsidR="0026029C" w:rsidRPr="00C047D4" w:rsidRDefault="0026029C" w:rsidP="003D7679">
      <w:pPr>
        <w:pStyle w:val="EndnoteText"/>
      </w:pPr>
    </w:p>
    <w:p w14:paraId="50AA5D72" w14:textId="58D864E5" w:rsidR="0026029C" w:rsidRPr="00C047D4" w:rsidRDefault="0026029C" w:rsidP="003D7679">
      <w:pPr>
        <w:pStyle w:val="EndnoteText"/>
        <w:rPr>
          <w:rStyle w:val="Hyperlink"/>
        </w:rPr>
      </w:pPr>
      <w:r w:rsidRPr="00C047D4">
        <w:rPr>
          <w:rStyle w:val="EndnoteReference"/>
        </w:rPr>
        <w:endnoteRef/>
      </w:r>
      <w:r w:rsidRPr="00C047D4">
        <w:t xml:space="preserve"> </w:t>
      </w:r>
      <w:r w:rsidRPr="00C047D4">
        <w:rPr>
          <w:rStyle w:val="EndnoteReference"/>
          <w:vertAlign w:val="baseline"/>
        </w:rPr>
        <w:t xml:space="preserve">The Support </w:t>
      </w:r>
      <w:r w:rsidRPr="00C047D4">
        <w:t xml:space="preserve">table “Measure Application Type” in the Measure Catalog can be found using the latest version of the  Remote Ex-Ante Database Interface (READI) on the </w:t>
      </w:r>
      <w:r w:rsidRPr="00C047D4">
        <w:rPr>
          <w:bCs/>
          <w:color w:val="333333"/>
          <w:kern w:val="36"/>
          <w:lang w:val="en-GB"/>
        </w:rPr>
        <w:t>Database for Energy-Efficient Resources (DEER) website,</w:t>
      </w:r>
      <w:r w:rsidRPr="00C047D4">
        <w:rPr>
          <w:rStyle w:val="EndnoteReference"/>
          <w:vertAlign w:val="baseline"/>
        </w:rPr>
        <w:t xml:space="preserve"> </w:t>
      </w:r>
      <w:hyperlink r:id="rId4" w:history="1">
        <w:r w:rsidRPr="00C047D4">
          <w:rPr>
            <w:rStyle w:val="Hyperlink"/>
          </w:rPr>
          <w:t>http://www.deeresources.com/</w:t>
        </w:r>
      </w:hyperlink>
    </w:p>
    <w:p w14:paraId="5C877B7D" w14:textId="77777777" w:rsidR="0026029C" w:rsidRPr="00C047D4" w:rsidRDefault="0026029C" w:rsidP="003D7679">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6B29" w14:textId="77777777" w:rsidR="0026029C" w:rsidRDefault="0026029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366B2A" w14:textId="77777777" w:rsidR="0026029C" w:rsidRDefault="00260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6B2B" w14:textId="4420BF3D" w:rsidR="0026029C" w:rsidRPr="00846195" w:rsidRDefault="0026029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E91C8A">
      <w:rPr>
        <w:rStyle w:val="PageNumber"/>
        <w:b/>
        <w:noProof/>
        <w:sz w:val="20"/>
        <w:szCs w:val="20"/>
      </w:rPr>
      <w:t>4</w:t>
    </w:r>
    <w:r w:rsidRPr="00846195">
      <w:rPr>
        <w:rStyle w:val="PageNumber"/>
        <w:b/>
        <w:sz w:val="20"/>
        <w:szCs w:val="20"/>
      </w:rPr>
      <w:fldChar w:fldCharType="end"/>
    </w:r>
  </w:p>
  <w:p w14:paraId="1B366B2C" w14:textId="62223046" w:rsidR="0026029C" w:rsidRPr="001D3DFF" w:rsidRDefault="0026029C" w:rsidP="00D7047A">
    <w:pPr>
      <w:pStyle w:val="Footer"/>
      <w:pBdr>
        <w:top w:val="single" w:sz="4" w:space="1" w:color="auto"/>
      </w:pBdr>
      <w:tabs>
        <w:tab w:val="clear" w:pos="8640"/>
        <w:tab w:val="right" w:pos="9360"/>
      </w:tabs>
      <w:rPr>
        <w:sz w:val="20"/>
        <w:szCs w:val="20"/>
      </w:rPr>
    </w:pPr>
    <w:r w:rsidRPr="001D3DFF">
      <w:rPr>
        <w:noProof/>
        <w:sz w:val="20"/>
        <w:szCs w:val="20"/>
      </w:rPr>
      <w:t>PGECOLTG177 LED</w:t>
    </w:r>
    <w:r>
      <w:rPr>
        <w:noProof/>
        <w:sz w:val="20"/>
        <w:szCs w:val="20"/>
      </w:rPr>
      <w:t xml:space="preserve"> </w:t>
    </w:r>
    <w:r w:rsidRPr="001D3DFF">
      <w:rPr>
        <w:noProof/>
        <w:sz w:val="20"/>
        <w:szCs w:val="20"/>
      </w:rPr>
      <w:t>BR-R-Lamps</w:t>
    </w:r>
    <w:r>
      <w:rPr>
        <w:noProof/>
        <w:sz w:val="20"/>
        <w:szCs w:val="20"/>
      </w:rPr>
      <w:t xml:space="preserve">, </w:t>
    </w:r>
    <w:r w:rsidRPr="001D3DFF">
      <w:rPr>
        <w:noProof/>
        <w:sz w:val="20"/>
        <w:szCs w:val="20"/>
      </w:rPr>
      <w:t>R</w:t>
    </w:r>
    <w:r>
      <w:rPr>
        <w:noProof/>
        <w:sz w:val="20"/>
        <w:szCs w:val="20"/>
      </w:rPr>
      <w:t>evision 6</w:t>
    </w:r>
    <w:r w:rsidRPr="001D3DFF">
      <w:rPr>
        <w:color w:val="FF0000"/>
        <w:sz w:val="20"/>
        <w:szCs w:val="20"/>
      </w:rPr>
      <w:tab/>
    </w:r>
    <w:r>
      <w:rPr>
        <w:sz w:val="20"/>
        <w:szCs w:val="20"/>
      </w:rPr>
      <w:tab/>
      <w:t>4/30/2018</w:t>
    </w:r>
  </w:p>
  <w:p w14:paraId="1B366B2D" w14:textId="77777777" w:rsidR="0026029C" w:rsidRPr="001D3DFF" w:rsidRDefault="0026029C" w:rsidP="00D7047A">
    <w:pPr>
      <w:pStyle w:val="Footer"/>
      <w:rPr>
        <w:sz w:val="20"/>
        <w:szCs w:val="20"/>
      </w:rPr>
    </w:pPr>
    <w:r w:rsidRPr="001D3DFF">
      <w:rPr>
        <w:sz w:val="20"/>
        <w:szCs w:val="20"/>
      </w:rPr>
      <w:t>Pacific Gas &amp; Electric Company</w:t>
    </w:r>
  </w:p>
  <w:p w14:paraId="1B366B2E" w14:textId="5A972465" w:rsidR="0026029C" w:rsidRPr="00893A0F" w:rsidRDefault="0026029C" w:rsidP="00D7047A">
    <w:pPr>
      <w:pStyle w:val="Foo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6B2F" w14:textId="389D83DF" w:rsidR="0026029C" w:rsidRPr="002E0E3F" w:rsidRDefault="0026029C" w:rsidP="00D7047A">
    <w:pPr>
      <w:pStyle w:val="Footer"/>
      <w:jc w:val="right"/>
      <w:rPr>
        <w:rFonts w:ascii="Arial" w:hAnsi="Arial" w:cs="Arial"/>
        <w:b/>
        <w:sz w:val="36"/>
        <w:szCs w:val="36"/>
      </w:rPr>
    </w:pPr>
    <w:r>
      <w:rPr>
        <w:rFonts w:ascii="Arial" w:hAnsi="Arial" w:cs="Arial"/>
        <w:b/>
        <w:sz w:val="36"/>
        <w:szCs w:val="36"/>
      </w:rPr>
      <w:t>4/30/2018</w:t>
    </w:r>
  </w:p>
  <w:p w14:paraId="1B366B30" w14:textId="77777777" w:rsidR="0026029C" w:rsidRDefault="00260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5A288" w14:textId="77777777" w:rsidR="0026029C" w:rsidRDefault="0026029C">
      <w:r>
        <w:separator/>
      </w:r>
    </w:p>
  </w:footnote>
  <w:footnote w:type="continuationSeparator" w:id="0">
    <w:p w14:paraId="29C86B35" w14:textId="77777777" w:rsidR="0026029C" w:rsidRDefault="00260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6B27" w14:textId="77777777" w:rsidR="0026029C" w:rsidRDefault="0026029C" w:rsidP="001A573F">
    <w:pPr>
      <w:pStyle w:val="Header"/>
      <w:jc w:val="right"/>
    </w:pPr>
  </w:p>
  <w:p w14:paraId="1B366B28" w14:textId="77777777" w:rsidR="0026029C" w:rsidRDefault="0026029C" w:rsidP="001A57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03968"/>
    <w:multiLevelType w:val="hybridMultilevel"/>
    <w:tmpl w:val="D98419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92023D"/>
    <w:multiLevelType w:val="hybridMultilevel"/>
    <w:tmpl w:val="010A2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15:restartNumberingAfterBreak="0">
    <w:nsid w:val="33324D77"/>
    <w:multiLevelType w:val="hybridMultilevel"/>
    <w:tmpl w:val="16FE5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412349"/>
    <w:multiLevelType w:val="hybridMultilevel"/>
    <w:tmpl w:val="7D382C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5DC64296"/>
    <w:multiLevelType w:val="hybridMultilevel"/>
    <w:tmpl w:val="B44410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820856"/>
    <w:multiLevelType w:val="singleLevel"/>
    <w:tmpl w:val="6C78A414"/>
    <w:lvl w:ilvl="0">
      <w:start w:val="1"/>
      <w:numFmt w:val="decimal"/>
      <w:lvlText w:val="%1."/>
      <w:legacy w:legacy="1" w:legacySpace="0" w:legacyIndent="0"/>
      <w:lvlJc w:val="left"/>
    </w:lvl>
  </w:abstractNum>
  <w:abstractNum w:abstractNumId="28"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6"/>
  </w:num>
  <w:num w:numId="4">
    <w:abstractNumId w:val="8"/>
  </w:num>
  <w:num w:numId="5">
    <w:abstractNumId w:val="27"/>
  </w:num>
  <w:num w:numId="6">
    <w:abstractNumId w:val="12"/>
  </w:num>
  <w:num w:numId="7">
    <w:abstractNumId w:val="7"/>
  </w:num>
  <w:num w:numId="8">
    <w:abstractNumId w:val="16"/>
  </w:num>
  <w:num w:numId="9">
    <w:abstractNumId w:val="11"/>
  </w:num>
  <w:num w:numId="10">
    <w:abstractNumId w:val="3"/>
  </w:num>
  <w:num w:numId="11">
    <w:abstractNumId w:val="21"/>
  </w:num>
  <w:num w:numId="12">
    <w:abstractNumId w:val="23"/>
  </w:num>
  <w:num w:numId="13">
    <w:abstractNumId w:val="5"/>
  </w:num>
  <w:num w:numId="14">
    <w:abstractNumId w:val="28"/>
  </w:num>
  <w:num w:numId="15">
    <w:abstractNumId w:val="17"/>
  </w:num>
  <w:num w:numId="16">
    <w:abstractNumId w:val="18"/>
  </w:num>
  <w:num w:numId="17">
    <w:abstractNumId w:val="1"/>
  </w:num>
  <w:num w:numId="18">
    <w:abstractNumId w:val="10"/>
  </w:num>
  <w:num w:numId="19">
    <w:abstractNumId w:val="25"/>
  </w:num>
  <w:num w:numId="20">
    <w:abstractNumId w:val="26"/>
  </w:num>
  <w:num w:numId="21">
    <w:abstractNumId w:val="20"/>
  </w:num>
  <w:num w:numId="22">
    <w:abstractNumId w:val="9"/>
  </w:num>
  <w:num w:numId="23">
    <w:abstractNumId w:val="19"/>
  </w:num>
  <w:num w:numId="24">
    <w:abstractNumId w:val="24"/>
  </w:num>
  <w:num w:numId="25">
    <w:abstractNumId w:val="15"/>
  </w:num>
  <w:num w:numId="26">
    <w:abstractNumId w:val="0"/>
  </w:num>
  <w:num w:numId="27">
    <w:abstractNumId w:val="2"/>
  </w:num>
  <w:num w:numId="28">
    <w:abstractNumId w:val="2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4FA"/>
    <w:rsid w:val="00005088"/>
    <w:rsid w:val="000050CC"/>
    <w:rsid w:val="00005E70"/>
    <w:rsid w:val="00010D4A"/>
    <w:rsid w:val="00012F86"/>
    <w:rsid w:val="00014740"/>
    <w:rsid w:val="00014742"/>
    <w:rsid w:val="00014B8B"/>
    <w:rsid w:val="00016411"/>
    <w:rsid w:val="000170B5"/>
    <w:rsid w:val="00017488"/>
    <w:rsid w:val="00020D9A"/>
    <w:rsid w:val="0002118E"/>
    <w:rsid w:val="00023102"/>
    <w:rsid w:val="00023325"/>
    <w:rsid w:val="00024AA9"/>
    <w:rsid w:val="00024C44"/>
    <w:rsid w:val="00026F78"/>
    <w:rsid w:val="000272C2"/>
    <w:rsid w:val="00027C38"/>
    <w:rsid w:val="0003064A"/>
    <w:rsid w:val="00032B63"/>
    <w:rsid w:val="000337CE"/>
    <w:rsid w:val="0003465C"/>
    <w:rsid w:val="000351CB"/>
    <w:rsid w:val="000373B0"/>
    <w:rsid w:val="000374A5"/>
    <w:rsid w:val="000379FD"/>
    <w:rsid w:val="00040C5C"/>
    <w:rsid w:val="00044365"/>
    <w:rsid w:val="00044570"/>
    <w:rsid w:val="000448A5"/>
    <w:rsid w:val="00046D10"/>
    <w:rsid w:val="00053CD8"/>
    <w:rsid w:val="0005535A"/>
    <w:rsid w:val="00055973"/>
    <w:rsid w:val="00056DB9"/>
    <w:rsid w:val="000571F6"/>
    <w:rsid w:val="0005796E"/>
    <w:rsid w:val="00057C09"/>
    <w:rsid w:val="00057C83"/>
    <w:rsid w:val="00060F68"/>
    <w:rsid w:val="0006157D"/>
    <w:rsid w:val="00063A83"/>
    <w:rsid w:val="00063FA7"/>
    <w:rsid w:val="0006490F"/>
    <w:rsid w:val="000666FF"/>
    <w:rsid w:val="00066D5B"/>
    <w:rsid w:val="000678A2"/>
    <w:rsid w:val="00067EB5"/>
    <w:rsid w:val="000701EB"/>
    <w:rsid w:val="000719AA"/>
    <w:rsid w:val="000727D2"/>
    <w:rsid w:val="00073184"/>
    <w:rsid w:val="000739AA"/>
    <w:rsid w:val="000739F4"/>
    <w:rsid w:val="000749EA"/>
    <w:rsid w:val="00077161"/>
    <w:rsid w:val="0007735A"/>
    <w:rsid w:val="00077DC4"/>
    <w:rsid w:val="000814B9"/>
    <w:rsid w:val="000842B9"/>
    <w:rsid w:val="0008537D"/>
    <w:rsid w:val="00085DF5"/>
    <w:rsid w:val="00086594"/>
    <w:rsid w:val="00087378"/>
    <w:rsid w:val="0009457B"/>
    <w:rsid w:val="00095610"/>
    <w:rsid w:val="000966CC"/>
    <w:rsid w:val="000A1ADB"/>
    <w:rsid w:val="000A2490"/>
    <w:rsid w:val="000A2FB3"/>
    <w:rsid w:val="000A48F2"/>
    <w:rsid w:val="000B044B"/>
    <w:rsid w:val="000B0B1E"/>
    <w:rsid w:val="000B71D2"/>
    <w:rsid w:val="000C0FD3"/>
    <w:rsid w:val="000C2231"/>
    <w:rsid w:val="000C23B1"/>
    <w:rsid w:val="000C311F"/>
    <w:rsid w:val="000C4909"/>
    <w:rsid w:val="000C5FFA"/>
    <w:rsid w:val="000D244D"/>
    <w:rsid w:val="000D2D93"/>
    <w:rsid w:val="000D47BE"/>
    <w:rsid w:val="000D5047"/>
    <w:rsid w:val="000D5790"/>
    <w:rsid w:val="000D5ABA"/>
    <w:rsid w:val="000D64B7"/>
    <w:rsid w:val="000D6DA4"/>
    <w:rsid w:val="000E0350"/>
    <w:rsid w:val="000E132D"/>
    <w:rsid w:val="000E273A"/>
    <w:rsid w:val="000E31B5"/>
    <w:rsid w:val="000E6E80"/>
    <w:rsid w:val="000F0069"/>
    <w:rsid w:val="000F0C5D"/>
    <w:rsid w:val="000F11DD"/>
    <w:rsid w:val="000F16B4"/>
    <w:rsid w:val="000F654B"/>
    <w:rsid w:val="000F7A37"/>
    <w:rsid w:val="00102BF4"/>
    <w:rsid w:val="00115EB1"/>
    <w:rsid w:val="0012128C"/>
    <w:rsid w:val="00121D23"/>
    <w:rsid w:val="001248A3"/>
    <w:rsid w:val="00124F32"/>
    <w:rsid w:val="00126483"/>
    <w:rsid w:val="00126A4E"/>
    <w:rsid w:val="00127CC8"/>
    <w:rsid w:val="0013046A"/>
    <w:rsid w:val="0013080C"/>
    <w:rsid w:val="0013087E"/>
    <w:rsid w:val="00133198"/>
    <w:rsid w:val="00133C60"/>
    <w:rsid w:val="00133D2A"/>
    <w:rsid w:val="00136D56"/>
    <w:rsid w:val="001379BA"/>
    <w:rsid w:val="0014005C"/>
    <w:rsid w:val="0014398A"/>
    <w:rsid w:val="00146385"/>
    <w:rsid w:val="00146880"/>
    <w:rsid w:val="00150EC7"/>
    <w:rsid w:val="00152F83"/>
    <w:rsid w:val="00153516"/>
    <w:rsid w:val="00155EF5"/>
    <w:rsid w:val="00161B73"/>
    <w:rsid w:val="00161E02"/>
    <w:rsid w:val="00162A8B"/>
    <w:rsid w:val="00163256"/>
    <w:rsid w:val="00163CC0"/>
    <w:rsid w:val="001654F5"/>
    <w:rsid w:val="001662B3"/>
    <w:rsid w:val="00166CD2"/>
    <w:rsid w:val="00167F2B"/>
    <w:rsid w:val="001716C6"/>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D7C"/>
    <w:rsid w:val="00197895"/>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2942"/>
    <w:rsid w:val="001C2E2C"/>
    <w:rsid w:val="001C443B"/>
    <w:rsid w:val="001C64DB"/>
    <w:rsid w:val="001C6C57"/>
    <w:rsid w:val="001D06A0"/>
    <w:rsid w:val="001D0AF0"/>
    <w:rsid w:val="001D0FE0"/>
    <w:rsid w:val="001D11CE"/>
    <w:rsid w:val="001D16C2"/>
    <w:rsid w:val="001D1B62"/>
    <w:rsid w:val="001D23EC"/>
    <w:rsid w:val="001D3DFF"/>
    <w:rsid w:val="001D3F48"/>
    <w:rsid w:val="001D483C"/>
    <w:rsid w:val="001D54AF"/>
    <w:rsid w:val="001E0300"/>
    <w:rsid w:val="001E37A5"/>
    <w:rsid w:val="001E37BA"/>
    <w:rsid w:val="001E3AE3"/>
    <w:rsid w:val="001E47FA"/>
    <w:rsid w:val="001E7CA0"/>
    <w:rsid w:val="001F0078"/>
    <w:rsid w:val="001F2B40"/>
    <w:rsid w:val="001F4083"/>
    <w:rsid w:val="001F60D5"/>
    <w:rsid w:val="001F627F"/>
    <w:rsid w:val="001F6E49"/>
    <w:rsid w:val="001F7023"/>
    <w:rsid w:val="00200174"/>
    <w:rsid w:val="00201AD1"/>
    <w:rsid w:val="00205335"/>
    <w:rsid w:val="002061BB"/>
    <w:rsid w:val="0020665C"/>
    <w:rsid w:val="00207416"/>
    <w:rsid w:val="00210392"/>
    <w:rsid w:val="00210872"/>
    <w:rsid w:val="00211BAC"/>
    <w:rsid w:val="002154B2"/>
    <w:rsid w:val="00216C95"/>
    <w:rsid w:val="002170D6"/>
    <w:rsid w:val="002203EA"/>
    <w:rsid w:val="0022055B"/>
    <w:rsid w:val="0022067C"/>
    <w:rsid w:val="002207C3"/>
    <w:rsid w:val="00220F52"/>
    <w:rsid w:val="002225BC"/>
    <w:rsid w:val="0022370C"/>
    <w:rsid w:val="0022428B"/>
    <w:rsid w:val="00224D3E"/>
    <w:rsid w:val="002257FA"/>
    <w:rsid w:val="00225AB8"/>
    <w:rsid w:val="0022619C"/>
    <w:rsid w:val="00231D53"/>
    <w:rsid w:val="00232539"/>
    <w:rsid w:val="0023323C"/>
    <w:rsid w:val="002343D0"/>
    <w:rsid w:val="00235694"/>
    <w:rsid w:val="002378D5"/>
    <w:rsid w:val="00241BAC"/>
    <w:rsid w:val="0024233E"/>
    <w:rsid w:val="00243BAC"/>
    <w:rsid w:val="00244BD6"/>
    <w:rsid w:val="00245A56"/>
    <w:rsid w:val="00245F0D"/>
    <w:rsid w:val="002466F4"/>
    <w:rsid w:val="00246F83"/>
    <w:rsid w:val="002522C9"/>
    <w:rsid w:val="00252352"/>
    <w:rsid w:val="00255067"/>
    <w:rsid w:val="00255967"/>
    <w:rsid w:val="0025738E"/>
    <w:rsid w:val="0025741E"/>
    <w:rsid w:val="002574CF"/>
    <w:rsid w:val="0026029C"/>
    <w:rsid w:val="002628B9"/>
    <w:rsid w:val="002635D8"/>
    <w:rsid w:val="002644BC"/>
    <w:rsid w:val="00264B03"/>
    <w:rsid w:val="00265769"/>
    <w:rsid w:val="002706D9"/>
    <w:rsid w:val="00270FD7"/>
    <w:rsid w:val="0027323D"/>
    <w:rsid w:val="00273E35"/>
    <w:rsid w:val="0027474D"/>
    <w:rsid w:val="00274A7E"/>
    <w:rsid w:val="0027624D"/>
    <w:rsid w:val="00276918"/>
    <w:rsid w:val="00276ED1"/>
    <w:rsid w:val="0027792C"/>
    <w:rsid w:val="0028269B"/>
    <w:rsid w:val="002856F0"/>
    <w:rsid w:val="00285AF5"/>
    <w:rsid w:val="0028709C"/>
    <w:rsid w:val="002913D0"/>
    <w:rsid w:val="00291D75"/>
    <w:rsid w:val="0029207C"/>
    <w:rsid w:val="0029371D"/>
    <w:rsid w:val="00295B67"/>
    <w:rsid w:val="002A2C2E"/>
    <w:rsid w:val="002A4B6C"/>
    <w:rsid w:val="002A4D71"/>
    <w:rsid w:val="002B0ECF"/>
    <w:rsid w:val="002B166E"/>
    <w:rsid w:val="002B1FD1"/>
    <w:rsid w:val="002B7CE7"/>
    <w:rsid w:val="002C0FA5"/>
    <w:rsid w:val="002C12FA"/>
    <w:rsid w:val="002C21F9"/>
    <w:rsid w:val="002C23B7"/>
    <w:rsid w:val="002C26EB"/>
    <w:rsid w:val="002C321E"/>
    <w:rsid w:val="002C42E0"/>
    <w:rsid w:val="002C4E5E"/>
    <w:rsid w:val="002C4F1C"/>
    <w:rsid w:val="002C518C"/>
    <w:rsid w:val="002C53DD"/>
    <w:rsid w:val="002C7B46"/>
    <w:rsid w:val="002D0F51"/>
    <w:rsid w:val="002D12AC"/>
    <w:rsid w:val="002D27DC"/>
    <w:rsid w:val="002D4621"/>
    <w:rsid w:val="002E0043"/>
    <w:rsid w:val="002E029C"/>
    <w:rsid w:val="002E40A2"/>
    <w:rsid w:val="002E47B4"/>
    <w:rsid w:val="002E4A74"/>
    <w:rsid w:val="002E5671"/>
    <w:rsid w:val="002E59D0"/>
    <w:rsid w:val="002E7C0C"/>
    <w:rsid w:val="002F105C"/>
    <w:rsid w:val="002F11A3"/>
    <w:rsid w:val="002F3610"/>
    <w:rsid w:val="002F3FE5"/>
    <w:rsid w:val="002F4E8C"/>
    <w:rsid w:val="0030104F"/>
    <w:rsid w:val="0030114D"/>
    <w:rsid w:val="00302B74"/>
    <w:rsid w:val="003032B7"/>
    <w:rsid w:val="0030390D"/>
    <w:rsid w:val="0030550A"/>
    <w:rsid w:val="00306DD7"/>
    <w:rsid w:val="00311969"/>
    <w:rsid w:val="00311B2F"/>
    <w:rsid w:val="003129E8"/>
    <w:rsid w:val="00315AB7"/>
    <w:rsid w:val="00316A0B"/>
    <w:rsid w:val="00324AFE"/>
    <w:rsid w:val="00324D0F"/>
    <w:rsid w:val="003259CD"/>
    <w:rsid w:val="0032657A"/>
    <w:rsid w:val="00333E01"/>
    <w:rsid w:val="00335017"/>
    <w:rsid w:val="00336085"/>
    <w:rsid w:val="00340DAD"/>
    <w:rsid w:val="003419BE"/>
    <w:rsid w:val="00344A93"/>
    <w:rsid w:val="00345971"/>
    <w:rsid w:val="00345DE6"/>
    <w:rsid w:val="0034647B"/>
    <w:rsid w:val="00350382"/>
    <w:rsid w:val="00350891"/>
    <w:rsid w:val="00353DC2"/>
    <w:rsid w:val="00354191"/>
    <w:rsid w:val="00355210"/>
    <w:rsid w:val="00356017"/>
    <w:rsid w:val="003570B7"/>
    <w:rsid w:val="003577D1"/>
    <w:rsid w:val="00357F8C"/>
    <w:rsid w:val="00362067"/>
    <w:rsid w:val="00362839"/>
    <w:rsid w:val="0036440B"/>
    <w:rsid w:val="00366971"/>
    <w:rsid w:val="003713A2"/>
    <w:rsid w:val="00374640"/>
    <w:rsid w:val="0037582B"/>
    <w:rsid w:val="0037707D"/>
    <w:rsid w:val="00377407"/>
    <w:rsid w:val="00377531"/>
    <w:rsid w:val="0037758A"/>
    <w:rsid w:val="00381BB7"/>
    <w:rsid w:val="0038391A"/>
    <w:rsid w:val="00383B74"/>
    <w:rsid w:val="003858A2"/>
    <w:rsid w:val="00387CCC"/>
    <w:rsid w:val="00391C77"/>
    <w:rsid w:val="00392734"/>
    <w:rsid w:val="00392B5E"/>
    <w:rsid w:val="00392C05"/>
    <w:rsid w:val="00393618"/>
    <w:rsid w:val="00393D41"/>
    <w:rsid w:val="0039411C"/>
    <w:rsid w:val="0039420B"/>
    <w:rsid w:val="003942ED"/>
    <w:rsid w:val="00394E5D"/>
    <w:rsid w:val="00395845"/>
    <w:rsid w:val="0039761A"/>
    <w:rsid w:val="003A0DE6"/>
    <w:rsid w:val="003A1B51"/>
    <w:rsid w:val="003A3C7A"/>
    <w:rsid w:val="003A4329"/>
    <w:rsid w:val="003A49E0"/>
    <w:rsid w:val="003A4ABF"/>
    <w:rsid w:val="003A648E"/>
    <w:rsid w:val="003A66D0"/>
    <w:rsid w:val="003A7268"/>
    <w:rsid w:val="003A7DD4"/>
    <w:rsid w:val="003B1D79"/>
    <w:rsid w:val="003B3615"/>
    <w:rsid w:val="003B384E"/>
    <w:rsid w:val="003B44BB"/>
    <w:rsid w:val="003B51DE"/>
    <w:rsid w:val="003C0071"/>
    <w:rsid w:val="003C24B5"/>
    <w:rsid w:val="003C27C4"/>
    <w:rsid w:val="003C3A3C"/>
    <w:rsid w:val="003C48C5"/>
    <w:rsid w:val="003C5915"/>
    <w:rsid w:val="003C5980"/>
    <w:rsid w:val="003C6DFA"/>
    <w:rsid w:val="003D04BC"/>
    <w:rsid w:val="003D36AD"/>
    <w:rsid w:val="003D3F36"/>
    <w:rsid w:val="003D5191"/>
    <w:rsid w:val="003D60B8"/>
    <w:rsid w:val="003D7679"/>
    <w:rsid w:val="003E1A9B"/>
    <w:rsid w:val="003E24CE"/>
    <w:rsid w:val="003E2AF6"/>
    <w:rsid w:val="003E3441"/>
    <w:rsid w:val="003E3941"/>
    <w:rsid w:val="003E540D"/>
    <w:rsid w:val="003E7422"/>
    <w:rsid w:val="003E7CF9"/>
    <w:rsid w:val="003E7D3D"/>
    <w:rsid w:val="003E7E0A"/>
    <w:rsid w:val="003F0439"/>
    <w:rsid w:val="003F0CBE"/>
    <w:rsid w:val="003F2817"/>
    <w:rsid w:val="003F3107"/>
    <w:rsid w:val="003F3419"/>
    <w:rsid w:val="003F3DED"/>
    <w:rsid w:val="003F41EF"/>
    <w:rsid w:val="003F57BD"/>
    <w:rsid w:val="003F5B70"/>
    <w:rsid w:val="004018B3"/>
    <w:rsid w:val="00403171"/>
    <w:rsid w:val="0040323C"/>
    <w:rsid w:val="00403FBE"/>
    <w:rsid w:val="0040593F"/>
    <w:rsid w:val="004078BB"/>
    <w:rsid w:val="004117E0"/>
    <w:rsid w:val="0041339D"/>
    <w:rsid w:val="004148A5"/>
    <w:rsid w:val="00415754"/>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128D"/>
    <w:rsid w:val="004418C4"/>
    <w:rsid w:val="004419D3"/>
    <w:rsid w:val="00442BCF"/>
    <w:rsid w:val="00443018"/>
    <w:rsid w:val="0044337C"/>
    <w:rsid w:val="00445790"/>
    <w:rsid w:val="004464AA"/>
    <w:rsid w:val="00446895"/>
    <w:rsid w:val="00450273"/>
    <w:rsid w:val="004509A5"/>
    <w:rsid w:val="00451B66"/>
    <w:rsid w:val="00453A77"/>
    <w:rsid w:val="004551F3"/>
    <w:rsid w:val="00455856"/>
    <w:rsid w:val="004563F1"/>
    <w:rsid w:val="004602EC"/>
    <w:rsid w:val="004617A6"/>
    <w:rsid w:val="0046239D"/>
    <w:rsid w:val="00467FE9"/>
    <w:rsid w:val="00474025"/>
    <w:rsid w:val="004748B5"/>
    <w:rsid w:val="00474E68"/>
    <w:rsid w:val="00474E75"/>
    <w:rsid w:val="00475530"/>
    <w:rsid w:val="00475E34"/>
    <w:rsid w:val="00476B67"/>
    <w:rsid w:val="0048008C"/>
    <w:rsid w:val="004809C9"/>
    <w:rsid w:val="00480BAD"/>
    <w:rsid w:val="00480C7E"/>
    <w:rsid w:val="0048184C"/>
    <w:rsid w:val="00483840"/>
    <w:rsid w:val="004854E6"/>
    <w:rsid w:val="00486CF9"/>
    <w:rsid w:val="00487D95"/>
    <w:rsid w:val="00492048"/>
    <w:rsid w:val="00493555"/>
    <w:rsid w:val="004967A2"/>
    <w:rsid w:val="004967EC"/>
    <w:rsid w:val="00497CD3"/>
    <w:rsid w:val="004A2D46"/>
    <w:rsid w:val="004A3A35"/>
    <w:rsid w:val="004A46C4"/>
    <w:rsid w:val="004A6FCA"/>
    <w:rsid w:val="004A74F0"/>
    <w:rsid w:val="004B0F48"/>
    <w:rsid w:val="004B2B9D"/>
    <w:rsid w:val="004B2CFB"/>
    <w:rsid w:val="004B4489"/>
    <w:rsid w:val="004B506E"/>
    <w:rsid w:val="004C3412"/>
    <w:rsid w:val="004C45A7"/>
    <w:rsid w:val="004C4DAB"/>
    <w:rsid w:val="004C4E2A"/>
    <w:rsid w:val="004C56D1"/>
    <w:rsid w:val="004C572C"/>
    <w:rsid w:val="004C6B9C"/>
    <w:rsid w:val="004D0E10"/>
    <w:rsid w:val="004D23FD"/>
    <w:rsid w:val="004D2C76"/>
    <w:rsid w:val="004D476D"/>
    <w:rsid w:val="004D58D5"/>
    <w:rsid w:val="004D71AF"/>
    <w:rsid w:val="004D7301"/>
    <w:rsid w:val="004E43A4"/>
    <w:rsid w:val="004E6F9D"/>
    <w:rsid w:val="004F12E7"/>
    <w:rsid w:val="004F1DB8"/>
    <w:rsid w:val="004F3292"/>
    <w:rsid w:val="004F3EDB"/>
    <w:rsid w:val="004F53C1"/>
    <w:rsid w:val="004F55EC"/>
    <w:rsid w:val="004F61DD"/>
    <w:rsid w:val="00500A14"/>
    <w:rsid w:val="00501673"/>
    <w:rsid w:val="00502569"/>
    <w:rsid w:val="005035F8"/>
    <w:rsid w:val="00506204"/>
    <w:rsid w:val="00510611"/>
    <w:rsid w:val="00511171"/>
    <w:rsid w:val="005136CC"/>
    <w:rsid w:val="00513858"/>
    <w:rsid w:val="00513C14"/>
    <w:rsid w:val="0051410C"/>
    <w:rsid w:val="005143B4"/>
    <w:rsid w:val="00514B37"/>
    <w:rsid w:val="00514EEC"/>
    <w:rsid w:val="00521874"/>
    <w:rsid w:val="00521920"/>
    <w:rsid w:val="005246B1"/>
    <w:rsid w:val="005273CD"/>
    <w:rsid w:val="00527A8C"/>
    <w:rsid w:val="00530281"/>
    <w:rsid w:val="00530B04"/>
    <w:rsid w:val="00531E03"/>
    <w:rsid w:val="00532F35"/>
    <w:rsid w:val="005333B8"/>
    <w:rsid w:val="0053683E"/>
    <w:rsid w:val="00537B0D"/>
    <w:rsid w:val="005403E8"/>
    <w:rsid w:val="00542902"/>
    <w:rsid w:val="00542990"/>
    <w:rsid w:val="00542A98"/>
    <w:rsid w:val="00542F66"/>
    <w:rsid w:val="005453C5"/>
    <w:rsid w:val="0054599C"/>
    <w:rsid w:val="00545A84"/>
    <w:rsid w:val="00547480"/>
    <w:rsid w:val="00551046"/>
    <w:rsid w:val="0055169D"/>
    <w:rsid w:val="00551EF3"/>
    <w:rsid w:val="005521E2"/>
    <w:rsid w:val="00553781"/>
    <w:rsid w:val="00553DCA"/>
    <w:rsid w:val="00554084"/>
    <w:rsid w:val="00554611"/>
    <w:rsid w:val="00556258"/>
    <w:rsid w:val="005565EE"/>
    <w:rsid w:val="00557E24"/>
    <w:rsid w:val="00560593"/>
    <w:rsid w:val="00560E6F"/>
    <w:rsid w:val="0056163A"/>
    <w:rsid w:val="00562217"/>
    <w:rsid w:val="00563BE5"/>
    <w:rsid w:val="005644EF"/>
    <w:rsid w:val="00564C9F"/>
    <w:rsid w:val="00567397"/>
    <w:rsid w:val="005702B7"/>
    <w:rsid w:val="005709FD"/>
    <w:rsid w:val="00571DF6"/>
    <w:rsid w:val="00574FBD"/>
    <w:rsid w:val="005773BB"/>
    <w:rsid w:val="0057773C"/>
    <w:rsid w:val="00583635"/>
    <w:rsid w:val="00585C83"/>
    <w:rsid w:val="00586604"/>
    <w:rsid w:val="00586E35"/>
    <w:rsid w:val="00587E15"/>
    <w:rsid w:val="005910C8"/>
    <w:rsid w:val="00591B69"/>
    <w:rsid w:val="00596DA2"/>
    <w:rsid w:val="00597C03"/>
    <w:rsid w:val="005A1F9D"/>
    <w:rsid w:val="005A21F6"/>
    <w:rsid w:val="005A2F5D"/>
    <w:rsid w:val="005A3157"/>
    <w:rsid w:val="005A3798"/>
    <w:rsid w:val="005A5726"/>
    <w:rsid w:val="005A67E5"/>
    <w:rsid w:val="005A7302"/>
    <w:rsid w:val="005A7C16"/>
    <w:rsid w:val="005B06F0"/>
    <w:rsid w:val="005B0F9F"/>
    <w:rsid w:val="005B1679"/>
    <w:rsid w:val="005B2FBE"/>
    <w:rsid w:val="005B5BB4"/>
    <w:rsid w:val="005B648C"/>
    <w:rsid w:val="005C2844"/>
    <w:rsid w:val="005C3142"/>
    <w:rsid w:val="005C6D98"/>
    <w:rsid w:val="005C73FB"/>
    <w:rsid w:val="005C7752"/>
    <w:rsid w:val="005C7F3F"/>
    <w:rsid w:val="005D0C0E"/>
    <w:rsid w:val="005D4792"/>
    <w:rsid w:val="005D6266"/>
    <w:rsid w:val="005E2187"/>
    <w:rsid w:val="005E242D"/>
    <w:rsid w:val="005E4ABC"/>
    <w:rsid w:val="005E4FE9"/>
    <w:rsid w:val="005E5696"/>
    <w:rsid w:val="005F19E0"/>
    <w:rsid w:val="005F1DD3"/>
    <w:rsid w:val="005F2C52"/>
    <w:rsid w:val="005F57B5"/>
    <w:rsid w:val="005F5A76"/>
    <w:rsid w:val="005F71EC"/>
    <w:rsid w:val="005F7AA1"/>
    <w:rsid w:val="006003ED"/>
    <w:rsid w:val="006009E6"/>
    <w:rsid w:val="006030B0"/>
    <w:rsid w:val="00604FAE"/>
    <w:rsid w:val="0060624E"/>
    <w:rsid w:val="00607605"/>
    <w:rsid w:val="0061001E"/>
    <w:rsid w:val="00610B3C"/>
    <w:rsid w:val="00612869"/>
    <w:rsid w:val="006132A6"/>
    <w:rsid w:val="006146EE"/>
    <w:rsid w:val="00617AD5"/>
    <w:rsid w:val="00622319"/>
    <w:rsid w:val="00623394"/>
    <w:rsid w:val="0062416A"/>
    <w:rsid w:val="006241EB"/>
    <w:rsid w:val="00624EFB"/>
    <w:rsid w:val="00625FB3"/>
    <w:rsid w:val="00626129"/>
    <w:rsid w:val="0063248B"/>
    <w:rsid w:val="00632A52"/>
    <w:rsid w:val="00632A80"/>
    <w:rsid w:val="006335CE"/>
    <w:rsid w:val="00633BF8"/>
    <w:rsid w:val="00634414"/>
    <w:rsid w:val="00636012"/>
    <w:rsid w:val="00636987"/>
    <w:rsid w:val="006403DD"/>
    <w:rsid w:val="00640AE6"/>
    <w:rsid w:val="00640BB6"/>
    <w:rsid w:val="00642FCD"/>
    <w:rsid w:val="00643148"/>
    <w:rsid w:val="006433B2"/>
    <w:rsid w:val="00643E1F"/>
    <w:rsid w:val="00646C25"/>
    <w:rsid w:val="00650CAA"/>
    <w:rsid w:val="0065119D"/>
    <w:rsid w:val="00652691"/>
    <w:rsid w:val="00652DD9"/>
    <w:rsid w:val="00654145"/>
    <w:rsid w:val="006559C8"/>
    <w:rsid w:val="00657405"/>
    <w:rsid w:val="00657EE7"/>
    <w:rsid w:val="006605C2"/>
    <w:rsid w:val="00661864"/>
    <w:rsid w:val="00663837"/>
    <w:rsid w:val="00663A00"/>
    <w:rsid w:val="00663B07"/>
    <w:rsid w:val="00664FA6"/>
    <w:rsid w:val="00665845"/>
    <w:rsid w:val="0066632E"/>
    <w:rsid w:val="006706DC"/>
    <w:rsid w:val="00670C9E"/>
    <w:rsid w:val="00671BB1"/>
    <w:rsid w:val="00677D9F"/>
    <w:rsid w:val="006811D1"/>
    <w:rsid w:val="00681E5C"/>
    <w:rsid w:val="00681F38"/>
    <w:rsid w:val="006832A4"/>
    <w:rsid w:val="0068391C"/>
    <w:rsid w:val="0068419D"/>
    <w:rsid w:val="006846E9"/>
    <w:rsid w:val="00684DDA"/>
    <w:rsid w:val="006872DB"/>
    <w:rsid w:val="00687920"/>
    <w:rsid w:val="00691999"/>
    <w:rsid w:val="00692BD1"/>
    <w:rsid w:val="00695ED2"/>
    <w:rsid w:val="0069784E"/>
    <w:rsid w:val="006A1022"/>
    <w:rsid w:val="006A1A83"/>
    <w:rsid w:val="006A2C4B"/>
    <w:rsid w:val="006A4846"/>
    <w:rsid w:val="006A541C"/>
    <w:rsid w:val="006A55D2"/>
    <w:rsid w:val="006A63D0"/>
    <w:rsid w:val="006B42B8"/>
    <w:rsid w:val="006B50B9"/>
    <w:rsid w:val="006B6104"/>
    <w:rsid w:val="006B6481"/>
    <w:rsid w:val="006B6E87"/>
    <w:rsid w:val="006B763D"/>
    <w:rsid w:val="006B7885"/>
    <w:rsid w:val="006B7BC4"/>
    <w:rsid w:val="006B7EDD"/>
    <w:rsid w:val="006C07B9"/>
    <w:rsid w:val="006C1C28"/>
    <w:rsid w:val="006C2F62"/>
    <w:rsid w:val="006C31AA"/>
    <w:rsid w:val="006C55A4"/>
    <w:rsid w:val="006C5E5C"/>
    <w:rsid w:val="006C6795"/>
    <w:rsid w:val="006D0365"/>
    <w:rsid w:val="006D037D"/>
    <w:rsid w:val="006D2068"/>
    <w:rsid w:val="006D249D"/>
    <w:rsid w:val="006D3725"/>
    <w:rsid w:val="006D4AE1"/>
    <w:rsid w:val="006D52A7"/>
    <w:rsid w:val="006D52D8"/>
    <w:rsid w:val="006D5AAB"/>
    <w:rsid w:val="006D765C"/>
    <w:rsid w:val="006D774D"/>
    <w:rsid w:val="006D7A90"/>
    <w:rsid w:val="006D7EEE"/>
    <w:rsid w:val="006E0111"/>
    <w:rsid w:val="006E08CC"/>
    <w:rsid w:val="006E0D12"/>
    <w:rsid w:val="006E17D6"/>
    <w:rsid w:val="006E1897"/>
    <w:rsid w:val="006E3709"/>
    <w:rsid w:val="006E3C13"/>
    <w:rsid w:val="006F0139"/>
    <w:rsid w:val="006F107C"/>
    <w:rsid w:val="006F214B"/>
    <w:rsid w:val="006F28C7"/>
    <w:rsid w:val="006F365C"/>
    <w:rsid w:val="006F4D73"/>
    <w:rsid w:val="006F52ED"/>
    <w:rsid w:val="006F6FC0"/>
    <w:rsid w:val="007001DD"/>
    <w:rsid w:val="00700F12"/>
    <w:rsid w:val="0070443C"/>
    <w:rsid w:val="007057D3"/>
    <w:rsid w:val="00706C40"/>
    <w:rsid w:val="00706CFB"/>
    <w:rsid w:val="00711407"/>
    <w:rsid w:val="00712407"/>
    <w:rsid w:val="00712477"/>
    <w:rsid w:val="00721A54"/>
    <w:rsid w:val="00721C75"/>
    <w:rsid w:val="0072258C"/>
    <w:rsid w:val="007228DB"/>
    <w:rsid w:val="00723862"/>
    <w:rsid w:val="0072542C"/>
    <w:rsid w:val="0072705B"/>
    <w:rsid w:val="0073124C"/>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74E"/>
    <w:rsid w:val="007459F5"/>
    <w:rsid w:val="00746DDC"/>
    <w:rsid w:val="007475AA"/>
    <w:rsid w:val="0075061C"/>
    <w:rsid w:val="00751297"/>
    <w:rsid w:val="00752B28"/>
    <w:rsid w:val="00752D7E"/>
    <w:rsid w:val="00754727"/>
    <w:rsid w:val="00754D25"/>
    <w:rsid w:val="00755961"/>
    <w:rsid w:val="00756A18"/>
    <w:rsid w:val="00757288"/>
    <w:rsid w:val="00757361"/>
    <w:rsid w:val="00757590"/>
    <w:rsid w:val="007652CE"/>
    <w:rsid w:val="0076572D"/>
    <w:rsid w:val="00765936"/>
    <w:rsid w:val="00766C83"/>
    <w:rsid w:val="0076723C"/>
    <w:rsid w:val="00767D6C"/>
    <w:rsid w:val="00770068"/>
    <w:rsid w:val="00770581"/>
    <w:rsid w:val="0077091B"/>
    <w:rsid w:val="00770A1E"/>
    <w:rsid w:val="007714DC"/>
    <w:rsid w:val="0077416A"/>
    <w:rsid w:val="0077569C"/>
    <w:rsid w:val="00775A32"/>
    <w:rsid w:val="00777BE6"/>
    <w:rsid w:val="007816ED"/>
    <w:rsid w:val="007821CF"/>
    <w:rsid w:val="00783DAC"/>
    <w:rsid w:val="00784500"/>
    <w:rsid w:val="00785112"/>
    <w:rsid w:val="00786700"/>
    <w:rsid w:val="007878B9"/>
    <w:rsid w:val="007931BC"/>
    <w:rsid w:val="0079350D"/>
    <w:rsid w:val="00793646"/>
    <w:rsid w:val="00794E75"/>
    <w:rsid w:val="0079521E"/>
    <w:rsid w:val="00796071"/>
    <w:rsid w:val="00796D77"/>
    <w:rsid w:val="007A0CB6"/>
    <w:rsid w:val="007A1510"/>
    <w:rsid w:val="007A2A41"/>
    <w:rsid w:val="007A4D97"/>
    <w:rsid w:val="007A5289"/>
    <w:rsid w:val="007A5D2F"/>
    <w:rsid w:val="007A6F67"/>
    <w:rsid w:val="007A768C"/>
    <w:rsid w:val="007A7853"/>
    <w:rsid w:val="007B2BAC"/>
    <w:rsid w:val="007B2CAC"/>
    <w:rsid w:val="007B40B0"/>
    <w:rsid w:val="007B44FB"/>
    <w:rsid w:val="007B4F0C"/>
    <w:rsid w:val="007B6674"/>
    <w:rsid w:val="007C0E38"/>
    <w:rsid w:val="007C1421"/>
    <w:rsid w:val="007C18E3"/>
    <w:rsid w:val="007C1DEB"/>
    <w:rsid w:val="007C459A"/>
    <w:rsid w:val="007C4E08"/>
    <w:rsid w:val="007C6335"/>
    <w:rsid w:val="007D076F"/>
    <w:rsid w:val="007D2F4C"/>
    <w:rsid w:val="007D3DFF"/>
    <w:rsid w:val="007D3F38"/>
    <w:rsid w:val="007D4DB8"/>
    <w:rsid w:val="007E2197"/>
    <w:rsid w:val="007E3304"/>
    <w:rsid w:val="007E4D1F"/>
    <w:rsid w:val="007F14BA"/>
    <w:rsid w:val="007F1E48"/>
    <w:rsid w:val="007F3CB7"/>
    <w:rsid w:val="007F3D79"/>
    <w:rsid w:val="007F40E3"/>
    <w:rsid w:val="007F4313"/>
    <w:rsid w:val="007F4351"/>
    <w:rsid w:val="007F4605"/>
    <w:rsid w:val="007F6C7D"/>
    <w:rsid w:val="00800FE4"/>
    <w:rsid w:val="00801249"/>
    <w:rsid w:val="008026F6"/>
    <w:rsid w:val="00803F84"/>
    <w:rsid w:val="00804183"/>
    <w:rsid w:val="008043AC"/>
    <w:rsid w:val="00805B61"/>
    <w:rsid w:val="00806070"/>
    <w:rsid w:val="00806EE8"/>
    <w:rsid w:val="00811D89"/>
    <w:rsid w:val="00812EE9"/>
    <w:rsid w:val="00814500"/>
    <w:rsid w:val="008154E0"/>
    <w:rsid w:val="00816A19"/>
    <w:rsid w:val="008211DF"/>
    <w:rsid w:val="00821EFE"/>
    <w:rsid w:val="00822F77"/>
    <w:rsid w:val="0082354A"/>
    <w:rsid w:val="008255D2"/>
    <w:rsid w:val="00825A37"/>
    <w:rsid w:val="00830DB4"/>
    <w:rsid w:val="00832ADC"/>
    <w:rsid w:val="00832E80"/>
    <w:rsid w:val="00833AF7"/>
    <w:rsid w:val="00834023"/>
    <w:rsid w:val="008346D1"/>
    <w:rsid w:val="00835579"/>
    <w:rsid w:val="00836F9B"/>
    <w:rsid w:val="00837487"/>
    <w:rsid w:val="00840D16"/>
    <w:rsid w:val="00841A43"/>
    <w:rsid w:val="00843B20"/>
    <w:rsid w:val="00843E3C"/>
    <w:rsid w:val="00844106"/>
    <w:rsid w:val="00844B27"/>
    <w:rsid w:val="00844D29"/>
    <w:rsid w:val="00846195"/>
    <w:rsid w:val="00846AC0"/>
    <w:rsid w:val="00846FA0"/>
    <w:rsid w:val="008479B6"/>
    <w:rsid w:val="00851A0C"/>
    <w:rsid w:val="00851FAF"/>
    <w:rsid w:val="00852E07"/>
    <w:rsid w:val="00855AA5"/>
    <w:rsid w:val="008562C2"/>
    <w:rsid w:val="00856B9B"/>
    <w:rsid w:val="00857671"/>
    <w:rsid w:val="0086002F"/>
    <w:rsid w:val="0086032D"/>
    <w:rsid w:val="00861906"/>
    <w:rsid w:val="00861B01"/>
    <w:rsid w:val="00863F9D"/>
    <w:rsid w:val="008645F9"/>
    <w:rsid w:val="00866205"/>
    <w:rsid w:val="0086628A"/>
    <w:rsid w:val="00871279"/>
    <w:rsid w:val="008716A7"/>
    <w:rsid w:val="00872913"/>
    <w:rsid w:val="00873F82"/>
    <w:rsid w:val="00874B7B"/>
    <w:rsid w:val="00874F25"/>
    <w:rsid w:val="00875B3F"/>
    <w:rsid w:val="00880CA5"/>
    <w:rsid w:val="008817B1"/>
    <w:rsid w:val="008832FA"/>
    <w:rsid w:val="008834BB"/>
    <w:rsid w:val="008840FA"/>
    <w:rsid w:val="008846D2"/>
    <w:rsid w:val="008852D3"/>
    <w:rsid w:val="008862EB"/>
    <w:rsid w:val="008867CE"/>
    <w:rsid w:val="00890F95"/>
    <w:rsid w:val="0089311A"/>
    <w:rsid w:val="0089384D"/>
    <w:rsid w:val="00893A0F"/>
    <w:rsid w:val="00893B17"/>
    <w:rsid w:val="008946C3"/>
    <w:rsid w:val="008948E0"/>
    <w:rsid w:val="0089528C"/>
    <w:rsid w:val="00896083"/>
    <w:rsid w:val="008A0089"/>
    <w:rsid w:val="008A7AB4"/>
    <w:rsid w:val="008A7F71"/>
    <w:rsid w:val="008B034D"/>
    <w:rsid w:val="008B0BBC"/>
    <w:rsid w:val="008B13FB"/>
    <w:rsid w:val="008B243A"/>
    <w:rsid w:val="008B245C"/>
    <w:rsid w:val="008B4153"/>
    <w:rsid w:val="008B4F64"/>
    <w:rsid w:val="008B5356"/>
    <w:rsid w:val="008B609A"/>
    <w:rsid w:val="008B7927"/>
    <w:rsid w:val="008C4770"/>
    <w:rsid w:val="008C6AD1"/>
    <w:rsid w:val="008C71B5"/>
    <w:rsid w:val="008D320C"/>
    <w:rsid w:val="008D521E"/>
    <w:rsid w:val="008E36B3"/>
    <w:rsid w:val="008E431F"/>
    <w:rsid w:val="008E5E12"/>
    <w:rsid w:val="008E613B"/>
    <w:rsid w:val="008F0D2A"/>
    <w:rsid w:val="008F12D4"/>
    <w:rsid w:val="008F17A0"/>
    <w:rsid w:val="008F1814"/>
    <w:rsid w:val="008F2057"/>
    <w:rsid w:val="008F23EF"/>
    <w:rsid w:val="008F386F"/>
    <w:rsid w:val="008F48E1"/>
    <w:rsid w:val="008F5BD0"/>
    <w:rsid w:val="008F66F8"/>
    <w:rsid w:val="008F7B36"/>
    <w:rsid w:val="0090014D"/>
    <w:rsid w:val="009003FE"/>
    <w:rsid w:val="00901955"/>
    <w:rsid w:val="00902F01"/>
    <w:rsid w:val="00903BCE"/>
    <w:rsid w:val="00903C95"/>
    <w:rsid w:val="00904272"/>
    <w:rsid w:val="009046D4"/>
    <w:rsid w:val="00904793"/>
    <w:rsid w:val="009058DB"/>
    <w:rsid w:val="0091026E"/>
    <w:rsid w:val="009104F7"/>
    <w:rsid w:val="0091058D"/>
    <w:rsid w:val="00911711"/>
    <w:rsid w:val="00913098"/>
    <w:rsid w:val="00913858"/>
    <w:rsid w:val="00913A0F"/>
    <w:rsid w:val="00914959"/>
    <w:rsid w:val="00914BBC"/>
    <w:rsid w:val="00915CE6"/>
    <w:rsid w:val="009162DA"/>
    <w:rsid w:val="009168A1"/>
    <w:rsid w:val="00917583"/>
    <w:rsid w:val="0092106C"/>
    <w:rsid w:val="009210E8"/>
    <w:rsid w:val="00923416"/>
    <w:rsid w:val="00923BC4"/>
    <w:rsid w:val="00924681"/>
    <w:rsid w:val="0092622E"/>
    <w:rsid w:val="00926605"/>
    <w:rsid w:val="00930877"/>
    <w:rsid w:val="00930D20"/>
    <w:rsid w:val="009314F2"/>
    <w:rsid w:val="00937012"/>
    <w:rsid w:val="0094003D"/>
    <w:rsid w:val="0094273F"/>
    <w:rsid w:val="009439B0"/>
    <w:rsid w:val="0094403C"/>
    <w:rsid w:val="0094555E"/>
    <w:rsid w:val="00945CB0"/>
    <w:rsid w:val="0094667E"/>
    <w:rsid w:val="00946A66"/>
    <w:rsid w:val="00951188"/>
    <w:rsid w:val="00951AF4"/>
    <w:rsid w:val="00955CBA"/>
    <w:rsid w:val="00956A95"/>
    <w:rsid w:val="00960F2F"/>
    <w:rsid w:val="0096114E"/>
    <w:rsid w:val="0096229D"/>
    <w:rsid w:val="009634F6"/>
    <w:rsid w:val="00963B5E"/>
    <w:rsid w:val="00963DB2"/>
    <w:rsid w:val="00963FA0"/>
    <w:rsid w:val="009644A1"/>
    <w:rsid w:val="0096491F"/>
    <w:rsid w:val="00964FCB"/>
    <w:rsid w:val="00974E95"/>
    <w:rsid w:val="00975F2D"/>
    <w:rsid w:val="00976962"/>
    <w:rsid w:val="00977BF5"/>
    <w:rsid w:val="00977F33"/>
    <w:rsid w:val="00981F74"/>
    <w:rsid w:val="0098302D"/>
    <w:rsid w:val="009838A9"/>
    <w:rsid w:val="00983CA0"/>
    <w:rsid w:val="00987608"/>
    <w:rsid w:val="00992284"/>
    <w:rsid w:val="00992B2B"/>
    <w:rsid w:val="009943A0"/>
    <w:rsid w:val="00994EE8"/>
    <w:rsid w:val="009953BC"/>
    <w:rsid w:val="0099543E"/>
    <w:rsid w:val="009963D2"/>
    <w:rsid w:val="009A0568"/>
    <w:rsid w:val="009A0AF9"/>
    <w:rsid w:val="009A16BE"/>
    <w:rsid w:val="009A210C"/>
    <w:rsid w:val="009A2337"/>
    <w:rsid w:val="009A2B53"/>
    <w:rsid w:val="009A2E00"/>
    <w:rsid w:val="009A355A"/>
    <w:rsid w:val="009A3B09"/>
    <w:rsid w:val="009A4DF6"/>
    <w:rsid w:val="009A5369"/>
    <w:rsid w:val="009A557E"/>
    <w:rsid w:val="009A5CE8"/>
    <w:rsid w:val="009A5FBE"/>
    <w:rsid w:val="009A7074"/>
    <w:rsid w:val="009A7B5A"/>
    <w:rsid w:val="009A7F79"/>
    <w:rsid w:val="009B1119"/>
    <w:rsid w:val="009B2BDC"/>
    <w:rsid w:val="009B3A28"/>
    <w:rsid w:val="009B4166"/>
    <w:rsid w:val="009B5F5D"/>
    <w:rsid w:val="009B6201"/>
    <w:rsid w:val="009B73BA"/>
    <w:rsid w:val="009C0C28"/>
    <w:rsid w:val="009C0EEA"/>
    <w:rsid w:val="009C10D9"/>
    <w:rsid w:val="009C20A2"/>
    <w:rsid w:val="009C425A"/>
    <w:rsid w:val="009C4F43"/>
    <w:rsid w:val="009C59C5"/>
    <w:rsid w:val="009C5CA7"/>
    <w:rsid w:val="009D03F8"/>
    <w:rsid w:val="009D1DF4"/>
    <w:rsid w:val="009D5303"/>
    <w:rsid w:val="009D6FF3"/>
    <w:rsid w:val="009D7A24"/>
    <w:rsid w:val="009E00E4"/>
    <w:rsid w:val="009E0656"/>
    <w:rsid w:val="009E0D20"/>
    <w:rsid w:val="009E0F6B"/>
    <w:rsid w:val="009E175A"/>
    <w:rsid w:val="009E1DB3"/>
    <w:rsid w:val="009E2964"/>
    <w:rsid w:val="009E2CC6"/>
    <w:rsid w:val="009E3EB3"/>
    <w:rsid w:val="009E423C"/>
    <w:rsid w:val="009E5087"/>
    <w:rsid w:val="009E5D18"/>
    <w:rsid w:val="009E7AFF"/>
    <w:rsid w:val="009E7DCD"/>
    <w:rsid w:val="009F55F9"/>
    <w:rsid w:val="009F5CC0"/>
    <w:rsid w:val="009F5FB6"/>
    <w:rsid w:val="009F6842"/>
    <w:rsid w:val="009F6F8B"/>
    <w:rsid w:val="009F7164"/>
    <w:rsid w:val="00A02F0A"/>
    <w:rsid w:val="00A04831"/>
    <w:rsid w:val="00A06A53"/>
    <w:rsid w:val="00A06A54"/>
    <w:rsid w:val="00A103E8"/>
    <w:rsid w:val="00A1074D"/>
    <w:rsid w:val="00A10863"/>
    <w:rsid w:val="00A11172"/>
    <w:rsid w:val="00A127DD"/>
    <w:rsid w:val="00A12872"/>
    <w:rsid w:val="00A12D4A"/>
    <w:rsid w:val="00A14E6C"/>
    <w:rsid w:val="00A16482"/>
    <w:rsid w:val="00A167EC"/>
    <w:rsid w:val="00A16D01"/>
    <w:rsid w:val="00A172E6"/>
    <w:rsid w:val="00A17D1C"/>
    <w:rsid w:val="00A209A2"/>
    <w:rsid w:val="00A2208D"/>
    <w:rsid w:val="00A24C8D"/>
    <w:rsid w:val="00A2542A"/>
    <w:rsid w:val="00A25718"/>
    <w:rsid w:val="00A26F15"/>
    <w:rsid w:val="00A277D0"/>
    <w:rsid w:val="00A308A4"/>
    <w:rsid w:val="00A30E37"/>
    <w:rsid w:val="00A32930"/>
    <w:rsid w:val="00A34641"/>
    <w:rsid w:val="00A34674"/>
    <w:rsid w:val="00A3494F"/>
    <w:rsid w:val="00A34FFD"/>
    <w:rsid w:val="00A355DD"/>
    <w:rsid w:val="00A35CD2"/>
    <w:rsid w:val="00A35CF8"/>
    <w:rsid w:val="00A360E7"/>
    <w:rsid w:val="00A400FB"/>
    <w:rsid w:val="00A43C4F"/>
    <w:rsid w:val="00A443D1"/>
    <w:rsid w:val="00A456B3"/>
    <w:rsid w:val="00A47BFE"/>
    <w:rsid w:val="00A50DBA"/>
    <w:rsid w:val="00A51808"/>
    <w:rsid w:val="00A51D78"/>
    <w:rsid w:val="00A51EA8"/>
    <w:rsid w:val="00A54015"/>
    <w:rsid w:val="00A549C3"/>
    <w:rsid w:val="00A5516F"/>
    <w:rsid w:val="00A561A8"/>
    <w:rsid w:val="00A562A6"/>
    <w:rsid w:val="00A57B60"/>
    <w:rsid w:val="00A60011"/>
    <w:rsid w:val="00A60652"/>
    <w:rsid w:val="00A63635"/>
    <w:rsid w:val="00A6703C"/>
    <w:rsid w:val="00A7007B"/>
    <w:rsid w:val="00A71623"/>
    <w:rsid w:val="00A73BD7"/>
    <w:rsid w:val="00A84B87"/>
    <w:rsid w:val="00A84D4B"/>
    <w:rsid w:val="00A84FD0"/>
    <w:rsid w:val="00A8592D"/>
    <w:rsid w:val="00A8629D"/>
    <w:rsid w:val="00A86575"/>
    <w:rsid w:val="00A90D08"/>
    <w:rsid w:val="00A93FFF"/>
    <w:rsid w:val="00A948C7"/>
    <w:rsid w:val="00A95196"/>
    <w:rsid w:val="00A95746"/>
    <w:rsid w:val="00A96D45"/>
    <w:rsid w:val="00A97045"/>
    <w:rsid w:val="00A973EE"/>
    <w:rsid w:val="00AA18DD"/>
    <w:rsid w:val="00AA1F91"/>
    <w:rsid w:val="00AA3687"/>
    <w:rsid w:val="00AA3833"/>
    <w:rsid w:val="00AA4A07"/>
    <w:rsid w:val="00AA5CE1"/>
    <w:rsid w:val="00AB1737"/>
    <w:rsid w:val="00AB184B"/>
    <w:rsid w:val="00AB1F98"/>
    <w:rsid w:val="00AB2D9E"/>
    <w:rsid w:val="00AB4404"/>
    <w:rsid w:val="00AB5EE7"/>
    <w:rsid w:val="00AB603C"/>
    <w:rsid w:val="00AC0375"/>
    <w:rsid w:val="00AC154C"/>
    <w:rsid w:val="00AC21EE"/>
    <w:rsid w:val="00AC3B22"/>
    <w:rsid w:val="00AC4101"/>
    <w:rsid w:val="00AC5597"/>
    <w:rsid w:val="00AC71C4"/>
    <w:rsid w:val="00AC79CB"/>
    <w:rsid w:val="00AD0116"/>
    <w:rsid w:val="00AD1B42"/>
    <w:rsid w:val="00AD25A1"/>
    <w:rsid w:val="00AD2871"/>
    <w:rsid w:val="00AD322C"/>
    <w:rsid w:val="00AD4B84"/>
    <w:rsid w:val="00AD5D06"/>
    <w:rsid w:val="00AD5DDA"/>
    <w:rsid w:val="00AE075F"/>
    <w:rsid w:val="00AE23BE"/>
    <w:rsid w:val="00AE23C8"/>
    <w:rsid w:val="00AE2EAC"/>
    <w:rsid w:val="00AE3542"/>
    <w:rsid w:val="00AE5772"/>
    <w:rsid w:val="00AE5FB3"/>
    <w:rsid w:val="00AE6E33"/>
    <w:rsid w:val="00AF0AC0"/>
    <w:rsid w:val="00AF16E0"/>
    <w:rsid w:val="00AF1FF9"/>
    <w:rsid w:val="00AF4CA9"/>
    <w:rsid w:val="00AF5B52"/>
    <w:rsid w:val="00AF5F14"/>
    <w:rsid w:val="00AF5F45"/>
    <w:rsid w:val="00AF6B71"/>
    <w:rsid w:val="00AF7879"/>
    <w:rsid w:val="00B00818"/>
    <w:rsid w:val="00B008BF"/>
    <w:rsid w:val="00B03424"/>
    <w:rsid w:val="00B052BA"/>
    <w:rsid w:val="00B06DD6"/>
    <w:rsid w:val="00B07460"/>
    <w:rsid w:val="00B1022B"/>
    <w:rsid w:val="00B10338"/>
    <w:rsid w:val="00B1151C"/>
    <w:rsid w:val="00B11E06"/>
    <w:rsid w:val="00B13099"/>
    <w:rsid w:val="00B1397D"/>
    <w:rsid w:val="00B16978"/>
    <w:rsid w:val="00B16BE4"/>
    <w:rsid w:val="00B17EBB"/>
    <w:rsid w:val="00B2344B"/>
    <w:rsid w:val="00B237C6"/>
    <w:rsid w:val="00B24A6F"/>
    <w:rsid w:val="00B25F74"/>
    <w:rsid w:val="00B260D9"/>
    <w:rsid w:val="00B278DB"/>
    <w:rsid w:val="00B30D4F"/>
    <w:rsid w:val="00B30D5C"/>
    <w:rsid w:val="00B3434E"/>
    <w:rsid w:val="00B34A3E"/>
    <w:rsid w:val="00B351FD"/>
    <w:rsid w:val="00B35BFD"/>
    <w:rsid w:val="00B40B13"/>
    <w:rsid w:val="00B421F2"/>
    <w:rsid w:val="00B42822"/>
    <w:rsid w:val="00B42C54"/>
    <w:rsid w:val="00B4395A"/>
    <w:rsid w:val="00B45473"/>
    <w:rsid w:val="00B4553E"/>
    <w:rsid w:val="00B45901"/>
    <w:rsid w:val="00B46773"/>
    <w:rsid w:val="00B47091"/>
    <w:rsid w:val="00B47E14"/>
    <w:rsid w:val="00B52BB4"/>
    <w:rsid w:val="00B54256"/>
    <w:rsid w:val="00B545F4"/>
    <w:rsid w:val="00B56303"/>
    <w:rsid w:val="00B56D7B"/>
    <w:rsid w:val="00B56E14"/>
    <w:rsid w:val="00B573DA"/>
    <w:rsid w:val="00B57599"/>
    <w:rsid w:val="00B57FB2"/>
    <w:rsid w:val="00B60485"/>
    <w:rsid w:val="00B61F2F"/>
    <w:rsid w:val="00B635A9"/>
    <w:rsid w:val="00B64F62"/>
    <w:rsid w:val="00B65321"/>
    <w:rsid w:val="00B65D3A"/>
    <w:rsid w:val="00B66898"/>
    <w:rsid w:val="00B7164C"/>
    <w:rsid w:val="00B72103"/>
    <w:rsid w:val="00B807AB"/>
    <w:rsid w:val="00B80F53"/>
    <w:rsid w:val="00B81287"/>
    <w:rsid w:val="00B8152D"/>
    <w:rsid w:val="00B82E26"/>
    <w:rsid w:val="00B86133"/>
    <w:rsid w:val="00B877F2"/>
    <w:rsid w:val="00B90AF6"/>
    <w:rsid w:val="00B910F3"/>
    <w:rsid w:val="00B91A7C"/>
    <w:rsid w:val="00B93F2D"/>
    <w:rsid w:val="00B95AC6"/>
    <w:rsid w:val="00B95FBC"/>
    <w:rsid w:val="00B97772"/>
    <w:rsid w:val="00B97C44"/>
    <w:rsid w:val="00BA05AE"/>
    <w:rsid w:val="00BA22F7"/>
    <w:rsid w:val="00BA2FA3"/>
    <w:rsid w:val="00BA46E0"/>
    <w:rsid w:val="00BA6418"/>
    <w:rsid w:val="00BA7D18"/>
    <w:rsid w:val="00BB3A8F"/>
    <w:rsid w:val="00BB4412"/>
    <w:rsid w:val="00BB5215"/>
    <w:rsid w:val="00BB5572"/>
    <w:rsid w:val="00BB7068"/>
    <w:rsid w:val="00BC18FB"/>
    <w:rsid w:val="00BC2214"/>
    <w:rsid w:val="00BC2543"/>
    <w:rsid w:val="00BC2970"/>
    <w:rsid w:val="00BC2A83"/>
    <w:rsid w:val="00BD0D15"/>
    <w:rsid w:val="00BD1698"/>
    <w:rsid w:val="00BD322D"/>
    <w:rsid w:val="00BD33EA"/>
    <w:rsid w:val="00BD427B"/>
    <w:rsid w:val="00BD5425"/>
    <w:rsid w:val="00BD6869"/>
    <w:rsid w:val="00BE06A4"/>
    <w:rsid w:val="00BE4233"/>
    <w:rsid w:val="00BE5E8F"/>
    <w:rsid w:val="00BF0332"/>
    <w:rsid w:val="00BF2BFE"/>
    <w:rsid w:val="00BF3A76"/>
    <w:rsid w:val="00BF5FCC"/>
    <w:rsid w:val="00BF6D00"/>
    <w:rsid w:val="00C0256C"/>
    <w:rsid w:val="00C047D4"/>
    <w:rsid w:val="00C069A2"/>
    <w:rsid w:val="00C069EC"/>
    <w:rsid w:val="00C121B7"/>
    <w:rsid w:val="00C17416"/>
    <w:rsid w:val="00C1748F"/>
    <w:rsid w:val="00C201F2"/>
    <w:rsid w:val="00C207DF"/>
    <w:rsid w:val="00C20968"/>
    <w:rsid w:val="00C21125"/>
    <w:rsid w:val="00C221D5"/>
    <w:rsid w:val="00C2280A"/>
    <w:rsid w:val="00C23D12"/>
    <w:rsid w:val="00C2652B"/>
    <w:rsid w:val="00C30598"/>
    <w:rsid w:val="00C30F93"/>
    <w:rsid w:val="00C32FD7"/>
    <w:rsid w:val="00C37B98"/>
    <w:rsid w:val="00C41CE4"/>
    <w:rsid w:val="00C45360"/>
    <w:rsid w:val="00C45C85"/>
    <w:rsid w:val="00C45D69"/>
    <w:rsid w:val="00C46E82"/>
    <w:rsid w:val="00C4766F"/>
    <w:rsid w:val="00C47FD3"/>
    <w:rsid w:val="00C50046"/>
    <w:rsid w:val="00C5040C"/>
    <w:rsid w:val="00C51681"/>
    <w:rsid w:val="00C533E6"/>
    <w:rsid w:val="00C54DA2"/>
    <w:rsid w:val="00C55A56"/>
    <w:rsid w:val="00C56730"/>
    <w:rsid w:val="00C57CBA"/>
    <w:rsid w:val="00C6024F"/>
    <w:rsid w:val="00C60953"/>
    <w:rsid w:val="00C60CE3"/>
    <w:rsid w:val="00C61FFE"/>
    <w:rsid w:val="00C63D95"/>
    <w:rsid w:val="00C64B94"/>
    <w:rsid w:val="00C64D18"/>
    <w:rsid w:val="00C650AE"/>
    <w:rsid w:val="00C67405"/>
    <w:rsid w:val="00C7064F"/>
    <w:rsid w:val="00C7070C"/>
    <w:rsid w:val="00C7380E"/>
    <w:rsid w:val="00C739BF"/>
    <w:rsid w:val="00C7647E"/>
    <w:rsid w:val="00C7659C"/>
    <w:rsid w:val="00C76C24"/>
    <w:rsid w:val="00C80E3F"/>
    <w:rsid w:val="00C81BD1"/>
    <w:rsid w:val="00C8355E"/>
    <w:rsid w:val="00C85C21"/>
    <w:rsid w:val="00C8756C"/>
    <w:rsid w:val="00C8789E"/>
    <w:rsid w:val="00C90663"/>
    <w:rsid w:val="00C90E2B"/>
    <w:rsid w:val="00C92E70"/>
    <w:rsid w:val="00C93DCA"/>
    <w:rsid w:val="00C93E64"/>
    <w:rsid w:val="00C95BC1"/>
    <w:rsid w:val="00CA071B"/>
    <w:rsid w:val="00CA0DD1"/>
    <w:rsid w:val="00CA5104"/>
    <w:rsid w:val="00CA5466"/>
    <w:rsid w:val="00CA734B"/>
    <w:rsid w:val="00CB0475"/>
    <w:rsid w:val="00CB1B1E"/>
    <w:rsid w:val="00CB1DB5"/>
    <w:rsid w:val="00CB2C4F"/>
    <w:rsid w:val="00CB3583"/>
    <w:rsid w:val="00CB4218"/>
    <w:rsid w:val="00CB4540"/>
    <w:rsid w:val="00CB4893"/>
    <w:rsid w:val="00CB6A8C"/>
    <w:rsid w:val="00CC34FF"/>
    <w:rsid w:val="00CC44F0"/>
    <w:rsid w:val="00CC6DB2"/>
    <w:rsid w:val="00CD0E5B"/>
    <w:rsid w:val="00CD0FE9"/>
    <w:rsid w:val="00CD29E4"/>
    <w:rsid w:val="00CD396E"/>
    <w:rsid w:val="00CD3C38"/>
    <w:rsid w:val="00CD5104"/>
    <w:rsid w:val="00CD5D5B"/>
    <w:rsid w:val="00CD6046"/>
    <w:rsid w:val="00CD60D3"/>
    <w:rsid w:val="00CE06A5"/>
    <w:rsid w:val="00CE202E"/>
    <w:rsid w:val="00CE2229"/>
    <w:rsid w:val="00CE28F2"/>
    <w:rsid w:val="00CE2A4F"/>
    <w:rsid w:val="00CE374E"/>
    <w:rsid w:val="00CE475A"/>
    <w:rsid w:val="00CF0534"/>
    <w:rsid w:val="00CF3FF0"/>
    <w:rsid w:val="00CF41AF"/>
    <w:rsid w:val="00CF4567"/>
    <w:rsid w:val="00CF53AB"/>
    <w:rsid w:val="00CF6815"/>
    <w:rsid w:val="00D04520"/>
    <w:rsid w:val="00D04D3D"/>
    <w:rsid w:val="00D062B7"/>
    <w:rsid w:val="00D06C45"/>
    <w:rsid w:val="00D1143A"/>
    <w:rsid w:val="00D11B02"/>
    <w:rsid w:val="00D1202C"/>
    <w:rsid w:val="00D12617"/>
    <w:rsid w:val="00D14F2E"/>
    <w:rsid w:val="00D16DDF"/>
    <w:rsid w:val="00D16E24"/>
    <w:rsid w:val="00D171B6"/>
    <w:rsid w:val="00D17F75"/>
    <w:rsid w:val="00D20486"/>
    <w:rsid w:val="00D228D8"/>
    <w:rsid w:val="00D2467F"/>
    <w:rsid w:val="00D31439"/>
    <w:rsid w:val="00D33677"/>
    <w:rsid w:val="00D36BDD"/>
    <w:rsid w:val="00D3706F"/>
    <w:rsid w:val="00D373EC"/>
    <w:rsid w:val="00D4180D"/>
    <w:rsid w:val="00D41B01"/>
    <w:rsid w:val="00D42875"/>
    <w:rsid w:val="00D42B44"/>
    <w:rsid w:val="00D44A14"/>
    <w:rsid w:val="00D47738"/>
    <w:rsid w:val="00D47A1A"/>
    <w:rsid w:val="00D47D36"/>
    <w:rsid w:val="00D502EB"/>
    <w:rsid w:val="00D51A9B"/>
    <w:rsid w:val="00D51D95"/>
    <w:rsid w:val="00D53EC6"/>
    <w:rsid w:val="00D55A00"/>
    <w:rsid w:val="00D56F77"/>
    <w:rsid w:val="00D60DB3"/>
    <w:rsid w:val="00D61048"/>
    <w:rsid w:val="00D61E9F"/>
    <w:rsid w:val="00D62CC8"/>
    <w:rsid w:val="00D63232"/>
    <w:rsid w:val="00D6402F"/>
    <w:rsid w:val="00D64983"/>
    <w:rsid w:val="00D7047A"/>
    <w:rsid w:val="00D7079C"/>
    <w:rsid w:val="00D719E9"/>
    <w:rsid w:val="00D72225"/>
    <w:rsid w:val="00D73550"/>
    <w:rsid w:val="00D750F9"/>
    <w:rsid w:val="00D838F7"/>
    <w:rsid w:val="00D845DA"/>
    <w:rsid w:val="00D8479E"/>
    <w:rsid w:val="00D868F1"/>
    <w:rsid w:val="00D87D4E"/>
    <w:rsid w:val="00D87EFF"/>
    <w:rsid w:val="00D90F47"/>
    <w:rsid w:val="00D91AE6"/>
    <w:rsid w:val="00D941E0"/>
    <w:rsid w:val="00D95840"/>
    <w:rsid w:val="00DA14F2"/>
    <w:rsid w:val="00DA1603"/>
    <w:rsid w:val="00DA2B67"/>
    <w:rsid w:val="00DA3C9A"/>
    <w:rsid w:val="00DA4314"/>
    <w:rsid w:val="00DA53B8"/>
    <w:rsid w:val="00DA554C"/>
    <w:rsid w:val="00DA589B"/>
    <w:rsid w:val="00DA5980"/>
    <w:rsid w:val="00DA5BF6"/>
    <w:rsid w:val="00DA5F07"/>
    <w:rsid w:val="00DA5F86"/>
    <w:rsid w:val="00DB0EF6"/>
    <w:rsid w:val="00DB2668"/>
    <w:rsid w:val="00DB2CE5"/>
    <w:rsid w:val="00DB42FB"/>
    <w:rsid w:val="00DB520B"/>
    <w:rsid w:val="00DB623F"/>
    <w:rsid w:val="00DB7AEE"/>
    <w:rsid w:val="00DC1187"/>
    <w:rsid w:val="00DC23C7"/>
    <w:rsid w:val="00DC39C2"/>
    <w:rsid w:val="00DC39C4"/>
    <w:rsid w:val="00DC4568"/>
    <w:rsid w:val="00DC6AFC"/>
    <w:rsid w:val="00DC6D29"/>
    <w:rsid w:val="00DD0910"/>
    <w:rsid w:val="00DD0941"/>
    <w:rsid w:val="00DD0CC5"/>
    <w:rsid w:val="00DD1C47"/>
    <w:rsid w:val="00DD2826"/>
    <w:rsid w:val="00DD3BCF"/>
    <w:rsid w:val="00DD49FE"/>
    <w:rsid w:val="00DD6B5E"/>
    <w:rsid w:val="00DE0602"/>
    <w:rsid w:val="00DE0E3C"/>
    <w:rsid w:val="00DE13E8"/>
    <w:rsid w:val="00DE4BF6"/>
    <w:rsid w:val="00DE52A5"/>
    <w:rsid w:val="00DE5325"/>
    <w:rsid w:val="00DE5D46"/>
    <w:rsid w:val="00DE682A"/>
    <w:rsid w:val="00DE69D0"/>
    <w:rsid w:val="00DE7070"/>
    <w:rsid w:val="00DE77A3"/>
    <w:rsid w:val="00DF02F6"/>
    <w:rsid w:val="00DF0993"/>
    <w:rsid w:val="00DF104A"/>
    <w:rsid w:val="00DF163F"/>
    <w:rsid w:val="00DF21B8"/>
    <w:rsid w:val="00DF284F"/>
    <w:rsid w:val="00DF31EE"/>
    <w:rsid w:val="00DF3395"/>
    <w:rsid w:val="00DF7681"/>
    <w:rsid w:val="00E00443"/>
    <w:rsid w:val="00E02D36"/>
    <w:rsid w:val="00E02FDE"/>
    <w:rsid w:val="00E03431"/>
    <w:rsid w:val="00E03F06"/>
    <w:rsid w:val="00E04E43"/>
    <w:rsid w:val="00E05E74"/>
    <w:rsid w:val="00E065D9"/>
    <w:rsid w:val="00E0682D"/>
    <w:rsid w:val="00E1241D"/>
    <w:rsid w:val="00E129D0"/>
    <w:rsid w:val="00E13D0D"/>
    <w:rsid w:val="00E149CE"/>
    <w:rsid w:val="00E16AC4"/>
    <w:rsid w:val="00E1761B"/>
    <w:rsid w:val="00E17C58"/>
    <w:rsid w:val="00E20F7C"/>
    <w:rsid w:val="00E2178D"/>
    <w:rsid w:val="00E2263B"/>
    <w:rsid w:val="00E22DDE"/>
    <w:rsid w:val="00E23958"/>
    <w:rsid w:val="00E23AD4"/>
    <w:rsid w:val="00E23BEC"/>
    <w:rsid w:val="00E23EC3"/>
    <w:rsid w:val="00E24E4D"/>
    <w:rsid w:val="00E24F00"/>
    <w:rsid w:val="00E25D14"/>
    <w:rsid w:val="00E25F8C"/>
    <w:rsid w:val="00E2618B"/>
    <w:rsid w:val="00E261DD"/>
    <w:rsid w:val="00E267F1"/>
    <w:rsid w:val="00E26938"/>
    <w:rsid w:val="00E26BAD"/>
    <w:rsid w:val="00E26EBA"/>
    <w:rsid w:val="00E27EDD"/>
    <w:rsid w:val="00E36A08"/>
    <w:rsid w:val="00E3704F"/>
    <w:rsid w:val="00E37375"/>
    <w:rsid w:val="00E37FAD"/>
    <w:rsid w:val="00E42772"/>
    <w:rsid w:val="00E44F08"/>
    <w:rsid w:val="00E528AF"/>
    <w:rsid w:val="00E53131"/>
    <w:rsid w:val="00E5420A"/>
    <w:rsid w:val="00E5518E"/>
    <w:rsid w:val="00E56222"/>
    <w:rsid w:val="00E566D8"/>
    <w:rsid w:val="00E576BA"/>
    <w:rsid w:val="00E57743"/>
    <w:rsid w:val="00E577C9"/>
    <w:rsid w:val="00E610A2"/>
    <w:rsid w:val="00E61E96"/>
    <w:rsid w:val="00E62DD3"/>
    <w:rsid w:val="00E641D8"/>
    <w:rsid w:val="00E64B11"/>
    <w:rsid w:val="00E66D8F"/>
    <w:rsid w:val="00E6742D"/>
    <w:rsid w:val="00E71707"/>
    <w:rsid w:val="00E71EF1"/>
    <w:rsid w:val="00E731C6"/>
    <w:rsid w:val="00E740C4"/>
    <w:rsid w:val="00E74686"/>
    <w:rsid w:val="00E74750"/>
    <w:rsid w:val="00E755A3"/>
    <w:rsid w:val="00E76686"/>
    <w:rsid w:val="00E80520"/>
    <w:rsid w:val="00E818D4"/>
    <w:rsid w:val="00E81BD0"/>
    <w:rsid w:val="00E81D34"/>
    <w:rsid w:val="00E81D4A"/>
    <w:rsid w:val="00E8297B"/>
    <w:rsid w:val="00E83C98"/>
    <w:rsid w:val="00E840FE"/>
    <w:rsid w:val="00E847DC"/>
    <w:rsid w:val="00E84DBD"/>
    <w:rsid w:val="00E873A0"/>
    <w:rsid w:val="00E90A99"/>
    <w:rsid w:val="00E9124C"/>
    <w:rsid w:val="00E9128A"/>
    <w:rsid w:val="00E91BFD"/>
    <w:rsid w:val="00E91C15"/>
    <w:rsid w:val="00E91C8A"/>
    <w:rsid w:val="00E93BF9"/>
    <w:rsid w:val="00E943E8"/>
    <w:rsid w:val="00E945CE"/>
    <w:rsid w:val="00E94FAF"/>
    <w:rsid w:val="00E96293"/>
    <w:rsid w:val="00E96E5C"/>
    <w:rsid w:val="00E97091"/>
    <w:rsid w:val="00EA0340"/>
    <w:rsid w:val="00EA0528"/>
    <w:rsid w:val="00EA0C10"/>
    <w:rsid w:val="00EA347E"/>
    <w:rsid w:val="00EA3D4F"/>
    <w:rsid w:val="00EA4E02"/>
    <w:rsid w:val="00EA6276"/>
    <w:rsid w:val="00EB048C"/>
    <w:rsid w:val="00EB0C25"/>
    <w:rsid w:val="00EB27C1"/>
    <w:rsid w:val="00EB2C67"/>
    <w:rsid w:val="00EB367C"/>
    <w:rsid w:val="00EB43BA"/>
    <w:rsid w:val="00EB4486"/>
    <w:rsid w:val="00EB46D0"/>
    <w:rsid w:val="00EB4700"/>
    <w:rsid w:val="00EB4927"/>
    <w:rsid w:val="00EB5AA9"/>
    <w:rsid w:val="00EB7F72"/>
    <w:rsid w:val="00EC4357"/>
    <w:rsid w:val="00EC49A4"/>
    <w:rsid w:val="00EC4EF3"/>
    <w:rsid w:val="00ED16C8"/>
    <w:rsid w:val="00ED20C9"/>
    <w:rsid w:val="00ED21EE"/>
    <w:rsid w:val="00ED37E1"/>
    <w:rsid w:val="00ED380A"/>
    <w:rsid w:val="00ED3B31"/>
    <w:rsid w:val="00ED4875"/>
    <w:rsid w:val="00ED4EC4"/>
    <w:rsid w:val="00ED6C04"/>
    <w:rsid w:val="00EE04B4"/>
    <w:rsid w:val="00EE3912"/>
    <w:rsid w:val="00EE4040"/>
    <w:rsid w:val="00EE4094"/>
    <w:rsid w:val="00EE4D57"/>
    <w:rsid w:val="00EE53FF"/>
    <w:rsid w:val="00EE5E83"/>
    <w:rsid w:val="00EE6954"/>
    <w:rsid w:val="00EE6A82"/>
    <w:rsid w:val="00EE7092"/>
    <w:rsid w:val="00EF15E0"/>
    <w:rsid w:val="00EF2F5C"/>
    <w:rsid w:val="00EF3965"/>
    <w:rsid w:val="00EF52E2"/>
    <w:rsid w:val="00EF7590"/>
    <w:rsid w:val="00F00C2A"/>
    <w:rsid w:val="00F02000"/>
    <w:rsid w:val="00F024CA"/>
    <w:rsid w:val="00F027AA"/>
    <w:rsid w:val="00F03117"/>
    <w:rsid w:val="00F0311C"/>
    <w:rsid w:val="00F03373"/>
    <w:rsid w:val="00F0354F"/>
    <w:rsid w:val="00F04C7C"/>
    <w:rsid w:val="00F060E9"/>
    <w:rsid w:val="00F06C92"/>
    <w:rsid w:val="00F07B96"/>
    <w:rsid w:val="00F07DE2"/>
    <w:rsid w:val="00F07F48"/>
    <w:rsid w:val="00F1013F"/>
    <w:rsid w:val="00F10A99"/>
    <w:rsid w:val="00F138A2"/>
    <w:rsid w:val="00F14C80"/>
    <w:rsid w:val="00F154EB"/>
    <w:rsid w:val="00F20632"/>
    <w:rsid w:val="00F20808"/>
    <w:rsid w:val="00F20E56"/>
    <w:rsid w:val="00F21CED"/>
    <w:rsid w:val="00F23738"/>
    <w:rsid w:val="00F247C7"/>
    <w:rsid w:val="00F30846"/>
    <w:rsid w:val="00F30CAB"/>
    <w:rsid w:val="00F31174"/>
    <w:rsid w:val="00F32479"/>
    <w:rsid w:val="00F325AB"/>
    <w:rsid w:val="00F327DF"/>
    <w:rsid w:val="00F32E2C"/>
    <w:rsid w:val="00F33121"/>
    <w:rsid w:val="00F33769"/>
    <w:rsid w:val="00F356D2"/>
    <w:rsid w:val="00F358DA"/>
    <w:rsid w:val="00F36DEB"/>
    <w:rsid w:val="00F37F17"/>
    <w:rsid w:val="00F406FD"/>
    <w:rsid w:val="00F40D24"/>
    <w:rsid w:val="00F414D0"/>
    <w:rsid w:val="00F4722B"/>
    <w:rsid w:val="00F47D9D"/>
    <w:rsid w:val="00F50558"/>
    <w:rsid w:val="00F50A8E"/>
    <w:rsid w:val="00F544D2"/>
    <w:rsid w:val="00F55847"/>
    <w:rsid w:val="00F57142"/>
    <w:rsid w:val="00F5756D"/>
    <w:rsid w:val="00F62D81"/>
    <w:rsid w:val="00F62F79"/>
    <w:rsid w:val="00F630A2"/>
    <w:rsid w:val="00F63E59"/>
    <w:rsid w:val="00F643B2"/>
    <w:rsid w:val="00F64CBC"/>
    <w:rsid w:val="00F64F38"/>
    <w:rsid w:val="00F650BD"/>
    <w:rsid w:val="00F652AB"/>
    <w:rsid w:val="00F65942"/>
    <w:rsid w:val="00F65BE2"/>
    <w:rsid w:val="00F65E84"/>
    <w:rsid w:val="00F67651"/>
    <w:rsid w:val="00F72764"/>
    <w:rsid w:val="00F72AA0"/>
    <w:rsid w:val="00F761F7"/>
    <w:rsid w:val="00F76A40"/>
    <w:rsid w:val="00F77282"/>
    <w:rsid w:val="00F808C4"/>
    <w:rsid w:val="00F80C07"/>
    <w:rsid w:val="00F814BB"/>
    <w:rsid w:val="00F84F43"/>
    <w:rsid w:val="00F85BC0"/>
    <w:rsid w:val="00F87264"/>
    <w:rsid w:val="00F87B16"/>
    <w:rsid w:val="00F908E9"/>
    <w:rsid w:val="00F929C9"/>
    <w:rsid w:val="00F930B8"/>
    <w:rsid w:val="00F94E45"/>
    <w:rsid w:val="00F96295"/>
    <w:rsid w:val="00F96D19"/>
    <w:rsid w:val="00FA31AD"/>
    <w:rsid w:val="00FA3D24"/>
    <w:rsid w:val="00FA4BFE"/>
    <w:rsid w:val="00FA56D6"/>
    <w:rsid w:val="00FA595F"/>
    <w:rsid w:val="00FA6C24"/>
    <w:rsid w:val="00FA73E6"/>
    <w:rsid w:val="00FB338F"/>
    <w:rsid w:val="00FB3BA5"/>
    <w:rsid w:val="00FB651A"/>
    <w:rsid w:val="00FC0349"/>
    <w:rsid w:val="00FC0CB3"/>
    <w:rsid w:val="00FC2999"/>
    <w:rsid w:val="00FC35D0"/>
    <w:rsid w:val="00FC3C72"/>
    <w:rsid w:val="00FC3FC1"/>
    <w:rsid w:val="00FC5465"/>
    <w:rsid w:val="00FC697F"/>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7A3F"/>
    <w:rsid w:val="00FF10F6"/>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B3667CE"/>
  <w15:docId w15:val="{F02D0095-4960-4E4F-8626-E2B149F6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next w:val="Heading4"/>
    <w:qFormat/>
    <w:rsid w:val="00670C9E"/>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nhideWhenUsed/>
    <w:qFormat/>
    <w:rsid w:val="00670C9E"/>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customStyle="1" w:styleId="breadcrumbs">
    <w:name w:val="breadcrumbs"/>
    <w:rsid w:val="008154E0"/>
  </w:style>
  <w:style w:type="table" w:customStyle="1" w:styleId="TableGrid1">
    <w:name w:val="Table Grid1"/>
    <w:basedOn w:val="TableNormal"/>
    <w:next w:val="TableGrid"/>
    <w:rsid w:val="001D3DF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670C9E"/>
    <w:rPr>
      <w:rFonts w:asciiTheme="majorHAnsi" w:eastAsiaTheme="majorEastAsia" w:hAnsiTheme="majorHAnsi" w:cstheme="majorBidi"/>
      <w:b/>
      <w:bCs/>
      <w:i/>
      <w:iCs/>
      <w:sz w:val="24"/>
      <w:szCs w:val="24"/>
    </w:rPr>
  </w:style>
  <w:style w:type="paragraph" w:customStyle="1" w:styleId="Default">
    <w:name w:val="Default"/>
    <w:rsid w:val="009838A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hyperlink" Target="https://cacertappliances.energy.ca.gov/Login.aspx" TargetMode="External"/><Relationship Id="rId23" Type="http://schemas.openxmlformats.org/officeDocument/2006/relationships/oleObject" Target="embeddings/oleObject4.bin"/><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3" Type="http://schemas.openxmlformats.org/officeDocument/2006/relationships/hyperlink" Target="https://cacertappliances.energy.ca.gov/Pages/ApplianceSearch.aspx" TargetMode="External"/><Relationship Id="rId2" Type="http://schemas.openxmlformats.org/officeDocument/2006/relationships/hyperlink" Target="https://urldefense.proofpoint.com/v2/url?u=https-3A__www.energystar.gov_sites_default_files_asset_document_ENERGY-2520STAR-2520Lamps-2520V2-2520Revised-2520Spec.pdf&amp;d=DwMFAg&amp;c=Oo_p3A70ldcR7Q3zeyon7Q&amp;r=M7ZuqrjnCKKdd6iZuPafHA&amp;m=psO7v846uQkM-QeHy1Xlz-JUn0JETLA2stvrtYiw4Gg&amp;s=PUnkpZ2kuGRgddGRQtwlMgF0gTNkA-ouIUUmzW55Ys8&amp;e=" TargetMode="External"/><Relationship Id="rId1" Type="http://schemas.openxmlformats.org/officeDocument/2006/relationships/hyperlink" Target="http://www.energy.ca.gov/business_meetings/2017_packets/2017-12-13/Item_01e_VoluntaryLEDSpec/Voluntary%20CA%20Quality%20Spec%20v.3.1.pdf"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21866860-B8E3-4935-951F-11362E5CEBC5}">
  <ds:schemaRefs>
    <ds:schemaRef ds:uri="http://schemas.microsoft.com/sharepoint/v3/contenttype/forms"/>
  </ds:schemaRefs>
</ds:datastoreItem>
</file>

<file path=customXml/itemProps2.xml><?xml version="1.0" encoding="utf-8"?>
<ds:datastoreItem xmlns:ds="http://schemas.openxmlformats.org/officeDocument/2006/customXml" ds:itemID="{73579AE7-0808-4D72-B166-C02B99115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7EB134-5D4C-45A0-B694-D293FDE39DFF}">
  <ds:schemaRef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793DD3C-B35B-4C93-9717-C5E80F97E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375</TotalTime>
  <Pages>16</Pages>
  <Words>5024</Words>
  <Characters>28643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33600</CharactersWithSpaces>
  <SharedDoc>false</SharedDoc>
  <HLinks>
    <vt:vector size="234" baseType="variant">
      <vt:variant>
        <vt:i4>5832799</vt:i4>
      </vt:variant>
      <vt:variant>
        <vt:i4>228</vt:i4>
      </vt:variant>
      <vt:variant>
        <vt:i4>0</vt:i4>
      </vt:variant>
      <vt:variant>
        <vt:i4>5</vt:i4>
      </vt:variant>
      <vt:variant>
        <vt:lpwstr>http://www.deeresources.com/</vt:lpwstr>
      </vt:variant>
      <vt:variant>
        <vt:lpwstr/>
      </vt:variant>
      <vt:variant>
        <vt:i4>1179697</vt:i4>
      </vt:variant>
      <vt:variant>
        <vt:i4>221</vt:i4>
      </vt:variant>
      <vt:variant>
        <vt:i4>0</vt:i4>
      </vt:variant>
      <vt:variant>
        <vt:i4>5</vt:i4>
      </vt:variant>
      <vt:variant>
        <vt:lpwstr/>
      </vt:variant>
      <vt:variant>
        <vt:lpwstr>_Toc387238676</vt:lpwstr>
      </vt:variant>
      <vt:variant>
        <vt:i4>1179697</vt:i4>
      </vt:variant>
      <vt:variant>
        <vt:i4>215</vt:i4>
      </vt:variant>
      <vt:variant>
        <vt:i4>0</vt:i4>
      </vt:variant>
      <vt:variant>
        <vt:i4>5</vt:i4>
      </vt:variant>
      <vt:variant>
        <vt:lpwstr/>
      </vt:variant>
      <vt:variant>
        <vt:lpwstr>_Toc387238675</vt:lpwstr>
      </vt:variant>
      <vt:variant>
        <vt:i4>1179697</vt:i4>
      </vt:variant>
      <vt:variant>
        <vt:i4>209</vt:i4>
      </vt:variant>
      <vt:variant>
        <vt:i4>0</vt:i4>
      </vt:variant>
      <vt:variant>
        <vt:i4>5</vt:i4>
      </vt:variant>
      <vt:variant>
        <vt:lpwstr/>
      </vt:variant>
      <vt:variant>
        <vt:lpwstr>_Toc387238674</vt:lpwstr>
      </vt:variant>
      <vt:variant>
        <vt:i4>1179697</vt:i4>
      </vt:variant>
      <vt:variant>
        <vt:i4>203</vt:i4>
      </vt:variant>
      <vt:variant>
        <vt:i4>0</vt:i4>
      </vt:variant>
      <vt:variant>
        <vt:i4>5</vt:i4>
      </vt:variant>
      <vt:variant>
        <vt:lpwstr/>
      </vt:variant>
      <vt:variant>
        <vt:lpwstr>_Toc387238673</vt:lpwstr>
      </vt:variant>
      <vt:variant>
        <vt:i4>1179697</vt:i4>
      </vt:variant>
      <vt:variant>
        <vt:i4>197</vt:i4>
      </vt:variant>
      <vt:variant>
        <vt:i4>0</vt:i4>
      </vt:variant>
      <vt:variant>
        <vt:i4>5</vt:i4>
      </vt:variant>
      <vt:variant>
        <vt:lpwstr/>
      </vt:variant>
      <vt:variant>
        <vt:lpwstr>_Toc387238672</vt:lpwstr>
      </vt:variant>
      <vt:variant>
        <vt:i4>1179697</vt:i4>
      </vt:variant>
      <vt:variant>
        <vt:i4>191</vt:i4>
      </vt:variant>
      <vt:variant>
        <vt:i4>0</vt:i4>
      </vt:variant>
      <vt:variant>
        <vt:i4>5</vt:i4>
      </vt:variant>
      <vt:variant>
        <vt:lpwstr/>
      </vt:variant>
      <vt:variant>
        <vt:lpwstr>_Toc387238671</vt:lpwstr>
      </vt:variant>
      <vt:variant>
        <vt:i4>1179697</vt:i4>
      </vt:variant>
      <vt:variant>
        <vt:i4>185</vt:i4>
      </vt:variant>
      <vt:variant>
        <vt:i4>0</vt:i4>
      </vt:variant>
      <vt:variant>
        <vt:i4>5</vt:i4>
      </vt:variant>
      <vt:variant>
        <vt:lpwstr/>
      </vt:variant>
      <vt:variant>
        <vt:lpwstr>_Toc387238670</vt:lpwstr>
      </vt:variant>
      <vt:variant>
        <vt:i4>1245233</vt:i4>
      </vt:variant>
      <vt:variant>
        <vt:i4>179</vt:i4>
      </vt:variant>
      <vt:variant>
        <vt:i4>0</vt:i4>
      </vt:variant>
      <vt:variant>
        <vt:i4>5</vt:i4>
      </vt:variant>
      <vt:variant>
        <vt:lpwstr/>
      </vt:variant>
      <vt:variant>
        <vt:lpwstr>_Toc387238669</vt:lpwstr>
      </vt:variant>
      <vt:variant>
        <vt:i4>1245233</vt:i4>
      </vt:variant>
      <vt:variant>
        <vt:i4>173</vt:i4>
      </vt:variant>
      <vt:variant>
        <vt:i4>0</vt:i4>
      </vt:variant>
      <vt:variant>
        <vt:i4>5</vt:i4>
      </vt:variant>
      <vt:variant>
        <vt:lpwstr/>
      </vt:variant>
      <vt:variant>
        <vt:lpwstr>_Toc387238668</vt:lpwstr>
      </vt:variant>
      <vt:variant>
        <vt:i4>1245233</vt:i4>
      </vt:variant>
      <vt:variant>
        <vt:i4>167</vt:i4>
      </vt:variant>
      <vt:variant>
        <vt:i4>0</vt:i4>
      </vt:variant>
      <vt:variant>
        <vt:i4>5</vt:i4>
      </vt:variant>
      <vt:variant>
        <vt:lpwstr/>
      </vt:variant>
      <vt:variant>
        <vt:lpwstr>_Toc387238667</vt:lpwstr>
      </vt:variant>
      <vt:variant>
        <vt:i4>1245233</vt:i4>
      </vt:variant>
      <vt:variant>
        <vt:i4>161</vt:i4>
      </vt:variant>
      <vt:variant>
        <vt:i4>0</vt:i4>
      </vt:variant>
      <vt:variant>
        <vt:i4>5</vt:i4>
      </vt:variant>
      <vt:variant>
        <vt:lpwstr/>
      </vt:variant>
      <vt:variant>
        <vt:lpwstr>_Toc387238666</vt:lpwstr>
      </vt:variant>
      <vt:variant>
        <vt:i4>1572915</vt:i4>
      </vt:variant>
      <vt:variant>
        <vt:i4>152</vt:i4>
      </vt:variant>
      <vt:variant>
        <vt:i4>0</vt:i4>
      </vt:variant>
      <vt:variant>
        <vt:i4>5</vt:i4>
      </vt:variant>
      <vt:variant>
        <vt:lpwstr/>
      </vt:variant>
      <vt:variant>
        <vt:lpwstr>_Toc387327531</vt:lpwstr>
      </vt:variant>
      <vt:variant>
        <vt:i4>1572915</vt:i4>
      </vt:variant>
      <vt:variant>
        <vt:i4>146</vt:i4>
      </vt:variant>
      <vt:variant>
        <vt:i4>0</vt:i4>
      </vt:variant>
      <vt:variant>
        <vt:i4>5</vt:i4>
      </vt:variant>
      <vt:variant>
        <vt:lpwstr/>
      </vt:variant>
      <vt:variant>
        <vt:lpwstr>_Toc387327530</vt:lpwstr>
      </vt:variant>
      <vt:variant>
        <vt:i4>1638451</vt:i4>
      </vt:variant>
      <vt:variant>
        <vt:i4>140</vt:i4>
      </vt:variant>
      <vt:variant>
        <vt:i4>0</vt:i4>
      </vt:variant>
      <vt:variant>
        <vt:i4>5</vt:i4>
      </vt:variant>
      <vt:variant>
        <vt:lpwstr/>
      </vt:variant>
      <vt:variant>
        <vt:lpwstr>_Toc387327529</vt:lpwstr>
      </vt:variant>
      <vt:variant>
        <vt:i4>1638451</vt:i4>
      </vt:variant>
      <vt:variant>
        <vt:i4>134</vt:i4>
      </vt:variant>
      <vt:variant>
        <vt:i4>0</vt:i4>
      </vt:variant>
      <vt:variant>
        <vt:i4>5</vt:i4>
      </vt:variant>
      <vt:variant>
        <vt:lpwstr/>
      </vt:variant>
      <vt:variant>
        <vt:lpwstr>_Toc387327528</vt:lpwstr>
      </vt:variant>
      <vt:variant>
        <vt:i4>1638451</vt:i4>
      </vt:variant>
      <vt:variant>
        <vt:i4>128</vt:i4>
      </vt:variant>
      <vt:variant>
        <vt:i4>0</vt:i4>
      </vt:variant>
      <vt:variant>
        <vt:i4>5</vt:i4>
      </vt:variant>
      <vt:variant>
        <vt:lpwstr/>
      </vt:variant>
      <vt:variant>
        <vt:lpwstr>_Toc387327527</vt:lpwstr>
      </vt:variant>
      <vt:variant>
        <vt:i4>1638451</vt:i4>
      </vt:variant>
      <vt:variant>
        <vt:i4>122</vt:i4>
      </vt:variant>
      <vt:variant>
        <vt:i4>0</vt:i4>
      </vt:variant>
      <vt:variant>
        <vt:i4>5</vt:i4>
      </vt:variant>
      <vt:variant>
        <vt:lpwstr/>
      </vt:variant>
      <vt:variant>
        <vt:lpwstr>_Toc387327526</vt:lpwstr>
      </vt:variant>
      <vt:variant>
        <vt:i4>1638451</vt:i4>
      </vt:variant>
      <vt:variant>
        <vt:i4>116</vt:i4>
      </vt:variant>
      <vt:variant>
        <vt:i4>0</vt:i4>
      </vt:variant>
      <vt:variant>
        <vt:i4>5</vt:i4>
      </vt:variant>
      <vt:variant>
        <vt:lpwstr/>
      </vt:variant>
      <vt:variant>
        <vt:lpwstr>_Toc387327525</vt:lpwstr>
      </vt:variant>
      <vt:variant>
        <vt:i4>1638451</vt:i4>
      </vt:variant>
      <vt:variant>
        <vt:i4>110</vt:i4>
      </vt:variant>
      <vt:variant>
        <vt:i4>0</vt:i4>
      </vt:variant>
      <vt:variant>
        <vt:i4>5</vt:i4>
      </vt:variant>
      <vt:variant>
        <vt:lpwstr/>
      </vt:variant>
      <vt:variant>
        <vt:lpwstr>_Toc387327524</vt:lpwstr>
      </vt:variant>
      <vt:variant>
        <vt:i4>1638451</vt:i4>
      </vt:variant>
      <vt:variant>
        <vt:i4>104</vt:i4>
      </vt:variant>
      <vt:variant>
        <vt:i4>0</vt:i4>
      </vt:variant>
      <vt:variant>
        <vt:i4>5</vt:i4>
      </vt:variant>
      <vt:variant>
        <vt:lpwstr/>
      </vt:variant>
      <vt:variant>
        <vt:lpwstr>_Toc387327523</vt:lpwstr>
      </vt:variant>
      <vt:variant>
        <vt:i4>1638451</vt:i4>
      </vt:variant>
      <vt:variant>
        <vt:i4>98</vt:i4>
      </vt:variant>
      <vt:variant>
        <vt:i4>0</vt:i4>
      </vt:variant>
      <vt:variant>
        <vt:i4>5</vt:i4>
      </vt:variant>
      <vt:variant>
        <vt:lpwstr/>
      </vt:variant>
      <vt:variant>
        <vt:lpwstr>_Toc387327522</vt:lpwstr>
      </vt:variant>
      <vt:variant>
        <vt:i4>1638451</vt:i4>
      </vt:variant>
      <vt:variant>
        <vt:i4>92</vt:i4>
      </vt:variant>
      <vt:variant>
        <vt:i4>0</vt:i4>
      </vt:variant>
      <vt:variant>
        <vt:i4>5</vt:i4>
      </vt:variant>
      <vt:variant>
        <vt:lpwstr/>
      </vt:variant>
      <vt:variant>
        <vt:lpwstr>_Toc387327521</vt:lpwstr>
      </vt:variant>
      <vt:variant>
        <vt:i4>1638451</vt:i4>
      </vt:variant>
      <vt:variant>
        <vt:i4>86</vt:i4>
      </vt:variant>
      <vt:variant>
        <vt:i4>0</vt:i4>
      </vt:variant>
      <vt:variant>
        <vt:i4>5</vt:i4>
      </vt:variant>
      <vt:variant>
        <vt:lpwstr/>
      </vt:variant>
      <vt:variant>
        <vt:lpwstr>_Toc387327520</vt:lpwstr>
      </vt:variant>
      <vt:variant>
        <vt:i4>1703987</vt:i4>
      </vt:variant>
      <vt:variant>
        <vt:i4>80</vt:i4>
      </vt:variant>
      <vt:variant>
        <vt:i4>0</vt:i4>
      </vt:variant>
      <vt:variant>
        <vt:i4>5</vt:i4>
      </vt:variant>
      <vt:variant>
        <vt:lpwstr/>
      </vt:variant>
      <vt:variant>
        <vt:lpwstr>_Toc387327519</vt:lpwstr>
      </vt:variant>
      <vt:variant>
        <vt:i4>1703987</vt:i4>
      </vt:variant>
      <vt:variant>
        <vt:i4>74</vt:i4>
      </vt:variant>
      <vt:variant>
        <vt:i4>0</vt:i4>
      </vt:variant>
      <vt:variant>
        <vt:i4>5</vt:i4>
      </vt:variant>
      <vt:variant>
        <vt:lpwstr/>
      </vt:variant>
      <vt:variant>
        <vt:lpwstr>_Toc387327518</vt:lpwstr>
      </vt:variant>
      <vt:variant>
        <vt:i4>1703987</vt:i4>
      </vt:variant>
      <vt:variant>
        <vt:i4>68</vt:i4>
      </vt:variant>
      <vt:variant>
        <vt:i4>0</vt:i4>
      </vt:variant>
      <vt:variant>
        <vt:i4>5</vt:i4>
      </vt:variant>
      <vt:variant>
        <vt:lpwstr/>
      </vt:variant>
      <vt:variant>
        <vt:lpwstr>_Toc387327517</vt:lpwstr>
      </vt:variant>
      <vt:variant>
        <vt:i4>1703987</vt:i4>
      </vt:variant>
      <vt:variant>
        <vt:i4>62</vt:i4>
      </vt:variant>
      <vt:variant>
        <vt:i4>0</vt:i4>
      </vt:variant>
      <vt:variant>
        <vt:i4>5</vt:i4>
      </vt:variant>
      <vt:variant>
        <vt:lpwstr/>
      </vt:variant>
      <vt:variant>
        <vt:lpwstr>_Toc387327516</vt:lpwstr>
      </vt:variant>
      <vt:variant>
        <vt:i4>1703987</vt:i4>
      </vt:variant>
      <vt:variant>
        <vt:i4>56</vt:i4>
      </vt:variant>
      <vt:variant>
        <vt:i4>0</vt:i4>
      </vt:variant>
      <vt:variant>
        <vt:i4>5</vt:i4>
      </vt:variant>
      <vt:variant>
        <vt:lpwstr/>
      </vt:variant>
      <vt:variant>
        <vt:lpwstr>_Toc387327515</vt:lpwstr>
      </vt:variant>
      <vt:variant>
        <vt:i4>1703987</vt:i4>
      </vt:variant>
      <vt:variant>
        <vt:i4>50</vt:i4>
      </vt:variant>
      <vt:variant>
        <vt:i4>0</vt:i4>
      </vt:variant>
      <vt:variant>
        <vt:i4>5</vt:i4>
      </vt:variant>
      <vt:variant>
        <vt:lpwstr/>
      </vt:variant>
      <vt:variant>
        <vt:lpwstr>_Toc387327514</vt:lpwstr>
      </vt:variant>
      <vt:variant>
        <vt:i4>1703987</vt:i4>
      </vt:variant>
      <vt:variant>
        <vt:i4>44</vt:i4>
      </vt:variant>
      <vt:variant>
        <vt:i4>0</vt:i4>
      </vt:variant>
      <vt:variant>
        <vt:i4>5</vt:i4>
      </vt:variant>
      <vt:variant>
        <vt:lpwstr/>
      </vt:variant>
      <vt:variant>
        <vt:lpwstr>_Toc387327513</vt:lpwstr>
      </vt:variant>
      <vt:variant>
        <vt:i4>1703987</vt:i4>
      </vt:variant>
      <vt:variant>
        <vt:i4>38</vt:i4>
      </vt:variant>
      <vt:variant>
        <vt:i4>0</vt:i4>
      </vt:variant>
      <vt:variant>
        <vt:i4>5</vt:i4>
      </vt:variant>
      <vt:variant>
        <vt:lpwstr/>
      </vt:variant>
      <vt:variant>
        <vt:lpwstr>_Toc387327512</vt:lpwstr>
      </vt:variant>
      <vt:variant>
        <vt:i4>1703987</vt:i4>
      </vt:variant>
      <vt:variant>
        <vt:i4>32</vt:i4>
      </vt:variant>
      <vt:variant>
        <vt:i4>0</vt:i4>
      </vt:variant>
      <vt:variant>
        <vt:i4>5</vt:i4>
      </vt:variant>
      <vt:variant>
        <vt:lpwstr/>
      </vt:variant>
      <vt:variant>
        <vt:lpwstr>_Toc387327511</vt:lpwstr>
      </vt:variant>
      <vt:variant>
        <vt:i4>1703987</vt:i4>
      </vt:variant>
      <vt:variant>
        <vt:i4>26</vt:i4>
      </vt:variant>
      <vt:variant>
        <vt:i4>0</vt:i4>
      </vt:variant>
      <vt:variant>
        <vt:i4>5</vt:i4>
      </vt:variant>
      <vt:variant>
        <vt:lpwstr/>
      </vt:variant>
      <vt:variant>
        <vt:lpwstr>_Toc387327510</vt:lpwstr>
      </vt:variant>
      <vt:variant>
        <vt:i4>1769523</vt:i4>
      </vt:variant>
      <vt:variant>
        <vt:i4>20</vt:i4>
      </vt:variant>
      <vt:variant>
        <vt:i4>0</vt:i4>
      </vt:variant>
      <vt:variant>
        <vt:i4>5</vt:i4>
      </vt:variant>
      <vt:variant>
        <vt:lpwstr/>
      </vt:variant>
      <vt:variant>
        <vt:lpwstr>_Toc387327509</vt:lpwstr>
      </vt:variant>
      <vt:variant>
        <vt:i4>1769523</vt:i4>
      </vt:variant>
      <vt:variant>
        <vt:i4>14</vt:i4>
      </vt:variant>
      <vt:variant>
        <vt:i4>0</vt:i4>
      </vt:variant>
      <vt:variant>
        <vt:i4>5</vt:i4>
      </vt:variant>
      <vt:variant>
        <vt:lpwstr/>
      </vt:variant>
      <vt:variant>
        <vt:lpwstr>_Toc387327508</vt:lpwstr>
      </vt:variant>
      <vt:variant>
        <vt:i4>1769523</vt:i4>
      </vt:variant>
      <vt:variant>
        <vt:i4>8</vt:i4>
      </vt:variant>
      <vt:variant>
        <vt:i4>0</vt:i4>
      </vt:variant>
      <vt:variant>
        <vt:i4>5</vt:i4>
      </vt:variant>
      <vt:variant>
        <vt:lpwstr/>
      </vt:variant>
      <vt:variant>
        <vt:lpwstr>_Toc387327507</vt:lpwstr>
      </vt:variant>
      <vt:variant>
        <vt:i4>1769523</vt:i4>
      </vt:variant>
      <vt:variant>
        <vt:i4>2</vt:i4>
      </vt:variant>
      <vt:variant>
        <vt:i4>0</vt:i4>
      </vt:variant>
      <vt:variant>
        <vt:i4>5</vt:i4>
      </vt:variant>
      <vt:variant>
        <vt:lpwstr/>
      </vt:variant>
      <vt:variant>
        <vt:lpwstr>_Toc387327506</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Anbarlilar, Can</cp:lastModifiedBy>
  <cp:revision>34</cp:revision>
  <cp:lastPrinted>2017-06-13T18:49:00Z</cp:lastPrinted>
  <dcterms:created xsi:type="dcterms:W3CDTF">2018-04-30T04:02:00Z</dcterms:created>
  <dcterms:modified xsi:type="dcterms:W3CDTF">2018-05-01T00:31:00Z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