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Override PartName="/word/footer6.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C20458" w:rsidRDefault="003129E8" w:rsidP="00DD6B5E">
      <w:pPr>
        <w:jc w:val="right"/>
        <w:rPr>
          <w:rFonts w:ascii="Arial" w:hAnsi="Arial" w:cs="Arial"/>
          <w:b/>
          <w:sz w:val="48"/>
          <w:szCs w:val="48"/>
        </w:rPr>
      </w:pPr>
      <w:bookmarkStart w:id="0" w:name="_Toc153189646"/>
      <w:r w:rsidRPr="00C20458">
        <w:rPr>
          <w:rFonts w:ascii="Arial" w:hAnsi="Arial" w:cs="Arial"/>
          <w:b/>
          <w:sz w:val="48"/>
          <w:szCs w:val="48"/>
        </w:rPr>
        <w:t xml:space="preserve">Work Paper </w:t>
      </w:r>
      <w:bookmarkEnd w:id="0"/>
      <w:r w:rsidR="00480C7E" w:rsidRPr="00C20458">
        <w:rPr>
          <w:rFonts w:ascii="Arial" w:hAnsi="Arial" w:cs="Arial"/>
          <w:b/>
          <w:sz w:val="48"/>
          <w:szCs w:val="48"/>
        </w:rPr>
        <w:t>PGE</w:t>
      </w:r>
      <w:r w:rsidR="00C64AF4" w:rsidRPr="00C64AF4">
        <w:rPr>
          <w:rFonts w:ascii="Arial" w:hAnsi="Arial" w:cs="Arial"/>
          <w:b/>
          <w:sz w:val="48"/>
          <w:szCs w:val="48"/>
        </w:rPr>
        <w:t>CO</w:t>
      </w:r>
      <w:r w:rsidR="00C64AF4">
        <w:rPr>
          <w:rFonts w:ascii="Arial" w:hAnsi="Arial" w:cs="Arial"/>
          <w:b/>
          <w:sz w:val="48"/>
          <w:szCs w:val="48"/>
        </w:rPr>
        <w:t>LTG</w:t>
      </w:r>
      <w:r w:rsidR="00BD0A12">
        <w:rPr>
          <w:rFonts w:ascii="Arial" w:hAnsi="Arial" w:cs="Arial"/>
          <w:b/>
          <w:sz w:val="48"/>
          <w:szCs w:val="48"/>
        </w:rPr>
        <w:t>176</w:t>
      </w:r>
    </w:p>
    <w:p w:rsidR="00A167EC" w:rsidRPr="00C20458" w:rsidRDefault="00F10A99" w:rsidP="00A167EC">
      <w:pPr>
        <w:jc w:val="right"/>
        <w:rPr>
          <w:rFonts w:ascii="Arial" w:hAnsi="Arial" w:cs="Arial"/>
          <w:b/>
          <w:sz w:val="48"/>
          <w:szCs w:val="48"/>
        </w:rPr>
      </w:pPr>
      <w:r w:rsidRPr="00C20458">
        <w:rPr>
          <w:rFonts w:ascii="Arial" w:hAnsi="Arial" w:cs="Arial"/>
          <w:b/>
          <w:sz w:val="48"/>
          <w:szCs w:val="48"/>
        </w:rPr>
        <w:t xml:space="preserve"> </w:t>
      </w:r>
      <w:r w:rsidR="00C20458" w:rsidRPr="00C20458">
        <w:rPr>
          <w:rFonts w:ascii="Arial" w:hAnsi="Arial" w:cs="Arial"/>
          <w:b/>
          <w:sz w:val="48"/>
          <w:szCs w:val="48"/>
        </w:rPr>
        <w:t>Dimmable Fluorescent Ballasts</w:t>
      </w:r>
    </w:p>
    <w:p w:rsidR="003129E8" w:rsidRDefault="003129E8" w:rsidP="002E0043">
      <w:pPr>
        <w:jc w:val="right"/>
        <w:rPr>
          <w:rFonts w:ascii="Arial" w:hAnsi="Arial" w:cs="Arial"/>
          <w:b/>
          <w:sz w:val="48"/>
          <w:szCs w:val="48"/>
        </w:rPr>
      </w:pPr>
      <w:bookmarkStart w:id="1" w:name="_Toc153189647"/>
      <w:r w:rsidRPr="00C20458">
        <w:rPr>
          <w:rFonts w:ascii="Arial" w:hAnsi="Arial" w:cs="Arial"/>
          <w:b/>
          <w:sz w:val="48"/>
          <w:szCs w:val="48"/>
        </w:rPr>
        <w:t>Revision #</w:t>
      </w:r>
      <w:bookmarkEnd w:id="1"/>
      <w:r w:rsidR="00D7047A" w:rsidRPr="00C20458">
        <w:rPr>
          <w:rFonts w:ascii="Arial" w:hAnsi="Arial" w:cs="Arial"/>
          <w:b/>
          <w:sz w:val="48"/>
          <w:szCs w:val="48"/>
        </w:rPr>
        <w:t xml:space="preserve"> </w:t>
      </w:r>
      <w:r w:rsidR="00D43007">
        <w:rPr>
          <w:rFonts w:ascii="Arial" w:hAnsi="Arial" w:cs="Arial"/>
          <w:b/>
          <w:sz w:val="48"/>
          <w:szCs w:val="48"/>
        </w:rPr>
        <w:t>2</w:t>
      </w:r>
    </w:p>
    <w:p w:rsidR="003129E8" w:rsidRPr="00C20458" w:rsidRDefault="003129E8" w:rsidP="003129E8"/>
    <w:p w:rsidR="00D7047A" w:rsidRPr="00C20458" w:rsidRDefault="00DD6B5E" w:rsidP="00D7047A">
      <w:pPr>
        <w:pBdr>
          <w:bottom w:val="single" w:sz="4" w:space="1" w:color="auto"/>
        </w:pBdr>
        <w:rPr>
          <w:rFonts w:ascii="Arial" w:hAnsi="Arial" w:cs="Arial"/>
          <w:b/>
          <w:sz w:val="36"/>
          <w:szCs w:val="36"/>
        </w:rPr>
      </w:pPr>
      <w:r w:rsidRPr="00C20458">
        <w:rPr>
          <w:rFonts w:ascii="Arial" w:hAnsi="Arial" w:cs="Arial"/>
          <w:b/>
          <w:sz w:val="36"/>
          <w:szCs w:val="36"/>
        </w:rPr>
        <w:t>Pacific Gas &amp; Electric</w:t>
      </w:r>
      <w:r w:rsidR="00DF21B8" w:rsidRPr="00C20458">
        <w:rPr>
          <w:rFonts w:ascii="Arial" w:hAnsi="Arial" w:cs="Arial"/>
          <w:b/>
          <w:sz w:val="36"/>
          <w:szCs w:val="36"/>
        </w:rPr>
        <w:t xml:space="preserve"> Company</w:t>
      </w:r>
    </w:p>
    <w:p w:rsidR="00D7047A" w:rsidRPr="00C20458" w:rsidRDefault="00790593" w:rsidP="00D7047A">
      <w:pPr>
        <w:rPr>
          <w:rFonts w:ascii="Arial" w:hAnsi="Arial" w:cs="Arial"/>
          <w:b/>
          <w:sz w:val="32"/>
          <w:szCs w:val="32"/>
        </w:rPr>
      </w:pPr>
      <w:r>
        <w:rPr>
          <w:rFonts w:ascii="Arial" w:hAnsi="Arial" w:cs="Arial"/>
          <w:b/>
          <w:sz w:val="32"/>
          <w:szCs w:val="32"/>
        </w:rPr>
        <w:t>Customer Energy Solutions Department</w:t>
      </w:r>
    </w:p>
    <w:p w:rsidR="00C20458" w:rsidRPr="00C20458" w:rsidRDefault="00C20458" w:rsidP="00A167EC">
      <w:pPr>
        <w:ind w:right="-720"/>
        <w:rPr>
          <w:rFonts w:ascii="Arial" w:hAnsi="Arial" w:cs="Arial"/>
          <w:b/>
          <w:sz w:val="72"/>
          <w:szCs w:val="72"/>
        </w:rPr>
      </w:pPr>
    </w:p>
    <w:p w:rsidR="00C20458" w:rsidRPr="00C20458" w:rsidRDefault="00C20458" w:rsidP="00A167EC">
      <w:pPr>
        <w:ind w:right="-720"/>
        <w:rPr>
          <w:rFonts w:ascii="Arial" w:hAnsi="Arial" w:cs="Arial"/>
          <w:b/>
          <w:sz w:val="72"/>
          <w:szCs w:val="72"/>
        </w:rPr>
      </w:pPr>
    </w:p>
    <w:p w:rsidR="00324D0F" w:rsidRPr="00C20458" w:rsidRDefault="00C20458" w:rsidP="00A167EC">
      <w:pPr>
        <w:ind w:right="-720"/>
        <w:rPr>
          <w:rFonts w:ascii="Arial" w:hAnsi="Arial" w:cs="Arial"/>
          <w:b/>
        </w:rPr>
      </w:pPr>
      <w:r w:rsidRPr="00C20458">
        <w:rPr>
          <w:rFonts w:ascii="Arial" w:hAnsi="Arial" w:cs="Arial"/>
          <w:b/>
          <w:sz w:val="72"/>
          <w:szCs w:val="72"/>
        </w:rPr>
        <w:t>Dimmable Fluorescent Ballasts</w:t>
      </w:r>
      <w:r w:rsidR="00735CB1" w:rsidRPr="00C20458">
        <w:rPr>
          <w:rFonts w:ascii="Arial" w:hAnsi="Arial" w:cs="Arial"/>
          <w:b/>
          <w:sz w:val="72"/>
          <w:szCs w:val="72"/>
        </w:rPr>
        <w:t xml:space="preserve"> </w:t>
      </w:r>
    </w:p>
    <w:p w:rsidR="00B421F2" w:rsidRPr="00CB3583" w:rsidRDefault="00A167EC" w:rsidP="002D4621">
      <w:pPr>
        <w:ind w:right="-720"/>
        <w:rPr>
          <w:rFonts w:ascii="Arial" w:hAnsi="Arial" w:cs="Arial"/>
          <w:b/>
          <w:color w:val="FF0000"/>
        </w:rPr>
      </w:pPr>
      <w:r w:rsidRPr="00CB3583">
        <w:rPr>
          <w:rFonts w:ascii="Arial" w:hAnsi="Arial" w:cs="Arial"/>
          <w:b/>
        </w:rPr>
        <w:t>Measure Codes</w:t>
      </w:r>
      <w:r w:rsidR="00511E1B" w:rsidRPr="00120342">
        <w:rPr>
          <w:rFonts w:ascii="Arial" w:hAnsi="Arial" w:cs="Arial"/>
          <w:b/>
        </w:rPr>
        <w:t xml:space="preserve"> </w:t>
      </w:r>
      <w:r w:rsidR="00221B69" w:rsidRPr="00120342">
        <w:rPr>
          <w:rFonts w:ascii="Arial" w:hAnsi="Arial" w:cs="Arial"/>
          <w:b/>
        </w:rPr>
        <w:t>L</w:t>
      </w:r>
      <w:r w:rsidR="00120342" w:rsidRPr="00120342">
        <w:rPr>
          <w:rFonts w:ascii="Arial" w:hAnsi="Arial" w:cs="Arial"/>
          <w:b/>
        </w:rPr>
        <w:t>0337</w:t>
      </w:r>
      <w:r w:rsidRPr="00120342">
        <w:rPr>
          <w:rFonts w:ascii="Arial" w:hAnsi="Arial" w:cs="Arial"/>
          <w:b/>
        </w:rPr>
        <w:t xml:space="preserve">, </w:t>
      </w:r>
      <w:r w:rsidR="00221B69" w:rsidRPr="00120342">
        <w:rPr>
          <w:rFonts w:ascii="Arial" w:hAnsi="Arial" w:cs="Arial"/>
          <w:b/>
        </w:rPr>
        <w:t>L</w:t>
      </w:r>
      <w:r w:rsidR="00120342" w:rsidRPr="00120342">
        <w:rPr>
          <w:rFonts w:ascii="Arial" w:hAnsi="Arial" w:cs="Arial"/>
          <w:b/>
        </w:rPr>
        <w:t>0338</w:t>
      </w:r>
    </w:p>
    <w:p w:rsidR="00E84DBD" w:rsidRPr="00B421F2" w:rsidRDefault="00844B27" w:rsidP="00844B27">
      <w:pPr>
        <w:rPr>
          <w:rFonts w:ascii="Arial" w:hAnsi="Arial" w:cs="Arial"/>
          <w:b/>
        </w:rPr>
        <w:sectPr w:rsidR="00E84DBD" w:rsidRPr="00B421F2" w:rsidSect="00E03431">
          <w:headerReference w:type="even" r:id="rId9"/>
          <w:headerReference w:type="default" r:id="rId10"/>
          <w:footerReference w:type="even" r:id="rId11"/>
          <w:footerReference w:type="default" r:id="rId12"/>
          <w:footerReference w:type="first" r:id="rId13"/>
          <w:endnotePr>
            <w:numFmt w:val="decimal"/>
          </w:endnotePr>
          <w:pgSz w:w="12240" w:h="15840" w:code="1"/>
          <w:pgMar w:top="1440" w:right="1800" w:bottom="1440" w:left="1800" w:header="720" w:footer="720" w:gutter="0"/>
          <w:pgNumType w:fmt="lowerRoman"/>
          <w:cols w:space="720"/>
          <w:titlePg/>
          <w:docGrid w:linePitch="360"/>
        </w:sectPr>
      </w:pPr>
      <w:r w:rsidRPr="00B421F2">
        <w:rPr>
          <w:rFonts w:ascii="Arial" w:hAnsi="Arial" w:cs="Arial"/>
          <w:b/>
        </w:rPr>
        <w:t xml:space="preserve"> </w:t>
      </w:r>
    </w:p>
    <w:p w:rsidR="00E71EF1" w:rsidRDefault="00E731C6" w:rsidP="00E71EF1">
      <w:pPr>
        <w:pStyle w:val="Heading1"/>
      </w:pPr>
      <w:bookmarkStart w:id="2" w:name="_Toc390769222"/>
      <w:r>
        <w:lastRenderedPageBreak/>
        <w:t>At-</w:t>
      </w:r>
      <w:r w:rsidR="00E71EF1">
        <w:t>a</w:t>
      </w:r>
      <w:r>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2743"/>
        <w:gridCol w:w="2744"/>
      </w:tblGrid>
      <w:tr w:rsidR="00B615BF" w:rsidRPr="00783DAC" w:rsidTr="00D43007">
        <w:trPr>
          <w:trHeight w:val="465"/>
        </w:trPr>
        <w:tc>
          <w:tcPr>
            <w:tcW w:w="4161" w:type="dxa"/>
            <w:shd w:val="pct20" w:color="000000" w:fill="FFFFFF"/>
          </w:tcPr>
          <w:p w:rsidR="00B615BF" w:rsidRPr="00783DAC" w:rsidRDefault="00B615BF" w:rsidP="0028709C">
            <w:pPr>
              <w:rPr>
                <w:b/>
                <w:bCs/>
              </w:rPr>
            </w:pPr>
            <w:r w:rsidRPr="00783DAC">
              <w:rPr>
                <w:b/>
                <w:bCs/>
              </w:rPr>
              <w:t>Applicable Measure Codes:</w:t>
            </w:r>
          </w:p>
        </w:tc>
        <w:tc>
          <w:tcPr>
            <w:tcW w:w="2743" w:type="dxa"/>
            <w:shd w:val="pct20" w:color="000000" w:fill="FFFFFF"/>
          </w:tcPr>
          <w:p w:rsidR="00B615BF" w:rsidRPr="00221B69" w:rsidRDefault="00B615BF" w:rsidP="006B69D4">
            <w:pPr>
              <w:rPr>
                <w:rFonts w:ascii="Arial" w:hAnsi="Arial" w:cs="Arial"/>
                <w:bCs/>
                <w:sz w:val="20"/>
                <w:szCs w:val="20"/>
              </w:rPr>
            </w:pPr>
            <w:r w:rsidRPr="00221B69">
              <w:rPr>
                <w:rFonts w:ascii="Arial" w:hAnsi="Arial" w:cs="Arial"/>
                <w:bCs/>
                <w:sz w:val="20"/>
                <w:szCs w:val="20"/>
              </w:rPr>
              <w:t>L</w:t>
            </w:r>
            <w:r>
              <w:rPr>
                <w:rFonts w:ascii="Arial" w:hAnsi="Arial" w:cs="Arial"/>
                <w:bCs/>
                <w:sz w:val="20"/>
                <w:szCs w:val="20"/>
              </w:rPr>
              <w:t>0337</w:t>
            </w:r>
          </w:p>
        </w:tc>
        <w:tc>
          <w:tcPr>
            <w:tcW w:w="2744" w:type="dxa"/>
            <w:shd w:val="pct20" w:color="000000" w:fill="FFFFFF"/>
          </w:tcPr>
          <w:p w:rsidR="00B615BF" w:rsidRPr="00221B69" w:rsidRDefault="00B615BF" w:rsidP="006B69D4">
            <w:pPr>
              <w:rPr>
                <w:rFonts w:ascii="Arial" w:hAnsi="Arial" w:cs="Arial"/>
                <w:bCs/>
                <w:sz w:val="20"/>
                <w:szCs w:val="20"/>
              </w:rPr>
            </w:pPr>
            <w:r w:rsidRPr="00221B69">
              <w:rPr>
                <w:rFonts w:ascii="Arial" w:hAnsi="Arial" w:cs="Arial"/>
                <w:bCs/>
                <w:sz w:val="20"/>
                <w:szCs w:val="20"/>
              </w:rPr>
              <w:t>L</w:t>
            </w:r>
            <w:r>
              <w:rPr>
                <w:rFonts w:ascii="Arial" w:hAnsi="Arial" w:cs="Arial"/>
                <w:bCs/>
                <w:sz w:val="20"/>
                <w:szCs w:val="20"/>
              </w:rPr>
              <w:t>0338</w:t>
            </w:r>
          </w:p>
        </w:tc>
      </w:tr>
      <w:tr w:rsidR="00B615BF" w:rsidRPr="00783DAC" w:rsidTr="00D43007">
        <w:trPr>
          <w:trHeight w:val="465"/>
        </w:trPr>
        <w:tc>
          <w:tcPr>
            <w:tcW w:w="4161" w:type="dxa"/>
            <w:shd w:val="pct5" w:color="000000" w:fill="FFFFFF"/>
          </w:tcPr>
          <w:p w:rsidR="00B615BF" w:rsidRPr="00783DAC" w:rsidRDefault="00B615BF" w:rsidP="0028709C">
            <w:pPr>
              <w:rPr>
                <w:b/>
              </w:rPr>
            </w:pPr>
            <w:r w:rsidRPr="00783DAC">
              <w:rPr>
                <w:b/>
              </w:rPr>
              <w:t xml:space="preserve">Measure Description: </w:t>
            </w:r>
          </w:p>
        </w:tc>
        <w:tc>
          <w:tcPr>
            <w:tcW w:w="2743" w:type="dxa"/>
            <w:shd w:val="pct5" w:color="000000" w:fill="FFFFFF"/>
          </w:tcPr>
          <w:p w:rsidR="00B615BF" w:rsidRPr="00783DAC" w:rsidRDefault="00B615BF" w:rsidP="0028709C">
            <w:pPr>
              <w:rPr>
                <w:sz w:val="20"/>
                <w:szCs w:val="20"/>
              </w:rPr>
            </w:pPr>
            <w:r>
              <w:rPr>
                <w:sz w:val="20"/>
                <w:szCs w:val="20"/>
              </w:rPr>
              <w:t>Dimmable ballast installed with 20% tuning</w:t>
            </w:r>
          </w:p>
        </w:tc>
        <w:tc>
          <w:tcPr>
            <w:tcW w:w="2744" w:type="dxa"/>
            <w:shd w:val="pct5" w:color="000000" w:fill="FFFFFF"/>
          </w:tcPr>
          <w:p w:rsidR="00B615BF" w:rsidRPr="00783DAC" w:rsidRDefault="00B615BF" w:rsidP="00C20458">
            <w:pPr>
              <w:rPr>
                <w:sz w:val="20"/>
                <w:szCs w:val="20"/>
              </w:rPr>
            </w:pPr>
            <w:r>
              <w:rPr>
                <w:sz w:val="20"/>
                <w:szCs w:val="20"/>
              </w:rPr>
              <w:t>Dimmable ballast installed with 20% tuning and daylight harvesting</w:t>
            </w:r>
          </w:p>
        </w:tc>
      </w:tr>
      <w:tr w:rsidR="00B615BF" w:rsidRPr="00783DAC" w:rsidTr="00783DAC">
        <w:trPr>
          <w:trHeight w:val="465"/>
        </w:trPr>
        <w:tc>
          <w:tcPr>
            <w:tcW w:w="4161" w:type="dxa"/>
            <w:shd w:val="pct20" w:color="000000" w:fill="FFFFFF"/>
          </w:tcPr>
          <w:p w:rsidR="00B615BF" w:rsidRPr="00783DAC" w:rsidRDefault="00B615BF" w:rsidP="0028709C">
            <w:pPr>
              <w:rPr>
                <w:b/>
              </w:rPr>
            </w:pPr>
            <w:r w:rsidRPr="00783DAC">
              <w:rPr>
                <w:b/>
              </w:rPr>
              <w:t xml:space="preserve">Energy Impact Common Units: </w:t>
            </w:r>
          </w:p>
        </w:tc>
        <w:tc>
          <w:tcPr>
            <w:tcW w:w="5487" w:type="dxa"/>
            <w:gridSpan w:val="2"/>
            <w:shd w:val="pct20" w:color="000000" w:fill="FFFFFF"/>
          </w:tcPr>
          <w:p w:rsidR="00B615BF" w:rsidRPr="00783DAC" w:rsidRDefault="00B615BF" w:rsidP="0028709C">
            <w:pPr>
              <w:rPr>
                <w:sz w:val="20"/>
                <w:szCs w:val="20"/>
              </w:rPr>
            </w:pPr>
            <w:r>
              <w:rPr>
                <w:sz w:val="20"/>
                <w:szCs w:val="20"/>
              </w:rPr>
              <w:t>Fixture</w:t>
            </w:r>
          </w:p>
        </w:tc>
      </w:tr>
      <w:tr w:rsidR="00B615BF" w:rsidRPr="00783DAC" w:rsidTr="00783DAC">
        <w:trPr>
          <w:trHeight w:val="465"/>
        </w:trPr>
        <w:tc>
          <w:tcPr>
            <w:tcW w:w="4161" w:type="dxa"/>
            <w:shd w:val="pct5" w:color="000000" w:fill="FFFFFF"/>
          </w:tcPr>
          <w:p w:rsidR="00B615BF" w:rsidRPr="00783DAC" w:rsidRDefault="00B615BF" w:rsidP="0028709C">
            <w:pPr>
              <w:rPr>
                <w:b/>
              </w:rPr>
            </w:pPr>
            <w:r w:rsidRPr="00783DAC">
              <w:rPr>
                <w:b/>
              </w:rPr>
              <w:t>Base Case Description:</w:t>
            </w:r>
          </w:p>
        </w:tc>
        <w:tc>
          <w:tcPr>
            <w:tcW w:w="5487" w:type="dxa"/>
            <w:gridSpan w:val="2"/>
            <w:shd w:val="pct5" w:color="000000" w:fill="FFFFFF"/>
          </w:tcPr>
          <w:p w:rsidR="00B615BF" w:rsidRPr="00783DAC" w:rsidRDefault="00B615BF" w:rsidP="00F57E42">
            <w:pPr>
              <w:rPr>
                <w:sz w:val="20"/>
                <w:szCs w:val="20"/>
              </w:rPr>
            </w:pPr>
            <w:r>
              <w:rPr>
                <w:sz w:val="20"/>
                <w:szCs w:val="20"/>
              </w:rPr>
              <w:t xml:space="preserve">Single fixture containing a shipments weighted average of 1, 2, 3, and 4-lamp ballasts </w:t>
            </w:r>
          </w:p>
        </w:tc>
      </w:tr>
      <w:tr w:rsidR="00B615BF" w:rsidRPr="00783DAC" w:rsidTr="00783DAC">
        <w:trPr>
          <w:trHeight w:val="465"/>
        </w:trPr>
        <w:tc>
          <w:tcPr>
            <w:tcW w:w="4161" w:type="dxa"/>
            <w:shd w:val="pct20" w:color="000000" w:fill="FFFFFF"/>
          </w:tcPr>
          <w:p w:rsidR="00B615BF" w:rsidRPr="00783DAC" w:rsidRDefault="00B615BF" w:rsidP="0028709C">
            <w:pPr>
              <w:rPr>
                <w:b/>
              </w:rPr>
            </w:pPr>
            <w:r w:rsidRPr="00783DAC">
              <w:rPr>
                <w:b/>
              </w:rPr>
              <w:t xml:space="preserve">Base Case Energy Consumption: </w:t>
            </w:r>
          </w:p>
        </w:tc>
        <w:tc>
          <w:tcPr>
            <w:tcW w:w="5487" w:type="dxa"/>
            <w:gridSpan w:val="2"/>
            <w:shd w:val="pct20" w:color="000000" w:fill="FFFFFF"/>
          </w:tcPr>
          <w:p w:rsidR="00B615BF" w:rsidRDefault="00B615BF" w:rsidP="0028709C">
            <w:pPr>
              <w:rPr>
                <w:sz w:val="20"/>
                <w:szCs w:val="20"/>
              </w:rPr>
            </w:pPr>
            <w:r>
              <w:rPr>
                <w:sz w:val="20"/>
                <w:szCs w:val="20"/>
              </w:rPr>
              <w:t>75 W</w:t>
            </w:r>
          </w:p>
          <w:p w:rsidR="00B615BF" w:rsidRPr="00783DAC" w:rsidRDefault="00B615BF" w:rsidP="000B61DA">
            <w:pPr>
              <w:rPr>
                <w:sz w:val="20"/>
                <w:szCs w:val="20"/>
              </w:rPr>
            </w:pPr>
            <w:r w:rsidRPr="00783DAC">
              <w:rPr>
                <w:sz w:val="20"/>
                <w:szCs w:val="20"/>
              </w:rPr>
              <w:t>Source:</w:t>
            </w:r>
            <w:r>
              <w:rPr>
                <w:sz w:val="20"/>
                <w:szCs w:val="20"/>
              </w:rPr>
              <w:t xml:space="preserve"> Appendix B Standard Fixture Wattages, CEUS, US Census data, PG&amp;E Calculations.</w:t>
            </w:r>
            <w:r w:rsidRPr="00783DAC">
              <w:rPr>
                <w:sz w:val="20"/>
                <w:szCs w:val="20"/>
              </w:rPr>
              <w:t xml:space="preserve"> </w:t>
            </w:r>
          </w:p>
        </w:tc>
      </w:tr>
      <w:tr w:rsidR="00B615BF" w:rsidRPr="00783DAC" w:rsidTr="00783DAC">
        <w:trPr>
          <w:trHeight w:val="465"/>
        </w:trPr>
        <w:tc>
          <w:tcPr>
            <w:tcW w:w="4161" w:type="dxa"/>
            <w:shd w:val="pct5" w:color="000000" w:fill="FFFFFF"/>
          </w:tcPr>
          <w:p w:rsidR="00B615BF" w:rsidRPr="00783DAC" w:rsidRDefault="00B615BF" w:rsidP="0028709C">
            <w:pPr>
              <w:rPr>
                <w:b/>
              </w:rPr>
            </w:pPr>
            <w:r w:rsidRPr="00783DAC">
              <w:rPr>
                <w:b/>
              </w:rPr>
              <w:t>Measure Energy Consumption:</w:t>
            </w:r>
          </w:p>
          <w:p w:rsidR="00B615BF" w:rsidRPr="00783DAC" w:rsidRDefault="00B615BF" w:rsidP="0028709C">
            <w:pPr>
              <w:rPr>
                <w:rFonts w:ascii="Arial" w:hAnsi="Arial" w:cs="Arial"/>
                <w:b/>
                <w:sz w:val="20"/>
                <w:szCs w:val="20"/>
              </w:rPr>
            </w:pPr>
          </w:p>
        </w:tc>
        <w:tc>
          <w:tcPr>
            <w:tcW w:w="5487" w:type="dxa"/>
            <w:gridSpan w:val="2"/>
            <w:shd w:val="pct5" w:color="000000" w:fill="FFFFFF"/>
          </w:tcPr>
          <w:p w:rsidR="00B615BF" w:rsidRPr="00B37C7A" w:rsidRDefault="00B615BF" w:rsidP="00055389">
            <w:pPr>
              <w:rPr>
                <w:sz w:val="20"/>
                <w:szCs w:val="20"/>
              </w:rPr>
            </w:pPr>
            <w:r w:rsidRPr="00B37C7A">
              <w:rPr>
                <w:sz w:val="20"/>
                <w:szCs w:val="20"/>
              </w:rPr>
              <w:t>Various</w:t>
            </w:r>
            <w:r>
              <w:rPr>
                <w:sz w:val="20"/>
                <w:szCs w:val="20"/>
              </w:rPr>
              <w:t>. Refer to At-A-Glance Measure List.</w:t>
            </w:r>
          </w:p>
          <w:p w:rsidR="00B615BF" w:rsidRPr="00B37C7A" w:rsidRDefault="00B615BF" w:rsidP="00B37C7A">
            <w:pPr>
              <w:rPr>
                <w:sz w:val="20"/>
                <w:szCs w:val="20"/>
              </w:rPr>
            </w:pPr>
            <w:r w:rsidRPr="00B37C7A">
              <w:rPr>
                <w:sz w:val="20"/>
                <w:szCs w:val="20"/>
              </w:rPr>
              <w:t>Source:</w:t>
            </w:r>
            <w:r>
              <w:rPr>
                <w:sz w:val="20"/>
                <w:szCs w:val="20"/>
              </w:rPr>
              <w:t xml:space="preserve"> </w:t>
            </w:r>
            <w:r w:rsidRPr="00B37C7A">
              <w:rPr>
                <w:sz w:val="20"/>
                <w:szCs w:val="20"/>
              </w:rPr>
              <w:t xml:space="preserve">DEER, PG&amp;E Calculations. </w:t>
            </w:r>
          </w:p>
        </w:tc>
      </w:tr>
      <w:tr w:rsidR="00B615BF" w:rsidRPr="00783DAC" w:rsidTr="00783DAC">
        <w:trPr>
          <w:trHeight w:val="465"/>
        </w:trPr>
        <w:tc>
          <w:tcPr>
            <w:tcW w:w="4161" w:type="dxa"/>
            <w:shd w:val="pct20" w:color="000000" w:fill="FFFFFF"/>
          </w:tcPr>
          <w:p w:rsidR="00B615BF" w:rsidRPr="00783DAC" w:rsidRDefault="00B615BF" w:rsidP="0028709C">
            <w:pPr>
              <w:rPr>
                <w:b/>
              </w:rPr>
            </w:pPr>
            <w:r w:rsidRPr="00783DAC">
              <w:rPr>
                <w:b/>
              </w:rPr>
              <w:t>Energy Savings (Base Case – Measure)</w:t>
            </w:r>
          </w:p>
        </w:tc>
        <w:tc>
          <w:tcPr>
            <w:tcW w:w="5487" w:type="dxa"/>
            <w:gridSpan w:val="2"/>
            <w:shd w:val="pct20" w:color="000000" w:fill="FFFFFF"/>
          </w:tcPr>
          <w:p w:rsidR="00B615BF" w:rsidRPr="00B37C7A" w:rsidRDefault="00B615BF" w:rsidP="00055389">
            <w:pPr>
              <w:rPr>
                <w:sz w:val="20"/>
                <w:szCs w:val="20"/>
              </w:rPr>
            </w:pPr>
            <w:r w:rsidRPr="00B37C7A">
              <w:rPr>
                <w:sz w:val="20"/>
                <w:szCs w:val="20"/>
              </w:rPr>
              <w:t>Various</w:t>
            </w:r>
            <w:r>
              <w:rPr>
                <w:sz w:val="20"/>
                <w:szCs w:val="20"/>
              </w:rPr>
              <w:t>. Refer to At-A-Glance Measure List.</w:t>
            </w:r>
          </w:p>
          <w:p w:rsidR="00B615BF" w:rsidRPr="00B37C7A" w:rsidRDefault="00B615BF" w:rsidP="00055389">
            <w:pPr>
              <w:rPr>
                <w:sz w:val="20"/>
                <w:szCs w:val="20"/>
              </w:rPr>
            </w:pPr>
            <w:r w:rsidRPr="00B37C7A">
              <w:rPr>
                <w:sz w:val="20"/>
                <w:szCs w:val="20"/>
              </w:rPr>
              <w:t>Source:</w:t>
            </w:r>
            <w:r>
              <w:rPr>
                <w:sz w:val="20"/>
                <w:szCs w:val="20"/>
              </w:rPr>
              <w:t xml:space="preserve"> </w:t>
            </w:r>
            <w:r w:rsidRPr="00B37C7A">
              <w:rPr>
                <w:sz w:val="20"/>
                <w:szCs w:val="20"/>
              </w:rPr>
              <w:t>DEER, PG&amp;E Calculations.</w:t>
            </w:r>
          </w:p>
        </w:tc>
      </w:tr>
      <w:tr w:rsidR="00B615BF" w:rsidRPr="00783DAC" w:rsidTr="00783DAC">
        <w:trPr>
          <w:trHeight w:val="465"/>
        </w:trPr>
        <w:tc>
          <w:tcPr>
            <w:tcW w:w="4161" w:type="dxa"/>
            <w:shd w:val="pct5" w:color="000000" w:fill="FFFFFF"/>
          </w:tcPr>
          <w:p w:rsidR="00B615BF" w:rsidRPr="00783DAC" w:rsidRDefault="00B615BF" w:rsidP="0028709C">
            <w:pPr>
              <w:rPr>
                <w:b/>
              </w:rPr>
            </w:pPr>
            <w:r w:rsidRPr="00783DAC">
              <w:rPr>
                <w:b/>
              </w:rPr>
              <w:t xml:space="preserve">Costs Common Units: </w:t>
            </w:r>
          </w:p>
        </w:tc>
        <w:tc>
          <w:tcPr>
            <w:tcW w:w="5487" w:type="dxa"/>
            <w:gridSpan w:val="2"/>
            <w:shd w:val="pct5" w:color="000000" w:fill="FFFFFF"/>
          </w:tcPr>
          <w:p w:rsidR="00B615BF" w:rsidRPr="00783DAC" w:rsidRDefault="00B615BF" w:rsidP="0028709C">
            <w:pPr>
              <w:rPr>
                <w:sz w:val="20"/>
                <w:szCs w:val="20"/>
              </w:rPr>
            </w:pPr>
            <w:r>
              <w:rPr>
                <w:sz w:val="20"/>
                <w:szCs w:val="20"/>
              </w:rPr>
              <w:t>$ per fixture</w:t>
            </w:r>
          </w:p>
        </w:tc>
      </w:tr>
      <w:tr w:rsidR="00B615BF" w:rsidRPr="00783DAC" w:rsidTr="00783DAC">
        <w:trPr>
          <w:trHeight w:val="465"/>
        </w:trPr>
        <w:tc>
          <w:tcPr>
            <w:tcW w:w="4161" w:type="dxa"/>
            <w:shd w:val="pct20" w:color="000000" w:fill="FFFFFF"/>
          </w:tcPr>
          <w:p w:rsidR="00B615BF" w:rsidRPr="00783DAC" w:rsidRDefault="00B615BF" w:rsidP="0028709C">
            <w:pPr>
              <w:rPr>
                <w:b/>
                <w:highlight w:val="cyan"/>
              </w:rPr>
            </w:pPr>
            <w:r w:rsidRPr="00783DAC">
              <w:rPr>
                <w:b/>
              </w:rPr>
              <w:t>Base Case Equipment Cost ($</w:t>
            </w:r>
            <w:r>
              <w:rPr>
                <w:b/>
              </w:rPr>
              <w:t>/fixture</w:t>
            </w:r>
            <w:r w:rsidRPr="00783DAC">
              <w:rPr>
                <w:b/>
              </w:rPr>
              <w:t>):</w:t>
            </w:r>
          </w:p>
          <w:p w:rsidR="00B615BF" w:rsidRPr="00783DAC" w:rsidRDefault="00B615BF" w:rsidP="0028709C">
            <w:pPr>
              <w:rPr>
                <w:rFonts w:ascii="Arial" w:hAnsi="Arial" w:cs="Arial"/>
                <w:b/>
                <w:sz w:val="20"/>
                <w:szCs w:val="20"/>
                <w:highlight w:val="cyan"/>
              </w:rPr>
            </w:pPr>
          </w:p>
        </w:tc>
        <w:tc>
          <w:tcPr>
            <w:tcW w:w="5487" w:type="dxa"/>
            <w:gridSpan w:val="2"/>
            <w:shd w:val="pct20" w:color="000000" w:fill="FFFFFF"/>
          </w:tcPr>
          <w:p w:rsidR="00B615BF" w:rsidRDefault="00B615BF" w:rsidP="00055389">
            <w:pPr>
              <w:rPr>
                <w:sz w:val="20"/>
                <w:szCs w:val="20"/>
              </w:rPr>
            </w:pPr>
            <w:r>
              <w:rPr>
                <w:sz w:val="20"/>
                <w:szCs w:val="20"/>
              </w:rPr>
              <w:t>Various. Refer to At-A-Glance Measure List.</w:t>
            </w:r>
          </w:p>
          <w:p w:rsidR="00B615BF" w:rsidRPr="00783DAC" w:rsidRDefault="00B615BF" w:rsidP="00055389">
            <w:pPr>
              <w:rPr>
                <w:sz w:val="20"/>
                <w:szCs w:val="20"/>
              </w:rPr>
            </w:pPr>
            <w:r>
              <w:rPr>
                <w:sz w:val="20"/>
                <w:szCs w:val="20"/>
              </w:rPr>
              <w:t>Source: PG&amp;E Calculations.</w:t>
            </w:r>
          </w:p>
        </w:tc>
      </w:tr>
      <w:tr w:rsidR="00B615BF" w:rsidRPr="00783DAC" w:rsidTr="00783DAC">
        <w:trPr>
          <w:trHeight w:val="465"/>
        </w:trPr>
        <w:tc>
          <w:tcPr>
            <w:tcW w:w="4161" w:type="dxa"/>
            <w:shd w:val="pct5" w:color="000000" w:fill="FFFFFF"/>
          </w:tcPr>
          <w:p w:rsidR="00B615BF" w:rsidRPr="00783DAC" w:rsidRDefault="00B615BF" w:rsidP="0028709C">
            <w:pPr>
              <w:rPr>
                <w:b/>
              </w:rPr>
            </w:pPr>
            <w:r w:rsidRPr="00783DAC">
              <w:rPr>
                <w:b/>
              </w:rPr>
              <w:t>Measure Equipment Cost ($</w:t>
            </w:r>
            <w:r>
              <w:rPr>
                <w:b/>
              </w:rPr>
              <w:t>/fixture</w:t>
            </w:r>
            <w:r w:rsidRPr="00783DAC">
              <w:rPr>
                <w:b/>
              </w:rPr>
              <w:t xml:space="preserve">): </w:t>
            </w:r>
          </w:p>
        </w:tc>
        <w:tc>
          <w:tcPr>
            <w:tcW w:w="5487" w:type="dxa"/>
            <w:gridSpan w:val="2"/>
            <w:shd w:val="pct5" w:color="000000" w:fill="FFFFFF"/>
          </w:tcPr>
          <w:p w:rsidR="00B615BF" w:rsidRDefault="00B615BF" w:rsidP="00055389">
            <w:pPr>
              <w:rPr>
                <w:sz w:val="20"/>
                <w:szCs w:val="20"/>
              </w:rPr>
            </w:pPr>
            <w:r>
              <w:rPr>
                <w:sz w:val="20"/>
                <w:szCs w:val="20"/>
              </w:rPr>
              <w:t>Various. Refer to At-A-Glance Measure List.</w:t>
            </w:r>
          </w:p>
          <w:p w:rsidR="00B615BF" w:rsidRPr="00783DAC" w:rsidRDefault="00B615BF" w:rsidP="00055389">
            <w:pPr>
              <w:rPr>
                <w:sz w:val="20"/>
                <w:szCs w:val="20"/>
              </w:rPr>
            </w:pPr>
            <w:r>
              <w:rPr>
                <w:sz w:val="20"/>
                <w:szCs w:val="20"/>
              </w:rPr>
              <w:t>Source: PG&amp;E Calculations.</w:t>
            </w:r>
          </w:p>
        </w:tc>
      </w:tr>
      <w:tr w:rsidR="00B615BF" w:rsidRPr="00783DAC" w:rsidTr="00783DAC">
        <w:trPr>
          <w:trHeight w:val="465"/>
        </w:trPr>
        <w:tc>
          <w:tcPr>
            <w:tcW w:w="4161" w:type="dxa"/>
            <w:shd w:val="pct20" w:color="000000" w:fill="FFFFFF"/>
          </w:tcPr>
          <w:p w:rsidR="00B615BF" w:rsidRPr="00783DAC" w:rsidRDefault="00B615BF" w:rsidP="0028709C">
            <w:pPr>
              <w:rPr>
                <w:b/>
              </w:rPr>
            </w:pPr>
            <w:r>
              <w:rPr>
                <w:b/>
              </w:rPr>
              <w:t>Gross Measure Cost ($/fixture)</w:t>
            </w:r>
          </w:p>
        </w:tc>
        <w:tc>
          <w:tcPr>
            <w:tcW w:w="5487" w:type="dxa"/>
            <w:gridSpan w:val="2"/>
            <w:shd w:val="pct20" w:color="000000" w:fill="FFFFFF"/>
          </w:tcPr>
          <w:p w:rsidR="00B615BF" w:rsidRDefault="00B615BF" w:rsidP="00055389">
            <w:pPr>
              <w:rPr>
                <w:sz w:val="20"/>
                <w:szCs w:val="20"/>
              </w:rPr>
            </w:pPr>
            <w:r>
              <w:rPr>
                <w:sz w:val="20"/>
                <w:szCs w:val="20"/>
              </w:rPr>
              <w:t>Various. Refer to At-A-Glance Measure List.</w:t>
            </w:r>
          </w:p>
          <w:p w:rsidR="00B615BF" w:rsidRPr="00783DAC" w:rsidRDefault="00B615BF" w:rsidP="00055389">
            <w:pPr>
              <w:rPr>
                <w:sz w:val="20"/>
                <w:szCs w:val="20"/>
              </w:rPr>
            </w:pPr>
            <w:r>
              <w:rPr>
                <w:sz w:val="20"/>
                <w:szCs w:val="20"/>
              </w:rPr>
              <w:t>Source: PG&amp;E Calculations.</w:t>
            </w:r>
          </w:p>
        </w:tc>
      </w:tr>
      <w:tr w:rsidR="00B615BF" w:rsidRPr="00783DAC" w:rsidTr="00783DAC">
        <w:trPr>
          <w:trHeight w:val="465"/>
        </w:trPr>
        <w:tc>
          <w:tcPr>
            <w:tcW w:w="4161" w:type="dxa"/>
            <w:shd w:val="pct20" w:color="000000" w:fill="FFFFFF"/>
          </w:tcPr>
          <w:p w:rsidR="00B615BF" w:rsidRPr="00783DAC" w:rsidRDefault="00B615BF" w:rsidP="0028709C">
            <w:pPr>
              <w:rPr>
                <w:b/>
              </w:rPr>
            </w:pPr>
            <w:bookmarkStart w:id="3" w:name="OLE_LINK1"/>
            <w:r w:rsidRPr="00783DAC">
              <w:rPr>
                <w:b/>
              </w:rPr>
              <w:t>Measure Incremental Cost ($</w:t>
            </w:r>
            <w:r>
              <w:rPr>
                <w:b/>
              </w:rPr>
              <w:t>/fixture</w:t>
            </w:r>
            <w:r w:rsidRPr="00783DAC">
              <w:rPr>
                <w:b/>
              </w:rPr>
              <w:t xml:space="preserve">): </w:t>
            </w:r>
            <w:bookmarkEnd w:id="3"/>
          </w:p>
        </w:tc>
        <w:tc>
          <w:tcPr>
            <w:tcW w:w="5487" w:type="dxa"/>
            <w:gridSpan w:val="2"/>
            <w:shd w:val="pct20" w:color="000000" w:fill="FFFFFF"/>
          </w:tcPr>
          <w:p w:rsidR="00B615BF" w:rsidRDefault="00B615BF" w:rsidP="00055389">
            <w:pPr>
              <w:rPr>
                <w:sz w:val="20"/>
                <w:szCs w:val="20"/>
              </w:rPr>
            </w:pPr>
            <w:r>
              <w:rPr>
                <w:sz w:val="20"/>
                <w:szCs w:val="20"/>
              </w:rPr>
              <w:t>Various. Refer to At-A-Glance Measure List.</w:t>
            </w:r>
          </w:p>
          <w:p w:rsidR="00B615BF" w:rsidRPr="00783DAC" w:rsidRDefault="00B615BF" w:rsidP="00055389">
            <w:pPr>
              <w:rPr>
                <w:sz w:val="20"/>
                <w:szCs w:val="20"/>
              </w:rPr>
            </w:pPr>
            <w:r>
              <w:rPr>
                <w:sz w:val="20"/>
                <w:szCs w:val="20"/>
              </w:rPr>
              <w:t>Source: PG&amp;E Calculations.</w:t>
            </w:r>
          </w:p>
        </w:tc>
      </w:tr>
      <w:tr w:rsidR="00B615BF" w:rsidRPr="00783DAC" w:rsidTr="00783DAC">
        <w:trPr>
          <w:trHeight w:val="465"/>
        </w:trPr>
        <w:tc>
          <w:tcPr>
            <w:tcW w:w="4161" w:type="dxa"/>
            <w:shd w:val="pct5" w:color="000000" w:fill="FFFFFF"/>
          </w:tcPr>
          <w:p w:rsidR="00B615BF" w:rsidRPr="004E2F7A" w:rsidRDefault="00B615BF" w:rsidP="0028709C">
            <w:pPr>
              <w:rPr>
                <w:b/>
              </w:rPr>
            </w:pPr>
            <w:r w:rsidRPr="004E2F7A">
              <w:rPr>
                <w:b/>
              </w:rPr>
              <w:t xml:space="preserve">Effective Useful Life (years): </w:t>
            </w:r>
          </w:p>
        </w:tc>
        <w:tc>
          <w:tcPr>
            <w:tcW w:w="5487" w:type="dxa"/>
            <w:gridSpan w:val="2"/>
            <w:shd w:val="pct5" w:color="000000" w:fill="FFFFFF"/>
          </w:tcPr>
          <w:p w:rsidR="00B615BF" w:rsidRPr="004E2F7A" w:rsidRDefault="00B615BF" w:rsidP="00B37C7A">
            <w:pPr>
              <w:rPr>
                <w:sz w:val="20"/>
                <w:szCs w:val="20"/>
              </w:rPr>
            </w:pPr>
            <w:r>
              <w:rPr>
                <w:sz w:val="20"/>
                <w:szCs w:val="20"/>
              </w:rPr>
              <w:t>16, 8</w:t>
            </w:r>
          </w:p>
          <w:p w:rsidR="00B615BF" w:rsidRPr="004E2F7A" w:rsidRDefault="00B615BF" w:rsidP="00B37C7A">
            <w:pPr>
              <w:rPr>
                <w:sz w:val="20"/>
                <w:szCs w:val="20"/>
              </w:rPr>
            </w:pPr>
            <w:r w:rsidRPr="004E2F7A">
              <w:rPr>
                <w:sz w:val="20"/>
                <w:szCs w:val="20"/>
              </w:rPr>
              <w:t>Source: DEER</w:t>
            </w:r>
            <w:r>
              <w:rPr>
                <w:sz w:val="20"/>
                <w:szCs w:val="20"/>
              </w:rPr>
              <w:t xml:space="preserve"> 2011</w:t>
            </w:r>
          </w:p>
        </w:tc>
      </w:tr>
      <w:tr w:rsidR="00B615BF" w:rsidRPr="00783DAC" w:rsidTr="00783DAC">
        <w:trPr>
          <w:trHeight w:val="465"/>
        </w:trPr>
        <w:tc>
          <w:tcPr>
            <w:tcW w:w="4161" w:type="dxa"/>
            <w:shd w:val="pct20" w:color="000000" w:fill="FFFFFF"/>
          </w:tcPr>
          <w:p w:rsidR="00B615BF" w:rsidRPr="00783DAC" w:rsidRDefault="00B615BF" w:rsidP="0028709C">
            <w:pPr>
              <w:rPr>
                <w:b/>
              </w:rPr>
            </w:pPr>
            <w:r w:rsidRPr="00783DAC">
              <w:rPr>
                <w:b/>
              </w:rPr>
              <w:t>Program Type:</w:t>
            </w:r>
          </w:p>
        </w:tc>
        <w:tc>
          <w:tcPr>
            <w:tcW w:w="5487" w:type="dxa"/>
            <w:gridSpan w:val="2"/>
            <w:shd w:val="pct20" w:color="000000" w:fill="FFFFFF"/>
          </w:tcPr>
          <w:p w:rsidR="00B615BF" w:rsidRPr="00783DAC" w:rsidRDefault="00B615BF" w:rsidP="00B37C7A">
            <w:pPr>
              <w:rPr>
                <w:sz w:val="20"/>
                <w:szCs w:val="20"/>
              </w:rPr>
            </w:pPr>
            <w:r>
              <w:rPr>
                <w:sz w:val="20"/>
                <w:szCs w:val="20"/>
              </w:rPr>
              <w:t>ROB</w:t>
            </w:r>
          </w:p>
        </w:tc>
      </w:tr>
      <w:tr w:rsidR="00B615BF" w:rsidRPr="00783DAC" w:rsidTr="00783DAC">
        <w:trPr>
          <w:trHeight w:val="465"/>
        </w:trPr>
        <w:tc>
          <w:tcPr>
            <w:tcW w:w="4161" w:type="dxa"/>
            <w:shd w:val="pct5" w:color="000000" w:fill="FFFFFF"/>
          </w:tcPr>
          <w:p w:rsidR="00B615BF" w:rsidRPr="00783DAC" w:rsidRDefault="00B615BF" w:rsidP="0028709C">
            <w:pPr>
              <w:rPr>
                <w:b/>
              </w:rPr>
            </w:pPr>
            <w:r w:rsidRPr="00BC6972">
              <w:rPr>
                <w:b/>
              </w:rPr>
              <w:t>Net-to-Gross Ratios:</w:t>
            </w:r>
            <w:r w:rsidRPr="00783DAC">
              <w:rPr>
                <w:b/>
              </w:rPr>
              <w:t xml:space="preserve"> </w:t>
            </w:r>
          </w:p>
        </w:tc>
        <w:tc>
          <w:tcPr>
            <w:tcW w:w="5487" w:type="dxa"/>
            <w:gridSpan w:val="2"/>
            <w:shd w:val="pct5" w:color="000000" w:fill="FFFFFF"/>
          </w:tcPr>
          <w:p w:rsidR="00B615BF" w:rsidRDefault="00B615BF" w:rsidP="004E2F7A">
            <w:pPr>
              <w:rPr>
                <w:sz w:val="20"/>
                <w:szCs w:val="20"/>
              </w:rPr>
            </w:pPr>
            <w:r>
              <w:rPr>
                <w:sz w:val="20"/>
                <w:szCs w:val="20"/>
              </w:rPr>
              <w:t>0.7</w:t>
            </w:r>
          </w:p>
          <w:p w:rsidR="00B615BF" w:rsidRPr="00783DAC" w:rsidRDefault="00B615BF" w:rsidP="004E2F7A">
            <w:pPr>
              <w:rPr>
                <w:sz w:val="20"/>
                <w:szCs w:val="20"/>
              </w:rPr>
            </w:pPr>
            <w:r w:rsidRPr="00783DAC">
              <w:rPr>
                <w:sz w:val="20"/>
                <w:szCs w:val="20"/>
              </w:rPr>
              <w:t>Source:</w:t>
            </w:r>
            <w:r>
              <w:rPr>
                <w:sz w:val="20"/>
                <w:szCs w:val="20"/>
              </w:rPr>
              <w:t xml:space="preserve"> </w:t>
            </w:r>
            <w:r w:rsidRPr="004E2F7A">
              <w:rPr>
                <w:sz w:val="20"/>
                <w:szCs w:val="20"/>
              </w:rPr>
              <w:t>DEER</w:t>
            </w:r>
            <w:r>
              <w:rPr>
                <w:sz w:val="20"/>
                <w:szCs w:val="20"/>
              </w:rPr>
              <w:t xml:space="preserve"> 2011</w:t>
            </w:r>
          </w:p>
        </w:tc>
      </w:tr>
      <w:tr w:rsidR="00B615BF" w:rsidRPr="00783DAC" w:rsidTr="00783DAC">
        <w:trPr>
          <w:trHeight w:val="465"/>
        </w:trPr>
        <w:tc>
          <w:tcPr>
            <w:tcW w:w="4161" w:type="dxa"/>
            <w:shd w:val="pct20" w:color="000000" w:fill="FFFFFF"/>
          </w:tcPr>
          <w:p w:rsidR="00B615BF" w:rsidRPr="00783DAC" w:rsidRDefault="00B615BF" w:rsidP="0028709C">
            <w:pPr>
              <w:rPr>
                <w:b/>
              </w:rPr>
            </w:pPr>
            <w:r w:rsidRPr="00783DAC">
              <w:rPr>
                <w:b/>
              </w:rPr>
              <w:t>Important Comments:</w:t>
            </w:r>
          </w:p>
        </w:tc>
        <w:tc>
          <w:tcPr>
            <w:tcW w:w="5487" w:type="dxa"/>
            <w:gridSpan w:val="2"/>
            <w:shd w:val="pct20" w:color="000000" w:fill="FFFFFF"/>
          </w:tcPr>
          <w:p w:rsidR="00B615BF" w:rsidRPr="00783DAC" w:rsidRDefault="00B615BF" w:rsidP="00B615BF">
            <w:pPr>
              <w:rPr>
                <w:sz w:val="20"/>
                <w:szCs w:val="20"/>
              </w:rPr>
            </w:pPr>
          </w:p>
        </w:tc>
      </w:tr>
    </w:tbl>
    <w:p w:rsidR="005F19E0" w:rsidRPr="005F19E0" w:rsidRDefault="006F0139" w:rsidP="0006490F">
      <w:pPr>
        <w:rPr>
          <w:rFonts w:ascii="Arial" w:hAnsi="Arial" w:cs="Arial"/>
          <w:b/>
          <w:color w:val="FF0000"/>
          <w:sz w:val="20"/>
          <w:szCs w:val="20"/>
        </w:rPr>
        <w:sectPr w:rsidR="005F19E0" w:rsidRPr="005F19E0" w:rsidSect="00E03431">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440" w:right="1440" w:bottom="1440" w:left="1440" w:header="720" w:footer="720" w:gutter="0"/>
          <w:pgNumType w:fmt="lowerRoman"/>
          <w:cols w:space="720"/>
          <w:docGrid w:linePitch="360"/>
        </w:sectPr>
      </w:pPr>
      <w:r w:rsidRPr="006F0139">
        <w:rPr>
          <w:rFonts w:ascii="Arial" w:hAnsi="Arial" w:cs="Arial"/>
          <w:b/>
          <w:i/>
          <w:color w:val="FF0000"/>
          <w:sz w:val="20"/>
          <w:szCs w:val="20"/>
          <w:highlight w:val="cyan"/>
        </w:rPr>
        <w:t xml:space="preserve"> </w:t>
      </w:r>
    </w:p>
    <w:p w:rsidR="00B615BF" w:rsidRDefault="00B615BF" w:rsidP="00B615BF">
      <w:pPr>
        <w:pStyle w:val="Heading1"/>
      </w:pPr>
      <w:bookmarkStart w:id="4" w:name="_Toc388515129"/>
      <w:bookmarkStart w:id="5" w:name="_Toc174189524"/>
      <w:bookmarkStart w:id="6" w:name="_Toc388621321"/>
      <w:bookmarkStart w:id="7" w:name="_Toc390769223"/>
      <w:r>
        <w:lastRenderedPageBreak/>
        <w:t>Work Paper Approvals</w:t>
      </w:r>
      <w:bookmarkEnd w:id="4"/>
      <w:bookmarkEnd w:id="5"/>
      <w:bookmarkEnd w:id="6"/>
      <w:bookmarkEnd w:id="7"/>
    </w:p>
    <w:p w:rsidR="00B615BF" w:rsidRDefault="00B615BF" w:rsidP="00B615BF"/>
    <w:p w:rsidR="00B615BF" w:rsidRDefault="00B615BF" w:rsidP="00B615BF">
      <w:pPr>
        <w:rPr>
          <w:rFonts w:ascii="Arial" w:hAnsi="Arial" w:cs="Arial"/>
        </w:rPr>
      </w:pPr>
      <w:r>
        <w:rPr>
          <w:rFonts w:ascii="Arial" w:hAnsi="Arial" w:cs="Arial"/>
        </w:rPr>
        <w:t xml:space="preserve">The following Manager(s) approved this workpaper through the PG&amp;E Electronic Data Routing System under Routing Requisition # </w:t>
      </w:r>
      <w:r>
        <w:rPr>
          <w:rFonts w:ascii="Arial" w:hAnsi="Arial" w:cs="Arial"/>
          <w:highlight w:val="yellow"/>
        </w:rPr>
        <w:t>_______________</w:t>
      </w:r>
    </w:p>
    <w:p w:rsidR="00B615BF" w:rsidRDefault="00B615BF" w:rsidP="00B615BF">
      <w:pPr>
        <w:rPr>
          <w:rFonts w:ascii="Arial" w:hAnsi="Arial" w:cs="Arial"/>
        </w:rPr>
      </w:pPr>
    </w:p>
    <w:tbl>
      <w:tblPr>
        <w:tblW w:w="3064" w:type="pct"/>
        <w:tblCellMar>
          <w:left w:w="0" w:type="dxa"/>
          <w:right w:w="0" w:type="dxa"/>
        </w:tblCellMar>
        <w:tblLook w:val="04A0" w:firstRow="1" w:lastRow="0" w:firstColumn="1" w:lastColumn="0" w:noHBand="0" w:noVBand="1"/>
      </w:tblPr>
      <w:tblGrid>
        <w:gridCol w:w="5868"/>
      </w:tblGrid>
      <w:tr w:rsidR="00B615BF" w:rsidTr="00D43007">
        <w:tc>
          <w:tcPr>
            <w:tcW w:w="5000" w:type="pct"/>
            <w:tcMar>
              <w:top w:w="0" w:type="dxa"/>
              <w:left w:w="108" w:type="dxa"/>
              <w:bottom w:w="0" w:type="dxa"/>
              <w:right w:w="108" w:type="dxa"/>
            </w:tcMar>
          </w:tcPr>
          <w:p w:rsidR="00B615BF" w:rsidRDefault="00B615BF" w:rsidP="00D43007">
            <w:pPr>
              <w:rPr>
                <w:rFonts w:ascii="Arial" w:eastAsiaTheme="minorHAnsi" w:hAnsi="Arial" w:cs="Arial"/>
                <w:szCs w:val="22"/>
              </w:rPr>
            </w:pPr>
          </w:p>
        </w:tc>
      </w:tr>
      <w:tr w:rsidR="00B615BF" w:rsidTr="00D43007">
        <w:tc>
          <w:tcPr>
            <w:tcW w:w="5000" w:type="pct"/>
            <w:tcMar>
              <w:top w:w="0" w:type="dxa"/>
              <w:left w:w="108" w:type="dxa"/>
              <w:bottom w:w="0" w:type="dxa"/>
              <w:right w:w="108" w:type="dxa"/>
            </w:tcMar>
            <w:hideMark/>
          </w:tcPr>
          <w:p w:rsidR="00B615BF" w:rsidRDefault="00B615BF" w:rsidP="00D43007">
            <w:pPr>
              <w:rPr>
                <w:rFonts w:ascii="Arial" w:eastAsiaTheme="minorHAnsi" w:hAnsi="Arial" w:cs="Arial"/>
                <w:b/>
                <w:bCs/>
                <w:szCs w:val="22"/>
              </w:rPr>
            </w:pPr>
            <w:r>
              <w:rPr>
                <w:rFonts w:ascii="Arial" w:hAnsi="Arial" w:cs="Arial"/>
                <w:b/>
                <w:bCs/>
              </w:rPr>
              <w:t>Grant Brohard</w:t>
            </w:r>
          </w:p>
          <w:p w:rsidR="00B615BF" w:rsidRDefault="00B615BF" w:rsidP="00D43007">
            <w:pPr>
              <w:rPr>
                <w:rFonts w:ascii="Arial" w:eastAsiaTheme="minorHAnsi" w:hAnsi="Arial" w:cs="Arial"/>
                <w:szCs w:val="22"/>
              </w:rPr>
            </w:pPr>
            <w:r>
              <w:rPr>
                <w:rFonts w:ascii="Arial" w:hAnsi="Arial" w:cs="Arial"/>
              </w:rPr>
              <w:t>Manager, Technical Product Support</w:t>
            </w:r>
          </w:p>
        </w:tc>
      </w:tr>
      <w:tr w:rsidR="00B615BF" w:rsidTr="00D43007">
        <w:tc>
          <w:tcPr>
            <w:tcW w:w="5000" w:type="pct"/>
            <w:tcMar>
              <w:top w:w="0" w:type="dxa"/>
              <w:left w:w="108" w:type="dxa"/>
              <w:bottom w:w="0" w:type="dxa"/>
              <w:right w:w="108" w:type="dxa"/>
            </w:tcMar>
          </w:tcPr>
          <w:p w:rsidR="00B615BF" w:rsidRDefault="00B615BF" w:rsidP="00D43007">
            <w:pPr>
              <w:rPr>
                <w:rFonts w:ascii="Arial" w:eastAsiaTheme="minorHAnsi" w:hAnsi="Arial" w:cs="Arial"/>
                <w:b/>
                <w:bCs/>
                <w:szCs w:val="22"/>
              </w:rPr>
            </w:pPr>
          </w:p>
          <w:p w:rsidR="00B615BF" w:rsidRDefault="00B615BF" w:rsidP="00D43007">
            <w:pPr>
              <w:rPr>
                <w:rFonts w:ascii="Arial" w:hAnsi="Arial" w:cs="Arial"/>
                <w:b/>
                <w:bCs/>
              </w:rPr>
            </w:pPr>
            <w:r>
              <w:rPr>
                <w:rFonts w:ascii="Arial" w:hAnsi="Arial" w:cs="Arial"/>
                <w:b/>
                <w:bCs/>
              </w:rPr>
              <w:t>Carolyn Weiner</w:t>
            </w:r>
          </w:p>
          <w:p w:rsidR="00B615BF" w:rsidRDefault="00B615BF" w:rsidP="00D43007">
            <w:pPr>
              <w:rPr>
                <w:rFonts w:ascii="Arial" w:hAnsi="Arial" w:cs="Arial"/>
              </w:rPr>
            </w:pPr>
            <w:r>
              <w:rPr>
                <w:rFonts w:ascii="Arial" w:hAnsi="Arial" w:cs="Arial"/>
              </w:rPr>
              <w:t>Manager, CES Products and Programs</w:t>
            </w:r>
          </w:p>
          <w:p w:rsidR="00B615BF" w:rsidRDefault="00B615BF" w:rsidP="00D43007">
            <w:pPr>
              <w:rPr>
                <w:rFonts w:ascii="Arial" w:hAnsi="Arial" w:cs="Arial"/>
                <w:b/>
                <w:bCs/>
              </w:rPr>
            </w:pPr>
          </w:p>
          <w:p w:rsidR="00B615BF" w:rsidRDefault="00B615BF" w:rsidP="00D43007">
            <w:pPr>
              <w:rPr>
                <w:rFonts w:ascii="Arial" w:eastAsiaTheme="minorHAnsi" w:hAnsi="Arial" w:cs="Arial"/>
                <w:szCs w:val="22"/>
              </w:rPr>
            </w:pPr>
          </w:p>
        </w:tc>
      </w:tr>
    </w:tbl>
    <w:p w:rsidR="00E71EF1" w:rsidRDefault="009B5F5D" w:rsidP="00E71EF1">
      <w:pPr>
        <w:pStyle w:val="Heading1"/>
      </w:pPr>
      <w:r>
        <w:br w:type="page"/>
      </w:r>
      <w:bookmarkStart w:id="8" w:name="_Toc390769224"/>
      <w:r w:rsidR="00E71EF1">
        <w:lastRenderedPageBreak/>
        <w:t>Document Revision History</w:t>
      </w:r>
      <w:bookmarkEnd w:id="8"/>
    </w:p>
    <w:p w:rsidR="00E91C15" w:rsidRDefault="009B4DB1" w:rsidP="001A573F">
      <w:r>
        <w:t xml:space="preserve">  </w:t>
      </w:r>
      <w:r w:rsidR="007F1E48">
        <w:t xml:space="preserve"> </w:t>
      </w:r>
      <w:r w:rsidR="00E91C15">
        <w:tab/>
      </w:r>
      <w:r w:rsidR="00E91C15">
        <w:tab/>
      </w:r>
      <w:r w:rsidR="00E91C15">
        <w:tab/>
      </w:r>
      <w:r w:rsidR="00E91C15">
        <w:tab/>
      </w:r>
      <w:r>
        <w:t xml:space="preserve">    </w:t>
      </w:r>
      <w:r w:rsidR="00E91C15">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413"/>
        <w:gridCol w:w="3204"/>
        <w:gridCol w:w="3204"/>
      </w:tblGrid>
      <w:tr w:rsidR="000374A5" w:rsidRPr="00783DAC" w:rsidTr="00B615BF">
        <w:trPr>
          <w:trHeight w:val="464"/>
        </w:trPr>
        <w:tc>
          <w:tcPr>
            <w:tcW w:w="870" w:type="pct"/>
            <w:shd w:val="clear" w:color="auto" w:fill="F2F2F2" w:themeFill="background1" w:themeFillShade="F2"/>
          </w:tcPr>
          <w:p w:rsidR="000374A5" w:rsidRPr="000374A5" w:rsidRDefault="000374A5" w:rsidP="000374A5">
            <w:pPr>
              <w:jc w:val="center"/>
              <w:rPr>
                <w:b/>
                <w:bCs/>
              </w:rPr>
            </w:pPr>
            <w:r>
              <w:t>Revision #</w:t>
            </w:r>
            <w:r>
              <w:tab/>
            </w:r>
          </w:p>
        </w:tc>
        <w:tc>
          <w:tcPr>
            <w:tcW w:w="746" w:type="pct"/>
            <w:shd w:val="clear" w:color="auto" w:fill="F2F2F2" w:themeFill="background1" w:themeFillShade="F2"/>
          </w:tcPr>
          <w:p w:rsidR="000374A5" w:rsidRPr="000374A5" w:rsidRDefault="000374A5" w:rsidP="000374A5">
            <w:pPr>
              <w:jc w:val="center"/>
              <w:rPr>
                <w:b/>
                <w:bCs/>
                <w:sz w:val="20"/>
                <w:szCs w:val="20"/>
              </w:rPr>
            </w:pPr>
            <w:r>
              <w:t>Date</w:t>
            </w:r>
            <w:r w:rsidRPr="00E91C15">
              <w:t xml:space="preserve"> </w:t>
            </w:r>
            <w:r>
              <w:tab/>
            </w:r>
          </w:p>
        </w:tc>
        <w:tc>
          <w:tcPr>
            <w:tcW w:w="1692" w:type="pct"/>
            <w:shd w:val="clear" w:color="auto" w:fill="F2F2F2" w:themeFill="background1" w:themeFillShade="F2"/>
          </w:tcPr>
          <w:p w:rsidR="000374A5" w:rsidRPr="000374A5" w:rsidRDefault="000374A5" w:rsidP="000374A5">
            <w:pPr>
              <w:jc w:val="center"/>
              <w:rPr>
                <w:b/>
                <w:bCs/>
                <w:sz w:val="20"/>
                <w:szCs w:val="20"/>
              </w:rPr>
            </w:pPr>
            <w:r>
              <w:t>Section by Section Description of Revisions</w:t>
            </w:r>
          </w:p>
        </w:tc>
        <w:tc>
          <w:tcPr>
            <w:tcW w:w="1692" w:type="pct"/>
            <w:shd w:val="clear" w:color="auto" w:fill="F2F2F2" w:themeFill="background1" w:themeFillShade="F2"/>
          </w:tcPr>
          <w:p w:rsidR="000374A5" w:rsidRPr="000374A5" w:rsidRDefault="000374A5" w:rsidP="000374A5">
            <w:pPr>
              <w:jc w:val="center"/>
              <w:rPr>
                <w:b/>
                <w:bCs/>
                <w:sz w:val="20"/>
                <w:szCs w:val="20"/>
              </w:rPr>
            </w:pPr>
            <w:r>
              <w:t>Author (Company)</w:t>
            </w:r>
          </w:p>
        </w:tc>
      </w:tr>
      <w:tr w:rsidR="00E91C15" w:rsidRPr="00783DAC" w:rsidTr="008811BD">
        <w:trPr>
          <w:trHeight w:val="464"/>
        </w:trPr>
        <w:tc>
          <w:tcPr>
            <w:tcW w:w="870" w:type="pct"/>
            <w:shd w:val="pct20" w:color="000000" w:fill="FFFFFF"/>
          </w:tcPr>
          <w:p w:rsidR="00E91C15" w:rsidRPr="00A432F9" w:rsidRDefault="00E91C15" w:rsidP="008948E0">
            <w:pPr>
              <w:rPr>
                <w:bCs/>
              </w:rPr>
            </w:pPr>
            <w:r w:rsidRPr="00A432F9">
              <w:rPr>
                <w:bCs/>
              </w:rPr>
              <w:t>Revision 0</w:t>
            </w:r>
          </w:p>
        </w:tc>
        <w:tc>
          <w:tcPr>
            <w:tcW w:w="746" w:type="pct"/>
            <w:shd w:val="pct20" w:color="000000" w:fill="FFFFFF"/>
          </w:tcPr>
          <w:p w:rsidR="00E91C15" w:rsidRPr="00A432F9" w:rsidRDefault="00BC6972" w:rsidP="007B0B34">
            <w:pPr>
              <w:rPr>
                <w:bCs/>
                <w:sz w:val="20"/>
                <w:szCs w:val="20"/>
                <w:highlight w:val="yellow"/>
              </w:rPr>
            </w:pPr>
            <w:r w:rsidRPr="00A432F9">
              <w:rPr>
                <w:bCs/>
                <w:sz w:val="20"/>
                <w:szCs w:val="20"/>
              </w:rPr>
              <w:t>02</w:t>
            </w:r>
            <w:r w:rsidR="00E91C15" w:rsidRPr="00A432F9">
              <w:rPr>
                <w:bCs/>
                <w:sz w:val="20"/>
                <w:szCs w:val="20"/>
              </w:rPr>
              <w:t>/</w:t>
            </w:r>
            <w:r w:rsidR="007B0B34">
              <w:rPr>
                <w:bCs/>
                <w:sz w:val="20"/>
                <w:szCs w:val="20"/>
              </w:rPr>
              <w:t>21</w:t>
            </w:r>
            <w:r w:rsidR="00E91C15" w:rsidRPr="00A432F9">
              <w:rPr>
                <w:bCs/>
                <w:sz w:val="20"/>
                <w:szCs w:val="20"/>
              </w:rPr>
              <w:t>/</w:t>
            </w:r>
            <w:r w:rsidRPr="00A432F9">
              <w:rPr>
                <w:bCs/>
                <w:sz w:val="20"/>
                <w:szCs w:val="20"/>
              </w:rPr>
              <w:t>2013</w:t>
            </w:r>
          </w:p>
        </w:tc>
        <w:tc>
          <w:tcPr>
            <w:tcW w:w="1692" w:type="pct"/>
            <w:shd w:val="pct20" w:color="000000" w:fill="FFFFFF"/>
          </w:tcPr>
          <w:p w:rsidR="00E91C15" w:rsidRPr="00A432F9" w:rsidRDefault="00A2355B" w:rsidP="00BD0A12">
            <w:pPr>
              <w:rPr>
                <w:bCs/>
                <w:sz w:val="20"/>
                <w:szCs w:val="20"/>
              </w:rPr>
            </w:pPr>
            <w:r>
              <w:rPr>
                <w:bCs/>
                <w:sz w:val="20"/>
                <w:szCs w:val="20"/>
              </w:rPr>
              <w:t>Original Workpaper</w:t>
            </w:r>
            <w:r w:rsidRPr="00A432F9">
              <w:rPr>
                <w:bCs/>
                <w:sz w:val="20"/>
                <w:szCs w:val="20"/>
              </w:rPr>
              <w:t xml:space="preserve"> </w:t>
            </w:r>
            <w:r w:rsidR="000C7AA6" w:rsidRPr="00A432F9">
              <w:rPr>
                <w:bCs/>
                <w:sz w:val="20"/>
                <w:szCs w:val="20"/>
              </w:rPr>
              <w:t>PGECOLTG</w:t>
            </w:r>
            <w:r w:rsidR="00BD0A12" w:rsidRPr="00A432F9">
              <w:rPr>
                <w:bCs/>
                <w:sz w:val="20"/>
                <w:szCs w:val="20"/>
              </w:rPr>
              <w:t>176</w:t>
            </w:r>
            <w:r w:rsidR="000C7AA6" w:rsidRPr="00A432F9">
              <w:rPr>
                <w:bCs/>
                <w:sz w:val="20"/>
                <w:szCs w:val="20"/>
              </w:rPr>
              <w:t>, Dimmable Fluorescent Ballasts</w:t>
            </w:r>
          </w:p>
        </w:tc>
        <w:tc>
          <w:tcPr>
            <w:tcW w:w="1692" w:type="pct"/>
            <w:shd w:val="pct20" w:color="000000" w:fill="FFFFFF"/>
          </w:tcPr>
          <w:p w:rsidR="00E91C15" w:rsidRPr="00A432F9" w:rsidRDefault="00CA6C45" w:rsidP="008948E0">
            <w:pPr>
              <w:rPr>
                <w:bCs/>
                <w:sz w:val="20"/>
                <w:szCs w:val="20"/>
              </w:rPr>
            </w:pPr>
            <w:r w:rsidRPr="00A432F9">
              <w:rPr>
                <w:bCs/>
                <w:sz w:val="20"/>
                <w:szCs w:val="20"/>
              </w:rPr>
              <w:t>Daniel Young and Greg Barker (Energy Solutions)</w:t>
            </w:r>
          </w:p>
        </w:tc>
      </w:tr>
      <w:tr w:rsidR="00E91C15" w:rsidRPr="00783DAC" w:rsidTr="008811BD">
        <w:trPr>
          <w:trHeight w:val="464"/>
        </w:trPr>
        <w:tc>
          <w:tcPr>
            <w:tcW w:w="870" w:type="pct"/>
            <w:shd w:val="pct5" w:color="000000" w:fill="FFFFFF"/>
          </w:tcPr>
          <w:p w:rsidR="00E91C15" w:rsidRPr="0062416A" w:rsidRDefault="00806EE8" w:rsidP="008948E0">
            <w:r w:rsidRPr="00880CA5">
              <w:t xml:space="preserve">Revision </w:t>
            </w:r>
            <w:r w:rsidR="000C7AA6">
              <w:t>0</w:t>
            </w:r>
          </w:p>
        </w:tc>
        <w:tc>
          <w:tcPr>
            <w:tcW w:w="746" w:type="pct"/>
            <w:shd w:val="pct5" w:color="000000" w:fill="FFFFFF"/>
          </w:tcPr>
          <w:p w:rsidR="00E91C15" w:rsidRPr="00783DAC" w:rsidRDefault="007B0B34" w:rsidP="00806EE8">
            <w:pPr>
              <w:rPr>
                <w:sz w:val="20"/>
                <w:szCs w:val="20"/>
              </w:rPr>
            </w:pPr>
            <w:r>
              <w:rPr>
                <w:sz w:val="20"/>
                <w:szCs w:val="20"/>
              </w:rPr>
              <w:t>03/01</w:t>
            </w:r>
            <w:r w:rsidR="000C7AA6">
              <w:rPr>
                <w:sz w:val="20"/>
                <w:szCs w:val="20"/>
              </w:rPr>
              <w:t>/2013</w:t>
            </w:r>
          </w:p>
        </w:tc>
        <w:tc>
          <w:tcPr>
            <w:tcW w:w="1692" w:type="pct"/>
            <w:shd w:val="pct5" w:color="000000" w:fill="FFFFFF"/>
          </w:tcPr>
          <w:p w:rsidR="00E91C15" w:rsidRDefault="000C7AA6" w:rsidP="00BD0A12">
            <w:pPr>
              <w:rPr>
                <w:bCs/>
                <w:sz w:val="20"/>
                <w:szCs w:val="20"/>
              </w:rPr>
            </w:pPr>
            <w:r w:rsidRPr="00A432F9">
              <w:rPr>
                <w:bCs/>
                <w:sz w:val="20"/>
                <w:szCs w:val="20"/>
              </w:rPr>
              <w:t>PGECOLTG</w:t>
            </w:r>
            <w:r w:rsidR="00BD0A12" w:rsidRPr="00A432F9">
              <w:rPr>
                <w:bCs/>
                <w:sz w:val="20"/>
                <w:szCs w:val="20"/>
              </w:rPr>
              <w:t>176</w:t>
            </w:r>
            <w:r w:rsidRPr="00A432F9">
              <w:rPr>
                <w:bCs/>
                <w:sz w:val="20"/>
                <w:szCs w:val="20"/>
              </w:rPr>
              <w:t>, Dimmable Fluorescent Ballasts</w:t>
            </w:r>
          </w:p>
          <w:p w:rsidR="00A2355B" w:rsidRPr="00DD604B" w:rsidRDefault="00A2355B" w:rsidP="00BD0A12">
            <w:pPr>
              <w:rPr>
                <w:sz w:val="20"/>
                <w:szCs w:val="20"/>
              </w:rPr>
            </w:pPr>
          </w:p>
        </w:tc>
        <w:tc>
          <w:tcPr>
            <w:tcW w:w="1692" w:type="pct"/>
            <w:shd w:val="pct5" w:color="000000" w:fill="FFFFFF"/>
          </w:tcPr>
          <w:p w:rsidR="00E91C15" w:rsidRPr="00A432F9" w:rsidRDefault="000C7AA6" w:rsidP="00746DDC">
            <w:pPr>
              <w:rPr>
                <w:bCs/>
                <w:sz w:val="20"/>
                <w:szCs w:val="20"/>
              </w:rPr>
            </w:pPr>
            <w:r w:rsidRPr="00A432F9">
              <w:rPr>
                <w:bCs/>
                <w:sz w:val="20"/>
                <w:szCs w:val="20"/>
              </w:rPr>
              <w:t xml:space="preserve">Reviewed </w:t>
            </w:r>
            <w:r w:rsidR="009F1A53">
              <w:rPr>
                <w:bCs/>
                <w:sz w:val="20"/>
                <w:szCs w:val="20"/>
              </w:rPr>
              <w:t xml:space="preserve">and modified </w:t>
            </w:r>
            <w:r w:rsidRPr="00A432F9">
              <w:rPr>
                <w:bCs/>
                <w:sz w:val="20"/>
                <w:szCs w:val="20"/>
              </w:rPr>
              <w:t xml:space="preserve">by Alina Zohrabian (PG&amp;E) </w:t>
            </w:r>
          </w:p>
        </w:tc>
      </w:tr>
      <w:tr w:rsidR="00B615BF" w:rsidRPr="00783DAC" w:rsidTr="00183349">
        <w:trPr>
          <w:trHeight w:val="464"/>
        </w:trPr>
        <w:tc>
          <w:tcPr>
            <w:tcW w:w="870" w:type="pct"/>
            <w:shd w:val="clear" w:color="auto" w:fill="BFBFBF" w:themeFill="background1" w:themeFillShade="BF"/>
          </w:tcPr>
          <w:p w:rsidR="00B615BF" w:rsidRPr="00880CA5" w:rsidRDefault="00B615BF" w:rsidP="008948E0">
            <w:r>
              <w:t>Revision 1</w:t>
            </w:r>
          </w:p>
        </w:tc>
        <w:tc>
          <w:tcPr>
            <w:tcW w:w="746" w:type="pct"/>
            <w:shd w:val="clear" w:color="auto" w:fill="BFBFBF" w:themeFill="background1" w:themeFillShade="BF"/>
          </w:tcPr>
          <w:p w:rsidR="00B615BF" w:rsidRDefault="00D43007" w:rsidP="00806EE8">
            <w:pPr>
              <w:rPr>
                <w:sz w:val="20"/>
                <w:szCs w:val="20"/>
              </w:rPr>
            </w:pPr>
            <w:r>
              <w:rPr>
                <w:sz w:val="20"/>
                <w:szCs w:val="20"/>
              </w:rPr>
              <w:t>01/01/2013</w:t>
            </w:r>
          </w:p>
        </w:tc>
        <w:tc>
          <w:tcPr>
            <w:tcW w:w="1692" w:type="pct"/>
            <w:shd w:val="clear" w:color="auto" w:fill="BFBFBF" w:themeFill="background1" w:themeFillShade="BF"/>
          </w:tcPr>
          <w:p w:rsidR="00183349" w:rsidRPr="00A432F9" w:rsidRDefault="00D43007" w:rsidP="00CC47F1">
            <w:pPr>
              <w:rPr>
                <w:bCs/>
                <w:sz w:val="20"/>
                <w:szCs w:val="20"/>
              </w:rPr>
            </w:pPr>
            <w:r w:rsidRPr="00D43007">
              <w:rPr>
                <w:bCs/>
                <w:sz w:val="20"/>
                <w:szCs w:val="20"/>
              </w:rPr>
              <w:t xml:space="preserve">Updated the occupancy sensor savings based on the 2013-2014 </w:t>
            </w:r>
            <w:r w:rsidR="00CC47F1">
              <w:rPr>
                <w:bCs/>
                <w:sz w:val="20"/>
                <w:szCs w:val="20"/>
              </w:rPr>
              <w:t>occupancy sensor</w:t>
            </w:r>
            <w:r w:rsidRPr="00D43007">
              <w:rPr>
                <w:bCs/>
                <w:sz w:val="20"/>
                <w:szCs w:val="20"/>
              </w:rPr>
              <w:t xml:space="preserve"> savings disposition-May31-2013</w:t>
            </w:r>
          </w:p>
        </w:tc>
        <w:tc>
          <w:tcPr>
            <w:tcW w:w="1692" w:type="pct"/>
            <w:shd w:val="clear" w:color="auto" w:fill="BFBFBF" w:themeFill="background1" w:themeFillShade="BF"/>
          </w:tcPr>
          <w:p w:rsidR="00B615BF" w:rsidRPr="00A432F9" w:rsidRDefault="00D43007" w:rsidP="00746DDC">
            <w:pPr>
              <w:rPr>
                <w:bCs/>
                <w:sz w:val="20"/>
                <w:szCs w:val="20"/>
              </w:rPr>
            </w:pPr>
            <w:r>
              <w:rPr>
                <w:bCs/>
                <w:sz w:val="20"/>
                <w:szCs w:val="20"/>
              </w:rPr>
              <w:t>Alina Zohrabian</w:t>
            </w:r>
            <w:r w:rsidR="00CC47F1">
              <w:rPr>
                <w:bCs/>
                <w:sz w:val="20"/>
                <w:szCs w:val="20"/>
              </w:rPr>
              <w:t xml:space="preserve"> (PG&amp;E)</w:t>
            </w:r>
          </w:p>
        </w:tc>
      </w:tr>
      <w:tr w:rsidR="00D43007" w:rsidRPr="00783DAC" w:rsidTr="00D43007">
        <w:trPr>
          <w:trHeight w:val="464"/>
        </w:trPr>
        <w:tc>
          <w:tcPr>
            <w:tcW w:w="870" w:type="pct"/>
            <w:shd w:val="clear" w:color="auto" w:fill="F2F2F2" w:themeFill="background1" w:themeFillShade="F2"/>
          </w:tcPr>
          <w:p w:rsidR="00D43007" w:rsidRDefault="00D43007" w:rsidP="008948E0">
            <w:r>
              <w:t>Revision 2</w:t>
            </w:r>
          </w:p>
        </w:tc>
        <w:tc>
          <w:tcPr>
            <w:tcW w:w="746" w:type="pct"/>
            <w:shd w:val="clear" w:color="auto" w:fill="F2F2F2" w:themeFill="background1" w:themeFillShade="F2"/>
          </w:tcPr>
          <w:p w:rsidR="00D43007" w:rsidRDefault="00D43007" w:rsidP="00D43007">
            <w:pPr>
              <w:rPr>
                <w:sz w:val="20"/>
                <w:szCs w:val="20"/>
              </w:rPr>
            </w:pPr>
            <w:r>
              <w:rPr>
                <w:sz w:val="20"/>
                <w:szCs w:val="20"/>
              </w:rPr>
              <w:t>6/17/2014</w:t>
            </w:r>
          </w:p>
        </w:tc>
        <w:tc>
          <w:tcPr>
            <w:tcW w:w="1692" w:type="pct"/>
            <w:shd w:val="clear" w:color="auto" w:fill="F2F2F2" w:themeFill="background1" w:themeFillShade="F2"/>
          </w:tcPr>
          <w:p w:rsidR="00D43007" w:rsidRDefault="00D43007" w:rsidP="00D43007">
            <w:pPr>
              <w:rPr>
                <w:bCs/>
                <w:sz w:val="20"/>
                <w:szCs w:val="20"/>
              </w:rPr>
            </w:pPr>
            <w:r>
              <w:rPr>
                <w:bCs/>
                <w:sz w:val="20"/>
                <w:szCs w:val="20"/>
              </w:rPr>
              <w:t xml:space="preserve">Updated per </w:t>
            </w:r>
            <w:r w:rsidRPr="00183349">
              <w:rPr>
                <w:bCs/>
                <w:sz w:val="20"/>
                <w:szCs w:val="20"/>
              </w:rPr>
              <w:t xml:space="preserve">Disposition for </w:t>
            </w:r>
            <w:r w:rsidR="001C400E">
              <w:rPr>
                <w:bCs/>
                <w:sz w:val="20"/>
                <w:szCs w:val="20"/>
              </w:rPr>
              <w:t>2013 Title 24</w:t>
            </w:r>
            <w:r w:rsidRPr="00183349">
              <w:rPr>
                <w:bCs/>
                <w:sz w:val="20"/>
                <w:szCs w:val="20"/>
              </w:rPr>
              <w:t>.</w:t>
            </w:r>
          </w:p>
          <w:p w:rsidR="00D43007" w:rsidRPr="00A432F9" w:rsidRDefault="00D43007" w:rsidP="00D43007">
            <w:pPr>
              <w:rPr>
                <w:bCs/>
                <w:sz w:val="20"/>
                <w:szCs w:val="20"/>
              </w:rPr>
            </w:pPr>
            <w:r>
              <w:rPr>
                <w:bCs/>
                <w:sz w:val="20"/>
                <w:szCs w:val="20"/>
              </w:rPr>
              <w:t>Removed occupancy sensor measures to accommodate code.  Added DI option.</w:t>
            </w:r>
          </w:p>
        </w:tc>
        <w:tc>
          <w:tcPr>
            <w:tcW w:w="1692" w:type="pct"/>
            <w:shd w:val="clear" w:color="auto" w:fill="F2F2F2" w:themeFill="background1" w:themeFillShade="F2"/>
          </w:tcPr>
          <w:p w:rsidR="00D43007" w:rsidRPr="00A432F9" w:rsidRDefault="00D43007" w:rsidP="00D43007">
            <w:pPr>
              <w:rPr>
                <w:bCs/>
                <w:sz w:val="20"/>
                <w:szCs w:val="20"/>
              </w:rPr>
            </w:pPr>
            <w:r>
              <w:rPr>
                <w:bCs/>
                <w:sz w:val="20"/>
                <w:szCs w:val="20"/>
              </w:rPr>
              <w:t>Mark Tiemens (PG&amp;E)</w:t>
            </w:r>
          </w:p>
        </w:tc>
      </w:tr>
    </w:tbl>
    <w:p w:rsidR="00783DAC" w:rsidRPr="00783DAC" w:rsidRDefault="00783DAC" w:rsidP="00783DAC">
      <w:pPr>
        <w:rPr>
          <w:vanish/>
        </w:rPr>
      </w:pPr>
      <w:bookmarkStart w:id="9" w:name="_Toc186621650"/>
    </w:p>
    <w:p w:rsidR="00E71EF1" w:rsidRDefault="00E71EF1" w:rsidP="00F55847">
      <w:pPr>
        <w:pStyle w:val="Heading1"/>
      </w:pPr>
      <w:bookmarkStart w:id="10" w:name="_Toc304800197"/>
      <w:r w:rsidRPr="006832A4">
        <w:br w:type="page"/>
      </w:r>
      <w:bookmarkStart w:id="11" w:name="_Toc390769225"/>
      <w:r w:rsidR="001248A3">
        <w:lastRenderedPageBreak/>
        <w:t>Table</w:t>
      </w:r>
      <w:r w:rsidR="006559C8">
        <w:t xml:space="preserve"> of Contents</w:t>
      </w:r>
      <w:bookmarkEnd w:id="9"/>
      <w:bookmarkEnd w:id="10"/>
      <w:bookmarkEnd w:id="11"/>
    </w:p>
    <w:p w:rsidR="003A4812" w:rsidRDefault="009F6F8B">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390769222" w:history="1">
        <w:r w:rsidR="003A4812" w:rsidRPr="00275A6A">
          <w:rPr>
            <w:rStyle w:val="Hyperlink"/>
            <w:noProof/>
          </w:rPr>
          <w:t>At-a-Glance Summary</w:t>
        </w:r>
        <w:r w:rsidR="003A4812">
          <w:rPr>
            <w:noProof/>
            <w:webHidden/>
          </w:rPr>
          <w:tab/>
        </w:r>
        <w:r w:rsidR="003A4812">
          <w:rPr>
            <w:noProof/>
            <w:webHidden/>
          </w:rPr>
          <w:fldChar w:fldCharType="begin"/>
        </w:r>
        <w:r w:rsidR="003A4812">
          <w:rPr>
            <w:noProof/>
            <w:webHidden/>
          </w:rPr>
          <w:instrText xml:space="preserve"> PAGEREF _Toc390769222 \h </w:instrText>
        </w:r>
        <w:r w:rsidR="003A4812">
          <w:rPr>
            <w:noProof/>
            <w:webHidden/>
          </w:rPr>
        </w:r>
        <w:r w:rsidR="003A4812">
          <w:rPr>
            <w:noProof/>
            <w:webHidden/>
          </w:rPr>
          <w:fldChar w:fldCharType="separate"/>
        </w:r>
        <w:r w:rsidR="003A4812">
          <w:rPr>
            <w:noProof/>
            <w:webHidden/>
          </w:rPr>
          <w:t>ii</w:t>
        </w:r>
        <w:r w:rsidR="003A4812">
          <w:rPr>
            <w:noProof/>
            <w:webHidden/>
          </w:rPr>
          <w:fldChar w:fldCharType="end"/>
        </w:r>
      </w:hyperlink>
    </w:p>
    <w:p w:rsidR="003A4812" w:rsidRDefault="003A4812">
      <w:pPr>
        <w:pStyle w:val="TOC1"/>
        <w:tabs>
          <w:tab w:val="right" w:leader="dot" w:pos="9350"/>
        </w:tabs>
        <w:rPr>
          <w:rFonts w:asciiTheme="minorHAnsi" w:eastAsiaTheme="minorEastAsia" w:hAnsiTheme="minorHAnsi" w:cstheme="minorBidi"/>
          <w:noProof/>
          <w:sz w:val="22"/>
          <w:szCs w:val="22"/>
        </w:rPr>
      </w:pPr>
      <w:hyperlink w:anchor="_Toc390769223" w:history="1">
        <w:r w:rsidRPr="00275A6A">
          <w:rPr>
            <w:rStyle w:val="Hyperlink"/>
            <w:noProof/>
          </w:rPr>
          <w:t>Work Paper Approvals</w:t>
        </w:r>
        <w:r>
          <w:rPr>
            <w:noProof/>
            <w:webHidden/>
          </w:rPr>
          <w:tab/>
        </w:r>
        <w:r>
          <w:rPr>
            <w:noProof/>
            <w:webHidden/>
          </w:rPr>
          <w:fldChar w:fldCharType="begin"/>
        </w:r>
        <w:r>
          <w:rPr>
            <w:noProof/>
            <w:webHidden/>
          </w:rPr>
          <w:instrText xml:space="preserve"> PAGEREF _Toc390769223 \h </w:instrText>
        </w:r>
        <w:r>
          <w:rPr>
            <w:noProof/>
            <w:webHidden/>
          </w:rPr>
        </w:r>
        <w:r>
          <w:rPr>
            <w:noProof/>
            <w:webHidden/>
          </w:rPr>
          <w:fldChar w:fldCharType="separate"/>
        </w:r>
        <w:r>
          <w:rPr>
            <w:noProof/>
            <w:webHidden/>
          </w:rPr>
          <w:t>iii</w:t>
        </w:r>
        <w:r>
          <w:rPr>
            <w:noProof/>
            <w:webHidden/>
          </w:rPr>
          <w:fldChar w:fldCharType="end"/>
        </w:r>
      </w:hyperlink>
    </w:p>
    <w:p w:rsidR="003A4812" w:rsidRDefault="003A4812">
      <w:pPr>
        <w:pStyle w:val="TOC1"/>
        <w:tabs>
          <w:tab w:val="right" w:leader="dot" w:pos="9350"/>
        </w:tabs>
        <w:rPr>
          <w:rFonts w:asciiTheme="minorHAnsi" w:eastAsiaTheme="minorEastAsia" w:hAnsiTheme="minorHAnsi" w:cstheme="minorBidi"/>
          <w:noProof/>
          <w:sz w:val="22"/>
          <w:szCs w:val="22"/>
        </w:rPr>
      </w:pPr>
      <w:hyperlink w:anchor="_Toc390769224" w:history="1">
        <w:r w:rsidRPr="00275A6A">
          <w:rPr>
            <w:rStyle w:val="Hyperlink"/>
            <w:noProof/>
          </w:rPr>
          <w:t>Document Revision History</w:t>
        </w:r>
        <w:r>
          <w:rPr>
            <w:noProof/>
            <w:webHidden/>
          </w:rPr>
          <w:tab/>
        </w:r>
        <w:r>
          <w:rPr>
            <w:noProof/>
            <w:webHidden/>
          </w:rPr>
          <w:fldChar w:fldCharType="begin"/>
        </w:r>
        <w:r>
          <w:rPr>
            <w:noProof/>
            <w:webHidden/>
          </w:rPr>
          <w:instrText xml:space="preserve"> PAGEREF _Toc390769224 \h </w:instrText>
        </w:r>
        <w:r>
          <w:rPr>
            <w:noProof/>
            <w:webHidden/>
          </w:rPr>
        </w:r>
        <w:r>
          <w:rPr>
            <w:noProof/>
            <w:webHidden/>
          </w:rPr>
          <w:fldChar w:fldCharType="separate"/>
        </w:r>
        <w:r>
          <w:rPr>
            <w:noProof/>
            <w:webHidden/>
          </w:rPr>
          <w:t>iv</w:t>
        </w:r>
        <w:r>
          <w:rPr>
            <w:noProof/>
            <w:webHidden/>
          </w:rPr>
          <w:fldChar w:fldCharType="end"/>
        </w:r>
      </w:hyperlink>
    </w:p>
    <w:p w:rsidR="003A4812" w:rsidRDefault="003A4812">
      <w:pPr>
        <w:pStyle w:val="TOC1"/>
        <w:tabs>
          <w:tab w:val="right" w:leader="dot" w:pos="9350"/>
        </w:tabs>
        <w:rPr>
          <w:rFonts w:asciiTheme="minorHAnsi" w:eastAsiaTheme="minorEastAsia" w:hAnsiTheme="minorHAnsi" w:cstheme="minorBidi"/>
          <w:noProof/>
          <w:sz w:val="22"/>
          <w:szCs w:val="22"/>
        </w:rPr>
      </w:pPr>
      <w:hyperlink w:anchor="_Toc390769225" w:history="1">
        <w:r w:rsidRPr="00275A6A">
          <w:rPr>
            <w:rStyle w:val="Hyperlink"/>
            <w:noProof/>
          </w:rPr>
          <w:t>Table of Contents</w:t>
        </w:r>
        <w:r>
          <w:rPr>
            <w:noProof/>
            <w:webHidden/>
          </w:rPr>
          <w:tab/>
        </w:r>
        <w:r>
          <w:rPr>
            <w:noProof/>
            <w:webHidden/>
          </w:rPr>
          <w:fldChar w:fldCharType="begin"/>
        </w:r>
        <w:r>
          <w:rPr>
            <w:noProof/>
            <w:webHidden/>
          </w:rPr>
          <w:instrText xml:space="preserve"> PAGEREF _Toc390769225 \h </w:instrText>
        </w:r>
        <w:r>
          <w:rPr>
            <w:noProof/>
            <w:webHidden/>
          </w:rPr>
        </w:r>
        <w:r>
          <w:rPr>
            <w:noProof/>
            <w:webHidden/>
          </w:rPr>
          <w:fldChar w:fldCharType="separate"/>
        </w:r>
        <w:r>
          <w:rPr>
            <w:noProof/>
            <w:webHidden/>
          </w:rPr>
          <w:t>v</w:t>
        </w:r>
        <w:r>
          <w:rPr>
            <w:noProof/>
            <w:webHidden/>
          </w:rPr>
          <w:fldChar w:fldCharType="end"/>
        </w:r>
      </w:hyperlink>
    </w:p>
    <w:p w:rsidR="003A4812" w:rsidRDefault="003A4812">
      <w:pPr>
        <w:pStyle w:val="TOC1"/>
        <w:tabs>
          <w:tab w:val="right" w:leader="dot" w:pos="9350"/>
        </w:tabs>
        <w:rPr>
          <w:rFonts w:asciiTheme="minorHAnsi" w:eastAsiaTheme="minorEastAsia" w:hAnsiTheme="minorHAnsi" w:cstheme="minorBidi"/>
          <w:noProof/>
          <w:sz w:val="22"/>
          <w:szCs w:val="22"/>
        </w:rPr>
      </w:pPr>
      <w:hyperlink w:anchor="_Toc390769226" w:history="1">
        <w:r w:rsidRPr="00275A6A">
          <w:rPr>
            <w:rStyle w:val="Hyperlink"/>
            <w:noProof/>
          </w:rPr>
          <w:t>List of Tables</w:t>
        </w:r>
        <w:r>
          <w:rPr>
            <w:noProof/>
            <w:webHidden/>
          </w:rPr>
          <w:tab/>
        </w:r>
        <w:r>
          <w:rPr>
            <w:noProof/>
            <w:webHidden/>
          </w:rPr>
          <w:fldChar w:fldCharType="begin"/>
        </w:r>
        <w:r>
          <w:rPr>
            <w:noProof/>
            <w:webHidden/>
          </w:rPr>
          <w:instrText xml:space="preserve"> PAGEREF _Toc390769226 \h </w:instrText>
        </w:r>
        <w:r>
          <w:rPr>
            <w:noProof/>
            <w:webHidden/>
          </w:rPr>
        </w:r>
        <w:r>
          <w:rPr>
            <w:noProof/>
            <w:webHidden/>
          </w:rPr>
          <w:fldChar w:fldCharType="separate"/>
        </w:r>
        <w:r>
          <w:rPr>
            <w:noProof/>
            <w:webHidden/>
          </w:rPr>
          <w:t>vi</w:t>
        </w:r>
        <w:r>
          <w:rPr>
            <w:noProof/>
            <w:webHidden/>
          </w:rPr>
          <w:fldChar w:fldCharType="end"/>
        </w:r>
      </w:hyperlink>
    </w:p>
    <w:p w:rsidR="003A4812" w:rsidRDefault="003A4812">
      <w:pPr>
        <w:pStyle w:val="TOC1"/>
        <w:tabs>
          <w:tab w:val="right" w:leader="dot" w:pos="9350"/>
        </w:tabs>
        <w:rPr>
          <w:rFonts w:asciiTheme="minorHAnsi" w:eastAsiaTheme="minorEastAsia" w:hAnsiTheme="minorHAnsi" w:cstheme="minorBidi"/>
          <w:noProof/>
          <w:sz w:val="22"/>
          <w:szCs w:val="22"/>
        </w:rPr>
      </w:pPr>
      <w:hyperlink w:anchor="_Toc390769227" w:history="1">
        <w:r w:rsidRPr="00275A6A">
          <w:rPr>
            <w:rStyle w:val="Hyperlink"/>
            <w:noProof/>
          </w:rPr>
          <w:t>List of Figures</w:t>
        </w:r>
        <w:r>
          <w:rPr>
            <w:noProof/>
            <w:webHidden/>
          </w:rPr>
          <w:tab/>
        </w:r>
        <w:r>
          <w:rPr>
            <w:noProof/>
            <w:webHidden/>
          </w:rPr>
          <w:fldChar w:fldCharType="begin"/>
        </w:r>
        <w:r>
          <w:rPr>
            <w:noProof/>
            <w:webHidden/>
          </w:rPr>
          <w:instrText xml:space="preserve"> PAGEREF _Toc390769227 \h </w:instrText>
        </w:r>
        <w:r>
          <w:rPr>
            <w:noProof/>
            <w:webHidden/>
          </w:rPr>
        </w:r>
        <w:r>
          <w:rPr>
            <w:noProof/>
            <w:webHidden/>
          </w:rPr>
          <w:fldChar w:fldCharType="separate"/>
        </w:r>
        <w:r>
          <w:rPr>
            <w:noProof/>
            <w:webHidden/>
          </w:rPr>
          <w:t>vi</w:t>
        </w:r>
        <w:r>
          <w:rPr>
            <w:noProof/>
            <w:webHidden/>
          </w:rPr>
          <w:fldChar w:fldCharType="end"/>
        </w:r>
      </w:hyperlink>
    </w:p>
    <w:p w:rsidR="003A4812" w:rsidRDefault="003A4812">
      <w:pPr>
        <w:pStyle w:val="TOC1"/>
        <w:tabs>
          <w:tab w:val="right" w:leader="dot" w:pos="9350"/>
        </w:tabs>
        <w:rPr>
          <w:rFonts w:asciiTheme="minorHAnsi" w:eastAsiaTheme="minorEastAsia" w:hAnsiTheme="minorHAnsi" w:cstheme="minorBidi"/>
          <w:noProof/>
          <w:sz w:val="22"/>
          <w:szCs w:val="22"/>
        </w:rPr>
      </w:pPr>
      <w:hyperlink w:anchor="_Toc390769228" w:history="1">
        <w:r w:rsidRPr="00275A6A">
          <w:rPr>
            <w:rStyle w:val="Hyperlink"/>
            <w:noProof/>
          </w:rPr>
          <w:t>Section 1. General Measure &amp; Baseline Data</w:t>
        </w:r>
        <w:r>
          <w:rPr>
            <w:noProof/>
            <w:webHidden/>
          </w:rPr>
          <w:tab/>
        </w:r>
        <w:r>
          <w:rPr>
            <w:noProof/>
            <w:webHidden/>
          </w:rPr>
          <w:fldChar w:fldCharType="begin"/>
        </w:r>
        <w:r>
          <w:rPr>
            <w:noProof/>
            <w:webHidden/>
          </w:rPr>
          <w:instrText xml:space="preserve"> PAGEREF _Toc390769228 \h </w:instrText>
        </w:r>
        <w:r>
          <w:rPr>
            <w:noProof/>
            <w:webHidden/>
          </w:rPr>
        </w:r>
        <w:r>
          <w:rPr>
            <w:noProof/>
            <w:webHidden/>
          </w:rPr>
          <w:fldChar w:fldCharType="separate"/>
        </w:r>
        <w:r>
          <w:rPr>
            <w:noProof/>
            <w:webHidden/>
          </w:rPr>
          <w:t>1</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29" w:history="1">
        <w:r w:rsidRPr="00275A6A">
          <w:rPr>
            <w:rStyle w:val="Hyperlink"/>
            <w:noProof/>
          </w:rPr>
          <w:t>1.1 Product Measure Description &amp; Background</w:t>
        </w:r>
        <w:r>
          <w:rPr>
            <w:noProof/>
            <w:webHidden/>
          </w:rPr>
          <w:tab/>
        </w:r>
        <w:r>
          <w:rPr>
            <w:noProof/>
            <w:webHidden/>
          </w:rPr>
          <w:fldChar w:fldCharType="begin"/>
        </w:r>
        <w:r>
          <w:rPr>
            <w:noProof/>
            <w:webHidden/>
          </w:rPr>
          <w:instrText xml:space="preserve"> PAGEREF _Toc390769229 \h </w:instrText>
        </w:r>
        <w:r>
          <w:rPr>
            <w:noProof/>
            <w:webHidden/>
          </w:rPr>
        </w:r>
        <w:r>
          <w:rPr>
            <w:noProof/>
            <w:webHidden/>
          </w:rPr>
          <w:fldChar w:fldCharType="separate"/>
        </w:r>
        <w:r>
          <w:rPr>
            <w:noProof/>
            <w:webHidden/>
          </w:rPr>
          <w:t>1</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30" w:history="1">
        <w:r w:rsidRPr="00275A6A">
          <w:rPr>
            <w:rStyle w:val="Hyperlink"/>
            <w:noProof/>
          </w:rPr>
          <w:t>1.3 Transaction Types</w:t>
        </w:r>
        <w:r>
          <w:rPr>
            <w:noProof/>
            <w:webHidden/>
          </w:rPr>
          <w:tab/>
        </w:r>
        <w:r>
          <w:rPr>
            <w:noProof/>
            <w:webHidden/>
          </w:rPr>
          <w:fldChar w:fldCharType="begin"/>
        </w:r>
        <w:r>
          <w:rPr>
            <w:noProof/>
            <w:webHidden/>
          </w:rPr>
          <w:instrText xml:space="preserve"> PAGEREF _Toc390769230 \h </w:instrText>
        </w:r>
        <w:r>
          <w:rPr>
            <w:noProof/>
            <w:webHidden/>
          </w:rPr>
        </w:r>
        <w:r>
          <w:rPr>
            <w:noProof/>
            <w:webHidden/>
          </w:rPr>
          <w:fldChar w:fldCharType="separate"/>
        </w:r>
        <w:r>
          <w:rPr>
            <w:noProof/>
            <w:webHidden/>
          </w:rPr>
          <w:t>2</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31" w:history="1">
        <w:r w:rsidRPr="00275A6A">
          <w:rPr>
            <w:rStyle w:val="Hyperlink"/>
            <w:noProof/>
          </w:rPr>
          <w:t>1.4 Product Base Case and Measure Case Data</w:t>
        </w:r>
        <w:r>
          <w:rPr>
            <w:noProof/>
            <w:webHidden/>
          </w:rPr>
          <w:tab/>
        </w:r>
        <w:r>
          <w:rPr>
            <w:noProof/>
            <w:webHidden/>
          </w:rPr>
          <w:fldChar w:fldCharType="begin"/>
        </w:r>
        <w:r>
          <w:rPr>
            <w:noProof/>
            <w:webHidden/>
          </w:rPr>
          <w:instrText xml:space="preserve"> PAGEREF _Toc390769231 \h </w:instrText>
        </w:r>
        <w:r>
          <w:rPr>
            <w:noProof/>
            <w:webHidden/>
          </w:rPr>
        </w:r>
        <w:r>
          <w:rPr>
            <w:noProof/>
            <w:webHidden/>
          </w:rPr>
          <w:fldChar w:fldCharType="separate"/>
        </w:r>
        <w:r>
          <w:rPr>
            <w:noProof/>
            <w:webHidden/>
          </w:rPr>
          <w:t>3</w:t>
        </w:r>
        <w:r>
          <w:rPr>
            <w:noProof/>
            <w:webHidden/>
          </w:rPr>
          <w:fldChar w:fldCharType="end"/>
        </w:r>
      </w:hyperlink>
    </w:p>
    <w:p w:rsidR="003A4812" w:rsidRDefault="003A4812">
      <w:pPr>
        <w:pStyle w:val="TOC3"/>
        <w:tabs>
          <w:tab w:val="right" w:leader="dot" w:pos="9350"/>
        </w:tabs>
        <w:rPr>
          <w:rFonts w:asciiTheme="minorHAnsi" w:eastAsiaTheme="minorEastAsia" w:hAnsiTheme="minorHAnsi" w:cstheme="minorBidi"/>
          <w:noProof/>
          <w:sz w:val="22"/>
          <w:szCs w:val="22"/>
        </w:rPr>
      </w:pPr>
      <w:hyperlink w:anchor="_Toc390769232" w:history="1">
        <w:r w:rsidRPr="00275A6A">
          <w:rPr>
            <w:rStyle w:val="Hyperlink"/>
            <w:noProof/>
          </w:rPr>
          <w:t>1.4.1 DEER Base Case and Measure Case Information</w:t>
        </w:r>
        <w:r>
          <w:rPr>
            <w:noProof/>
            <w:webHidden/>
          </w:rPr>
          <w:tab/>
        </w:r>
        <w:r>
          <w:rPr>
            <w:noProof/>
            <w:webHidden/>
          </w:rPr>
          <w:fldChar w:fldCharType="begin"/>
        </w:r>
        <w:r>
          <w:rPr>
            <w:noProof/>
            <w:webHidden/>
          </w:rPr>
          <w:instrText xml:space="preserve"> PAGEREF _Toc390769232 \h </w:instrText>
        </w:r>
        <w:r>
          <w:rPr>
            <w:noProof/>
            <w:webHidden/>
          </w:rPr>
        </w:r>
        <w:r>
          <w:rPr>
            <w:noProof/>
            <w:webHidden/>
          </w:rPr>
          <w:fldChar w:fldCharType="separate"/>
        </w:r>
        <w:r>
          <w:rPr>
            <w:noProof/>
            <w:webHidden/>
          </w:rPr>
          <w:t>3</w:t>
        </w:r>
        <w:r>
          <w:rPr>
            <w:noProof/>
            <w:webHidden/>
          </w:rPr>
          <w:fldChar w:fldCharType="end"/>
        </w:r>
      </w:hyperlink>
    </w:p>
    <w:p w:rsidR="003A4812" w:rsidRDefault="003A4812">
      <w:pPr>
        <w:pStyle w:val="TOC3"/>
        <w:tabs>
          <w:tab w:val="right" w:leader="dot" w:pos="9350"/>
        </w:tabs>
        <w:rPr>
          <w:rFonts w:asciiTheme="minorHAnsi" w:eastAsiaTheme="minorEastAsia" w:hAnsiTheme="minorHAnsi" w:cstheme="minorBidi"/>
          <w:noProof/>
          <w:sz w:val="22"/>
          <w:szCs w:val="22"/>
        </w:rPr>
      </w:pPr>
      <w:hyperlink w:anchor="_Toc390769233" w:history="1">
        <w:r w:rsidRPr="00275A6A">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_Toc390769233 \h </w:instrText>
        </w:r>
        <w:r>
          <w:rPr>
            <w:noProof/>
            <w:webHidden/>
          </w:rPr>
        </w:r>
        <w:r>
          <w:rPr>
            <w:noProof/>
            <w:webHidden/>
          </w:rPr>
          <w:fldChar w:fldCharType="separate"/>
        </w:r>
        <w:r>
          <w:rPr>
            <w:noProof/>
            <w:webHidden/>
          </w:rPr>
          <w:t>5</w:t>
        </w:r>
        <w:r>
          <w:rPr>
            <w:noProof/>
            <w:webHidden/>
          </w:rPr>
          <w:fldChar w:fldCharType="end"/>
        </w:r>
      </w:hyperlink>
    </w:p>
    <w:p w:rsidR="003A4812" w:rsidRDefault="003A4812">
      <w:pPr>
        <w:pStyle w:val="TOC3"/>
        <w:tabs>
          <w:tab w:val="right" w:leader="dot" w:pos="9350"/>
        </w:tabs>
        <w:rPr>
          <w:rFonts w:asciiTheme="minorHAnsi" w:eastAsiaTheme="minorEastAsia" w:hAnsiTheme="minorHAnsi" w:cstheme="minorBidi"/>
          <w:noProof/>
          <w:sz w:val="22"/>
          <w:szCs w:val="22"/>
        </w:rPr>
      </w:pPr>
      <w:hyperlink w:anchor="_Toc390769234" w:history="1">
        <w:r w:rsidRPr="00275A6A">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_Toc390769234 \h </w:instrText>
        </w:r>
        <w:r>
          <w:rPr>
            <w:noProof/>
            <w:webHidden/>
          </w:rPr>
        </w:r>
        <w:r>
          <w:rPr>
            <w:noProof/>
            <w:webHidden/>
          </w:rPr>
          <w:fldChar w:fldCharType="separate"/>
        </w:r>
        <w:r>
          <w:rPr>
            <w:noProof/>
            <w:webHidden/>
          </w:rPr>
          <w:t>5</w:t>
        </w:r>
        <w:r>
          <w:rPr>
            <w:noProof/>
            <w:webHidden/>
          </w:rPr>
          <w:fldChar w:fldCharType="end"/>
        </w:r>
      </w:hyperlink>
    </w:p>
    <w:p w:rsidR="003A4812" w:rsidRDefault="003A4812">
      <w:pPr>
        <w:pStyle w:val="TOC3"/>
        <w:tabs>
          <w:tab w:val="right" w:leader="dot" w:pos="9350"/>
        </w:tabs>
        <w:rPr>
          <w:rFonts w:asciiTheme="minorHAnsi" w:eastAsiaTheme="minorEastAsia" w:hAnsiTheme="minorHAnsi" w:cstheme="minorBidi"/>
          <w:noProof/>
          <w:sz w:val="22"/>
          <w:szCs w:val="22"/>
        </w:rPr>
      </w:pPr>
      <w:hyperlink w:anchor="_Toc390769235" w:history="1">
        <w:r w:rsidRPr="00275A6A">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_Toc390769235 \h </w:instrText>
        </w:r>
        <w:r>
          <w:rPr>
            <w:noProof/>
            <w:webHidden/>
          </w:rPr>
        </w:r>
        <w:r>
          <w:rPr>
            <w:noProof/>
            <w:webHidden/>
          </w:rPr>
          <w:fldChar w:fldCharType="separate"/>
        </w:r>
        <w:r>
          <w:rPr>
            <w:noProof/>
            <w:webHidden/>
          </w:rPr>
          <w:t>7</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36" w:history="1">
        <w:r w:rsidRPr="00275A6A">
          <w:rPr>
            <w:rStyle w:val="Hyperlink"/>
            <w:noProof/>
          </w:rPr>
          <w:t>ROB</w:t>
        </w:r>
        <w:r>
          <w:rPr>
            <w:noProof/>
            <w:webHidden/>
          </w:rPr>
          <w:tab/>
        </w:r>
        <w:r>
          <w:rPr>
            <w:noProof/>
            <w:webHidden/>
          </w:rPr>
          <w:fldChar w:fldCharType="begin"/>
        </w:r>
        <w:r>
          <w:rPr>
            <w:noProof/>
            <w:webHidden/>
          </w:rPr>
          <w:instrText xml:space="preserve"> PAGEREF _Toc390769236 \h </w:instrText>
        </w:r>
        <w:r>
          <w:rPr>
            <w:noProof/>
            <w:webHidden/>
          </w:rPr>
        </w:r>
        <w:r>
          <w:rPr>
            <w:noProof/>
            <w:webHidden/>
          </w:rPr>
          <w:fldChar w:fldCharType="separate"/>
        </w:r>
        <w:r>
          <w:rPr>
            <w:noProof/>
            <w:webHidden/>
          </w:rPr>
          <w:t>9</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37" w:history="1">
        <w:r w:rsidRPr="00275A6A">
          <w:rPr>
            <w:rStyle w:val="Hyperlink"/>
            <w:noProof/>
          </w:rPr>
          <w:t>EUL</w:t>
        </w:r>
        <w:r>
          <w:rPr>
            <w:noProof/>
            <w:webHidden/>
          </w:rPr>
          <w:tab/>
        </w:r>
        <w:r>
          <w:rPr>
            <w:noProof/>
            <w:webHidden/>
          </w:rPr>
          <w:fldChar w:fldCharType="begin"/>
        </w:r>
        <w:r>
          <w:rPr>
            <w:noProof/>
            <w:webHidden/>
          </w:rPr>
          <w:instrText xml:space="preserve"> PAGEREF _Toc390769237 \h </w:instrText>
        </w:r>
        <w:r>
          <w:rPr>
            <w:noProof/>
            <w:webHidden/>
          </w:rPr>
        </w:r>
        <w:r>
          <w:rPr>
            <w:noProof/>
            <w:webHidden/>
          </w:rPr>
          <w:fldChar w:fldCharType="separate"/>
        </w:r>
        <w:r>
          <w:rPr>
            <w:noProof/>
            <w:webHidden/>
          </w:rPr>
          <w:t>9</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38" w:history="1">
        <w:r w:rsidRPr="00275A6A">
          <w:rPr>
            <w:rStyle w:val="Hyperlink"/>
            <w:noProof/>
          </w:rPr>
          <w:t>Code Baseline</w:t>
        </w:r>
        <w:r>
          <w:rPr>
            <w:noProof/>
            <w:webHidden/>
          </w:rPr>
          <w:tab/>
        </w:r>
        <w:r>
          <w:rPr>
            <w:noProof/>
            <w:webHidden/>
          </w:rPr>
          <w:fldChar w:fldCharType="begin"/>
        </w:r>
        <w:r>
          <w:rPr>
            <w:noProof/>
            <w:webHidden/>
          </w:rPr>
          <w:instrText xml:space="preserve"> PAGEREF _Toc390769238 \h </w:instrText>
        </w:r>
        <w:r>
          <w:rPr>
            <w:noProof/>
            <w:webHidden/>
          </w:rPr>
        </w:r>
        <w:r>
          <w:rPr>
            <w:noProof/>
            <w:webHidden/>
          </w:rPr>
          <w:fldChar w:fldCharType="separate"/>
        </w:r>
        <w:r>
          <w:rPr>
            <w:noProof/>
            <w:webHidden/>
          </w:rPr>
          <w:t>9</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39" w:history="1">
        <w:r w:rsidRPr="00275A6A">
          <w:rPr>
            <w:rStyle w:val="Hyperlink"/>
            <w:noProof/>
          </w:rPr>
          <w:t>N/A</w:t>
        </w:r>
        <w:r>
          <w:rPr>
            <w:noProof/>
            <w:webHidden/>
          </w:rPr>
          <w:tab/>
        </w:r>
        <w:r>
          <w:rPr>
            <w:noProof/>
            <w:webHidden/>
          </w:rPr>
          <w:fldChar w:fldCharType="begin"/>
        </w:r>
        <w:r>
          <w:rPr>
            <w:noProof/>
            <w:webHidden/>
          </w:rPr>
          <w:instrText xml:space="preserve"> PAGEREF _Toc390769239 \h </w:instrText>
        </w:r>
        <w:r>
          <w:rPr>
            <w:noProof/>
            <w:webHidden/>
          </w:rPr>
        </w:r>
        <w:r>
          <w:rPr>
            <w:noProof/>
            <w:webHidden/>
          </w:rPr>
          <w:fldChar w:fldCharType="separate"/>
        </w:r>
        <w:r>
          <w:rPr>
            <w:noProof/>
            <w:webHidden/>
          </w:rPr>
          <w:t>9</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40" w:history="1">
        <w:r w:rsidRPr="00275A6A">
          <w:rPr>
            <w:rStyle w:val="Hyperlink"/>
            <w:noProof/>
          </w:rPr>
          <w:t>2.1 Electric Energy Savings Estimation Methodologies</w:t>
        </w:r>
        <w:r>
          <w:rPr>
            <w:noProof/>
            <w:webHidden/>
          </w:rPr>
          <w:tab/>
        </w:r>
        <w:r>
          <w:rPr>
            <w:noProof/>
            <w:webHidden/>
          </w:rPr>
          <w:fldChar w:fldCharType="begin"/>
        </w:r>
        <w:r>
          <w:rPr>
            <w:noProof/>
            <w:webHidden/>
          </w:rPr>
          <w:instrText xml:space="preserve"> PAGEREF _Toc390769240 \h </w:instrText>
        </w:r>
        <w:r>
          <w:rPr>
            <w:noProof/>
            <w:webHidden/>
          </w:rPr>
        </w:r>
        <w:r>
          <w:rPr>
            <w:noProof/>
            <w:webHidden/>
          </w:rPr>
          <w:fldChar w:fldCharType="separate"/>
        </w:r>
        <w:r>
          <w:rPr>
            <w:noProof/>
            <w:webHidden/>
          </w:rPr>
          <w:t>10</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41" w:history="1">
        <w:r w:rsidRPr="00275A6A">
          <w:rPr>
            <w:rStyle w:val="Hyperlink"/>
            <w:noProof/>
          </w:rPr>
          <w:t>2.2. Demand Reduction Estimation Methodologies</w:t>
        </w:r>
        <w:r>
          <w:rPr>
            <w:noProof/>
            <w:webHidden/>
          </w:rPr>
          <w:tab/>
        </w:r>
        <w:r>
          <w:rPr>
            <w:noProof/>
            <w:webHidden/>
          </w:rPr>
          <w:fldChar w:fldCharType="begin"/>
        </w:r>
        <w:r>
          <w:rPr>
            <w:noProof/>
            <w:webHidden/>
          </w:rPr>
          <w:instrText xml:space="preserve"> PAGEREF _Toc390769241 \h </w:instrText>
        </w:r>
        <w:r>
          <w:rPr>
            <w:noProof/>
            <w:webHidden/>
          </w:rPr>
        </w:r>
        <w:r>
          <w:rPr>
            <w:noProof/>
            <w:webHidden/>
          </w:rPr>
          <w:fldChar w:fldCharType="separate"/>
        </w:r>
        <w:r>
          <w:rPr>
            <w:noProof/>
            <w:webHidden/>
          </w:rPr>
          <w:t>11</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42" w:history="1">
        <w:r w:rsidRPr="00275A6A">
          <w:rPr>
            <w:rStyle w:val="Hyperlink"/>
            <w:noProof/>
          </w:rPr>
          <w:t>2.3. Gas Energy Savings Estimation Methodologies</w:t>
        </w:r>
        <w:r>
          <w:rPr>
            <w:noProof/>
            <w:webHidden/>
          </w:rPr>
          <w:tab/>
        </w:r>
        <w:r>
          <w:rPr>
            <w:noProof/>
            <w:webHidden/>
          </w:rPr>
          <w:fldChar w:fldCharType="begin"/>
        </w:r>
        <w:r>
          <w:rPr>
            <w:noProof/>
            <w:webHidden/>
          </w:rPr>
          <w:instrText xml:space="preserve"> PAGEREF _Toc390769242 \h </w:instrText>
        </w:r>
        <w:r>
          <w:rPr>
            <w:noProof/>
            <w:webHidden/>
          </w:rPr>
        </w:r>
        <w:r>
          <w:rPr>
            <w:noProof/>
            <w:webHidden/>
          </w:rPr>
          <w:fldChar w:fldCharType="separate"/>
        </w:r>
        <w:r>
          <w:rPr>
            <w:noProof/>
            <w:webHidden/>
          </w:rPr>
          <w:t>11</w:t>
        </w:r>
        <w:r>
          <w:rPr>
            <w:noProof/>
            <w:webHidden/>
          </w:rPr>
          <w:fldChar w:fldCharType="end"/>
        </w:r>
      </w:hyperlink>
    </w:p>
    <w:p w:rsidR="003A4812" w:rsidRDefault="003A4812">
      <w:pPr>
        <w:pStyle w:val="TOC1"/>
        <w:tabs>
          <w:tab w:val="right" w:leader="dot" w:pos="9350"/>
        </w:tabs>
        <w:rPr>
          <w:rFonts w:asciiTheme="minorHAnsi" w:eastAsiaTheme="minorEastAsia" w:hAnsiTheme="minorHAnsi" w:cstheme="minorBidi"/>
          <w:noProof/>
          <w:sz w:val="22"/>
          <w:szCs w:val="22"/>
        </w:rPr>
      </w:pPr>
      <w:hyperlink w:anchor="_Toc390769243" w:history="1">
        <w:r w:rsidRPr="00275A6A">
          <w:rPr>
            <w:rStyle w:val="Hyperlink"/>
            <w:noProof/>
          </w:rPr>
          <w:t>Section 3. Load Shapes</w:t>
        </w:r>
        <w:r>
          <w:rPr>
            <w:noProof/>
            <w:webHidden/>
          </w:rPr>
          <w:tab/>
        </w:r>
        <w:r>
          <w:rPr>
            <w:noProof/>
            <w:webHidden/>
          </w:rPr>
          <w:fldChar w:fldCharType="begin"/>
        </w:r>
        <w:r>
          <w:rPr>
            <w:noProof/>
            <w:webHidden/>
          </w:rPr>
          <w:instrText xml:space="preserve"> PAGEREF _Toc390769243 \h </w:instrText>
        </w:r>
        <w:r>
          <w:rPr>
            <w:noProof/>
            <w:webHidden/>
          </w:rPr>
        </w:r>
        <w:r>
          <w:rPr>
            <w:noProof/>
            <w:webHidden/>
          </w:rPr>
          <w:fldChar w:fldCharType="separate"/>
        </w:r>
        <w:r>
          <w:rPr>
            <w:noProof/>
            <w:webHidden/>
          </w:rPr>
          <w:t>12</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44" w:history="1">
        <w:r w:rsidRPr="00275A6A">
          <w:rPr>
            <w:rStyle w:val="Hyperlink"/>
            <w:noProof/>
          </w:rPr>
          <w:t>3.1 Base Case Load Shapes</w:t>
        </w:r>
        <w:r>
          <w:rPr>
            <w:noProof/>
            <w:webHidden/>
          </w:rPr>
          <w:tab/>
        </w:r>
        <w:r>
          <w:rPr>
            <w:noProof/>
            <w:webHidden/>
          </w:rPr>
          <w:fldChar w:fldCharType="begin"/>
        </w:r>
        <w:r>
          <w:rPr>
            <w:noProof/>
            <w:webHidden/>
          </w:rPr>
          <w:instrText xml:space="preserve"> PAGEREF _Toc390769244 \h </w:instrText>
        </w:r>
        <w:r>
          <w:rPr>
            <w:noProof/>
            <w:webHidden/>
          </w:rPr>
        </w:r>
        <w:r>
          <w:rPr>
            <w:noProof/>
            <w:webHidden/>
          </w:rPr>
          <w:fldChar w:fldCharType="separate"/>
        </w:r>
        <w:r>
          <w:rPr>
            <w:noProof/>
            <w:webHidden/>
          </w:rPr>
          <w:t>12</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45" w:history="1">
        <w:r w:rsidRPr="00275A6A">
          <w:rPr>
            <w:rStyle w:val="Hyperlink"/>
            <w:noProof/>
          </w:rPr>
          <w:t>3.2 Measure Load Shapes</w:t>
        </w:r>
        <w:r>
          <w:rPr>
            <w:noProof/>
            <w:webHidden/>
          </w:rPr>
          <w:tab/>
        </w:r>
        <w:r>
          <w:rPr>
            <w:noProof/>
            <w:webHidden/>
          </w:rPr>
          <w:fldChar w:fldCharType="begin"/>
        </w:r>
        <w:r>
          <w:rPr>
            <w:noProof/>
            <w:webHidden/>
          </w:rPr>
          <w:instrText xml:space="preserve"> PAGEREF _Toc390769245 \h </w:instrText>
        </w:r>
        <w:r>
          <w:rPr>
            <w:noProof/>
            <w:webHidden/>
          </w:rPr>
        </w:r>
        <w:r>
          <w:rPr>
            <w:noProof/>
            <w:webHidden/>
          </w:rPr>
          <w:fldChar w:fldCharType="separate"/>
        </w:r>
        <w:r>
          <w:rPr>
            <w:noProof/>
            <w:webHidden/>
          </w:rPr>
          <w:t>12</w:t>
        </w:r>
        <w:r>
          <w:rPr>
            <w:noProof/>
            <w:webHidden/>
          </w:rPr>
          <w:fldChar w:fldCharType="end"/>
        </w:r>
      </w:hyperlink>
    </w:p>
    <w:p w:rsidR="003A4812" w:rsidRDefault="003A4812">
      <w:pPr>
        <w:pStyle w:val="TOC1"/>
        <w:tabs>
          <w:tab w:val="right" w:leader="dot" w:pos="9350"/>
        </w:tabs>
        <w:rPr>
          <w:rFonts w:asciiTheme="minorHAnsi" w:eastAsiaTheme="minorEastAsia" w:hAnsiTheme="minorHAnsi" w:cstheme="minorBidi"/>
          <w:noProof/>
          <w:sz w:val="22"/>
          <w:szCs w:val="22"/>
        </w:rPr>
      </w:pPr>
      <w:hyperlink w:anchor="_Toc390769246" w:history="1">
        <w:r w:rsidRPr="00275A6A">
          <w:rPr>
            <w:rStyle w:val="Hyperlink"/>
            <w:noProof/>
          </w:rPr>
          <w:t>Section 4. Base Case &amp; Measure Costs</w:t>
        </w:r>
        <w:r>
          <w:rPr>
            <w:noProof/>
            <w:webHidden/>
          </w:rPr>
          <w:tab/>
        </w:r>
        <w:r>
          <w:rPr>
            <w:noProof/>
            <w:webHidden/>
          </w:rPr>
          <w:fldChar w:fldCharType="begin"/>
        </w:r>
        <w:r>
          <w:rPr>
            <w:noProof/>
            <w:webHidden/>
          </w:rPr>
          <w:instrText xml:space="preserve"> PAGEREF _Toc390769246 \h </w:instrText>
        </w:r>
        <w:r>
          <w:rPr>
            <w:noProof/>
            <w:webHidden/>
          </w:rPr>
        </w:r>
        <w:r>
          <w:rPr>
            <w:noProof/>
            <w:webHidden/>
          </w:rPr>
          <w:fldChar w:fldCharType="separate"/>
        </w:r>
        <w:r>
          <w:rPr>
            <w:noProof/>
            <w:webHidden/>
          </w:rPr>
          <w:t>13</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47" w:history="1">
        <w:r w:rsidRPr="00275A6A">
          <w:rPr>
            <w:rStyle w:val="Hyperlink"/>
            <w:noProof/>
          </w:rPr>
          <w:t>4.1 Base Case(s) Costs</w:t>
        </w:r>
        <w:r>
          <w:rPr>
            <w:noProof/>
            <w:webHidden/>
          </w:rPr>
          <w:tab/>
        </w:r>
        <w:r>
          <w:rPr>
            <w:noProof/>
            <w:webHidden/>
          </w:rPr>
          <w:fldChar w:fldCharType="begin"/>
        </w:r>
        <w:r>
          <w:rPr>
            <w:noProof/>
            <w:webHidden/>
          </w:rPr>
          <w:instrText xml:space="preserve"> PAGEREF _Toc390769247 \h </w:instrText>
        </w:r>
        <w:r>
          <w:rPr>
            <w:noProof/>
            <w:webHidden/>
          </w:rPr>
        </w:r>
        <w:r>
          <w:rPr>
            <w:noProof/>
            <w:webHidden/>
          </w:rPr>
          <w:fldChar w:fldCharType="separate"/>
        </w:r>
        <w:r>
          <w:rPr>
            <w:noProof/>
            <w:webHidden/>
          </w:rPr>
          <w:t>13</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48" w:history="1">
        <w:r w:rsidRPr="00275A6A">
          <w:rPr>
            <w:rStyle w:val="Hyperlink"/>
            <w:noProof/>
          </w:rPr>
          <w:t>4.2 Measure Case Costs</w:t>
        </w:r>
        <w:r>
          <w:rPr>
            <w:noProof/>
            <w:webHidden/>
          </w:rPr>
          <w:tab/>
        </w:r>
        <w:r>
          <w:rPr>
            <w:noProof/>
            <w:webHidden/>
          </w:rPr>
          <w:fldChar w:fldCharType="begin"/>
        </w:r>
        <w:r>
          <w:rPr>
            <w:noProof/>
            <w:webHidden/>
          </w:rPr>
          <w:instrText xml:space="preserve"> PAGEREF _Toc390769248 \h </w:instrText>
        </w:r>
        <w:r>
          <w:rPr>
            <w:noProof/>
            <w:webHidden/>
          </w:rPr>
        </w:r>
        <w:r>
          <w:rPr>
            <w:noProof/>
            <w:webHidden/>
          </w:rPr>
          <w:fldChar w:fldCharType="separate"/>
        </w:r>
        <w:r>
          <w:rPr>
            <w:noProof/>
            <w:webHidden/>
          </w:rPr>
          <w:t>13</w:t>
        </w:r>
        <w:r>
          <w:rPr>
            <w:noProof/>
            <w:webHidden/>
          </w:rPr>
          <w:fldChar w:fldCharType="end"/>
        </w:r>
      </w:hyperlink>
    </w:p>
    <w:p w:rsidR="003A4812" w:rsidRDefault="003A4812">
      <w:pPr>
        <w:pStyle w:val="TOC2"/>
        <w:tabs>
          <w:tab w:val="right" w:leader="dot" w:pos="9350"/>
        </w:tabs>
        <w:rPr>
          <w:rFonts w:asciiTheme="minorHAnsi" w:eastAsiaTheme="minorEastAsia" w:hAnsiTheme="minorHAnsi" w:cstheme="minorBidi"/>
          <w:noProof/>
          <w:sz w:val="22"/>
          <w:szCs w:val="22"/>
        </w:rPr>
      </w:pPr>
      <w:hyperlink w:anchor="_Toc390769249" w:history="1">
        <w:r w:rsidRPr="00275A6A">
          <w:rPr>
            <w:rStyle w:val="Hyperlink"/>
            <w:noProof/>
          </w:rPr>
          <w:t>4.3 Incremental &amp; Full Measure Costs</w:t>
        </w:r>
        <w:r>
          <w:rPr>
            <w:noProof/>
            <w:webHidden/>
          </w:rPr>
          <w:tab/>
        </w:r>
        <w:r>
          <w:rPr>
            <w:noProof/>
            <w:webHidden/>
          </w:rPr>
          <w:fldChar w:fldCharType="begin"/>
        </w:r>
        <w:r>
          <w:rPr>
            <w:noProof/>
            <w:webHidden/>
          </w:rPr>
          <w:instrText xml:space="preserve"> PAGEREF _Toc390769249 \h </w:instrText>
        </w:r>
        <w:r>
          <w:rPr>
            <w:noProof/>
            <w:webHidden/>
          </w:rPr>
        </w:r>
        <w:r>
          <w:rPr>
            <w:noProof/>
            <w:webHidden/>
          </w:rPr>
          <w:fldChar w:fldCharType="separate"/>
        </w:r>
        <w:r>
          <w:rPr>
            <w:noProof/>
            <w:webHidden/>
          </w:rPr>
          <w:t>14</w:t>
        </w:r>
        <w:r>
          <w:rPr>
            <w:noProof/>
            <w:webHidden/>
          </w:rPr>
          <w:fldChar w:fldCharType="end"/>
        </w:r>
      </w:hyperlink>
    </w:p>
    <w:p w:rsidR="003A4812" w:rsidRDefault="003A4812">
      <w:pPr>
        <w:pStyle w:val="TOC3"/>
        <w:tabs>
          <w:tab w:val="right" w:leader="dot" w:pos="9350"/>
        </w:tabs>
        <w:rPr>
          <w:rFonts w:asciiTheme="minorHAnsi" w:eastAsiaTheme="minorEastAsia" w:hAnsiTheme="minorHAnsi" w:cstheme="minorBidi"/>
          <w:noProof/>
          <w:sz w:val="22"/>
          <w:szCs w:val="22"/>
        </w:rPr>
      </w:pPr>
      <w:hyperlink w:anchor="_Toc390769250" w:history="1">
        <w:r w:rsidRPr="00275A6A">
          <w:rPr>
            <w:rStyle w:val="Hyperlink"/>
            <w:noProof/>
          </w:rPr>
          <w:t>4.3.1 Gross Measure Cost</w:t>
        </w:r>
        <w:r>
          <w:rPr>
            <w:noProof/>
            <w:webHidden/>
          </w:rPr>
          <w:tab/>
        </w:r>
        <w:r>
          <w:rPr>
            <w:noProof/>
            <w:webHidden/>
          </w:rPr>
          <w:fldChar w:fldCharType="begin"/>
        </w:r>
        <w:r>
          <w:rPr>
            <w:noProof/>
            <w:webHidden/>
          </w:rPr>
          <w:instrText xml:space="preserve"> PAGEREF _Toc390769250 \h </w:instrText>
        </w:r>
        <w:r>
          <w:rPr>
            <w:noProof/>
            <w:webHidden/>
          </w:rPr>
        </w:r>
        <w:r>
          <w:rPr>
            <w:noProof/>
            <w:webHidden/>
          </w:rPr>
          <w:fldChar w:fldCharType="separate"/>
        </w:r>
        <w:r>
          <w:rPr>
            <w:noProof/>
            <w:webHidden/>
          </w:rPr>
          <w:t>14</w:t>
        </w:r>
        <w:r>
          <w:rPr>
            <w:noProof/>
            <w:webHidden/>
          </w:rPr>
          <w:fldChar w:fldCharType="end"/>
        </w:r>
      </w:hyperlink>
    </w:p>
    <w:p w:rsidR="003A4812" w:rsidRDefault="003A4812">
      <w:pPr>
        <w:pStyle w:val="TOC3"/>
        <w:tabs>
          <w:tab w:val="right" w:leader="dot" w:pos="9350"/>
        </w:tabs>
        <w:rPr>
          <w:rFonts w:asciiTheme="minorHAnsi" w:eastAsiaTheme="minorEastAsia" w:hAnsiTheme="minorHAnsi" w:cstheme="minorBidi"/>
          <w:noProof/>
          <w:sz w:val="22"/>
          <w:szCs w:val="22"/>
        </w:rPr>
      </w:pPr>
      <w:hyperlink w:anchor="_Toc390769251" w:history="1">
        <w:r w:rsidRPr="00275A6A">
          <w:rPr>
            <w:rStyle w:val="Hyperlink"/>
            <w:noProof/>
          </w:rPr>
          <w:t>4.3.2 Incremental Measure Costs</w:t>
        </w:r>
        <w:r>
          <w:rPr>
            <w:noProof/>
            <w:webHidden/>
          </w:rPr>
          <w:tab/>
        </w:r>
        <w:r>
          <w:rPr>
            <w:noProof/>
            <w:webHidden/>
          </w:rPr>
          <w:fldChar w:fldCharType="begin"/>
        </w:r>
        <w:r>
          <w:rPr>
            <w:noProof/>
            <w:webHidden/>
          </w:rPr>
          <w:instrText xml:space="preserve"> PAGEREF _Toc390769251 \h </w:instrText>
        </w:r>
        <w:r>
          <w:rPr>
            <w:noProof/>
            <w:webHidden/>
          </w:rPr>
        </w:r>
        <w:r>
          <w:rPr>
            <w:noProof/>
            <w:webHidden/>
          </w:rPr>
          <w:fldChar w:fldCharType="separate"/>
        </w:r>
        <w:r>
          <w:rPr>
            <w:noProof/>
            <w:webHidden/>
          </w:rPr>
          <w:t>14</w:t>
        </w:r>
        <w:r>
          <w:rPr>
            <w:noProof/>
            <w:webHidden/>
          </w:rPr>
          <w:fldChar w:fldCharType="end"/>
        </w:r>
      </w:hyperlink>
    </w:p>
    <w:p w:rsidR="003A4812" w:rsidRDefault="003A4812">
      <w:pPr>
        <w:pStyle w:val="TOC1"/>
        <w:tabs>
          <w:tab w:val="right" w:leader="dot" w:pos="9350"/>
        </w:tabs>
        <w:rPr>
          <w:rFonts w:asciiTheme="minorHAnsi" w:eastAsiaTheme="minorEastAsia" w:hAnsiTheme="minorHAnsi" w:cstheme="minorBidi"/>
          <w:noProof/>
          <w:sz w:val="22"/>
          <w:szCs w:val="22"/>
        </w:rPr>
      </w:pPr>
      <w:hyperlink w:anchor="_Toc390769252" w:history="1">
        <w:r w:rsidRPr="00275A6A">
          <w:rPr>
            <w:rStyle w:val="Hyperlink"/>
            <w:noProof/>
          </w:rPr>
          <w:t>References:</w:t>
        </w:r>
        <w:r>
          <w:rPr>
            <w:noProof/>
            <w:webHidden/>
          </w:rPr>
          <w:tab/>
        </w:r>
        <w:r>
          <w:rPr>
            <w:noProof/>
            <w:webHidden/>
          </w:rPr>
          <w:fldChar w:fldCharType="begin"/>
        </w:r>
        <w:r>
          <w:rPr>
            <w:noProof/>
            <w:webHidden/>
          </w:rPr>
          <w:instrText xml:space="preserve"> PAGEREF _Toc390769252 \h </w:instrText>
        </w:r>
        <w:r>
          <w:rPr>
            <w:noProof/>
            <w:webHidden/>
          </w:rPr>
        </w:r>
        <w:r>
          <w:rPr>
            <w:noProof/>
            <w:webHidden/>
          </w:rPr>
          <w:fldChar w:fldCharType="separate"/>
        </w:r>
        <w:r>
          <w:rPr>
            <w:noProof/>
            <w:webHidden/>
          </w:rPr>
          <w:t>14</w:t>
        </w:r>
        <w:r>
          <w:rPr>
            <w:noProof/>
            <w:webHidden/>
          </w:rPr>
          <w:fldChar w:fldCharType="end"/>
        </w:r>
      </w:hyperlink>
    </w:p>
    <w:p w:rsidR="00ED21EE" w:rsidRDefault="009F6F8B" w:rsidP="00ED21EE">
      <w:pPr>
        <w:pStyle w:val="Heading1"/>
      </w:pPr>
      <w:r>
        <w:rPr>
          <w:rFonts w:ascii="Times New Roman" w:hAnsi="Times New Roman" w:cs="Times New Roman"/>
          <w:b w:val="0"/>
          <w:bCs w:val="0"/>
          <w:kern w:val="0"/>
          <w:sz w:val="24"/>
          <w:szCs w:val="24"/>
        </w:rPr>
        <w:fldChar w:fldCharType="end"/>
      </w:r>
      <w:r w:rsidR="006559C8">
        <w:br w:type="page"/>
      </w:r>
      <w:bookmarkStart w:id="12" w:name="_Toc172205729"/>
      <w:bookmarkStart w:id="13" w:name="_Toc390769226"/>
      <w:r w:rsidR="00ED21EE">
        <w:lastRenderedPageBreak/>
        <w:t>List of Tables</w:t>
      </w:r>
      <w:bookmarkEnd w:id="12"/>
      <w:bookmarkEnd w:id="13"/>
    </w:p>
    <w:p w:rsidR="00F5087B" w:rsidRDefault="00ED21EE">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390771095" w:history="1">
        <w:r w:rsidR="00F5087B" w:rsidRPr="003C1E87">
          <w:rPr>
            <w:rStyle w:val="Hyperlink"/>
            <w:noProof/>
          </w:rPr>
          <w:t>Table-1. Minimum Required Power Reduction for Different Ballast Factors</w:t>
        </w:r>
        <w:r w:rsidR="00F5087B">
          <w:rPr>
            <w:noProof/>
            <w:webHidden/>
          </w:rPr>
          <w:tab/>
        </w:r>
        <w:r w:rsidR="00F5087B">
          <w:rPr>
            <w:noProof/>
            <w:webHidden/>
          </w:rPr>
          <w:fldChar w:fldCharType="begin"/>
        </w:r>
        <w:r w:rsidR="00F5087B">
          <w:rPr>
            <w:noProof/>
            <w:webHidden/>
          </w:rPr>
          <w:instrText xml:space="preserve"> PAGEREF _Toc390771095 \h </w:instrText>
        </w:r>
        <w:r w:rsidR="00F5087B">
          <w:rPr>
            <w:noProof/>
            <w:webHidden/>
          </w:rPr>
        </w:r>
        <w:r w:rsidR="00F5087B">
          <w:rPr>
            <w:noProof/>
            <w:webHidden/>
          </w:rPr>
          <w:fldChar w:fldCharType="separate"/>
        </w:r>
        <w:r w:rsidR="00F5087B">
          <w:rPr>
            <w:noProof/>
            <w:webHidden/>
          </w:rPr>
          <w:t>1</w:t>
        </w:r>
        <w:r w:rsidR="00F5087B">
          <w:rPr>
            <w:noProof/>
            <w:webHidden/>
          </w:rPr>
          <w:fldChar w:fldCharType="end"/>
        </w:r>
      </w:hyperlink>
    </w:p>
    <w:p w:rsidR="00F5087B" w:rsidRDefault="00F5087B">
      <w:pPr>
        <w:pStyle w:val="TableofFigures"/>
        <w:tabs>
          <w:tab w:val="right" w:leader="dot" w:pos="9350"/>
        </w:tabs>
        <w:rPr>
          <w:rFonts w:asciiTheme="minorHAnsi" w:eastAsiaTheme="minorEastAsia" w:hAnsiTheme="minorHAnsi" w:cstheme="minorBidi"/>
          <w:noProof/>
          <w:sz w:val="22"/>
          <w:szCs w:val="22"/>
        </w:rPr>
      </w:pPr>
      <w:hyperlink w:anchor="_Toc390771096" w:history="1">
        <w:r w:rsidRPr="003C1E87">
          <w:rPr>
            <w:rStyle w:val="Hyperlink"/>
            <w:rFonts w:ascii="Arial" w:hAnsi="Arial" w:cs="Arial"/>
            <w:noProof/>
          </w:rPr>
          <w:t>Table 2 Net-to-Gross Ratios</w:t>
        </w:r>
        <w:r>
          <w:rPr>
            <w:noProof/>
            <w:webHidden/>
          </w:rPr>
          <w:tab/>
        </w:r>
        <w:r>
          <w:rPr>
            <w:noProof/>
            <w:webHidden/>
          </w:rPr>
          <w:fldChar w:fldCharType="begin"/>
        </w:r>
        <w:r>
          <w:rPr>
            <w:noProof/>
            <w:webHidden/>
          </w:rPr>
          <w:instrText xml:space="preserve"> PAGEREF _Toc390771096 \h </w:instrText>
        </w:r>
        <w:r>
          <w:rPr>
            <w:noProof/>
            <w:webHidden/>
          </w:rPr>
        </w:r>
        <w:r>
          <w:rPr>
            <w:noProof/>
            <w:webHidden/>
          </w:rPr>
          <w:fldChar w:fldCharType="separate"/>
        </w:r>
        <w:r>
          <w:rPr>
            <w:noProof/>
            <w:webHidden/>
          </w:rPr>
          <w:t>4</w:t>
        </w:r>
        <w:r>
          <w:rPr>
            <w:noProof/>
            <w:webHidden/>
          </w:rPr>
          <w:fldChar w:fldCharType="end"/>
        </w:r>
      </w:hyperlink>
    </w:p>
    <w:p w:rsidR="00F5087B" w:rsidRDefault="00F5087B">
      <w:pPr>
        <w:pStyle w:val="TableofFigures"/>
        <w:tabs>
          <w:tab w:val="right" w:leader="dot" w:pos="9350"/>
        </w:tabs>
        <w:rPr>
          <w:rFonts w:asciiTheme="minorHAnsi" w:eastAsiaTheme="minorEastAsia" w:hAnsiTheme="minorHAnsi" w:cstheme="minorBidi"/>
          <w:noProof/>
          <w:sz w:val="22"/>
          <w:szCs w:val="22"/>
        </w:rPr>
      </w:pPr>
      <w:hyperlink w:anchor="_Toc390771097" w:history="1">
        <w:r w:rsidRPr="003C1E87">
          <w:rPr>
            <w:rStyle w:val="Hyperlink"/>
            <w:noProof/>
          </w:rPr>
          <w:t>Table 3. DEER savings per 1 kW controlled lighting for daylighting</w:t>
        </w:r>
        <w:r>
          <w:rPr>
            <w:noProof/>
            <w:webHidden/>
          </w:rPr>
          <w:tab/>
        </w:r>
        <w:r>
          <w:rPr>
            <w:noProof/>
            <w:webHidden/>
          </w:rPr>
          <w:fldChar w:fldCharType="begin"/>
        </w:r>
        <w:r>
          <w:rPr>
            <w:noProof/>
            <w:webHidden/>
          </w:rPr>
          <w:instrText xml:space="preserve"> PAGEREF _Toc390771097 \h </w:instrText>
        </w:r>
        <w:r>
          <w:rPr>
            <w:noProof/>
            <w:webHidden/>
          </w:rPr>
        </w:r>
        <w:r>
          <w:rPr>
            <w:noProof/>
            <w:webHidden/>
          </w:rPr>
          <w:fldChar w:fldCharType="separate"/>
        </w:r>
        <w:r>
          <w:rPr>
            <w:noProof/>
            <w:webHidden/>
          </w:rPr>
          <w:t>8</w:t>
        </w:r>
        <w:r>
          <w:rPr>
            <w:noProof/>
            <w:webHidden/>
          </w:rPr>
          <w:fldChar w:fldCharType="end"/>
        </w:r>
      </w:hyperlink>
    </w:p>
    <w:p w:rsidR="00F5087B" w:rsidRDefault="00F5087B">
      <w:pPr>
        <w:pStyle w:val="TableofFigures"/>
        <w:tabs>
          <w:tab w:val="right" w:leader="dot" w:pos="9350"/>
        </w:tabs>
        <w:rPr>
          <w:rFonts w:asciiTheme="minorHAnsi" w:eastAsiaTheme="minorEastAsia" w:hAnsiTheme="minorHAnsi" w:cstheme="minorBidi"/>
          <w:noProof/>
          <w:sz w:val="22"/>
          <w:szCs w:val="22"/>
        </w:rPr>
      </w:pPr>
      <w:hyperlink w:anchor="_Toc390771098" w:history="1">
        <w:r w:rsidRPr="003C1E87">
          <w:rPr>
            <w:rStyle w:val="Hyperlink"/>
            <w:noProof/>
          </w:rPr>
          <w:t>Table 4. DEER savings adjusted to represent savings per fixture.</w:t>
        </w:r>
        <w:r>
          <w:rPr>
            <w:noProof/>
            <w:webHidden/>
          </w:rPr>
          <w:tab/>
        </w:r>
        <w:r>
          <w:rPr>
            <w:noProof/>
            <w:webHidden/>
          </w:rPr>
          <w:fldChar w:fldCharType="begin"/>
        </w:r>
        <w:r>
          <w:rPr>
            <w:noProof/>
            <w:webHidden/>
          </w:rPr>
          <w:instrText xml:space="preserve"> PAGEREF _Toc390771098 \h </w:instrText>
        </w:r>
        <w:r>
          <w:rPr>
            <w:noProof/>
            <w:webHidden/>
          </w:rPr>
        </w:r>
        <w:r>
          <w:rPr>
            <w:noProof/>
            <w:webHidden/>
          </w:rPr>
          <w:fldChar w:fldCharType="separate"/>
        </w:r>
        <w:r>
          <w:rPr>
            <w:noProof/>
            <w:webHidden/>
          </w:rPr>
          <w:t>8</w:t>
        </w:r>
        <w:r>
          <w:rPr>
            <w:noProof/>
            <w:webHidden/>
          </w:rPr>
          <w:fldChar w:fldCharType="end"/>
        </w:r>
      </w:hyperlink>
    </w:p>
    <w:p w:rsidR="00F5087B" w:rsidRDefault="00F5087B">
      <w:pPr>
        <w:pStyle w:val="TableofFigures"/>
        <w:tabs>
          <w:tab w:val="right" w:leader="dot" w:pos="9350"/>
        </w:tabs>
        <w:rPr>
          <w:rFonts w:asciiTheme="minorHAnsi" w:eastAsiaTheme="minorEastAsia" w:hAnsiTheme="minorHAnsi" w:cstheme="minorBidi"/>
          <w:noProof/>
          <w:sz w:val="22"/>
          <w:szCs w:val="22"/>
        </w:rPr>
      </w:pPr>
      <w:hyperlink w:anchor="_Toc390771099" w:history="1">
        <w:r w:rsidRPr="003C1E87">
          <w:rPr>
            <w:rStyle w:val="Hyperlink"/>
            <w:noProof/>
          </w:rPr>
          <w:t>Table 5. DEER savings adjusted to represent savings per fixture after 20% reduction for tuning.</w:t>
        </w:r>
        <w:r>
          <w:rPr>
            <w:noProof/>
            <w:webHidden/>
          </w:rPr>
          <w:tab/>
        </w:r>
        <w:r>
          <w:rPr>
            <w:noProof/>
            <w:webHidden/>
          </w:rPr>
          <w:fldChar w:fldCharType="begin"/>
        </w:r>
        <w:r>
          <w:rPr>
            <w:noProof/>
            <w:webHidden/>
          </w:rPr>
          <w:instrText xml:space="preserve"> PAGEREF _Toc390771099 \h </w:instrText>
        </w:r>
        <w:r>
          <w:rPr>
            <w:noProof/>
            <w:webHidden/>
          </w:rPr>
        </w:r>
        <w:r>
          <w:rPr>
            <w:noProof/>
            <w:webHidden/>
          </w:rPr>
          <w:fldChar w:fldCharType="separate"/>
        </w:r>
        <w:r>
          <w:rPr>
            <w:noProof/>
            <w:webHidden/>
          </w:rPr>
          <w:t>9</w:t>
        </w:r>
        <w:r>
          <w:rPr>
            <w:noProof/>
            <w:webHidden/>
          </w:rPr>
          <w:fldChar w:fldCharType="end"/>
        </w:r>
      </w:hyperlink>
    </w:p>
    <w:p w:rsidR="00F5087B" w:rsidRDefault="00F5087B">
      <w:pPr>
        <w:pStyle w:val="TableofFigures"/>
        <w:tabs>
          <w:tab w:val="right" w:leader="dot" w:pos="9350"/>
        </w:tabs>
        <w:rPr>
          <w:rFonts w:asciiTheme="minorHAnsi" w:eastAsiaTheme="minorEastAsia" w:hAnsiTheme="minorHAnsi" w:cstheme="minorBidi"/>
          <w:noProof/>
          <w:sz w:val="22"/>
          <w:szCs w:val="22"/>
        </w:rPr>
      </w:pPr>
      <w:hyperlink w:anchor="_Toc390771100" w:history="1">
        <w:r w:rsidRPr="003C1E87">
          <w:rPr>
            <w:rStyle w:val="Hyperlink"/>
            <w:rFonts w:ascii="Arial" w:hAnsi="Arial" w:cs="Arial"/>
            <w:noProof/>
          </w:rPr>
          <w:t>Table 6 Building Types and Load Shapes</w:t>
        </w:r>
        <w:r>
          <w:rPr>
            <w:noProof/>
            <w:webHidden/>
          </w:rPr>
          <w:tab/>
        </w:r>
        <w:r>
          <w:rPr>
            <w:noProof/>
            <w:webHidden/>
          </w:rPr>
          <w:fldChar w:fldCharType="begin"/>
        </w:r>
        <w:r>
          <w:rPr>
            <w:noProof/>
            <w:webHidden/>
          </w:rPr>
          <w:instrText xml:space="preserve"> PAGEREF _Toc390771100 \h </w:instrText>
        </w:r>
        <w:r>
          <w:rPr>
            <w:noProof/>
            <w:webHidden/>
          </w:rPr>
        </w:r>
        <w:r>
          <w:rPr>
            <w:noProof/>
            <w:webHidden/>
          </w:rPr>
          <w:fldChar w:fldCharType="separate"/>
        </w:r>
        <w:r>
          <w:rPr>
            <w:noProof/>
            <w:webHidden/>
          </w:rPr>
          <w:t>10</w:t>
        </w:r>
        <w:r>
          <w:rPr>
            <w:noProof/>
            <w:webHidden/>
          </w:rPr>
          <w:fldChar w:fldCharType="end"/>
        </w:r>
      </w:hyperlink>
    </w:p>
    <w:p w:rsidR="00F5087B" w:rsidRDefault="00F5087B">
      <w:pPr>
        <w:pStyle w:val="TableofFigures"/>
        <w:tabs>
          <w:tab w:val="right" w:leader="dot" w:pos="9350"/>
        </w:tabs>
        <w:rPr>
          <w:rFonts w:asciiTheme="minorHAnsi" w:eastAsiaTheme="minorEastAsia" w:hAnsiTheme="minorHAnsi" w:cstheme="minorBidi"/>
          <w:noProof/>
          <w:sz w:val="22"/>
          <w:szCs w:val="22"/>
        </w:rPr>
      </w:pPr>
      <w:hyperlink w:anchor="_Toc390771101" w:history="1">
        <w:r w:rsidRPr="003C1E87">
          <w:rPr>
            <w:rStyle w:val="Hyperlink"/>
            <w:rFonts w:ascii="Arial" w:hAnsi="Arial" w:cs="Arial"/>
            <w:noProof/>
          </w:rPr>
          <w:t>Table 7 Building Types and Load Shapes</w:t>
        </w:r>
        <w:r>
          <w:rPr>
            <w:noProof/>
            <w:webHidden/>
          </w:rPr>
          <w:tab/>
        </w:r>
        <w:r>
          <w:rPr>
            <w:noProof/>
            <w:webHidden/>
          </w:rPr>
          <w:fldChar w:fldCharType="begin"/>
        </w:r>
        <w:r>
          <w:rPr>
            <w:noProof/>
            <w:webHidden/>
          </w:rPr>
          <w:instrText xml:space="preserve"> PAGEREF _Toc390771101 \h </w:instrText>
        </w:r>
        <w:r>
          <w:rPr>
            <w:noProof/>
            <w:webHidden/>
          </w:rPr>
        </w:r>
        <w:r>
          <w:rPr>
            <w:noProof/>
            <w:webHidden/>
          </w:rPr>
          <w:fldChar w:fldCharType="separate"/>
        </w:r>
        <w:r>
          <w:rPr>
            <w:noProof/>
            <w:webHidden/>
          </w:rPr>
          <w:t>11</w:t>
        </w:r>
        <w:r>
          <w:rPr>
            <w:noProof/>
            <w:webHidden/>
          </w:rPr>
          <w:fldChar w:fldCharType="end"/>
        </w:r>
      </w:hyperlink>
    </w:p>
    <w:p w:rsidR="005A1F9D" w:rsidRDefault="00ED21EE" w:rsidP="005A1F9D">
      <w:r>
        <w:fldChar w:fldCharType="end"/>
      </w:r>
      <w:r w:rsidR="005A1F9D" w:rsidRPr="005A1F9D">
        <w:t xml:space="preserve"> </w:t>
      </w:r>
    </w:p>
    <w:p w:rsidR="005A1F9D" w:rsidRDefault="005A1F9D" w:rsidP="005A1F9D">
      <w:pPr>
        <w:pStyle w:val="Heading1"/>
      </w:pPr>
      <w:bookmarkStart w:id="14" w:name="_Toc174179832"/>
      <w:bookmarkStart w:id="15" w:name="_Toc174181292"/>
      <w:bookmarkStart w:id="16" w:name="_Toc390769227"/>
      <w:r>
        <w:t>List of Figures</w:t>
      </w:r>
      <w:bookmarkEnd w:id="14"/>
      <w:bookmarkEnd w:id="15"/>
      <w:bookmarkEnd w:id="16"/>
    </w:p>
    <w:p w:rsidR="003A4812" w:rsidRDefault="005A1F9D">
      <w:pPr>
        <w:pStyle w:val="TableofFigures"/>
        <w:tabs>
          <w:tab w:val="right" w:leader="dot" w:pos="9350"/>
        </w:tabs>
        <w:rPr>
          <w:rFonts w:asciiTheme="minorHAnsi" w:eastAsiaTheme="minorEastAsia" w:hAnsiTheme="minorHAnsi" w:cstheme="minorBidi"/>
          <w:noProof/>
          <w:sz w:val="22"/>
          <w:szCs w:val="22"/>
        </w:rPr>
      </w:pPr>
      <w:r w:rsidRPr="008E58B2">
        <w:rPr>
          <w:rFonts w:ascii="Arial" w:hAnsi="Arial" w:cs="Arial"/>
        </w:rPr>
        <w:fldChar w:fldCharType="begin"/>
      </w:r>
      <w:r w:rsidRPr="008E58B2">
        <w:rPr>
          <w:rFonts w:ascii="Arial" w:hAnsi="Arial" w:cs="Arial"/>
        </w:rPr>
        <w:instrText xml:space="preserve"> TOC \h \z \c "Figure" </w:instrText>
      </w:r>
      <w:r w:rsidRPr="008E58B2">
        <w:rPr>
          <w:rFonts w:ascii="Arial" w:hAnsi="Arial" w:cs="Arial"/>
        </w:rPr>
        <w:fldChar w:fldCharType="separate"/>
      </w:r>
      <w:hyperlink w:anchor="_Toc390769260" w:history="1">
        <w:r w:rsidR="003A4812" w:rsidRPr="00CB0D56">
          <w:rPr>
            <w:rStyle w:val="Hyperlink"/>
            <w:noProof/>
          </w:rPr>
          <w:t>Figure 1. Energy savings from various lighting control strategies. Source: LBNL 2011</w:t>
        </w:r>
        <w:r w:rsidR="003A4812">
          <w:rPr>
            <w:noProof/>
            <w:webHidden/>
          </w:rPr>
          <w:tab/>
        </w:r>
        <w:r w:rsidR="003A4812">
          <w:rPr>
            <w:noProof/>
            <w:webHidden/>
          </w:rPr>
          <w:fldChar w:fldCharType="begin"/>
        </w:r>
        <w:r w:rsidR="003A4812">
          <w:rPr>
            <w:noProof/>
            <w:webHidden/>
          </w:rPr>
          <w:instrText xml:space="preserve"> PAGEREF _Toc390769260 \h </w:instrText>
        </w:r>
        <w:r w:rsidR="003A4812">
          <w:rPr>
            <w:noProof/>
            <w:webHidden/>
          </w:rPr>
        </w:r>
        <w:r w:rsidR="003A4812">
          <w:rPr>
            <w:noProof/>
            <w:webHidden/>
          </w:rPr>
          <w:fldChar w:fldCharType="separate"/>
        </w:r>
        <w:r w:rsidR="003A4812">
          <w:rPr>
            <w:noProof/>
            <w:webHidden/>
          </w:rPr>
          <w:t>6</w:t>
        </w:r>
        <w:r w:rsidR="003A4812">
          <w:rPr>
            <w:noProof/>
            <w:webHidden/>
          </w:rPr>
          <w:fldChar w:fldCharType="end"/>
        </w:r>
      </w:hyperlink>
    </w:p>
    <w:p w:rsidR="005A1F9D" w:rsidRDefault="005A1F9D" w:rsidP="005A1F9D">
      <w:pPr>
        <w:sectPr w:rsidR="005A1F9D" w:rsidSect="00E03431">
          <w:endnotePr>
            <w:numFmt w:val="decimal"/>
          </w:endnotePr>
          <w:pgSz w:w="12240" w:h="15840"/>
          <w:pgMar w:top="1440" w:right="1440" w:bottom="1440" w:left="1440" w:header="720" w:footer="720" w:gutter="0"/>
          <w:pgNumType w:fmt="lowerRoman"/>
          <w:cols w:space="720"/>
          <w:docGrid w:linePitch="360"/>
        </w:sectPr>
      </w:pPr>
      <w:r w:rsidRPr="008E58B2">
        <w:rPr>
          <w:rFonts w:ascii="Arial" w:hAnsi="Arial" w:cs="Arial"/>
        </w:rPr>
        <w:fldChar w:fldCharType="end"/>
      </w:r>
    </w:p>
    <w:p w:rsidR="00ED21EE" w:rsidRDefault="00ED21EE" w:rsidP="00ED21EE">
      <w:pPr>
        <w:pStyle w:val="Heading1"/>
      </w:pPr>
      <w:bookmarkStart w:id="17" w:name="_Toc172205732"/>
      <w:bookmarkStart w:id="18" w:name="_Toc390769228"/>
      <w:proofErr w:type="gramStart"/>
      <w:r>
        <w:lastRenderedPageBreak/>
        <w:t>Section 1.</w:t>
      </w:r>
      <w:proofErr w:type="gramEnd"/>
      <w:r>
        <w:t xml:space="preserve"> General Measure &amp; Baseline Data</w:t>
      </w:r>
      <w:bookmarkEnd w:id="18"/>
    </w:p>
    <w:p w:rsidR="00E71EF1" w:rsidRDefault="001248A3" w:rsidP="001248A3">
      <w:pPr>
        <w:pStyle w:val="Heading2"/>
      </w:pPr>
      <w:bookmarkStart w:id="19" w:name="_Toc390769229"/>
      <w:bookmarkEnd w:id="17"/>
      <w:r>
        <w:t xml:space="preserve">1.1 </w:t>
      </w:r>
      <w:r w:rsidR="008C6AD1">
        <w:t xml:space="preserve">Product </w:t>
      </w:r>
      <w:r w:rsidR="00E71EF1" w:rsidRPr="001248A3">
        <w:t>Measure Description &amp; Background</w:t>
      </w:r>
      <w:bookmarkEnd w:id="19"/>
    </w:p>
    <w:p w:rsidR="00521920" w:rsidRDefault="00521920" w:rsidP="009E7D81">
      <w:pPr>
        <w:rPr>
          <w:rFonts w:ascii="Arial" w:hAnsi="Arial" w:cs="Arial"/>
          <w:b/>
          <w:i/>
          <w:sz w:val="20"/>
          <w:szCs w:val="20"/>
        </w:rPr>
      </w:pPr>
      <w:r w:rsidRPr="00521920">
        <w:rPr>
          <w:rFonts w:ascii="Arial" w:hAnsi="Arial" w:cs="Arial"/>
          <w:b/>
          <w:i/>
        </w:rPr>
        <w:t>Catalog Description</w:t>
      </w:r>
      <w:r w:rsidR="00E840FE">
        <w:rPr>
          <w:rFonts w:ascii="Arial" w:hAnsi="Arial" w:cs="Arial"/>
          <w:b/>
          <w:i/>
        </w:rPr>
        <w:t xml:space="preserve"> </w:t>
      </w:r>
    </w:p>
    <w:p w:rsidR="004800BA" w:rsidRDefault="004800BA" w:rsidP="00872913">
      <w:pPr>
        <w:rPr>
          <w:rFonts w:ascii="Arial" w:hAnsi="Arial" w:cs="Arial"/>
          <w:b/>
          <w:i/>
          <w:sz w:val="20"/>
          <w:szCs w:val="20"/>
        </w:rPr>
      </w:pPr>
    </w:p>
    <w:p w:rsidR="004800BA" w:rsidRPr="005B5BB4" w:rsidRDefault="004800BA" w:rsidP="004800BA">
      <w:pPr>
        <w:widowControl w:val="0"/>
        <w:autoSpaceDE w:val="0"/>
        <w:autoSpaceDN w:val="0"/>
        <w:adjustRightInd w:val="0"/>
        <w:spacing w:line="360" w:lineRule="auto"/>
        <w:rPr>
          <w:rFonts w:ascii="Arial" w:hAnsi="Arial" w:cs="Arial"/>
          <w:b/>
          <w:color w:val="000000"/>
        </w:rPr>
      </w:pPr>
      <w:r w:rsidRPr="005B5BB4">
        <w:rPr>
          <w:rFonts w:ascii="Arial" w:hAnsi="Arial" w:cs="Arial"/>
          <w:b/>
          <w:color w:val="000000"/>
        </w:rPr>
        <w:t>Requirements:</w:t>
      </w:r>
    </w:p>
    <w:p w:rsidR="009E7D81" w:rsidRDefault="009E7D81" w:rsidP="004800BA">
      <w:pPr>
        <w:pStyle w:val="Reminders"/>
        <w:numPr>
          <w:ilvl w:val="0"/>
          <w:numId w:val="19"/>
        </w:numPr>
        <w:rPr>
          <w:rFonts w:ascii="Arial" w:hAnsi="Arial" w:cs="Arial"/>
          <w:i w:val="0"/>
          <w:color w:val="auto"/>
          <w:sz w:val="20"/>
          <w:szCs w:val="20"/>
        </w:rPr>
      </w:pPr>
      <w:r>
        <w:rPr>
          <w:rFonts w:ascii="Arial" w:hAnsi="Arial" w:cs="Arial"/>
          <w:i w:val="0"/>
          <w:color w:val="auto"/>
          <w:sz w:val="20"/>
          <w:szCs w:val="20"/>
        </w:rPr>
        <w:t>Equ</w:t>
      </w:r>
      <w:r w:rsidR="00F6051C">
        <w:rPr>
          <w:rFonts w:ascii="Arial" w:hAnsi="Arial" w:cs="Arial"/>
          <w:i w:val="0"/>
          <w:color w:val="auto"/>
          <w:sz w:val="20"/>
          <w:szCs w:val="20"/>
        </w:rPr>
        <w:t>i</w:t>
      </w:r>
      <w:r>
        <w:rPr>
          <w:rFonts w:ascii="Arial" w:hAnsi="Arial" w:cs="Arial"/>
          <w:i w:val="0"/>
          <w:color w:val="auto"/>
          <w:sz w:val="20"/>
          <w:szCs w:val="20"/>
        </w:rPr>
        <w:t>pment m</w:t>
      </w:r>
      <w:r w:rsidR="004800BA" w:rsidRPr="00B37C7A">
        <w:rPr>
          <w:rFonts w:ascii="Arial" w:hAnsi="Arial" w:cs="Arial"/>
          <w:i w:val="0"/>
          <w:color w:val="auto"/>
          <w:sz w:val="20"/>
          <w:szCs w:val="20"/>
        </w:rPr>
        <w:t>ust</w:t>
      </w:r>
      <w:r>
        <w:rPr>
          <w:rFonts w:ascii="Arial" w:hAnsi="Arial" w:cs="Arial"/>
          <w:i w:val="0"/>
          <w:color w:val="auto"/>
          <w:sz w:val="20"/>
          <w:szCs w:val="20"/>
        </w:rPr>
        <w:t xml:space="preserve"> be</w:t>
      </w:r>
      <w:r w:rsidR="004800BA" w:rsidRPr="00B37C7A">
        <w:rPr>
          <w:rFonts w:ascii="Arial" w:hAnsi="Arial" w:cs="Arial"/>
          <w:i w:val="0"/>
          <w:color w:val="auto"/>
          <w:sz w:val="20"/>
          <w:szCs w:val="20"/>
        </w:rPr>
        <w:t xml:space="preserve"> </w:t>
      </w:r>
      <w:r>
        <w:rPr>
          <w:rFonts w:ascii="Arial" w:hAnsi="Arial" w:cs="Arial"/>
          <w:i w:val="0"/>
          <w:color w:val="auto"/>
          <w:sz w:val="20"/>
          <w:szCs w:val="20"/>
        </w:rPr>
        <w:t>either</w:t>
      </w:r>
    </w:p>
    <w:p w:rsidR="009E7D81" w:rsidRDefault="009E7D81" w:rsidP="00B72D8C">
      <w:pPr>
        <w:pStyle w:val="Reminders"/>
        <w:numPr>
          <w:ilvl w:val="1"/>
          <w:numId w:val="19"/>
        </w:numPr>
        <w:rPr>
          <w:rFonts w:ascii="Arial" w:hAnsi="Arial" w:cs="Arial"/>
          <w:i w:val="0"/>
          <w:color w:val="auto"/>
          <w:sz w:val="20"/>
          <w:szCs w:val="20"/>
        </w:rPr>
      </w:pPr>
      <w:r>
        <w:rPr>
          <w:rFonts w:ascii="Arial" w:hAnsi="Arial" w:cs="Arial"/>
          <w:i w:val="0"/>
          <w:color w:val="auto"/>
          <w:sz w:val="20"/>
          <w:szCs w:val="20"/>
        </w:rPr>
        <w:t xml:space="preserve">A new </w:t>
      </w:r>
      <w:r w:rsidR="004800BA" w:rsidRPr="00B37C7A">
        <w:rPr>
          <w:rFonts w:ascii="Arial" w:hAnsi="Arial" w:cs="Arial"/>
          <w:i w:val="0"/>
          <w:color w:val="auto"/>
          <w:sz w:val="20"/>
          <w:szCs w:val="20"/>
        </w:rPr>
        <w:t xml:space="preserve">T8 or T5 linear fluorescent fixture </w:t>
      </w:r>
      <w:r>
        <w:rPr>
          <w:rFonts w:ascii="Arial" w:hAnsi="Arial" w:cs="Arial"/>
          <w:i w:val="0"/>
          <w:color w:val="auto"/>
          <w:sz w:val="20"/>
          <w:szCs w:val="20"/>
        </w:rPr>
        <w:t>replacing</w:t>
      </w:r>
      <w:r w:rsidRPr="00B37C7A">
        <w:rPr>
          <w:rFonts w:ascii="Arial" w:hAnsi="Arial" w:cs="Arial"/>
          <w:i w:val="0"/>
          <w:color w:val="auto"/>
          <w:sz w:val="20"/>
          <w:szCs w:val="20"/>
        </w:rPr>
        <w:t xml:space="preserve"> </w:t>
      </w:r>
      <w:r>
        <w:rPr>
          <w:rFonts w:ascii="Arial" w:hAnsi="Arial" w:cs="Arial"/>
          <w:i w:val="0"/>
          <w:color w:val="auto"/>
          <w:sz w:val="20"/>
          <w:szCs w:val="20"/>
        </w:rPr>
        <w:t>a fixture with fixed-output</w:t>
      </w:r>
      <w:r w:rsidR="004800BA" w:rsidRPr="00B37C7A">
        <w:rPr>
          <w:rFonts w:ascii="Arial" w:hAnsi="Arial" w:cs="Arial"/>
          <w:i w:val="0"/>
          <w:color w:val="auto"/>
          <w:sz w:val="20"/>
          <w:szCs w:val="20"/>
        </w:rPr>
        <w:t xml:space="preserve"> ballasts</w:t>
      </w:r>
      <w:r>
        <w:rPr>
          <w:rFonts w:ascii="Arial" w:hAnsi="Arial" w:cs="Arial"/>
          <w:i w:val="0"/>
          <w:color w:val="auto"/>
          <w:sz w:val="20"/>
          <w:szCs w:val="20"/>
        </w:rPr>
        <w:t>; or</w:t>
      </w:r>
    </w:p>
    <w:p w:rsidR="004800BA" w:rsidRPr="00B37C7A" w:rsidRDefault="009E7D81" w:rsidP="00B72D8C">
      <w:pPr>
        <w:pStyle w:val="Reminders"/>
        <w:numPr>
          <w:ilvl w:val="1"/>
          <w:numId w:val="19"/>
        </w:numPr>
        <w:rPr>
          <w:rFonts w:ascii="Arial" w:hAnsi="Arial" w:cs="Arial"/>
          <w:i w:val="0"/>
          <w:color w:val="auto"/>
          <w:sz w:val="20"/>
          <w:szCs w:val="20"/>
        </w:rPr>
      </w:pPr>
      <w:proofErr w:type="gramStart"/>
      <w:r>
        <w:rPr>
          <w:rFonts w:ascii="Arial" w:hAnsi="Arial" w:cs="Arial"/>
          <w:i w:val="0"/>
          <w:color w:val="auto"/>
          <w:sz w:val="20"/>
          <w:szCs w:val="20"/>
        </w:rPr>
        <w:t>A dimming</w:t>
      </w:r>
      <w:proofErr w:type="gramEnd"/>
      <w:r>
        <w:rPr>
          <w:rFonts w:ascii="Arial" w:hAnsi="Arial" w:cs="Arial"/>
          <w:i w:val="0"/>
          <w:color w:val="auto"/>
          <w:sz w:val="20"/>
          <w:szCs w:val="20"/>
        </w:rPr>
        <w:t xml:space="preserve"> ballast installed as a retrofit in a T8 or T5 linear fluorescent fixture replacing a fixed-output ballast</w:t>
      </w:r>
      <w:r w:rsidR="004800BA" w:rsidRPr="00B37C7A">
        <w:rPr>
          <w:rFonts w:ascii="Arial" w:hAnsi="Arial" w:cs="Arial"/>
          <w:i w:val="0"/>
          <w:color w:val="auto"/>
          <w:sz w:val="20"/>
          <w:szCs w:val="20"/>
        </w:rPr>
        <w:t xml:space="preserve">. </w:t>
      </w:r>
    </w:p>
    <w:p w:rsidR="004800BA" w:rsidRPr="00B37C7A" w:rsidRDefault="009E7D81" w:rsidP="004800BA">
      <w:pPr>
        <w:pStyle w:val="Reminders"/>
        <w:numPr>
          <w:ilvl w:val="0"/>
          <w:numId w:val="19"/>
        </w:numPr>
        <w:rPr>
          <w:rFonts w:ascii="Arial" w:hAnsi="Arial" w:cs="Arial"/>
          <w:i w:val="0"/>
          <w:color w:val="auto"/>
          <w:sz w:val="20"/>
          <w:szCs w:val="20"/>
        </w:rPr>
      </w:pPr>
      <w:r>
        <w:rPr>
          <w:rFonts w:ascii="Arial" w:hAnsi="Arial" w:cs="Arial"/>
          <w:i w:val="0"/>
          <w:color w:val="auto"/>
          <w:sz w:val="20"/>
          <w:szCs w:val="20"/>
        </w:rPr>
        <w:t>All ballasts included m</w:t>
      </w:r>
      <w:r w:rsidR="004800BA" w:rsidRPr="00B37C7A">
        <w:rPr>
          <w:rFonts w:ascii="Arial" w:hAnsi="Arial" w:cs="Arial"/>
          <w:i w:val="0"/>
          <w:color w:val="auto"/>
          <w:sz w:val="20"/>
          <w:szCs w:val="20"/>
        </w:rPr>
        <w:t xml:space="preserve">ust be Consortium for Energy Efficiency (CEE)-listed </w:t>
      </w:r>
      <w:r>
        <w:rPr>
          <w:rFonts w:ascii="Arial" w:hAnsi="Arial" w:cs="Arial"/>
          <w:i w:val="0"/>
          <w:color w:val="auto"/>
          <w:sz w:val="20"/>
          <w:szCs w:val="20"/>
        </w:rPr>
        <w:t>dimming ballasts</w:t>
      </w:r>
      <w:r w:rsidR="004800BA" w:rsidRPr="00B37C7A">
        <w:rPr>
          <w:rFonts w:ascii="Arial" w:hAnsi="Arial" w:cs="Arial"/>
          <w:i w:val="0"/>
          <w:color w:val="auto"/>
          <w:sz w:val="20"/>
          <w:szCs w:val="20"/>
        </w:rPr>
        <w:t>.</w:t>
      </w:r>
      <w:r w:rsidR="00E10933">
        <w:rPr>
          <w:rStyle w:val="EndnoteReference"/>
          <w:rFonts w:ascii="Arial" w:hAnsi="Arial" w:cs="Arial"/>
          <w:i w:val="0"/>
          <w:color w:val="auto"/>
          <w:sz w:val="20"/>
          <w:szCs w:val="20"/>
        </w:rPr>
        <w:endnoteReference w:id="1"/>
      </w:r>
    </w:p>
    <w:p w:rsidR="004A44F2" w:rsidRPr="00B37C7A" w:rsidRDefault="004800BA" w:rsidP="004A44F2">
      <w:pPr>
        <w:pStyle w:val="Reminders"/>
        <w:numPr>
          <w:ilvl w:val="0"/>
          <w:numId w:val="19"/>
        </w:numPr>
        <w:rPr>
          <w:rFonts w:ascii="Arial" w:hAnsi="Arial" w:cs="Arial"/>
          <w:i w:val="0"/>
          <w:color w:val="auto"/>
          <w:sz w:val="20"/>
          <w:szCs w:val="20"/>
        </w:rPr>
      </w:pPr>
      <w:r w:rsidRPr="00B37C7A">
        <w:rPr>
          <w:rFonts w:ascii="Arial" w:hAnsi="Arial" w:cs="Arial"/>
          <w:i w:val="0"/>
          <w:color w:val="auto"/>
          <w:sz w:val="20"/>
          <w:szCs w:val="20"/>
        </w:rPr>
        <w:t xml:space="preserve">Existing controls must be bi-level switching with no other controls. </w:t>
      </w:r>
    </w:p>
    <w:p w:rsidR="004800BA" w:rsidRDefault="009E7D81" w:rsidP="004A44F2">
      <w:pPr>
        <w:numPr>
          <w:ilvl w:val="0"/>
          <w:numId w:val="22"/>
        </w:numPr>
        <w:rPr>
          <w:rFonts w:ascii="Arial" w:hAnsi="Arial" w:cs="Arial"/>
          <w:sz w:val="20"/>
          <w:szCs w:val="20"/>
        </w:rPr>
      </w:pPr>
      <w:r>
        <w:rPr>
          <w:rFonts w:ascii="Arial" w:hAnsi="Arial" w:cs="Arial"/>
          <w:sz w:val="20"/>
          <w:szCs w:val="20"/>
        </w:rPr>
        <w:t>Dimming ballast must be installed w</w:t>
      </w:r>
      <w:r w:rsidR="005E2FDF">
        <w:rPr>
          <w:rFonts w:ascii="Arial" w:hAnsi="Arial" w:cs="Arial"/>
          <w:sz w:val="20"/>
          <w:szCs w:val="20"/>
        </w:rPr>
        <w:t xml:space="preserve">ith a maximum output equivalent </w:t>
      </w:r>
      <w:r>
        <w:rPr>
          <w:rFonts w:ascii="Arial" w:hAnsi="Arial" w:cs="Arial"/>
          <w:sz w:val="20"/>
          <w:szCs w:val="20"/>
        </w:rPr>
        <w:t>to a</w:t>
      </w:r>
      <w:r w:rsidR="0009782B">
        <w:rPr>
          <w:rFonts w:ascii="Arial" w:hAnsi="Arial" w:cs="Arial"/>
          <w:sz w:val="20"/>
          <w:szCs w:val="20"/>
        </w:rPr>
        <w:t>t</w:t>
      </w:r>
      <w:r>
        <w:rPr>
          <w:rFonts w:ascii="Arial" w:hAnsi="Arial" w:cs="Arial"/>
          <w:sz w:val="20"/>
          <w:szCs w:val="20"/>
        </w:rPr>
        <w:t xml:space="preserve"> least a 20% power reduction, or tuning. The </w:t>
      </w:r>
      <w:r w:rsidR="004A44F2" w:rsidRPr="00B37C7A">
        <w:rPr>
          <w:rFonts w:ascii="Arial" w:hAnsi="Arial" w:cs="Arial"/>
          <w:sz w:val="20"/>
          <w:szCs w:val="20"/>
        </w:rPr>
        <w:t>tuning require</w:t>
      </w:r>
      <w:r>
        <w:rPr>
          <w:rFonts w:ascii="Arial" w:hAnsi="Arial" w:cs="Arial"/>
          <w:sz w:val="20"/>
          <w:szCs w:val="20"/>
        </w:rPr>
        <w:t>ment</w:t>
      </w:r>
      <w:r w:rsidR="004A44F2" w:rsidRPr="00B37C7A">
        <w:rPr>
          <w:rFonts w:ascii="Arial" w:hAnsi="Arial" w:cs="Arial"/>
          <w:sz w:val="20"/>
          <w:szCs w:val="20"/>
        </w:rPr>
        <w:t xml:space="preserve"> depend</w:t>
      </w:r>
      <w:r>
        <w:rPr>
          <w:rFonts w:ascii="Arial" w:hAnsi="Arial" w:cs="Arial"/>
          <w:sz w:val="20"/>
          <w:szCs w:val="20"/>
        </w:rPr>
        <w:t>s</w:t>
      </w:r>
      <w:r w:rsidR="004A44F2" w:rsidRPr="00B37C7A">
        <w:rPr>
          <w:rFonts w:ascii="Arial" w:hAnsi="Arial" w:cs="Arial"/>
          <w:sz w:val="20"/>
          <w:szCs w:val="20"/>
        </w:rPr>
        <w:t xml:space="preserve"> on the </w:t>
      </w:r>
      <w:r w:rsidR="00934B10" w:rsidRPr="00B37C7A">
        <w:rPr>
          <w:rFonts w:ascii="Arial" w:hAnsi="Arial" w:cs="Arial"/>
          <w:sz w:val="20"/>
          <w:szCs w:val="20"/>
        </w:rPr>
        <w:t>ballast factors of the existing</w:t>
      </w:r>
      <w:r w:rsidR="004A44F2" w:rsidRPr="00B37C7A">
        <w:rPr>
          <w:rFonts w:ascii="Arial" w:hAnsi="Arial" w:cs="Arial"/>
          <w:sz w:val="20"/>
          <w:szCs w:val="20"/>
        </w:rPr>
        <w:t xml:space="preserve"> </w:t>
      </w:r>
      <w:r w:rsidR="0009782B">
        <w:rPr>
          <w:rFonts w:ascii="Arial" w:hAnsi="Arial" w:cs="Arial"/>
          <w:sz w:val="20"/>
          <w:szCs w:val="20"/>
        </w:rPr>
        <w:t>ballast</w:t>
      </w:r>
      <w:r w:rsidR="00934B10" w:rsidRPr="00B37C7A">
        <w:rPr>
          <w:rFonts w:ascii="Arial" w:hAnsi="Arial" w:cs="Arial"/>
          <w:sz w:val="20"/>
          <w:szCs w:val="20"/>
        </w:rPr>
        <w:t xml:space="preserve"> and the new </w:t>
      </w:r>
      <w:r w:rsidR="00934B10" w:rsidRPr="00627927">
        <w:rPr>
          <w:rFonts w:ascii="Arial" w:hAnsi="Arial" w:cs="Arial"/>
          <w:sz w:val="20"/>
          <w:szCs w:val="20"/>
        </w:rPr>
        <w:t>dimming</w:t>
      </w:r>
      <w:r w:rsidR="00934B10" w:rsidRPr="00B37C7A">
        <w:rPr>
          <w:rFonts w:ascii="Arial" w:hAnsi="Arial" w:cs="Arial"/>
          <w:sz w:val="20"/>
          <w:szCs w:val="20"/>
        </w:rPr>
        <w:t xml:space="preserve"> ballast</w:t>
      </w:r>
      <w:r w:rsidR="001B06B5">
        <w:rPr>
          <w:rFonts w:ascii="Arial" w:hAnsi="Arial" w:cs="Arial"/>
          <w:sz w:val="20"/>
          <w:szCs w:val="20"/>
        </w:rPr>
        <w:t>, as presented in the following table</w:t>
      </w:r>
      <w:r w:rsidR="004A44F2" w:rsidRPr="00B37C7A">
        <w:rPr>
          <w:rFonts w:ascii="Arial" w:hAnsi="Arial" w:cs="Arial"/>
          <w:sz w:val="20"/>
          <w:szCs w:val="20"/>
        </w:rPr>
        <w:t>:</w:t>
      </w:r>
    </w:p>
    <w:p w:rsidR="00D73172" w:rsidRDefault="00D73172" w:rsidP="00D73172">
      <w:pPr>
        <w:ind w:left="720"/>
        <w:rPr>
          <w:rFonts w:ascii="Arial" w:hAnsi="Arial" w:cs="Arial"/>
          <w:sz w:val="20"/>
          <w:szCs w:val="20"/>
        </w:rPr>
      </w:pPr>
    </w:p>
    <w:p w:rsidR="00BC6972" w:rsidRDefault="00BC6972" w:rsidP="00555230">
      <w:pPr>
        <w:pStyle w:val="Caption"/>
        <w:keepNext/>
        <w:ind w:firstLine="720"/>
        <w:jc w:val="center"/>
      </w:pPr>
      <w:bookmarkStart w:id="20" w:name="_Toc390771095"/>
      <w:proofErr w:type="gramStart"/>
      <w:r>
        <w:t>Table</w:t>
      </w:r>
      <w:r w:rsidR="00555230">
        <w:t>-</w:t>
      </w:r>
      <w:proofErr w:type="gramEnd"/>
      <w:r w:rsidR="006D78EA">
        <w:fldChar w:fldCharType="begin"/>
      </w:r>
      <w:r w:rsidR="006D78EA">
        <w:instrText xml:space="preserve"> SEQ Table \* ARABIC </w:instrText>
      </w:r>
      <w:r w:rsidR="006D78EA">
        <w:fldChar w:fldCharType="separate"/>
      </w:r>
      <w:r w:rsidR="003A4812">
        <w:rPr>
          <w:noProof/>
        </w:rPr>
        <w:t>1</w:t>
      </w:r>
      <w:r w:rsidR="006D78EA">
        <w:rPr>
          <w:noProof/>
        </w:rPr>
        <w:fldChar w:fldCharType="end"/>
      </w:r>
      <w:proofErr w:type="gramStart"/>
      <w:r>
        <w:t>.</w:t>
      </w:r>
      <w:proofErr w:type="gramEnd"/>
      <w:r>
        <w:t xml:space="preserve"> Minimum Required Power Reduction for Different Ballast Factors</w:t>
      </w:r>
      <w:bookmarkEnd w:id="20"/>
    </w:p>
    <w:bookmarkStart w:id="21" w:name="_MON_1421671245"/>
    <w:bookmarkEnd w:id="21"/>
    <w:p w:rsidR="0053090B" w:rsidRDefault="00627927" w:rsidP="0053090B">
      <w:pPr>
        <w:ind w:left="720"/>
        <w:rPr>
          <w:rFonts w:ascii="Arial" w:hAnsi="Arial" w:cs="Arial"/>
          <w:sz w:val="20"/>
          <w:szCs w:val="20"/>
        </w:rPr>
      </w:pPr>
      <w:r>
        <w:rPr>
          <w:rFonts w:ascii="Arial" w:hAnsi="Arial" w:cs="Arial"/>
          <w:sz w:val="20"/>
          <w:szCs w:val="20"/>
        </w:rPr>
        <w:object w:dxaOrig="7350" w:dyaOrig="2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108.75pt" o:ole="">
            <v:imagedata r:id="rId20" o:title=""/>
          </v:shape>
          <o:OLEObject Type="Embed" ProgID="Excel.Sheet.12" ShapeID="_x0000_i1025" DrawAspect="Content" ObjectID="_1464516190" r:id="rId21"/>
        </w:object>
      </w:r>
    </w:p>
    <w:p w:rsidR="001B06B5" w:rsidRPr="000D2BBD" w:rsidRDefault="001B06B5" w:rsidP="0053090B">
      <w:pPr>
        <w:ind w:firstLine="720"/>
        <w:rPr>
          <w:rFonts w:ascii="Arial" w:hAnsi="Arial" w:cs="Arial"/>
          <w:b/>
          <w:i/>
          <w:sz w:val="20"/>
          <w:szCs w:val="20"/>
        </w:rPr>
      </w:pPr>
    </w:p>
    <w:p w:rsidR="000D2BBD" w:rsidRPr="00DF2AE8" w:rsidRDefault="000D2BBD" w:rsidP="0053090B">
      <w:pPr>
        <w:ind w:firstLine="720"/>
        <w:rPr>
          <w:rFonts w:ascii="Arial" w:hAnsi="Arial" w:cs="Arial"/>
          <w:b/>
          <w:sz w:val="20"/>
          <w:szCs w:val="20"/>
        </w:rPr>
      </w:pPr>
      <w:r w:rsidRPr="00DF2AE8">
        <w:rPr>
          <w:rFonts w:ascii="Arial" w:hAnsi="Arial" w:cs="Arial"/>
          <w:b/>
          <w:sz w:val="20"/>
          <w:szCs w:val="20"/>
        </w:rPr>
        <w:t>Ballast factor abbreviations</w:t>
      </w:r>
      <w:r w:rsidR="00F57E42">
        <w:rPr>
          <w:rFonts w:ascii="Arial" w:hAnsi="Arial" w:cs="Arial"/>
          <w:b/>
          <w:sz w:val="20"/>
          <w:szCs w:val="20"/>
        </w:rPr>
        <w:t>:</w:t>
      </w:r>
      <w:r w:rsidR="00F57E42">
        <w:rPr>
          <w:rStyle w:val="EndnoteReference"/>
          <w:rFonts w:ascii="Arial" w:hAnsi="Arial" w:cs="Arial"/>
          <w:b/>
          <w:sz w:val="20"/>
          <w:szCs w:val="20"/>
        </w:rPr>
        <w:endnoteReference w:id="2"/>
      </w:r>
    </w:p>
    <w:p w:rsidR="000D2BBD" w:rsidRPr="000D2BBD" w:rsidRDefault="000D2BBD" w:rsidP="000D2BBD">
      <w:pPr>
        <w:pStyle w:val="Default"/>
        <w:ind w:left="720"/>
        <w:rPr>
          <w:sz w:val="20"/>
          <w:szCs w:val="20"/>
        </w:rPr>
      </w:pPr>
      <w:r w:rsidRPr="000D2BBD">
        <w:rPr>
          <w:sz w:val="20"/>
          <w:szCs w:val="20"/>
        </w:rPr>
        <w:t>RLO = Reduced Light Output Ballast (&lt;</w:t>
      </w:r>
      <w:r w:rsidR="007230AA">
        <w:rPr>
          <w:sz w:val="20"/>
          <w:szCs w:val="20"/>
        </w:rPr>
        <w:t>0</w:t>
      </w:r>
      <w:r w:rsidRPr="000D2BBD">
        <w:rPr>
          <w:sz w:val="20"/>
          <w:szCs w:val="20"/>
        </w:rPr>
        <w:t>.85 Ballast Factor)</w:t>
      </w:r>
    </w:p>
    <w:p w:rsidR="000D2BBD" w:rsidRPr="000D2BBD" w:rsidRDefault="000D2BBD" w:rsidP="000D2BBD">
      <w:pPr>
        <w:pStyle w:val="Default"/>
        <w:ind w:left="720"/>
        <w:rPr>
          <w:sz w:val="20"/>
          <w:szCs w:val="20"/>
        </w:rPr>
      </w:pPr>
      <w:r w:rsidRPr="000D2BBD">
        <w:rPr>
          <w:sz w:val="20"/>
          <w:szCs w:val="20"/>
        </w:rPr>
        <w:t>NLO = Normal Light Output Ballast (</w:t>
      </w:r>
      <w:r w:rsidR="007230AA">
        <w:rPr>
          <w:sz w:val="20"/>
          <w:szCs w:val="20"/>
        </w:rPr>
        <w:t>0</w:t>
      </w:r>
      <w:r w:rsidR="007230AA" w:rsidRPr="000D2BBD">
        <w:rPr>
          <w:sz w:val="20"/>
          <w:szCs w:val="20"/>
        </w:rPr>
        <w:t xml:space="preserve">.85 </w:t>
      </w:r>
      <w:r w:rsidR="007230AA">
        <w:rPr>
          <w:sz w:val="20"/>
          <w:szCs w:val="20"/>
        </w:rPr>
        <w:t>to 0</w:t>
      </w:r>
      <w:r w:rsidRPr="000D2BBD">
        <w:rPr>
          <w:sz w:val="20"/>
          <w:szCs w:val="20"/>
        </w:rPr>
        <w:t xml:space="preserve"> .95 Ballast Factor)</w:t>
      </w:r>
    </w:p>
    <w:p w:rsidR="000D2BBD" w:rsidRPr="000D2BBD" w:rsidRDefault="000D2BBD" w:rsidP="000D2BBD">
      <w:pPr>
        <w:pStyle w:val="Default"/>
        <w:ind w:left="720"/>
        <w:rPr>
          <w:sz w:val="20"/>
          <w:szCs w:val="20"/>
        </w:rPr>
      </w:pPr>
      <w:r w:rsidRPr="000D2BBD">
        <w:rPr>
          <w:sz w:val="20"/>
          <w:szCs w:val="20"/>
        </w:rPr>
        <w:t>HLO = High Light Output Ballast (</w:t>
      </w:r>
      <w:r w:rsidR="007230AA">
        <w:rPr>
          <w:sz w:val="20"/>
          <w:szCs w:val="20"/>
        </w:rPr>
        <w:t>0</w:t>
      </w:r>
      <w:r w:rsidRPr="000D2BBD">
        <w:rPr>
          <w:sz w:val="20"/>
          <w:szCs w:val="20"/>
        </w:rPr>
        <w:t>.96 to 1.1 Ballast Factor)</w:t>
      </w:r>
    </w:p>
    <w:p w:rsidR="000D2BBD" w:rsidRDefault="000D2BBD" w:rsidP="000D2BBD">
      <w:pPr>
        <w:pStyle w:val="Default"/>
        <w:ind w:left="720"/>
        <w:rPr>
          <w:sz w:val="20"/>
          <w:szCs w:val="20"/>
        </w:rPr>
      </w:pPr>
      <w:r w:rsidRPr="000D2BBD">
        <w:rPr>
          <w:sz w:val="20"/>
          <w:szCs w:val="20"/>
        </w:rPr>
        <w:t>VHLO = Very High Light Output Ballast (&gt; 1.1 Ballast Factor)</w:t>
      </w:r>
    </w:p>
    <w:p w:rsidR="00D73172" w:rsidRPr="00D73172" w:rsidRDefault="00D73172" w:rsidP="00D73172">
      <w:pPr>
        <w:ind w:left="360"/>
        <w:rPr>
          <w:rFonts w:ascii="Arial" w:hAnsi="Arial" w:cs="Arial"/>
          <w:sz w:val="20"/>
          <w:szCs w:val="20"/>
        </w:rPr>
      </w:pPr>
    </w:p>
    <w:p w:rsidR="00D73172" w:rsidRPr="00D73172" w:rsidRDefault="00D73172" w:rsidP="00D73172">
      <w:pPr>
        <w:ind w:left="720"/>
        <w:rPr>
          <w:rFonts w:ascii="Arial" w:hAnsi="Arial" w:cs="Arial"/>
          <w:sz w:val="20"/>
          <w:szCs w:val="20"/>
        </w:rPr>
      </w:pPr>
      <w:r w:rsidRPr="00D73172">
        <w:rPr>
          <w:rFonts w:ascii="Arial" w:hAnsi="Arial" w:cs="Arial"/>
          <w:sz w:val="20"/>
          <w:szCs w:val="20"/>
        </w:rPr>
        <w:t>The calculations used to create Table 1 can be found on the worksheet tabs: “BF table 2-lamp” and “BF table 3-lamp.”</w:t>
      </w:r>
      <w:bookmarkStart w:id="22" w:name="_Ref350352730"/>
      <w:r w:rsidRPr="00D73172">
        <w:rPr>
          <w:rStyle w:val="EndnoteReference"/>
          <w:rFonts w:ascii="Arial" w:hAnsi="Arial" w:cs="Arial"/>
          <w:sz w:val="20"/>
          <w:szCs w:val="20"/>
        </w:rPr>
        <w:endnoteReference w:id="3"/>
      </w:r>
      <w:bookmarkEnd w:id="22"/>
    </w:p>
    <w:p w:rsidR="000D2BBD" w:rsidRDefault="000D2BBD" w:rsidP="00DF2AE8">
      <w:pPr>
        <w:rPr>
          <w:rFonts w:ascii="Arial" w:hAnsi="Arial" w:cs="Arial"/>
          <w:b/>
          <w:i/>
          <w:sz w:val="20"/>
          <w:szCs w:val="20"/>
        </w:rPr>
      </w:pPr>
    </w:p>
    <w:p w:rsidR="004A44F2" w:rsidRDefault="0053090B" w:rsidP="0053090B">
      <w:pPr>
        <w:ind w:firstLine="720"/>
        <w:rPr>
          <w:rFonts w:ascii="Arial" w:hAnsi="Arial" w:cs="Arial"/>
          <w:b/>
          <w:i/>
          <w:sz w:val="20"/>
          <w:szCs w:val="20"/>
        </w:rPr>
      </w:pPr>
      <w:r>
        <w:rPr>
          <w:rFonts w:ascii="Arial" w:hAnsi="Arial" w:cs="Arial"/>
          <w:b/>
          <w:i/>
          <w:sz w:val="20"/>
          <w:szCs w:val="20"/>
        </w:rPr>
        <w:t>Measure Descriptions:</w:t>
      </w:r>
    </w:p>
    <w:p w:rsidR="0053090B" w:rsidRDefault="0053090B" w:rsidP="0053090B">
      <w:pPr>
        <w:rPr>
          <w:rFonts w:ascii="Arial" w:hAnsi="Arial" w:cs="Arial"/>
          <w:b/>
          <w:i/>
          <w:sz w:val="20"/>
          <w:szCs w:val="20"/>
        </w:rPr>
      </w:pPr>
    </w:p>
    <w:tbl>
      <w:tblPr>
        <w:tblW w:w="833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3"/>
        <w:gridCol w:w="5527"/>
      </w:tblGrid>
      <w:tr w:rsidR="00DC687A" w:rsidRPr="0008537D" w:rsidTr="00445F3B">
        <w:trPr>
          <w:trHeight w:val="157"/>
          <w:jc w:val="center"/>
        </w:trPr>
        <w:tc>
          <w:tcPr>
            <w:tcW w:w="2803" w:type="dxa"/>
            <w:shd w:val="clear" w:color="auto" w:fill="auto"/>
            <w:noWrap/>
            <w:vAlign w:val="bottom"/>
          </w:tcPr>
          <w:p w:rsidR="00DC687A" w:rsidRPr="0008537D" w:rsidRDefault="00DC687A" w:rsidP="00445F3B">
            <w:pPr>
              <w:jc w:val="center"/>
              <w:rPr>
                <w:rFonts w:ascii="Arial" w:hAnsi="Arial" w:cs="Arial"/>
                <w:b/>
                <w:sz w:val="20"/>
              </w:rPr>
            </w:pPr>
            <w:r w:rsidRPr="0008537D">
              <w:rPr>
                <w:rFonts w:ascii="Arial" w:hAnsi="Arial" w:cs="Arial"/>
                <w:b/>
                <w:sz w:val="20"/>
              </w:rPr>
              <w:t>Product Code</w:t>
            </w:r>
          </w:p>
        </w:tc>
        <w:tc>
          <w:tcPr>
            <w:tcW w:w="5527" w:type="dxa"/>
            <w:shd w:val="clear" w:color="auto" w:fill="auto"/>
            <w:vAlign w:val="bottom"/>
          </w:tcPr>
          <w:p w:rsidR="00DC687A" w:rsidRPr="0008537D" w:rsidRDefault="00DC687A" w:rsidP="00445F3B">
            <w:pPr>
              <w:rPr>
                <w:rFonts w:ascii="Arial" w:hAnsi="Arial" w:cs="Arial"/>
                <w:b/>
                <w:sz w:val="20"/>
              </w:rPr>
            </w:pPr>
            <w:r w:rsidRPr="0008537D">
              <w:rPr>
                <w:rFonts w:ascii="Arial" w:hAnsi="Arial" w:cs="Arial"/>
                <w:b/>
                <w:sz w:val="20"/>
              </w:rPr>
              <w:t>Description</w:t>
            </w:r>
          </w:p>
        </w:tc>
      </w:tr>
      <w:tr w:rsidR="00DC687A" w:rsidRPr="0008537D" w:rsidTr="00445F3B">
        <w:trPr>
          <w:trHeight w:val="157"/>
          <w:jc w:val="center"/>
        </w:trPr>
        <w:tc>
          <w:tcPr>
            <w:tcW w:w="2803" w:type="dxa"/>
            <w:shd w:val="clear" w:color="auto" w:fill="auto"/>
            <w:vAlign w:val="bottom"/>
          </w:tcPr>
          <w:p w:rsidR="00DC687A" w:rsidRPr="0008537D" w:rsidRDefault="00C12EA6" w:rsidP="00065993">
            <w:pPr>
              <w:jc w:val="center"/>
              <w:rPr>
                <w:rFonts w:ascii="Arial" w:hAnsi="Arial" w:cs="Arial"/>
                <w:sz w:val="20"/>
              </w:rPr>
            </w:pPr>
            <w:r>
              <w:rPr>
                <w:rFonts w:ascii="Arial" w:hAnsi="Arial" w:cs="Arial"/>
                <w:sz w:val="20"/>
              </w:rPr>
              <w:t>L</w:t>
            </w:r>
            <w:r w:rsidR="00065993">
              <w:rPr>
                <w:rFonts w:ascii="Arial" w:hAnsi="Arial" w:cs="Arial"/>
                <w:sz w:val="20"/>
              </w:rPr>
              <w:t>0337</w:t>
            </w:r>
          </w:p>
        </w:tc>
        <w:tc>
          <w:tcPr>
            <w:tcW w:w="5527" w:type="dxa"/>
            <w:shd w:val="clear" w:color="auto" w:fill="auto"/>
            <w:noWrap/>
            <w:vAlign w:val="bottom"/>
          </w:tcPr>
          <w:p w:rsidR="00DC687A" w:rsidRPr="0008537D" w:rsidRDefault="00DC687A" w:rsidP="00445F3B">
            <w:pPr>
              <w:rPr>
                <w:rFonts w:ascii="Arial" w:hAnsi="Arial" w:cs="Arial"/>
                <w:sz w:val="20"/>
              </w:rPr>
            </w:pPr>
            <w:r>
              <w:rPr>
                <w:rFonts w:ascii="Arial" w:hAnsi="Arial" w:cs="Arial"/>
                <w:sz w:val="20"/>
              </w:rPr>
              <w:t>20% Tuning</w:t>
            </w:r>
          </w:p>
        </w:tc>
      </w:tr>
      <w:tr w:rsidR="00DC687A" w:rsidRPr="0008537D" w:rsidTr="00445F3B">
        <w:trPr>
          <w:trHeight w:val="157"/>
          <w:jc w:val="center"/>
        </w:trPr>
        <w:tc>
          <w:tcPr>
            <w:tcW w:w="2803" w:type="dxa"/>
            <w:shd w:val="clear" w:color="auto" w:fill="auto"/>
            <w:vAlign w:val="bottom"/>
          </w:tcPr>
          <w:p w:rsidR="00DC687A" w:rsidRPr="0008537D" w:rsidRDefault="00C12EA6" w:rsidP="00065993">
            <w:pPr>
              <w:jc w:val="center"/>
              <w:rPr>
                <w:rFonts w:ascii="Arial" w:hAnsi="Arial" w:cs="Arial"/>
                <w:sz w:val="20"/>
              </w:rPr>
            </w:pPr>
            <w:r>
              <w:rPr>
                <w:rFonts w:ascii="Arial" w:hAnsi="Arial" w:cs="Arial"/>
                <w:sz w:val="20"/>
              </w:rPr>
              <w:t>L</w:t>
            </w:r>
            <w:r w:rsidR="00065993">
              <w:rPr>
                <w:rFonts w:ascii="Arial" w:hAnsi="Arial" w:cs="Arial"/>
                <w:sz w:val="20"/>
              </w:rPr>
              <w:t>0338</w:t>
            </w:r>
          </w:p>
        </w:tc>
        <w:tc>
          <w:tcPr>
            <w:tcW w:w="5527" w:type="dxa"/>
            <w:shd w:val="clear" w:color="auto" w:fill="auto"/>
            <w:noWrap/>
            <w:vAlign w:val="bottom"/>
          </w:tcPr>
          <w:p w:rsidR="00DC687A" w:rsidRPr="0008537D" w:rsidRDefault="00DC687A" w:rsidP="00445F3B">
            <w:pPr>
              <w:rPr>
                <w:rFonts w:ascii="Arial" w:hAnsi="Arial" w:cs="Arial"/>
                <w:sz w:val="20"/>
              </w:rPr>
            </w:pPr>
            <w:r>
              <w:rPr>
                <w:rFonts w:ascii="Arial" w:hAnsi="Arial" w:cs="Arial"/>
                <w:sz w:val="20"/>
              </w:rPr>
              <w:t>20% Tuning + Daylight Harvesting</w:t>
            </w:r>
          </w:p>
        </w:tc>
      </w:tr>
    </w:tbl>
    <w:p w:rsidR="004A44F2" w:rsidRPr="00A562A6" w:rsidRDefault="004A44F2" w:rsidP="004A44F2">
      <w:pPr>
        <w:ind w:left="720"/>
        <w:rPr>
          <w:rFonts w:ascii="Arial" w:hAnsi="Arial" w:cs="Arial"/>
          <w:b/>
          <w:i/>
          <w:sz w:val="20"/>
          <w:szCs w:val="20"/>
        </w:rPr>
      </w:pPr>
    </w:p>
    <w:p w:rsidR="00521920" w:rsidRDefault="00521920" w:rsidP="00872913">
      <w:pPr>
        <w:rPr>
          <w:rFonts w:ascii="Arial" w:hAnsi="Arial" w:cs="Arial"/>
          <w:b/>
          <w:i/>
        </w:rPr>
      </w:pPr>
      <w:r>
        <w:rPr>
          <w:rFonts w:ascii="Arial" w:hAnsi="Arial" w:cs="Arial"/>
          <w:b/>
          <w:i/>
        </w:rPr>
        <w:t>Program Restrictions and Guidelines</w:t>
      </w:r>
    </w:p>
    <w:p w:rsidR="00EE7FAF" w:rsidRDefault="00EE7FAF" w:rsidP="00872913">
      <w:pPr>
        <w:rPr>
          <w:rFonts w:ascii="Arial" w:hAnsi="Arial" w:cs="Arial"/>
          <w:sz w:val="20"/>
        </w:rPr>
      </w:pPr>
      <w:r w:rsidRPr="0008537D">
        <w:rPr>
          <w:rFonts w:ascii="Arial" w:hAnsi="Arial" w:cs="Arial"/>
          <w:sz w:val="20"/>
        </w:rPr>
        <w:t>This work paper details the replacement of existing</w:t>
      </w:r>
      <w:r>
        <w:rPr>
          <w:rFonts w:ascii="Arial" w:hAnsi="Arial" w:cs="Arial"/>
          <w:sz w:val="20"/>
        </w:rPr>
        <w:t xml:space="preserve"> fixed output</w:t>
      </w:r>
      <w:r w:rsidRPr="0008537D">
        <w:rPr>
          <w:rFonts w:ascii="Arial" w:hAnsi="Arial" w:cs="Arial"/>
          <w:sz w:val="20"/>
        </w:rPr>
        <w:t xml:space="preserve"> </w:t>
      </w:r>
      <w:r>
        <w:rPr>
          <w:rFonts w:ascii="Arial" w:hAnsi="Arial" w:cs="Arial"/>
          <w:sz w:val="20"/>
        </w:rPr>
        <w:t xml:space="preserve">fluorescent ballasts in </w:t>
      </w:r>
      <w:r w:rsidR="009E7D81">
        <w:rPr>
          <w:rFonts w:ascii="Arial" w:hAnsi="Arial" w:cs="Arial"/>
          <w:sz w:val="20"/>
        </w:rPr>
        <w:t>non-residential sites</w:t>
      </w:r>
      <w:r>
        <w:rPr>
          <w:rFonts w:ascii="Arial" w:hAnsi="Arial" w:cs="Arial"/>
          <w:sz w:val="20"/>
        </w:rPr>
        <w:t xml:space="preserve"> with </w:t>
      </w:r>
      <w:r w:rsidR="00607077">
        <w:rPr>
          <w:rFonts w:ascii="Arial" w:hAnsi="Arial" w:cs="Arial"/>
          <w:sz w:val="20"/>
        </w:rPr>
        <w:t>dimmable</w:t>
      </w:r>
      <w:r>
        <w:rPr>
          <w:rFonts w:ascii="Arial" w:hAnsi="Arial" w:cs="Arial"/>
          <w:sz w:val="20"/>
        </w:rPr>
        <w:t xml:space="preserve"> fluorescent ballasts</w:t>
      </w:r>
      <w:r w:rsidRPr="0008537D">
        <w:rPr>
          <w:rFonts w:ascii="Arial" w:hAnsi="Arial" w:cs="Arial"/>
          <w:sz w:val="20"/>
        </w:rPr>
        <w:t xml:space="preserve">. </w:t>
      </w:r>
      <w:r w:rsidR="00B37C7A">
        <w:rPr>
          <w:rFonts w:ascii="Arial" w:hAnsi="Arial" w:cs="Arial"/>
          <w:sz w:val="20"/>
        </w:rPr>
        <w:t>This program will be delivered to</w:t>
      </w:r>
      <w:r w:rsidRPr="0008537D">
        <w:rPr>
          <w:rFonts w:ascii="Arial" w:hAnsi="Arial" w:cs="Arial"/>
          <w:sz w:val="20"/>
        </w:rPr>
        <w:t xml:space="preserve"> </w:t>
      </w:r>
      <w:r w:rsidR="009E7D81">
        <w:rPr>
          <w:rFonts w:ascii="Arial" w:hAnsi="Arial" w:cs="Arial"/>
          <w:sz w:val="20"/>
        </w:rPr>
        <w:t>non-residential</w:t>
      </w:r>
      <w:r w:rsidR="009E7D81" w:rsidRPr="0008537D">
        <w:rPr>
          <w:rFonts w:ascii="Arial" w:hAnsi="Arial" w:cs="Arial"/>
          <w:sz w:val="20"/>
        </w:rPr>
        <w:t xml:space="preserve"> </w:t>
      </w:r>
      <w:r w:rsidRPr="0008537D">
        <w:rPr>
          <w:rFonts w:ascii="Arial" w:hAnsi="Arial" w:cs="Arial"/>
          <w:sz w:val="20"/>
        </w:rPr>
        <w:t xml:space="preserve">customers </w:t>
      </w:r>
      <w:r w:rsidR="00B37C7A">
        <w:rPr>
          <w:rFonts w:ascii="Arial" w:hAnsi="Arial" w:cs="Arial"/>
          <w:sz w:val="20"/>
        </w:rPr>
        <w:t>through the midstream channel</w:t>
      </w:r>
      <w:r w:rsidRPr="0008537D">
        <w:rPr>
          <w:rFonts w:ascii="Arial" w:hAnsi="Arial" w:cs="Arial"/>
          <w:sz w:val="20"/>
        </w:rPr>
        <w:t xml:space="preserve">. </w:t>
      </w:r>
    </w:p>
    <w:p w:rsidR="00796B15" w:rsidRPr="00A562A6" w:rsidRDefault="00796B15" w:rsidP="00872913">
      <w:pPr>
        <w:rPr>
          <w:rFonts w:ascii="Arial" w:hAnsi="Arial" w:cs="Arial"/>
          <w:b/>
          <w:i/>
          <w:sz w:val="20"/>
          <w:szCs w:val="20"/>
        </w:rPr>
      </w:pPr>
    </w:p>
    <w:p w:rsidR="00521920" w:rsidRDefault="00521920" w:rsidP="00480BAD">
      <w:pPr>
        <w:ind w:left="360"/>
        <w:rPr>
          <w:rFonts w:ascii="Arial" w:hAnsi="Arial" w:cs="Arial"/>
          <w:b/>
          <w:i/>
          <w:sz w:val="20"/>
          <w:szCs w:val="20"/>
        </w:rPr>
      </w:pPr>
      <w:r w:rsidRPr="00521920">
        <w:rPr>
          <w:rFonts w:ascii="Arial" w:hAnsi="Arial" w:cs="Arial"/>
          <w:b/>
          <w:i/>
          <w:sz w:val="20"/>
          <w:szCs w:val="20"/>
        </w:rPr>
        <w:t>Terms and Conditions</w:t>
      </w:r>
      <w:r w:rsidR="003E7422">
        <w:rPr>
          <w:rFonts w:ascii="Arial" w:hAnsi="Arial" w:cs="Arial"/>
          <w:b/>
          <w:i/>
          <w:sz w:val="20"/>
          <w:szCs w:val="20"/>
        </w:rPr>
        <w:t>:</w:t>
      </w:r>
      <w:r w:rsidR="00A562A6">
        <w:rPr>
          <w:rFonts w:ascii="Arial" w:hAnsi="Arial" w:cs="Arial"/>
          <w:b/>
          <w:i/>
          <w:sz w:val="20"/>
          <w:szCs w:val="20"/>
        </w:rPr>
        <w:t xml:space="preserve"> </w:t>
      </w:r>
    </w:p>
    <w:p w:rsidR="00EE7FAF" w:rsidRDefault="00EE7FAF" w:rsidP="00480BAD">
      <w:pPr>
        <w:ind w:left="360"/>
        <w:rPr>
          <w:rFonts w:ascii="Arial" w:hAnsi="Arial" w:cs="Arial"/>
          <w:b/>
          <w:i/>
          <w:sz w:val="20"/>
          <w:szCs w:val="20"/>
        </w:rPr>
      </w:pPr>
      <w:r w:rsidRPr="0008537D">
        <w:rPr>
          <w:rFonts w:ascii="Arial" w:hAnsi="Arial" w:cs="Arial"/>
          <w:sz w:val="20"/>
        </w:rPr>
        <w:t xml:space="preserve">The customer must be a </w:t>
      </w:r>
      <w:r w:rsidR="009E7D81">
        <w:rPr>
          <w:rFonts w:ascii="Arial" w:hAnsi="Arial" w:cs="Arial"/>
          <w:sz w:val="20"/>
        </w:rPr>
        <w:t>non-residential</w:t>
      </w:r>
      <w:r w:rsidR="009E7D81" w:rsidRPr="0008537D">
        <w:rPr>
          <w:rFonts w:ascii="Arial" w:hAnsi="Arial" w:cs="Arial"/>
          <w:sz w:val="20"/>
        </w:rPr>
        <w:t xml:space="preserve"> </w:t>
      </w:r>
      <w:r w:rsidRPr="0008537D">
        <w:rPr>
          <w:rFonts w:ascii="Arial" w:hAnsi="Arial" w:cs="Arial"/>
          <w:sz w:val="20"/>
        </w:rPr>
        <w:t xml:space="preserve">PG&amp;E electric customer. </w:t>
      </w:r>
    </w:p>
    <w:p w:rsidR="003E7422" w:rsidRDefault="003E7422" w:rsidP="00480BAD">
      <w:pPr>
        <w:ind w:left="360"/>
        <w:rPr>
          <w:rFonts w:ascii="Arial" w:hAnsi="Arial" w:cs="Arial"/>
          <w:b/>
          <w:i/>
          <w:sz w:val="20"/>
          <w:szCs w:val="20"/>
        </w:rPr>
      </w:pPr>
    </w:p>
    <w:p w:rsidR="00796B15" w:rsidRDefault="00521920" w:rsidP="00796B15">
      <w:pPr>
        <w:ind w:left="360"/>
        <w:rPr>
          <w:rFonts w:ascii="Arial" w:hAnsi="Arial" w:cs="Arial"/>
          <w:sz w:val="20"/>
          <w:szCs w:val="20"/>
        </w:rPr>
      </w:pPr>
      <w:r>
        <w:rPr>
          <w:rFonts w:ascii="Arial" w:hAnsi="Arial" w:cs="Arial"/>
          <w:b/>
          <w:i/>
          <w:sz w:val="20"/>
          <w:szCs w:val="20"/>
        </w:rPr>
        <w:lastRenderedPageBreak/>
        <w:t>Market Applicabilit</w:t>
      </w:r>
      <w:r w:rsidRPr="00A562A6">
        <w:rPr>
          <w:rFonts w:ascii="Arial" w:hAnsi="Arial" w:cs="Arial"/>
          <w:b/>
          <w:i/>
          <w:sz w:val="20"/>
          <w:szCs w:val="20"/>
        </w:rPr>
        <w:t>y</w:t>
      </w:r>
      <w:r w:rsidR="003E7422" w:rsidRPr="00A562A6">
        <w:rPr>
          <w:rFonts w:ascii="Arial" w:hAnsi="Arial" w:cs="Arial"/>
          <w:b/>
          <w:i/>
          <w:sz w:val="20"/>
          <w:szCs w:val="20"/>
        </w:rPr>
        <w:t>:</w:t>
      </w:r>
      <w:r w:rsidR="00607077" w:rsidRPr="00607077">
        <w:rPr>
          <w:rFonts w:ascii="Arial" w:hAnsi="Arial" w:cs="Arial"/>
          <w:sz w:val="20"/>
          <w:szCs w:val="20"/>
        </w:rPr>
        <w:t xml:space="preserve"> </w:t>
      </w:r>
    </w:p>
    <w:p w:rsidR="00607077" w:rsidRDefault="00607077" w:rsidP="00796B15">
      <w:pPr>
        <w:ind w:left="360"/>
        <w:rPr>
          <w:rFonts w:ascii="Arial" w:hAnsi="Arial" w:cs="Arial"/>
          <w:sz w:val="20"/>
          <w:szCs w:val="20"/>
        </w:rPr>
      </w:pPr>
      <w:r w:rsidRPr="00607077">
        <w:rPr>
          <w:rFonts w:ascii="Arial" w:hAnsi="Arial" w:cs="Arial"/>
          <w:sz w:val="20"/>
          <w:szCs w:val="20"/>
        </w:rPr>
        <w:t>This measure applies to</w:t>
      </w:r>
      <w:r w:rsidR="00C5707F">
        <w:rPr>
          <w:rFonts w:ascii="Arial" w:hAnsi="Arial" w:cs="Arial"/>
          <w:sz w:val="20"/>
          <w:szCs w:val="20"/>
        </w:rPr>
        <w:t xml:space="preserve"> existing buildings in</w:t>
      </w:r>
      <w:r w:rsidRPr="00607077">
        <w:rPr>
          <w:rFonts w:ascii="Arial" w:hAnsi="Arial" w:cs="Arial"/>
          <w:sz w:val="20"/>
          <w:szCs w:val="20"/>
        </w:rPr>
        <w:t xml:space="preserve"> the </w:t>
      </w:r>
      <w:r w:rsidR="009E7D81">
        <w:rPr>
          <w:rFonts w:ascii="Arial" w:hAnsi="Arial" w:cs="Arial"/>
          <w:sz w:val="20"/>
          <w:szCs w:val="20"/>
        </w:rPr>
        <w:t>non-residential</w:t>
      </w:r>
      <w:r w:rsidR="009E7D81" w:rsidRPr="00607077">
        <w:rPr>
          <w:rFonts w:ascii="Arial" w:hAnsi="Arial" w:cs="Arial"/>
          <w:sz w:val="20"/>
          <w:szCs w:val="20"/>
        </w:rPr>
        <w:t xml:space="preserve"> </w:t>
      </w:r>
      <w:r w:rsidRPr="00607077">
        <w:rPr>
          <w:rFonts w:ascii="Arial" w:hAnsi="Arial" w:cs="Arial"/>
          <w:sz w:val="20"/>
          <w:szCs w:val="20"/>
        </w:rPr>
        <w:t>market.</w:t>
      </w:r>
      <w:r w:rsidR="00423FF9">
        <w:rPr>
          <w:rFonts w:ascii="Arial" w:hAnsi="Arial" w:cs="Arial"/>
          <w:sz w:val="20"/>
          <w:szCs w:val="20"/>
        </w:rPr>
        <w:t xml:space="preserve"> </w:t>
      </w:r>
      <w:r w:rsidR="008469D9">
        <w:rPr>
          <w:rFonts w:ascii="Arial" w:hAnsi="Arial" w:cs="Arial"/>
          <w:sz w:val="20"/>
          <w:szCs w:val="20"/>
        </w:rPr>
        <w:t xml:space="preserve">Linear fluorescent fixtures are common in commercial buildings, where they can </w:t>
      </w:r>
      <w:r w:rsidR="008469D9" w:rsidRPr="008E58B2">
        <w:rPr>
          <w:rFonts w:ascii="Arial" w:hAnsi="Arial" w:cs="Arial"/>
          <w:sz w:val="20"/>
          <w:szCs w:val="20"/>
        </w:rPr>
        <w:t xml:space="preserve">comprise a majority of lighting loads. </w:t>
      </w:r>
      <w:r w:rsidR="00987E90" w:rsidRPr="008E58B2">
        <w:rPr>
          <w:rFonts w:ascii="Arial" w:hAnsi="Arial" w:cs="Arial"/>
          <w:sz w:val="20"/>
          <w:szCs w:val="20"/>
        </w:rPr>
        <w:t>Offices and</w:t>
      </w:r>
      <w:r w:rsidR="008469D9" w:rsidRPr="008E58B2">
        <w:rPr>
          <w:rFonts w:ascii="Arial" w:hAnsi="Arial" w:cs="Arial"/>
          <w:sz w:val="20"/>
          <w:szCs w:val="20"/>
        </w:rPr>
        <w:t xml:space="preserve"> education facilities of all levels</w:t>
      </w:r>
      <w:r w:rsidR="008E58B2" w:rsidRPr="008E58B2">
        <w:rPr>
          <w:rFonts w:ascii="Arial" w:hAnsi="Arial" w:cs="Arial"/>
          <w:sz w:val="20"/>
          <w:szCs w:val="20"/>
        </w:rPr>
        <w:t xml:space="preserve"> </w:t>
      </w:r>
      <w:r w:rsidR="00987E90" w:rsidRPr="008E58B2">
        <w:rPr>
          <w:rFonts w:ascii="Arial" w:hAnsi="Arial" w:cs="Arial"/>
          <w:sz w:val="20"/>
          <w:szCs w:val="20"/>
        </w:rPr>
        <w:t>are likely candidates</w:t>
      </w:r>
      <w:r w:rsidR="008469D9" w:rsidRPr="008E58B2">
        <w:rPr>
          <w:rFonts w:ascii="Arial" w:hAnsi="Arial" w:cs="Arial"/>
          <w:sz w:val="20"/>
          <w:szCs w:val="20"/>
        </w:rPr>
        <w:t>, as occupants may also benefit from increased control capabilities</w:t>
      </w:r>
      <w:r w:rsidR="00987E90" w:rsidRPr="008E58B2">
        <w:rPr>
          <w:rFonts w:ascii="Arial" w:hAnsi="Arial" w:cs="Arial"/>
          <w:sz w:val="20"/>
          <w:szCs w:val="20"/>
        </w:rPr>
        <w:t>.</w:t>
      </w:r>
    </w:p>
    <w:p w:rsidR="008860E6" w:rsidRDefault="008860E6" w:rsidP="00796B15">
      <w:pPr>
        <w:ind w:left="360"/>
        <w:rPr>
          <w:rFonts w:ascii="Arial" w:hAnsi="Arial" w:cs="Arial"/>
          <w:sz w:val="20"/>
          <w:szCs w:val="20"/>
        </w:rPr>
      </w:pPr>
    </w:p>
    <w:p w:rsidR="00183349" w:rsidRPr="00567DB2" w:rsidRDefault="00183349" w:rsidP="00183349">
      <w:pPr>
        <w:ind w:left="360"/>
        <w:rPr>
          <w:rFonts w:ascii="Arial" w:hAnsi="Arial" w:cs="Arial"/>
          <w:b/>
          <w:i/>
        </w:rPr>
      </w:pPr>
      <w:r w:rsidRPr="00183349">
        <w:rPr>
          <w:rFonts w:ascii="Arial" w:hAnsi="Arial" w:cs="Arial"/>
          <w:b/>
          <w:i/>
          <w:sz w:val="20"/>
          <w:szCs w:val="20"/>
        </w:rPr>
        <w:t xml:space="preserve">The Hard to </w:t>
      </w:r>
      <w:proofErr w:type="gramStart"/>
      <w:r w:rsidRPr="00183349">
        <w:rPr>
          <w:rFonts w:ascii="Arial" w:hAnsi="Arial" w:cs="Arial"/>
          <w:b/>
          <w:i/>
          <w:sz w:val="20"/>
          <w:szCs w:val="20"/>
        </w:rPr>
        <w:t>Reach</w:t>
      </w:r>
      <w:proofErr w:type="gramEnd"/>
      <w:r w:rsidRPr="00183349">
        <w:rPr>
          <w:rFonts w:ascii="Arial" w:hAnsi="Arial" w:cs="Arial"/>
          <w:b/>
          <w:i/>
          <w:sz w:val="20"/>
          <w:szCs w:val="20"/>
        </w:rPr>
        <w:t xml:space="preserve"> designation for NTG application must meet the following criteria from the Energy Efficiency Policy Manual.</w:t>
      </w:r>
    </w:p>
    <w:p w:rsidR="00183349" w:rsidRDefault="00183349" w:rsidP="00183349">
      <w:pPr>
        <w:rPr>
          <w:rFonts w:ascii="Arial" w:hAnsi="Arial" w:cs="Arial"/>
          <w:b/>
          <w:i/>
          <w:szCs w:val="20"/>
        </w:rPr>
      </w:pPr>
    </w:p>
    <w:p w:rsidR="00183349" w:rsidRPr="00183349" w:rsidRDefault="00183349" w:rsidP="00183349">
      <w:pPr>
        <w:ind w:left="360"/>
        <w:rPr>
          <w:rFonts w:ascii="Arial" w:hAnsi="Arial" w:cs="Arial"/>
          <w:sz w:val="20"/>
          <w:szCs w:val="20"/>
        </w:rPr>
      </w:pPr>
      <w:r w:rsidRPr="00183349">
        <w:rPr>
          <w:rFonts w:ascii="Arial" w:hAnsi="Arial" w:cs="Arial"/>
          <w:b/>
          <w:i/>
          <w:sz w:val="20"/>
          <w:szCs w:val="20"/>
        </w:rPr>
        <w:t>Hard-to-Reach:</w:t>
      </w:r>
      <w:r w:rsidRPr="00280669">
        <w:rPr>
          <w:rFonts w:ascii="Arial" w:hAnsi="Arial" w:cs="Arial"/>
          <w:b/>
          <w:i/>
          <w:szCs w:val="20"/>
        </w:rPr>
        <w:t xml:space="preserve"> </w:t>
      </w:r>
      <w:r w:rsidRPr="00183349">
        <w:rPr>
          <w:rFonts w:ascii="Arial" w:hAnsi="Arial" w:cs="Arial"/>
          <w:sz w:val="20"/>
          <w:szCs w:val="20"/>
        </w:rPr>
        <w:t xml:space="preserve">Those customers who do not have easy access to program information or generally do not participate in energy efficiency programs due to a language, income, housing type, geographic, or home ownership (split incentives) barrier. These barriers are defined as: </w:t>
      </w:r>
    </w:p>
    <w:p w:rsidR="00183349" w:rsidRPr="00183349" w:rsidRDefault="00183349" w:rsidP="00183349">
      <w:pPr>
        <w:ind w:left="360"/>
        <w:rPr>
          <w:rFonts w:ascii="Arial" w:hAnsi="Arial" w:cs="Arial"/>
          <w:sz w:val="20"/>
          <w:szCs w:val="20"/>
        </w:rPr>
      </w:pPr>
      <w:r w:rsidRPr="00183349">
        <w:rPr>
          <w:rFonts w:ascii="Arial" w:hAnsi="Arial" w:cs="Arial"/>
          <w:sz w:val="20"/>
          <w:szCs w:val="20"/>
        </w:rPr>
        <w:t xml:space="preserve">Language – Primary language spoken is other than English, and/or </w:t>
      </w:r>
    </w:p>
    <w:p w:rsidR="00183349" w:rsidRPr="00183349" w:rsidRDefault="00183349" w:rsidP="00183349">
      <w:pPr>
        <w:ind w:left="360"/>
        <w:rPr>
          <w:rFonts w:ascii="Arial" w:hAnsi="Arial" w:cs="Arial"/>
          <w:sz w:val="20"/>
          <w:szCs w:val="20"/>
        </w:rPr>
      </w:pPr>
      <w:r w:rsidRPr="00183349">
        <w:rPr>
          <w:rFonts w:ascii="Arial" w:hAnsi="Arial" w:cs="Arial"/>
          <w:sz w:val="20"/>
          <w:szCs w:val="20"/>
        </w:rPr>
        <w:t xml:space="preserve">Income – Those customers who fall into the moderate income level (income levels less than 400% of the federal poverty guidelines and/or </w:t>
      </w:r>
    </w:p>
    <w:p w:rsidR="00183349" w:rsidRPr="00183349" w:rsidRDefault="00183349" w:rsidP="00183349">
      <w:pPr>
        <w:ind w:left="360"/>
        <w:rPr>
          <w:rFonts w:ascii="Arial" w:hAnsi="Arial" w:cs="Arial"/>
          <w:sz w:val="20"/>
          <w:szCs w:val="20"/>
        </w:rPr>
      </w:pPr>
      <w:r w:rsidRPr="00183349">
        <w:rPr>
          <w:rFonts w:ascii="Arial" w:hAnsi="Arial" w:cs="Arial"/>
          <w:sz w:val="20"/>
          <w:szCs w:val="20"/>
        </w:rPr>
        <w:t xml:space="preserve">Geographic – Businesses in areas other than the San Francisco Bay Area, San Diego area, Greater Los Angeles Area (Los Angeles, Orange, San Bernardino, Riverside and Ventura counties)or Sacramento, and/or </w:t>
      </w:r>
    </w:p>
    <w:p w:rsidR="00183349" w:rsidRDefault="00183349" w:rsidP="00183349">
      <w:pPr>
        <w:ind w:left="360"/>
      </w:pPr>
      <w:r w:rsidRPr="00183349">
        <w:rPr>
          <w:rFonts w:ascii="Arial" w:hAnsi="Arial" w:cs="Arial"/>
          <w:sz w:val="20"/>
          <w:szCs w:val="20"/>
        </w:rPr>
        <w:t>Other considerations of factors such as business size and lease (split incentive) barriers.</w:t>
      </w:r>
    </w:p>
    <w:p w:rsidR="00183349" w:rsidRDefault="00183349" w:rsidP="00796B15">
      <w:pPr>
        <w:ind w:left="360"/>
        <w:rPr>
          <w:rFonts w:ascii="Arial" w:hAnsi="Arial" w:cs="Arial"/>
          <w:sz w:val="20"/>
          <w:szCs w:val="20"/>
        </w:rPr>
      </w:pPr>
    </w:p>
    <w:p w:rsidR="00197A23" w:rsidRDefault="00197A23" w:rsidP="00480BAD">
      <w:pPr>
        <w:ind w:left="360"/>
        <w:rPr>
          <w:rFonts w:ascii="Arial" w:hAnsi="Arial" w:cs="Arial"/>
          <w:b/>
          <w:i/>
          <w:sz w:val="20"/>
          <w:szCs w:val="20"/>
        </w:rPr>
      </w:pPr>
      <w:r w:rsidRPr="00796B15">
        <w:rPr>
          <w:rFonts w:ascii="Arial" w:hAnsi="Arial" w:cs="Arial"/>
          <w:b/>
          <w:i/>
          <w:sz w:val="20"/>
          <w:szCs w:val="20"/>
        </w:rPr>
        <w:t xml:space="preserve">Type of Transaction: </w:t>
      </w:r>
    </w:p>
    <w:p w:rsidR="00607077" w:rsidRDefault="00607077" w:rsidP="00607077">
      <w:pPr>
        <w:ind w:left="360"/>
        <w:rPr>
          <w:rFonts w:ascii="Arial" w:hAnsi="Arial" w:cs="Arial"/>
          <w:sz w:val="20"/>
          <w:szCs w:val="20"/>
        </w:rPr>
      </w:pPr>
      <w:r w:rsidRPr="0008537D">
        <w:rPr>
          <w:rFonts w:ascii="Arial" w:hAnsi="Arial" w:cs="Arial"/>
          <w:sz w:val="20"/>
          <w:szCs w:val="20"/>
        </w:rPr>
        <w:t xml:space="preserve">This measure is applicable in </w:t>
      </w:r>
      <w:r w:rsidR="0000291D">
        <w:rPr>
          <w:rFonts w:ascii="Arial" w:hAnsi="Arial" w:cs="Arial"/>
          <w:sz w:val="20"/>
          <w:szCs w:val="20"/>
        </w:rPr>
        <w:t>replace on burnout (ROB)</w:t>
      </w:r>
      <w:r w:rsidR="0060670A">
        <w:rPr>
          <w:rFonts w:ascii="Arial" w:hAnsi="Arial" w:cs="Arial"/>
          <w:sz w:val="20"/>
          <w:szCs w:val="20"/>
        </w:rPr>
        <w:t xml:space="preserve"> </w:t>
      </w:r>
      <w:r w:rsidRPr="0008537D">
        <w:rPr>
          <w:rFonts w:ascii="Arial" w:hAnsi="Arial" w:cs="Arial"/>
          <w:sz w:val="20"/>
          <w:szCs w:val="20"/>
        </w:rPr>
        <w:t xml:space="preserve">transactions, </w:t>
      </w:r>
      <w:r w:rsidR="002D699F">
        <w:rPr>
          <w:rFonts w:ascii="Arial" w:hAnsi="Arial" w:cs="Arial"/>
          <w:sz w:val="20"/>
          <w:szCs w:val="20"/>
        </w:rPr>
        <w:t>as a midstream, contractor-targeted incentive</w:t>
      </w:r>
      <w:r w:rsidRPr="0008537D">
        <w:rPr>
          <w:rFonts w:ascii="Arial" w:hAnsi="Arial" w:cs="Arial"/>
          <w:sz w:val="20"/>
          <w:szCs w:val="20"/>
        </w:rPr>
        <w:t xml:space="preserve">. The rebate incentivizes the </w:t>
      </w:r>
      <w:r w:rsidR="004E2F7A">
        <w:rPr>
          <w:rFonts w:ascii="Arial" w:hAnsi="Arial" w:cs="Arial"/>
          <w:sz w:val="20"/>
          <w:szCs w:val="20"/>
        </w:rPr>
        <w:t>replacement of fixed output ballasts with</w:t>
      </w:r>
      <w:r w:rsidRPr="0008537D">
        <w:rPr>
          <w:rFonts w:ascii="Arial" w:hAnsi="Arial" w:cs="Arial"/>
          <w:sz w:val="20"/>
          <w:szCs w:val="20"/>
        </w:rPr>
        <w:t xml:space="preserve"> </w:t>
      </w:r>
      <w:r>
        <w:rPr>
          <w:rFonts w:ascii="Arial" w:hAnsi="Arial" w:cs="Arial"/>
          <w:sz w:val="20"/>
          <w:szCs w:val="20"/>
        </w:rPr>
        <w:t>dimm</w:t>
      </w:r>
      <w:r w:rsidR="000326E3">
        <w:rPr>
          <w:rFonts w:ascii="Arial" w:hAnsi="Arial" w:cs="Arial"/>
          <w:sz w:val="20"/>
          <w:szCs w:val="20"/>
        </w:rPr>
        <w:t>able</w:t>
      </w:r>
      <w:r>
        <w:rPr>
          <w:rFonts w:ascii="Arial" w:hAnsi="Arial" w:cs="Arial"/>
          <w:sz w:val="20"/>
          <w:szCs w:val="20"/>
        </w:rPr>
        <w:t xml:space="preserve"> fluorescent ballasts</w:t>
      </w:r>
      <w:r w:rsidRPr="0008537D">
        <w:rPr>
          <w:rFonts w:ascii="Arial" w:hAnsi="Arial" w:cs="Arial"/>
          <w:sz w:val="20"/>
          <w:szCs w:val="20"/>
        </w:rPr>
        <w:t xml:space="preserve"> </w:t>
      </w:r>
      <w:r>
        <w:rPr>
          <w:rFonts w:ascii="Arial" w:hAnsi="Arial" w:cs="Arial"/>
          <w:sz w:val="20"/>
          <w:szCs w:val="20"/>
        </w:rPr>
        <w:t>by partially offsetting higher first costs for these products</w:t>
      </w:r>
      <w:r w:rsidRPr="0008537D">
        <w:rPr>
          <w:rFonts w:ascii="Arial" w:hAnsi="Arial" w:cs="Arial"/>
          <w:sz w:val="20"/>
          <w:szCs w:val="20"/>
        </w:rPr>
        <w:t>.</w:t>
      </w:r>
    </w:p>
    <w:p w:rsidR="004800BA" w:rsidRPr="0008537D" w:rsidRDefault="004800BA" w:rsidP="00607077">
      <w:pPr>
        <w:ind w:left="360"/>
        <w:rPr>
          <w:rFonts w:ascii="Arial" w:hAnsi="Arial" w:cs="Arial"/>
          <w:b/>
          <w:i/>
          <w:sz w:val="20"/>
          <w:szCs w:val="20"/>
        </w:rPr>
      </w:pPr>
    </w:p>
    <w:p w:rsidR="00197A23" w:rsidRDefault="00197A23" w:rsidP="00872913">
      <w:pPr>
        <w:rPr>
          <w:rFonts w:ascii="Arial" w:hAnsi="Arial" w:cs="Arial"/>
          <w:b/>
          <w:i/>
        </w:rPr>
      </w:pPr>
    </w:p>
    <w:p w:rsidR="00521920" w:rsidRPr="00806070" w:rsidRDefault="00806070" w:rsidP="00806070">
      <w:pPr>
        <w:rPr>
          <w:rFonts w:ascii="Arial" w:hAnsi="Arial" w:cs="Arial"/>
          <w:b/>
          <w:i/>
          <w:sz w:val="28"/>
          <w:szCs w:val="28"/>
        </w:rPr>
      </w:pPr>
      <w:r>
        <w:rPr>
          <w:rFonts w:ascii="Arial" w:hAnsi="Arial" w:cs="Arial"/>
          <w:b/>
          <w:i/>
          <w:sz w:val="28"/>
          <w:szCs w:val="28"/>
        </w:rPr>
        <w:t xml:space="preserve">1.2 Product </w:t>
      </w:r>
      <w:r w:rsidR="00521920" w:rsidRPr="00806070">
        <w:rPr>
          <w:rFonts w:ascii="Arial" w:hAnsi="Arial" w:cs="Arial"/>
          <w:b/>
          <w:i/>
          <w:sz w:val="28"/>
          <w:szCs w:val="28"/>
        </w:rPr>
        <w:t>Technical Description</w:t>
      </w:r>
    </w:p>
    <w:p w:rsidR="00646240" w:rsidRPr="00B37C7A" w:rsidRDefault="00646240" w:rsidP="00607077">
      <w:pPr>
        <w:rPr>
          <w:rFonts w:ascii="Arial" w:hAnsi="Arial" w:cs="Arial"/>
          <w:sz w:val="20"/>
          <w:szCs w:val="20"/>
        </w:rPr>
      </w:pPr>
      <w:r w:rsidRPr="00B37C7A">
        <w:rPr>
          <w:rFonts w:ascii="Arial" w:hAnsi="Arial" w:cs="Arial"/>
          <w:sz w:val="20"/>
          <w:szCs w:val="20"/>
        </w:rPr>
        <w:t>Fluorescent fixtures</w:t>
      </w:r>
      <w:r w:rsidR="004E2F7A">
        <w:rPr>
          <w:rFonts w:ascii="Arial" w:hAnsi="Arial" w:cs="Arial"/>
          <w:sz w:val="20"/>
          <w:szCs w:val="20"/>
        </w:rPr>
        <w:t xml:space="preserve"> are commonly used to light commercial space. These fixtures generate light by exciting mercury vapor inside of fluorescent tubes</w:t>
      </w:r>
      <w:r w:rsidRPr="00B37C7A">
        <w:rPr>
          <w:rFonts w:ascii="Arial" w:hAnsi="Arial" w:cs="Arial"/>
          <w:sz w:val="20"/>
          <w:szCs w:val="20"/>
        </w:rPr>
        <w:t xml:space="preserve">. </w:t>
      </w:r>
      <w:r w:rsidR="00950A37">
        <w:rPr>
          <w:rFonts w:ascii="Arial" w:hAnsi="Arial" w:cs="Arial"/>
          <w:sz w:val="20"/>
          <w:szCs w:val="20"/>
        </w:rPr>
        <w:t>Fluorescent b</w:t>
      </w:r>
      <w:r w:rsidRPr="00B37C7A">
        <w:rPr>
          <w:rFonts w:ascii="Arial" w:hAnsi="Arial" w:cs="Arial"/>
          <w:sz w:val="20"/>
          <w:szCs w:val="20"/>
        </w:rPr>
        <w:t xml:space="preserve">allasts are </w:t>
      </w:r>
      <w:r w:rsidR="00950A37">
        <w:rPr>
          <w:rFonts w:ascii="Arial" w:hAnsi="Arial" w:cs="Arial"/>
          <w:sz w:val="20"/>
          <w:szCs w:val="20"/>
        </w:rPr>
        <w:t>necessary</w:t>
      </w:r>
      <w:r w:rsidRPr="00B37C7A">
        <w:rPr>
          <w:rFonts w:ascii="Arial" w:hAnsi="Arial" w:cs="Arial"/>
          <w:sz w:val="20"/>
          <w:szCs w:val="20"/>
        </w:rPr>
        <w:t xml:space="preserve"> to provide </w:t>
      </w:r>
      <w:r w:rsidR="00B37C7A" w:rsidRPr="00B37C7A">
        <w:rPr>
          <w:rFonts w:ascii="Arial" w:hAnsi="Arial" w:cs="Arial"/>
          <w:sz w:val="20"/>
          <w:szCs w:val="20"/>
        </w:rPr>
        <w:t xml:space="preserve">the </w:t>
      </w:r>
      <w:r w:rsidRPr="00B37C7A">
        <w:rPr>
          <w:rFonts w:ascii="Arial" w:hAnsi="Arial" w:cs="Arial"/>
          <w:sz w:val="20"/>
          <w:szCs w:val="20"/>
        </w:rPr>
        <w:t xml:space="preserve">electric voltage needed to start the lamps and to sustain the discharge to keep the lamps lit. </w:t>
      </w:r>
      <w:r w:rsidR="000326E3" w:rsidRPr="00B37C7A">
        <w:rPr>
          <w:rFonts w:ascii="Arial" w:hAnsi="Arial" w:cs="Arial"/>
          <w:sz w:val="20"/>
          <w:szCs w:val="20"/>
        </w:rPr>
        <w:t>Dimmable</w:t>
      </w:r>
      <w:r w:rsidRPr="00B37C7A">
        <w:rPr>
          <w:rFonts w:ascii="Arial" w:hAnsi="Arial" w:cs="Arial"/>
          <w:sz w:val="20"/>
          <w:szCs w:val="20"/>
        </w:rPr>
        <w:t xml:space="preserve"> fluorescent ballasts are capable of operating lamps at intermediate light levels below 100% full </w:t>
      </w:r>
      <w:proofErr w:type="gramStart"/>
      <w:r w:rsidRPr="00B37C7A">
        <w:rPr>
          <w:rFonts w:ascii="Arial" w:hAnsi="Arial" w:cs="Arial"/>
          <w:sz w:val="20"/>
          <w:szCs w:val="20"/>
        </w:rPr>
        <w:t>output</w:t>
      </w:r>
      <w:proofErr w:type="gramEnd"/>
      <w:r w:rsidRPr="00B37C7A">
        <w:rPr>
          <w:rFonts w:ascii="Arial" w:hAnsi="Arial" w:cs="Arial"/>
          <w:sz w:val="20"/>
          <w:szCs w:val="20"/>
        </w:rPr>
        <w:t xml:space="preserve">. Some </w:t>
      </w:r>
      <w:proofErr w:type="gramStart"/>
      <w:r w:rsidRPr="00B37C7A">
        <w:rPr>
          <w:rFonts w:ascii="Arial" w:hAnsi="Arial" w:cs="Arial"/>
          <w:sz w:val="20"/>
          <w:szCs w:val="20"/>
        </w:rPr>
        <w:t>ballasts</w:t>
      </w:r>
      <w:proofErr w:type="gramEnd"/>
      <w:r w:rsidRPr="00B37C7A">
        <w:rPr>
          <w:rFonts w:ascii="Arial" w:hAnsi="Arial" w:cs="Arial"/>
          <w:sz w:val="20"/>
          <w:szCs w:val="20"/>
        </w:rPr>
        <w:t>, known as “step-dimming” ballasts, are only able to dim lamps to one or</w:t>
      </w:r>
      <w:r w:rsidR="00950A37">
        <w:rPr>
          <w:rFonts w:ascii="Arial" w:hAnsi="Arial" w:cs="Arial"/>
          <w:sz w:val="20"/>
          <w:szCs w:val="20"/>
        </w:rPr>
        <w:t xml:space="preserve"> more intermediate light levels, while</w:t>
      </w:r>
      <w:r w:rsidRPr="00B37C7A">
        <w:rPr>
          <w:rFonts w:ascii="Arial" w:hAnsi="Arial" w:cs="Arial"/>
          <w:sz w:val="20"/>
          <w:szCs w:val="20"/>
        </w:rPr>
        <w:t xml:space="preserve"> other ballasts, known as “</w:t>
      </w:r>
      <w:r w:rsidR="00EE7FAF" w:rsidRPr="00B37C7A">
        <w:rPr>
          <w:rFonts w:ascii="Arial" w:hAnsi="Arial" w:cs="Arial"/>
          <w:sz w:val="20"/>
          <w:szCs w:val="20"/>
        </w:rPr>
        <w:t>continuously</w:t>
      </w:r>
      <w:r w:rsidRPr="00B37C7A">
        <w:rPr>
          <w:rFonts w:ascii="Arial" w:hAnsi="Arial" w:cs="Arial"/>
          <w:sz w:val="20"/>
          <w:szCs w:val="20"/>
        </w:rPr>
        <w:t xml:space="preserve">-dimming” ballasts, are able to dim lamps gradually from 100% </w:t>
      </w:r>
      <w:r w:rsidR="00EE7FAF" w:rsidRPr="00B37C7A">
        <w:rPr>
          <w:rFonts w:ascii="Arial" w:hAnsi="Arial" w:cs="Arial"/>
          <w:sz w:val="20"/>
          <w:szCs w:val="20"/>
        </w:rPr>
        <w:t>to any desired light output level.</w:t>
      </w:r>
    </w:p>
    <w:p w:rsidR="005A6D2A" w:rsidRPr="00B37C7A" w:rsidRDefault="005A6D2A" w:rsidP="00607077">
      <w:pPr>
        <w:rPr>
          <w:rFonts w:ascii="Arial" w:hAnsi="Arial" w:cs="Arial"/>
          <w:sz w:val="20"/>
          <w:szCs w:val="20"/>
        </w:rPr>
      </w:pPr>
    </w:p>
    <w:p w:rsidR="000326E3" w:rsidRPr="00B37C7A" w:rsidRDefault="000326E3" w:rsidP="00607077">
      <w:pPr>
        <w:rPr>
          <w:rFonts w:ascii="Arial" w:hAnsi="Arial" w:cs="Arial"/>
          <w:sz w:val="20"/>
          <w:szCs w:val="20"/>
        </w:rPr>
      </w:pPr>
      <w:r w:rsidRPr="00B37C7A">
        <w:rPr>
          <w:rFonts w:ascii="Arial" w:hAnsi="Arial" w:cs="Arial"/>
          <w:sz w:val="20"/>
          <w:szCs w:val="20"/>
        </w:rPr>
        <w:t>Dimmable ballasts</w:t>
      </w:r>
      <w:r w:rsidR="005A6D2A" w:rsidRPr="00B37C7A">
        <w:rPr>
          <w:rFonts w:ascii="Arial" w:hAnsi="Arial" w:cs="Arial"/>
          <w:sz w:val="20"/>
          <w:szCs w:val="20"/>
        </w:rPr>
        <w:t xml:space="preserve"> offer the potential to reduce energy consumption through smarter </w:t>
      </w:r>
      <w:r w:rsidR="00B37C7A" w:rsidRPr="00B37C7A">
        <w:rPr>
          <w:rFonts w:ascii="Arial" w:hAnsi="Arial" w:cs="Arial"/>
          <w:sz w:val="20"/>
          <w:szCs w:val="20"/>
        </w:rPr>
        <w:t>operation</w:t>
      </w:r>
      <w:r w:rsidR="005A6D2A" w:rsidRPr="00B37C7A">
        <w:rPr>
          <w:rFonts w:ascii="Arial" w:hAnsi="Arial" w:cs="Arial"/>
          <w:sz w:val="20"/>
          <w:szCs w:val="20"/>
        </w:rPr>
        <w:t xml:space="preserve"> of </w:t>
      </w:r>
      <w:r w:rsidR="00950A37">
        <w:rPr>
          <w:rFonts w:ascii="Arial" w:hAnsi="Arial" w:cs="Arial"/>
          <w:sz w:val="20"/>
          <w:szCs w:val="20"/>
        </w:rPr>
        <w:t>fluorescent</w:t>
      </w:r>
      <w:r w:rsidR="005A6D2A" w:rsidRPr="00B37C7A">
        <w:rPr>
          <w:rFonts w:ascii="Arial" w:hAnsi="Arial" w:cs="Arial"/>
          <w:sz w:val="20"/>
          <w:szCs w:val="20"/>
        </w:rPr>
        <w:t xml:space="preserve"> lamps </w:t>
      </w:r>
      <w:r w:rsidR="00B37C7A" w:rsidRPr="00B37C7A">
        <w:rPr>
          <w:rFonts w:ascii="Arial" w:hAnsi="Arial" w:cs="Arial"/>
          <w:sz w:val="20"/>
          <w:szCs w:val="20"/>
        </w:rPr>
        <w:t xml:space="preserve">to reduce wasted energy from </w:t>
      </w:r>
      <w:r w:rsidR="00540F74" w:rsidRPr="00B37C7A">
        <w:rPr>
          <w:rFonts w:ascii="Arial" w:hAnsi="Arial" w:cs="Arial"/>
          <w:sz w:val="20"/>
          <w:szCs w:val="20"/>
        </w:rPr>
        <w:t>over lighting</w:t>
      </w:r>
      <w:r w:rsidR="00B37C7A" w:rsidRPr="00B37C7A">
        <w:rPr>
          <w:rFonts w:ascii="Arial" w:hAnsi="Arial" w:cs="Arial"/>
          <w:sz w:val="20"/>
          <w:szCs w:val="20"/>
        </w:rPr>
        <w:t xml:space="preserve"> spaces</w:t>
      </w:r>
      <w:r w:rsidR="005A6D2A" w:rsidRPr="00B37C7A">
        <w:rPr>
          <w:rFonts w:ascii="Arial" w:hAnsi="Arial" w:cs="Arial"/>
          <w:sz w:val="20"/>
          <w:szCs w:val="20"/>
        </w:rPr>
        <w:t>. There are three primary strategies for using dimmable ballasts to save energy:</w:t>
      </w:r>
      <w:r w:rsidRPr="00B37C7A">
        <w:rPr>
          <w:rFonts w:ascii="Arial" w:hAnsi="Arial" w:cs="Arial"/>
          <w:sz w:val="20"/>
          <w:szCs w:val="20"/>
        </w:rPr>
        <w:t xml:space="preserve"> </w:t>
      </w:r>
    </w:p>
    <w:p w:rsidR="008D6C11" w:rsidRPr="00B37C7A" w:rsidRDefault="008D6C11" w:rsidP="008D6C11">
      <w:pPr>
        <w:pStyle w:val="Reminders"/>
        <w:ind w:left="720"/>
        <w:rPr>
          <w:rFonts w:ascii="Arial" w:hAnsi="Arial" w:cs="Arial"/>
          <w:b/>
          <w:i w:val="0"/>
          <w:color w:val="auto"/>
          <w:sz w:val="20"/>
          <w:szCs w:val="20"/>
        </w:rPr>
      </w:pPr>
    </w:p>
    <w:p w:rsidR="008D6C11" w:rsidRPr="00B37C7A" w:rsidRDefault="008D6C11" w:rsidP="008D6C11">
      <w:pPr>
        <w:pStyle w:val="Reminders"/>
        <w:ind w:left="720"/>
        <w:rPr>
          <w:rFonts w:ascii="Arial" w:hAnsi="Arial" w:cs="Arial"/>
          <w:i w:val="0"/>
          <w:color w:val="auto"/>
          <w:sz w:val="20"/>
          <w:szCs w:val="20"/>
        </w:rPr>
      </w:pPr>
      <w:r w:rsidRPr="00B37C7A">
        <w:rPr>
          <w:rFonts w:ascii="Arial" w:hAnsi="Arial" w:cs="Arial"/>
          <w:b/>
          <w:i w:val="0"/>
          <w:color w:val="auto"/>
          <w:sz w:val="20"/>
          <w:szCs w:val="20"/>
        </w:rPr>
        <w:t>Tuning:</w:t>
      </w:r>
      <w:r w:rsidRPr="00B37C7A">
        <w:rPr>
          <w:rFonts w:ascii="Arial" w:hAnsi="Arial" w:cs="Arial"/>
          <w:i w:val="0"/>
          <w:color w:val="auto"/>
          <w:sz w:val="20"/>
          <w:szCs w:val="20"/>
        </w:rPr>
        <w:t xml:space="preserve"> </w:t>
      </w:r>
      <w:r w:rsidR="00025BBC" w:rsidRPr="00B37C7A">
        <w:rPr>
          <w:rFonts w:ascii="Arial" w:hAnsi="Arial" w:cs="Arial"/>
          <w:i w:val="0"/>
          <w:color w:val="auto"/>
          <w:sz w:val="20"/>
          <w:szCs w:val="20"/>
        </w:rPr>
        <w:t>A</w:t>
      </w:r>
      <w:r w:rsidRPr="00B37C7A">
        <w:rPr>
          <w:rFonts w:ascii="Arial" w:hAnsi="Arial" w:cs="Arial"/>
          <w:i w:val="0"/>
          <w:color w:val="auto"/>
          <w:sz w:val="20"/>
          <w:szCs w:val="20"/>
        </w:rPr>
        <w:t xml:space="preserve"> reduction in light output to avoid over-illumination which can be achieved by:</w:t>
      </w:r>
    </w:p>
    <w:p w:rsidR="008D6C11" w:rsidRPr="00B37C7A" w:rsidRDefault="008D6C11" w:rsidP="008D6C11">
      <w:pPr>
        <w:pStyle w:val="Reminders"/>
        <w:numPr>
          <w:ilvl w:val="0"/>
          <w:numId w:val="18"/>
        </w:numPr>
        <w:rPr>
          <w:rFonts w:ascii="Arial" w:hAnsi="Arial" w:cs="Arial"/>
          <w:i w:val="0"/>
          <w:color w:val="auto"/>
          <w:sz w:val="20"/>
          <w:szCs w:val="20"/>
        </w:rPr>
      </w:pPr>
      <w:r w:rsidRPr="00B37C7A">
        <w:rPr>
          <w:rFonts w:ascii="Arial" w:hAnsi="Arial" w:cs="Arial"/>
          <w:i w:val="0"/>
          <w:color w:val="auto"/>
          <w:sz w:val="20"/>
          <w:szCs w:val="20"/>
        </w:rPr>
        <w:t>A factory preset reduction in</w:t>
      </w:r>
      <w:r w:rsidR="00025BBC" w:rsidRPr="00B37C7A">
        <w:rPr>
          <w:rFonts w:ascii="Arial" w:hAnsi="Arial" w:cs="Arial"/>
          <w:i w:val="0"/>
          <w:color w:val="auto"/>
          <w:sz w:val="20"/>
          <w:szCs w:val="20"/>
        </w:rPr>
        <w:t xml:space="preserve"> light</w:t>
      </w:r>
      <w:r w:rsidRPr="00B37C7A">
        <w:rPr>
          <w:rFonts w:ascii="Arial" w:hAnsi="Arial" w:cs="Arial"/>
          <w:i w:val="0"/>
          <w:color w:val="auto"/>
          <w:sz w:val="20"/>
          <w:szCs w:val="20"/>
        </w:rPr>
        <w:t xml:space="preserve"> output level</w:t>
      </w:r>
    </w:p>
    <w:p w:rsidR="008D6C11" w:rsidRPr="00B37C7A" w:rsidRDefault="008D6C11" w:rsidP="008D6C11">
      <w:pPr>
        <w:pStyle w:val="Reminders"/>
        <w:numPr>
          <w:ilvl w:val="0"/>
          <w:numId w:val="18"/>
        </w:numPr>
        <w:rPr>
          <w:rFonts w:ascii="Arial" w:hAnsi="Arial" w:cs="Arial"/>
          <w:i w:val="0"/>
          <w:color w:val="auto"/>
          <w:sz w:val="20"/>
          <w:szCs w:val="20"/>
        </w:rPr>
      </w:pPr>
      <w:r w:rsidRPr="00B37C7A">
        <w:rPr>
          <w:rFonts w:ascii="Arial" w:hAnsi="Arial" w:cs="Arial"/>
          <w:i w:val="0"/>
          <w:color w:val="auto"/>
          <w:sz w:val="20"/>
          <w:szCs w:val="20"/>
        </w:rPr>
        <w:t>A field set permanent reduction in</w:t>
      </w:r>
      <w:r w:rsidR="00025BBC" w:rsidRPr="00B37C7A">
        <w:rPr>
          <w:rFonts w:ascii="Arial" w:hAnsi="Arial" w:cs="Arial"/>
          <w:i w:val="0"/>
          <w:color w:val="auto"/>
          <w:sz w:val="20"/>
          <w:szCs w:val="20"/>
        </w:rPr>
        <w:t xml:space="preserve"> light</w:t>
      </w:r>
      <w:r w:rsidRPr="00B37C7A">
        <w:rPr>
          <w:rFonts w:ascii="Arial" w:hAnsi="Arial" w:cs="Arial"/>
          <w:i w:val="0"/>
          <w:color w:val="auto"/>
          <w:sz w:val="20"/>
          <w:szCs w:val="20"/>
        </w:rPr>
        <w:t xml:space="preserve"> output level</w:t>
      </w:r>
    </w:p>
    <w:p w:rsidR="008D6C11" w:rsidRDefault="008D6C11" w:rsidP="008D6C11">
      <w:pPr>
        <w:pStyle w:val="Reminders"/>
        <w:numPr>
          <w:ilvl w:val="0"/>
          <w:numId w:val="18"/>
        </w:numPr>
        <w:rPr>
          <w:rFonts w:ascii="Arial" w:hAnsi="Arial" w:cs="Arial"/>
          <w:i w:val="0"/>
          <w:color w:val="auto"/>
          <w:sz w:val="20"/>
          <w:szCs w:val="20"/>
        </w:rPr>
      </w:pPr>
      <w:r w:rsidRPr="00B37C7A">
        <w:rPr>
          <w:rFonts w:ascii="Arial" w:hAnsi="Arial" w:cs="Arial"/>
          <w:i w:val="0"/>
          <w:color w:val="auto"/>
          <w:sz w:val="20"/>
          <w:szCs w:val="20"/>
        </w:rPr>
        <w:t>Photo controls</w:t>
      </w:r>
      <w:r w:rsidR="00025BBC" w:rsidRPr="00B37C7A">
        <w:rPr>
          <w:rFonts w:ascii="Arial" w:hAnsi="Arial" w:cs="Arial"/>
          <w:i w:val="0"/>
          <w:color w:val="auto"/>
          <w:sz w:val="20"/>
          <w:szCs w:val="20"/>
        </w:rPr>
        <w:t xml:space="preserve"> to adjust maximum light output to account</w:t>
      </w:r>
      <w:r w:rsidRPr="00B37C7A">
        <w:rPr>
          <w:rFonts w:ascii="Arial" w:hAnsi="Arial" w:cs="Arial"/>
          <w:i w:val="0"/>
          <w:color w:val="auto"/>
          <w:sz w:val="20"/>
          <w:szCs w:val="20"/>
        </w:rPr>
        <w:t xml:space="preserve"> for lume</w:t>
      </w:r>
      <w:r w:rsidR="00025BBC" w:rsidRPr="00B37C7A">
        <w:rPr>
          <w:rFonts w:ascii="Arial" w:hAnsi="Arial" w:cs="Arial"/>
          <w:i w:val="0"/>
          <w:color w:val="auto"/>
          <w:sz w:val="20"/>
          <w:szCs w:val="20"/>
        </w:rPr>
        <w:t>n</w:t>
      </w:r>
      <w:r w:rsidRPr="00B37C7A">
        <w:rPr>
          <w:rFonts w:ascii="Arial" w:hAnsi="Arial" w:cs="Arial"/>
          <w:i w:val="0"/>
          <w:color w:val="auto"/>
          <w:sz w:val="20"/>
          <w:szCs w:val="20"/>
        </w:rPr>
        <w:t xml:space="preserve"> maintenance</w:t>
      </w:r>
    </w:p>
    <w:p w:rsidR="008D6C11" w:rsidRDefault="008D6C11" w:rsidP="008D6C11">
      <w:pPr>
        <w:pStyle w:val="Reminders"/>
        <w:ind w:left="720"/>
        <w:rPr>
          <w:rFonts w:ascii="Arial" w:hAnsi="Arial" w:cs="Arial"/>
          <w:i w:val="0"/>
          <w:color w:val="auto"/>
          <w:sz w:val="20"/>
          <w:szCs w:val="20"/>
        </w:rPr>
      </w:pPr>
    </w:p>
    <w:p w:rsidR="00B37C7A" w:rsidRPr="00B37C7A" w:rsidRDefault="00B37C7A" w:rsidP="008D6C11">
      <w:pPr>
        <w:pStyle w:val="Reminders"/>
        <w:ind w:left="720"/>
        <w:rPr>
          <w:rFonts w:ascii="Arial" w:hAnsi="Arial" w:cs="Arial"/>
          <w:i w:val="0"/>
          <w:color w:val="auto"/>
          <w:sz w:val="20"/>
          <w:szCs w:val="20"/>
        </w:rPr>
      </w:pPr>
    </w:p>
    <w:p w:rsidR="008D6C11" w:rsidRPr="00B37C7A" w:rsidRDefault="008D6C11" w:rsidP="008D6C11">
      <w:pPr>
        <w:pStyle w:val="Reminders"/>
        <w:ind w:left="720"/>
        <w:rPr>
          <w:rFonts w:ascii="Arial" w:hAnsi="Arial" w:cs="Arial"/>
          <w:i w:val="0"/>
          <w:color w:val="auto"/>
          <w:sz w:val="20"/>
          <w:szCs w:val="20"/>
        </w:rPr>
      </w:pPr>
      <w:r w:rsidRPr="00B37C7A">
        <w:rPr>
          <w:rFonts w:ascii="Arial" w:hAnsi="Arial" w:cs="Arial"/>
          <w:b/>
          <w:i w:val="0"/>
          <w:color w:val="auto"/>
          <w:sz w:val="20"/>
          <w:szCs w:val="20"/>
        </w:rPr>
        <w:t>Daylight Harvesting:</w:t>
      </w:r>
      <w:r w:rsidRPr="00B37C7A">
        <w:rPr>
          <w:rFonts w:ascii="Arial" w:hAnsi="Arial" w:cs="Arial"/>
          <w:i w:val="0"/>
          <w:color w:val="auto"/>
          <w:sz w:val="20"/>
          <w:szCs w:val="20"/>
        </w:rPr>
        <w:t xml:space="preserve"> </w:t>
      </w:r>
      <w:r w:rsidR="00025BBC" w:rsidRPr="00B37C7A">
        <w:rPr>
          <w:rFonts w:ascii="Arial" w:hAnsi="Arial" w:cs="Arial"/>
          <w:i w:val="0"/>
          <w:color w:val="auto"/>
          <w:sz w:val="20"/>
          <w:szCs w:val="20"/>
        </w:rPr>
        <w:t xml:space="preserve">Use of </w:t>
      </w:r>
      <w:r w:rsidRPr="00B37C7A">
        <w:rPr>
          <w:rFonts w:ascii="Arial" w:hAnsi="Arial" w:cs="Arial"/>
          <w:i w:val="0"/>
          <w:color w:val="auto"/>
          <w:sz w:val="20"/>
          <w:szCs w:val="20"/>
        </w:rPr>
        <w:t xml:space="preserve">photocells to sense natural sunlight in an area and to then </w:t>
      </w:r>
      <w:r w:rsidR="00025BBC" w:rsidRPr="00B37C7A">
        <w:rPr>
          <w:rFonts w:ascii="Arial" w:hAnsi="Arial" w:cs="Arial"/>
          <w:i w:val="0"/>
          <w:color w:val="auto"/>
          <w:sz w:val="20"/>
          <w:szCs w:val="20"/>
        </w:rPr>
        <w:t xml:space="preserve">dim or </w:t>
      </w:r>
      <w:r w:rsidRPr="00B37C7A">
        <w:rPr>
          <w:rFonts w:ascii="Arial" w:hAnsi="Arial" w:cs="Arial"/>
          <w:i w:val="0"/>
          <w:color w:val="auto"/>
          <w:sz w:val="20"/>
          <w:szCs w:val="20"/>
        </w:rPr>
        <w:t xml:space="preserve">shut down </w:t>
      </w:r>
      <w:r w:rsidR="00025BBC" w:rsidRPr="00B37C7A">
        <w:rPr>
          <w:rFonts w:ascii="Arial" w:hAnsi="Arial" w:cs="Arial"/>
          <w:i w:val="0"/>
          <w:color w:val="auto"/>
          <w:sz w:val="20"/>
          <w:szCs w:val="20"/>
        </w:rPr>
        <w:t xml:space="preserve">lights </w:t>
      </w:r>
      <w:r w:rsidRPr="00B37C7A">
        <w:rPr>
          <w:rFonts w:ascii="Arial" w:hAnsi="Arial" w:cs="Arial"/>
          <w:i w:val="0"/>
          <w:color w:val="auto"/>
          <w:sz w:val="20"/>
          <w:szCs w:val="20"/>
        </w:rPr>
        <w:t xml:space="preserve">if enough daylight is present. </w:t>
      </w:r>
    </w:p>
    <w:p w:rsidR="008D6C11" w:rsidRPr="00B37C7A" w:rsidRDefault="008D6C11" w:rsidP="00607077">
      <w:pPr>
        <w:rPr>
          <w:rFonts w:ascii="Arial" w:hAnsi="Arial" w:cs="Arial"/>
          <w:sz w:val="20"/>
          <w:szCs w:val="20"/>
        </w:rPr>
      </w:pPr>
    </w:p>
    <w:p w:rsidR="006A1E51" w:rsidRPr="00B37C7A" w:rsidRDefault="006A1E51" w:rsidP="00607077">
      <w:pPr>
        <w:rPr>
          <w:rFonts w:ascii="Arial" w:hAnsi="Arial" w:cs="Arial"/>
          <w:sz w:val="20"/>
          <w:szCs w:val="20"/>
        </w:rPr>
      </w:pPr>
      <w:r w:rsidRPr="00B37C7A">
        <w:rPr>
          <w:rFonts w:ascii="Arial" w:hAnsi="Arial" w:cs="Arial"/>
          <w:sz w:val="20"/>
          <w:szCs w:val="20"/>
        </w:rPr>
        <w:t xml:space="preserve">Currently, sales and existing stock of dimming ballasts are low when compared to fixed output ballasts. However, in 2014, new Title 24 California state building codes will require dimming ballasts to be installed in many commercial buildings. </w:t>
      </w:r>
    </w:p>
    <w:p w:rsidR="009C5CA7" w:rsidRDefault="009C5CA7" w:rsidP="009C5CA7">
      <w:pPr>
        <w:pStyle w:val="Heading2"/>
        <w:keepNext w:val="0"/>
      </w:pPr>
      <w:bookmarkStart w:id="23" w:name="_Toc390769230"/>
      <w:r>
        <w:t>1.</w:t>
      </w:r>
      <w:r w:rsidR="00806070">
        <w:t>3</w:t>
      </w:r>
      <w:r>
        <w:t xml:space="preserve"> </w:t>
      </w:r>
      <w:r w:rsidR="00FA595F">
        <w:t>Transaction Types</w:t>
      </w:r>
      <w:bookmarkEnd w:id="23"/>
      <w:r w:rsidR="00FA595F">
        <w:t xml:space="preserve"> </w:t>
      </w:r>
    </w:p>
    <w:p w:rsidR="00784500" w:rsidRDefault="00784500" w:rsidP="009C5CA7">
      <w:pPr>
        <w:rPr>
          <w:rFonts w:ascii="Arial" w:hAnsi="Arial" w:cs="Arial"/>
          <w:sz w:val="20"/>
          <w:szCs w:val="20"/>
        </w:rPr>
      </w:pPr>
    </w:p>
    <w:p w:rsidR="009C5CA7" w:rsidRPr="00784500" w:rsidRDefault="009C5CA7" w:rsidP="009C5CA7">
      <w:pPr>
        <w:rPr>
          <w:rFonts w:ascii="Arial" w:hAnsi="Arial" w:cs="Arial"/>
          <w:sz w:val="20"/>
          <w:szCs w:val="20"/>
        </w:rPr>
      </w:pPr>
      <w:r w:rsidRPr="00784500">
        <w:rPr>
          <w:rFonts w:ascii="Arial" w:hAnsi="Arial" w:cs="Arial"/>
          <w:sz w:val="20"/>
          <w:szCs w:val="20"/>
        </w:rPr>
        <w:t>The DEER Measure Cost Data Users Guide, version 2.01, defines the terms as follows:</w:t>
      </w:r>
    </w:p>
    <w:p w:rsidR="009C5CA7" w:rsidRPr="00F65942" w:rsidRDefault="009C5CA7" w:rsidP="009C5CA7">
      <w:pPr>
        <w:rPr>
          <w:i/>
        </w:rPr>
      </w:pPr>
    </w:p>
    <w:p w:rsidR="009C5CA7" w:rsidRPr="002D699F" w:rsidRDefault="009C5CA7" w:rsidP="00784500">
      <w:pPr>
        <w:numPr>
          <w:ilvl w:val="0"/>
          <w:numId w:val="9"/>
        </w:numPr>
        <w:tabs>
          <w:tab w:val="clear" w:pos="720"/>
        </w:tabs>
        <w:rPr>
          <w:rFonts w:ascii="Arial" w:hAnsi="Arial" w:cs="Arial"/>
          <w:sz w:val="20"/>
          <w:szCs w:val="20"/>
        </w:rPr>
      </w:pPr>
      <w:r w:rsidRPr="002D699F">
        <w:rPr>
          <w:rFonts w:ascii="Arial" w:hAnsi="Arial" w:cs="Arial"/>
          <w:sz w:val="20"/>
          <w:szCs w:val="20"/>
        </w:rPr>
        <w:t xml:space="preserve">Replace on Burnout (ROB) – replacing a technology at </w:t>
      </w:r>
      <w:r w:rsidR="00025BBC" w:rsidRPr="002D699F">
        <w:rPr>
          <w:rFonts w:ascii="Arial" w:hAnsi="Arial" w:cs="Arial"/>
          <w:sz w:val="20"/>
          <w:szCs w:val="20"/>
        </w:rPr>
        <w:t>t</w:t>
      </w:r>
      <w:r w:rsidRPr="002D699F">
        <w:rPr>
          <w:rFonts w:ascii="Arial" w:hAnsi="Arial" w:cs="Arial"/>
          <w:sz w:val="20"/>
          <w:szCs w:val="20"/>
        </w:rPr>
        <w:t>he end of its useful life.</w:t>
      </w:r>
    </w:p>
    <w:p w:rsidR="002D699F" w:rsidRPr="00784500" w:rsidRDefault="002D699F" w:rsidP="002D699F">
      <w:pPr>
        <w:ind w:left="720"/>
        <w:rPr>
          <w:rFonts w:ascii="Arial" w:hAnsi="Arial" w:cs="Arial"/>
          <w:sz w:val="20"/>
          <w:szCs w:val="20"/>
        </w:rPr>
      </w:pPr>
    </w:p>
    <w:p w:rsidR="009C5CA7" w:rsidRPr="002D699F" w:rsidRDefault="002D699F" w:rsidP="009C5CA7">
      <w:pPr>
        <w:rPr>
          <w:rFonts w:ascii="Arial" w:hAnsi="Arial" w:cs="Arial"/>
          <w:sz w:val="20"/>
          <w:szCs w:val="20"/>
        </w:rPr>
      </w:pPr>
      <w:r>
        <w:rPr>
          <w:rFonts w:ascii="Arial" w:hAnsi="Arial" w:cs="Arial"/>
          <w:sz w:val="20"/>
          <w:szCs w:val="20"/>
        </w:rPr>
        <w:t xml:space="preserve">Most dimmable ballasts in the </w:t>
      </w:r>
      <w:r w:rsidR="009524D0">
        <w:rPr>
          <w:rFonts w:ascii="Arial" w:hAnsi="Arial" w:cs="Arial"/>
          <w:sz w:val="20"/>
          <w:szCs w:val="20"/>
        </w:rPr>
        <w:t>non-residential</w:t>
      </w:r>
      <w:r>
        <w:rPr>
          <w:rFonts w:ascii="Arial" w:hAnsi="Arial" w:cs="Arial"/>
          <w:sz w:val="20"/>
          <w:szCs w:val="20"/>
        </w:rPr>
        <w:t xml:space="preserve"> market are installed in either </w:t>
      </w:r>
      <w:r w:rsidR="00C75434">
        <w:rPr>
          <w:rFonts w:ascii="Arial" w:hAnsi="Arial" w:cs="Arial"/>
          <w:sz w:val="20"/>
          <w:szCs w:val="20"/>
        </w:rPr>
        <w:t>“</w:t>
      </w:r>
      <w:r w:rsidR="0000291D">
        <w:rPr>
          <w:rFonts w:ascii="Arial" w:hAnsi="Arial" w:cs="Arial"/>
          <w:sz w:val="20"/>
          <w:szCs w:val="20"/>
        </w:rPr>
        <w:t>replace on burnout</w:t>
      </w:r>
      <w:r w:rsidR="00C75434">
        <w:rPr>
          <w:rFonts w:ascii="Arial" w:hAnsi="Arial" w:cs="Arial"/>
          <w:sz w:val="20"/>
          <w:szCs w:val="20"/>
        </w:rPr>
        <w:t>”</w:t>
      </w:r>
      <w:r>
        <w:rPr>
          <w:rFonts w:ascii="Arial" w:hAnsi="Arial" w:cs="Arial"/>
          <w:sz w:val="20"/>
          <w:szCs w:val="20"/>
        </w:rPr>
        <w:t xml:space="preserve"> or </w:t>
      </w:r>
      <w:r w:rsidR="00C75434">
        <w:rPr>
          <w:rFonts w:ascii="Arial" w:hAnsi="Arial" w:cs="Arial"/>
          <w:sz w:val="20"/>
          <w:szCs w:val="20"/>
        </w:rPr>
        <w:t>“</w:t>
      </w:r>
      <w:r>
        <w:rPr>
          <w:rFonts w:ascii="Arial" w:hAnsi="Arial" w:cs="Arial"/>
          <w:sz w:val="20"/>
          <w:szCs w:val="20"/>
        </w:rPr>
        <w:t>new construction</w:t>
      </w:r>
      <w:r w:rsidR="00C75434">
        <w:rPr>
          <w:rFonts w:ascii="Arial" w:hAnsi="Arial" w:cs="Arial"/>
          <w:sz w:val="20"/>
          <w:szCs w:val="20"/>
        </w:rPr>
        <w:t>”</w:t>
      </w:r>
      <w:r>
        <w:rPr>
          <w:rFonts w:ascii="Arial" w:hAnsi="Arial" w:cs="Arial"/>
          <w:sz w:val="20"/>
          <w:szCs w:val="20"/>
        </w:rPr>
        <w:t xml:space="preserve"> transactions. </w:t>
      </w:r>
      <w:r w:rsidR="0033036F">
        <w:rPr>
          <w:rFonts w:ascii="Arial" w:hAnsi="Arial" w:cs="Arial"/>
          <w:sz w:val="20"/>
          <w:szCs w:val="20"/>
        </w:rPr>
        <w:t xml:space="preserve">New construction (as </w:t>
      </w:r>
      <w:r w:rsidR="008C6A0E">
        <w:rPr>
          <w:rFonts w:ascii="Arial" w:hAnsi="Arial" w:cs="Arial"/>
          <w:sz w:val="20"/>
          <w:szCs w:val="20"/>
        </w:rPr>
        <w:t xml:space="preserve">well as major renovation) must meet </w:t>
      </w:r>
      <w:r w:rsidR="0033036F">
        <w:rPr>
          <w:rFonts w:ascii="Arial" w:hAnsi="Arial" w:cs="Arial"/>
          <w:sz w:val="20"/>
          <w:szCs w:val="20"/>
        </w:rPr>
        <w:t xml:space="preserve">existing Title 24 building codes that already require the use of daylight harvesting </w:t>
      </w:r>
      <w:r w:rsidR="001C400E">
        <w:rPr>
          <w:rFonts w:ascii="Arial" w:hAnsi="Arial" w:cs="Arial"/>
          <w:sz w:val="20"/>
          <w:szCs w:val="20"/>
        </w:rPr>
        <w:t xml:space="preserve">sensors </w:t>
      </w:r>
      <w:r w:rsidR="0033036F">
        <w:rPr>
          <w:rFonts w:ascii="Arial" w:hAnsi="Arial" w:cs="Arial"/>
          <w:sz w:val="20"/>
          <w:szCs w:val="20"/>
        </w:rPr>
        <w:t>where these controls are most appropriate.</w:t>
      </w:r>
      <w:r w:rsidR="008C6A0E">
        <w:rPr>
          <w:rFonts w:ascii="Arial" w:hAnsi="Arial" w:cs="Arial"/>
          <w:sz w:val="20"/>
          <w:szCs w:val="20"/>
        </w:rPr>
        <w:t xml:space="preserve"> Minimal savings would be expected from new construction transactions.</w:t>
      </w:r>
    </w:p>
    <w:p w:rsidR="00806070" w:rsidRDefault="00806070" w:rsidP="001248A3">
      <w:pPr>
        <w:pStyle w:val="Heading2"/>
      </w:pPr>
      <w:bookmarkStart w:id="24" w:name="_Toc390769231"/>
      <w:r>
        <w:t>1.4 Product Base Case and Measure Case Data</w:t>
      </w:r>
      <w:bookmarkEnd w:id="24"/>
    </w:p>
    <w:p w:rsidR="00E71EF1" w:rsidRDefault="001248A3" w:rsidP="0012422F">
      <w:pPr>
        <w:pStyle w:val="Heading3"/>
      </w:pPr>
      <w:bookmarkStart w:id="25" w:name="_Toc390769232"/>
      <w:r>
        <w:t>1.</w:t>
      </w:r>
      <w:r w:rsidR="00806070">
        <w:t>4.1</w:t>
      </w:r>
      <w:r w:rsidR="00FA595F">
        <w:t xml:space="preserve"> </w:t>
      </w:r>
      <w:r w:rsidR="00C069A2" w:rsidRPr="001248A3">
        <w:t xml:space="preserve">DEER </w:t>
      </w:r>
      <w:r w:rsidR="008C6AD1">
        <w:t>Base Case and Measure Case Information</w:t>
      </w:r>
      <w:bookmarkEnd w:id="25"/>
      <w:r w:rsidR="008C6AD1">
        <w:t xml:space="preserve"> </w:t>
      </w:r>
    </w:p>
    <w:p w:rsidR="00AF5B52" w:rsidRDefault="009C5CA7" w:rsidP="00AF5B52">
      <w:pPr>
        <w:rPr>
          <w:rFonts w:ascii="Arial" w:hAnsi="Arial" w:cs="Arial"/>
          <w:sz w:val="20"/>
          <w:szCs w:val="20"/>
        </w:rPr>
      </w:pPr>
      <w:r w:rsidRPr="00EC27F4">
        <w:rPr>
          <w:rFonts w:ascii="Arial" w:hAnsi="Arial" w:cs="Arial"/>
          <w:sz w:val="20"/>
          <w:szCs w:val="20"/>
        </w:rPr>
        <w:t xml:space="preserve">The </w:t>
      </w:r>
      <w:r w:rsidRPr="00B27245">
        <w:rPr>
          <w:rFonts w:ascii="Arial" w:hAnsi="Arial" w:cs="Arial"/>
          <w:sz w:val="20"/>
          <w:szCs w:val="20"/>
        </w:rPr>
        <w:t>DEER</w:t>
      </w:r>
      <w:r w:rsidR="00AF5B52" w:rsidRPr="00B27245">
        <w:rPr>
          <w:rFonts w:ascii="Arial" w:hAnsi="Arial" w:cs="Arial"/>
          <w:sz w:val="20"/>
          <w:szCs w:val="20"/>
        </w:rPr>
        <w:t xml:space="preserve"> </w:t>
      </w:r>
      <w:r w:rsidR="00C75434">
        <w:rPr>
          <w:rFonts w:ascii="Arial" w:hAnsi="Arial" w:cs="Arial"/>
          <w:sz w:val="20"/>
          <w:szCs w:val="20"/>
        </w:rPr>
        <w:t xml:space="preserve">2011 </w:t>
      </w:r>
      <w:r w:rsidRPr="00EC27F4">
        <w:rPr>
          <w:rFonts w:ascii="Arial" w:hAnsi="Arial" w:cs="Arial"/>
          <w:sz w:val="20"/>
          <w:szCs w:val="20"/>
        </w:rPr>
        <w:t xml:space="preserve">data include: </w:t>
      </w:r>
      <w:r w:rsidR="00540F74">
        <w:rPr>
          <w:rFonts w:ascii="Arial" w:hAnsi="Arial" w:cs="Arial"/>
          <w:sz w:val="20"/>
          <w:szCs w:val="20"/>
        </w:rPr>
        <w:t>Lighting c</w:t>
      </w:r>
      <w:r w:rsidR="00540F74" w:rsidRPr="00540F74">
        <w:rPr>
          <w:rFonts w:ascii="Arial" w:hAnsi="Arial" w:cs="Arial"/>
          <w:sz w:val="20"/>
          <w:szCs w:val="20"/>
        </w:rPr>
        <w:t>oincident</w:t>
      </w:r>
      <w:r w:rsidR="00540F74">
        <w:rPr>
          <w:rFonts w:ascii="Arial" w:hAnsi="Arial" w:cs="Arial"/>
          <w:sz w:val="20"/>
          <w:szCs w:val="20"/>
        </w:rPr>
        <w:t xml:space="preserve"> demand, </w:t>
      </w:r>
      <w:r w:rsidRPr="00EC27F4">
        <w:rPr>
          <w:rFonts w:ascii="Arial" w:hAnsi="Arial" w:cs="Arial"/>
          <w:sz w:val="20"/>
          <w:szCs w:val="20"/>
        </w:rPr>
        <w:t xml:space="preserve">demand, electric, gas energy </w:t>
      </w:r>
      <w:r w:rsidR="00540F74" w:rsidRPr="00EC27F4">
        <w:rPr>
          <w:rFonts w:ascii="Arial" w:hAnsi="Arial" w:cs="Arial"/>
          <w:sz w:val="20"/>
          <w:szCs w:val="20"/>
        </w:rPr>
        <w:t>interactive</w:t>
      </w:r>
      <w:r w:rsidR="00540F74">
        <w:rPr>
          <w:rFonts w:ascii="Arial" w:hAnsi="Arial" w:cs="Arial"/>
          <w:sz w:val="20"/>
          <w:szCs w:val="20"/>
        </w:rPr>
        <w:t xml:space="preserve"> </w:t>
      </w:r>
      <w:proofErr w:type="gramStart"/>
      <w:r w:rsidR="00540F74">
        <w:rPr>
          <w:rFonts w:ascii="Arial" w:hAnsi="Arial" w:cs="Arial"/>
          <w:sz w:val="20"/>
          <w:szCs w:val="20"/>
        </w:rPr>
        <w:t xml:space="preserve">effects </w:t>
      </w:r>
      <w:r w:rsidRPr="00EC27F4">
        <w:rPr>
          <w:rFonts w:ascii="Arial" w:hAnsi="Arial" w:cs="Arial"/>
          <w:sz w:val="20"/>
          <w:szCs w:val="20"/>
        </w:rPr>
        <w:t>,</w:t>
      </w:r>
      <w:proofErr w:type="gramEnd"/>
      <w:r w:rsidRPr="00EC27F4">
        <w:rPr>
          <w:rFonts w:ascii="Arial" w:hAnsi="Arial" w:cs="Arial"/>
          <w:sz w:val="20"/>
          <w:szCs w:val="20"/>
        </w:rPr>
        <w:t xml:space="preserve"> </w:t>
      </w:r>
      <w:r w:rsidR="00EC27F4" w:rsidRPr="00EC27F4">
        <w:rPr>
          <w:rFonts w:ascii="Arial" w:hAnsi="Arial" w:cs="Arial"/>
          <w:sz w:val="20"/>
          <w:szCs w:val="20"/>
        </w:rPr>
        <w:t xml:space="preserve">and hours of operation for </w:t>
      </w:r>
      <w:r w:rsidR="004800BA" w:rsidRPr="00EC27F4">
        <w:rPr>
          <w:rFonts w:ascii="Arial" w:hAnsi="Arial" w:cs="Arial"/>
          <w:sz w:val="20"/>
          <w:szCs w:val="20"/>
        </w:rPr>
        <w:t>non-CFL lighting, which was used to develop measure savings</w:t>
      </w:r>
      <w:r w:rsidR="008565EC">
        <w:rPr>
          <w:rFonts w:ascii="Arial" w:hAnsi="Arial" w:cs="Arial"/>
          <w:sz w:val="20"/>
          <w:szCs w:val="20"/>
        </w:rPr>
        <w:t xml:space="preserve">, </w:t>
      </w:r>
      <w:r w:rsidR="00540F74" w:rsidRPr="00EC27F4">
        <w:rPr>
          <w:rFonts w:ascii="Arial" w:hAnsi="Arial" w:cs="Arial"/>
          <w:sz w:val="20"/>
          <w:szCs w:val="20"/>
        </w:rPr>
        <w:t>daylight</w:t>
      </w:r>
      <w:r w:rsidR="00EC27F4" w:rsidRPr="00EC27F4">
        <w:rPr>
          <w:rFonts w:ascii="Arial" w:hAnsi="Arial" w:cs="Arial"/>
          <w:sz w:val="20"/>
          <w:szCs w:val="20"/>
        </w:rPr>
        <w:t xml:space="preserve"> harvesting </w:t>
      </w:r>
      <w:r w:rsidR="00540F74">
        <w:rPr>
          <w:rFonts w:ascii="Arial" w:hAnsi="Arial" w:cs="Arial"/>
          <w:sz w:val="20"/>
          <w:szCs w:val="20"/>
        </w:rPr>
        <w:t xml:space="preserve">and dimming ballast </w:t>
      </w:r>
      <w:r w:rsidR="00183349">
        <w:rPr>
          <w:rFonts w:ascii="Arial" w:hAnsi="Arial" w:cs="Arial"/>
          <w:sz w:val="20"/>
          <w:szCs w:val="20"/>
        </w:rPr>
        <w:t>measures.</w:t>
      </w:r>
    </w:p>
    <w:p w:rsidR="00C75434" w:rsidRDefault="00C75434" w:rsidP="00AF5B52">
      <w:pPr>
        <w:rPr>
          <w:rFonts w:ascii="Arial" w:hAnsi="Arial" w:cs="Arial"/>
          <w:b/>
          <w:i/>
          <w:sz w:val="20"/>
          <w:szCs w:val="20"/>
          <w:highlight w:val="cyan"/>
        </w:rPr>
      </w:pPr>
    </w:p>
    <w:p w:rsidR="009C5CA7" w:rsidRDefault="009C5CA7" w:rsidP="009C5CA7">
      <w:pPr>
        <w:rPr>
          <w:rFonts w:ascii="Arial" w:hAnsi="Arial" w:cs="Arial"/>
          <w:sz w:val="20"/>
          <w:szCs w:val="20"/>
        </w:rPr>
      </w:pPr>
      <w:r w:rsidRPr="00BA7D18">
        <w:rPr>
          <w:rFonts w:ascii="Arial" w:hAnsi="Arial" w:cs="Arial"/>
          <w:b/>
          <w:sz w:val="20"/>
          <w:szCs w:val="20"/>
        </w:rPr>
        <w:t>Delta Wattage Assumption (ΔW):</w:t>
      </w:r>
      <w:r w:rsidR="009B4DB1">
        <w:rPr>
          <w:rFonts w:ascii="Arial" w:hAnsi="Arial" w:cs="Arial"/>
          <w:sz w:val="20"/>
          <w:szCs w:val="20"/>
        </w:rPr>
        <w:t xml:space="preserve"> </w:t>
      </w:r>
    </w:p>
    <w:p w:rsidR="00A51808" w:rsidRDefault="00A51808" w:rsidP="009C5CA7">
      <w:pPr>
        <w:rPr>
          <w:b/>
        </w:rPr>
      </w:pPr>
    </w:p>
    <w:p w:rsidR="008E5E12" w:rsidRPr="00BA7D18" w:rsidRDefault="008E5E12" w:rsidP="008E5E12">
      <w:pPr>
        <w:rPr>
          <w:rFonts w:ascii="Arial" w:hAnsi="Arial" w:cs="Arial"/>
          <w:b/>
          <w:sz w:val="20"/>
          <w:szCs w:val="20"/>
        </w:rPr>
      </w:pPr>
      <w:r w:rsidRPr="00BA7D18">
        <w:rPr>
          <w:rFonts w:ascii="Arial" w:hAnsi="Arial" w:cs="Arial"/>
          <w:sz w:val="20"/>
          <w:szCs w:val="20"/>
        </w:rPr>
        <w:t xml:space="preserve">Electric Savings </w:t>
      </w:r>
      <w:r w:rsidRPr="00BA7D18">
        <w:rPr>
          <w:rFonts w:ascii="Arial" w:hAnsi="Arial" w:cs="Arial"/>
          <w:b/>
          <w:sz w:val="20"/>
          <w:szCs w:val="20"/>
        </w:rPr>
        <w:t>(ΔW):</w:t>
      </w:r>
      <w:r w:rsidR="009B4DB1">
        <w:rPr>
          <w:rFonts w:ascii="Arial" w:hAnsi="Arial" w:cs="Arial"/>
          <w:b/>
          <w:sz w:val="20"/>
          <w:szCs w:val="20"/>
        </w:rPr>
        <w:t xml:space="preserve">       </w:t>
      </w:r>
      <w:r w:rsidR="00B27245" w:rsidRPr="00B27245">
        <w:rPr>
          <w:rFonts w:ascii="Arial" w:hAnsi="Arial" w:cs="Arial"/>
          <w:b/>
          <w:sz w:val="20"/>
          <w:szCs w:val="20"/>
        </w:rPr>
        <w:t>D</w:t>
      </w:r>
      <w:r w:rsidR="001E0E27">
        <w:rPr>
          <w:rFonts w:ascii="Arial" w:hAnsi="Arial" w:cs="Arial"/>
          <w:b/>
          <w:sz w:val="20"/>
          <w:szCs w:val="20"/>
        </w:rPr>
        <w:t>11</w:t>
      </w:r>
      <w:r w:rsidR="00B27245" w:rsidRPr="00B27245">
        <w:rPr>
          <w:rFonts w:ascii="Arial" w:hAnsi="Arial" w:cs="Arial"/>
          <w:b/>
          <w:sz w:val="20"/>
          <w:szCs w:val="20"/>
        </w:rPr>
        <w:t xml:space="preserve"> v</w:t>
      </w:r>
      <w:r w:rsidR="001E0E27">
        <w:rPr>
          <w:rFonts w:ascii="Arial" w:hAnsi="Arial" w:cs="Arial"/>
          <w:b/>
          <w:sz w:val="20"/>
          <w:szCs w:val="20"/>
        </w:rPr>
        <w:t>4.01</w:t>
      </w:r>
    </w:p>
    <w:p w:rsidR="00D2644B" w:rsidRPr="00A67307" w:rsidRDefault="0033036F" w:rsidP="00D2644B">
      <w:pPr>
        <w:numPr>
          <w:ilvl w:val="0"/>
          <w:numId w:val="11"/>
        </w:numPr>
        <w:rPr>
          <w:rFonts w:ascii="Arial" w:hAnsi="Arial" w:cs="Arial"/>
          <w:sz w:val="20"/>
          <w:szCs w:val="20"/>
        </w:rPr>
      </w:pPr>
      <w:r>
        <w:rPr>
          <w:rFonts w:ascii="Arial" w:hAnsi="Arial" w:cs="Arial"/>
          <w:sz w:val="20"/>
          <w:szCs w:val="20"/>
        </w:rPr>
        <w:t xml:space="preserve">The </w:t>
      </w:r>
      <w:r w:rsidR="00D2644B" w:rsidRPr="00A67307">
        <w:rPr>
          <w:rFonts w:ascii="Arial" w:hAnsi="Arial" w:cs="Arial"/>
          <w:sz w:val="20"/>
          <w:szCs w:val="20"/>
        </w:rPr>
        <w:t>electric savings were downloaded from DEER</w:t>
      </w:r>
      <w:r w:rsidR="00B90839">
        <w:rPr>
          <w:rFonts w:ascii="Arial" w:hAnsi="Arial" w:cs="Arial"/>
          <w:sz w:val="20"/>
          <w:szCs w:val="20"/>
        </w:rPr>
        <w:t xml:space="preserve"> 2011</w:t>
      </w:r>
      <w:r w:rsidR="00D2644B" w:rsidRPr="00A67307">
        <w:rPr>
          <w:rFonts w:ascii="Arial" w:hAnsi="Arial" w:cs="Arial"/>
          <w:sz w:val="20"/>
          <w:szCs w:val="20"/>
        </w:rPr>
        <w:t xml:space="preserve">, however </w:t>
      </w:r>
      <w:r w:rsidR="00B90839">
        <w:rPr>
          <w:rFonts w:ascii="Arial" w:hAnsi="Arial" w:cs="Arial"/>
          <w:sz w:val="20"/>
          <w:szCs w:val="20"/>
        </w:rPr>
        <w:t>they differ from the measures in the following ways</w:t>
      </w:r>
      <w:r w:rsidR="00D2644B" w:rsidRPr="00A67307">
        <w:rPr>
          <w:rFonts w:ascii="Arial" w:hAnsi="Arial" w:cs="Arial"/>
          <w:sz w:val="20"/>
          <w:szCs w:val="20"/>
        </w:rPr>
        <w:t>:</w:t>
      </w:r>
    </w:p>
    <w:p w:rsidR="00D2644B" w:rsidRDefault="00D2644B" w:rsidP="00D2644B">
      <w:pPr>
        <w:numPr>
          <w:ilvl w:val="2"/>
          <w:numId w:val="11"/>
        </w:numPr>
        <w:rPr>
          <w:rFonts w:ascii="Arial" w:hAnsi="Arial" w:cs="Arial"/>
          <w:sz w:val="20"/>
          <w:szCs w:val="20"/>
        </w:rPr>
      </w:pPr>
      <w:r w:rsidRPr="00A67307">
        <w:rPr>
          <w:rFonts w:ascii="Arial" w:hAnsi="Arial" w:cs="Arial"/>
          <w:sz w:val="20"/>
          <w:szCs w:val="20"/>
        </w:rPr>
        <w:t xml:space="preserve">DEER </w:t>
      </w:r>
      <w:r w:rsidR="003914D2">
        <w:rPr>
          <w:rFonts w:ascii="Arial" w:hAnsi="Arial" w:cs="Arial"/>
          <w:sz w:val="20"/>
          <w:szCs w:val="20"/>
        </w:rPr>
        <w:t>savings</w:t>
      </w:r>
      <w:r w:rsidR="00F57E42">
        <w:rPr>
          <w:rFonts w:ascii="Arial" w:hAnsi="Arial" w:cs="Arial"/>
          <w:sz w:val="20"/>
          <w:szCs w:val="20"/>
        </w:rPr>
        <w:t xml:space="preserve"> </w:t>
      </w:r>
      <w:r w:rsidRPr="00A67307">
        <w:rPr>
          <w:rFonts w:ascii="Arial" w:hAnsi="Arial" w:cs="Arial"/>
          <w:sz w:val="20"/>
          <w:szCs w:val="20"/>
        </w:rPr>
        <w:t xml:space="preserve">provided as </w:t>
      </w:r>
      <w:r w:rsidR="00B90839">
        <w:rPr>
          <w:rFonts w:ascii="Arial" w:hAnsi="Arial" w:cs="Arial"/>
          <w:sz w:val="20"/>
          <w:szCs w:val="20"/>
        </w:rPr>
        <w:t>“</w:t>
      </w:r>
      <w:r w:rsidRPr="00A67307">
        <w:rPr>
          <w:rFonts w:ascii="Arial" w:hAnsi="Arial" w:cs="Arial"/>
          <w:sz w:val="20"/>
          <w:szCs w:val="20"/>
        </w:rPr>
        <w:t>per kW of lighting under sensor control</w:t>
      </w:r>
      <w:r w:rsidR="00B90839">
        <w:rPr>
          <w:rFonts w:ascii="Arial" w:hAnsi="Arial" w:cs="Arial"/>
          <w:sz w:val="20"/>
          <w:szCs w:val="20"/>
        </w:rPr>
        <w:t>”</w:t>
      </w:r>
      <w:r>
        <w:rPr>
          <w:rFonts w:ascii="Arial" w:hAnsi="Arial" w:cs="Arial"/>
          <w:sz w:val="20"/>
          <w:szCs w:val="20"/>
        </w:rPr>
        <w:t>.</w:t>
      </w:r>
      <w:r w:rsidR="00F57E42">
        <w:rPr>
          <w:rFonts w:ascii="Arial" w:hAnsi="Arial" w:cs="Arial"/>
          <w:sz w:val="20"/>
          <w:szCs w:val="20"/>
        </w:rPr>
        <w:t xml:space="preserve"> DEER </w:t>
      </w:r>
      <w:r w:rsidR="003914D2">
        <w:rPr>
          <w:rFonts w:ascii="Arial" w:hAnsi="Arial" w:cs="Arial"/>
          <w:sz w:val="20"/>
          <w:szCs w:val="20"/>
        </w:rPr>
        <w:t xml:space="preserve">savings </w:t>
      </w:r>
      <w:r w:rsidR="00B90839">
        <w:rPr>
          <w:rFonts w:ascii="Arial" w:hAnsi="Arial" w:cs="Arial"/>
          <w:sz w:val="20"/>
          <w:szCs w:val="20"/>
        </w:rPr>
        <w:t xml:space="preserve">were </w:t>
      </w:r>
      <w:r w:rsidR="008565EC">
        <w:rPr>
          <w:rFonts w:ascii="Arial" w:hAnsi="Arial" w:cs="Arial"/>
          <w:sz w:val="20"/>
          <w:szCs w:val="20"/>
        </w:rPr>
        <w:t>multiplied by</w:t>
      </w:r>
      <w:r w:rsidR="00DF1858">
        <w:rPr>
          <w:rFonts w:ascii="Arial" w:hAnsi="Arial" w:cs="Arial"/>
          <w:sz w:val="20"/>
          <w:szCs w:val="20"/>
        </w:rPr>
        <w:t xml:space="preserve"> </w:t>
      </w:r>
      <w:r w:rsidR="008A1B2B">
        <w:rPr>
          <w:rFonts w:ascii="Arial" w:hAnsi="Arial" w:cs="Arial"/>
          <w:sz w:val="20"/>
          <w:szCs w:val="20"/>
        </w:rPr>
        <w:t xml:space="preserve">0.075kW </w:t>
      </w:r>
      <w:r w:rsidR="008565EC">
        <w:rPr>
          <w:rFonts w:ascii="Arial" w:hAnsi="Arial" w:cs="Arial"/>
          <w:sz w:val="20"/>
          <w:szCs w:val="20"/>
        </w:rPr>
        <w:t xml:space="preserve">to determine the savings on a </w:t>
      </w:r>
      <w:r w:rsidR="00B90839">
        <w:rPr>
          <w:rFonts w:ascii="Arial" w:hAnsi="Arial" w:cs="Arial"/>
          <w:sz w:val="20"/>
          <w:szCs w:val="20"/>
        </w:rPr>
        <w:t>“</w:t>
      </w:r>
      <w:r w:rsidR="008565EC">
        <w:rPr>
          <w:rFonts w:ascii="Arial" w:hAnsi="Arial" w:cs="Arial"/>
          <w:sz w:val="20"/>
          <w:szCs w:val="20"/>
        </w:rPr>
        <w:t>per fixture</w:t>
      </w:r>
      <w:r w:rsidR="00B90839">
        <w:rPr>
          <w:rFonts w:ascii="Arial" w:hAnsi="Arial" w:cs="Arial"/>
          <w:sz w:val="20"/>
          <w:szCs w:val="20"/>
        </w:rPr>
        <w:t>”</w:t>
      </w:r>
      <w:r w:rsidR="008565EC">
        <w:rPr>
          <w:rFonts w:ascii="Arial" w:hAnsi="Arial" w:cs="Arial"/>
          <w:sz w:val="20"/>
          <w:szCs w:val="20"/>
        </w:rPr>
        <w:t xml:space="preserve"> basis. Th</w:t>
      </w:r>
      <w:r w:rsidR="00B90839">
        <w:rPr>
          <w:rFonts w:ascii="Arial" w:hAnsi="Arial" w:cs="Arial"/>
          <w:sz w:val="20"/>
          <w:szCs w:val="20"/>
        </w:rPr>
        <w:t>ese</w:t>
      </w:r>
      <w:r w:rsidR="008565EC">
        <w:rPr>
          <w:rFonts w:ascii="Arial" w:hAnsi="Arial" w:cs="Arial"/>
          <w:sz w:val="20"/>
          <w:szCs w:val="20"/>
        </w:rPr>
        <w:t xml:space="preserve"> </w:t>
      </w:r>
      <w:r w:rsidR="008A1B2B">
        <w:rPr>
          <w:rFonts w:ascii="Arial" w:hAnsi="Arial" w:cs="Arial"/>
          <w:sz w:val="20"/>
          <w:szCs w:val="20"/>
        </w:rPr>
        <w:t xml:space="preserve">savings </w:t>
      </w:r>
      <w:r w:rsidR="00B90839">
        <w:rPr>
          <w:rFonts w:ascii="Arial" w:hAnsi="Arial" w:cs="Arial"/>
          <w:sz w:val="20"/>
          <w:szCs w:val="20"/>
        </w:rPr>
        <w:t xml:space="preserve">were </w:t>
      </w:r>
      <w:r w:rsidR="008A1B2B">
        <w:rPr>
          <w:rFonts w:ascii="Arial" w:hAnsi="Arial" w:cs="Arial"/>
          <w:sz w:val="20"/>
          <w:szCs w:val="20"/>
        </w:rPr>
        <w:t>reduced</w:t>
      </w:r>
      <w:r w:rsidR="008565EC">
        <w:rPr>
          <w:rFonts w:ascii="Arial" w:hAnsi="Arial" w:cs="Arial"/>
          <w:sz w:val="20"/>
          <w:szCs w:val="20"/>
        </w:rPr>
        <w:t xml:space="preserve"> 20% to account for the wattage reduction</w:t>
      </w:r>
      <w:r w:rsidR="00B90839">
        <w:rPr>
          <w:rFonts w:ascii="Arial" w:hAnsi="Arial" w:cs="Arial"/>
          <w:sz w:val="20"/>
          <w:szCs w:val="20"/>
        </w:rPr>
        <w:t xml:space="preserve"> due to</w:t>
      </w:r>
      <w:r w:rsidR="008565EC">
        <w:rPr>
          <w:rFonts w:ascii="Arial" w:hAnsi="Arial" w:cs="Arial"/>
          <w:sz w:val="20"/>
          <w:szCs w:val="20"/>
        </w:rPr>
        <w:t xml:space="preserve"> tuning.</w:t>
      </w:r>
      <w:r w:rsidR="00471AA2">
        <w:rPr>
          <w:rFonts w:ascii="Arial" w:hAnsi="Arial" w:cs="Arial"/>
          <w:sz w:val="20"/>
          <w:szCs w:val="20"/>
        </w:rPr>
        <w:t xml:space="preserve"> These calculations are described in detail in Section 2.</w:t>
      </w:r>
    </w:p>
    <w:p w:rsidR="00665AA9" w:rsidRPr="00A67307" w:rsidRDefault="00665AA9" w:rsidP="00D2644B">
      <w:pPr>
        <w:numPr>
          <w:ilvl w:val="2"/>
          <w:numId w:val="11"/>
        </w:numPr>
        <w:rPr>
          <w:rFonts w:ascii="Arial" w:hAnsi="Arial" w:cs="Arial"/>
          <w:sz w:val="20"/>
          <w:szCs w:val="20"/>
        </w:rPr>
      </w:pPr>
    </w:p>
    <w:p w:rsidR="008E5E12" w:rsidRPr="00BA7D18" w:rsidRDefault="008E5E12" w:rsidP="00D2644B">
      <w:pPr>
        <w:ind w:left="1080"/>
        <w:rPr>
          <w:rFonts w:ascii="Arial" w:hAnsi="Arial" w:cs="Arial"/>
          <w:sz w:val="20"/>
          <w:szCs w:val="20"/>
          <w:highlight w:val="yellow"/>
        </w:rPr>
      </w:pPr>
      <w:r w:rsidRPr="00BA7D18">
        <w:rPr>
          <w:rFonts w:ascii="Arial" w:hAnsi="Arial" w:cs="Arial"/>
          <w:sz w:val="20"/>
          <w:szCs w:val="20"/>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350"/>
        <w:gridCol w:w="1818"/>
      </w:tblGrid>
      <w:tr w:rsidR="008E5E12" w:rsidRPr="00783DAC" w:rsidTr="007230D9">
        <w:tc>
          <w:tcPr>
            <w:tcW w:w="0" w:type="auto"/>
            <w:shd w:val="clear" w:color="auto" w:fill="auto"/>
          </w:tcPr>
          <w:p w:rsidR="008E5E12" w:rsidRPr="00783DAC" w:rsidRDefault="008E5E12" w:rsidP="00783DAC">
            <w:pPr>
              <w:rPr>
                <w:rFonts w:ascii="Arial" w:hAnsi="Arial" w:cs="Arial"/>
                <w:b/>
                <w:sz w:val="20"/>
                <w:szCs w:val="20"/>
              </w:rPr>
            </w:pPr>
            <w:r w:rsidRPr="00783DAC">
              <w:rPr>
                <w:rFonts w:ascii="Arial" w:hAnsi="Arial" w:cs="Arial"/>
                <w:b/>
                <w:sz w:val="20"/>
                <w:szCs w:val="20"/>
              </w:rPr>
              <w:t>Building type</w:t>
            </w:r>
            <w:r w:rsidR="009B4DB1">
              <w:rPr>
                <w:rFonts w:ascii="Arial" w:hAnsi="Arial" w:cs="Arial"/>
                <w:b/>
                <w:sz w:val="20"/>
                <w:szCs w:val="20"/>
              </w:rPr>
              <w:t xml:space="preserve"> </w:t>
            </w:r>
          </w:p>
        </w:tc>
        <w:tc>
          <w:tcPr>
            <w:tcW w:w="0" w:type="auto"/>
            <w:shd w:val="clear" w:color="auto" w:fill="auto"/>
          </w:tcPr>
          <w:p w:rsidR="008E5E12" w:rsidRPr="00783DAC" w:rsidRDefault="008E5E12" w:rsidP="00783DAC">
            <w:pPr>
              <w:rPr>
                <w:rFonts w:ascii="Arial" w:hAnsi="Arial" w:cs="Arial"/>
                <w:b/>
                <w:sz w:val="20"/>
                <w:szCs w:val="20"/>
              </w:rPr>
            </w:pPr>
            <w:proofErr w:type="spellStart"/>
            <w:r w:rsidRPr="00783DAC">
              <w:rPr>
                <w:rFonts w:ascii="Arial" w:hAnsi="Arial" w:cs="Arial"/>
                <w:b/>
                <w:sz w:val="20"/>
                <w:szCs w:val="20"/>
              </w:rPr>
              <w:t>Bldg</w:t>
            </w:r>
            <w:proofErr w:type="spellEnd"/>
            <w:r w:rsidRPr="00783DAC">
              <w:rPr>
                <w:rFonts w:ascii="Arial" w:hAnsi="Arial" w:cs="Arial"/>
                <w:b/>
                <w:sz w:val="20"/>
                <w:szCs w:val="20"/>
              </w:rPr>
              <w:t xml:space="preserve"> Vintage</w:t>
            </w:r>
            <w:r w:rsidR="009B4DB1">
              <w:rPr>
                <w:rFonts w:ascii="Arial" w:hAnsi="Arial" w:cs="Arial"/>
                <w:b/>
                <w:sz w:val="20"/>
                <w:szCs w:val="20"/>
              </w:rPr>
              <w:t xml:space="preserve"> </w:t>
            </w:r>
          </w:p>
        </w:tc>
        <w:tc>
          <w:tcPr>
            <w:tcW w:w="1119" w:type="dxa"/>
            <w:shd w:val="clear" w:color="auto" w:fill="auto"/>
          </w:tcPr>
          <w:p w:rsidR="008E5E12" w:rsidRPr="00783DAC" w:rsidRDefault="008E5E12" w:rsidP="00783DAC">
            <w:pPr>
              <w:rPr>
                <w:rFonts w:ascii="Arial" w:hAnsi="Arial" w:cs="Arial"/>
                <w:b/>
                <w:sz w:val="20"/>
                <w:szCs w:val="20"/>
              </w:rPr>
            </w:pPr>
            <w:r w:rsidRPr="00783DAC">
              <w:rPr>
                <w:rFonts w:ascii="Arial" w:hAnsi="Arial" w:cs="Arial"/>
                <w:b/>
                <w:sz w:val="20"/>
                <w:szCs w:val="20"/>
              </w:rPr>
              <w:t>Climate Zone</w:t>
            </w:r>
            <w:r w:rsidR="009B4DB1">
              <w:rPr>
                <w:rFonts w:ascii="Arial" w:hAnsi="Arial" w:cs="Arial"/>
                <w:b/>
                <w:sz w:val="20"/>
                <w:szCs w:val="20"/>
              </w:rPr>
              <w:t xml:space="preserve"> </w:t>
            </w:r>
          </w:p>
        </w:tc>
        <w:tc>
          <w:tcPr>
            <w:tcW w:w="1800" w:type="dxa"/>
            <w:shd w:val="clear" w:color="auto" w:fill="auto"/>
          </w:tcPr>
          <w:p w:rsidR="008E5E12" w:rsidRPr="00783DAC" w:rsidRDefault="008E5E12" w:rsidP="00783DAC">
            <w:pPr>
              <w:rPr>
                <w:rFonts w:ascii="Arial" w:hAnsi="Arial" w:cs="Arial"/>
                <w:b/>
                <w:sz w:val="20"/>
                <w:szCs w:val="20"/>
              </w:rPr>
            </w:pPr>
            <w:r w:rsidRPr="00783DAC">
              <w:rPr>
                <w:rFonts w:ascii="Arial" w:hAnsi="Arial" w:cs="Arial"/>
                <w:b/>
                <w:sz w:val="20"/>
                <w:szCs w:val="20"/>
              </w:rPr>
              <w:t xml:space="preserve">Electric Savings </w:t>
            </w:r>
            <w:smartTag w:uri="urn:schemas-microsoft-com:office:smarttags" w:element="place">
              <w:r w:rsidRPr="00783DAC">
                <w:rPr>
                  <w:rFonts w:ascii="Arial" w:hAnsi="Arial" w:cs="Arial"/>
                  <w:b/>
                  <w:sz w:val="20"/>
                  <w:szCs w:val="20"/>
                </w:rPr>
                <w:t>Watts</w:t>
              </w:r>
            </w:smartTag>
            <w:r w:rsidRPr="00783DAC">
              <w:rPr>
                <w:rFonts w:ascii="Arial" w:hAnsi="Arial" w:cs="Arial"/>
                <w:b/>
                <w:sz w:val="20"/>
                <w:szCs w:val="20"/>
              </w:rPr>
              <w:t xml:space="preserve"> </w:t>
            </w:r>
          </w:p>
        </w:tc>
        <w:tc>
          <w:tcPr>
            <w:tcW w:w="1080" w:type="dxa"/>
            <w:shd w:val="clear" w:color="auto" w:fill="auto"/>
          </w:tcPr>
          <w:p w:rsidR="008E5E12" w:rsidRPr="00783DAC" w:rsidRDefault="008E5E12" w:rsidP="00783DAC">
            <w:pPr>
              <w:rPr>
                <w:rFonts w:ascii="Arial" w:hAnsi="Arial" w:cs="Arial"/>
                <w:b/>
                <w:sz w:val="20"/>
                <w:szCs w:val="20"/>
              </w:rPr>
            </w:pPr>
            <w:r w:rsidRPr="00783DAC">
              <w:rPr>
                <w:rFonts w:ascii="Arial" w:hAnsi="Arial" w:cs="Arial"/>
                <w:b/>
                <w:sz w:val="20"/>
                <w:szCs w:val="20"/>
              </w:rPr>
              <w:t>Deer units</w:t>
            </w:r>
          </w:p>
        </w:tc>
        <w:tc>
          <w:tcPr>
            <w:tcW w:w="1350" w:type="dxa"/>
            <w:shd w:val="clear" w:color="auto" w:fill="auto"/>
          </w:tcPr>
          <w:p w:rsidR="008E5E12" w:rsidRPr="00783DAC" w:rsidRDefault="008E5E12" w:rsidP="00783DAC">
            <w:pPr>
              <w:rPr>
                <w:rFonts w:ascii="Arial" w:hAnsi="Arial" w:cs="Arial"/>
                <w:b/>
                <w:sz w:val="20"/>
                <w:szCs w:val="20"/>
              </w:rPr>
            </w:pPr>
            <w:r w:rsidRPr="00783DAC">
              <w:rPr>
                <w:rFonts w:ascii="Arial" w:hAnsi="Arial" w:cs="Arial"/>
                <w:b/>
                <w:sz w:val="20"/>
                <w:szCs w:val="20"/>
              </w:rPr>
              <w:t>DEER Version</w:t>
            </w:r>
          </w:p>
        </w:tc>
        <w:tc>
          <w:tcPr>
            <w:tcW w:w="1818" w:type="dxa"/>
            <w:shd w:val="clear" w:color="auto" w:fill="auto"/>
          </w:tcPr>
          <w:p w:rsidR="008E5E12" w:rsidRPr="00783DAC" w:rsidRDefault="008E5E12" w:rsidP="00783DAC">
            <w:pPr>
              <w:rPr>
                <w:rFonts w:ascii="Arial" w:hAnsi="Arial" w:cs="Arial"/>
                <w:b/>
                <w:sz w:val="20"/>
                <w:szCs w:val="20"/>
              </w:rPr>
            </w:pPr>
            <w:r w:rsidRPr="00783DAC">
              <w:rPr>
                <w:rFonts w:ascii="Arial" w:hAnsi="Arial" w:cs="Arial"/>
                <w:b/>
                <w:sz w:val="20"/>
                <w:szCs w:val="20"/>
              </w:rPr>
              <w:t>Impact IDs</w:t>
            </w:r>
          </w:p>
        </w:tc>
      </w:tr>
      <w:tr w:rsidR="007230D9" w:rsidRPr="00783DAC" w:rsidTr="007230D9">
        <w:tc>
          <w:tcPr>
            <w:tcW w:w="0" w:type="auto"/>
            <w:shd w:val="clear" w:color="auto" w:fill="auto"/>
          </w:tcPr>
          <w:p w:rsidR="007230D9" w:rsidRPr="00025BBC" w:rsidRDefault="007230D9" w:rsidP="00445F3B">
            <w:pPr>
              <w:rPr>
                <w:sz w:val="20"/>
              </w:rPr>
            </w:pPr>
            <w:proofErr w:type="spellStart"/>
            <w:r w:rsidRPr="00025BBC">
              <w:rPr>
                <w:sz w:val="20"/>
              </w:rPr>
              <w:t>Wtd</w:t>
            </w:r>
            <w:proofErr w:type="spellEnd"/>
            <w:r w:rsidRPr="00025BBC">
              <w:rPr>
                <w:sz w:val="20"/>
              </w:rPr>
              <w:t>-Com</w:t>
            </w:r>
          </w:p>
        </w:tc>
        <w:tc>
          <w:tcPr>
            <w:tcW w:w="0" w:type="auto"/>
            <w:shd w:val="clear" w:color="auto" w:fill="auto"/>
          </w:tcPr>
          <w:p w:rsidR="007230D9" w:rsidRPr="00025BBC" w:rsidRDefault="007230D9" w:rsidP="00445F3B">
            <w:pPr>
              <w:rPr>
                <w:sz w:val="20"/>
              </w:rPr>
            </w:pPr>
            <w:r>
              <w:rPr>
                <w:sz w:val="20"/>
              </w:rPr>
              <w:t>Existing</w:t>
            </w:r>
          </w:p>
        </w:tc>
        <w:tc>
          <w:tcPr>
            <w:tcW w:w="1119" w:type="dxa"/>
            <w:shd w:val="clear" w:color="auto" w:fill="auto"/>
          </w:tcPr>
          <w:p w:rsidR="007230D9" w:rsidRPr="00025BBC" w:rsidRDefault="00475469" w:rsidP="00445F3B">
            <w:pPr>
              <w:rPr>
                <w:sz w:val="20"/>
              </w:rPr>
            </w:pPr>
            <w:r>
              <w:rPr>
                <w:sz w:val="20"/>
              </w:rPr>
              <w:t>IOU</w:t>
            </w:r>
          </w:p>
        </w:tc>
        <w:tc>
          <w:tcPr>
            <w:tcW w:w="1800" w:type="dxa"/>
            <w:shd w:val="clear" w:color="auto" w:fill="auto"/>
          </w:tcPr>
          <w:p w:rsidR="007230D9" w:rsidRPr="00025BBC" w:rsidRDefault="007230D9" w:rsidP="00445F3B">
            <w:pPr>
              <w:rPr>
                <w:sz w:val="20"/>
              </w:rPr>
            </w:pPr>
            <w:r>
              <w:rPr>
                <w:sz w:val="20"/>
              </w:rPr>
              <w:t>Varies</w:t>
            </w:r>
          </w:p>
        </w:tc>
        <w:tc>
          <w:tcPr>
            <w:tcW w:w="1080" w:type="dxa"/>
            <w:shd w:val="clear" w:color="auto" w:fill="auto"/>
          </w:tcPr>
          <w:p w:rsidR="007230D9" w:rsidRPr="00025BBC" w:rsidRDefault="007230D9" w:rsidP="00445F3B">
            <w:pPr>
              <w:rPr>
                <w:sz w:val="20"/>
              </w:rPr>
            </w:pPr>
            <w:r>
              <w:rPr>
                <w:sz w:val="20"/>
              </w:rPr>
              <w:t>kW/kW</w:t>
            </w:r>
            <w:r w:rsidR="00665AA9">
              <w:rPr>
                <w:sz w:val="20"/>
              </w:rPr>
              <w:t xml:space="preserve"> </w:t>
            </w:r>
            <w:r w:rsidR="008A1B2B">
              <w:rPr>
                <w:sz w:val="20"/>
              </w:rPr>
              <w:t>Controlled</w:t>
            </w:r>
          </w:p>
        </w:tc>
        <w:tc>
          <w:tcPr>
            <w:tcW w:w="1350" w:type="dxa"/>
            <w:shd w:val="clear" w:color="auto" w:fill="auto"/>
          </w:tcPr>
          <w:p w:rsidR="007230D9" w:rsidRPr="0094667E" w:rsidRDefault="00B27245" w:rsidP="00AF102F">
            <w:pPr>
              <w:keepNext/>
              <w:keepLines/>
              <w:rPr>
                <w:sz w:val="20"/>
                <w:szCs w:val="20"/>
              </w:rPr>
            </w:pPr>
            <w:r w:rsidRPr="00B27245">
              <w:rPr>
                <w:sz w:val="20"/>
                <w:szCs w:val="20"/>
              </w:rPr>
              <w:t>D</w:t>
            </w:r>
            <w:r w:rsidR="00AF102F">
              <w:rPr>
                <w:sz w:val="20"/>
                <w:szCs w:val="20"/>
              </w:rPr>
              <w:t>11 v4</w:t>
            </w:r>
            <w:r w:rsidRPr="00B27245">
              <w:rPr>
                <w:sz w:val="20"/>
                <w:szCs w:val="20"/>
              </w:rPr>
              <w:t>.01</w:t>
            </w:r>
          </w:p>
        </w:tc>
        <w:tc>
          <w:tcPr>
            <w:tcW w:w="1818" w:type="dxa"/>
            <w:shd w:val="clear" w:color="auto" w:fill="auto"/>
          </w:tcPr>
          <w:p w:rsidR="007230D9" w:rsidRPr="002B1C71" w:rsidRDefault="007230D9" w:rsidP="004C423B">
            <w:pPr>
              <w:rPr>
                <w:rFonts w:ascii="Arial" w:hAnsi="Arial" w:cs="Arial"/>
                <w:sz w:val="20"/>
                <w:szCs w:val="20"/>
              </w:rPr>
            </w:pPr>
            <w:r w:rsidRPr="002B1C71">
              <w:rPr>
                <w:rFonts w:ascii="Arial" w:hAnsi="Arial" w:cs="Arial"/>
                <w:sz w:val="20"/>
                <w:szCs w:val="20"/>
              </w:rPr>
              <w:t>N/A</w:t>
            </w:r>
          </w:p>
        </w:tc>
      </w:tr>
    </w:tbl>
    <w:p w:rsidR="008E5E12" w:rsidRDefault="008E5E12" w:rsidP="009C5CA7">
      <w:pPr>
        <w:rPr>
          <w:b/>
        </w:rPr>
      </w:pPr>
    </w:p>
    <w:p w:rsidR="008E5E12" w:rsidRDefault="008E5E12" w:rsidP="009C5CA7">
      <w:pPr>
        <w:rPr>
          <w:b/>
        </w:rPr>
      </w:pPr>
    </w:p>
    <w:p w:rsidR="00A51808" w:rsidRDefault="00A51808" w:rsidP="009C5CA7">
      <w:pPr>
        <w:rPr>
          <w:b/>
        </w:rPr>
      </w:pPr>
      <w:proofErr w:type="spellStart"/>
      <w:r>
        <w:rPr>
          <w:b/>
        </w:rPr>
        <w:t>Therms</w:t>
      </w:r>
      <w:proofErr w:type="spellEnd"/>
      <w:r>
        <w:rPr>
          <w:b/>
        </w:rPr>
        <w:t xml:space="preserve"> Savings Assumption</w:t>
      </w:r>
      <w:r w:rsidR="00175673">
        <w:rPr>
          <w:b/>
        </w:rPr>
        <w:t xml:space="preserve"> (</w:t>
      </w:r>
      <w:proofErr w:type="spellStart"/>
      <w:r w:rsidR="00175673" w:rsidRPr="00B351FD">
        <w:rPr>
          <w:b/>
        </w:rPr>
        <w:t>Δ</w:t>
      </w:r>
      <w:r w:rsidR="00175673">
        <w:rPr>
          <w:b/>
        </w:rPr>
        <w:t>Th</w:t>
      </w:r>
      <w:proofErr w:type="spellEnd"/>
      <w:r w:rsidR="00175673">
        <w:rPr>
          <w:b/>
        </w:rPr>
        <w:t>)</w:t>
      </w:r>
      <w:r w:rsidR="009B4DB1">
        <w:rPr>
          <w:b/>
        </w:rPr>
        <w:t xml:space="preserve"> </w:t>
      </w:r>
      <w:r w:rsidR="00175673">
        <w:rPr>
          <w:b/>
        </w:rPr>
        <w:t>DEER Version and Impact IDs</w:t>
      </w:r>
    </w:p>
    <w:p w:rsidR="00BA7D18" w:rsidRDefault="00BA7D18" w:rsidP="00175673">
      <w:pPr>
        <w:rPr>
          <w:rFonts w:ascii="Arial" w:hAnsi="Arial" w:cs="Arial"/>
          <w:sz w:val="20"/>
          <w:szCs w:val="20"/>
        </w:rPr>
      </w:pPr>
    </w:p>
    <w:p w:rsidR="00175673" w:rsidRPr="00BA7D18" w:rsidRDefault="00175673" w:rsidP="00175673">
      <w:pPr>
        <w:rPr>
          <w:rFonts w:ascii="Arial" w:hAnsi="Arial" w:cs="Arial"/>
          <w:b/>
          <w:sz w:val="20"/>
          <w:szCs w:val="20"/>
        </w:rPr>
      </w:pPr>
      <w:r w:rsidRPr="00BA7D18">
        <w:rPr>
          <w:rFonts w:ascii="Arial" w:hAnsi="Arial" w:cs="Arial"/>
          <w:sz w:val="20"/>
          <w:szCs w:val="20"/>
        </w:rPr>
        <w:t xml:space="preserve">Gas Savings </w:t>
      </w:r>
      <w:r w:rsidR="00D2644B">
        <w:rPr>
          <w:rFonts w:ascii="Arial" w:hAnsi="Arial" w:cs="Arial"/>
          <w:b/>
          <w:sz w:val="20"/>
          <w:szCs w:val="20"/>
        </w:rPr>
        <w:t>(</w:t>
      </w:r>
      <w:proofErr w:type="spellStart"/>
      <w:r w:rsidR="00D2644B">
        <w:rPr>
          <w:rFonts w:ascii="Arial" w:hAnsi="Arial" w:cs="Arial"/>
          <w:b/>
          <w:sz w:val="20"/>
          <w:szCs w:val="20"/>
        </w:rPr>
        <w:t>ΔTh</w:t>
      </w:r>
      <w:proofErr w:type="spellEnd"/>
      <w:r w:rsidR="00D2644B">
        <w:rPr>
          <w:rFonts w:ascii="Arial" w:hAnsi="Arial" w:cs="Arial"/>
          <w:b/>
          <w:sz w:val="20"/>
          <w:szCs w:val="20"/>
        </w:rPr>
        <w:t>):</w:t>
      </w:r>
      <w:r w:rsidR="009B4DB1">
        <w:rPr>
          <w:rFonts w:ascii="Arial" w:hAnsi="Arial" w:cs="Arial"/>
          <w:b/>
          <w:sz w:val="20"/>
          <w:szCs w:val="20"/>
        </w:rPr>
        <w:t xml:space="preserve"> </w:t>
      </w:r>
      <w:r w:rsidR="00D2644B">
        <w:rPr>
          <w:rFonts w:ascii="Arial" w:hAnsi="Arial" w:cs="Arial"/>
          <w:b/>
          <w:sz w:val="20"/>
          <w:szCs w:val="20"/>
        </w:rPr>
        <w:t>Interactive Effect only</w:t>
      </w:r>
      <w:r w:rsidR="009B4DB1">
        <w:rPr>
          <w:rFonts w:ascii="Arial" w:hAnsi="Arial" w:cs="Arial"/>
          <w:b/>
          <w:sz w:val="20"/>
          <w:szCs w:val="20"/>
        </w:rPr>
        <w:t xml:space="preserve">     </w:t>
      </w:r>
      <w:r w:rsidR="00B27245" w:rsidRPr="00B27245">
        <w:rPr>
          <w:rFonts w:ascii="Arial" w:hAnsi="Arial" w:cs="Arial"/>
          <w:b/>
          <w:sz w:val="20"/>
          <w:szCs w:val="20"/>
        </w:rPr>
        <w:t>D</w:t>
      </w:r>
      <w:r w:rsidR="00351ED6">
        <w:rPr>
          <w:rFonts w:ascii="Arial" w:hAnsi="Arial" w:cs="Arial"/>
          <w:b/>
          <w:sz w:val="20"/>
          <w:szCs w:val="20"/>
        </w:rPr>
        <w:t>11 v4</w:t>
      </w:r>
      <w:r w:rsidR="00B27245" w:rsidRPr="00B27245">
        <w:rPr>
          <w:rFonts w:ascii="Arial" w:hAnsi="Arial" w:cs="Arial"/>
          <w:b/>
          <w:sz w:val="20"/>
          <w:szCs w:val="20"/>
        </w:rPr>
        <w:t>.01</w:t>
      </w:r>
    </w:p>
    <w:p w:rsidR="00D2644B" w:rsidRPr="00A67307" w:rsidRDefault="008565EC" w:rsidP="00D2644B">
      <w:pPr>
        <w:numPr>
          <w:ilvl w:val="0"/>
          <w:numId w:val="11"/>
        </w:numPr>
        <w:rPr>
          <w:rFonts w:ascii="Arial" w:hAnsi="Arial" w:cs="Arial"/>
          <w:sz w:val="20"/>
          <w:szCs w:val="20"/>
        </w:rPr>
      </w:pPr>
      <w:r>
        <w:rPr>
          <w:rFonts w:ascii="Arial" w:hAnsi="Arial" w:cs="Arial"/>
          <w:sz w:val="20"/>
          <w:szCs w:val="20"/>
        </w:rPr>
        <w:t>T</w:t>
      </w:r>
      <w:r w:rsidR="0033036F">
        <w:rPr>
          <w:rFonts w:ascii="Arial" w:hAnsi="Arial" w:cs="Arial"/>
          <w:sz w:val="20"/>
          <w:szCs w:val="20"/>
        </w:rPr>
        <w:t>he</w:t>
      </w:r>
      <w:r w:rsidR="00D2644B" w:rsidRPr="00A67307">
        <w:rPr>
          <w:rFonts w:ascii="Arial" w:hAnsi="Arial" w:cs="Arial"/>
          <w:sz w:val="20"/>
          <w:szCs w:val="20"/>
        </w:rPr>
        <w:t xml:space="preserve"> </w:t>
      </w:r>
      <w:r w:rsidR="008860E6">
        <w:rPr>
          <w:rFonts w:ascii="Arial" w:hAnsi="Arial" w:cs="Arial"/>
          <w:sz w:val="20"/>
          <w:szCs w:val="20"/>
        </w:rPr>
        <w:t>gas</w:t>
      </w:r>
      <w:r w:rsidR="00D2644B" w:rsidRPr="00A67307">
        <w:rPr>
          <w:rFonts w:ascii="Arial" w:hAnsi="Arial" w:cs="Arial"/>
          <w:sz w:val="20"/>
          <w:szCs w:val="20"/>
        </w:rPr>
        <w:t xml:space="preserve"> savings were downloaded from DEER, however they differ from the measures by:</w:t>
      </w:r>
    </w:p>
    <w:p w:rsidR="003914D2" w:rsidRDefault="003914D2" w:rsidP="003914D2">
      <w:pPr>
        <w:numPr>
          <w:ilvl w:val="2"/>
          <w:numId w:val="11"/>
        </w:numPr>
        <w:rPr>
          <w:rFonts w:ascii="Arial" w:hAnsi="Arial" w:cs="Arial"/>
          <w:sz w:val="20"/>
          <w:szCs w:val="20"/>
        </w:rPr>
      </w:pPr>
      <w:r w:rsidRPr="00A67307">
        <w:rPr>
          <w:rFonts w:ascii="Arial" w:hAnsi="Arial" w:cs="Arial"/>
          <w:sz w:val="20"/>
          <w:szCs w:val="20"/>
        </w:rPr>
        <w:t xml:space="preserve">DEER </w:t>
      </w:r>
      <w:r>
        <w:rPr>
          <w:rFonts w:ascii="Arial" w:hAnsi="Arial" w:cs="Arial"/>
          <w:sz w:val="20"/>
          <w:szCs w:val="20"/>
        </w:rPr>
        <w:t>savings</w:t>
      </w:r>
      <w:r w:rsidRPr="00A67307">
        <w:rPr>
          <w:rFonts w:ascii="Arial" w:hAnsi="Arial" w:cs="Arial"/>
          <w:sz w:val="20"/>
          <w:szCs w:val="20"/>
        </w:rPr>
        <w:t xml:space="preserve"> </w:t>
      </w:r>
      <w:r w:rsidR="007F6E8F">
        <w:rPr>
          <w:rFonts w:ascii="Arial" w:hAnsi="Arial" w:cs="Arial"/>
          <w:sz w:val="20"/>
          <w:szCs w:val="20"/>
        </w:rPr>
        <w:t>are</w:t>
      </w:r>
      <w:r>
        <w:rPr>
          <w:rFonts w:ascii="Arial" w:hAnsi="Arial" w:cs="Arial"/>
          <w:sz w:val="20"/>
          <w:szCs w:val="20"/>
        </w:rPr>
        <w:t xml:space="preserve"> </w:t>
      </w:r>
      <w:r w:rsidRPr="00A67307">
        <w:rPr>
          <w:rFonts w:ascii="Arial" w:hAnsi="Arial" w:cs="Arial"/>
          <w:sz w:val="20"/>
          <w:szCs w:val="20"/>
        </w:rPr>
        <w:t xml:space="preserve">provided as </w:t>
      </w:r>
      <w:r w:rsidR="007F6E8F">
        <w:rPr>
          <w:rFonts w:ascii="Arial" w:hAnsi="Arial" w:cs="Arial"/>
          <w:sz w:val="20"/>
          <w:szCs w:val="20"/>
        </w:rPr>
        <w:t>“</w:t>
      </w:r>
      <w:r w:rsidRPr="00A67307">
        <w:rPr>
          <w:rFonts w:ascii="Arial" w:hAnsi="Arial" w:cs="Arial"/>
          <w:sz w:val="20"/>
          <w:szCs w:val="20"/>
        </w:rPr>
        <w:t>per kW of lighting under sensor control</w:t>
      </w:r>
      <w:r w:rsidR="007F6E8F">
        <w:rPr>
          <w:rFonts w:ascii="Arial" w:hAnsi="Arial" w:cs="Arial"/>
          <w:sz w:val="20"/>
          <w:szCs w:val="20"/>
        </w:rPr>
        <w:t>”</w:t>
      </w:r>
      <w:r>
        <w:rPr>
          <w:rFonts w:ascii="Arial" w:hAnsi="Arial" w:cs="Arial"/>
          <w:sz w:val="20"/>
          <w:szCs w:val="20"/>
        </w:rPr>
        <w:t>. DEER savings was multiplied by 0.075kW to determine the savings on a per fixture basis. This savings was reduced 20% to account for the wattage reduction from tuning. These calculations are described in detail in Section 2.</w:t>
      </w:r>
    </w:p>
    <w:p w:rsidR="008565EC" w:rsidRDefault="008565EC" w:rsidP="00A178FD">
      <w:pPr>
        <w:ind w:left="1080"/>
        <w:rPr>
          <w:rFonts w:ascii="Arial" w:hAnsi="Arial" w:cs="Arial"/>
          <w:sz w:val="20"/>
          <w:szCs w:val="20"/>
        </w:rPr>
      </w:pPr>
    </w:p>
    <w:p w:rsidR="00A432F9" w:rsidRPr="00A67307" w:rsidRDefault="00A432F9" w:rsidP="001C400E">
      <w:pPr>
        <w:rPr>
          <w:rFonts w:ascii="Arial" w:hAnsi="Arial" w:cs="Arial"/>
          <w:sz w:val="20"/>
          <w:szCs w:val="20"/>
        </w:rPr>
      </w:pPr>
    </w:p>
    <w:p w:rsidR="008565EC" w:rsidRPr="00A67307" w:rsidRDefault="008565EC" w:rsidP="00A178FD">
      <w:pPr>
        <w:ind w:left="1080"/>
        <w:rPr>
          <w:rFonts w:ascii="Arial" w:hAnsi="Arial" w:cs="Arial"/>
          <w:sz w:val="20"/>
          <w:szCs w:val="20"/>
        </w:rPr>
      </w:pPr>
    </w:p>
    <w:p w:rsidR="007931BC" w:rsidRDefault="007931BC" w:rsidP="002F06D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939"/>
        <w:gridCol w:w="1077"/>
        <w:gridCol w:w="1217"/>
        <w:gridCol w:w="1224"/>
        <w:gridCol w:w="1303"/>
        <w:gridCol w:w="1181"/>
        <w:gridCol w:w="1548"/>
      </w:tblGrid>
      <w:tr w:rsidR="007931BC" w:rsidRPr="00783DAC" w:rsidTr="007230D9">
        <w:tc>
          <w:tcPr>
            <w:tcW w:w="1087" w:type="dxa"/>
            <w:shd w:val="clear" w:color="auto" w:fill="auto"/>
          </w:tcPr>
          <w:p w:rsidR="007931BC" w:rsidRPr="00783DAC" w:rsidRDefault="007931BC" w:rsidP="002F06D2">
            <w:pPr>
              <w:keepNext/>
              <w:keepLines/>
              <w:rPr>
                <w:rFonts w:ascii="Arial" w:hAnsi="Arial" w:cs="Arial"/>
                <w:b/>
                <w:sz w:val="20"/>
                <w:szCs w:val="20"/>
              </w:rPr>
            </w:pPr>
            <w:r w:rsidRPr="00783DAC">
              <w:rPr>
                <w:rFonts w:ascii="Arial" w:hAnsi="Arial" w:cs="Arial"/>
                <w:b/>
                <w:sz w:val="20"/>
                <w:szCs w:val="20"/>
              </w:rPr>
              <w:t>Building type</w:t>
            </w:r>
            <w:r w:rsidR="009B4DB1">
              <w:rPr>
                <w:rFonts w:ascii="Arial" w:hAnsi="Arial" w:cs="Arial"/>
                <w:b/>
                <w:sz w:val="20"/>
                <w:szCs w:val="20"/>
              </w:rPr>
              <w:t xml:space="preserve"> </w:t>
            </w:r>
          </w:p>
        </w:tc>
        <w:tc>
          <w:tcPr>
            <w:tcW w:w="939" w:type="dxa"/>
            <w:shd w:val="clear" w:color="auto" w:fill="auto"/>
          </w:tcPr>
          <w:p w:rsidR="007931BC" w:rsidRPr="00783DAC" w:rsidRDefault="009003FE" w:rsidP="002F06D2">
            <w:pPr>
              <w:keepNext/>
              <w:keepLines/>
              <w:rPr>
                <w:rFonts w:ascii="Arial" w:hAnsi="Arial" w:cs="Arial"/>
                <w:b/>
                <w:sz w:val="20"/>
                <w:szCs w:val="20"/>
              </w:rPr>
            </w:pPr>
            <w:proofErr w:type="spellStart"/>
            <w:r w:rsidRPr="00783DAC">
              <w:rPr>
                <w:rFonts w:ascii="Arial" w:hAnsi="Arial" w:cs="Arial"/>
                <w:b/>
                <w:sz w:val="20"/>
                <w:szCs w:val="20"/>
              </w:rPr>
              <w:t>Bldg</w:t>
            </w:r>
            <w:proofErr w:type="spellEnd"/>
            <w:r w:rsidRPr="00783DAC">
              <w:rPr>
                <w:rFonts w:ascii="Arial" w:hAnsi="Arial" w:cs="Arial"/>
                <w:b/>
                <w:sz w:val="20"/>
                <w:szCs w:val="20"/>
              </w:rPr>
              <w:t xml:space="preserve"> Vintage</w:t>
            </w:r>
            <w:r w:rsidR="009B4DB1">
              <w:rPr>
                <w:rFonts w:ascii="Arial" w:hAnsi="Arial" w:cs="Arial"/>
                <w:b/>
                <w:sz w:val="20"/>
                <w:szCs w:val="20"/>
              </w:rPr>
              <w:t xml:space="preserve"> </w:t>
            </w:r>
          </w:p>
        </w:tc>
        <w:tc>
          <w:tcPr>
            <w:tcW w:w="1077" w:type="dxa"/>
            <w:shd w:val="clear" w:color="auto" w:fill="auto"/>
          </w:tcPr>
          <w:p w:rsidR="007931BC" w:rsidRPr="00783DAC" w:rsidRDefault="007931BC" w:rsidP="002F06D2">
            <w:pPr>
              <w:keepNext/>
              <w:keepLines/>
              <w:rPr>
                <w:rFonts w:ascii="Arial" w:hAnsi="Arial" w:cs="Arial"/>
                <w:b/>
                <w:sz w:val="20"/>
                <w:szCs w:val="20"/>
              </w:rPr>
            </w:pPr>
            <w:r w:rsidRPr="00783DAC">
              <w:rPr>
                <w:rFonts w:ascii="Arial" w:hAnsi="Arial" w:cs="Arial"/>
                <w:b/>
                <w:sz w:val="20"/>
                <w:szCs w:val="20"/>
              </w:rPr>
              <w:t>Climate Zone</w:t>
            </w:r>
            <w:r w:rsidR="009B4DB1">
              <w:rPr>
                <w:rFonts w:ascii="Arial" w:hAnsi="Arial" w:cs="Arial"/>
                <w:b/>
                <w:sz w:val="20"/>
                <w:szCs w:val="20"/>
              </w:rPr>
              <w:t xml:space="preserve"> </w:t>
            </w:r>
          </w:p>
        </w:tc>
        <w:tc>
          <w:tcPr>
            <w:tcW w:w="1217" w:type="dxa"/>
            <w:shd w:val="clear" w:color="auto" w:fill="auto"/>
          </w:tcPr>
          <w:p w:rsidR="007931BC" w:rsidRPr="00783DAC" w:rsidRDefault="007931BC" w:rsidP="002F06D2">
            <w:pPr>
              <w:keepNext/>
              <w:keepLines/>
              <w:rPr>
                <w:rFonts w:ascii="Arial" w:hAnsi="Arial" w:cs="Arial"/>
                <w:b/>
                <w:sz w:val="20"/>
                <w:szCs w:val="20"/>
              </w:rPr>
            </w:pPr>
            <w:r w:rsidRPr="00783DAC">
              <w:rPr>
                <w:rFonts w:ascii="Arial" w:hAnsi="Arial" w:cs="Arial"/>
                <w:b/>
                <w:sz w:val="20"/>
                <w:szCs w:val="20"/>
              </w:rPr>
              <w:t>Interactive Only?</w:t>
            </w:r>
          </w:p>
          <w:p w:rsidR="007931BC" w:rsidRPr="00783DAC" w:rsidRDefault="007931BC" w:rsidP="002F06D2">
            <w:pPr>
              <w:keepNext/>
              <w:keepLines/>
              <w:rPr>
                <w:rFonts w:ascii="Arial" w:hAnsi="Arial" w:cs="Arial"/>
                <w:b/>
                <w:sz w:val="20"/>
                <w:szCs w:val="20"/>
              </w:rPr>
            </w:pPr>
            <w:r w:rsidRPr="00783DAC">
              <w:rPr>
                <w:rFonts w:ascii="Arial" w:hAnsi="Arial" w:cs="Arial"/>
                <w:b/>
                <w:sz w:val="20"/>
                <w:szCs w:val="20"/>
              </w:rPr>
              <w:t>Yes / No</w:t>
            </w:r>
          </w:p>
        </w:tc>
        <w:tc>
          <w:tcPr>
            <w:tcW w:w="1224" w:type="dxa"/>
            <w:shd w:val="clear" w:color="auto" w:fill="auto"/>
          </w:tcPr>
          <w:p w:rsidR="007931BC" w:rsidRPr="00783DAC" w:rsidRDefault="007931BC" w:rsidP="002F06D2">
            <w:pPr>
              <w:keepNext/>
              <w:keepLines/>
              <w:rPr>
                <w:rFonts w:ascii="Arial" w:hAnsi="Arial" w:cs="Arial"/>
                <w:b/>
                <w:sz w:val="20"/>
                <w:szCs w:val="20"/>
              </w:rPr>
            </w:pPr>
            <w:r w:rsidRPr="00783DAC">
              <w:rPr>
                <w:rFonts w:ascii="Arial" w:hAnsi="Arial" w:cs="Arial"/>
                <w:b/>
                <w:sz w:val="20"/>
                <w:szCs w:val="20"/>
              </w:rPr>
              <w:t xml:space="preserve">Gas Savings </w:t>
            </w:r>
            <w:proofErr w:type="spellStart"/>
            <w:r w:rsidRPr="00783DAC">
              <w:rPr>
                <w:rFonts w:ascii="Arial" w:hAnsi="Arial" w:cs="Arial"/>
                <w:b/>
                <w:sz w:val="20"/>
                <w:szCs w:val="20"/>
              </w:rPr>
              <w:t>Therms</w:t>
            </w:r>
            <w:proofErr w:type="spellEnd"/>
          </w:p>
        </w:tc>
        <w:tc>
          <w:tcPr>
            <w:tcW w:w="1303" w:type="dxa"/>
            <w:shd w:val="clear" w:color="auto" w:fill="auto"/>
          </w:tcPr>
          <w:p w:rsidR="007931BC" w:rsidRPr="00783DAC" w:rsidRDefault="007931BC" w:rsidP="002F06D2">
            <w:pPr>
              <w:keepNext/>
              <w:keepLines/>
              <w:rPr>
                <w:rFonts w:ascii="Arial" w:hAnsi="Arial" w:cs="Arial"/>
                <w:b/>
                <w:sz w:val="20"/>
                <w:szCs w:val="20"/>
              </w:rPr>
            </w:pPr>
            <w:r w:rsidRPr="00783DAC">
              <w:rPr>
                <w:rFonts w:ascii="Arial" w:hAnsi="Arial" w:cs="Arial"/>
                <w:b/>
                <w:sz w:val="20"/>
                <w:szCs w:val="20"/>
              </w:rPr>
              <w:t>Deer units</w:t>
            </w:r>
          </w:p>
        </w:tc>
        <w:tc>
          <w:tcPr>
            <w:tcW w:w="1181" w:type="dxa"/>
            <w:shd w:val="clear" w:color="auto" w:fill="auto"/>
          </w:tcPr>
          <w:p w:rsidR="007931BC" w:rsidRPr="00783DAC" w:rsidRDefault="007931BC" w:rsidP="002F06D2">
            <w:pPr>
              <w:keepNext/>
              <w:keepLines/>
              <w:rPr>
                <w:rFonts w:ascii="Arial" w:hAnsi="Arial" w:cs="Arial"/>
                <w:b/>
                <w:sz w:val="20"/>
                <w:szCs w:val="20"/>
              </w:rPr>
            </w:pPr>
            <w:r w:rsidRPr="00783DAC">
              <w:rPr>
                <w:rFonts w:ascii="Arial" w:hAnsi="Arial" w:cs="Arial"/>
                <w:b/>
                <w:sz w:val="20"/>
                <w:szCs w:val="20"/>
              </w:rPr>
              <w:t>DEER Version</w:t>
            </w:r>
          </w:p>
        </w:tc>
        <w:tc>
          <w:tcPr>
            <w:tcW w:w="1548" w:type="dxa"/>
            <w:shd w:val="clear" w:color="auto" w:fill="auto"/>
          </w:tcPr>
          <w:p w:rsidR="007931BC" w:rsidRPr="00783DAC" w:rsidRDefault="007931BC" w:rsidP="002F06D2">
            <w:pPr>
              <w:keepNext/>
              <w:keepLines/>
              <w:rPr>
                <w:rFonts w:ascii="Arial" w:hAnsi="Arial" w:cs="Arial"/>
                <w:b/>
                <w:sz w:val="20"/>
                <w:szCs w:val="20"/>
              </w:rPr>
            </w:pPr>
            <w:r w:rsidRPr="00783DAC">
              <w:rPr>
                <w:rFonts w:ascii="Arial" w:hAnsi="Arial" w:cs="Arial"/>
                <w:b/>
                <w:sz w:val="20"/>
                <w:szCs w:val="20"/>
              </w:rPr>
              <w:t>Impact IDs</w:t>
            </w:r>
          </w:p>
        </w:tc>
      </w:tr>
      <w:tr w:rsidR="007230D9" w:rsidRPr="00783DAC" w:rsidTr="007230D9">
        <w:tc>
          <w:tcPr>
            <w:tcW w:w="1087" w:type="dxa"/>
            <w:shd w:val="clear" w:color="auto" w:fill="auto"/>
          </w:tcPr>
          <w:p w:rsidR="007230D9" w:rsidRPr="00025BBC" w:rsidRDefault="007230D9" w:rsidP="002F06D2">
            <w:pPr>
              <w:keepNext/>
              <w:keepLines/>
              <w:rPr>
                <w:sz w:val="20"/>
              </w:rPr>
            </w:pPr>
            <w:proofErr w:type="spellStart"/>
            <w:r w:rsidRPr="00025BBC">
              <w:rPr>
                <w:sz w:val="20"/>
              </w:rPr>
              <w:t>Wtd</w:t>
            </w:r>
            <w:proofErr w:type="spellEnd"/>
            <w:r w:rsidRPr="00025BBC">
              <w:rPr>
                <w:sz w:val="20"/>
              </w:rPr>
              <w:t>-Com</w:t>
            </w:r>
          </w:p>
        </w:tc>
        <w:tc>
          <w:tcPr>
            <w:tcW w:w="939" w:type="dxa"/>
            <w:shd w:val="clear" w:color="auto" w:fill="auto"/>
          </w:tcPr>
          <w:p w:rsidR="007230D9" w:rsidRPr="00025BBC" w:rsidRDefault="007230D9" w:rsidP="002F06D2">
            <w:pPr>
              <w:keepNext/>
              <w:keepLines/>
              <w:rPr>
                <w:sz w:val="20"/>
              </w:rPr>
            </w:pPr>
            <w:r>
              <w:rPr>
                <w:sz w:val="20"/>
              </w:rPr>
              <w:t>Existing</w:t>
            </w:r>
          </w:p>
        </w:tc>
        <w:tc>
          <w:tcPr>
            <w:tcW w:w="1077" w:type="dxa"/>
            <w:shd w:val="clear" w:color="auto" w:fill="auto"/>
          </w:tcPr>
          <w:p w:rsidR="007230D9" w:rsidRPr="00025BBC" w:rsidRDefault="00475469" w:rsidP="002F06D2">
            <w:pPr>
              <w:keepNext/>
              <w:keepLines/>
              <w:rPr>
                <w:sz w:val="20"/>
              </w:rPr>
            </w:pPr>
            <w:r>
              <w:rPr>
                <w:sz w:val="20"/>
              </w:rPr>
              <w:t>IOU</w:t>
            </w:r>
          </w:p>
        </w:tc>
        <w:tc>
          <w:tcPr>
            <w:tcW w:w="1217" w:type="dxa"/>
            <w:shd w:val="clear" w:color="auto" w:fill="auto"/>
          </w:tcPr>
          <w:p w:rsidR="007230D9" w:rsidRPr="00025BBC" w:rsidRDefault="007230D9" w:rsidP="002F06D2">
            <w:pPr>
              <w:keepNext/>
              <w:keepLines/>
              <w:rPr>
                <w:sz w:val="20"/>
              </w:rPr>
            </w:pPr>
            <w:r>
              <w:rPr>
                <w:sz w:val="20"/>
              </w:rPr>
              <w:t>Yes</w:t>
            </w:r>
          </w:p>
        </w:tc>
        <w:tc>
          <w:tcPr>
            <w:tcW w:w="1224" w:type="dxa"/>
            <w:shd w:val="clear" w:color="auto" w:fill="auto"/>
          </w:tcPr>
          <w:p w:rsidR="007230D9" w:rsidRPr="00025BBC" w:rsidRDefault="007230D9" w:rsidP="002F06D2">
            <w:pPr>
              <w:keepNext/>
              <w:keepLines/>
              <w:rPr>
                <w:sz w:val="20"/>
              </w:rPr>
            </w:pPr>
            <w:r>
              <w:rPr>
                <w:sz w:val="20"/>
              </w:rPr>
              <w:t>Varies</w:t>
            </w:r>
          </w:p>
        </w:tc>
        <w:tc>
          <w:tcPr>
            <w:tcW w:w="1303" w:type="dxa"/>
            <w:shd w:val="clear" w:color="auto" w:fill="auto"/>
          </w:tcPr>
          <w:p w:rsidR="007230D9" w:rsidRPr="00025BBC" w:rsidRDefault="007230D9" w:rsidP="002F06D2">
            <w:pPr>
              <w:keepNext/>
              <w:keepLines/>
              <w:rPr>
                <w:sz w:val="20"/>
              </w:rPr>
            </w:pPr>
            <w:proofErr w:type="spellStart"/>
            <w:r>
              <w:rPr>
                <w:sz w:val="20"/>
              </w:rPr>
              <w:t>Therms</w:t>
            </w:r>
            <w:proofErr w:type="spellEnd"/>
            <w:r>
              <w:rPr>
                <w:sz w:val="20"/>
              </w:rPr>
              <w:t>/kW</w:t>
            </w:r>
            <w:r w:rsidR="003914D2">
              <w:rPr>
                <w:sz w:val="20"/>
              </w:rPr>
              <w:t xml:space="preserve"> controlled</w:t>
            </w:r>
          </w:p>
        </w:tc>
        <w:tc>
          <w:tcPr>
            <w:tcW w:w="1181" w:type="dxa"/>
            <w:shd w:val="clear" w:color="auto" w:fill="auto"/>
          </w:tcPr>
          <w:p w:rsidR="007230D9" w:rsidRPr="0094667E" w:rsidRDefault="00B27245" w:rsidP="00351ED6">
            <w:pPr>
              <w:keepNext/>
              <w:keepLines/>
              <w:rPr>
                <w:sz w:val="20"/>
                <w:szCs w:val="20"/>
              </w:rPr>
            </w:pPr>
            <w:r w:rsidRPr="00B27245">
              <w:rPr>
                <w:sz w:val="20"/>
                <w:szCs w:val="20"/>
              </w:rPr>
              <w:t>D</w:t>
            </w:r>
            <w:r w:rsidR="00351ED6">
              <w:rPr>
                <w:sz w:val="20"/>
                <w:szCs w:val="20"/>
              </w:rPr>
              <w:t>11 v4</w:t>
            </w:r>
            <w:r w:rsidRPr="00B27245">
              <w:rPr>
                <w:sz w:val="20"/>
                <w:szCs w:val="20"/>
              </w:rPr>
              <w:t>.01</w:t>
            </w:r>
          </w:p>
        </w:tc>
        <w:tc>
          <w:tcPr>
            <w:tcW w:w="1548" w:type="dxa"/>
            <w:shd w:val="clear" w:color="auto" w:fill="auto"/>
          </w:tcPr>
          <w:p w:rsidR="007230D9" w:rsidRPr="002B1C71" w:rsidRDefault="007230D9" w:rsidP="002F06D2">
            <w:pPr>
              <w:keepNext/>
              <w:keepLines/>
              <w:rPr>
                <w:rFonts w:ascii="Arial" w:hAnsi="Arial" w:cs="Arial"/>
                <w:sz w:val="20"/>
                <w:szCs w:val="20"/>
              </w:rPr>
            </w:pPr>
            <w:r w:rsidRPr="002B1C71">
              <w:rPr>
                <w:rFonts w:ascii="Arial" w:hAnsi="Arial" w:cs="Arial"/>
                <w:sz w:val="20"/>
                <w:szCs w:val="20"/>
              </w:rPr>
              <w:t>N/A</w:t>
            </w:r>
          </w:p>
        </w:tc>
      </w:tr>
    </w:tbl>
    <w:p w:rsidR="008E5E12" w:rsidRDefault="008E5E12" w:rsidP="008E5E12"/>
    <w:p w:rsidR="00765936" w:rsidRPr="00BA7D18" w:rsidRDefault="00175673" w:rsidP="00765936">
      <w:pPr>
        <w:rPr>
          <w:rFonts w:ascii="Arial" w:hAnsi="Arial" w:cs="Arial"/>
          <w:sz w:val="20"/>
          <w:szCs w:val="20"/>
        </w:rPr>
      </w:pPr>
      <w:r w:rsidRPr="008F12D4">
        <w:rPr>
          <w:b/>
        </w:rPr>
        <w:t>Hours of Operation</w:t>
      </w:r>
      <w:r w:rsidRPr="00D76849">
        <w:t xml:space="preserve">: </w:t>
      </w:r>
    </w:p>
    <w:p w:rsidR="00765936" w:rsidRDefault="00765936" w:rsidP="00765936">
      <w:pPr>
        <w:rPr>
          <w:rFonts w:ascii="Arial" w:hAnsi="Arial" w:cs="Arial"/>
          <w:sz w:val="20"/>
          <w:szCs w:val="20"/>
        </w:rPr>
      </w:pPr>
    </w:p>
    <w:p w:rsidR="00765936" w:rsidRPr="00BA7D18" w:rsidRDefault="00765936" w:rsidP="00765936">
      <w:pPr>
        <w:rPr>
          <w:rFonts w:ascii="Arial" w:hAnsi="Arial" w:cs="Arial"/>
          <w:b/>
          <w:sz w:val="20"/>
          <w:szCs w:val="20"/>
        </w:rPr>
      </w:pPr>
      <w:r w:rsidRPr="00765936">
        <w:rPr>
          <w:rFonts w:ascii="Arial" w:hAnsi="Arial" w:cs="Arial"/>
          <w:b/>
          <w:sz w:val="20"/>
          <w:szCs w:val="20"/>
        </w:rPr>
        <w:t>Hours of Operation:</w:t>
      </w:r>
      <w:r w:rsidR="009B4DB1">
        <w:rPr>
          <w:rFonts w:ascii="Arial" w:hAnsi="Arial" w:cs="Arial"/>
          <w:b/>
          <w:sz w:val="20"/>
          <w:szCs w:val="20"/>
        </w:rPr>
        <w:t xml:space="preserve"> </w:t>
      </w:r>
      <w:r w:rsidRPr="00765936">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9B4DB1">
        <w:rPr>
          <w:rFonts w:ascii="Arial" w:hAnsi="Arial" w:cs="Arial"/>
          <w:b/>
          <w:sz w:val="20"/>
          <w:szCs w:val="20"/>
        </w:rPr>
        <w:t xml:space="preserve">    </w:t>
      </w:r>
    </w:p>
    <w:p w:rsidR="00765936" w:rsidRPr="00D2644B" w:rsidRDefault="00765936" w:rsidP="00765936">
      <w:pPr>
        <w:numPr>
          <w:ilvl w:val="0"/>
          <w:numId w:val="11"/>
        </w:numPr>
        <w:rPr>
          <w:rFonts w:ascii="Arial" w:hAnsi="Arial" w:cs="Arial"/>
          <w:sz w:val="20"/>
          <w:szCs w:val="20"/>
        </w:rPr>
      </w:pPr>
      <w:r w:rsidRPr="00D2644B">
        <w:rPr>
          <w:rFonts w:ascii="Arial" w:hAnsi="Arial" w:cs="Arial"/>
          <w:sz w:val="20"/>
          <w:szCs w:val="20"/>
        </w:rPr>
        <w:t xml:space="preserve">The hours of operation were </w:t>
      </w:r>
      <w:r w:rsidR="009B009B">
        <w:rPr>
          <w:rFonts w:ascii="Arial" w:hAnsi="Arial" w:cs="Arial"/>
          <w:sz w:val="20"/>
          <w:szCs w:val="20"/>
        </w:rPr>
        <w:t xml:space="preserve">taken from </w:t>
      </w:r>
      <w:r w:rsidR="003914D2">
        <w:rPr>
          <w:rFonts w:ascii="Arial" w:hAnsi="Arial" w:cs="Arial"/>
          <w:sz w:val="20"/>
          <w:szCs w:val="20"/>
        </w:rPr>
        <w:t xml:space="preserve">DEER 2011 </w:t>
      </w:r>
      <w:r w:rsidR="004E21C4">
        <w:rPr>
          <w:rFonts w:ascii="Arial" w:hAnsi="Arial" w:cs="Arial"/>
          <w:sz w:val="20"/>
          <w:szCs w:val="20"/>
        </w:rPr>
        <w:t>Energy Division’s Non-CFL Energy Impacts.</w:t>
      </w:r>
      <w:r w:rsidRPr="00D2644B">
        <w:rPr>
          <w:rFonts w:ascii="Arial" w:hAnsi="Arial" w:cs="Arial"/>
          <w:sz w:val="20"/>
          <w:szCs w:val="20"/>
        </w:rPr>
        <w:t xml:space="preserve"> </w:t>
      </w:r>
      <w:r w:rsidR="004E21C4">
        <w:rPr>
          <w:rFonts w:ascii="Arial" w:hAnsi="Arial" w:cs="Arial"/>
          <w:sz w:val="20"/>
          <w:szCs w:val="20"/>
        </w:rPr>
        <w:t>T</w:t>
      </w:r>
      <w:r w:rsidRPr="00D2644B">
        <w:rPr>
          <w:rFonts w:ascii="Arial" w:hAnsi="Arial" w:cs="Arial"/>
          <w:sz w:val="20"/>
          <w:szCs w:val="20"/>
        </w:rPr>
        <w:t xml:space="preserve">hey </w:t>
      </w:r>
      <w:r w:rsidR="004E21C4">
        <w:rPr>
          <w:rFonts w:ascii="Arial" w:hAnsi="Arial" w:cs="Arial"/>
          <w:sz w:val="20"/>
          <w:szCs w:val="20"/>
        </w:rPr>
        <w:t>apply to all</w:t>
      </w:r>
      <w:r w:rsidR="00950A37">
        <w:rPr>
          <w:rFonts w:ascii="Arial" w:hAnsi="Arial" w:cs="Arial"/>
          <w:sz w:val="20"/>
          <w:szCs w:val="20"/>
        </w:rPr>
        <w:t xml:space="preserve"> </w:t>
      </w:r>
      <w:r w:rsidRPr="00D2644B">
        <w:rPr>
          <w:rFonts w:ascii="Arial" w:hAnsi="Arial" w:cs="Arial"/>
          <w:sz w:val="20"/>
          <w:szCs w:val="20"/>
        </w:rPr>
        <w:t>climate zones</w:t>
      </w:r>
      <w:r w:rsidR="004E21C4">
        <w:rPr>
          <w:rFonts w:ascii="Arial" w:hAnsi="Arial" w:cs="Arial"/>
          <w:sz w:val="20"/>
          <w:szCs w:val="20"/>
        </w:rPr>
        <w:t xml:space="preserve"> and</w:t>
      </w:r>
      <w:r w:rsidRPr="00D2644B">
        <w:rPr>
          <w:rFonts w:ascii="Arial" w:hAnsi="Arial" w:cs="Arial"/>
          <w:sz w:val="20"/>
          <w:szCs w:val="20"/>
        </w:rPr>
        <w:t xml:space="preserve"> </w:t>
      </w:r>
      <w:r w:rsidR="003914D2" w:rsidRPr="00D2644B">
        <w:rPr>
          <w:rFonts w:ascii="Arial" w:hAnsi="Arial" w:cs="Arial"/>
          <w:sz w:val="20"/>
          <w:szCs w:val="20"/>
        </w:rPr>
        <w:t>building vintages</w:t>
      </w:r>
      <w:r w:rsidR="004E21C4">
        <w:rPr>
          <w:rFonts w:ascii="Arial" w:hAnsi="Arial" w:cs="Arial"/>
          <w:sz w:val="20"/>
          <w:szCs w:val="20"/>
        </w:rPr>
        <w:t>, and are weighted for all non-residential building types</w:t>
      </w:r>
      <w:r w:rsidRPr="00D2644B">
        <w:rPr>
          <w:rFonts w:ascii="Arial" w:hAnsi="Arial" w:cs="Arial"/>
          <w:sz w:val="20"/>
          <w:szCs w:val="20"/>
        </w:rPr>
        <w:t>.</w:t>
      </w:r>
    </w:p>
    <w:p w:rsidR="00175673" w:rsidRDefault="00175673" w:rsidP="009C5CA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3"/>
        <w:gridCol w:w="1407"/>
        <w:gridCol w:w="1437"/>
        <w:gridCol w:w="2554"/>
        <w:gridCol w:w="1521"/>
        <w:gridCol w:w="1204"/>
      </w:tblGrid>
      <w:tr w:rsidR="007931BC" w:rsidRPr="00783DAC" w:rsidTr="00783DAC">
        <w:tc>
          <w:tcPr>
            <w:tcW w:w="0" w:type="auto"/>
            <w:shd w:val="clear" w:color="auto" w:fill="auto"/>
          </w:tcPr>
          <w:p w:rsidR="007931BC" w:rsidRPr="00783DAC" w:rsidRDefault="007931BC" w:rsidP="004B4489">
            <w:pPr>
              <w:rPr>
                <w:rFonts w:ascii="Arial" w:hAnsi="Arial" w:cs="Arial"/>
                <w:b/>
                <w:sz w:val="20"/>
                <w:szCs w:val="20"/>
              </w:rPr>
            </w:pPr>
            <w:r w:rsidRPr="00783DAC">
              <w:rPr>
                <w:rFonts w:ascii="Arial" w:hAnsi="Arial" w:cs="Arial"/>
                <w:b/>
                <w:sz w:val="20"/>
                <w:szCs w:val="20"/>
              </w:rPr>
              <w:t>Building type</w:t>
            </w:r>
            <w:r w:rsidR="009B4DB1">
              <w:rPr>
                <w:rFonts w:ascii="Arial" w:hAnsi="Arial" w:cs="Arial"/>
                <w:b/>
                <w:sz w:val="20"/>
                <w:szCs w:val="20"/>
              </w:rPr>
              <w:t xml:space="preserve"> </w:t>
            </w:r>
          </w:p>
        </w:tc>
        <w:tc>
          <w:tcPr>
            <w:tcW w:w="0" w:type="auto"/>
            <w:shd w:val="clear" w:color="auto" w:fill="auto"/>
          </w:tcPr>
          <w:p w:rsidR="007931BC" w:rsidRPr="00783DAC" w:rsidRDefault="009003FE" w:rsidP="004B4489">
            <w:pPr>
              <w:rPr>
                <w:rFonts w:ascii="Arial" w:hAnsi="Arial" w:cs="Arial"/>
                <w:b/>
                <w:sz w:val="20"/>
                <w:szCs w:val="20"/>
              </w:rPr>
            </w:pPr>
            <w:proofErr w:type="spellStart"/>
            <w:r w:rsidRPr="00783DAC">
              <w:rPr>
                <w:rFonts w:ascii="Arial" w:hAnsi="Arial" w:cs="Arial"/>
                <w:b/>
                <w:sz w:val="20"/>
                <w:szCs w:val="20"/>
              </w:rPr>
              <w:t>Bldg</w:t>
            </w:r>
            <w:proofErr w:type="spellEnd"/>
            <w:r w:rsidRPr="00783DAC">
              <w:rPr>
                <w:rFonts w:ascii="Arial" w:hAnsi="Arial" w:cs="Arial"/>
                <w:b/>
                <w:sz w:val="20"/>
                <w:szCs w:val="20"/>
              </w:rPr>
              <w:t xml:space="preserve"> Vintage</w:t>
            </w:r>
            <w:r w:rsidR="009B4DB1">
              <w:rPr>
                <w:rFonts w:ascii="Arial" w:hAnsi="Arial" w:cs="Arial"/>
                <w:b/>
                <w:sz w:val="20"/>
                <w:szCs w:val="20"/>
              </w:rPr>
              <w:t xml:space="preserve"> </w:t>
            </w:r>
          </w:p>
        </w:tc>
        <w:tc>
          <w:tcPr>
            <w:tcW w:w="0" w:type="auto"/>
            <w:shd w:val="clear" w:color="auto" w:fill="auto"/>
          </w:tcPr>
          <w:p w:rsidR="007931BC" w:rsidRPr="00783DAC" w:rsidRDefault="007931BC" w:rsidP="004B4489">
            <w:pPr>
              <w:rPr>
                <w:rFonts w:ascii="Arial" w:hAnsi="Arial" w:cs="Arial"/>
                <w:b/>
                <w:sz w:val="20"/>
                <w:szCs w:val="20"/>
              </w:rPr>
            </w:pPr>
            <w:r w:rsidRPr="00783DAC">
              <w:rPr>
                <w:rFonts w:ascii="Arial" w:hAnsi="Arial" w:cs="Arial"/>
                <w:b/>
                <w:sz w:val="20"/>
                <w:szCs w:val="20"/>
              </w:rPr>
              <w:t>Climate Zone</w:t>
            </w:r>
            <w:r w:rsidR="009B4DB1">
              <w:rPr>
                <w:rFonts w:ascii="Arial" w:hAnsi="Arial" w:cs="Arial"/>
                <w:b/>
                <w:sz w:val="20"/>
                <w:szCs w:val="20"/>
              </w:rPr>
              <w:t xml:space="preserve"> </w:t>
            </w:r>
          </w:p>
        </w:tc>
        <w:tc>
          <w:tcPr>
            <w:tcW w:w="0" w:type="auto"/>
            <w:shd w:val="clear" w:color="auto" w:fill="auto"/>
          </w:tcPr>
          <w:p w:rsidR="007931BC" w:rsidRPr="00783DAC" w:rsidRDefault="007931BC" w:rsidP="004B4489">
            <w:pPr>
              <w:rPr>
                <w:rFonts w:ascii="Arial" w:hAnsi="Arial" w:cs="Arial"/>
                <w:b/>
                <w:sz w:val="20"/>
                <w:szCs w:val="20"/>
              </w:rPr>
            </w:pPr>
            <w:r w:rsidRPr="00783DAC">
              <w:rPr>
                <w:rFonts w:ascii="Arial" w:hAnsi="Arial" w:cs="Arial"/>
                <w:b/>
                <w:sz w:val="20"/>
                <w:szCs w:val="20"/>
              </w:rPr>
              <w:t xml:space="preserve">Hours of Operation </w:t>
            </w:r>
            <w:proofErr w:type="spellStart"/>
            <w:r w:rsidRPr="00783DAC">
              <w:rPr>
                <w:rFonts w:ascii="Arial" w:hAnsi="Arial" w:cs="Arial"/>
                <w:b/>
                <w:sz w:val="20"/>
                <w:szCs w:val="20"/>
              </w:rPr>
              <w:t>hrs</w:t>
            </w:r>
            <w:proofErr w:type="spellEnd"/>
            <w:r w:rsidRPr="00783DAC">
              <w:rPr>
                <w:rFonts w:ascii="Arial" w:hAnsi="Arial" w:cs="Arial"/>
                <w:b/>
                <w:sz w:val="20"/>
                <w:szCs w:val="20"/>
              </w:rPr>
              <w:t>/</w:t>
            </w:r>
            <w:proofErr w:type="spellStart"/>
            <w:r w:rsidRPr="00783DAC">
              <w:rPr>
                <w:rFonts w:ascii="Arial" w:hAnsi="Arial" w:cs="Arial"/>
                <w:b/>
                <w:sz w:val="20"/>
                <w:szCs w:val="20"/>
              </w:rPr>
              <w:t>yr</w:t>
            </w:r>
            <w:proofErr w:type="spellEnd"/>
          </w:p>
        </w:tc>
        <w:tc>
          <w:tcPr>
            <w:tcW w:w="0" w:type="auto"/>
            <w:shd w:val="clear" w:color="auto" w:fill="auto"/>
          </w:tcPr>
          <w:p w:rsidR="007931BC" w:rsidRPr="00783DAC" w:rsidRDefault="007931BC" w:rsidP="004B4489">
            <w:pPr>
              <w:rPr>
                <w:rFonts w:ascii="Arial" w:hAnsi="Arial" w:cs="Arial"/>
                <w:b/>
                <w:sz w:val="20"/>
                <w:szCs w:val="20"/>
              </w:rPr>
            </w:pPr>
            <w:r w:rsidRPr="00783DAC">
              <w:rPr>
                <w:rFonts w:ascii="Arial" w:hAnsi="Arial" w:cs="Arial"/>
                <w:b/>
                <w:sz w:val="20"/>
                <w:szCs w:val="20"/>
              </w:rPr>
              <w:t>DEER Version</w:t>
            </w:r>
          </w:p>
        </w:tc>
        <w:tc>
          <w:tcPr>
            <w:tcW w:w="0" w:type="auto"/>
            <w:shd w:val="clear" w:color="auto" w:fill="auto"/>
          </w:tcPr>
          <w:p w:rsidR="007931BC" w:rsidRPr="00783DAC" w:rsidRDefault="007931BC" w:rsidP="004B4489">
            <w:pPr>
              <w:rPr>
                <w:rFonts w:ascii="Arial" w:hAnsi="Arial" w:cs="Arial"/>
                <w:b/>
                <w:sz w:val="20"/>
                <w:szCs w:val="20"/>
              </w:rPr>
            </w:pPr>
            <w:r w:rsidRPr="00783DAC">
              <w:rPr>
                <w:rFonts w:ascii="Arial" w:hAnsi="Arial" w:cs="Arial"/>
                <w:b/>
                <w:sz w:val="20"/>
                <w:szCs w:val="20"/>
              </w:rPr>
              <w:t>Impact IDs</w:t>
            </w:r>
          </w:p>
        </w:tc>
      </w:tr>
      <w:tr w:rsidR="007931BC" w:rsidRPr="00783DAC" w:rsidTr="00783DAC">
        <w:tc>
          <w:tcPr>
            <w:tcW w:w="0" w:type="auto"/>
            <w:shd w:val="clear" w:color="auto" w:fill="auto"/>
          </w:tcPr>
          <w:p w:rsidR="007931BC" w:rsidRPr="002B1C71" w:rsidRDefault="002B1C71" w:rsidP="004B4489">
            <w:pPr>
              <w:rPr>
                <w:rFonts w:ascii="Arial" w:hAnsi="Arial" w:cs="Arial"/>
                <w:sz w:val="20"/>
                <w:szCs w:val="20"/>
              </w:rPr>
            </w:pPr>
            <w:proofErr w:type="spellStart"/>
            <w:r w:rsidRPr="002B1C71">
              <w:rPr>
                <w:rFonts w:ascii="Arial" w:hAnsi="Arial" w:cs="Arial"/>
                <w:sz w:val="20"/>
                <w:szCs w:val="20"/>
              </w:rPr>
              <w:t>Wtd</w:t>
            </w:r>
            <w:proofErr w:type="spellEnd"/>
            <w:r w:rsidRPr="002B1C71">
              <w:rPr>
                <w:rFonts w:ascii="Arial" w:hAnsi="Arial" w:cs="Arial"/>
                <w:sz w:val="20"/>
                <w:szCs w:val="20"/>
              </w:rPr>
              <w:t>-Com</w:t>
            </w:r>
          </w:p>
        </w:tc>
        <w:tc>
          <w:tcPr>
            <w:tcW w:w="0" w:type="auto"/>
            <w:shd w:val="clear" w:color="auto" w:fill="auto"/>
          </w:tcPr>
          <w:p w:rsidR="007931BC" w:rsidRPr="002B1C71" w:rsidRDefault="002B1C71" w:rsidP="004B4489">
            <w:pPr>
              <w:rPr>
                <w:rFonts w:ascii="Arial" w:hAnsi="Arial" w:cs="Arial"/>
                <w:sz w:val="20"/>
                <w:szCs w:val="20"/>
              </w:rPr>
            </w:pPr>
            <w:r w:rsidRPr="002B1C71">
              <w:rPr>
                <w:rFonts w:ascii="Arial" w:hAnsi="Arial" w:cs="Arial"/>
                <w:sz w:val="20"/>
                <w:szCs w:val="20"/>
              </w:rPr>
              <w:t>Existing</w:t>
            </w:r>
          </w:p>
        </w:tc>
        <w:tc>
          <w:tcPr>
            <w:tcW w:w="0" w:type="auto"/>
            <w:shd w:val="clear" w:color="auto" w:fill="auto"/>
          </w:tcPr>
          <w:p w:rsidR="007931BC" w:rsidRPr="002B1C71" w:rsidRDefault="00475469" w:rsidP="004B4489">
            <w:pPr>
              <w:rPr>
                <w:rFonts w:ascii="Arial" w:hAnsi="Arial" w:cs="Arial"/>
                <w:sz w:val="20"/>
                <w:szCs w:val="20"/>
              </w:rPr>
            </w:pPr>
            <w:r>
              <w:rPr>
                <w:rFonts w:ascii="Arial" w:hAnsi="Arial" w:cs="Arial"/>
                <w:sz w:val="20"/>
                <w:szCs w:val="20"/>
              </w:rPr>
              <w:t>IOU</w:t>
            </w:r>
          </w:p>
        </w:tc>
        <w:tc>
          <w:tcPr>
            <w:tcW w:w="0" w:type="auto"/>
            <w:shd w:val="clear" w:color="auto" w:fill="auto"/>
          </w:tcPr>
          <w:p w:rsidR="007931BC" w:rsidRPr="002B1C71" w:rsidRDefault="002B1C71" w:rsidP="00987E90">
            <w:pPr>
              <w:rPr>
                <w:rFonts w:ascii="Arial" w:hAnsi="Arial" w:cs="Arial"/>
                <w:sz w:val="20"/>
                <w:szCs w:val="20"/>
              </w:rPr>
            </w:pPr>
            <w:r w:rsidRPr="002B1C71">
              <w:rPr>
                <w:rFonts w:ascii="Arial" w:hAnsi="Arial" w:cs="Arial"/>
                <w:sz w:val="20"/>
                <w:szCs w:val="20"/>
              </w:rPr>
              <w:t>3</w:t>
            </w:r>
            <w:r w:rsidR="007230D9">
              <w:rPr>
                <w:rFonts w:ascii="Arial" w:hAnsi="Arial" w:cs="Arial"/>
                <w:sz w:val="20"/>
                <w:szCs w:val="20"/>
              </w:rPr>
              <w:t>,</w:t>
            </w:r>
            <w:r w:rsidRPr="002B1C71">
              <w:rPr>
                <w:rFonts w:ascii="Arial" w:hAnsi="Arial" w:cs="Arial"/>
                <w:sz w:val="20"/>
                <w:szCs w:val="20"/>
              </w:rPr>
              <w:t>18</w:t>
            </w:r>
            <w:r w:rsidR="00987E90">
              <w:rPr>
                <w:rFonts w:ascii="Arial" w:hAnsi="Arial" w:cs="Arial"/>
                <w:sz w:val="20"/>
                <w:szCs w:val="20"/>
              </w:rPr>
              <w:t>0</w:t>
            </w:r>
          </w:p>
        </w:tc>
        <w:tc>
          <w:tcPr>
            <w:tcW w:w="0" w:type="auto"/>
            <w:shd w:val="clear" w:color="auto" w:fill="auto"/>
          </w:tcPr>
          <w:p w:rsidR="007931BC" w:rsidRPr="002B1C71" w:rsidRDefault="003914D2" w:rsidP="004B4489">
            <w:pPr>
              <w:rPr>
                <w:rFonts w:ascii="Arial" w:hAnsi="Arial" w:cs="Arial"/>
                <w:sz w:val="20"/>
                <w:szCs w:val="20"/>
              </w:rPr>
            </w:pPr>
            <w:r>
              <w:rPr>
                <w:rFonts w:ascii="Arial" w:hAnsi="Arial" w:cs="Arial"/>
                <w:sz w:val="20"/>
                <w:szCs w:val="20"/>
              </w:rPr>
              <w:t>D11 v4.0</w:t>
            </w:r>
            <w:r w:rsidR="00BA764D">
              <w:rPr>
                <w:rFonts w:ascii="Arial" w:hAnsi="Arial" w:cs="Arial"/>
                <w:sz w:val="20"/>
                <w:szCs w:val="20"/>
              </w:rPr>
              <w:t>1</w:t>
            </w:r>
          </w:p>
        </w:tc>
        <w:tc>
          <w:tcPr>
            <w:tcW w:w="0" w:type="auto"/>
            <w:shd w:val="clear" w:color="auto" w:fill="auto"/>
          </w:tcPr>
          <w:p w:rsidR="007931BC" w:rsidRPr="002B1C71" w:rsidRDefault="002B1C71" w:rsidP="004B4489">
            <w:pPr>
              <w:rPr>
                <w:rFonts w:ascii="Arial" w:hAnsi="Arial" w:cs="Arial"/>
                <w:sz w:val="20"/>
                <w:szCs w:val="20"/>
              </w:rPr>
            </w:pPr>
            <w:r w:rsidRPr="002B1C71">
              <w:rPr>
                <w:rFonts w:ascii="Arial" w:hAnsi="Arial" w:cs="Arial"/>
                <w:sz w:val="20"/>
                <w:szCs w:val="20"/>
              </w:rPr>
              <w:t>N/A</w:t>
            </w:r>
          </w:p>
        </w:tc>
      </w:tr>
    </w:tbl>
    <w:p w:rsidR="007931BC" w:rsidRPr="008F48E1" w:rsidRDefault="007931BC" w:rsidP="009C5CA7">
      <w:pPr>
        <w:rPr>
          <w:rFonts w:ascii="Arial" w:hAnsi="Arial" w:cs="Arial"/>
          <w:b/>
          <w:sz w:val="20"/>
          <w:szCs w:val="20"/>
        </w:rPr>
      </w:pPr>
    </w:p>
    <w:p w:rsidR="000E132D" w:rsidRPr="00014A14" w:rsidRDefault="000E132D" w:rsidP="009C5CA7">
      <w:pPr>
        <w:rPr>
          <w:rFonts w:ascii="Arial" w:hAnsi="Arial" w:cs="Arial"/>
          <w:sz w:val="20"/>
          <w:szCs w:val="20"/>
        </w:rPr>
      </w:pPr>
    </w:p>
    <w:p w:rsidR="00014A14" w:rsidRDefault="00014A14" w:rsidP="009C5CA7">
      <w:pPr>
        <w:rPr>
          <w:rFonts w:ascii="Arial" w:hAnsi="Arial" w:cs="Arial"/>
          <w:b/>
          <w:sz w:val="20"/>
          <w:szCs w:val="20"/>
        </w:rPr>
      </w:pPr>
    </w:p>
    <w:p w:rsidR="00B27245" w:rsidRPr="008F48E1" w:rsidRDefault="009C5CA7" w:rsidP="00B27245">
      <w:pPr>
        <w:rPr>
          <w:rFonts w:ascii="Arial" w:hAnsi="Arial" w:cs="Arial"/>
          <w:sz w:val="20"/>
          <w:szCs w:val="20"/>
        </w:rPr>
      </w:pPr>
      <w:r w:rsidRPr="008F48E1">
        <w:rPr>
          <w:rFonts w:ascii="Arial" w:hAnsi="Arial" w:cs="Arial"/>
          <w:b/>
          <w:sz w:val="20"/>
          <w:szCs w:val="20"/>
        </w:rPr>
        <w:t>Net-to-Gross Assumption:</w:t>
      </w:r>
      <w:r w:rsidR="009B4DB1">
        <w:rPr>
          <w:rFonts w:ascii="Arial" w:hAnsi="Arial" w:cs="Arial"/>
          <w:sz w:val="20"/>
          <w:szCs w:val="20"/>
        </w:rPr>
        <w:t xml:space="preserve"> </w:t>
      </w:r>
    </w:p>
    <w:p w:rsidR="009C5CA7" w:rsidRPr="008F48E1" w:rsidRDefault="009C5CA7" w:rsidP="009C5CA7">
      <w:pPr>
        <w:rPr>
          <w:rFonts w:ascii="Arial" w:hAnsi="Arial" w:cs="Arial"/>
          <w:sz w:val="20"/>
          <w:szCs w:val="20"/>
        </w:rPr>
      </w:pPr>
    </w:p>
    <w:p w:rsidR="009C5CA7" w:rsidRPr="004672C1" w:rsidRDefault="00175673" w:rsidP="00175673">
      <w:pPr>
        <w:tabs>
          <w:tab w:val="left" w:pos="6435"/>
        </w:tabs>
        <w:rPr>
          <w:rFonts w:ascii="Arial" w:hAnsi="Arial" w:cs="Arial"/>
          <w:b/>
          <w:sz w:val="20"/>
          <w:szCs w:val="20"/>
        </w:rPr>
      </w:pPr>
      <w:r w:rsidRPr="004672C1">
        <w:rPr>
          <w:rFonts w:ascii="Arial" w:hAnsi="Arial" w:cs="Arial"/>
          <w:b/>
          <w:sz w:val="20"/>
          <w:szCs w:val="20"/>
        </w:rPr>
        <w:t>Net to Gross Value:</w:t>
      </w:r>
      <w:r w:rsidR="009B4DB1" w:rsidRPr="004672C1">
        <w:rPr>
          <w:rFonts w:ascii="Arial" w:hAnsi="Arial" w:cs="Arial"/>
          <w:b/>
          <w:sz w:val="20"/>
          <w:szCs w:val="20"/>
        </w:rPr>
        <w:t xml:space="preserve">    </w:t>
      </w:r>
      <w:r w:rsidR="00BA764D">
        <w:rPr>
          <w:rFonts w:ascii="Arial" w:hAnsi="Arial" w:cs="Arial"/>
          <w:b/>
          <w:sz w:val="20"/>
          <w:szCs w:val="20"/>
        </w:rPr>
        <w:t>D11 v4.01</w:t>
      </w:r>
    </w:p>
    <w:p w:rsidR="008F48E1" w:rsidRPr="008F48E1" w:rsidRDefault="008F48E1" w:rsidP="00D719E9">
      <w:pPr>
        <w:rPr>
          <w:rFonts w:ascii="Arial" w:hAnsi="Arial" w:cs="Arial"/>
          <w:sz w:val="20"/>
          <w:szCs w:val="20"/>
        </w:rPr>
      </w:pPr>
    </w:p>
    <w:p w:rsidR="00D719E9" w:rsidRPr="008F48E1" w:rsidRDefault="00D719E9" w:rsidP="00D719E9">
      <w:pPr>
        <w:rPr>
          <w:rFonts w:ascii="Arial" w:hAnsi="Arial" w:cs="Arial"/>
          <w:sz w:val="20"/>
          <w:szCs w:val="20"/>
        </w:rPr>
      </w:pPr>
      <w:r w:rsidRPr="008F48E1">
        <w:rPr>
          <w:rFonts w:ascii="Arial" w:hAnsi="Arial" w:cs="Arial"/>
          <w:sz w:val="20"/>
          <w:szCs w:val="20"/>
        </w:rPr>
        <w:t xml:space="preserve">Table </w:t>
      </w:r>
      <w:r w:rsidR="00B27245">
        <w:rPr>
          <w:rFonts w:ascii="Arial" w:hAnsi="Arial" w:cs="Arial"/>
          <w:sz w:val="20"/>
          <w:szCs w:val="20"/>
        </w:rPr>
        <w:t>2</w:t>
      </w:r>
      <w:r w:rsidR="008F48E1" w:rsidRPr="008F48E1">
        <w:rPr>
          <w:rFonts w:ascii="Arial" w:hAnsi="Arial" w:cs="Arial"/>
          <w:sz w:val="20"/>
          <w:szCs w:val="20"/>
        </w:rPr>
        <w:t xml:space="preserve"> </w:t>
      </w:r>
      <w:r w:rsidRPr="008F48E1">
        <w:rPr>
          <w:rFonts w:ascii="Arial" w:hAnsi="Arial" w:cs="Arial"/>
          <w:sz w:val="20"/>
          <w:szCs w:val="20"/>
        </w:rPr>
        <w:t>below summarizes all applicable DEER based Net-to-Gross ratios for programs that may be used by this measure.</w:t>
      </w:r>
    </w:p>
    <w:p w:rsidR="008F48E1" w:rsidRDefault="008F48E1" w:rsidP="00D719E9">
      <w:pPr>
        <w:pStyle w:val="Caption"/>
        <w:keepNext/>
        <w:jc w:val="center"/>
        <w:rPr>
          <w:rFonts w:ascii="Arial" w:hAnsi="Arial" w:cs="Arial"/>
        </w:rPr>
      </w:pPr>
    </w:p>
    <w:p w:rsidR="00D719E9" w:rsidRPr="008F48E1" w:rsidRDefault="00D719E9" w:rsidP="00D719E9">
      <w:pPr>
        <w:pStyle w:val="Caption"/>
        <w:keepNext/>
        <w:jc w:val="center"/>
        <w:rPr>
          <w:rFonts w:ascii="Arial" w:hAnsi="Arial" w:cs="Arial"/>
        </w:rPr>
      </w:pPr>
      <w:bookmarkStart w:id="26" w:name="_Toc390771096"/>
      <w:r w:rsidRPr="008F48E1">
        <w:rPr>
          <w:rFonts w:ascii="Arial" w:hAnsi="Arial" w:cs="Arial"/>
        </w:rPr>
        <w:t xml:space="preserve">Table </w:t>
      </w:r>
      <w:r w:rsidRPr="008F48E1">
        <w:rPr>
          <w:rFonts w:ascii="Arial" w:hAnsi="Arial" w:cs="Arial"/>
        </w:rPr>
        <w:fldChar w:fldCharType="begin"/>
      </w:r>
      <w:r w:rsidRPr="008F48E1">
        <w:rPr>
          <w:rFonts w:ascii="Arial" w:hAnsi="Arial" w:cs="Arial"/>
        </w:rPr>
        <w:instrText xml:space="preserve"> SEQ Table \* ARABIC \s 1 </w:instrText>
      </w:r>
      <w:r w:rsidRPr="008F48E1">
        <w:rPr>
          <w:rFonts w:ascii="Arial" w:hAnsi="Arial" w:cs="Arial"/>
        </w:rPr>
        <w:fldChar w:fldCharType="separate"/>
      </w:r>
      <w:r w:rsidR="003A4812">
        <w:rPr>
          <w:rFonts w:ascii="Arial" w:hAnsi="Arial" w:cs="Arial"/>
          <w:noProof/>
        </w:rPr>
        <w:t>2</w:t>
      </w:r>
      <w:r w:rsidRPr="008F48E1">
        <w:rPr>
          <w:rFonts w:ascii="Arial" w:hAnsi="Arial" w:cs="Arial"/>
        </w:rPr>
        <w:fldChar w:fldCharType="end"/>
      </w:r>
      <w:r w:rsidR="009B4DB1">
        <w:rPr>
          <w:rFonts w:ascii="Arial" w:hAnsi="Arial" w:cs="Arial"/>
        </w:rPr>
        <w:t xml:space="preserve"> </w:t>
      </w:r>
      <w:r w:rsidRPr="008F48E1">
        <w:rPr>
          <w:rFonts w:ascii="Arial" w:hAnsi="Arial" w:cs="Arial"/>
        </w:rPr>
        <w:t>Net-to-Gross Ratios</w:t>
      </w:r>
      <w:bookmarkEnd w:id="26"/>
    </w:p>
    <w:tbl>
      <w:tblPr>
        <w:tblW w:w="3988"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3362"/>
        <w:gridCol w:w="912"/>
      </w:tblGrid>
      <w:tr w:rsidR="00B3669B" w:rsidRPr="00783DAC" w:rsidTr="00B3669B">
        <w:tc>
          <w:tcPr>
            <w:tcW w:w="2202" w:type="pct"/>
            <w:shd w:val="pct5" w:color="000000" w:fill="FFFFFF"/>
          </w:tcPr>
          <w:p w:rsidR="00B3669B" w:rsidRPr="00783DAC" w:rsidRDefault="00B3669B" w:rsidP="00783DAC">
            <w:pPr>
              <w:jc w:val="center"/>
              <w:rPr>
                <w:rFonts w:ascii="Arial" w:hAnsi="Arial" w:cs="Arial"/>
                <w:sz w:val="20"/>
                <w:szCs w:val="20"/>
              </w:rPr>
            </w:pPr>
            <w:r>
              <w:rPr>
                <w:rFonts w:ascii="Arial" w:hAnsi="Arial" w:cs="Arial"/>
                <w:sz w:val="20"/>
                <w:szCs w:val="20"/>
              </w:rPr>
              <w:t>DEER ID</w:t>
            </w:r>
          </w:p>
        </w:tc>
        <w:tc>
          <w:tcPr>
            <w:tcW w:w="2201" w:type="pct"/>
            <w:shd w:val="pct5" w:color="000000" w:fill="FFFFFF"/>
          </w:tcPr>
          <w:p w:rsidR="00B3669B" w:rsidRPr="00783DAC" w:rsidRDefault="00B3669B" w:rsidP="00783DAC">
            <w:pPr>
              <w:jc w:val="center"/>
              <w:rPr>
                <w:rFonts w:ascii="Arial" w:hAnsi="Arial" w:cs="Arial"/>
                <w:sz w:val="20"/>
                <w:szCs w:val="20"/>
              </w:rPr>
            </w:pPr>
            <w:r w:rsidRPr="00783DAC">
              <w:rPr>
                <w:rFonts w:ascii="Arial" w:hAnsi="Arial" w:cs="Arial"/>
                <w:sz w:val="20"/>
                <w:szCs w:val="20"/>
              </w:rPr>
              <w:t>Program Approach</w:t>
            </w:r>
          </w:p>
        </w:tc>
        <w:tc>
          <w:tcPr>
            <w:tcW w:w="597" w:type="pct"/>
            <w:shd w:val="pct5" w:color="000000" w:fill="FFFFFF"/>
          </w:tcPr>
          <w:p w:rsidR="00B3669B" w:rsidRPr="00783DAC" w:rsidRDefault="00B3669B" w:rsidP="00783DAC">
            <w:pPr>
              <w:jc w:val="center"/>
              <w:rPr>
                <w:rFonts w:ascii="Arial" w:hAnsi="Arial" w:cs="Arial"/>
                <w:sz w:val="20"/>
                <w:szCs w:val="20"/>
              </w:rPr>
            </w:pPr>
            <w:r w:rsidRPr="00783DAC">
              <w:rPr>
                <w:rFonts w:ascii="Arial" w:hAnsi="Arial" w:cs="Arial"/>
                <w:sz w:val="20"/>
                <w:szCs w:val="20"/>
              </w:rPr>
              <w:t>NTG</w:t>
            </w:r>
          </w:p>
        </w:tc>
      </w:tr>
      <w:tr w:rsidR="00B3669B" w:rsidRPr="00783DAC" w:rsidTr="00B3669B">
        <w:tc>
          <w:tcPr>
            <w:tcW w:w="2202" w:type="pct"/>
            <w:shd w:val="pct20" w:color="000000" w:fill="FFFFFF"/>
          </w:tcPr>
          <w:p w:rsidR="00B3669B" w:rsidRDefault="00B3669B" w:rsidP="00B3669B">
            <w:pPr>
              <w:rPr>
                <w:rFonts w:ascii="Arial" w:hAnsi="Arial" w:cs="Arial"/>
                <w:sz w:val="22"/>
                <w:szCs w:val="22"/>
              </w:rPr>
            </w:pPr>
            <w:r>
              <w:rPr>
                <w:rFonts w:ascii="Arial" w:hAnsi="Arial" w:cs="Arial"/>
                <w:sz w:val="22"/>
                <w:szCs w:val="22"/>
              </w:rPr>
              <w:t>All-Default&lt;=2yrs</w:t>
            </w:r>
          </w:p>
          <w:p w:rsidR="00B3669B" w:rsidRPr="00B27245" w:rsidRDefault="00B3669B" w:rsidP="00B27245">
            <w:pPr>
              <w:rPr>
                <w:rFonts w:ascii="Arial" w:hAnsi="Arial" w:cs="Arial"/>
                <w:sz w:val="20"/>
                <w:szCs w:val="20"/>
              </w:rPr>
            </w:pPr>
          </w:p>
        </w:tc>
        <w:tc>
          <w:tcPr>
            <w:tcW w:w="2201" w:type="pct"/>
            <w:shd w:val="pct20" w:color="000000" w:fill="FFFFFF"/>
          </w:tcPr>
          <w:p w:rsidR="00B3669B" w:rsidRPr="00783DAC" w:rsidRDefault="00B3669B" w:rsidP="00B27245">
            <w:pPr>
              <w:rPr>
                <w:rFonts w:ascii="Arial" w:hAnsi="Arial" w:cs="Arial"/>
                <w:sz w:val="20"/>
                <w:szCs w:val="20"/>
              </w:rPr>
            </w:pPr>
            <w:r w:rsidRPr="00B27245">
              <w:rPr>
                <w:rFonts w:ascii="Arial" w:hAnsi="Arial" w:cs="Arial"/>
                <w:sz w:val="20"/>
                <w:szCs w:val="20"/>
              </w:rPr>
              <w:t>All other EEM with no evaluated NTGR; new technology in program for 2 or fewer years</w:t>
            </w:r>
          </w:p>
        </w:tc>
        <w:tc>
          <w:tcPr>
            <w:tcW w:w="597" w:type="pct"/>
            <w:shd w:val="pct20" w:color="000000" w:fill="FFFFFF"/>
          </w:tcPr>
          <w:p w:rsidR="00B3669B" w:rsidRPr="00783DAC" w:rsidRDefault="00B3669B" w:rsidP="00783DAC">
            <w:pPr>
              <w:jc w:val="center"/>
              <w:rPr>
                <w:rFonts w:ascii="Arial" w:hAnsi="Arial" w:cs="Arial"/>
                <w:sz w:val="20"/>
                <w:szCs w:val="20"/>
              </w:rPr>
            </w:pPr>
            <w:r>
              <w:rPr>
                <w:rFonts w:ascii="Arial" w:hAnsi="Arial" w:cs="Arial"/>
                <w:sz w:val="20"/>
                <w:szCs w:val="20"/>
              </w:rPr>
              <w:t>0.7</w:t>
            </w:r>
          </w:p>
        </w:tc>
      </w:tr>
      <w:tr w:rsidR="00B3669B" w:rsidRPr="00783DAC" w:rsidTr="00B3669B">
        <w:tc>
          <w:tcPr>
            <w:tcW w:w="2202" w:type="pct"/>
            <w:shd w:val="pct20" w:color="000000" w:fill="FFFFFF"/>
          </w:tcPr>
          <w:p w:rsidR="00B3669B" w:rsidRDefault="00B3669B" w:rsidP="00B3669B">
            <w:pPr>
              <w:rPr>
                <w:rFonts w:ascii="Arial" w:hAnsi="Arial" w:cs="Arial"/>
                <w:sz w:val="22"/>
                <w:szCs w:val="22"/>
              </w:rPr>
            </w:pPr>
            <w:r>
              <w:rPr>
                <w:rFonts w:ascii="Arial" w:hAnsi="Arial" w:cs="Arial"/>
                <w:sz w:val="22"/>
                <w:szCs w:val="22"/>
              </w:rPr>
              <w:t>Com-Default-HTR-di</w:t>
            </w:r>
          </w:p>
          <w:p w:rsidR="00B3669B" w:rsidRPr="00B27245" w:rsidRDefault="00B3669B" w:rsidP="00B27245">
            <w:pPr>
              <w:rPr>
                <w:rFonts w:ascii="Arial" w:hAnsi="Arial" w:cs="Arial"/>
                <w:sz w:val="20"/>
                <w:szCs w:val="20"/>
              </w:rPr>
            </w:pPr>
          </w:p>
        </w:tc>
        <w:tc>
          <w:tcPr>
            <w:tcW w:w="2201" w:type="pct"/>
            <w:shd w:val="pct20" w:color="000000" w:fill="FFFFFF"/>
          </w:tcPr>
          <w:p w:rsidR="00B3669B" w:rsidRDefault="00B3669B" w:rsidP="00B3669B">
            <w:pPr>
              <w:rPr>
                <w:rFonts w:ascii="Calibri" w:hAnsi="Calibri" w:cs="Calibri"/>
                <w:color w:val="000000"/>
                <w:sz w:val="22"/>
                <w:szCs w:val="22"/>
              </w:rPr>
            </w:pPr>
            <w:r>
              <w:rPr>
                <w:rFonts w:ascii="Calibri" w:hAnsi="Calibri" w:cs="Calibri"/>
                <w:color w:val="000000"/>
                <w:sz w:val="22"/>
                <w:szCs w:val="22"/>
              </w:rPr>
              <w:t>All other EEM with no evaluated NTGR; direct install to hard-to-reach only.</w:t>
            </w:r>
          </w:p>
          <w:p w:rsidR="00B3669B" w:rsidRPr="00B27245" w:rsidRDefault="00B3669B" w:rsidP="00B27245">
            <w:pPr>
              <w:rPr>
                <w:rFonts w:ascii="Arial" w:hAnsi="Arial" w:cs="Arial"/>
                <w:sz w:val="20"/>
                <w:szCs w:val="20"/>
              </w:rPr>
            </w:pPr>
          </w:p>
        </w:tc>
        <w:tc>
          <w:tcPr>
            <w:tcW w:w="597" w:type="pct"/>
            <w:shd w:val="pct20" w:color="000000" w:fill="FFFFFF"/>
          </w:tcPr>
          <w:p w:rsidR="00B3669B" w:rsidRDefault="00B3669B" w:rsidP="00783DAC">
            <w:pPr>
              <w:jc w:val="center"/>
              <w:rPr>
                <w:rFonts w:ascii="Arial" w:hAnsi="Arial" w:cs="Arial"/>
                <w:sz w:val="20"/>
                <w:szCs w:val="20"/>
              </w:rPr>
            </w:pPr>
            <w:r>
              <w:rPr>
                <w:rFonts w:ascii="Arial" w:hAnsi="Arial" w:cs="Arial"/>
                <w:sz w:val="20"/>
                <w:szCs w:val="20"/>
              </w:rPr>
              <w:t>0.85</w:t>
            </w:r>
          </w:p>
        </w:tc>
      </w:tr>
    </w:tbl>
    <w:p w:rsidR="009C5CA7" w:rsidRPr="008F48E1" w:rsidRDefault="009C5CA7" w:rsidP="009C5CA7">
      <w:pPr>
        <w:rPr>
          <w:rFonts w:ascii="Arial" w:hAnsi="Arial" w:cs="Arial"/>
          <w:sz w:val="20"/>
          <w:szCs w:val="20"/>
        </w:rPr>
      </w:pPr>
    </w:p>
    <w:p w:rsidR="008F48E1" w:rsidRPr="008F48E1" w:rsidRDefault="008F48E1" w:rsidP="009C5CA7">
      <w:pPr>
        <w:rPr>
          <w:rFonts w:ascii="Arial" w:hAnsi="Arial" w:cs="Arial"/>
          <w:sz w:val="20"/>
          <w:szCs w:val="20"/>
        </w:rPr>
      </w:pPr>
      <w:r w:rsidRPr="008F48E1">
        <w:rPr>
          <w:rFonts w:ascii="Arial" w:hAnsi="Arial" w:cs="Arial"/>
          <w:sz w:val="20"/>
          <w:szCs w:val="20"/>
        </w:rPr>
        <w:t xml:space="preserve">The NTG Ratios in Table </w:t>
      </w:r>
      <w:r w:rsidR="00B27245">
        <w:rPr>
          <w:rFonts w:ascii="Arial" w:hAnsi="Arial" w:cs="Arial"/>
          <w:sz w:val="20"/>
          <w:szCs w:val="20"/>
        </w:rPr>
        <w:t>2</w:t>
      </w:r>
      <w:r w:rsidRPr="008F48E1">
        <w:rPr>
          <w:rFonts w:ascii="Arial" w:hAnsi="Arial" w:cs="Arial"/>
          <w:sz w:val="20"/>
          <w:szCs w:val="20"/>
        </w:rPr>
        <w:t xml:space="preserve"> are appropriate for the measure(s) because:</w:t>
      </w:r>
    </w:p>
    <w:p w:rsidR="008F48E1" w:rsidRDefault="00016332" w:rsidP="000E39B4">
      <w:pPr>
        <w:numPr>
          <w:ilvl w:val="0"/>
          <w:numId w:val="13"/>
        </w:numPr>
        <w:tabs>
          <w:tab w:val="clear" w:pos="1440"/>
        </w:tabs>
        <w:ind w:left="720"/>
        <w:rPr>
          <w:rFonts w:ascii="Arial" w:hAnsi="Arial" w:cs="Arial"/>
          <w:sz w:val="20"/>
          <w:szCs w:val="20"/>
        </w:rPr>
      </w:pPr>
      <w:r>
        <w:rPr>
          <w:rFonts w:ascii="Arial" w:hAnsi="Arial" w:cs="Arial"/>
          <w:sz w:val="20"/>
          <w:szCs w:val="20"/>
        </w:rPr>
        <w:t>This will be a new program measure for the 2013-14 cycle.</w:t>
      </w:r>
    </w:p>
    <w:p w:rsidR="00016332" w:rsidRPr="000E39B4" w:rsidRDefault="00016332" w:rsidP="000E39B4">
      <w:pPr>
        <w:numPr>
          <w:ilvl w:val="0"/>
          <w:numId w:val="13"/>
        </w:numPr>
        <w:tabs>
          <w:tab w:val="clear" w:pos="1440"/>
        </w:tabs>
        <w:ind w:left="720"/>
        <w:rPr>
          <w:rFonts w:ascii="Arial" w:hAnsi="Arial" w:cs="Arial"/>
          <w:sz w:val="20"/>
          <w:szCs w:val="20"/>
        </w:rPr>
      </w:pPr>
      <w:r>
        <w:rPr>
          <w:rFonts w:ascii="Arial" w:hAnsi="Arial" w:cs="Arial"/>
          <w:sz w:val="20"/>
          <w:szCs w:val="20"/>
        </w:rPr>
        <w:t>There is no evaluated NTGR for this measure.</w:t>
      </w:r>
    </w:p>
    <w:p w:rsidR="008860E6" w:rsidRPr="008F48E1" w:rsidRDefault="008860E6" w:rsidP="008860E6">
      <w:pPr>
        <w:ind w:left="720"/>
        <w:rPr>
          <w:rFonts w:ascii="Arial" w:hAnsi="Arial" w:cs="Arial"/>
          <w:sz w:val="20"/>
          <w:szCs w:val="20"/>
        </w:rPr>
      </w:pPr>
    </w:p>
    <w:p w:rsidR="004D7301" w:rsidRPr="000F6ECA" w:rsidRDefault="009C5CA7" w:rsidP="004D7301">
      <w:pPr>
        <w:rPr>
          <w:rFonts w:ascii="Arial" w:hAnsi="Arial" w:cs="Arial"/>
          <w:i/>
          <w:sz w:val="20"/>
          <w:szCs w:val="20"/>
        </w:rPr>
      </w:pPr>
      <w:r w:rsidRPr="008F48E1">
        <w:rPr>
          <w:rFonts w:ascii="Arial" w:hAnsi="Arial" w:cs="Arial"/>
          <w:b/>
          <w:sz w:val="20"/>
          <w:szCs w:val="20"/>
        </w:rPr>
        <w:t>Effective Useful Life</w:t>
      </w:r>
      <w:r w:rsidR="00D719E9" w:rsidRPr="008F48E1">
        <w:rPr>
          <w:rFonts w:ascii="Arial" w:hAnsi="Arial" w:cs="Arial"/>
          <w:b/>
          <w:sz w:val="20"/>
          <w:szCs w:val="20"/>
        </w:rPr>
        <w:t xml:space="preserve"> / Remaining Useful Life</w:t>
      </w:r>
      <w:r w:rsidRPr="008F48E1">
        <w:rPr>
          <w:rFonts w:ascii="Arial" w:hAnsi="Arial" w:cs="Arial"/>
          <w:b/>
          <w:sz w:val="20"/>
          <w:szCs w:val="20"/>
        </w:rPr>
        <w:t>:</w:t>
      </w:r>
      <w:r w:rsidR="000F6ECA">
        <w:t xml:space="preserve"> </w:t>
      </w:r>
      <w:r w:rsidR="004D7301">
        <w:rPr>
          <w:rFonts w:ascii="Arial" w:hAnsi="Arial" w:cs="Arial"/>
          <w:b/>
          <w:sz w:val="20"/>
          <w:szCs w:val="20"/>
        </w:rPr>
        <w:tab/>
      </w:r>
      <w:r w:rsidR="009B4DB1">
        <w:rPr>
          <w:rFonts w:ascii="Arial" w:hAnsi="Arial" w:cs="Arial"/>
          <w:b/>
          <w:sz w:val="20"/>
          <w:szCs w:val="20"/>
        </w:rPr>
        <w:t xml:space="preserve">     </w:t>
      </w:r>
      <w:r w:rsidR="00C44AD6" w:rsidRPr="004672C1">
        <w:rPr>
          <w:rFonts w:ascii="Arial" w:hAnsi="Arial" w:cs="Arial"/>
          <w:b/>
          <w:sz w:val="20"/>
          <w:szCs w:val="20"/>
        </w:rPr>
        <w:t>D</w:t>
      </w:r>
      <w:r w:rsidR="00C44AD6">
        <w:rPr>
          <w:rFonts w:ascii="Arial" w:hAnsi="Arial" w:cs="Arial"/>
          <w:b/>
          <w:sz w:val="20"/>
          <w:szCs w:val="20"/>
        </w:rPr>
        <w:t>11</w:t>
      </w:r>
      <w:r w:rsidR="00C44AD6" w:rsidRPr="004672C1">
        <w:rPr>
          <w:rFonts w:ascii="Arial" w:hAnsi="Arial" w:cs="Arial"/>
          <w:b/>
          <w:sz w:val="20"/>
          <w:szCs w:val="20"/>
        </w:rPr>
        <w:t xml:space="preserve"> </w:t>
      </w:r>
      <w:r w:rsidR="004672C1" w:rsidRPr="004672C1">
        <w:rPr>
          <w:rFonts w:ascii="Arial" w:hAnsi="Arial" w:cs="Arial"/>
          <w:b/>
          <w:sz w:val="20"/>
          <w:szCs w:val="20"/>
        </w:rPr>
        <w:t>v</w:t>
      </w:r>
      <w:r w:rsidR="00C44AD6">
        <w:rPr>
          <w:rFonts w:ascii="Arial" w:hAnsi="Arial" w:cs="Arial"/>
          <w:b/>
          <w:sz w:val="20"/>
          <w:szCs w:val="20"/>
        </w:rPr>
        <w:t>4.0</w:t>
      </w:r>
      <w:r w:rsidR="00BA764D">
        <w:rPr>
          <w:rFonts w:ascii="Arial" w:hAnsi="Arial" w:cs="Arial"/>
          <w:b/>
          <w:sz w:val="20"/>
          <w:szCs w:val="20"/>
        </w:rPr>
        <w:t>1</w:t>
      </w:r>
    </w:p>
    <w:p w:rsidR="00FC2999" w:rsidRDefault="00FC2999" w:rsidP="00FC2999">
      <w:pPr>
        <w:numPr>
          <w:ilvl w:val="0"/>
          <w:numId w:val="11"/>
        </w:numPr>
        <w:rPr>
          <w:rFonts w:ascii="Arial" w:hAnsi="Arial" w:cs="Arial"/>
          <w:sz w:val="20"/>
          <w:szCs w:val="20"/>
        </w:rPr>
      </w:pPr>
      <w:r w:rsidRPr="000F6ECA">
        <w:rPr>
          <w:rFonts w:ascii="Arial" w:hAnsi="Arial" w:cs="Arial"/>
          <w:sz w:val="20"/>
          <w:szCs w:val="20"/>
        </w:rPr>
        <w:t>The Effective Useful Life</w:t>
      </w:r>
      <w:r w:rsidR="005030CC">
        <w:rPr>
          <w:rFonts w:ascii="Arial" w:hAnsi="Arial" w:cs="Arial"/>
          <w:sz w:val="20"/>
          <w:szCs w:val="20"/>
        </w:rPr>
        <w:t xml:space="preserve"> (EUL)</w:t>
      </w:r>
      <w:r w:rsidRPr="000F6ECA">
        <w:rPr>
          <w:rFonts w:ascii="Arial" w:hAnsi="Arial" w:cs="Arial"/>
          <w:sz w:val="20"/>
          <w:szCs w:val="20"/>
        </w:rPr>
        <w:t xml:space="preserve"> estimates were downloaded </w:t>
      </w:r>
      <w:r w:rsidR="009864FC">
        <w:rPr>
          <w:rFonts w:ascii="Arial" w:hAnsi="Arial" w:cs="Arial"/>
          <w:sz w:val="20"/>
          <w:szCs w:val="20"/>
        </w:rPr>
        <w:t>from the</w:t>
      </w:r>
      <w:r w:rsidRPr="000F6ECA">
        <w:rPr>
          <w:rFonts w:ascii="Arial" w:hAnsi="Arial" w:cs="Arial"/>
          <w:sz w:val="20"/>
          <w:szCs w:val="20"/>
        </w:rPr>
        <w:t xml:space="preserve"> </w:t>
      </w:r>
      <w:r w:rsidR="00C44AD6">
        <w:rPr>
          <w:rFonts w:ascii="Arial" w:hAnsi="Arial" w:cs="Arial"/>
          <w:sz w:val="20"/>
          <w:szCs w:val="20"/>
        </w:rPr>
        <w:t>RE</w:t>
      </w:r>
      <w:r w:rsidR="009864FC">
        <w:rPr>
          <w:rFonts w:ascii="Arial" w:hAnsi="Arial" w:cs="Arial"/>
          <w:sz w:val="20"/>
          <w:szCs w:val="20"/>
        </w:rPr>
        <w:t>A</w:t>
      </w:r>
      <w:r w:rsidR="00C44AD6">
        <w:rPr>
          <w:rFonts w:ascii="Arial" w:hAnsi="Arial" w:cs="Arial"/>
          <w:sz w:val="20"/>
          <w:szCs w:val="20"/>
        </w:rPr>
        <w:t>DI tool</w:t>
      </w:r>
      <w:r w:rsidR="00C44AD6" w:rsidRPr="000F6ECA">
        <w:rPr>
          <w:rFonts w:ascii="Arial" w:hAnsi="Arial" w:cs="Arial"/>
          <w:sz w:val="20"/>
          <w:szCs w:val="20"/>
        </w:rPr>
        <w:t xml:space="preserve"> </w:t>
      </w:r>
      <w:proofErr w:type="gramStart"/>
      <w:r w:rsidRPr="000F6ECA">
        <w:rPr>
          <w:rFonts w:ascii="Arial" w:hAnsi="Arial" w:cs="Arial"/>
          <w:sz w:val="20"/>
          <w:szCs w:val="20"/>
        </w:rPr>
        <w:t>directly,</w:t>
      </w:r>
      <w:proofErr w:type="gramEnd"/>
      <w:r w:rsidRPr="000F6ECA">
        <w:rPr>
          <w:rFonts w:ascii="Arial" w:hAnsi="Arial" w:cs="Arial"/>
          <w:sz w:val="20"/>
          <w:szCs w:val="20"/>
        </w:rPr>
        <w:t xml:space="preserve"> they match the intended measures for climate zones and building types and </w:t>
      </w:r>
      <w:r w:rsidR="009864FC">
        <w:rPr>
          <w:rFonts w:ascii="Arial" w:hAnsi="Arial" w:cs="Arial"/>
          <w:sz w:val="20"/>
          <w:szCs w:val="20"/>
        </w:rPr>
        <w:t>vintages</w:t>
      </w:r>
      <w:r w:rsidRPr="000F6ECA">
        <w:rPr>
          <w:rFonts w:ascii="Arial" w:hAnsi="Arial" w:cs="Arial"/>
          <w:sz w:val="20"/>
          <w:szCs w:val="20"/>
        </w:rPr>
        <w:t>.</w:t>
      </w:r>
    </w:p>
    <w:p w:rsidR="009864FC" w:rsidRDefault="005030CC" w:rsidP="00FC2999">
      <w:pPr>
        <w:numPr>
          <w:ilvl w:val="0"/>
          <w:numId w:val="11"/>
        </w:numPr>
        <w:rPr>
          <w:rFonts w:ascii="Arial" w:hAnsi="Arial" w:cs="Arial"/>
          <w:sz w:val="20"/>
          <w:szCs w:val="20"/>
        </w:rPr>
      </w:pPr>
      <w:r>
        <w:rPr>
          <w:rFonts w:ascii="Arial" w:hAnsi="Arial" w:cs="Arial"/>
          <w:sz w:val="20"/>
          <w:szCs w:val="20"/>
        </w:rPr>
        <w:t>The EUL</w:t>
      </w:r>
      <w:r w:rsidR="000F6ECA">
        <w:rPr>
          <w:rFonts w:ascii="Arial" w:hAnsi="Arial" w:cs="Arial"/>
          <w:sz w:val="20"/>
          <w:szCs w:val="20"/>
        </w:rPr>
        <w:t xml:space="preserve"> for </w:t>
      </w:r>
      <w:r w:rsidR="009864FC">
        <w:rPr>
          <w:rFonts w:ascii="Arial" w:hAnsi="Arial" w:cs="Arial"/>
          <w:sz w:val="20"/>
          <w:szCs w:val="20"/>
        </w:rPr>
        <w:t>tuning is the EUL of a linear fluorescent fixture; therefore, EUL of 16 years is used.</w:t>
      </w:r>
    </w:p>
    <w:p w:rsidR="000F6ECA" w:rsidRDefault="009864FC" w:rsidP="00FC2999">
      <w:pPr>
        <w:numPr>
          <w:ilvl w:val="0"/>
          <w:numId w:val="11"/>
        </w:numPr>
        <w:rPr>
          <w:rFonts w:ascii="Arial" w:hAnsi="Arial" w:cs="Arial"/>
          <w:sz w:val="20"/>
          <w:szCs w:val="20"/>
        </w:rPr>
      </w:pPr>
      <w:r>
        <w:rPr>
          <w:rFonts w:ascii="Arial" w:hAnsi="Arial" w:cs="Arial"/>
          <w:sz w:val="20"/>
          <w:szCs w:val="20"/>
        </w:rPr>
        <w:t xml:space="preserve">The </w:t>
      </w:r>
      <w:r w:rsidR="000F6ECA">
        <w:rPr>
          <w:rFonts w:ascii="Arial" w:hAnsi="Arial" w:cs="Arial"/>
          <w:sz w:val="20"/>
          <w:szCs w:val="20"/>
        </w:rPr>
        <w:t xml:space="preserve">daylight harvesting sensors </w:t>
      </w:r>
      <w:r>
        <w:rPr>
          <w:rFonts w:ascii="Arial" w:hAnsi="Arial" w:cs="Arial"/>
          <w:sz w:val="20"/>
          <w:szCs w:val="20"/>
        </w:rPr>
        <w:t>EUL is 8 years</w:t>
      </w:r>
      <w:r w:rsidR="000F6ECA">
        <w:rPr>
          <w:rFonts w:ascii="Arial" w:hAnsi="Arial" w:cs="Arial"/>
          <w:sz w:val="20"/>
          <w:szCs w:val="20"/>
        </w:rPr>
        <w:t>.</w:t>
      </w:r>
    </w:p>
    <w:p w:rsidR="00C44AD6" w:rsidRPr="000F6ECA" w:rsidRDefault="00C44AD6" w:rsidP="00FC2999">
      <w:pPr>
        <w:numPr>
          <w:ilvl w:val="0"/>
          <w:numId w:val="11"/>
        </w:numPr>
        <w:rPr>
          <w:rFonts w:ascii="Arial" w:hAnsi="Arial" w:cs="Arial"/>
          <w:sz w:val="20"/>
          <w:szCs w:val="20"/>
        </w:rPr>
      </w:pPr>
      <w:r>
        <w:rPr>
          <w:rFonts w:ascii="Arial" w:hAnsi="Arial" w:cs="Arial"/>
          <w:sz w:val="20"/>
          <w:szCs w:val="20"/>
        </w:rPr>
        <w:t>To be conservative the measures with the controls are assumed to have the EUL of the controls, which is 8yrs.</w:t>
      </w:r>
    </w:p>
    <w:p w:rsidR="004D7301" w:rsidRPr="00F65942" w:rsidRDefault="004D7301" w:rsidP="00FA595F">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561"/>
        <w:gridCol w:w="1228"/>
      </w:tblGrid>
      <w:tr w:rsidR="005030CC" w:rsidRPr="00783DAC" w:rsidTr="004D7301">
        <w:tc>
          <w:tcPr>
            <w:tcW w:w="0" w:type="auto"/>
            <w:shd w:val="clear" w:color="auto" w:fill="auto"/>
          </w:tcPr>
          <w:p w:rsidR="005030CC" w:rsidRPr="00783DAC" w:rsidRDefault="005030CC" w:rsidP="00FC2999">
            <w:pPr>
              <w:rPr>
                <w:rFonts w:ascii="Arial" w:hAnsi="Arial" w:cs="Arial"/>
                <w:b/>
                <w:sz w:val="20"/>
                <w:szCs w:val="20"/>
              </w:rPr>
            </w:pPr>
            <w:r w:rsidRPr="00783DAC">
              <w:rPr>
                <w:rFonts w:ascii="Arial" w:hAnsi="Arial" w:cs="Arial"/>
                <w:b/>
                <w:sz w:val="20"/>
                <w:szCs w:val="20"/>
              </w:rPr>
              <w:t>Building type</w:t>
            </w:r>
            <w:r>
              <w:rPr>
                <w:rFonts w:ascii="Arial" w:hAnsi="Arial" w:cs="Arial"/>
                <w:b/>
                <w:sz w:val="20"/>
                <w:szCs w:val="20"/>
              </w:rPr>
              <w:t xml:space="preserve"> </w:t>
            </w:r>
          </w:p>
        </w:tc>
        <w:tc>
          <w:tcPr>
            <w:tcW w:w="0" w:type="auto"/>
            <w:shd w:val="clear" w:color="auto" w:fill="auto"/>
          </w:tcPr>
          <w:p w:rsidR="005030CC" w:rsidRPr="00783DAC" w:rsidRDefault="005030CC" w:rsidP="00FC2999">
            <w:pPr>
              <w:rPr>
                <w:rFonts w:ascii="Arial" w:hAnsi="Arial" w:cs="Arial"/>
                <w:b/>
                <w:sz w:val="20"/>
                <w:szCs w:val="20"/>
              </w:rPr>
            </w:pPr>
            <w:proofErr w:type="spellStart"/>
            <w:r w:rsidRPr="00783DAC">
              <w:rPr>
                <w:rFonts w:ascii="Arial" w:hAnsi="Arial" w:cs="Arial"/>
                <w:b/>
                <w:sz w:val="20"/>
                <w:szCs w:val="20"/>
              </w:rPr>
              <w:t>Bldg</w:t>
            </w:r>
            <w:proofErr w:type="spellEnd"/>
            <w:r w:rsidRPr="00783DAC">
              <w:rPr>
                <w:rFonts w:ascii="Arial" w:hAnsi="Arial" w:cs="Arial"/>
                <w:b/>
                <w:sz w:val="20"/>
                <w:szCs w:val="20"/>
              </w:rPr>
              <w:t xml:space="preserve"> Vintage</w:t>
            </w:r>
            <w:r>
              <w:rPr>
                <w:rFonts w:ascii="Arial" w:hAnsi="Arial" w:cs="Arial"/>
                <w:b/>
                <w:sz w:val="20"/>
                <w:szCs w:val="20"/>
              </w:rPr>
              <w:t xml:space="preserve"> </w:t>
            </w:r>
          </w:p>
        </w:tc>
        <w:tc>
          <w:tcPr>
            <w:tcW w:w="0" w:type="auto"/>
            <w:shd w:val="clear" w:color="auto" w:fill="auto"/>
          </w:tcPr>
          <w:p w:rsidR="005030CC" w:rsidRPr="00783DAC" w:rsidRDefault="005030CC" w:rsidP="00FC2999">
            <w:pPr>
              <w:rPr>
                <w:rFonts w:ascii="Arial" w:hAnsi="Arial" w:cs="Arial"/>
                <w:b/>
                <w:sz w:val="20"/>
                <w:szCs w:val="20"/>
              </w:rPr>
            </w:pPr>
            <w:r w:rsidRPr="00783DAC">
              <w:rPr>
                <w:rFonts w:ascii="Arial" w:hAnsi="Arial" w:cs="Arial"/>
                <w:b/>
                <w:sz w:val="20"/>
                <w:szCs w:val="20"/>
              </w:rPr>
              <w:t>Climate Zone</w:t>
            </w:r>
            <w:r>
              <w:rPr>
                <w:rFonts w:ascii="Arial" w:hAnsi="Arial" w:cs="Arial"/>
                <w:b/>
                <w:sz w:val="20"/>
                <w:szCs w:val="20"/>
              </w:rPr>
              <w:t xml:space="preserve"> </w:t>
            </w:r>
          </w:p>
        </w:tc>
        <w:tc>
          <w:tcPr>
            <w:tcW w:w="0" w:type="auto"/>
            <w:shd w:val="clear" w:color="auto" w:fill="auto"/>
          </w:tcPr>
          <w:p w:rsidR="005030CC" w:rsidRPr="00783DAC" w:rsidRDefault="005030CC" w:rsidP="00FC2999">
            <w:pPr>
              <w:rPr>
                <w:rFonts w:ascii="Arial" w:hAnsi="Arial" w:cs="Arial"/>
                <w:b/>
                <w:sz w:val="20"/>
                <w:szCs w:val="20"/>
              </w:rPr>
            </w:pPr>
            <w:r>
              <w:rPr>
                <w:rFonts w:ascii="Arial" w:hAnsi="Arial" w:cs="Arial"/>
                <w:b/>
                <w:sz w:val="20"/>
                <w:szCs w:val="20"/>
              </w:rPr>
              <w:t>EUL (</w:t>
            </w:r>
            <w:proofErr w:type="spellStart"/>
            <w:r>
              <w:rPr>
                <w:rFonts w:ascii="Arial" w:hAnsi="Arial" w:cs="Arial"/>
                <w:b/>
                <w:sz w:val="20"/>
                <w:szCs w:val="20"/>
              </w:rPr>
              <w:t>yrs</w:t>
            </w:r>
            <w:proofErr w:type="spellEnd"/>
            <w:r>
              <w:rPr>
                <w:rFonts w:ascii="Arial" w:hAnsi="Arial" w:cs="Arial"/>
                <w:b/>
                <w:sz w:val="20"/>
                <w:szCs w:val="20"/>
              </w:rPr>
              <w:t>)</w:t>
            </w:r>
          </w:p>
        </w:tc>
        <w:tc>
          <w:tcPr>
            <w:tcW w:w="0" w:type="auto"/>
            <w:shd w:val="clear" w:color="auto" w:fill="auto"/>
          </w:tcPr>
          <w:p w:rsidR="005030CC" w:rsidRPr="00783DAC" w:rsidRDefault="005030CC" w:rsidP="00FC2999">
            <w:pPr>
              <w:rPr>
                <w:rFonts w:ascii="Arial" w:hAnsi="Arial" w:cs="Arial"/>
                <w:b/>
                <w:sz w:val="20"/>
                <w:szCs w:val="20"/>
              </w:rPr>
            </w:pPr>
            <w:r w:rsidRPr="00783DAC">
              <w:rPr>
                <w:rFonts w:ascii="Arial" w:hAnsi="Arial" w:cs="Arial"/>
                <w:b/>
                <w:sz w:val="20"/>
                <w:szCs w:val="20"/>
              </w:rPr>
              <w:t>DEER Version</w:t>
            </w:r>
          </w:p>
        </w:tc>
        <w:tc>
          <w:tcPr>
            <w:tcW w:w="0" w:type="auto"/>
            <w:shd w:val="clear" w:color="auto" w:fill="auto"/>
          </w:tcPr>
          <w:p w:rsidR="005030CC" w:rsidRPr="00783DAC" w:rsidRDefault="005030CC" w:rsidP="00FC2999">
            <w:pPr>
              <w:rPr>
                <w:rFonts w:ascii="Arial" w:hAnsi="Arial" w:cs="Arial"/>
                <w:b/>
                <w:sz w:val="20"/>
                <w:szCs w:val="20"/>
              </w:rPr>
            </w:pPr>
            <w:r w:rsidRPr="00783DAC">
              <w:rPr>
                <w:rFonts w:ascii="Arial" w:hAnsi="Arial" w:cs="Arial"/>
                <w:b/>
                <w:sz w:val="20"/>
                <w:szCs w:val="20"/>
              </w:rPr>
              <w:t>Impact IDs</w:t>
            </w:r>
          </w:p>
        </w:tc>
      </w:tr>
      <w:tr w:rsidR="005030CC" w:rsidRPr="00783DAC" w:rsidTr="004D7301">
        <w:tc>
          <w:tcPr>
            <w:tcW w:w="0" w:type="auto"/>
            <w:shd w:val="clear" w:color="auto" w:fill="auto"/>
          </w:tcPr>
          <w:p w:rsidR="005030CC" w:rsidRPr="002B1C71" w:rsidRDefault="005030CC" w:rsidP="00441A87">
            <w:pPr>
              <w:rPr>
                <w:rFonts w:ascii="Arial" w:hAnsi="Arial" w:cs="Arial"/>
                <w:sz w:val="20"/>
                <w:szCs w:val="20"/>
              </w:rPr>
            </w:pPr>
            <w:proofErr w:type="spellStart"/>
            <w:r w:rsidRPr="002B1C71">
              <w:rPr>
                <w:rFonts w:ascii="Arial" w:hAnsi="Arial" w:cs="Arial"/>
                <w:sz w:val="20"/>
                <w:szCs w:val="20"/>
              </w:rPr>
              <w:t>Wtd</w:t>
            </w:r>
            <w:proofErr w:type="spellEnd"/>
            <w:r w:rsidRPr="002B1C71">
              <w:rPr>
                <w:rFonts w:ascii="Arial" w:hAnsi="Arial" w:cs="Arial"/>
                <w:sz w:val="20"/>
                <w:szCs w:val="20"/>
              </w:rPr>
              <w:t>-Com</w:t>
            </w:r>
          </w:p>
        </w:tc>
        <w:tc>
          <w:tcPr>
            <w:tcW w:w="0" w:type="auto"/>
            <w:shd w:val="clear" w:color="auto" w:fill="auto"/>
          </w:tcPr>
          <w:p w:rsidR="005030CC" w:rsidRPr="002B1C71" w:rsidRDefault="005030CC" w:rsidP="00441A87">
            <w:pPr>
              <w:rPr>
                <w:rFonts w:ascii="Arial" w:hAnsi="Arial" w:cs="Arial"/>
                <w:sz w:val="20"/>
                <w:szCs w:val="20"/>
              </w:rPr>
            </w:pPr>
            <w:r w:rsidRPr="002B1C71">
              <w:rPr>
                <w:rFonts w:ascii="Arial" w:hAnsi="Arial" w:cs="Arial"/>
                <w:sz w:val="20"/>
                <w:szCs w:val="20"/>
              </w:rPr>
              <w:t>Existing</w:t>
            </w:r>
          </w:p>
        </w:tc>
        <w:tc>
          <w:tcPr>
            <w:tcW w:w="0" w:type="auto"/>
            <w:shd w:val="clear" w:color="auto" w:fill="auto"/>
          </w:tcPr>
          <w:p w:rsidR="005030CC" w:rsidRPr="002B1C71" w:rsidRDefault="00475469" w:rsidP="00441A87">
            <w:pPr>
              <w:rPr>
                <w:rFonts w:ascii="Arial" w:hAnsi="Arial" w:cs="Arial"/>
                <w:sz w:val="20"/>
                <w:szCs w:val="20"/>
              </w:rPr>
            </w:pPr>
            <w:r>
              <w:rPr>
                <w:rFonts w:ascii="Arial" w:hAnsi="Arial" w:cs="Arial"/>
                <w:sz w:val="20"/>
                <w:szCs w:val="20"/>
              </w:rPr>
              <w:t>IOU</w:t>
            </w:r>
          </w:p>
        </w:tc>
        <w:tc>
          <w:tcPr>
            <w:tcW w:w="0" w:type="auto"/>
            <w:shd w:val="clear" w:color="auto" w:fill="auto"/>
          </w:tcPr>
          <w:p w:rsidR="005030CC" w:rsidRPr="000F6ECA" w:rsidRDefault="00C44AD6" w:rsidP="00FC2999">
            <w:pPr>
              <w:rPr>
                <w:rFonts w:ascii="Arial" w:hAnsi="Arial" w:cs="Arial"/>
                <w:sz w:val="20"/>
                <w:szCs w:val="20"/>
              </w:rPr>
            </w:pPr>
            <w:r>
              <w:rPr>
                <w:rFonts w:ascii="Arial" w:hAnsi="Arial" w:cs="Arial"/>
                <w:sz w:val="20"/>
                <w:szCs w:val="20"/>
              </w:rPr>
              <w:t>16, 8</w:t>
            </w:r>
          </w:p>
        </w:tc>
        <w:tc>
          <w:tcPr>
            <w:tcW w:w="0" w:type="auto"/>
            <w:shd w:val="clear" w:color="auto" w:fill="auto"/>
          </w:tcPr>
          <w:p w:rsidR="005030CC" w:rsidRPr="000F6ECA" w:rsidRDefault="00C44AD6" w:rsidP="00C44AD6">
            <w:pPr>
              <w:rPr>
                <w:rFonts w:ascii="Arial" w:hAnsi="Arial" w:cs="Arial"/>
                <w:sz w:val="20"/>
                <w:szCs w:val="20"/>
              </w:rPr>
            </w:pPr>
            <w:r w:rsidRPr="004672C1">
              <w:rPr>
                <w:rFonts w:ascii="Arial" w:hAnsi="Arial" w:cs="Arial"/>
                <w:sz w:val="20"/>
                <w:szCs w:val="20"/>
              </w:rPr>
              <w:t>D</w:t>
            </w:r>
            <w:r>
              <w:rPr>
                <w:rFonts w:ascii="Arial" w:hAnsi="Arial" w:cs="Arial"/>
                <w:sz w:val="20"/>
                <w:szCs w:val="20"/>
              </w:rPr>
              <w:t>11</w:t>
            </w:r>
            <w:r w:rsidRPr="004672C1">
              <w:rPr>
                <w:rFonts w:ascii="Arial" w:hAnsi="Arial" w:cs="Arial"/>
                <w:sz w:val="20"/>
                <w:szCs w:val="20"/>
              </w:rPr>
              <w:t xml:space="preserve"> </w:t>
            </w:r>
            <w:r w:rsidR="004672C1" w:rsidRPr="004672C1">
              <w:rPr>
                <w:rFonts w:ascii="Arial" w:hAnsi="Arial" w:cs="Arial"/>
                <w:sz w:val="20"/>
                <w:szCs w:val="20"/>
              </w:rPr>
              <w:t>v</w:t>
            </w:r>
            <w:r>
              <w:rPr>
                <w:rFonts w:ascii="Arial" w:hAnsi="Arial" w:cs="Arial"/>
                <w:sz w:val="20"/>
                <w:szCs w:val="20"/>
              </w:rPr>
              <w:t>4.0</w:t>
            </w:r>
            <w:r w:rsidR="00BA764D">
              <w:rPr>
                <w:rFonts w:ascii="Arial" w:hAnsi="Arial" w:cs="Arial"/>
                <w:sz w:val="20"/>
                <w:szCs w:val="20"/>
              </w:rPr>
              <w:t>1</w:t>
            </w:r>
          </w:p>
        </w:tc>
        <w:tc>
          <w:tcPr>
            <w:tcW w:w="0" w:type="auto"/>
            <w:shd w:val="clear" w:color="auto" w:fill="auto"/>
          </w:tcPr>
          <w:p w:rsidR="005030CC" w:rsidRPr="00783DAC" w:rsidRDefault="005030CC" w:rsidP="00FC2999">
            <w:pPr>
              <w:rPr>
                <w:rFonts w:ascii="Arial" w:hAnsi="Arial" w:cs="Arial"/>
                <w:b/>
                <w:sz w:val="20"/>
                <w:szCs w:val="20"/>
              </w:rPr>
            </w:pPr>
            <w:r>
              <w:rPr>
                <w:rFonts w:ascii="Arial" w:hAnsi="Arial" w:cs="Arial"/>
                <w:sz w:val="20"/>
                <w:szCs w:val="20"/>
              </w:rPr>
              <w:t>N/A</w:t>
            </w:r>
          </w:p>
        </w:tc>
      </w:tr>
    </w:tbl>
    <w:p w:rsidR="008F48E1" w:rsidRDefault="008F48E1" w:rsidP="00806070">
      <w:pPr>
        <w:rPr>
          <w:rFonts w:ascii="Arial" w:hAnsi="Arial" w:cs="Arial"/>
          <w:b/>
          <w:i/>
          <w:color w:val="FF0000"/>
        </w:rPr>
      </w:pPr>
    </w:p>
    <w:p w:rsidR="002E0043" w:rsidRPr="002E0043" w:rsidRDefault="001248A3" w:rsidP="0012422F">
      <w:pPr>
        <w:pStyle w:val="Heading3"/>
      </w:pPr>
      <w:bookmarkStart w:id="27" w:name="_Toc390769233"/>
      <w:r>
        <w:t>1.</w:t>
      </w:r>
      <w:r w:rsidR="00FA595F">
        <w:t>4</w:t>
      </w:r>
      <w:r w:rsidR="00793646">
        <w:t>.2</w:t>
      </w:r>
      <w:r w:rsidR="00FA595F">
        <w:t xml:space="preserve"> </w:t>
      </w:r>
      <w:r w:rsidR="00E71EF1" w:rsidRPr="001248A3">
        <w:t xml:space="preserve">Codes &amp; Standards Requirements </w:t>
      </w:r>
      <w:r w:rsidR="009C5CA7">
        <w:t>Base Case and Measure Information</w:t>
      </w:r>
      <w:bookmarkEnd w:id="27"/>
    </w:p>
    <w:p w:rsidR="002B1C71" w:rsidRPr="00B13099" w:rsidRDefault="002B1C71" w:rsidP="002B1C71">
      <w:pPr>
        <w:rPr>
          <w:rFonts w:ascii="Arial" w:hAnsi="Arial" w:cs="Arial"/>
          <w:i/>
          <w:sz w:val="20"/>
          <w:szCs w:val="20"/>
        </w:rPr>
      </w:pPr>
      <w:r w:rsidRPr="00B13099">
        <w:rPr>
          <w:rFonts w:ascii="Arial" w:hAnsi="Arial" w:cs="Arial"/>
          <w:b/>
          <w:i/>
        </w:rPr>
        <w:t>Title 20:</w:t>
      </w:r>
      <w:r w:rsidRPr="00B13099">
        <w:rPr>
          <w:rFonts w:ascii="Arial" w:hAnsi="Arial" w:cs="Arial"/>
        </w:rPr>
        <w:t xml:space="preserve"> </w:t>
      </w:r>
      <w:r w:rsidRPr="00B13099">
        <w:rPr>
          <w:rFonts w:ascii="Arial" w:hAnsi="Arial" w:cs="Arial"/>
          <w:sz w:val="20"/>
          <w:szCs w:val="20"/>
        </w:rPr>
        <w:t>These measures do not fall under Title 20 of the California Energy Regulations.</w:t>
      </w:r>
      <w:r>
        <w:rPr>
          <w:rFonts w:ascii="Arial" w:hAnsi="Arial" w:cs="Arial"/>
          <w:sz w:val="20"/>
          <w:szCs w:val="20"/>
        </w:rPr>
        <w:t xml:space="preserve"> </w:t>
      </w:r>
    </w:p>
    <w:p w:rsidR="00DE67C3" w:rsidRDefault="002B1C71" w:rsidP="00B3669B">
      <w:pPr>
        <w:rPr>
          <w:rFonts w:ascii="Arial" w:hAnsi="Arial" w:cs="Arial"/>
          <w:sz w:val="20"/>
          <w:szCs w:val="20"/>
        </w:rPr>
      </w:pPr>
      <w:r w:rsidRPr="00B13099">
        <w:rPr>
          <w:rFonts w:ascii="Arial" w:hAnsi="Arial" w:cs="Arial"/>
          <w:b/>
          <w:i/>
        </w:rPr>
        <w:t>Title 24:</w:t>
      </w:r>
      <w:r w:rsidRPr="00B13099">
        <w:t xml:space="preserve"> </w:t>
      </w:r>
      <w:r w:rsidR="00B3669B">
        <w:rPr>
          <w:rFonts w:ascii="Arial" w:hAnsi="Arial" w:cs="Arial"/>
          <w:sz w:val="20"/>
          <w:szCs w:val="20"/>
        </w:rPr>
        <w:t xml:space="preserve">2013 Title 24 – </w:t>
      </w:r>
      <w:r w:rsidR="00DE67C3">
        <w:rPr>
          <w:rFonts w:ascii="Arial" w:hAnsi="Arial" w:cs="Arial"/>
          <w:sz w:val="20"/>
          <w:szCs w:val="20"/>
        </w:rPr>
        <w:t>occupancy sensor measures removed to accommodate new code requirements.</w:t>
      </w:r>
    </w:p>
    <w:p w:rsidR="002B1C71" w:rsidRDefault="002B1C71" w:rsidP="00B3669B">
      <w:pPr>
        <w:rPr>
          <w:rFonts w:ascii="Arial" w:hAnsi="Arial" w:cs="Arial"/>
          <w:sz w:val="20"/>
          <w:szCs w:val="20"/>
        </w:rPr>
      </w:pPr>
      <w:bookmarkStart w:id="28" w:name="_GoBack"/>
      <w:bookmarkEnd w:id="28"/>
    </w:p>
    <w:p w:rsidR="00B3669B" w:rsidRDefault="00B3669B" w:rsidP="00B3669B">
      <w:pPr>
        <w:rPr>
          <w:rFonts w:ascii="Arial" w:hAnsi="Arial" w:cs="Arial"/>
          <w:sz w:val="20"/>
          <w:szCs w:val="20"/>
        </w:rPr>
      </w:pPr>
    </w:p>
    <w:p w:rsidR="00B3669B" w:rsidRDefault="00B3669B" w:rsidP="00B3669B">
      <w:pPr>
        <w:rPr>
          <w:rFonts w:ascii="Arial" w:hAnsi="Arial" w:cs="Arial"/>
          <w:sz w:val="20"/>
          <w:szCs w:val="20"/>
        </w:rPr>
      </w:pPr>
    </w:p>
    <w:p w:rsidR="00CB0475" w:rsidRPr="002B1C71" w:rsidRDefault="002B1C71" w:rsidP="009C5CA7">
      <w:pPr>
        <w:rPr>
          <w:rFonts w:ascii="Arial" w:hAnsi="Arial" w:cs="Arial"/>
          <w:b/>
          <w:color w:val="FF0000"/>
          <w:sz w:val="20"/>
          <w:szCs w:val="20"/>
        </w:rPr>
      </w:pPr>
      <w:r w:rsidRPr="00B13099">
        <w:rPr>
          <w:rFonts w:ascii="Arial" w:hAnsi="Arial" w:cs="Arial"/>
          <w:b/>
          <w:i/>
        </w:rPr>
        <w:lastRenderedPageBreak/>
        <w:t>Federal Standards:</w:t>
      </w:r>
      <w:r w:rsidRPr="00B13099">
        <w:t xml:space="preserve"> </w:t>
      </w:r>
      <w:r w:rsidRPr="00B13099">
        <w:rPr>
          <w:rFonts w:ascii="Arial" w:hAnsi="Arial" w:cs="Arial"/>
          <w:sz w:val="20"/>
          <w:szCs w:val="20"/>
        </w:rPr>
        <w:t>These measures do not fall under Federal DOE or EPA Energy Regulations.</w:t>
      </w:r>
      <w:r w:rsidR="009B4DB1">
        <w:rPr>
          <w:rFonts w:ascii="Arial" w:hAnsi="Arial" w:cs="Arial"/>
          <w:sz w:val="20"/>
          <w:szCs w:val="20"/>
        </w:rPr>
        <w:t xml:space="preserve"> </w:t>
      </w:r>
    </w:p>
    <w:p w:rsidR="002E0043" w:rsidRDefault="001248A3" w:rsidP="0012422F">
      <w:pPr>
        <w:pStyle w:val="Heading3"/>
      </w:pPr>
      <w:bookmarkStart w:id="29" w:name="_Toc390769234"/>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29"/>
    </w:p>
    <w:p w:rsidR="00432C65" w:rsidRDefault="00432C65" w:rsidP="00A35CF8">
      <w:pPr>
        <w:rPr>
          <w:rFonts w:ascii="Arial" w:hAnsi="Arial" w:cs="Arial"/>
          <w:b/>
          <w:i/>
        </w:rPr>
      </w:pPr>
    </w:p>
    <w:p w:rsidR="009E2964" w:rsidRDefault="009E2964" w:rsidP="00A35CF8">
      <w:pPr>
        <w:rPr>
          <w:rFonts w:ascii="Arial" w:hAnsi="Arial" w:cs="Arial"/>
          <w:b/>
          <w:i/>
        </w:rPr>
      </w:pPr>
      <w:r w:rsidRPr="00C80E3F">
        <w:rPr>
          <w:rFonts w:ascii="Arial" w:hAnsi="Arial" w:cs="Arial"/>
          <w:b/>
          <w:i/>
        </w:rPr>
        <w:t xml:space="preserve">1.4.3.1 </w:t>
      </w:r>
      <w:r w:rsidR="001B5D49">
        <w:rPr>
          <w:rFonts w:ascii="Arial" w:hAnsi="Arial" w:cs="Arial"/>
          <w:b/>
          <w:i/>
        </w:rPr>
        <w:t>LBNL</w:t>
      </w:r>
      <w:r w:rsidR="00306FD6">
        <w:rPr>
          <w:rFonts w:ascii="Arial" w:hAnsi="Arial" w:cs="Arial"/>
          <w:b/>
          <w:i/>
        </w:rPr>
        <w:t>:</w:t>
      </w:r>
      <w:r w:rsidR="001B5D49" w:rsidRPr="001B5D49">
        <w:t xml:space="preserve"> </w:t>
      </w:r>
      <w:r w:rsidR="001B5D49" w:rsidRPr="001B5D49">
        <w:rPr>
          <w:rFonts w:ascii="Arial" w:hAnsi="Arial" w:cs="Arial"/>
          <w:b/>
          <w:i/>
        </w:rPr>
        <w:t>A Meta-Analysis of Energy Savings from Lighting Controls in Commercial Buildings.</w:t>
      </w:r>
      <w:r w:rsidR="00C80E3F">
        <w:rPr>
          <w:rStyle w:val="EndnoteReference"/>
          <w:rFonts w:ascii="Arial" w:hAnsi="Arial" w:cs="Arial"/>
          <w:b/>
          <w:i/>
        </w:rPr>
        <w:endnoteReference w:id="4"/>
      </w:r>
    </w:p>
    <w:p w:rsidR="00432C65" w:rsidRDefault="00432C65" w:rsidP="00A35CF8">
      <w:pPr>
        <w:rPr>
          <w:rFonts w:ascii="Arial" w:hAnsi="Arial" w:cs="Arial"/>
          <w:b/>
          <w:i/>
          <w:sz w:val="20"/>
          <w:szCs w:val="20"/>
          <w:highlight w:val="cyan"/>
        </w:rPr>
      </w:pPr>
    </w:p>
    <w:p w:rsidR="005B2FD9" w:rsidRDefault="002B1C71" w:rsidP="001D27BF">
      <w:pPr>
        <w:rPr>
          <w:rFonts w:ascii="Arial" w:hAnsi="Arial" w:cs="Arial"/>
          <w:sz w:val="20"/>
          <w:szCs w:val="20"/>
        </w:rPr>
      </w:pPr>
      <w:r w:rsidRPr="001D27BF">
        <w:rPr>
          <w:rFonts w:ascii="Arial" w:hAnsi="Arial" w:cs="Arial"/>
          <w:sz w:val="20"/>
          <w:szCs w:val="20"/>
        </w:rPr>
        <w:t xml:space="preserve">The Lawrence Berkeley National Laboratory, in September 2011, published a research report on energy savings </w:t>
      </w:r>
      <w:r w:rsidR="009C6828" w:rsidRPr="001D27BF">
        <w:rPr>
          <w:rFonts w:ascii="Arial" w:hAnsi="Arial" w:cs="Arial"/>
          <w:sz w:val="20"/>
          <w:szCs w:val="20"/>
        </w:rPr>
        <w:t xml:space="preserve">achievable </w:t>
      </w:r>
      <w:r w:rsidR="00B574E9">
        <w:rPr>
          <w:rFonts w:ascii="Arial" w:hAnsi="Arial" w:cs="Arial"/>
          <w:sz w:val="20"/>
          <w:szCs w:val="20"/>
        </w:rPr>
        <w:t>through</w:t>
      </w:r>
      <w:r w:rsidR="009C6828" w:rsidRPr="001D27BF">
        <w:rPr>
          <w:rFonts w:ascii="Arial" w:hAnsi="Arial" w:cs="Arial"/>
          <w:sz w:val="20"/>
          <w:szCs w:val="20"/>
        </w:rPr>
        <w:t xml:space="preserve"> lighting controls in commercial buildings. This meta-study compiled the results from a total of 240</w:t>
      </w:r>
      <w:r w:rsidR="00300931">
        <w:rPr>
          <w:rFonts w:ascii="Arial" w:hAnsi="Arial" w:cs="Arial"/>
          <w:sz w:val="20"/>
          <w:szCs w:val="20"/>
        </w:rPr>
        <w:t xml:space="preserve"> lighting controls projects and scenarios</w:t>
      </w:r>
      <w:r w:rsidR="009C6828" w:rsidRPr="001D27BF">
        <w:rPr>
          <w:rFonts w:ascii="Arial" w:hAnsi="Arial" w:cs="Arial"/>
          <w:sz w:val="20"/>
          <w:szCs w:val="20"/>
        </w:rPr>
        <w:t xml:space="preserve"> from 88 unique papers and case studies to estimate expected energy savings resulting from the implementation of various lighting controls strategies</w:t>
      </w:r>
      <w:r w:rsidR="00300931">
        <w:rPr>
          <w:rFonts w:ascii="Arial" w:hAnsi="Arial" w:cs="Arial"/>
          <w:sz w:val="20"/>
          <w:szCs w:val="20"/>
        </w:rPr>
        <w:t>. The lighting controls strategies considered</w:t>
      </w:r>
      <w:r w:rsidR="009C6828" w:rsidRPr="001D27BF">
        <w:rPr>
          <w:rFonts w:ascii="Arial" w:hAnsi="Arial" w:cs="Arial"/>
          <w:sz w:val="20"/>
          <w:szCs w:val="20"/>
        </w:rPr>
        <w:t xml:space="preserve"> includ</w:t>
      </w:r>
      <w:r w:rsidR="00300931">
        <w:rPr>
          <w:rFonts w:ascii="Arial" w:hAnsi="Arial" w:cs="Arial"/>
          <w:sz w:val="20"/>
          <w:szCs w:val="20"/>
        </w:rPr>
        <w:t>e</w:t>
      </w:r>
      <w:r w:rsidR="009C6828" w:rsidRPr="001D27BF">
        <w:rPr>
          <w:rFonts w:ascii="Arial" w:hAnsi="Arial" w:cs="Arial"/>
          <w:sz w:val="20"/>
          <w:szCs w:val="20"/>
        </w:rPr>
        <w:t xml:space="preserve"> tuning</w:t>
      </w:r>
      <w:r w:rsidR="005517A2">
        <w:rPr>
          <w:rFonts w:ascii="Arial" w:hAnsi="Arial" w:cs="Arial"/>
          <w:sz w:val="20"/>
          <w:szCs w:val="20"/>
        </w:rPr>
        <w:t xml:space="preserve"> (referred to in the study as institutional tuning)</w:t>
      </w:r>
      <w:r w:rsidR="009C6828" w:rsidRPr="001D27BF">
        <w:rPr>
          <w:rFonts w:ascii="Arial" w:hAnsi="Arial" w:cs="Arial"/>
          <w:sz w:val="20"/>
          <w:szCs w:val="20"/>
        </w:rPr>
        <w:t xml:space="preserve"> and daylight</w:t>
      </w:r>
      <w:r w:rsidR="00465447">
        <w:rPr>
          <w:rFonts w:ascii="Arial" w:hAnsi="Arial" w:cs="Arial"/>
          <w:sz w:val="20"/>
          <w:szCs w:val="20"/>
        </w:rPr>
        <w:t xml:space="preserve"> harvesting</w:t>
      </w:r>
      <w:r w:rsidR="009C6828" w:rsidRPr="001D27BF">
        <w:rPr>
          <w:rFonts w:ascii="Arial" w:hAnsi="Arial" w:cs="Arial"/>
          <w:sz w:val="20"/>
          <w:szCs w:val="20"/>
        </w:rPr>
        <w:t xml:space="preserve">. </w:t>
      </w:r>
    </w:p>
    <w:p w:rsidR="001D27BF" w:rsidRDefault="001D27BF" w:rsidP="00A35CF8">
      <w:pPr>
        <w:rPr>
          <w:rFonts w:ascii="Arial" w:hAnsi="Arial" w:cs="Arial"/>
          <w:sz w:val="20"/>
          <w:szCs w:val="20"/>
        </w:rPr>
      </w:pPr>
    </w:p>
    <w:p w:rsidR="001D27BF" w:rsidRPr="001A5482" w:rsidRDefault="001A5482" w:rsidP="00A35CF8">
      <w:pPr>
        <w:rPr>
          <w:rFonts w:ascii="Arial" w:hAnsi="Arial" w:cs="Arial"/>
          <w:sz w:val="20"/>
          <w:szCs w:val="20"/>
        </w:rPr>
      </w:pPr>
      <w:r w:rsidRPr="001A5482">
        <w:rPr>
          <w:rFonts w:ascii="Arial" w:hAnsi="Arial" w:cs="Arial"/>
          <w:sz w:val="20"/>
          <w:szCs w:val="20"/>
        </w:rPr>
        <w:t>LBNL foun</w:t>
      </w:r>
      <w:r>
        <w:rPr>
          <w:rFonts w:ascii="Arial" w:hAnsi="Arial" w:cs="Arial"/>
          <w:sz w:val="20"/>
          <w:szCs w:val="20"/>
        </w:rPr>
        <w:t xml:space="preserve">d average savings from institutional tuning to be 36% on average. This value is used to justify the conservative selection of a 20% energy savings assumption for </w:t>
      </w:r>
      <w:r w:rsidR="00C920A1">
        <w:rPr>
          <w:rFonts w:ascii="Arial" w:hAnsi="Arial" w:cs="Arial"/>
          <w:sz w:val="20"/>
          <w:szCs w:val="20"/>
        </w:rPr>
        <w:t>the tuning measure</w:t>
      </w:r>
      <w:r>
        <w:rPr>
          <w:rFonts w:ascii="Arial" w:hAnsi="Arial" w:cs="Arial"/>
          <w:sz w:val="20"/>
          <w:szCs w:val="20"/>
        </w:rPr>
        <w:t>.</w:t>
      </w:r>
      <w:r w:rsidR="00BC6972">
        <w:rPr>
          <w:rFonts w:ascii="Arial" w:hAnsi="Arial" w:cs="Arial"/>
          <w:sz w:val="20"/>
          <w:szCs w:val="20"/>
        </w:rPr>
        <w:t xml:space="preserve"> </w:t>
      </w:r>
      <w:r w:rsidR="00DF754A">
        <w:rPr>
          <w:rFonts w:ascii="Arial" w:hAnsi="Arial" w:cs="Arial"/>
          <w:sz w:val="20"/>
          <w:szCs w:val="20"/>
        </w:rPr>
        <w:t xml:space="preserve">A 20% power reduction is commonly cited by lighting </w:t>
      </w:r>
      <w:proofErr w:type="spellStart"/>
      <w:r w:rsidR="00DF754A">
        <w:rPr>
          <w:rFonts w:ascii="Arial" w:hAnsi="Arial" w:cs="Arial"/>
          <w:sz w:val="20"/>
          <w:szCs w:val="20"/>
        </w:rPr>
        <w:t>specifiers</w:t>
      </w:r>
      <w:proofErr w:type="spellEnd"/>
      <w:r w:rsidR="00DF754A">
        <w:rPr>
          <w:rFonts w:ascii="Arial" w:hAnsi="Arial" w:cs="Arial"/>
          <w:sz w:val="20"/>
          <w:szCs w:val="20"/>
        </w:rPr>
        <w:t xml:space="preserve"> and designers as a typical target for energy savings from tuning, and was selected as the energy savings assumption for tuning. </w:t>
      </w:r>
      <w:r w:rsidR="00BC6972">
        <w:rPr>
          <w:rFonts w:ascii="Arial" w:hAnsi="Arial" w:cs="Arial"/>
          <w:sz w:val="20"/>
          <w:szCs w:val="20"/>
        </w:rPr>
        <w:t xml:space="preserve">The Advanced Lighting Guidelines, developed and adopted by the California Energy Commission, state that </w:t>
      </w:r>
      <w:r w:rsidR="00DF754A">
        <w:rPr>
          <w:rFonts w:ascii="Arial" w:hAnsi="Arial" w:cs="Arial"/>
          <w:sz w:val="20"/>
          <w:szCs w:val="20"/>
        </w:rPr>
        <w:t>differences in light output of 25% or less (which generally corresponds to a</w:t>
      </w:r>
      <w:r w:rsidR="00D7029C">
        <w:rPr>
          <w:rFonts w:ascii="Arial" w:hAnsi="Arial" w:cs="Arial"/>
          <w:sz w:val="20"/>
          <w:szCs w:val="20"/>
        </w:rPr>
        <w:t>n actual</w:t>
      </w:r>
      <w:r w:rsidR="00DF754A">
        <w:rPr>
          <w:rFonts w:ascii="Arial" w:hAnsi="Arial" w:cs="Arial"/>
          <w:sz w:val="20"/>
          <w:szCs w:val="20"/>
        </w:rPr>
        <w:t xml:space="preserve"> power </w:t>
      </w:r>
      <w:r w:rsidR="00D7029C">
        <w:rPr>
          <w:rFonts w:ascii="Arial" w:hAnsi="Arial" w:cs="Arial"/>
          <w:sz w:val="20"/>
          <w:szCs w:val="20"/>
        </w:rPr>
        <w:t xml:space="preserve">draw </w:t>
      </w:r>
      <w:r w:rsidR="00DF754A">
        <w:rPr>
          <w:rFonts w:ascii="Arial" w:hAnsi="Arial" w:cs="Arial"/>
          <w:sz w:val="20"/>
          <w:szCs w:val="20"/>
        </w:rPr>
        <w:t>reduction of less than 25%) have little to no impact on visual performance.</w:t>
      </w:r>
      <w:r w:rsidR="008756A8">
        <w:rPr>
          <w:rStyle w:val="EndnoteReference"/>
          <w:rFonts w:ascii="Arial" w:hAnsi="Arial" w:cs="Arial"/>
          <w:sz w:val="20"/>
          <w:szCs w:val="20"/>
        </w:rPr>
        <w:endnoteReference w:id="5"/>
      </w:r>
    </w:p>
    <w:p w:rsidR="001A5482" w:rsidRDefault="001A5482" w:rsidP="00A35CF8">
      <w:pPr>
        <w:rPr>
          <w:b/>
        </w:rPr>
      </w:pPr>
    </w:p>
    <w:p w:rsidR="00A35CF8" w:rsidRDefault="00C76C24" w:rsidP="00A35CF8">
      <w:pPr>
        <w:rPr>
          <w:rFonts w:ascii="Arial" w:hAnsi="Arial" w:cs="Arial"/>
          <w:i/>
          <w:sz w:val="20"/>
          <w:szCs w:val="20"/>
        </w:rPr>
      </w:pPr>
      <w:r w:rsidRPr="00432C65">
        <w:rPr>
          <w:rFonts w:ascii="Arial" w:hAnsi="Arial" w:cs="Arial"/>
          <w:b/>
          <w:sz w:val="20"/>
          <w:szCs w:val="20"/>
        </w:rPr>
        <w:t>Energy Savings</w:t>
      </w:r>
      <w:r w:rsidR="00A35CF8" w:rsidRPr="00432C65">
        <w:rPr>
          <w:rFonts w:ascii="Arial" w:hAnsi="Arial" w:cs="Arial"/>
          <w:b/>
          <w:sz w:val="20"/>
          <w:szCs w:val="20"/>
        </w:rPr>
        <w:t xml:space="preserve"> Assumption </w:t>
      </w:r>
      <w:r w:rsidR="00D2644B">
        <w:rPr>
          <w:rFonts w:ascii="Arial" w:hAnsi="Arial" w:cs="Arial"/>
          <w:b/>
          <w:sz w:val="20"/>
          <w:szCs w:val="20"/>
        </w:rPr>
        <w:t xml:space="preserve">for Tuning </w:t>
      </w:r>
      <w:r w:rsidR="00A35CF8" w:rsidRPr="00432C65">
        <w:rPr>
          <w:rFonts w:ascii="Arial" w:hAnsi="Arial" w:cs="Arial"/>
          <w:b/>
          <w:sz w:val="20"/>
          <w:szCs w:val="20"/>
        </w:rPr>
        <w:t>(ΔW</w:t>
      </w:r>
      <w:r w:rsidRPr="00432C65">
        <w:rPr>
          <w:rFonts w:ascii="Arial" w:hAnsi="Arial" w:cs="Arial"/>
          <w:b/>
          <w:sz w:val="20"/>
          <w:szCs w:val="20"/>
        </w:rPr>
        <w:t xml:space="preserve">, </w:t>
      </w:r>
      <w:proofErr w:type="spellStart"/>
      <w:r w:rsidRPr="00432C65">
        <w:rPr>
          <w:rFonts w:ascii="Arial" w:hAnsi="Arial" w:cs="Arial"/>
          <w:b/>
          <w:sz w:val="20"/>
          <w:szCs w:val="20"/>
        </w:rPr>
        <w:t>ΔTherms</w:t>
      </w:r>
      <w:proofErr w:type="spellEnd"/>
      <w:r w:rsidR="00A35CF8" w:rsidRPr="00432C65">
        <w:rPr>
          <w:rFonts w:ascii="Arial" w:hAnsi="Arial" w:cs="Arial"/>
          <w:b/>
          <w:sz w:val="20"/>
          <w:szCs w:val="20"/>
        </w:rPr>
        <w:t>):</w:t>
      </w:r>
      <w:r w:rsidR="009B4DB1">
        <w:rPr>
          <w:rFonts w:ascii="Arial" w:hAnsi="Arial" w:cs="Arial"/>
          <w:sz w:val="20"/>
          <w:szCs w:val="20"/>
        </w:rPr>
        <w:t xml:space="preserve"> </w:t>
      </w:r>
    </w:p>
    <w:p w:rsidR="001A5482" w:rsidRDefault="001A5482" w:rsidP="001A5482">
      <w:pPr>
        <w:numPr>
          <w:ilvl w:val="0"/>
          <w:numId w:val="11"/>
        </w:numPr>
        <w:rPr>
          <w:rFonts w:ascii="Arial" w:hAnsi="Arial" w:cs="Arial"/>
          <w:sz w:val="20"/>
          <w:szCs w:val="20"/>
        </w:rPr>
      </w:pPr>
      <w:r w:rsidRPr="001A5482">
        <w:rPr>
          <w:rFonts w:ascii="Arial" w:hAnsi="Arial" w:cs="Arial"/>
          <w:sz w:val="20"/>
          <w:szCs w:val="20"/>
        </w:rPr>
        <w:t xml:space="preserve">The requirements for this measure are designed to ensure that the dimmable ballast is tuned upon installation to capture at least </w:t>
      </w:r>
      <w:r w:rsidR="00E867AB">
        <w:rPr>
          <w:rFonts w:ascii="Arial" w:hAnsi="Arial" w:cs="Arial"/>
          <w:sz w:val="20"/>
          <w:szCs w:val="20"/>
        </w:rPr>
        <w:t xml:space="preserve">a </w:t>
      </w:r>
      <w:r w:rsidRPr="001A5482">
        <w:rPr>
          <w:rFonts w:ascii="Arial" w:hAnsi="Arial" w:cs="Arial"/>
          <w:sz w:val="20"/>
          <w:szCs w:val="20"/>
        </w:rPr>
        <w:t>20% power reduction over the assumed base</w:t>
      </w:r>
      <w:r w:rsidR="006A7AF3">
        <w:rPr>
          <w:rFonts w:ascii="Arial" w:hAnsi="Arial" w:cs="Arial"/>
          <w:sz w:val="20"/>
          <w:szCs w:val="20"/>
        </w:rPr>
        <w:t xml:space="preserve"> </w:t>
      </w:r>
      <w:r w:rsidRPr="001A5482">
        <w:rPr>
          <w:rFonts w:ascii="Arial" w:hAnsi="Arial" w:cs="Arial"/>
          <w:sz w:val="20"/>
          <w:szCs w:val="20"/>
        </w:rPr>
        <w:t>case</w:t>
      </w:r>
      <w:r w:rsidR="002F06D2">
        <w:rPr>
          <w:rFonts w:ascii="Arial" w:hAnsi="Arial" w:cs="Arial"/>
          <w:sz w:val="20"/>
          <w:szCs w:val="20"/>
        </w:rPr>
        <w:t xml:space="preserve"> fixture</w:t>
      </w:r>
      <w:r w:rsidRPr="001A5482">
        <w:rPr>
          <w:rFonts w:ascii="Arial" w:hAnsi="Arial" w:cs="Arial"/>
          <w:sz w:val="20"/>
          <w:szCs w:val="20"/>
        </w:rPr>
        <w:t xml:space="preserve">. Table </w:t>
      </w:r>
      <w:r w:rsidR="00BC6972">
        <w:rPr>
          <w:rFonts w:ascii="Arial" w:hAnsi="Arial" w:cs="Arial"/>
          <w:sz w:val="20"/>
          <w:szCs w:val="20"/>
        </w:rPr>
        <w:t>1</w:t>
      </w:r>
      <w:r w:rsidRPr="001A5482">
        <w:rPr>
          <w:rFonts w:ascii="Arial" w:hAnsi="Arial" w:cs="Arial"/>
          <w:sz w:val="20"/>
          <w:szCs w:val="20"/>
        </w:rPr>
        <w:t xml:space="preserve"> in Section 1.</w:t>
      </w:r>
      <w:r w:rsidR="00C920A1">
        <w:rPr>
          <w:rFonts w:ascii="Arial" w:hAnsi="Arial" w:cs="Arial"/>
          <w:sz w:val="20"/>
          <w:szCs w:val="20"/>
        </w:rPr>
        <w:t>1</w:t>
      </w:r>
      <w:r w:rsidRPr="001A5482">
        <w:rPr>
          <w:rFonts w:ascii="Arial" w:hAnsi="Arial" w:cs="Arial"/>
          <w:sz w:val="20"/>
          <w:szCs w:val="20"/>
        </w:rPr>
        <w:t xml:space="preserve"> provides the tuning guidance that </w:t>
      </w:r>
      <w:r w:rsidR="00F50EA3">
        <w:rPr>
          <w:rFonts w:ascii="Arial" w:hAnsi="Arial" w:cs="Arial"/>
          <w:sz w:val="20"/>
          <w:szCs w:val="20"/>
        </w:rPr>
        <w:t>results in an average</w:t>
      </w:r>
      <w:r w:rsidRPr="001A5482">
        <w:rPr>
          <w:rFonts w:ascii="Arial" w:hAnsi="Arial" w:cs="Arial"/>
          <w:sz w:val="20"/>
          <w:szCs w:val="20"/>
        </w:rPr>
        <w:t xml:space="preserve"> energy savings of 20% or greater for each installed fixture. </w:t>
      </w:r>
      <w:r w:rsidR="002F06D2">
        <w:rPr>
          <w:rFonts w:ascii="Arial" w:hAnsi="Arial" w:cs="Arial"/>
          <w:sz w:val="20"/>
          <w:szCs w:val="20"/>
        </w:rPr>
        <w:t>Calculations for this tuning guidance are shown in the worksheet tabs: “BF table 2-lamp” and “BF table 3-lamp.”</w:t>
      </w:r>
      <w:r w:rsidR="005F02BD" w:rsidRPr="005F02BD">
        <w:rPr>
          <w:vertAlign w:val="superscript"/>
        </w:rPr>
        <w:fldChar w:fldCharType="begin"/>
      </w:r>
      <w:r w:rsidR="005F02BD" w:rsidRPr="005F02BD">
        <w:rPr>
          <w:rFonts w:ascii="Arial" w:hAnsi="Arial" w:cs="Arial"/>
          <w:sz w:val="20"/>
          <w:szCs w:val="20"/>
          <w:vertAlign w:val="superscript"/>
        </w:rPr>
        <w:instrText xml:space="preserve"> NOTEREF _Ref350352730 \h </w:instrText>
      </w:r>
      <w:r w:rsidR="005F02BD">
        <w:rPr>
          <w:vertAlign w:val="superscript"/>
        </w:rPr>
        <w:instrText xml:space="preserve"> \* MERGEFORMAT </w:instrText>
      </w:r>
      <w:r w:rsidR="005F02BD" w:rsidRPr="005F02BD">
        <w:rPr>
          <w:vertAlign w:val="superscript"/>
        </w:rPr>
      </w:r>
      <w:r w:rsidR="005F02BD" w:rsidRPr="005F02BD">
        <w:rPr>
          <w:vertAlign w:val="superscript"/>
        </w:rPr>
        <w:fldChar w:fldCharType="separate"/>
      </w:r>
      <w:r w:rsidR="003A4812">
        <w:rPr>
          <w:rFonts w:ascii="Arial" w:hAnsi="Arial" w:cs="Arial"/>
          <w:sz w:val="20"/>
          <w:szCs w:val="20"/>
          <w:vertAlign w:val="superscript"/>
        </w:rPr>
        <w:t>3</w:t>
      </w:r>
      <w:r w:rsidR="005F02BD" w:rsidRPr="005F02BD">
        <w:rPr>
          <w:vertAlign w:val="superscript"/>
        </w:rPr>
        <w:fldChar w:fldCharType="end"/>
      </w:r>
    </w:p>
    <w:p w:rsidR="00300931" w:rsidRPr="001A5482" w:rsidRDefault="00300931" w:rsidP="001A5482">
      <w:pPr>
        <w:numPr>
          <w:ilvl w:val="0"/>
          <w:numId w:val="11"/>
        </w:numPr>
        <w:rPr>
          <w:rFonts w:ascii="Arial" w:hAnsi="Arial" w:cs="Arial"/>
          <w:sz w:val="20"/>
          <w:szCs w:val="20"/>
        </w:rPr>
      </w:pPr>
      <w:r>
        <w:rPr>
          <w:rFonts w:ascii="Arial" w:hAnsi="Arial" w:cs="Arial"/>
          <w:sz w:val="20"/>
          <w:szCs w:val="20"/>
        </w:rPr>
        <w:t>PG&amp;E Appendix B: Table of Standard Fixture Wattages was consulted for the base case power draw for the existing ballast.</w:t>
      </w:r>
      <w:r w:rsidR="00D0231D">
        <w:rPr>
          <w:rStyle w:val="EndnoteReference"/>
          <w:rFonts w:ascii="Arial" w:hAnsi="Arial" w:cs="Arial"/>
          <w:sz w:val="20"/>
          <w:szCs w:val="20"/>
        </w:rPr>
        <w:endnoteReference w:id="6"/>
      </w:r>
      <w:r>
        <w:rPr>
          <w:rFonts w:ascii="Arial" w:hAnsi="Arial" w:cs="Arial"/>
          <w:sz w:val="20"/>
          <w:szCs w:val="20"/>
        </w:rPr>
        <w:t xml:space="preserve"> </w:t>
      </w:r>
    </w:p>
    <w:p w:rsidR="00384159" w:rsidRPr="00A67307" w:rsidRDefault="00384159" w:rsidP="008565EC">
      <w:pPr>
        <w:keepNext/>
        <w:keepLines/>
        <w:ind w:left="1080"/>
        <w:rPr>
          <w:rFonts w:ascii="Arial" w:hAnsi="Arial" w:cs="Arial"/>
          <w:sz w:val="20"/>
          <w:szCs w:val="20"/>
        </w:rPr>
      </w:pPr>
    </w:p>
    <w:p w:rsidR="00C76C24" w:rsidRDefault="00C76C24" w:rsidP="00C80E3F">
      <w:pPr>
        <w:rPr>
          <w:rFonts w:ascii="Arial" w:hAnsi="Arial" w:cs="Arial"/>
          <w:b/>
          <w:sz w:val="20"/>
          <w:szCs w:val="20"/>
        </w:rPr>
      </w:pPr>
    </w:p>
    <w:p w:rsidR="009C5CA7" w:rsidRDefault="001248A3" w:rsidP="00383CDA">
      <w:pPr>
        <w:pStyle w:val="Heading3"/>
      </w:pPr>
      <w:bookmarkStart w:id="30" w:name="_Toc390769235"/>
      <w:r>
        <w:t>1.</w:t>
      </w:r>
      <w:r w:rsidR="00264B03">
        <w:t xml:space="preserve">4.4 </w:t>
      </w:r>
      <w:r w:rsidR="009C5CA7">
        <w:t xml:space="preserve">Assumptions and </w:t>
      </w:r>
      <w:r w:rsidR="00264B03">
        <w:t>Calculations from other sources—Base and Measure Cases</w:t>
      </w:r>
      <w:bookmarkEnd w:id="30"/>
    </w:p>
    <w:p w:rsidR="005B5676" w:rsidRPr="005B5676" w:rsidRDefault="005B5676" w:rsidP="005B5676">
      <w:pPr>
        <w:rPr>
          <w:rFonts w:ascii="Arial" w:hAnsi="Arial" w:cs="Arial"/>
          <w:sz w:val="20"/>
          <w:szCs w:val="20"/>
        </w:rPr>
      </w:pPr>
      <w:r w:rsidRPr="005B5676">
        <w:rPr>
          <w:rFonts w:ascii="Arial" w:hAnsi="Arial" w:cs="Arial"/>
          <w:sz w:val="20"/>
          <w:szCs w:val="20"/>
        </w:rPr>
        <w:t xml:space="preserve">Equipment cost for daylight harvesting sensors was obtained through </w:t>
      </w:r>
      <w:proofErr w:type="spellStart"/>
      <w:r w:rsidRPr="005B5676">
        <w:rPr>
          <w:rFonts w:ascii="Arial" w:hAnsi="Arial" w:cs="Arial"/>
          <w:sz w:val="20"/>
          <w:szCs w:val="20"/>
        </w:rPr>
        <w:t>RSMeans</w:t>
      </w:r>
      <w:proofErr w:type="spellEnd"/>
      <w:r w:rsidRPr="005B5676">
        <w:rPr>
          <w:rFonts w:ascii="Arial" w:hAnsi="Arial" w:cs="Arial"/>
          <w:sz w:val="20"/>
          <w:szCs w:val="20"/>
        </w:rPr>
        <w:t xml:space="preserve"> data, which present the typical cost per sensor of $131.00 for materials and $79.00 for labor.</w:t>
      </w:r>
      <w:r w:rsidR="008756A8">
        <w:rPr>
          <w:rStyle w:val="EndnoteReference"/>
          <w:rFonts w:ascii="Arial" w:hAnsi="Arial" w:cs="Arial"/>
          <w:sz w:val="20"/>
          <w:szCs w:val="20"/>
        </w:rPr>
        <w:endnoteReference w:id="7"/>
      </w:r>
      <w:r w:rsidRPr="005B5676">
        <w:rPr>
          <w:rFonts w:ascii="Arial" w:hAnsi="Arial" w:cs="Arial"/>
          <w:sz w:val="20"/>
          <w:szCs w:val="20"/>
        </w:rPr>
        <w:t xml:space="preserve"> The 2013-2014 Title 24 Codes and Standards Enhancement (CASE) Study</w:t>
      </w:r>
      <w:r w:rsidR="00E30B56">
        <w:rPr>
          <w:rStyle w:val="EndnoteReference"/>
          <w:rFonts w:ascii="Arial" w:hAnsi="Arial" w:cs="Arial"/>
          <w:sz w:val="20"/>
          <w:szCs w:val="20"/>
        </w:rPr>
        <w:endnoteReference w:id="8"/>
      </w:r>
      <w:r w:rsidRPr="005B5676">
        <w:rPr>
          <w:rFonts w:ascii="Arial" w:hAnsi="Arial" w:cs="Arial"/>
          <w:sz w:val="20"/>
          <w:szCs w:val="20"/>
        </w:rPr>
        <w:t xml:space="preserve"> was consulted to estimate the number of fixtures a daylight harvesting sensor typically controls. The study presents assumptions for the typical number of fixtures served by a daylight harvesting sensor in three types of office lighting applications. For an office, the study assumes that five sensors are required for five fixtures</w:t>
      </w:r>
      <w:r>
        <w:rPr>
          <w:rFonts w:ascii="Arial" w:hAnsi="Arial" w:cs="Arial"/>
          <w:sz w:val="20"/>
          <w:szCs w:val="20"/>
        </w:rPr>
        <w:t xml:space="preserve"> (one sensor per fixture)</w:t>
      </w:r>
      <w:r w:rsidRPr="005B5676">
        <w:rPr>
          <w:rFonts w:ascii="Arial" w:hAnsi="Arial" w:cs="Arial"/>
          <w:sz w:val="20"/>
          <w:szCs w:val="20"/>
        </w:rPr>
        <w:t>. For an open office, the study assu</w:t>
      </w:r>
      <w:r>
        <w:rPr>
          <w:rFonts w:ascii="Arial" w:hAnsi="Arial" w:cs="Arial"/>
          <w:sz w:val="20"/>
          <w:szCs w:val="20"/>
        </w:rPr>
        <w:t xml:space="preserve">mes that two </w:t>
      </w:r>
      <w:r w:rsidRPr="005B5676">
        <w:rPr>
          <w:rFonts w:ascii="Arial" w:hAnsi="Arial" w:cs="Arial"/>
          <w:sz w:val="20"/>
          <w:szCs w:val="20"/>
        </w:rPr>
        <w:t>sensor</w:t>
      </w:r>
      <w:r>
        <w:rPr>
          <w:rFonts w:ascii="Arial" w:hAnsi="Arial" w:cs="Arial"/>
          <w:sz w:val="20"/>
          <w:szCs w:val="20"/>
        </w:rPr>
        <w:t xml:space="preserve">s are required for sixteen </w:t>
      </w:r>
      <w:r w:rsidRPr="005B5676">
        <w:rPr>
          <w:rFonts w:ascii="Arial" w:hAnsi="Arial" w:cs="Arial"/>
          <w:sz w:val="20"/>
          <w:szCs w:val="20"/>
        </w:rPr>
        <w:t>fixtures. For a reception are</w:t>
      </w:r>
      <w:r>
        <w:rPr>
          <w:rFonts w:ascii="Arial" w:hAnsi="Arial" w:cs="Arial"/>
          <w:sz w:val="20"/>
          <w:szCs w:val="20"/>
        </w:rPr>
        <w:t>a, the study assumes that one sensor is required for four</w:t>
      </w:r>
      <w:r w:rsidRPr="005B5676">
        <w:rPr>
          <w:rFonts w:ascii="Arial" w:hAnsi="Arial" w:cs="Arial"/>
          <w:sz w:val="20"/>
          <w:szCs w:val="20"/>
        </w:rPr>
        <w:t xml:space="preserve"> fixtures. </w:t>
      </w:r>
      <w:r>
        <w:rPr>
          <w:rFonts w:ascii="Arial" w:hAnsi="Arial" w:cs="Arial"/>
          <w:sz w:val="20"/>
          <w:szCs w:val="20"/>
        </w:rPr>
        <w:t>The</w:t>
      </w:r>
      <w:r w:rsidRPr="005B5676">
        <w:rPr>
          <w:rFonts w:ascii="Arial" w:hAnsi="Arial" w:cs="Arial"/>
          <w:sz w:val="20"/>
          <w:szCs w:val="20"/>
        </w:rPr>
        <w:t xml:space="preserve"> </w:t>
      </w:r>
      <w:r w:rsidR="009E6287">
        <w:rPr>
          <w:rFonts w:ascii="Arial" w:hAnsi="Arial" w:cs="Arial"/>
          <w:sz w:val="20"/>
          <w:szCs w:val="20"/>
        </w:rPr>
        <w:t>Gross Measure Cost (</w:t>
      </w:r>
      <w:r w:rsidRPr="005B5676">
        <w:rPr>
          <w:rFonts w:ascii="Arial" w:hAnsi="Arial" w:cs="Arial"/>
          <w:sz w:val="20"/>
          <w:szCs w:val="20"/>
        </w:rPr>
        <w:t>GMC</w:t>
      </w:r>
      <w:r w:rsidR="009E6287">
        <w:rPr>
          <w:rFonts w:ascii="Arial" w:hAnsi="Arial" w:cs="Arial"/>
          <w:sz w:val="20"/>
          <w:szCs w:val="20"/>
        </w:rPr>
        <w:t>)</w:t>
      </w:r>
      <w:r w:rsidRPr="005B5676">
        <w:rPr>
          <w:rFonts w:ascii="Arial" w:hAnsi="Arial" w:cs="Arial"/>
          <w:sz w:val="20"/>
          <w:szCs w:val="20"/>
        </w:rPr>
        <w:t xml:space="preserve"> for daylighting controls assumes </w:t>
      </w:r>
      <w:r>
        <w:rPr>
          <w:rFonts w:ascii="Arial" w:hAnsi="Arial" w:cs="Arial"/>
          <w:sz w:val="20"/>
          <w:szCs w:val="20"/>
        </w:rPr>
        <w:t xml:space="preserve">that </w:t>
      </w:r>
      <w:r w:rsidR="009B4DB1">
        <w:rPr>
          <w:rFonts w:ascii="Arial" w:hAnsi="Arial" w:cs="Arial"/>
          <w:sz w:val="20"/>
          <w:szCs w:val="20"/>
        </w:rPr>
        <w:t xml:space="preserve">as in reception areas, </w:t>
      </w:r>
      <w:r>
        <w:rPr>
          <w:rFonts w:ascii="Arial" w:hAnsi="Arial" w:cs="Arial"/>
          <w:sz w:val="20"/>
          <w:szCs w:val="20"/>
        </w:rPr>
        <w:t>one sensor</w:t>
      </w:r>
      <w:r w:rsidR="00405D34">
        <w:rPr>
          <w:rFonts w:ascii="Arial" w:hAnsi="Arial" w:cs="Arial"/>
          <w:sz w:val="20"/>
          <w:szCs w:val="20"/>
        </w:rPr>
        <w:t xml:space="preserve"> </w:t>
      </w:r>
      <w:r>
        <w:rPr>
          <w:rFonts w:ascii="Arial" w:hAnsi="Arial" w:cs="Arial"/>
          <w:sz w:val="20"/>
          <w:szCs w:val="20"/>
        </w:rPr>
        <w:t>is required for every four fixtures</w:t>
      </w:r>
      <w:r w:rsidR="00405D34" w:rsidRPr="00405D34">
        <w:rPr>
          <w:rFonts w:ascii="Arial" w:hAnsi="Arial" w:cs="Arial"/>
          <w:sz w:val="20"/>
          <w:szCs w:val="20"/>
        </w:rPr>
        <w:t xml:space="preserve"> </w:t>
      </w:r>
      <w:r w:rsidR="00405D34">
        <w:rPr>
          <w:rFonts w:ascii="Arial" w:hAnsi="Arial" w:cs="Arial"/>
          <w:sz w:val="20"/>
          <w:szCs w:val="20"/>
        </w:rPr>
        <w:t>on average</w:t>
      </w:r>
      <w:r w:rsidR="009B4DB1">
        <w:rPr>
          <w:rFonts w:ascii="Arial" w:hAnsi="Arial" w:cs="Arial"/>
          <w:sz w:val="20"/>
          <w:szCs w:val="20"/>
        </w:rPr>
        <w:t xml:space="preserve">. </w:t>
      </w:r>
      <w:r>
        <w:rPr>
          <w:rFonts w:ascii="Arial" w:hAnsi="Arial" w:cs="Arial"/>
          <w:sz w:val="20"/>
          <w:szCs w:val="20"/>
        </w:rPr>
        <w:t xml:space="preserve">This is roughly </w:t>
      </w:r>
      <w:r w:rsidR="009B4DB1">
        <w:rPr>
          <w:rFonts w:ascii="Arial" w:hAnsi="Arial" w:cs="Arial"/>
          <w:sz w:val="20"/>
          <w:szCs w:val="20"/>
        </w:rPr>
        <w:t>the</w:t>
      </w:r>
      <w:r>
        <w:rPr>
          <w:rFonts w:ascii="Arial" w:hAnsi="Arial" w:cs="Arial"/>
          <w:sz w:val="20"/>
          <w:szCs w:val="20"/>
        </w:rPr>
        <w:t xml:space="preserve"> average</w:t>
      </w:r>
      <w:r w:rsidR="009B4DB1">
        <w:rPr>
          <w:rFonts w:ascii="Arial" w:hAnsi="Arial" w:cs="Arial"/>
          <w:sz w:val="20"/>
          <w:szCs w:val="20"/>
        </w:rPr>
        <w:t xml:space="preserve"> sensor density required by the three common applications presented in the Title 24 CASE Study.</w:t>
      </w:r>
      <w:r>
        <w:rPr>
          <w:rFonts w:ascii="Arial" w:hAnsi="Arial" w:cs="Arial"/>
          <w:sz w:val="20"/>
          <w:szCs w:val="20"/>
        </w:rPr>
        <w:t xml:space="preserve"> </w:t>
      </w:r>
      <w:r w:rsidRPr="005B5676">
        <w:rPr>
          <w:rFonts w:ascii="Arial" w:hAnsi="Arial" w:cs="Arial"/>
          <w:sz w:val="20"/>
          <w:szCs w:val="20"/>
        </w:rPr>
        <w:t xml:space="preserve">Therefore, the </w:t>
      </w:r>
      <w:r w:rsidR="00716141">
        <w:rPr>
          <w:rFonts w:ascii="Arial" w:hAnsi="Arial" w:cs="Arial"/>
          <w:sz w:val="20"/>
          <w:szCs w:val="20"/>
        </w:rPr>
        <w:t>GMC</w:t>
      </w:r>
      <w:r w:rsidRPr="005B5676">
        <w:rPr>
          <w:rFonts w:ascii="Arial" w:hAnsi="Arial" w:cs="Arial"/>
          <w:sz w:val="20"/>
          <w:szCs w:val="20"/>
        </w:rPr>
        <w:t xml:space="preserve"> per </w:t>
      </w:r>
      <w:r w:rsidR="006D2633">
        <w:rPr>
          <w:rFonts w:ascii="Arial" w:hAnsi="Arial" w:cs="Arial"/>
          <w:sz w:val="20"/>
          <w:szCs w:val="20"/>
        </w:rPr>
        <w:t>fixture</w:t>
      </w:r>
      <w:r w:rsidRPr="005B5676">
        <w:rPr>
          <w:rFonts w:ascii="Arial" w:hAnsi="Arial" w:cs="Arial"/>
          <w:sz w:val="20"/>
          <w:szCs w:val="20"/>
        </w:rPr>
        <w:t xml:space="preserve"> for each daylight harvesting sensor is $</w:t>
      </w:r>
      <w:r w:rsidR="009B4DB1">
        <w:rPr>
          <w:rFonts w:ascii="Arial" w:hAnsi="Arial" w:cs="Arial"/>
          <w:sz w:val="20"/>
          <w:szCs w:val="20"/>
        </w:rPr>
        <w:t>52</w:t>
      </w:r>
      <w:r w:rsidRPr="005B5676">
        <w:rPr>
          <w:rFonts w:ascii="Arial" w:hAnsi="Arial" w:cs="Arial"/>
          <w:sz w:val="20"/>
          <w:szCs w:val="20"/>
        </w:rPr>
        <w:t>.</w:t>
      </w:r>
      <w:r w:rsidR="009B4DB1">
        <w:rPr>
          <w:rFonts w:ascii="Arial" w:hAnsi="Arial" w:cs="Arial"/>
          <w:sz w:val="20"/>
          <w:szCs w:val="20"/>
        </w:rPr>
        <w:t>50</w:t>
      </w:r>
      <w:r w:rsidRPr="005B5676">
        <w:rPr>
          <w:rFonts w:ascii="Arial" w:hAnsi="Arial" w:cs="Arial"/>
          <w:sz w:val="20"/>
          <w:szCs w:val="20"/>
        </w:rPr>
        <w:t>. Table 13 shows the measure case cost per measure. The cost varies for each measure depending on the included equipment.</w:t>
      </w:r>
    </w:p>
    <w:p w:rsidR="000701EB" w:rsidRDefault="000701EB" w:rsidP="009C5CA7">
      <w:pPr>
        <w:rPr>
          <w:rFonts w:ascii="Arial" w:hAnsi="Arial" w:cs="Arial"/>
          <w:b/>
          <w:i/>
          <w:sz w:val="20"/>
          <w:szCs w:val="20"/>
        </w:rPr>
      </w:pPr>
    </w:p>
    <w:p w:rsidR="00BB6C0E" w:rsidRPr="004162E3" w:rsidRDefault="00BB6C0E" w:rsidP="009C5CA7">
      <w:pPr>
        <w:rPr>
          <w:rFonts w:ascii="Arial" w:hAnsi="Arial" w:cs="Arial"/>
          <w:b/>
          <w:i/>
          <w:sz w:val="20"/>
          <w:szCs w:val="20"/>
        </w:rPr>
      </w:pPr>
    </w:p>
    <w:p w:rsidR="00B42C54" w:rsidRDefault="009E7DCD" w:rsidP="00B42C54">
      <w:pPr>
        <w:rPr>
          <w:rFonts w:ascii="Arial" w:hAnsi="Arial" w:cs="Arial"/>
          <w:b/>
          <w:sz w:val="20"/>
          <w:szCs w:val="20"/>
        </w:rPr>
      </w:pPr>
      <w:r>
        <w:rPr>
          <w:rFonts w:ascii="Arial" w:hAnsi="Arial" w:cs="Arial"/>
          <w:b/>
          <w:sz w:val="20"/>
          <w:szCs w:val="20"/>
        </w:rPr>
        <w:t>Base Case Costs and Measure Case Costs</w:t>
      </w:r>
      <w:r w:rsidR="00D050AD">
        <w:rPr>
          <w:rFonts w:ascii="Arial" w:hAnsi="Arial" w:cs="Arial"/>
          <w:b/>
          <w:sz w:val="20"/>
          <w:szCs w:val="20"/>
        </w:rPr>
        <w:t xml:space="preserve"> for daylight</w:t>
      </w:r>
      <w:r w:rsidR="00D0662A">
        <w:rPr>
          <w:rFonts w:ascii="Arial" w:hAnsi="Arial" w:cs="Arial"/>
          <w:b/>
          <w:sz w:val="20"/>
          <w:szCs w:val="20"/>
        </w:rPr>
        <w:t xml:space="preserve"> harvesting sensors only (ballast costs not included)</w:t>
      </w:r>
      <w:r w:rsidR="00B42C54">
        <w:rPr>
          <w:rFonts w:ascii="Arial" w:hAnsi="Arial" w:cs="Arial"/>
          <w:b/>
          <w:sz w:val="20"/>
          <w:szCs w:val="20"/>
        </w:rPr>
        <w:t>:</w:t>
      </w:r>
    </w:p>
    <w:p w:rsidR="005030CC" w:rsidRPr="00987E90" w:rsidRDefault="005030CC" w:rsidP="005030CC">
      <w:pPr>
        <w:numPr>
          <w:ilvl w:val="0"/>
          <w:numId w:val="23"/>
        </w:numPr>
        <w:rPr>
          <w:rFonts w:ascii="Arial" w:hAnsi="Arial" w:cs="Arial"/>
          <w:sz w:val="20"/>
          <w:szCs w:val="20"/>
        </w:rPr>
      </w:pPr>
      <w:r>
        <w:rPr>
          <w:rFonts w:ascii="Arial" w:hAnsi="Arial" w:cs="Arial"/>
          <w:sz w:val="20"/>
          <w:szCs w:val="20"/>
        </w:rPr>
        <w:lastRenderedPageBreak/>
        <w:t>Base Case and Measure Case fixture costs are not included in the following table.</w:t>
      </w:r>
    </w:p>
    <w:p w:rsidR="00351683" w:rsidRDefault="00351683" w:rsidP="00351683">
      <w:pPr>
        <w:numPr>
          <w:ilvl w:val="0"/>
          <w:numId w:val="23"/>
        </w:numPr>
        <w:rPr>
          <w:rFonts w:ascii="Arial" w:hAnsi="Arial" w:cs="Arial"/>
          <w:sz w:val="20"/>
          <w:szCs w:val="20"/>
        </w:rPr>
      </w:pPr>
      <w:r w:rsidRPr="00351683">
        <w:rPr>
          <w:rFonts w:ascii="Arial" w:hAnsi="Arial" w:cs="Arial"/>
          <w:sz w:val="20"/>
          <w:szCs w:val="20"/>
        </w:rPr>
        <w:t>Base Case cost is assumed to be $0, since the existing fixture is assumed not to be under daylight harvesting sensor control.</w:t>
      </w:r>
    </w:p>
    <w:p w:rsidR="00B42C54" w:rsidRPr="004162E3" w:rsidRDefault="00B42C54" w:rsidP="00B42C54">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1"/>
        <w:gridCol w:w="939"/>
        <w:gridCol w:w="1396"/>
        <w:gridCol w:w="1615"/>
        <w:gridCol w:w="2140"/>
        <w:gridCol w:w="1184"/>
      </w:tblGrid>
      <w:tr w:rsidR="00C34788" w:rsidRPr="00783DAC" w:rsidTr="00134522">
        <w:tc>
          <w:tcPr>
            <w:tcW w:w="1016" w:type="dxa"/>
            <w:shd w:val="clear" w:color="auto" w:fill="auto"/>
          </w:tcPr>
          <w:p w:rsidR="00C34788" w:rsidRPr="00783DAC" w:rsidRDefault="00C34788" w:rsidP="00ED20C9">
            <w:pPr>
              <w:rPr>
                <w:rFonts w:ascii="Arial" w:hAnsi="Arial" w:cs="Arial"/>
                <w:b/>
                <w:sz w:val="20"/>
                <w:szCs w:val="20"/>
              </w:rPr>
            </w:pPr>
          </w:p>
        </w:tc>
        <w:tc>
          <w:tcPr>
            <w:tcW w:w="1071" w:type="dxa"/>
            <w:shd w:val="clear" w:color="auto" w:fill="auto"/>
          </w:tcPr>
          <w:p w:rsidR="00C34788" w:rsidRPr="00783DAC" w:rsidRDefault="00C34788" w:rsidP="00ED20C9">
            <w:pPr>
              <w:rPr>
                <w:rFonts w:ascii="Arial" w:hAnsi="Arial" w:cs="Arial"/>
                <w:b/>
                <w:sz w:val="20"/>
                <w:szCs w:val="20"/>
              </w:rPr>
            </w:pPr>
          </w:p>
        </w:tc>
        <w:tc>
          <w:tcPr>
            <w:tcW w:w="939" w:type="dxa"/>
            <w:shd w:val="clear" w:color="auto" w:fill="auto"/>
          </w:tcPr>
          <w:p w:rsidR="00C34788" w:rsidRPr="00783DAC" w:rsidRDefault="00C34788" w:rsidP="00ED20C9">
            <w:pPr>
              <w:rPr>
                <w:rFonts w:ascii="Arial" w:hAnsi="Arial" w:cs="Arial"/>
                <w:b/>
                <w:sz w:val="20"/>
                <w:szCs w:val="20"/>
              </w:rPr>
            </w:pPr>
          </w:p>
        </w:tc>
        <w:tc>
          <w:tcPr>
            <w:tcW w:w="4266" w:type="dxa"/>
            <w:gridSpan w:val="3"/>
            <w:shd w:val="clear" w:color="auto" w:fill="auto"/>
          </w:tcPr>
          <w:p w:rsidR="00C34788" w:rsidRPr="00783DAC" w:rsidRDefault="00C34788" w:rsidP="00783DAC">
            <w:pPr>
              <w:jc w:val="center"/>
              <w:rPr>
                <w:rFonts w:ascii="Arial" w:hAnsi="Arial" w:cs="Arial"/>
                <w:b/>
                <w:sz w:val="20"/>
                <w:szCs w:val="20"/>
              </w:rPr>
            </w:pPr>
            <w:r w:rsidRPr="00783DAC">
              <w:rPr>
                <w:rFonts w:ascii="Arial" w:hAnsi="Arial" w:cs="Arial"/>
                <w:b/>
                <w:sz w:val="20"/>
                <w:szCs w:val="20"/>
              </w:rPr>
              <w:t>Costs ($)</w:t>
            </w:r>
            <w:r w:rsidR="00CE0845">
              <w:rPr>
                <w:rFonts w:ascii="Arial" w:hAnsi="Arial" w:cs="Arial"/>
                <w:b/>
                <w:sz w:val="20"/>
                <w:szCs w:val="20"/>
              </w:rPr>
              <w:t xml:space="preserve"> </w:t>
            </w:r>
            <w:r w:rsidR="006065AB">
              <w:rPr>
                <w:rFonts w:ascii="Arial" w:hAnsi="Arial" w:cs="Arial"/>
                <w:b/>
                <w:sz w:val="20"/>
                <w:szCs w:val="20"/>
              </w:rPr>
              <w:t>daylight harvesting sensors</w:t>
            </w:r>
            <w:r w:rsidR="007E141E">
              <w:rPr>
                <w:rFonts w:ascii="Arial" w:hAnsi="Arial" w:cs="Arial"/>
                <w:b/>
                <w:sz w:val="20"/>
                <w:szCs w:val="20"/>
              </w:rPr>
              <w:t xml:space="preserve"> </w:t>
            </w:r>
          </w:p>
        </w:tc>
        <w:tc>
          <w:tcPr>
            <w:tcW w:w="0" w:type="auto"/>
            <w:shd w:val="clear" w:color="auto" w:fill="auto"/>
          </w:tcPr>
          <w:p w:rsidR="00C34788" w:rsidRPr="00783DAC" w:rsidRDefault="00C34788" w:rsidP="00ED20C9">
            <w:pPr>
              <w:rPr>
                <w:rFonts w:ascii="Arial" w:hAnsi="Arial" w:cs="Arial"/>
                <w:b/>
                <w:sz w:val="20"/>
                <w:szCs w:val="20"/>
              </w:rPr>
            </w:pPr>
          </w:p>
        </w:tc>
      </w:tr>
      <w:tr w:rsidR="00C34788" w:rsidRPr="00783DAC" w:rsidTr="00134522">
        <w:tc>
          <w:tcPr>
            <w:tcW w:w="1016" w:type="dxa"/>
            <w:shd w:val="clear" w:color="auto" w:fill="auto"/>
          </w:tcPr>
          <w:p w:rsidR="00C34788" w:rsidRPr="00783DAC" w:rsidRDefault="00C34788" w:rsidP="00ED20C9">
            <w:pPr>
              <w:rPr>
                <w:rFonts w:ascii="Arial" w:hAnsi="Arial" w:cs="Arial"/>
                <w:b/>
                <w:sz w:val="20"/>
                <w:szCs w:val="20"/>
              </w:rPr>
            </w:pPr>
            <w:r w:rsidRPr="00783DAC">
              <w:rPr>
                <w:rFonts w:ascii="Arial" w:hAnsi="Arial" w:cs="Arial"/>
                <w:b/>
                <w:sz w:val="20"/>
                <w:szCs w:val="20"/>
              </w:rPr>
              <w:t>Building type</w:t>
            </w:r>
            <w:r>
              <w:rPr>
                <w:rFonts w:ascii="Arial" w:hAnsi="Arial" w:cs="Arial"/>
                <w:b/>
                <w:sz w:val="20"/>
                <w:szCs w:val="20"/>
              </w:rPr>
              <w:t xml:space="preserve"> </w:t>
            </w:r>
          </w:p>
        </w:tc>
        <w:tc>
          <w:tcPr>
            <w:tcW w:w="1071" w:type="dxa"/>
            <w:shd w:val="clear" w:color="auto" w:fill="auto"/>
          </w:tcPr>
          <w:p w:rsidR="00C34788" w:rsidRPr="00783DAC" w:rsidRDefault="00C34788" w:rsidP="00ED20C9">
            <w:pPr>
              <w:rPr>
                <w:rFonts w:ascii="Arial" w:hAnsi="Arial" w:cs="Arial"/>
                <w:b/>
                <w:sz w:val="20"/>
                <w:szCs w:val="20"/>
              </w:rPr>
            </w:pPr>
            <w:proofErr w:type="spellStart"/>
            <w:r w:rsidRPr="00783DAC">
              <w:rPr>
                <w:rFonts w:ascii="Arial" w:hAnsi="Arial" w:cs="Arial"/>
                <w:b/>
                <w:sz w:val="20"/>
                <w:szCs w:val="20"/>
              </w:rPr>
              <w:t>Bldg</w:t>
            </w:r>
            <w:proofErr w:type="spellEnd"/>
            <w:r w:rsidRPr="00783DAC">
              <w:rPr>
                <w:rFonts w:ascii="Arial" w:hAnsi="Arial" w:cs="Arial"/>
                <w:b/>
                <w:sz w:val="20"/>
                <w:szCs w:val="20"/>
              </w:rPr>
              <w:t xml:space="preserve"> Vintage</w:t>
            </w:r>
            <w:r>
              <w:rPr>
                <w:rFonts w:ascii="Arial" w:hAnsi="Arial" w:cs="Arial"/>
                <w:b/>
                <w:sz w:val="20"/>
                <w:szCs w:val="20"/>
              </w:rPr>
              <w:t xml:space="preserve"> </w:t>
            </w:r>
          </w:p>
        </w:tc>
        <w:tc>
          <w:tcPr>
            <w:tcW w:w="939" w:type="dxa"/>
            <w:shd w:val="clear" w:color="auto" w:fill="auto"/>
          </w:tcPr>
          <w:p w:rsidR="00C34788" w:rsidRPr="00783DAC" w:rsidRDefault="00C34788" w:rsidP="00ED20C9">
            <w:pPr>
              <w:rPr>
                <w:rFonts w:ascii="Arial" w:hAnsi="Arial" w:cs="Arial"/>
                <w:b/>
                <w:sz w:val="20"/>
                <w:szCs w:val="20"/>
              </w:rPr>
            </w:pPr>
            <w:r w:rsidRPr="00783DAC">
              <w:rPr>
                <w:rFonts w:ascii="Arial" w:hAnsi="Arial" w:cs="Arial"/>
                <w:b/>
                <w:sz w:val="20"/>
                <w:szCs w:val="20"/>
              </w:rPr>
              <w:t>Climate Zone</w:t>
            </w:r>
            <w:r>
              <w:rPr>
                <w:rFonts w:ascii="Arial" w:hAnsi="Arial" w:cs="Arial"/>
                <w:b/>
                <w:sz w:val="20"/>
                <w:szCs w:val="20"/>
              </w:rPr>
              <w:t xml:space="preserve"> </w:t>
            </w:r>
          </w:p>
        </w:tc>
        <w:tc>
          <w:tcPr>
            <w:tcW w:w="1396" w:type="dxa"/>
            <w:shd w:val="clear" w:color="auto" w:fill="auto"/>
          </w:tcPr>
          <w:p w:rsidR="00C34788" w:rsidRPr="00783DAC" w:rsidRDefault="00C34788" w:rsidP="00ED20C9">
            <w:pPr>
              <w:rPr>
                <w:rFonts w:ascii="Arial" w:hAnsi="Arial" w:cs="Arial"/>
                <w:b/>
                <w:sz w:val="20"/>
                <w:szCs w:val="20"/>
              </w:rPr>
            </w:pPr>
            <w:r w:rsidRPr="00783DAC">
              <w:rPr>
                <w:rFonts w:ascii="Arial" w:hAnsi="Arial" w:cs="Arial"/>
                <w:b/>
                <w:sz w:val="20"/>
                <w:szCs w:val="20"/>
              </w:rPr>
              <w:t>Base Case</w:t>
            </w:r>
          </w:p>
        </w:tc>
        <w:tc>
          <w:tcPr>
            <w:tcW w:w="1615" w:type="dxa"/>
            <w:shd w:val="clear" w:color="auto" w:fill="auto"/>
          </w:tcPr>
          <w:p w:rsidR="00C34788" w:rsidRPr="00783DAC" w:rsidRDefault="00C34788" w:rsidP="00ED20C9">
            <w:pPr>
              <w:rPr>
                <w:rFonts w:ascii="Arial" w:hAnsi="Arial" w:cs="Arial"/>
                <w:b/>
                <w:sz w:val="20"/>
                <w:szCs w:val="20"/>
              </w:rPr>
            </w:pPr>
            <w:r w:rsidRPr="00783DAC">
              <w:rPr>
                <w:rFonts w:ascii="Arial" w:hAnsi="Arial" w:cs="Arial"/>
                <w:b/>
                <w:sz w:val="20"/>
                <w:szCs w:val="20"/>
              </w:rPr>
              <w:t>Measure Case</w:t>
            </w:r>
          </w:p>
        </w:tc>
        <w:tc>
          <w:tcPr>
            <w:tcW w:w="1255" w:type="dxa"/>
            <w:shd w:val="clear" w:color="auto" w:fill="auto"/>
          </w:tcPr>
          <w:p w:rsidR="00C34788" w:rsidRPr="00783DAC" w:rsidRDefault="00C34788" w:rsidP="00ED20C9">
            <w:pPr>
              <w:rPr>
                <w:rFonts w:ascii="Arial" w:hAnsi="Arial" w:cs="Arial"/>
                <w:b/>
                <w:sz w:val="20"/>
                <w:szCs w:val="20"/>
              </w:rPr>
            </w:pPr>
            <w:r w:rsidRPr="00783DAC">
              <w:rPr>
                <w:rFonts w:ascii="Arial" w:hAnsi="Arial" w:cs="Arial"/>
                <w:b/>
                <w:sz w:val="20"/>
                <w:szCs w:val="20"/>
              </w:rPr>
              <w:t xml:space="preserve">IMC </w:t>
            </w:r>
          </w:p>
        </w:tc>
        <w:tc>
          <w:tcPr>
            <w:tcW w:w="0" w:type="auto"/>
            <w:shd w:val="clear" w:color="auto" w:fill="auto"/>
          </w:tcPr>
          <w:p w:rsidR="00C34788" w:rsidRPr="00783DAC" w:rsidRDefault="00C34788" w:rsidP="00ED20C9">
            <w:pPr>
              <w:rPr>
                <w:rFonts w:ascii="Arial" w:hAnsi="Arial" w:cs="Arial"/>
                <w:b/>
                <w:sz w:val="20"/>
                <w:szCs w:val="20"/>
              </w:rPr>
            </w:pPr>
            <w:r w:rsidRPr="00783DAC">
              <w:rPr>
                <w:rFonts w:ascii="Arial" w:hAnsi="Arial" w:cs="Arial"/>
                <w:b/>
                <w:sz w:val="20"/>
                <w:szCs w:val="20"/>
              </w:rPr>
              <w:t>Reference</w:t>
            </w:r>
          </w:p>
        </w:tc>
      </w:tr>
      <w:tr w:rsidR="00C34788" w:rsidRPr="00783DAC" w:rsidTr="00134522">
        <w:tc>
          <w:tcPr>
            <w:tcW w:w="1016" w:type="dxa"/>
            <w:shd w:val="clear" w:color="auto" w:fill="auto"/>
          </w:tcPr>
          <w:p w:rsidR="00C34788" w:rsidRPr="00C920A1" w:rsidRDefault="00C34788" w:rsidP="00C920A1">
            <w:pPr>
              <w:rPr>
                <w:rFonts w:ascii="Arial" w:hAnsi="Arial" w:cs="Arial"/>
                <w:sz w:val="20"/>
                <w:szCs w:val="20"/>
              </w:rPr>
            </w:pPr>
            <w:proofErr w:type="spellStart"/>
            <w:r w:rsidRPr="00C920A1">
              <w:rPr>
                <w:rFonts w:ascii="Arial" w:hAnsi="Arial" w:cs="Arial"/>
                <w:sz w:val="20"/>
                <w:szCs w:val="20"/>
              </w:rPr>
              <w:t>Wtd</w:t>
            </w:r>
            <w:proofErr w:type="spellEnd"/>
            <w:r w:rsidRPr="00C920A1">
              <w:rPr>
                <w:rFonts w:ascii="Arial" w:hAnsi="Arial" w:cs="Arial"/>
                <w:sz w:val="20"/>
                <w:szCs w:val="20"/>
              </w:rPr>
              <w:t>-Com</w:t>
            </w:r>
          </w:p>
        </w:tc>
        <w:tc>
          <w:tcPr>
            <w:tcW w:w="1071" w:type="dxa"/>
            <w:shd w:val="clear" w:color="auto" w:fill="auto"/>
          </w:tcPr>
          <w:p w:rsidR="00C34788" w:rsidRPr="00C920A1" w:rsidRDefault="00C34788" w:rsidP="003F46D4">
            <w:pPr>
              <w:rPr>
                <w:rFonts w:ascii="Arial" w:hAnsi="Arial" w:cs="Arial"/>
                <w:sz w:val="20"/>
                <w:szCs w:val="20"/>
              </w:rPr>
            </w:pPr>
            <w:r w:rsidRPr="00C920A1">
              <w:rPr>
                <w:rFonts w:ascii="Arial" w:hAnsi="Arial" w:cs="Arial"/>
                <w:sz w:val="20"/>
                <w:szCs w:val="20"/>
              </w:rPr>
              <w:t>Existing</w:t>
            </w:r>
          </w:p>
        </w:tc>
        <w:tc>
          <w:tcPr>
            <w:tcW w:w="939" w:type="dxa"/>
            <w:shd w:val="clear" w:color="auto" w:fill="auto"/>
          </w:tcPr>
          <w:p w:rsidR="00C34788" w:rsidRPr="00C920A1" w:rsidRDefault="00475469" w:rsidP="00ED20C9">
            <w:pPr>
              <w:rPr>
                <w:rFonts w:ascii="Arial" w:hAnsi="Arial" w:cs="Arial"/>
                <w:sz w:val="20"/>
                <w:szCs w:val="20"/>
              </w:rPr>
            </w:pPr>
            <w:r>
              <w:rPr>
                <w:rFonts w:ascii="Arial" w:hAnsi="Arial" w:cs="Arial"/>
                <w:sz w:val="20"/>
                <w:szCs w:val="20"/>
              </w:rPr>
              <w:t>IOU</w:t>
            </w:r>
          </w:p>
        </w:tc>
        <w:tc>
          <w:tcPr>
            <w:tcW w:w="1396" w:type="dxa"/>
            <w:shd w:val="clear" w:color="auto" w:fill="auto"/>
          </w:tcPr>
          <w:p w:rsidR="00C34788" w:rsidRPr="00C920A1" w:rsidRDefault="00C34788" w:rsidP="00ED20C9">
            <w:pPr>
              <w:rPr>
                <w:rFonts w:ascii="Arial" w:hAnsi="Arial" w:cs="Arial"/>
                <w:sz w:val="20"/>
                <w:szCs w:val="20"/>
              </w:rPr>
            </w:pPr>
            <w:r>
              <w:rPr>
                <w:rFonts w:ascii="Arial" w:hAnsi="Arial" w:cs="Arial"/>
                <w:sz w:val="20"/>
                <w:szCs w:val="20"/>
              </w:rPr>
              <w:t>$0.0</w:t>
            </w:r>
            <w:r w:rsidRPr="00C920A1">
              <w:rPr>
                <w:rFonts w:ascii="Arial" w:hAnsi="Arial" w:cs="Arial"/>
                <w:sz w:val="20"/>
                <w:szCs w:val="20"/>
              </w:rPr>
              <w:t>0</w:t>
            </w:r>
          </w:p>
        </w:tc>
        <w:tc>
          <w:tcPr>
            <w:tcW w:w="1615" w:type="dxa"/>
            <w:shd w:val="clear" w:color="auto" w:fill="auto"/>
          </w:tcPr>
          <w:p w:rsidR="00C34788" w:rsidRPr="00C920A1" w:rsidRDefault="00C34788" w:rsidP="00ED20C9">
            <w:pPr>
              <w:rPr>
                <w:rFonts w:ascii="Arial" w:hAnsi="Arial" w:cs="Arial"/>
                <w:sz w:val="20"/>
                <w:szCs w:val="20"/>
              </w:rPr>
            </w:pPr>
            <w:r>
              <w:rPr>
                <w:rFonts w:ascii="Arial" w:hAnsi="Arial" w:cs="Arial"/>
                <w:sz w:val="20"/>
                <w:szCs w:val="20"/>
              </w:rPr>
              <w:t>$52.50</w:t>
            </w:r>
          </w:p>
        </w:tc>
        <w:tc>
          <w:tcPr>
            <w:tcW w:w="1255" w:type="dxa"/>
            <w:shd w:val="clear" w:color="auto" w:fill="auto"/>
          </w:tcPr>
          <w:p w:rsidR="00C34788" w:rsidRPr="00C920A1" w:rsidRDefault="00F3036C" w:rsidP="00ED20C9">
            <w:pPr>
              <w:rPr>
                <w:rFonts w:ascii="Arial" w:hAnsi="Arial" w:cs="Arial"/>
                <w:sz w:val="20"/>
                <w:szCs w:val="20"/>
              </w:rPr>
            </w:pPr>
            <w:r>
              <w:rPr>
                <w:rFonts w:ascii="Arial" w:hAnsi="Arial" w:cs="Arial"/>
                <w:sz w:val="20"/>
                <w:szCs w:val="20"/>
              </w:rPr>
              <w:t>(</w:t>
            </w:r>
            <w:r w:rsidR="00027966">
              <w:rPr>
                <w:rFonts w:ascii="Arial" w:hAnsi="Arial" w:cs="Arial"/>
                <w:sz w:val="20"/>
                <w:szCs w:val="20"/>
              </w:rPr>
              <w:t>$131+$79)/4</w:t>
            </w:r>
            <w:r>
              <w:rPr>
                <w:rFonts w:ascii="Arial" w:hAnsi="Arial" w:cs="Arial"/>
                <w:sz w:val="20"/>
                <w:szCs w:val="20"/>
              </w:rPr>
              <w:t>=</w:t>
            </w:r>
            <w:r w:rsidR="00C34788">
              <w:rPr>
                <w:rFonts w:ascii="Arial" w:hAnsi="Arial" w:cs="Arial"/>
                <w:sz w:val="20"/>
                <w:szCs w:val="20"/>
              </w:rPr>
              <w:t>$52.50</w:t>
            </w:r>
          </w:p>
        </w:tc>
        <w:tc>
          <w:tcPr>
            <w:tcW w:w="0" w:type="auto"/>
            <w:shd w:val="clear" w:color="auto" w:fill="auto"/>
          </w:tcPr>
          <w:p w:rsidR="00C34788" w:rsidRPr="00C920A1" w:rsidRDefault="00C34788" w:rsidP="00ED20C9">
            <w:pPr>
              <w:rPr>
                <w:rFonts w:ascii="Arial" w:hAnsi="Arial" w:cs="Arial"/>
                <w:sz w:val="20"/>
                <w:szCs w:val="20"/>
              </w:rPr>
            </w:pPr>
            <w:proofErr w:type="spellStart"/>
            <w:r>
              <w:rPr>
                <w:rFonts w:ascii="Arial" w:hAnsi="Arial" w:cs="Arial"/>
                <w:sz w:val="20"/>
                <w:szCs w:val="20"/>
              </w:rPr>
              <w:t>RSMeans</w:t>
            </w:r>
            <w:proofErr w:type="spellEnd"/>
          </w:p>
        </w:tc>
      </w:tr>
    </w:tbl>
    <w:p w:rsidR="009C5CA7" w:rsidRDefault="009C5CA7" w:rsidP="009C5CA7">
      <w:pPr>
        <w:rPr>
          <w:rFonts w:ascii="Arial" w:hAnsi="Arial" w:cs="Arial"/>
          <w:sz w:val="20"/>
          <w:szCs w:val="20"/>
        </w:rPr>
      </w:pPr>
    </w:p>
    <w:p w:rsidR="00BB6C0E" w:rsidRDefault="00BB6C0E" w:rsidP="009C5CA7">
      <w:pPr>
        <w:rPr>
          <w:rFonts w:ascii="Arial" w:hAnsi="Arial" w:cs="Arial"/>
          <w:sz w:val="20"/>
          <w:szCs w:val="20"/>
        </w:rPr>
      </w:pPr>
    </w:p>
    <w:p w:rsidR="00C34788" w:rsidRDefault="00C34788" w:rsidP="00C34788">
      <w:pPr>
        <w:rPr>
          <w:rFonts w:ascii="Arial" w:hAnsi="Arial" w:cs="Arial"/>
          <w:sz w:val="20"/>
          <w:szCs w:val="20"/>
        </w:rPr>
      </w:pPr>
      <w:r w:rsidRPr="004162E3">
        <w:rPr>
          <w:rFonts w:ascii="Arial" w:hAnsi="Arial" w:cs="Arial"/>
          <w:b/>
          <w:sz w:val="20"/>
          <w:szCs w:val="20"/>
        </w:rPr>
        <w:t>In-service factor/first year installation rate</w:t>
      </w:r>
      <w:r w:rsidRPr="004162E3">
        <w:rPr>
          <w:rFonts w:ascii="Arial" w:hAnsi="Arial" w:cs="Arial"/>
          <w:sz w:val="20"/>
          <w:szCs w:val="20"/>
        </w:rPr>
        <w:t>:</w:t>
      </w:r>
      <w:r>
        <w:rPr>
          <w:rFonts w:ascii="Arial" w:hAnsi="Arial" w:cs="Arial"/>
          <w:sz w:val="20"/>
          <w:szCs w:val="20"/>
        </w:rPr>
        <w:t xml:space="preserve"> </w:t>
      </w:r>
    </w:p>
    <w:p w:rsidR="00C34788" w:rsidRPr="008346D1" w:rsidRDefault="00C34788" w:rsidP="00C34788">
      <w:pPr>
        <w:numPr>
          <w:ilvl w:val="0"/>
          <w:numId w:val="23"/>
        </w:numPr>
        <w:rPr>
          <w:rFonts w:ascii="Arial" w:hAnsi="Arial" w:cs="Arial"/>
          <w:sz w:val="20"/>
          <w:szCs w:val="20"/>
        </w:rPr>
      </w:pPr>
      <w:r w:rsidRPr="008346D1">
        <w:rPr>
          <w:rFonts w:ascii="Arial" w:hAnsi="Arial" w:cs="Arial"/>
          <w:sz w:val="20"/>
          <w:szCs w:val="20"/>
        </w:rPr>
        <w:t xml:space="preserve">The in service rates are assumed to be </w:t>
      </w:r>
      <w:r>
        <w:rPr>
          <w:rFonts w:ascii="Arial" w:hAnsi="Arial" w:cs="Arial"/>
          <w:sz w:val="20"/>
          <w:szCs w:val="20"/>
        </w:rPr>
        <w:t>1</w:t>
      </w:r>
      <w:r w:rsidRPr="008346D1">
        <w:rPr>
          <w:rFonts w:ascii="Arial" w:hAnsi="Arial" w:cs="Arial"/>
          <w:sz w:val="20"/>
          <w:szCs w:val="20"/>
        </w:rPr>
        <w:t>.</w:t>
      </w:r>
    </w:p>
    <w:p w:rsidR="00C34788" w:rsidRDefault="00C34788" w:rsidP="00C34788">
      <w:pPr>
        <w:keepNext/>
        <w:keepLines/>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562"/>
      </w:tblGrid>
      <w:tr w:rsidR="00C34788" w:rsidRPr="00783DAC" w:rsidTr="007D504F">
        <w:tc>
          <w:tcPr>
            <w:tcW w:w="0" w:type="auto"/>
            <w:shd w:val="clear" w:color="auto" w:fill="auto"/>
          </w:tcPr>
          <w:p w:rsidR="00C34788" w:rsidRPr="00783DAC" w:rsidRDefault="00C34788" w:rsidP="007D504F">
            <w:pPr>
              <w:keepNext/>
              <w:keepLines/>
              <w:rPr>
                <w:rFonts w:ascii="Arial" w:hAnsi="Arial" w:cs="Arial"/>
                <w:b/>
                <w:sz w:val="20"/>
                <w:szCs w:val="20"/>
              </w:rPr>
            </w:pPr>
            <w:r w:rsidRPr="00783DAC">
              <w:rPr>
                <w:rFonts w:ascii="Arial" w:hAnsi="Arial" w:cs="Arial"/>
                <w:b/>
                <w:sz w:val="20"/>
                <w:szCs w:val="20"/>
              </w:rPr>
              <w:t>Building type</w:t>
            </w:r>
            <w:r>
              <w:rPr>
                <w:rFonts w:ascii="Arial" w:hAnsi="Arial" w:cs="Arial"/>
                <w:b/>
                <w:sz w:val="20"/>
                <w:szCs w:val="20"/>
              </w:rPr>
              <w:t xml:space="preserve"> </w:t>
            </w:r>
          </w:p>
        </w:tc>
        <w:tc>
          <w:tcPr>
            <w:tcW w:w="0" w:type="auto"/>
            <w:shd w:val="clear" w:color="auto" w:fill="auto"/>
          </w:tcPr>
          <w:p w:rsidR="00C34788" w:rsidRPr="00783DAC" w:rsidRDefault="00C34788" w:rsidP="007D504F">
            <w:pPr>
              <w:keepNext/>
              <w:keepLines/>
              <w:rPr>
                <w:rFonts w:ascii="Arial" w:hAnsi="Arial" w:cs="Arial"/>
                <w:b/>
                <w:sz w:val="20"/>
                <w:szCs w:val="20"/>
              </w:rPr>
            </w:pPr>
            <w:proofErr w:type="spellStart"/>
            <w:r w:rsidRPr="00783DAC">
              <w:rPr>
                <w:rFonts w:ascii="Arial" w:hAnsi="Arial" w:cs="Arial"/>
                <w:b/>
                <w:sz w:val="20"/>
                <w:szCs w:val="20"/>
              </w:rPr>
              <w:t>Bldg</w:t>
            </w:r>
            <w:proofErr w:type="spellEnd"/>
            <w:r w:rsidRPr="00783DAC">
              <w:rPr>
                <w:rFonts w:ascii="Arial" w:hAnsi="Arial" w:cs="Arial"/>
                <w:b/>
                <w:sz w:val="20"/>
                <w:szCs w:val="20"/>
              </w:rPr>
              <w:t xml:space="preserve"> Vintage</w:t>
            </w:r>
            <w:r>
              <w:rPr>
                <w:rFonts w:ascii="Arial" w:hAnsi="Arial" w:cs="Arial"/>
                <w:b/>
                <w:sz w:val="20"/>
                <w:szCs w:val="20"/>
              </w:rPr>
              <w:t xml:space="preserve"> </w:t>
            </w:r>
          </w:p>
        </w:tc>
        <w:tc>
          <w:tcPr>
            <w:tcW w:w="0" w:type="auto"/>
            <w:shd w:val="clear" w:color="auto" w:fill="auto"/>
          </w:tcPr>
          <w:p w:rsidR="00C34788" w:rsidRPr="00783DAC" w:rsidRDefault="00C34788" w:rsidP="007D504F">
            <w:pPr>
              <w:keepNext/>
              <w:keepLines/>
              <w:rPr>
                <w:rFonts w:ascii="Arial" w:hAnsi="Arial" w:cs="Arial"/>
                <w:b/>
                <w:sz w:val="20"/>
                <w:szCs w:val="20"/>
              </w:rPr>
            </w:pPr>
            <w:r w:rsidRPr="00783DAC">
              <w:rPr>
                <w:rFonts w:ascii="Arial" w:hAnsi="Arial" w:cs="Arial"/>
                <w:b/>
                <w:sz w:val="20"/>
                <w:szCs w:val="20"/>
              </w:rPr>
              <w:t>Climate Zone</w:t>
            </w:r>
            <w:r>
              <w:rPr>
                <w:rFonts w:ascii="Arial" w:hAnsi="Arial" w:cs="Arial"/>
                <w:b/>
                <w:sz w:val="20"/>
                <w:szCs w:val="20"/>
              </w:rPr>
              <w:t xml:space="preserve"> </w:t>
            </w:r>
          </w:p>
        </w:tc>
        <w:tc>
          <w:tcPr>
            <w:tcW w:w="0" w:type="auto"/>
            <w:shd w:val="clear" w:color="auto" w:fill="auto"/>
          </w:tcPr>
          <w:p w:rsidR="00C34788" w:rsidRPr="00783DAC" w:rsidRDefault="00C34788" w:rsidP="007D504F">
            <w:pPr>
              <w:keepNext/>
              <w:keepLines/>
              <w:rPr>
                <w:rFonts w:ascii="Arial" w:hAnsi="Arial" w:cs="Arial"/>
                <w:b/>
                <w:sz w:val="20"/>
                <w:szCs w:val="20"/>
              </w:rPr>
            </w:pPr>
            <w:r w:rsidRPr="00783DAC">
              <w:rPr>
                <w:rFonts w:ascii="Arial" w:hAnsi="Arial" w:cs="Arial"/>
                <w:b/>
                <w:sz w:val="20"/>
                <w:szCs w:val="20"/>
              </w:rPr>
              <w:t>In service rate</w:t>
            </w:r>
          </w:p>
        </w:tc>
      </w:tr>
      <w:tr w:rsidR="00C34788" w:rsidRPr="00783DAC" w:rsidTr="007D504F">
        <w:tc>
          <w:tcPr>
            <w:tcW w:w="0" w:type="auto"/>
            <w:shd w:val="clear" w:color="auto" w:fill="auto"/>
          </w:tcPr>
          <w:p w:rsidR="00C34788" w:rsidRPr="0094667E" w:rsidRDefault="00C34788" w:rsidP="007D504F">
            <w:pPr>
              <w:keepNext/>
              <w:keepLines/>
              <w:rPr>
                <w:sz w:val="20"/>
                <w:szCs w:val="20"/>
              </w:rPr>
            </w:pPr>
            <w:proofErr w:type="spellStart"/>
            <w:r w:rsidRPr="0094667E">
              <w:rPr>
                <w:sz w:val="20"/>
                <w:szCs w:val="20"/>
              </w:rPr>
              <w:t>Wtd</w:t>
            </w:r>
            <w:proofErr w:type="spellEnd"/>
            <w:r w:rsidRPr="0094667E">
              <w:rPr>
                <w:sz w:val="20"/>
                <w:szCs w:val="20"/>
              </w:rPr>
              <w:t>-Com</w:t>
            </w:r>
          </w:p>
        </w:tc>
        <w:tc>
          <w:tcPr>
            <w:tcW w:w="0" w:type="auto"/>
            <w:shd w:val="clear" w:color="auto" w:fill="auto"/>
          </w:tcPr>
          <w:p w:rsidR="00C34788" w:rsidRPr="0094667E" w:rsidRDefault="00C34788" w:rsidP="007D504F">
            <w:pPr>
              <w:keepNext/>
              <w:keepLines/>
              <w:rPr>
                <w:sz w:val="20"/>
                <w:szCs w:val="20"/>
              </w:rPr>
            </w:pPr>
            <w:r>
              <w:rPr>
                <w:sz w:val="20"/>
                <w:szCs w:val="20"/>
              </w:rPr>
              <w:t>Existing</w:t>
            </w:r>
          </w:p>
        </w:tc>
        <w:tc>
          <w:tcPr>
            <w:tcW w:w="0" w:type="auto"/>
            <w:shd w:val="clear" w:color="auto" w:fill="auto"/>
          </w:tcPr>
          <w:p w:rsidR="00C34788" w:rsidRPr="0094667E" w:rsidRDefault="00475469" w:rsidP="007D504F">
            <w:pPr>
              <w:keepNext/>
              <w:keepLines/>
              <w:rPr>
                <w:sz w:val="20"/>
                <w:szCs w:val="20"/>
              </w:rPr>
            </w:pPr>
            <w:r>
              <w:rPr>
                <w:sz w:val="20"/>
                <w:szCs w:val="20"/>
              </w:rPr>
              <w:t>IOU</w:t>
            </w:r>
          </w:p>
        </w:tc>
        <w:tc>
          <w:tcPr>
            <w:tcW w:w="0" w:type="auto"/>
            <w:shd w:val="clear" w:color="auto" w:fill="auto"/>
          </w:tcPr>
          <w:p w:rsidR="00C34788" w:rsidRPr="008346D1" w:rsidRDefault="00C34788" w:rsidP="007D504F">
            <w:pPr>
              <w:keepNext/>
              <w:keepLines/>
              <w:rPr>
                <w:rFonts w:ascii="Arial" w:hAnsi="Arial" w:cs="Arial"/>
                <w:sz w:val="20"/>
                <w:szCs w:val="20"/>
              </w:rPr>
            </w:pPr>
            <w:r w:rsidRPr="008346D1">
              <w:rPr>
                <w:rFonts w:ascii="Arial" w:hAnsi="Arial" w:cs="Arial"/>
                <w:sz w:val="20"/>
                <w:szCs w:val="20"/>
              </w:rPr>
              <w:t>1</w:t>
            </w:r>
          </w:p>
        </w:tc>
      </w:tr>
    </w:tbl>
    <w:p w:rsidR="009C5CA7" w:rsidRDefault="009C5CA7" w:rsidP="009C5CA7">
      <w:pPr>
        <w:rPr>
          <w:rFonts w:ascii="Arial" w:hAnsi="Arial" w:cs="Arial"/>
          <w:sz w:val="20"/>
          <w:szCs w:val="20"/>
        </w:rPr>
      </w:pPr>
    </w:p>
    <w:p w:rsidR="00BB6C0E" w:rsidRPr="004162E3" w:rsidRDefault="00BB6C0E" w:rsidP="009C5CA7">
      <w:pPr>
        <w:rPr>
          <w:rFonts w:ascii="Arial" w:hAnsi="Arial" w:cs="Arial"/>
          <w:sz w:val="20"/>
          <w:szCs w:val="20"/>
        </w:rPr>
      </w:pPr>
    </w:p>
    <w:p w:rsidR="001C2942" w:rsidRPr="00836F9B" w:rsidRDefault="001C2942" w:rsidP="00063FA7">
      <w:pPr>
        <w:rPr>
          <w:rFonts w:ascii="Arial" w:hAnsi="Arial" w:cs="Arial"/>
          <w:b/>
          <w:i/>
          <w:sz w:val="28"/>
          <w:szCs w:val="28"/>
        </w:rPr>
      </w:pPr>
      <w:r w:rsidRPr="00836F9B">
        <w:rPr>
          <w:rFonts w:ascii="Arial" w:hAnsi="Arial" w:cs="Arial"/>
          <w:b/>
          <w:i/>
          <w:sz w:val="28"/>
          <w:szCs w:val="28"/>
        </w:rPr>
        <w:t>1.</w:t>
      </w:r>
      <w:r w:rsidR="00063FA7" w:rsidRPr="00836F9B">
        <w:rPr>
          <w:rFonts w:ascii="Arial" w:hAnsi="Arial" w:cs="Arial"/>
          <w:b/>
          <w:i/>
          <w:sz w:val="28"/>
          <w:szCs w:val="28"/>
        </w:rPr>
        <w:t>4.5</w:t>
      </w:r>
      <w:r w:rsidR="009B4DB1">
        <w:rPr>
          <w:rFonts w:ascii="Arial" w:hAnsi="Arial" w:cs="Arial"/>
          <w:b/>
          <w:i/>
          <w:sz w:val="28"/>
          <w:szCs w:val="28"/>
        </w:rPr>
        <w:t xml:space="preserve"> </w:t>
      </w:r>
      <w:r w:rsidRPr="00836F9B">
        <w:rPr>
          <w:rFonts w:ascii="Arial" w:hAnsi="Arial" w:cs="Arial"/>
          <w:b/>
          <w:i/>
          <w:sz w:val="28"/>
          <w:szCs w:val="28"/>
        </w:rPr>
        <w:t>Time-of-Use Adjustment Factor</w:t>
      </w:r>
    </w:p>
    <w:p w:rsidR="00A72732" w:rsidRPr="00063FA7" w:rsidRDefault="00A72732" w:rsidP="00A72732">
      <w:pPr>
        <w:pStyle w:val="Reminders"/>
        <w:rPr>
          <w:rFonts w:ascii="Arial" w:hAnsi="Arial" w:cs="Arial"/>
          <w:i w:val="0"/>
          <w:color w:val="auto"/>
          <w:sz w:val="20"/>
          <w:szCs w:val="20"/>
        </w:rPr>
      </w:pPr>
      <w:r w:rsidRPr="00476B67">
        <w:rPr>
          <w:rFonts w:ascii="Arial" w:hAnsi="Arial" w:cs="Arial"/>
          <w:i w:val="0"/>
          <w:color w:val="auto"/>
          <w:sz w:val="20"/>
          <w:szCs w:val="20"/>
        </w:rPr>
        <w:t>We are required by CPUC decision 06-06-063 dated June 29, 2006 to apply time-of-use (TOU) adjustment factors on residential A/C and commercial A/C (packaged and split-system direct-expansion cooling) measures only. Since this is not an A/C measure, the TOU adjustment factor is 0.</w:t>
      </w:r>
      <w:r>
        <w:rPr>
          <w:rFonts w:ascii="Arial" w:hAnsi="Arial" w:cs="Arial"/>
          <w:i w:val="0"/>
          <w:color w:val="auto"/>
          <w:sz w:val="20"/>
          <w:szCs w:val="20"/>
        </w:rPr>
        <w:t xml:space="preserve"> </w:t>
      </w:r>
    </w:p>
    <w:p w:rsidR="001C2942" w:rsidRDefault="001C2942" w:rsidP="00A02F0A"/>
    <w:p w:rsidR="00C069A2" w:rsidRPr="00EC4357" w:rsidRDefault="001248A3" w:rsidP="00EC4357">
      <w:pPr>
        <w:rPr>
          <w:rFonts w:ascii="Arial" w:hAnsi="Arial" w:cs="Arial"/>
          <w:b/>
          <w:i/>
          <w:color w:val="FF0000"/>
          <w:sz w:val="28"/>
          <w:szCs w:val="28"/>
        </w:rPr>
      </w:pPr>
      <w:r w:rsidRPr="00EC4357">
        <w:rPr>
          <w:rFonts w:ascii="Arial" w:hAnsi="Arial" w:cs="Arial"/>
          <w:b/>
          <w:i/>
          <w:sz w:val="28"/>
          <w:szCs w:val="28"/>
        </w:rPr>
        <w:t>1.</w:t>
      </w:r>
      <w:r w:rsidR="00264B03" w:rsidRPr="00EC4357">
        <w:rPr>
          <w:rFonts w:ascii="Arial" w:hAnsi="Arial" w:cs="Arial"/>
          <w:b/>
          <w:i/>
          <w:sz w:val="28"/>
          <w:szCs w:val="28"/>
        </w:rPr>
        <w:t>5</w:t>
      </w:r>
      <w:r w:rsidRPr="00EC4357">
        <w:rPr>
          <w:rFonts w:ascii="Arial" w:hAnsi="Arial" w:cs="Arial"/>
          <w:b/>
          <w:i/>
          <w:sz w:val="28"/>
          <w:szCs w:val="28"/>
        </w:rPr>
        <w:t xml:space="preserve"> </w:t>
      </w:r>
      <w:r w:rsidR="00FA595F" w:rsidRPr="00EC4357">
        <w:rPr>
          <w:rFonts w:ascii="Arial" w:hAnsi="Arial" w:cs="Arial"/>
          <w:b/>
          <w:i/>
          <w:sz w:val="28"/>
          <w:szCs w:val="28"/>
        </w:rPr>
        <w:t>Summary of Inputs for Savings Calculations</w:t>
      </w:r>
      <w:r w:rsidR="00814500" w:rsidRPr="00EC4357">
        <w:rPr>
          <w:rFonts w:ascii="Arial" w:hAnsi="Arial" w:cs="Arial"/>
          <w:b/>
          <w:i/>
          <w:sz w:val="28"/>
          <w:szCs w:val="28"/>
        </w:rPr>
        <w:t xml:space="preserve"> </w:t>
      </w:r>
    </w:p>
    <w:p w:rsidR="00755961" w:rsidRDefault="004967A2" w:rsidP="00243BAC">
      <w:pPr>
        <w:rPr>
          <w:rFonts w:ascii="Arial" w:hAnsi="Arial" w:cs="Arial"/>
          <w:sz w:val="20"/>
          <w:szCs w:val="20"/>
        </w:rPr>
      </w:pPr>
      <w:r w:rsidRPr="004967A2">
        <w:rPr>
          <w:rFonts w:ascii="Arial" w:hAnsi="Arial" w:cs="Arial"/>
          <w:sz w:val="20"/>
          <w:szCs w:val="20"/>
        </w:rPr>
        <w:t>The following sections provide the inputs for calculation:</w:t>
      </w:r>
    </w:p>
    <w:p w:rsidR="001A3026" w:rsidRPr="00ED4EC4" w:rsidRDefault="001A3026" w:rsidP="00FE178B">
      <w:pPr>
        <w:keepNext/>
        <w:keepLines/>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2"/>
        <w:gridCol w:w="1846"/>
        <w:gridCol w:w="1350"/>
        <w:gridCol w:w="1473"/>
        <w:gridCol w:w="1736"/>
      </w:tblGrid>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Input Variable</w:t>
            </w:r>
          </w:p>
        </w:tc>
        <w:tc>
          <w:tcPr>
            <w:tcW w:w="1846"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Variations</w:t>
            </w:r>
          </w:p>
        </w:tc>
        <w:tc>
          <w:tcPr>
            <w:tcW w:w="1350"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 xml:space="preserve">Base Case </w:t>
            </w:r>
            <w:r>
              <w:rPr>
                <w:rFonts w:ascii="Arial" w:hAnsi="Arial" w:cs="Arial"/>
                <w:b/>
                <w:sz w:val="20"/>
                <w:szCs w:val="20"/>
              </w:rPr>
              <w:t xml:space="preserve"> </w:t>
            </w:r>
            <w:r w:rsidRPr="00783DAC">
              <w:rPr>
                <w:rFonts w:ascii="Arial" w:hAnsi="Arial" w:cs="Arial"/>
                <w:b/>
                <w:sz w:val="20"/>
                <w:szCs w:val="20"/>
              </w:rPr>
              <w:t>Average Value</w:t>
            </w:r>
          </w:p>
        </w:tc>
        <w:tc>
          <w:tcPr>
            <w:tcW w:w="1473"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Measure Case Average Value</w:t>
            </w:r>
          </w:p>
        </w:tc>
        <w:tc>
          <w:tcPr>
            <w:tcW w:w="1736"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Reference Section</w:t>
            </w:r>
          </w:p>
        </w:tc>
      </w:tr>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Electric Savings</w:t>
            </w:r>
          </w:p>
        </w:tc>
        <w:tc>
          <w:tcPr>
            <w:tcW w:w="1846" w:type="dxa"/>
            <w:shd w:val="clear" w:color="auto" w:fill="auto"/>
          </w:tcPr>
          <w:p w:rsidR="00EB514A" w:rsidRPr="00B12511" w:rsidRDefault="00002C26" w:rsidP="00002C26">
            <w:pPr>
              <w:keepNext/>
              <w:keepLines/>
              <w:rPr>
                <w:rFonts w:ascii="Arial" w:hAnsi="Arial" w:cs="Arial"/>
                <w:sz w:val="20"/>
                <w:szCs w:val="20"/>
              </w:rPr>
            </w:pPr>
            <w:r>
              <w:rPr>
                <w:rFonts w:ascii="Arial" w:hAnsi="Arial" w:cs="Arial"/>
                <w:sz w:val="20"/>
                <w:szCs w:val="20"/>
              </w:rPr>
              <w:t>All climate zones</w:t>
            </w:r>
            <w:r w:rsidR="00EB514A" w:rsidRPr="00B12511">
              <w:rPr>
                <w:rFonts w:ascii="Arial" w:hAnsi="Arial" w:cs="Arial"/>
                <w:sz w:val="20"/>
                <w:szCs w:val="20"/>
              </w:rPr>
              <w:t>,</w:t>
            </w:r>
            <w:r>
              <w:rPr>
                <w:rFonts w:ascii="Arial" w:hAnsi="Arial" w:cs="Arial"/>
                <w:sz w:val="20"/>
                <w:szCs w:val="20"/>
              </w:rPr>
              <w:t xml:space="preserve"> </w:t>
            </w:r>
            <w:r w:rsidR="00EB514A" w:rsidRPr="00B12511">
              <w:rPr>
                <w:rFonts w:ascii="Arial" w:hAnsi="Arial" w:cs="Arial"/>
                <w:sz w:val="20"/>
                <w:szCs w:val="20"/>
              </w:rPr>
              <w:t xml:space="preserve"> </w:t>
            </w:r>
            <w:r w:rsidRPr="00B12511">
              <w:rPr>
                <w:rFonts w:ascii="Arial" w:hAnsi="Arial" w:cs="Arial"/>
                <w:sz w:val="20"/>
                <w:szCs w:val="20"/>
              </w:rPr>
              <w:t>Existing</w:t>
            </w:r>
            <w:r>
              <w:rPr>
                <w:rFonts w:ascii="Arial" w:hAnsi="Arial" w:cs="Arial"/>
                <w:sz w:val="20"/>
                <w:szCs w:val="20"/>
              </w:rPr>
              <w:t xml:space="preserve">, </w:t>
            </w:r>
            <w:proofErr w:type="spellStart"/>
            <w:r w:rsidR="00EB514A" w:rsidRPr="00B12511">
              <w:rPr>
                <w:rFonts w:ascii="Arial" w:hAnsi="Arial" w:cs="Arial"/>
                <w:sz w:val="20"/>
                <w:szCs w:val="20"/>
              </w:rPr>
              <w:t>Wtd</w:t>
            </w:r>
            <w:proofErr w:type="spellEnd"/>
            <w:r w:rsidR="00EB514A" w:rsidRPr="00B12511">
              <w:rPr>
                <w:rFonts w:ascii="Arial" w:hAnsi="Arial" w:cs="Arial"/>
                <w:sz w:val="20"/>
                <w:szCs w:val="20"/>
              </w:rPr>
              <w:t xml:space="preserve">-Com, </w:t>
            </w:r>
          </w:p>
        </w:tc>
        <w:tc>
          <w:tcPr>
            <w:tcW w:w="1350"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Varies</w:t>
            </w:r>
          </w:p>
        </w:tc>
        <w:tc>
          <w:tcPr>
            <w:tcW w:w="1473" w:type="dxa"/>
            <w:shd w:val="clear" w:color="auto" w:fill="auto"/>
          </w:tcPr>
          <w:p w:rsidR="00EB514A" w:rsidRPr="00783DAC" w:rsidRDefault="00EB514A" w:rsidP="00FE178B">
            <w:pPr>
              <w:keepNext/>
              <w:keepLines/>
              <w:rPr>
                <w:rFonts w:ascii="Arial" w:hAnsi="Arial" w:cs="Arial"/>
                <w:i/>
                <w:sz w:val="20"/>
                <w:szCs w:val="20"/>
                <w:highlight w:val="yellow"/>
              </w:rPr>
            </w:pPr>
            <w:r>
              <w:rPr>
                <w:rFonts w:ascii="Arial" w:hAnsi="Arial" w:cs="Arial"/>
                <w:sz w:val="20"/>
                <w:szCs w:val="20"/>
              </w:rPr>
              <w:t>Varies</w:t>
            </w:r>
          </w:p>
        </w:tc>
        <w:tc>
          <w:tcPr>
            <w:tcW w:w="1736" w:type="dxa"/>
            <w:shd w:val="clear" w:color="auto" w:fill="auto"/>
          </w:tcPr>
          <w:p w:rsidR="00EB514A" w:rsidRPr="00880E5A" w:rsidRDefault="00EB514A" w:rsidP="00FE178B">
            <w:pPr>
              <w:keepNext/>
              <w:keepLines/>
              <w:rPr>
                <w:rFonts w:ascii="Arial" w:hAnsi="Arial" w:cs="Arial"/>
                <w:i/>
                <w:sz w:val="20"/>
                <w:szCs w:val="20"/>
              </w:rPr>
            </w:pPr>
            <w:r w:rsidRPr="00880E5A">
              <w:rPr>
                <w:rFonts w:ascii="Arial" w:hAnsi="Arial" w:cs="Arial"/>
                <w:i/>
                <w:sz w:val="20"/>
                <w:szCs w:val="20"/>
              </w:rPr>
              <w:t>Section 1.4.1,</w:t>
            </w:r>
          </w:p>
          <w:p w:rsidR="00EB514A" w:rsidRPr="00880E5A" w:rsidRDefault="00EB514A" w:rsidP="00FE178B">
            <w:pPr>
              <w:keepNext/>
              <w:keepLines/>
              <w:rPr>
                <w:rFonts w:ascii="Arial" w:hAnsi="Arial" w:cs="Arial"/>
                <w:i/>
                <w:sz w:val="20"/>
                <w:szCs w:val="20"/>
              </w:rPr>
            </w:pPr>
            <w:r w:rsidRPr="00880E5A">
              <w:rPr>
                <w:rFonts w:ascii="Arial" w:hAnsi="Arial" w:cs="Arial"/>
                <w:i/>
                <w:sz w:val="20"/>
                <w:szCs w:val="20"/>
              </w:rPr>
              <w:t>Section 1.4.4</w:t>
            </w:r>
          </w:p>
        </w:tc>
      </w:tr>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Gas Savings</w:t>
            </w:r>
          </w:p>
        </w:tc>
        <w:tc>
          <w:tcPr>
            <w:tcW w:w="1846" w:type="dxa"/>
            <w:shd w:val="clear" w:color="auto" w:fill="auto"/>
          </w:tcPr>
          <w:p w:rsidR="00EB514A" w:rsidRPr="00B12511" w:rsidRDefault="00002C26" w:rsidP="00FE178B">
            <w:pPr>
              <w:keepNext/>
              <w:keepLines/>
              <w:rPr>
                <w:rFonts w:ascii="Arial" w:hAnsi="Arial" w:cs="Arial"/>
                <w:sz w:val="20"/>
                <w:szCs w:val="20"/>
              </w:rPr>
            </w:pPr>
            <w:r>
              <w:rPr>
                <w:rFonts w:ascii="Arial" w:hAnsi="Arial" w:cs="Arial"/>
                <w:sz w:val="20"/>
                <w:szCs w:val="20"/>
              </w:rPr>
              <w:t>All climate zones</w:t>
            </w:r>
            <w:r w:rsidRPr="00B12511">
              <w:rPr>
                <w:rFonts w:ascii="Arial" w:hAnsi="Arial" w:cs="Arial"/>
                <w:sz w:val="20"/>
                <w:szCs w:val="20"/>
              </w:rPr>
              <w:t>,</w:t>
            </w:r>
            <w:r>
              <w:rPr>
                <w:rFonts w:ascii="Arial" w:hAnsi="Arial" w:cs="Arial"/>
                <w:sz w:val="20"/>
                <w:szCs w:val="20"/>
              </w:rPr>
              <w:t xml:space="preserve"> </w:t>
            </w:r>
            <w:r w:rsidRPr="00B12511">
              <w:rPr>
                <w:rFonts w:ascii="Arial" w:hAnsi="Arial" w:cs="Arial"/>
                <w:sz w:val="20"/>
                <w:szCs w:val="20"/>
              </w:rPr>
              <w:t xml:space="preserve"> Existing</w:t>
            </w:r>
            <w:r>
              <w:rPr>
                <w:rFonts w:ascii="Arial" w:hAnsi="Arial" w:cs="Arial"/>
                <w:sz w:val="20"/>
                <w:szCs w:val="20"/>
              </w:rPr>
              <w:t xml:space="preserve">, </w:t>
            </w:r>
            <w:proofErr w:type="spellStart"/>
            <w:r w:rsidRPr="00B12511">
              <w:rPr>
                <w:rFonts w:ascii="Arial" w:hAnsi="Arial" w:cs="Arial"/>
                <w:sz w:val="20"/>
                <w:szCs w:val="20"/>
              </w:rPr>
              <w:t>Wtd</w:t>
            </w:r>
            <w:proofErr w:type="spellEnd"/>
            <w:r w:rsidRPr="00B12511">
              <w:rPr>
                <w:rFonts w:ascii="Arial" w:hAnsi="Arial" w:cs="Arial"/>
                <w:sz w:val="20"/>
                <w:szCs w:val="20"/>
              </w:rPr>
              <w:t>-Com,</w:t>
            </w:r>
          </w:p>
        </w:tc>
        <w:tc>
          <w:tcPr>
            <w:tcW w:w="1350"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Varies</w:t>
            </w:r>
          </w:p>
        </w:tc>
        <w:tc>
          <w:tcPr>
            <w:tcW w:w="1473"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Varies</w:t>
            </w:r>
          </w:p>
        </w:tc>
        <w:tc>
          <w:tcPr>
            <w:tcW w:w="1736" w:type="dxa"/>
            <w:shd w:val="clear" w:color="auto" w:fill="auto"/>
          </w:tcPr>
          <w:p w:rsidR="00EB514A" w:rsidRPr="00880E5A" w:rsidRDefault="00EB514A" w:rsidP="00FE178B">
            <w:pPr>
              <w:keepNext/>
              <w:keepLines/>
              <w:rPr>
                <w:rFonts w:ascii="Arial" w:hAnsi="Arial" w:cs="Arial"/>
                <w:sz w:val="20"/>
                <w:szCs w:val="20"/>
              </w:rPr>
            </w:pPr>
            <w:r w:rsidRPr="00880E5A">
              <w:rPr>
                <w:rFonts w:ascii="Arial" w:hAnsi="Arial" w:cs="Arial"/>
                <w:i/>
                <w:sz w:val="20"/>
                <w:szCs w:val="20"/>
              </w:rPr>
              <w:t>Section 1.4.1</w:t>
            </w:r>
          </w:p>
        </w:tc>
      </w:tr>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Hours of operation</w:t>
            </w:r>
          </w:p>
        </w:tc>
        <w:tc>
          <w:tcPr>
            <w:tcW w:w="1846" w:type="dxa"/>
            <w:shd w:val="clear" w:color="auto" w:fill="auto"/>
          </w:tcPr>
          <w:p w:rsidR="00EB514A" w:rsidRPr="00B12511" w:rsidRDefault="00002C26" w:rsidP="00FE178B">
            <w:pPr>
              <w:keepNext/>
              <w:keepLines/>
              <w:rPr>
                <w:rFonts w:ascii="Arial" w:hAnsi="Arial" w:cs="Arial"/>
                <w:sz w:val="20"/>
                <w:szCs w:val="20"/>
              </w:rPr>
            </w:pPr>
            <w:r>
              <w:rPr>
                <w:rFonts w:ascii="Arial" w:hAnsi="Arial" w:cs="Arial"/>
                <w:sz w:val="20"/>
                <w:szCs w:val="20"/>
              </w:rPr>
              <w:t>All climate zones</w:t>
            </w:r>
            <w:r w:rsidRPr="00B12511">
              <w:rPr>
                <w:rFonts w:ascii="Arial" w:hAnsi="Arial" w:cs="Arial"/>
                <w:sz w:val="20"/>
                <w:szCs w:val="20"/>
              </w:rPr>
              <w:t>,</w:t>
            </w:r>
            <w:r>
              <w:rPr>
                <w:rFonts w:ascii="Arial" w:hAnsi="Arial" w:cs="Arial"/>
                <w:sz w:val="20"/>
                <w:szCs w:val="20"/>
              </w:rPr>
              <w:t xml:space="preserve"> </w:t>
            </w:r>
            <w:r w:rsidRPr="00B12511">
              <w:rPr>
                <w:rFonts w:ascii="Arial" w:hAnsi="Arial" w:cs="Arial"/>
                <w:sz w:val="20"/>
                <w:szCs w:val="20"/>
              </w:rPr>
              <w:t xml:space="preserve"> Existing</w:t>
            </w:r>
            <w:r>
              <w:rPr>
                <w:rFonts w:ascii="Arial" w:hAnsi="Arial" w:cs="Arial"/>
                <w:sz w:val="20"/>
                <w:szCs w:val="20"/>
              </w:rPr>
              <w:t xml:space="preserve">, </w:t>
            </w:r>
            <w:proofErr w:type="spellStart"/>
            <w:r w:rsidRPr="00B12511">
              <w:rPr>
                <w:rFonts w:ascii="Arial" w:hAnsi="Arial" w:cs="Arial"/>
                <w:sz w:val="20"/>
                <w:szCs w:val="20"/>
              </w:rPr>
              <w:t>Wtd</w:t>
            </w:r>
            <w:proofErr w:type="spellEnd"/>
            <w:r w:rsidRPr="00B12511">
              <w:rPr>
                <w:rFonts w:ascii="Arial" w:hAnsi="Arial" w:cs="Arial"/>
                <w:sz w:val="20"/>
                <w:szCs w:val="20"/>
              </w:rPr>
              <w:t>-Com,</w:t>
            </w:r>
          </w:p>
        </w:tc>
        <w:tc>
          <w:tcPr>
            <w:tcW w:w="1350"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3,180</w:t>
            </w:r>
          </w:p>
        </w:tc>
        <w:tc>
          <w:tcPr>
            <w:tcW w:w="1473"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3,180</w:t>
            </w:r>
          </w:p>
        </w:tc>
        <w:tc>
          <w:tcPr>
            <w:tcW w:w="1736" w:type="dxa"/>
            <w:shd w:val="clear" w:color="auto" w:fill="auto"/>
          </w:tcPr>
          <w:p w:rsidR="00EB514A" w:rsidRPr="00880E5A" w:rsidRDefault="00EB514A" w:rsidP="00FE178B">
            <w:pPr>
              <w:keepNext/>
              <w:keepLines/>
              <w:rPr>
                <w:rFonts w:ascii="Arial" w:hAnsi="Arial" w:cs="Arial"/>
                <w:sz w:val="20"/>
                <w:szCs w:val="20"/>
              </w:rPr>
            </w:pPr>
            <w:r w:rsidRPr="00880E5A">
              <w:rPr>
                <w:rFonts w:ascii="Arial" w:hAnsi="Arial" w:cs="Arial"/>
                <w:i/>
                <w:sz w:val="20"/>
                <w:szCs w:val="20"/>
              </w:rPr>
              <w:t>Section 1.4.1</w:t>
            </w:r>
          </w:p>
        </w:tc>
      </w:tr>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 xml:space="preserve">Full Cost </w:t>
            </w:r>
          </w:p>
        </w:tc>
        <w:tc>
          <w:tcPr>
            <w:tcW w:w="1846" w:type="dxa"/>
            <w:shd w:val="clear" w:color="auto" w:fill="auto"/>
          </w:tcPr>
          <w:p w:rsidR="00EB514A" w:rsidRPr="00B12511" w:rsidRDefault="00EB514A" w:rsidP="00FE178B">
            <w:pPr>
              <w:keepNext/>
              <w:keepLines/>
              <w:rPr>
                <w:rFonts w:ascii="Arial" w:hAnsi="Arial" w:cs="Arial"/>
                <w:sz w:val="20"/>
                <w:szCs w:val="20"/>
              </w:rPr>
            </w:pPr>
            <w:r>
              <w:rPr>
                <w:rFonts w:ascii="Arial" w:hAnsi="Arial" w:cs="Arial"/>
                <w:sz w:val="20"/>
                <w:szCs w:val="20"/>
              </w:rPr>
              <w:t>ROB</w:t>
            </w:r>
          </w:p>
        </w:tc>
        <w:tc>
          <w:tcPr>
            <w:tcW w:w="1350"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Varies</w:t>
            </w:r>
          </w:p>
        </w:tc>
        <w:tc>
          <w:tcPr>
            <w:tcW w:w="1473"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Varies</w:t>
            </w:r>
          </w:p>
        </w:tc>
        <w:tc>
          <w:tcPr>
            <w:tcW w:w="1736" w:type="dxa"/>
            <w:shd w:val="clear" w:color="auto" w:fill="auto"/>
          </w:tcPr>
          <w:p w:rsidR="00EB514A" w:rsidRPr="00880E5A" w:rsidRDefault="00EB514A" w:rsidP="00FE178B">
            <w:pPr>
              <w:keepNext/>
              <w:keepLines/>
              <w:rPr>
                <w:rFonts w:ascii="Arial" w:hAnsi="Arial" w:cs="Arial"/>
                <w:i/>
                <w:sz w:val="20"/>
                <w:szCs w:val="20"/>
              </w:rPr>
            </w:pPr>
            <w:r w:rsidRPr="00880E5A">
              <w:rPr>
                <w:rFonts w:ascii="Arial" w:hAnsi="Arial" w:cs="Arial"/>
                <w:i/>
                <w:sz w:val="20"/>
                <w:szCs w:val="20"/>
              </w:rPr>
              <w:t>Section 1.4.1,</w:t>
            </w:r>
          </w:p>
          <w:p w:rsidR="00EB514A" w:rsidRPr="00880E5A" w:rsidRDefault="00EB514A" w:rsidP="00FE178B">
            <w:pPr>
              <w:keepNext/>
              <w:keepLines/>
              <w:rPr>
                <w:rFonts w:ascii="Arial" w:hAnsi="Arial" w:cs="Arial"/>
                <w:sz w:val="20"/>
                <w:szCs w:val="20"/>
              </w:rPr>
            </w:pPr>
            <w:r w:rsidRPr="00880E5A">
              <w:rPr>
                <w:rFonts w:ascii="Arial" w:hAnsi="Arial" w:cs="Arial"/>
                <w:i/>
                <w:sz w:val="20"/>
                <w:szCs w:val="20"/>
              </w:rPr>
              <w:t>Section 1.4.4</w:t>
            </w:r>
          </w:p>
        </w:tc>
      </w:tr>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Incremental Cost</w:t>
            </w:r>
          </w:p>
        </w:tc>
        <w:tc>
          <w:tcPr>
            <w:tcW w:w="1846" w:type="dxa"/>
            <w:shd w:val="clear" w:color="auto" w:fill="auto"/>
          </w:tcPr>
          <w:p w:rsidR="00EB514A" w:rsidRPr="00B12511" w:rsidRDefault="00EB514A" w:rsidP="00FE178B">
            <w:pPr>
              <w:keepNext/>
              <w:keepLines/>
              <w:rPr>
                <w:rFonts w:ascii="Arial" w:hAnsi="Arial" w:cs="Arial"/>
                <w:sz w:val="20"/>
                <w:szCs w:val="20"/>
              </w:rPr>
            </w:pPr>
            <w:r>
              <w:rPr>
                <w:rFonts w:ascii="Arial" w:hAnsi="Arial" w:cs="Arial"/>
                <w:sz w:val="20"/>
                <w:szCs w:val="20"/>
              </w:rPr>
              <w:t>ROB</w:t>
            </w:r>
          </w:p>
        </w:tc>
        <w:tc>
          <w:tcPr>
            <w:tcW w:w="1350"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Varies</w:t>
            </w:r>
          </w:p>
        </w:tc>
        <w:tc>
          <w:tcPr>
            <w:tcW w:w="1473"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Varies</w:t>
            </w:r>
          </w:p>
        </w:tc>
        <w:tc>
          <w:tcPr>
            <w:tcW w:w="1736" w:type="dxa"/>
            <w:shd w:val="clear" w:color="auto" w:fill="auto"/>
          </w:tcPr>
          <w:p w:rsidR="00EB514A" w:rsidRPr="00880E5A" w:rsidRDefault="00EB514A" w:rsidP="00FE178B">
            <w:pPr>
              <w:keepNext/>
              <w:keepLines/>
              <w:rPr>
                <w:rFonts w:ascii="Arial" w:hAnsi="Arial" w:cs="Arial"/>
                <w:i/>
                <w:sz w:val="20"/>
                <w:szCs w:val="20"/>
              </w:rPr>
            </w:pPr>
            <w:r w:rsidRPr="00880E5A">
              <w:rPr>
                <w:rFonts w:ascii="Arial" w:hAnsi="Arial" w:cs="Arial"/>
                <w:i/>
                <w:sz w:val="20"/>
                <w:szCs w:val="20"/>
              </w:rPr>
              <w:t>Section 1.4.1,</w:t>
            </w:r>
          </w:p>
          <w:p w:rsidR="00EB514A" w:rsidRPr="00880E5A" w:rsidRDefault="00EB514A" w:rsidP="00FE178B">
            <w:pPr>
              <w:keepNext/>
              <w:keepLines/>
              <w:rPr>
                <w:rFonts w:ascii="Arial" w:hAnsi="Arial" w:cs="Arial"/>
                <w:sz w:val="20"/>
                <w:szCs w:val="20"/>
              </w:rPr>
            </w:pPr>
            <w:r w:rsidRPr="00880E5A">
              <w:rPr>
                <w:rFonts w:ascii="Arial" w:hAnsi="Arial" w:cs="Arial"/>
                <w:i/>
                <w:sz w:val="20"/>
                <w:szCs w:val="20"/>
              </w:rPr>
              <w:t>Section 1.4.4</w:t>
            </w:r>
          </w:p>
        </w:tc>
      </w:tr>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EUL /RUL</w:t>
            </w:r>
          </w:p>
        </w:tc>
        <w:tc>
          <w:tcPr>
            <w:tcW w:w="1846" w:type="dxa"/>
            <w:shd w:val="clear" w:color="auto" w:fill="auto"/>
          </w:tcPr>
          <w:p w:rsidR="00EB514A" w:rsidRPr="00B12511" w:rsidRDefault="00EB514A" w:rsidP="00FE178B">
            <w:pPr>
              <w:keepNext/>
              <w:keepLines/>
              <w:rPr>
                <w:rFonts w:ascii="Arial" w:hAnsi="Arial" w:cs="Arial"/>
                <w:sz w:val="20"/>
                <w:szCs w:val="20"/>
              </w:rPr>
            </w:pPr>
            <w:r>
              <w:rPr>
                <w:rFonts w:ascii="Arial" w:hAnsi="Arial" w:cs="Arial"/>
                <w:sz w:val="20"/>
                <w:szCs w:val="20"/>
              </w:rPr>
              <w:t>ROB</w:t>
            </w:r>
          </w:p>
        </w:tc>
        <w:tc>
          <w:tcPr>
            <w:tcW w:w="1350"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Varies</w:t>
            </w:r>
          </w:p>
        </w:tc>
        <w:tc>
          <w:tcPr>
            <w:tcW w:w="1473"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Varies</w:t>
            </w:r>
          </w:p>
        </w:tc>
        <w:tc>
          <w:tcPr>
            <w:tcW w:w="1736" w:type="dxa"/>
            <w:shd w:val="clear" w:color="auto" w:fill="auto"/>
          </w:tcPr>
          <w:p w:rsidR="00EB514A" w:rsidRPr="00880E5A" w:rsidRDefault="00EB514A" w:rsidP="00FE178B">
            <w:pPr>
              <w:keepNext/>
              <w:keepLines/>
              <w:rPr>
                <w:rFonts w:ascii="Arial" w:hAnsi="Arial" w:cs="Arial"/>
                <w:sz w:val="20"/>
                <w:szCs w:val="20"/>
              </w:rPr>
            </w:pPr>
            <w:r w:rsidRPr="00880E5A">
              <w:rPr>
                <w:rFonts w:ascii="Arial" w:hAnsi="Arial" w:cs="Arial"/>
                <w:i/>
                <w:sz w:val="20"/>
                <w:szCs w:val="20"/>
              </w:rPr>
              <w:t>Section 1.4.1</w:t>
            </w:r>
          </w:p>
        </w:tc>
      </w:tr>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NTG</w:t>
            </w:r>
          </w:p>
        </w:tc>
        <w:tc>
          <w:tcPr>
            <w:tcW w:w="1846" w:type="dxa"/>
            <w:shd w:val="clear" w:color="auto" w:fill="auto"/>
          </w:tcPr>
          <w:p w:rsidR="00EB514A" w:rsidRPr="00B12511" w:rsidRDefault="00EB514A" w:rsidP="00FE178B">
            <w:pPr>
              <w:keepNext/>
              <w:keepLines/>
              <w:rPr>
                <w:rFonts w:ascii="Arial" w:hAnsi="Arial" w:cs="Arial"/>
                <w:sz w:val="20"/>
                <w:szCs w:val="20"/>
              </w:rPr>
            </w:pPr>
            <w:r w:rsidRPr="00B12511">
              <w:rPr>
                <w:rFonts w:ascii="Arial" w:hAnsi="Arial" w:cs="Arial"/>
                <w:sz w:val="20"/>
                <w:szCs w:val="20"/>
              </w:rPr>
              <w:t>N/A</w:t>
            </w:r>
          </w:p>
        </w:tc>
        <w:tc>
          <w:tcPr>
            <w:tcW w:w="1350"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0.7</w:t>
            </w:r>
          </w:p>
        </w:tc>
        <w:tc>
          <w:tcPr>
            <w:tcW w:w="1473"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0.7</w:t>
            </w:r>
          </w:p>
        </w:tc>
        <w:tc>
          <w:tcPr>
            <w:tcW w:w="1736" w:type="dxa"/>
            <w:shd w:val="clear" w:color="auto" w:fill="auto"/>
          </w:tcPr>
          <w:p w:rsidR="00EB514A" w:rsidRPr="00880E5A" w:rsidRDefault="00EB514A" w:rsidP="00FE178B">
            <w:pPr>
              <w:keepNext/>
              <w:keepLines/>
              <w:rPr>
                <w:rFonts w:ascii="Arial" w:hAnsi="Arial" w:cs="Arial"/>
                <w:sz w:val="20"/>
                <w:szCs w:val="20"/>
              </w:rPr>
            </w:pPr>
            <w:r w:rsidRPr="00880E5A">
              <w:rPr>
                <w:rFonts w:ascii="Arial" w:hAnsi="Arial" w:cs="Arial"/>
                <w:i/>
                <w:sz w:val="20"/>
                <w:szCs w:val="20"/>
              </w:rPr>
              <w:t>Section 1.4.1</w:t>
            </w:r>
          </w:p>
        </w:tc>
      </w:tr>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ISR</w:t>
            </w:r>
          </w:p>
        </w:tc>
        <w:tc>
          <w:tcPr>
            <w:tcW w:w="1846" w:type="dxa"/>
            <w:shd w:val="clear" w:color="auto" w:fill="auto"/>
          </w:tcPr>
          <w:p w:rsidR="00EB514A" w:rsidRPr="00B12511" w:rsidRDefault="00EB514A" w:rsidP="00FE178B">
            <w:pPr>
              <w:keepNext/>
              <w:keepLines/>
              <w:rPr>
                <w:rFonts w:ascii="Arial" w:hAnsi="Arial" w:cs="Arial"/>
                <w:sz w:val="20"/>
                <w:szCs w:val="20"/>
              </w:rPr>
            </w:pPr>
            <w:r w:rsidRPr="00B12511">
              <w:rPr>
                <w:rFonts w:ascii="Arial" w:hAnsi="Arial" w:cs="Arial"/>
                <w:sz w:val="20"/>
                <w:szCs w:val="20"/>
              </w:rPr>
              <w:t>Applies</w:t>
            </w:r>
          </w:p>
        </w:tc>
        <w:tc>
          <w:tcPr>
            <w:tcW w:w="1350"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1</w:t>
            </w:r>
          </w:p>
        </w:tc>
        <w:tc>
          <w:tcPr>
            <w:tcW w:w="1473" w:type="dxa"/>
            <w:shd w:val="clear" w:color="auto" w:fill="auto"/>
          </w:tcPr>
          <w:p w:rsidR="00EB514A" w:rsidRPr="00783DAC" w:rsidRDefault="00EB514A" w:rsidP="00FE178B">
            <w:pPr>
              <w:keepNext/>
              <w:keepLines/>
              <w:rPr>
                <w:rFonts w:ascii="Arial" w:hAnsi="Arial" w:cs="Arial"/>
                <w:sz w:val="20"/>
                <w:szCs w:val="20"/>
              </w:rPr>
            </w:pPr>
            <w:r>
              <w:rPr>
                <w:rFonts w:ascii="Arial" w:hAnsi="Arial" w:cs="Arial"/>
                <w:sz w:val="20"/>
                <w:szCs w:val="20"/>
              </w:rPr>
              <w:t>1</w:t>
            </w:r>
          </w:p>
        </w:tc>
        <w:tc>
          <w:tcPr>
            <w:tcW w:w="1736" w:type="dxa"/>
            <w:shd w:val="clear" w:color="auto" w:fill="auto"/>
          </w:tcPr>
          <w:p w:rsidR="00EB514A" w:rsidRPr="00880E5A" w:rsidRDefault="00EB514A" w:rsidP="00FE178B">
            <w:pPr>
              <w:keepNext/>
              <w:keepLines/>
              <w:rPr>
                <w:rFonts w:ascii="Arial" w:hAnsi="Arial" w:cs="Arial"/>
                <w:i/>
                <w:sz w:val="20"/>
                <w:szCs w:val="20"/>
              </w:rPr>
            </w:pPr>
            <w:r w:rsidRPr="00880E5A">
              <w:rPr>
                <w:rFonts w:ascii="Arial" w:hAnsi="Arial" w:cs="Arial"/>
                <w:i/>
                <w:sz w:val="20"/>
                <w:szCs w:val="20"/>
              </w:rPr>
              <w:t>Section 1.4.4</w:t>
            </w:r>
          </w:p>
        </w:tc>
      </w:tr>
      <w:tr w:rsidR="00EB514A" w:rsidRPr="00783DAC" w:rsidTr="00002C26">
        <w:tc>
          <w:tcPr>
            <w:tcW w:w="1772" w:type="dxa"/>
            <w:shd w:val="clear" w:color="auto" w:fill="auto"/>
          </w:tcPr>
          <w:p w:rsidR="00EB514A" w:rsidRPr="00783DAC" w:rsidRDefault="00EB514A" w:rsidP="00FE178B">
            <w:pPr>
              <w:keepNext/>
              <w:keepLines/>
              <w:rPr>
                <w:rFonts w:ascii="Arial" w:hAnsi="Arial" w:cs="Arial"/>
                <w:b/>
                <w:sz w:val="20"/>
                <w:szCs w:val="20"/>
              </w:rPr>
            </w:pPr>
            <w:r w:rsidRPr="00783DAC">
              <w:rPr>
                <w:rFonts w:ascii="Arial" w:hAnsi="Arial" w:cs="Arial"/>
                <w:b/>
                <w:sz w:val="20"/>
                <w:szCs w:val="20"/>
              </w:rPr>
              <w:t>TOU Factor</w:t>
            </w:r>
          </w:p>
        </w:tc>
        <w:tc>
          <w:tcPr>
            <w:tcW w:w="1846" w:type="dxa"/>
            <w:shd w:val="clear" w:color="auto" w:fill="auto"/>
          </w:tcPr>
          <w:p w:rsidR="00EB514A" w:rsidRPr="00B55AA0" w:rsidRDefault="00EB514A" w:rsidP="00FE178B">
            <w:pPr>
              <w:keepNext/>
              <w:keepLines/>
              <w:rPr>
                <w:rFonts w:ascii="Arial" w:hAnsi="Arial" w:cs="Arial"/>
                <w:sz w:val="20"/>
                <w:szCs w:val="20"/>
              </w:rPr>
            </w:pPr>
            <w:r w:rsidRPr="00B55AA0">
              <w:rPr>
                <w:rFonts w:ascii="Arial" w:hAnsi="Arial" w:cs="Arial"/>
                <w:sz w:val="20"/>
                <w:szCs w:val="20"/>
              </w:rPr>
              <w:t>A/C projects only</w:t>
            </w:r>
          </w:p>
        </w:tc>
        <w:tc>
          <w:tcPr>
            <w:tcW w:w="1350" w:type="dxa"/>
            <w:shd w:val="clear" w:color="auto" w:fill="auto"/>
          </w:tcPr>
          <w:p w:rsidR="00EB514A" w:rsidRPr="00B55AA0" w:rsidRDefault="00EB514A" w:rsidP="00FE178B">
            <w:pPr>
              <w:keepNext/>
              <w:keepLines/>
              <w:rPr>
                <w:rFonts w:ascii="Arial" w:hAnsi="Arial" w:cs="Arial"/>
                <w:sz w:val="20"/>
                <w:szCs w:val="20"/>
              </w:rPr>
            </w:pPr>
            <w:r w:rsidRPr="00B55AA0">
              <w:rPr>
                <w:rFonts w:ascii="Arial" w:hAnsi="Arial" w:cs="Arial"/>
                <w:sz w:val="20"/>
                <w:szCs w:val="20"/>
              </w:rPr>
              <w:t>N/A</w:t>
            </w:r>
          </w:p>
        </w:tc>
        <w:tc>
          <w:tcPr>
            <w:tcW w:w="1473" w:type="dxa"/>
            <w:shd w:val="clear" w:color="auto" w:fill="auto"/>
          </w:tcPr>
          <w:p w:rsidR="00EB514A" w:rsidRPr="00B55AA0" w:rsidRDefault="00EB514A" w:rsidP="00FE178B">
            <w:pPr>
              <w:keepNext/>
              <w:keepLines/>
              <w:rPr>
                <w:rFonts w:ascii="Arial" w:hAnsi="Arial" w:cs="Arial"/>
                <w:sz w:val="20"/>
                <w:szCs w:val="20"/>
              </w:rPr>
            </w:pPr>
            <w:r w:rsidRPr="00B55AA0">
              <w:rPr>
                <w:rFonts w:ascii="Arial" w:hAnsi="Arial" w:cs="Arial"/>
                <w:sz w:val="20"/>
                <w:szCs w:val="20"/>
              </w:rPr>
              <w:t>N/A</w:t>
            </w:r>
          </w:p>
        </w:tc>
        <w:tc>
          <w:tcPr>
            <w:tcW w:w="1736" w:type="dxa"/>
            <w:shd w:val="clear" w:color="auto" w:fill="auto"/>
          </w:tcPr>
          <w:p w:rsidR="00EB514A" w:rsidRPr="00880E5A" w:rsidRDefault="00EB514A" w:rsidP="00FE178B">
            <w:pPr>
              <w:keepNext/>
              <w:keepLines/>
              <w:rPr>
                <w:rFonts w:ascii="Arial" w:hAnsi="Arial" w:cs="Arial"/>
                <w:i/>
                <w:sz w:val="20"/>
                <w:szCs w:val="20"/>
              </w:rPr>
            </w:pPr>
            <w:r w:rsidRPr="00880E5A">
              <w:rPr>
                <w:rFonts w:ascii="Arial" w:hAnsi="Arial" w:cs="Arial"/>
                <w:i/>
                <w:sz w:val="20"/>
                <w:szCs w:val="20"/>
              </w:rPr>
              <w:t>Section 1.4.5</w:t>
            </w:r>
          </w:p>
        </w:tc>
      </w:tr>
    </w:tbl>
    <w:p w:rsidR="00C069A2" w:rsidRDefault="001A3026" w:rsidP="001A3026">
      <w:pPr>
        <w:rPr>
          <w:rFonts w:ascii="Arial" w:hAnsi="Arial" w:cs="Arial"/>
          <w:b/>
          <w:i/>
          <w:sz w:val="28"/>
          <w:szCs w:val="28"/>
        </w:rPr>
      </w:pPr>
      <w:r>
        <w:rPr>
          <w:rFonts w:ascii="Arial" w:hAnsi="Arial" w:cs="Arial"/>
          <w:sz w:val="20"/>
          <w:szCs w:val="20"/>
        </w:rPr>
        <w:br w:type="page"/>
      </w:r>
      <w:r w:rsidR="00CF3FF0" w:rsidRPr="00CF3FF0">
        <w:rPr>
          <w:rFonts w:ascii="Arial" w:hAnsi="Arial" w:cs="Arial"/>
          <w:b/>
          <w:i/>
          <w:sz w:val="28"/>
          <w:szCs w:val="28"/>
        </w:rPr>
        <w:lastRenderedPageBreak/>
        <w:t xml:space="preserve">Section </w:t>
      </w:r>
      <w:r w:rsidR="00C069A2" w:rsidRPr="00CF3FF0">
        <w:rPr>
          <w:rFonts w:ascii="Arial" w:hAnsi="Arial" w:cs="Arial"/>
          <w:b/>
          <w:i/>
          <w:sz w:val="28"/>
          <w:szCs w:val="28"/>
        </w:rPr>
        <w:t>2</w:t>
      </w:r>
      <w:r w:rsidR="003129E8" w:rsidRPr="00CF3FF0">
        <w:rPr>
          <w:rFonts w:ascii="Arial" w:hAnsi="Arial" w:cs="Arial"/>
          <w:b/>
          <w:i/>
          <w:sz w:val="28"/>
          <w:szCs w:val="28"/>
        </w:rPr>
        <w:t>.</w:t>
      </w:r>
      <w:r w:rsidR="00C069A2" w:rsidRPr="00CF3FF0">
        <w:rPr>
          <w:rFonts w:ascii="Arial" w:hAnsi="Arial" w:cs="Arial"/>
          <w:b/>
          <w:i/>
          <w:sz w:val="28"/>
          <w:szCs w:val="28"/>
        </w:rPr>
        <w:t xml:space="preserve"> Calculation Methods</w:t>
      </w:r>
    </w:p>
    <w:p w:rsidR="00BC2A83" w:rsidRPr="00CF3FF0" w:rsidRDefault="00BC2A83" w:rsidP="001A3026">
      <w:pPr>
        <w:rPr>
          <w:rFonts w:ascii="Arial" w:hAnsi="Arial" w:cs="Arial"/>
          <w:b/>
          <w:i/>
          <w:sz w:val="28"/>
          <w:szCs w:val="28"/>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9"/>
        <w:gridCol w:w="2392"/>
        <w:gridCol w:w="2393"/>
        <w:gridCol w:w="2392"/>
      </w:tblGrid>
      <w:tr w:rsidR="00BC2A83" w:rsidRPr="003F46D4" w:rsidTr="0012422F">
        <w:tc>
          <w:tcPr>
            <w:tcW w:w="2399" w:type="dxa"/>
            <w:shd w:val="clear" w:color="auto" w:fill="auto"/>
          </w:tcPr>
          <w:p w:rsidR="00BC2A83" w:rsidRPr="003F46D4" w:rsidRDefault="00BC2A83" w:rsidP="0012422F">
            <w:r w:rsidRPr="0012422F">
              <w:rPr>
                <w:rFonts w:ascii="Arial" w:hAnsi="Arial" w:cs="Arial"/>
                <w:b/>
                <w:bCs/>
                <w:iCs/>
              </w:rPr>
              <w:t>Install</w:t>
            </w:r>
            <w:r w:rsidR="006D5AAB" w:rsidRPr="0012422F">
              <w:rPr>
                <w:rFonts w:ascii="Arial" w:hAnsi="Arial" w:cs="Arial"/>
                <w:b/>
                <w:bCs/>
                <w:iCs/>
              </w:rPr>
              <w:t xml:space="preserve"> </w:t>
            </w:r>
            <w:r w:rsidRPr="0012422F">
              <w:rPr>
                <w:rFonts w:ascii="Arial" w:hAnsi="Arial" w:cs="Arial"/>
                <w:b/>
                <w:bCs/>
                <w:iCs/>
              </w:rPr>
              <w:t>/</w:t>
            </w:r>
            <w:r w:rsidR="006D5AAB" w:rsidRPr="0012422F">
              <w:rPr>
                <w:rFonts w:ascii="Arial" w:hAnsi="Arial" w:cs="Arial"/>
                <w:b/>
                <w:bCs/>
                <w:iCs/>
              </w:rPr>
              <w:t xml:space="preserve"> </w:t>
            </w:r>
            <w:r w:rsidRPr="0012422F">
              <w:rPr>
                <w:rFonts w:ascii="Arial" w:hAnsi="Arial" w:cs="Arial"/>
                <w:b/>
                <w:bCs/>
                <w:iCs/>
              </w:rPr>
              <w:t>Program</w:t>
            </w:r>
            <w:r w:rsidR="009B4DB1" w:rsidRPr="0012422F">
              <w:rPr>
                <w:rFonts w:ascii="Arial" w:hAnsi="Arial" w:cs="Arial"/>
                <w:b/>
                <w:bCs/>
                <w:iCs/>
              </w:rPr>
              <w:t xml:space="preserve"> </w:t>
            </w:r>
            <w:r w:rsidRPr="0012422F">
              <w:rPr>
                <w:rFonts w:ascii="Arial" w:hAnsi="Arial" w:cs="Arial"/>
                <w:b/>
                <w:bCs/>
                <w:iCs/>
              </w:rPr>
              <w:t>Type</w:t>
            </w:r>
          </w:p>
        </w:tc>
        <w:tc>
          <w:tcPr>
            <w:tcW w:w="2392" w:type="dxa"/>
            <w:shd w:val="clear" w:color="auto" w:fill="auto"/>
          </w:tcPr>
          <w:p w:rsidR="00BC2A83" w:rsidRPr="0012422F" w:rsidRDefault="00BC2A83" w:rsidP="0012422F">
            <w:pPr>
              <w:rPr>
                <w:rFonts w:ascii="Arial" w:hAnsi="Arial" w:cs="Arial"/>
                <w:b/>
                <w:bCs/>
                <w:iCs/>
              </w:rPr>
            </w:pPr>
            <w:r w:rsidRPr="0012422F">
              <w:rPr>
                <w:rFonts w:ascii="Arial" w:hAnsi="Arial" w:cs="Arial"/>
                <w:b/>
                <w:bCs/>
                <w:iCs/>
              </w:rPr>
              <w:t>Measure Life Basis</w:t>
            </w:r>
          </w:p>
        </w:tc>
        <w:tc>
          <w:tcPr>
            <w:tcW w:w="2393" w:type="dxa"/>
            <w:shd w:val="clear" w:color="auto" w:fill="auto"/>
          </w:tcPr>
          <w:p w:rsidR="00BC2A83" w:rsidRPr="0012422F" w:rsidRDefault="00BC2A83" w:rsidP="0012422F">
            <w:pPr>
              <w:rPr>
                <w:rFonts w:ascii="Arial" w:hAnsi="Arial" w:cs="Arial"/>
                <w:b/>
                <w:bCs/>
                <w:iCs/>
              </w:rPr>
            </w:pPr>
            <w:r w:rsidRPr="0012422F">
              <w:rPr>
                <w:rFonts w:ascii="Arial" w:hAnsi="Arial" w:cs="Arial"/>
                <w:b/>
                <w:bCs/>
                <w:iCs/>
              </w:rPr>
              <w:t>First Baseline Period -- Energy Savings Baseline</w:t>
            </w:r>
          </w:p>
        </w:tc>
        <w:tc>
          <w:tcPr>
            <w:tcW w:w="2392" w:type="dxa"/>
            <w:shd w:val="clear" w:color="auto" w:fill="auto"/>
          </w:tcPr>
          <w:p w:rsidR="00BC2A83" w:rsidRPr="0012422F" w:rsidRDefault="00BC2A83" w:rsidP="0012422F">
            <w:pPr>
              <w:rPr>
                <w:rFonts w:ascii="Arial" w:hAnsi="Arial" w:cs="Arial"/>
                <w:b/>
                <w:bCs/>
                <w:iCs/>
              </w:rPr>
            </w:pPr>
            <w:r w:rsidRPr="0012422F">
              <w:rPr>
                <w:rFonts w:ascii="Arial" w:hAnsi="Arial" w:cs="Arial"/>
                <w:b/>
                <w:bCs/>
                <w:iCs/>
              </w:rPr>
              <w:t>Second Baseline Period -- Energy Savings Baseline</w:t>
            </w:r>
          </w:p>
        </w:tc>
      </w:tr>
      <w:tr w:rsidR="00D33310" w:rsidRPr="003F46D4" w:rsidTr="003F46D4">
        <w:tc>
          <w:tcPr>
            <w:tcW w:w="2399" w:type="dxa"/>
            <w:shd w:val="clear" w:color="auto" w:fill="auto"/>
          </w:tcPr>
          <w:p w:rsidR="00D33310" w:rsidRPr="00BC2A83" w:rsidRDefault="00D33310" w:rsidP="00C06690">
            <w:pPr>
              <w:pStyle w:val="Heading2"/>
              <w:rPr>
                <w:sz w:val="24"/>
                <w:szCs w:val="24"/>
              </w:rPr>
            </w:pPr>
            <w:bookmarkStart w:id="31" w:name="_Toc390769236"/>
            <w:r w:rsidRPr="00BC2A83">
              <w:rPr>
                <w:sz w:val="24"/>
                <w:szCs w:val="24"/>
              </w:rPr>
              <w:t>ROB</w:t>
            </w:r>
            <w:bookmarkEnd w:id="31"/>
          </w:p>
        </w:tc>
        <w:tc>
          <w:tcPr>
            <w:tcW w:w="2392" w:type="dxa"/>
            <w:shd w:val="clear" w:color="auto" w:fill="auto"/>
          </w:tcPr>
          <w:p w:rsidR="00D33310" w:rsidRPr="00BC2A83" w:rsidRDefault="00D33310" w:rsidP="00C06690">
            <w:pPr>
              <w:pStyle w:val="Heading2"/>
              <w:rPr>
                <w:b w:val="0"/>
                <w:i w:val="0"/>
                <w:sz w:val="20"/>
                <w:szCs w:val="20"/>
              </w:rPr>
            </w:pPr>
            <w:bookmarkStart w:id="32" w:name="_Toc390769237"/>
            <w:r w:rsidRPr="00BC2A83">
              <w:rPr>
                <w:i w:val="0"/>
                <w:sz w:val="20"/>
                <w:szCs w:val="20"/>
              </w:rPr>
              <w:t>EUL</w:t>
            </w:r>
            <w:bookmarkEnd w:id="32"/>
          </w:p>
        </w:tc>
        <w:tc>
          <w:tcPr>
            <w:tcW w:w="2393" w:type="dxa"/>
            <w:shd w:val="clear" w:color="auto" w:fill="auto"/>
          </w:tcPr>
          <w:p w:rsidR="00D33310" w:rsidRPr="00BC2A83" w:rsidRDefault="00D33310" w:rsidP="00C06690">
            <w:pPr>
              <w:pStyle w:val="Heading2"/>
              <w:rPr>
                <w:b w:val="0"/>
                <w:i w:val="0"/>
                <w:sz w:val="20"/>
                <w:szCs w:val="20"/>
              </w:rPr>
            </w:pPr>
            <w:bookmarkStart w:id="33" w:name="_Toc390769238"/>
            <w:r w:rsidRPr="00BC2A83">
              <w:rPr>
                <w:i w:val="0"/>
                <w:sz w:val="20"/>
                <w:szCs w:val="20"/>
              </w:rPr>
              <w:t>Code Baseline</w:t>
            </w:r>
            <w:bookmarkEnd w:id="33"/>
          </w:p>
        </w:tc>
        <w:tc>
          <w:tcPr>
            <w:tcW w:w="2392" w:type="dxa"/>
            <w:shd w:val="clear" w:color="auto" w:fill="auto"/>
          </w:tcPr>
          <w:p w:rsidR="00D33310" w:rsidRPr="00BC2A83" w:rsidRDefault="00D33310" w:rsidP="00C06690">
            <w:pPr>
              <w:pStyle w:val="Heading2"/>
              <w:rPr>
                <w:b w:val="0"/>
                <w:i w:val="0"/>
                <w:sz w:val="20"/>
                <w:szCs w:val="20"/>
              </w:rPr>
            </w:pPr>
            <w:bookmarkStart w:id="34" w:name="_Toc390769239"/>
            <w:r w:rsidRPr="00BC2A83">
              <w:rPr>
                <w:i w:val="0"/>
                <w:sz w:val="20"/>
                <w:szCs w:val="20"/>
              </w:rPr>
              <w:t>N/A</w:t>
            </w:r>
            <w:bookmarkEnd w:id="34"/>
          </w:p>
        </w:tc>
      </w:tr>
    </w:tbl>
    <w:p w:rsidR="00AB0CBA" w:rsidRDefault="00AB0CBA" w:rsidP="00B72D8C"/>
    <w:p w:rsidR="00AB0CBA" w:rsidRDefault="00016332" w:rsidP="00B72D8C">
      <w:pPr>
        <w:rPr>
          <w:rFonts w:ascii="Arial" w:hAnsi="Arial" w:cs="Arial"/>
          <w:sz w:val="20"/>
          <w:szCs w:val="22"/>
        </w:rPr>
      </w:pPr>
      <w:r>
        <w:rPr>
          <w:rFonts w:ascii="Arial" w:hAnsi="Arial" w:cs="Arial"/>
          <w:sz w:val="20"/>
          <w:szCs w:val="22"/>
        </w:rPr>
        <w:t xml:space="preserve">We determined an average linear fluorescent fixture type based on fixture data from </w:t>
      </w:r>
      <w:r w:rsidR="00DF2AE8" w:rsidRPr="00F6051C">
        <w:rPr>
          <w:rFonts w:ascii="Arial" w:hAnsi="Arial" w:cs="Arial"/>
          <w:sz w:val="20"/>
          <w:szCs w:val="22"/>
        </w:rPr>
        <w:t xml:space="preserve">US Census and California </w:t>
      </w:r>
      <w:r>
        <w:rPr>
          <w:rFonts w:ascii="Arial" w:hAnsi="Arial" w:cs="Arial"/>
          <w:sz w:val="20"/>
          <w:szCs w:val="22"/>
        </w:rPr>
        <w:t>Commercial End-Use Survey (</w:t>
      </w:r>
      <w:r w:rsidR="00DF2AE8" w:rsidRPr="00F6051C">
        <w:rPr>
          <w:rFonts w:ascii="Arial" w:hAnsi="Arial" w:cs="Arial"/>
          <w:sz w:val="20"/>
          <w:szCs w:val="22"/>
        </w:rPr>
        <w:t>CEUS</w:t>
      </w:r>
      <w:r>
        <w:rPr>
          <w:rFonts w:ascii="Arial" w:hAnsi="Arial" w:cs="Arial"/>
          <w:sz w:val="20"/>
          <w:szCs w:val="22"/>
        </w:rPr>
        <w:t>).</w:t>
      </w:r>
      <w:r w:rsidR="00DF2AE8" w:rsidRPr="00F6051C">
        <w:rPr>
          <w:rFonts w:ascii="Arial" w:hAnsi="Arial" w:cs="Arial"/>
          <w:sz w:val="20"/>
          <w:szCs w:val="22"/>
        </w:rPr>
        <w:t xml:space="preserve"> </w:t>
      </w:r>
      <w:r>
        <w:rPr>
          <w:rFonts w:ascii="Arial" w:hAnsi="Arial" w:cs="Arial"/>
          <w:sz w:val="20"/>
          <w:szCs w:val="22"/>
        </w:rPr>
        <w:t>D</w:t>
      </w:r>
      <w:r w:rsidR="00DF2AE8" w:rsidRPr="00F6051C">
        <w:rPr>
          <w:rFonts w:ascii="Arial" w:hAnsi="Arial" w:cs="Arial"/>
          <w:sz w:val="20"/>
          <w:szCs w:val="22"/>
        </w:rPr>
        <w:t xml:space="preserve">ata </w:t>
      </w:r>
      <w:r w:rsidR="00DF2AE8">
        <w:rPr>
          <w:rFonts w:ascii="Arial" w:hAnsi="Arial" w:cs="Arial"/>
          <w:sz w:val="20"/>
          <w:szCs w:val="22"/>
        </w:rPr>
        <w:t xml:space="preserve">on </w:t>
      </w:r>
      <w:r>
        <w:rPr>
          <w:rFonts w:ascii="Arial" w:hAnsi="Arial" w:cs="Arial"/>
          <w:sz w:val="20"/>
          <w:szCs w:val="22"/>
        </w:rPr>
        <w:t xml:space="preserve">fixture </w:t>
      </w:r>
      <w:r w:rsidR="00DF2AE8">
        <w:rPr>
          <w:rFonts w:ascii="Arial" w:hAnsi="Arial" w:cs="Arial"/>
          <w:sz w:val="20"/>
          <w:szCs w:val="22"/>
        </w:rPr>
        <w:t xml:space="preserve">shipments </w:t>
      </w:r>
      <w:r>
        <w:rPr>
          <w:rFonts w:ascii="Arial" w:hAnsi="Arial" w:cs="Arial"/>
          <w:sz w:val="20"/>
          <w:szCs w:val="22"/>
        </w:rPr>
        <w:t xml:space="preserve">and existing fixture types </w:t>
      </w:r>
      <w:r w:rsidR="00DF2AE8">
        <w:rPr>
          <w:rFonts w:ascii="Arial" w:hAnsi="Arial" w:cs="Arial"/>
          <w:sz w:val="20"/>
          <w:szCs w:val="22"/>
        </w:rPr>
        <w:t xml:space="preserve">were used to weight the average power draw of </w:t>
      </w:r>
      <w:r w:rsidR="00732062">
        <w:rPr>
          <w:rFonts w:ascii="Arial" w:hAnsi="Arial" w:cs="Arial"/>
          <w:sz w:val="20"/>
          <w:szCs w:val="22"/>
        </w:rPr>
        <w:t xml:space="preserve">1-, </w:t>
      </w:r>
      <w:r w:rsidR="00DF2AE8">
        <w:rPr>
          <w:rFonts w:ascii="Arial" w:hAnsi="Arial" w:cs="Arial"/>
          <w:sz w:val="20"/>
          <w:szCs w:val="22"/>
        </w:rPr>
        <w:t>2</w:t>
      </w:r>
      <w:r>
        <w:rPr>
          <w:rFonts w:ascii="Arial" w:hAnsi="Arial" w:cs="Arial"/>
          <w:sz w:val="20"/>
          <w:szCs w:val="22"/>
        </w:rPr>
        <w:t>-</w:t>
      </w:r>
      <w:r w:rsidR="00DF2AE8">
        <w:rPr>
          <w:rFonts w:ascii="Arial" w:hAnsi="Arial" w:cs="Arial"/>
          <w:sz w:val="20"/>
          <w:szCs w:val="22"/>
        </w:rPr>
        <w:t>, 3</w:t>
      </w:r>
      <w:r>
        <w:rPr>
          <w:rFonts w:ascii="Arial" w:hAnsi="Arial" w:cs="Arial"/>
          <w:sz w:val="20"/>
          <w:szCs w:val="22"/>
        </w:rPr>
        <w:t>-</w:t>
      </w:r>
      <w:r w:rsidR="00DF2AE8">
        <w:rPr>
          <w:rFonts w:ascii="Arial" w:hAnsi="Arial" w:cs="Arial"/>
          <w:sz w:val="20"/>
          <w:szCs w:val="22"/>
        </w:rPr>
        <w:t xml:space="preserve">, and 4-lamp </w:t>
      </w:r>
      <w:r>
        <w:rPr>
          <w:rFonts w:ascii="Arial" w:hAnsi="Arial" w:cs="Arial"/>
          <w:sz w:val="20"/>
          <w:szCs w:val="22"/>
        </w:rPr>
        <w:t>fixtures at 75 Watts</w:t>
      </w:r>
      <w:r w:rsidR="00DF2AE8" w:rsidRPr="00F6051C">
        <w:rPr>
          <w:rFonts w:ascii="Arial" w:hAnsi="Arial" w:cs="Arial"/>
          <w:sz w:val="20"/>
          <w:szCs w:val="22"/>
        </w:rPr>
        <w:t xml:space="preserve">. </w:t>
      </w:r>
      <w:r w:rsidR="00AB0CBA" w:rsidRPr="00F6051C">
        <w:rPr>
          <w:rFonts w:ascii="Arial" w:hAnsi="Arial" w:cs="Arial"/>
          <w:sz w:val="20"/>
          <w:szCs w:val="22"/>
        </w:rPr>
        <w:t xml:space="preserve">We have based energy consumption and savings calculations on </w:t>
      </w:r>
      <w:r w:rsidR="00DF2AE8">
        <w:rPr>
          <w:rFonts w:ascii="Arial" w:hAnsi="Arial" w:cs="Arial"/>
          <w:sz w:val="20"/>
          <w:szCs w:val="22"/>
        </w:rPr>
        <w:t>this blended average power draw of fluorescent fixtures</w:t>
      </w:r>
      <w:r w:rsidR="00AB0CBA" w:rsidRPr="00F6051C">
        <w:rPr>
          <w:rFonts w:ascii="Arial" w:hAnsi="Arial" w:cs="Arial"/>
          <w:sz w:val="20"/>
          <w:szCs w:val="22"/>
        </w:rPr>
        <w:t>,</w:t>
      </w:r>
      <w:r w:rsidR="00DF2AE8">
        <w:rPr>
          <w:rFonts w:ascii="Arial" w:hAnsi="Arial" w:cs="Arial"/>
          <w:sz w:val="20"/>
          <w:szCs w:val="22"/>
        </w:rPr>
        <w:t xml:space="preserve"> assuming a</w:t>
      </w:r>
      <w:r w:rsidR="00AB0CBA" w:rsidRPr="00F6051C">
        <w:rPr>
          <w:rFonts w:ascii="Arial" w:hAnsi="Arial" w:cs="Arial"/>
          <w:sz w:val="20"/>
          <w:szCs w:val="22"/>
        </w:rPr>
        <w:t xml:space="preserve"> Nor</w:t>
      </w:r>
      <w:r w:rsidR="00DF2AE8">
        <w:rPr>
          <w:rFonts w:ascii="Arial" w:hAnsi="Arial" w:cs="Arial"/>
          <w:sz w:val="20"/>
          <w:szCs w:val="22"/>
        </w:rPr>
        <w:t>mal Light Output Ballast Factor</w:t>
      </w:r>
      <w:r>
        <w:rPr>
          <w:rFonts w:ascii="Arial" w:hAnsi="Arial" w:cs="Arial"/>
          <w:sz w:val="20"/>
          <w:szCs w:val="22"/>
        </w:rPr>
        <w:t xml:space="preserve"> </w:t>
      </w:r>
      <w:r w:rsidRPr="00016332">
        <w:rPr>
          <w:rFonts w:ascii="Arial" w:hAnsi="Arial" w:cs="Arial"/>
          <w:sz w:val="20"/>
          <w:szCs w:val="22"/>
        </w:rPr>
        <w:t>(</w:t>
      </w:r>
      <w:r w:rsidR="00BB6C0E">
        <w:rPr>
          <w:rFonts w:ascii="Arial" w:hAnsi="Arial" w:cs="Arial"/>
          <w:sz w:val="20"/>
          <w:szCs w:val="22"/>
        </w:rPr>
        <w:t>0</w:t>
      </w:r>
      <w:r w:rsidRPr="00016332">
        <w:rPr>
          <w:rFonts w:ascii="Arial" w:hAnsi="Arial" w:cs="Arial"/>
          <w:sz w:val="20"/>
          <w:szCs w:val="22"/>
        </w:rPr>
        <w:t xml:space="preserve">.85 to </w:t>
      </w:r>
      <w:r w:rsidR="00BB6C0E">
        <w:rPr>
          <w:rFonts w:ascii="Arial" w:hAnsi="Arial" w:cs="Arial"/>
          <w:sz w:val="20"/>
          <w:szCs w:val="22"/>
        </w:rPr>
        <w:t>0</w:t>
      </w:r>
      <w:r w:rsidRPr="00016332">
        <w:rPr>
          <w:rFonts w:ascii="Arial" w:hAnsi="Arial" w:cs="Arial"/>
          <w:sz w:val="20"/>
          <w:szCs w:val="22"/>
        </w:rPr>
        <w:t xml:space="preserve">.95 Ballast Factor) </w:t>
      </w:r>
      <w:r>
        <w:rPr>
          <w:rFonts w:ascii="Arial" w:hAnsi="Arial" w:cs="Arial"/>
          <w:sz w:val="20"/>
          <w:szCs w:val="22"/>
        </w:rPr>
        <w:t xml:space="preserve">because industry </w:t>
      </w:r>
      <w:r w:rsidR="00732062">
        <w:rPr>
          <w:rFonts w:ascii="Arial" w:hAnsi="Arial" w:cs="Arial"/>
          <w:sz w:val="20"/>
          <w:szCs w:val="22"/>
        </w:rPr>
        <w:t>input</w:t>
      </w:r>
      <w:r>
        <w:rPr>
          <w:rFonts w:ascii="Arial" w:hAnsi="Arial" w:cs="Arial"/>
          <w:sz w:val="20"/>
          <w:szCs w:val="22"/>
        </w:rPr>
        <w:t xml:space="preserve"> from manufacturers, distributors and contractors all indicate that these ballast factors are predominant in the market</w:t>
      </w:r>
      <w:r w:rsidR="00DF2AE8">
        <w:rPr>
          <w:rFonts w:ascii="Arial" w:hAnsi="Arial" w:cs="Arial"/>
          <w:sz w:val="20"/>
          <w:szCs w:val="22"/>
        </w:rPr>
        <w:t xml:space="preserve">. </w:t>
      </w:r>
    </w:p>
    <w:p w:rsidR="001A731B" w:rsidRDefault="001A731B" w:rsidP="00B72D8C">
      <w:pPr>
        <w:rPr>
          <w:rFonts w:ascii="Arial" w:hAnsi="Arial" w:cs="Arial"/>
          <w:sz w:val="20"/>
          <w:szCs w:val="22"/>
        </w:rPr>
      </w:pPr>
    </w:p>
    <w:p w:rsidR="001A731B" w:rsidRDefault="001A731B" w:rsidP="00B72D8C">
      <w:pPr>
        <w:rPr>
          <w:rFonts w:ascii="Arial" w:hAnsi="Arial" w:cs="Arial"/>
          <w:sz w:val="20"/>
          <w:szCs w:val="22"/>
        </w:rPr>
      </w:pPr>
      <w:r>
        <w:rPr>
          <w:rFonts w:ascii="Arial" w:hAnsi="Arial" w:cs="Arial"/>
          <w:sz w:val="20"/>
          <w:szCs w:val="22"/>
        </w:rPr>
        <w:t xml:space="preserve">As described in Section 1.4.1, energy savings, demand reduction, and gas savings for daylight harvesting measures were taken directly from </w:t>
      </w:r>
      <w:r w:rsidR="00B4117C">
        <w:rPr>
          <w:rFonts w:ascii="Arial" w:hAnsi="Arial" w:cs="Arial"/>
          <w:sz w:val="20"/>
          <w:szCs w:val="22"/>
        </w:rPr>
        <w:t>READI tool</w:t>
      </w:r>
      <w:r>
        <w:rPr>
          <w:rFonts w:ascii="Arial" w:hAnsi="Arial" w:cs="Arial"/>
          <w:sz w:val="20"/>
          <w:szCs w:val="22"/>
        </w:rPr>
        <w:t>. Table 3 below presents the DEER</w:t>
      </w:r>
      <w:r w:rsidR="00B4117C">
        <w:rPr>
          <w:rFonts w:ascii="Arial" w:hAnsi="Arial" w:cs="Arial"/>
          <w:sz w:val="20"/>
          <w:szCs w:val="22"/>
        </w:rPr>
        <w:t xml:space="preserve"> 2011</w:t>
      </w:r>
      <w:r>
        <w:rPr>
          <w:rFonts w:ascii="Arial" w:hAnsi="Arial" w:cs="Arial"/>
          <w:sz w:val="20"/>
          <w:szCs w:val="22"/>
        </w:rPr>
        <w:t xml:space="preserve"> savings estimates used to calculate measure savings for daylight harvesting</w:t>
      </w:r>
      <w:r w:rsidR="001C400E">
        <w:rPr>
          <w:rFonts w:ascii="Arial" w:hAnsi="Arial" w:cs="Arial"/>
          <w:sz w:val="20"/>
          <w:szCs w:val="22"/>
        </w:rPr>
        <w:t>.</w:t>
      </w:r>
    </w:p>
    <w:p w:rsidR="007A2ED8" w:rsidRDefault="007A2ED8" w:rsidP="00B72D8C">
      <w:pPr>
        <w:rPr>
          <w:rFonts w:ascii="Arial" w:hAnsi="Arial" w:cs="Arial"/>
          <w:sz w:val="20"/>
          <w:szCs w:val="22"/>
        </w:rPr>
      </w:pPr>
    </w:p>
    <w:p w:rsidR="001A731B" w:rsidRDefault="001A731B" w:rsidP="001A731B">
      <w:pPr>
        <w:pStyle w:val="Caption"/>
        <w:keepNext/>
      </w:pPr>
      <w:bookmarkStart w:id="35" w:name="_Toc390771097"/>
      <w:r>
        <w:t xml:space="preserve">Table </w:t>
      </w:r>
      <w:r w:rsidR="006D78EA">
        <w:fldChar w:fldCharType="begin"/>
      </w:r>
      <w:r w:rsidR="006D78EA">
        <w:instrText xml:space="preserve"> SEQ Table \* ARABIC </w:instrText>
      </w:r>
      <w:r w:rsidR="006D78EA">
        <w:fldChar w:fldCharType="separate"/>
      </w:r>
      <w:r w:rsidR="003A4812">
        <w:rPr>
          <w:noProof/>
        </w:rPr>
        <w:t>3</w:t>
      </w:r>
      <w:r w:rsidR="006D78EA">
        <w:rPr>
          <w:noProof/>
        </w:rPr>
        <w:fldChar w:fldCharType="end"/>
      </w:r>
      <w:r>
        <w:t>. DEER savings per 1 kW controlled lighting for daylighting</w:t>
      </w:r>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6"/>
        <w:gridCol w:w="1034"/>
        <w:gridCol w:w="939"/>
        <w:gridCol w:w="1041"/>
        <w:gridCol w:w="1616"/>
        <w:gridCol w:w="1194"/>
        <w:gridCol w:w="1183"/>
        <w:gridCol w:w="1263"/>
      </w:tblGrid>
      <w:tr w:rsidR="001A731B" w:rsidRPr="00783DAC" w:rsidTr="00B81253">
        <w:tc>
          <w:tcPr>
            <w:tcW w:w="1306" w:type="dxa"/>
          </w:tcPr>
          <w:p w:rsidR="001A731B" w:rsidRPr="00783DAC" w:rsidRDefault="001A731B" w:rsidP="00B81253">
            <w:pPr>
              <w:rPr>
                <w:rFonts w:ascii="Arial" w:hAnsi="Arial" w:cs="Arial"/>
                <w:b/>
                <w:sz w:val="20"/>
                <w:szCs w:val="20"/>
              </w:rPr>
            </w:pPr>
            <w:r>
              <w:rPr>
                <w:rFonts w:ascii="Arial" w:hAnsi="Arial" w:cs="Arial"/>
                <w:b/>
                <w:sz w:val="20"/>
                <w:szCs w:val="20"/>
              </w:rPr>
              <w:t xml:space="preserve">Measure </w:t>
            </w:r>
          </w:p>
        </w:tc>
        <w:tc>
          <w:tcPr>
            <w:tcW w:w="1034" w:type="dxa"/>
            <w:shd w:val="clear" w:color="auto" w:fill="auto"/>
          </w:tcPr>
          <w:p w:rsidR="001A731B" w:rsidRPr="00783DAC" w:rsidRDefault="001A731B" w:rsidP="00B81253">
            <w:pPr>
              <w:rPr>
                <w:rFonts w:ascii="Arial" w:hAnsi="Arial" w:cs="Arial"/>
                <w:b/>
                <w:sz w:val="20"/>
                <w:szCs w:val="20"/>
              </w:rPr>
            </w:pPr>
            <w:r w:rsidRPr="00783DAC">
              <w:rPr>
                <w:rFonts w:ascii="Arial" w:hAnsi="Arial" w:cs="Arial"/>
                <w:b/>
                <w:sz w:val="20"/>
                <w:szCs w:val="20"/>
              </w:rPr>
              <w:t>Building type</w:t>
            </w:r>
            <w:r>
              <w:rPr>
                <w:rFonts w:ascii="Arial" w:hAnsi="Arial" w:cs="Arial"/>
                <w:b/>
                <w:sz w:val="20"/>
                <w:szCs w:val="20"/>
              </w:rPr>
              <w:t xml:space="preserve"> </w:t>
            </w:r>
          </w:p>
        </w:tc>
        <w:tc>
          <w:tcPr>
            <w:tcW w:w="939" w:type="dxa"/>
            <w:shd w:val="clear" w:color="auto" w:fill="auto"/>
          </w:tcPr>
          <w:p w:rsidR="001A731B" w:rsidRPr="00783DAC" w:rsidRDefault="001A731B" w:rsidP="00B81253">
            <w:pPr>
              <w:rPr>
                <w:rFonts w:ascii="Arial" w:hAnsi="Arial" w:cs="Arial"/>
                <w:b/>
                <w:sz w:val="20"/>
                <w:szCs w:val="20"/>
              </w:rPr>
            </w:pPr>
            <w:proofErr w:type="spellStart"/>
            <w:r w:rsidRPr="00783DAC">
              <w:rPr>
                <w:rFonts w:ascii="Arial" w:hAnsi="Arial" w:cs="Arial"/>
                <w:b/>
                <w:sz w:val="20"/>
                <w:szCs w:val="20"/>
              </w:rPr>
              <w:t>Bldg</w:t>
            </w:r>
            <w:proofErr w:type="spellEnd"/>
            <w:r w:rsidRPr="00783DAC">
              <w:rPr>
                <w:rFonts w:ascii="Arial" w:hAnsi="Arial" w:cs="Arial"/>
                <w:b/>
                <w:sz w:val="20"/>
                <w:szCs w:val="20"/>
              </w:rPr>
              <w:t xml:space="preserve"> Vintage</w:t>
            </w:r>
            <w:r>
              <w:rPr>
                <w:rFonts w:ascii="Arial" w:hAnsi="Arial" w:cs="Arial"/>
                <w:b/>
                <w:sz w:val="20"/>
                <w:szCs w:val="20"/>
              </w:rPr>
              <w:t xml:space="preserve"> </w:t>
            </w:r>
          </w:p>
        </w:tc>
        <w:tc>
          <w:tcPr>
            <w:tcW w:w="1041" w:type="dxa"/>
            <w:shd w:val="clear" w:color="auto" w:fill="auto"/>
          </w:tcPr>
          <w:p w:rsidR="001A731B" w:rsidRPr="00783DAC" w:rsidRDefault="001A731B" w:rsidP="00B81253">
            <w:pPr>
              <w:rPr>
                <w:rFonts w:ascii="Arial" w:hAnsi="Arial" w:cs="Arial"/>
                <w:b/>
                <w:sz w:val="20"/>
                <w:szCs w:val="20"/>
              </w:rPr>
            </w:pPr>
            <w:r w:rsidRPr="00783DAC">
              <w:rPr>
                <w:rFonts w:ascii="Arial" w:hAnsi="Arial" w:cs="Arial"/>
                <w:b/>
                <w:sz w:val="20"/>
                <w:szCs w:val="20"/>
              </w:rPr>
              <w:t>Climate Zone</w:t>
            </w:r>
            <w:r>
              <w:rPr>
                <w:rFonts w:ascii="Arial" w:hAnsi="Arial" w:cs="Arial"/>
                <w:b/>
                <w:sz w:val="20"/>
                <w:szCs w:val="20"/>
              </w:rPr>
              <w:t xml:space="preserve"> </w:t>
            </w:r>
          </w:p>
        </w:tc>
        <w:tc>
          <w:tcPr>
            <w:tcW w:w="1616" w:type="dxa"/>
            <w:shd w:val="clear" w:color="auto" w:fill="auto"/>
          </w:tcPr>
          <w:p w:rsidR="001A731B" w:rsidRPr="00783DAC" w:rsidRDefault="001A731B" w:rsidP="00B81253">
            <w:pPr>
              <w:rPr>
                <w:rFonts w:ascii="Arial" w:hAnsi="Arial" w:cs="Arial"/>
                <w:b/>
                <w:sz w:val="20"/>
                <w:szCs w:val="20"/>
              </w:rPr>
            </w:pPr>
            <w:r w:rsidRPr="00783DAC">
              <w:rPr>
                <w:rFonts w:ascii="Arial" w:hAnsi="Arial" w:cs="Arial"/>
                <w:b/>
                <w:sz w:val="20"/>
                <w:szCs w:val="20"/>
              </w:rPr>
              <w:t xml:space="preserve">Electric Savings </w:t>
            </w:r>
            <w:r>
              <w:rPr>
                <w:rFonts w:ascii="Arial" w:hAnsi="Arial" w:cs="Arial"/>
                <w:b/>
                <w:sz w:val="20"/>
                <w:szCs w:val="20"/>
              </w:rPr>
              <w:t>(kWh per 1 kW controlled lighting)</w:t>
            </w:r>
          </w:p>
        </w:tc>
        <w:tc>
          <w:tcPr>
            <w:tcW w:w="1194" w:type="dxa"/>
            <w:shd w:val="clear" w:color="auto" w:fill="auto"/>
          </w:tcPr>
          <w:p w:rsidR="001A731B" w:rsidRPr="00783DAC" w:rsidRDefault="001A731B" w:rsidP="00B81253">
            <w:pPr>
              <w:rPr>
                <w:rFonts w:ascii="Arial" w:hAnsi="Arial" w:cs="Arial"/>
                <w:b/>
                <w:sz w:val="20"/>
                <w:szCs w:val="20"/>
              </w:rPr>
            </w:pPr>
            <w:r>
              <w:rPr>
                <w:rFonts w:ascii="Arial" w:hAnsi="Arial" w:cs="Arial"/>
                <w:b/>
                <w:sz w:val="20"/>
                <w:szCs w:val="20"/>
              </w:rPr>
              <w:t>Demand Reduction (kW per 1 kW controlled lighting)</w:t>
            </w:r>
          </w:p>
        </w:tc>
        <w:tc>
          <w:tcPr>
            <w:tcW w:w="1183" w:type="dxa"/>
            <w:shd w:val="clear" w:color="auto" w:fill="auto"/>
          </w:tcPr>
          <w:p w:rsidR="001A731B" w:rsidRPr="00783DAC" w:rsidRDefault="001A731B" w:rsidP="00B81253">
            <w:pPr>
              <w:rPr>
                <w:rFonts w:ascii="Arial" w:hAnsi="Arial" w:cs="Arial"/>
                <w:b/>
                <w:sz w:val="20"/>
                <w:szCs w:val="20"/>
              </w:rPr>
            </w:pPr>
            <w:r>
              <w:rPr>
                <w:rFonts w:ascii="Arial" w:hAnsi="Arial" w:cs="Arial"/>
                <w:b/>
                <w:sz w:val="20"/>
                <w:szCs w:val="20"/>
              </w:rPr>
              <w:t>Gas Savings (</w:t>
            </w:r>
            <w:proofErr w:type="spellStart"/>
            <w:r>
              <w:rPr>
                <w:rFonts w:ascii="Arial" w:hAnsi="Arial" w:cs="Arial"/>
                <w:b/>
                <w:sz w:val="20"/>
                <w:szCs w:val="20"/>
              </w:rPr>
              <w:t>Therms</w:t>
            </w:r>
            <w:proofErr w:type="spellEnd"/>
            <w:r>
              <w:rPr>
                <w:rFonts w:ascii="Arial" w:hAnsi="Arial" w:cs="Arial"/>
                <w:b/>
                <w:sz w:val="20"/>
                <w:szCs w:val="20"/>
              </w:rPr>
              <w:t xml:space="preserve"> per 1 kW controlled lighting)</w:t>
            </w:r>
          </w:p>
        </w:tc>
        <w:tc>
          <w:tcPr>
            <w:tcW w:w="1263" w:type="dxa"/>
            <w:shd w:val="clear" w:color="auto" w:fill="auto"/>
          </w:tcPr>
          <w:p w:rsidR="001A731B" w:rsidRPr="00783DAC" w:rsidRDefault="001A731B" w:rsidP="00B81253">
            <w:pPr>
              <w:rPr>
                <w:rFonts w:ascii="Arial" w:hAnsi="Arial" w:cs="Arial"/>
                <w:b/>
                <w:sz w:val="20"/>
                <w:szCs w:val="20"/>
              </w:rPr>
            </w:pPr>
            <w:r>
              <w:rPr>
                <w:rFonts w:ascii="Arial" w:hAnsi="Arial" w:cs="Arial"/>
                <w:b/>
                <w:sz w:val="20"/>
                <w:szCs w:val="20"/>
              </w:rPr>
              <w:t>DEER Version</w:t>
            </w:r>
          </w:p>
        </w:tc>
      </w:tr>
      <w:tr w:rsidR="001A731B" w:rsidRPr="00783DAC" w:rsidTr="00AE33C6">
        <w:tc>
          <w:tcPr>
            <w:tcW w:w="1306" w:type="dxa"/>
            <w:vAlign w:val="center"/>
          </w:tcPr>
          <w:p w:rsidR="001A731B" w:rsidRPr="00D81F10" w:rsidRDefault="001A731B" w:rsidP="00B81253">
            <w:pPr>
              <w:rPr>
                <w:rFonts w:ascii="Arial" w:hAnsi="Arial" w:cs="Arial"/>
                <w:sz w:val="20"/>
                <w:szCs w:val="20"/>
              </w:rPr>
            </w:pPr>
            <w:r w:rsidRPr="00D81F10">
              <w:rPr>
                <w:rFonts w:ascii="Arial" w:hAnsi="Arial" w:cs="Arial"/>
                <w:sz w:val="20"/>
                <w:szCs w:val="20"/>
              </w:rPr>
              <w:t>Side-lighting (daylighting)</w:t>
            </w:r>
          </w:p>
        </w:tc>
        <w:tc>
          <w:tcPr>
            <w:tcW w:w="1034" w:type="dxa"/>
            <w:shd w:val="clear" w:color="auto" w:fill="auto"/>
            <w:vAlign w:val="center"/>
          </w:tcPr>
          <w:p w:rsidR="001A731B" w:rsidRPr="00D81F10" w:rsidRDefault="001A731B" w:rsidP="00B81253">
            <w:pPr>
              <w:rPr>
                <w:rFonts w:ascii="Arial" w:hAnsi="Arial" w:cs="Arial"/>
                <w:sz w:val="20"/>
                <w:szCs w:val="20"/>
              </w:rPr>
            </w:pPr>
            <w:proofErr w:type="spellStart"/>
            <w:r w:rsidRPr="00D81F10">
              <w:rPr>
                <w:rFonts w:ascii="Arial" w:hAnsi="Arial" w:cs="Arial"/>
                <w:sz w:val="20"/>
                <w:szCs w:val="20"/>
              </w:rPr>
              <w:t>Wtd</w:t>
            </w:r>
            <w:proofErr w:type="spellEnd"/>
            <w:r w:rsidRPr="00D81F10">
              <w:rPr>
                <w:rFonts w:ascii="Arial" w:hAnsi="Arial" w:cs="Arial"/>
                <w:sz w:val="20"/>
                <w:szCs w:val="20"/>
              </w:rPr>
              <w:t>-Com</w:t>
            </w:r>
          </w:p>
        </w:tc>
        <w:tc>
          <w:tcPr>
            <w:tcW w:w="939" w:type="dxa"/>
            <w:shd w:val="clear" w:color="auto" w:fill="auto"/>
            <w:vAlign w:val="center"/>
          </w:tcPr>
          <w:p w:rsidR="001A731B" w:rsidRPr="00D81F10" w:rsidRDefault="001A731B" w:rsidP="00B81253">
            <w:pPr>
              <w:rPr>
                <w:rFonts w:ascii="Arial" w:hAnsi="Arial" w:cs="Arial"/>
                <w:sz w:val="20"/>
                <w:szCs w:val="20"/>
              </w:rPr>
            </w:pPr>
            <w:r w:rsidRPr="00D81F10">
              <w:rPr>
                <w:rFonts w:ascii="Arial" w:hAnsi="Arial" w:cs="Arial"/>
                <w:sz w:val="20"/>
                <w:szCs w:val="20"/>
              </w:rPr>
              <w:t>Existing</w:t>
            </w:r>
          </w:p>
        </w:tc>
        <w:tc>
          <w:tcPr>
            <w:tcW w:w="1041" w:type="dxa"/>
            <w:shd w:val="clear" w:color="auto" w:fill="auto"/>
            <w:vAlign w:val="center"/>
          </w:tcPr>
          <w:p w:rsidR="001A731B" w:rsidRPr="00D81F10" w:rsidRDefault="00475469" w:rsidP="00AE33C6">
            <w:pPr>
              <w:jc w:val="center"/>
              <w:rPr>
                <w:rFonts w:ascii="Arial" w:hAnsi="Arial" w:cs="Arial"/>
                <w:sz w:val="20"/>
                <w:szCs w:val="20"/>
              </w:rPr>
            </w:pPr>
            <w:r>
              <w:rPr>
                <w:rFonts w:ascii="Arial" w:hAnsi="Arial" w:cs="Arial"/>
                <w:sz w:val="20"/>
                <w:szCs w:val="20"/>
              </w:rPr>
              <w:t>IOU</w:t>
            </w:r>
          </w:p>
        </w:tc>
        <w:tc>
          <w:tcPr>
            <w:tcW w:w="1616" w:type="dxa"/>
            <w:shd w:val="clear" w:color="auto" w:fill="auto"/>
            <w:vAlign w:val="center"/>
          </w:tcPr>
          <w:p w:rsidR="001A731B" w:rsidRPr="00D81F10" w:rsidRDefault="001A731B" w:rsidP="00B81253">
            <w:pPr>
              <w:jc w:val="center"/>
              <w:rPr>
                <w:rFonts w:ascii="Arial" w:hAnsi="Arial" w:cs="Arial"/>
                <w:color w:val="000000"/>
                <w:sz w:val="20"/>
                <w:szCs w:val="20"/>
              </w:rPr>
            </w:pPr>
            <w:r w:rsidRPr="00D81F10">
              <w:rPr>
                <w:rFonts w:ascii="Arial" w:hAnsi="Arial" w:cs="Arial"/>
                <w:color w:val="000000"/>
                <w:sz w:val="20"/>
                <w:szCs w:val="20"/>
              </w:rPr>
              <w:t>883</w:t>
            </w:r>
          </w:p>
        </w:tc>
        <w:tc>
          <w:tcPr>
            <w:tcW w:w="1194" w:type="dxa"/>
            <w:shd w:val="clear" w:color="auto" w:fill="auto"/>
            <w:vAlign w:val="center"/>
          </w:tcPr>
          <w:p w:rsidR="001A731B" w:rsidRPr="00D81F10" w:rsidRDefault="001A731B" w:rsidP="00B81253">
            <w:pPr>
              <w:jc w:val="center"/>
              <w:rPr>
                <w:rFonts w:ascii="Arial" w:hAnsi="Arial" w:cs="Arial"/>
                <w:color w:val="000000"/>
                <w:sz w:val="20"/>
                <w:szCs w:val="20"/>
              </w:rPr>
            </w:pPr>
            <w:r w:rsidRPr="00D81F10">
              <w:rPr>
                <w:rFonts w:ascii="Arial" w:hAnsi="Arial" w:cs="Arial"/>
                <w:color w:val="000000"/>
                <w:sz w:val="20"/>
                <w:szCs w:val="20"/>
              </w:rPr>
              <w:t>0.352</w:t>
            </w:r>
          </w:p>
        </w:tc>
        <w:tc>
          <w:tcPr>
            <w:tcW w:w="1183" w:type="dxa"/>
            <w:shd w:val="clear" w:color="auto" w:fill="auto"/>
            <w:vAlign w:val="center"/>
          </w:tcPr>
          <w:p w:rsidR="001A731B" w:rsidRPr="00D81F10" w:rsidRDefault="001A731B" w:rsidP="00B81253">
            <w:pPr>
              <w:jc w:val="center"/>
              <w:rPr>
                <w:rFonts w:ascii="Arial" w:hAnsi="Arial" w:cs="Arial"/>
                <w:color w:val="000000"/>
                <w:sz w:val="20"/>
                <w:szCs w:val="20"/>
              </w:rPr>
            </w:pPr>
            <w:r w:rsidRPr="00D81F10">
              <w:rPr>
                <w:rFonts w:ascii="Arial" w:hAnsi="Arial" w:cs="Arial"/>
                <w:color w:val="000000"/>
                <w:sz w:val="20"/>
                <w:szCs w:val="20"/>
              </w:rPr>
              <w:t>-15.4</w:t>
            </w:r>
          </w:p>
        </w:tc>
        <w:tc>
          <w:tcPr>
            <w:tcW w:w="1263" w:type="dxa"/>
            <w:shd w:val="clear" w:color="auto" w:fill="auto"/>
            <w:vAlign w:val="center"/>
          </w:tcPr>
          <w:p w:rsidR="001A731B" w:rsidRPr="00D81F10" w:rsidRDefault="001A174B" w:rsidP="00343DCE">
            <w:pPr>
              <w:rPr>
                <w:rFonts w:ascii="Arial" w:hAnsi="Arial" w:cs="Arial"/>
                <w:sz w:val="20"/>
                <w:szCs w:val="20"/>
              </w:rPr>
            </w:pPr>
            <w:r w:rsidRPr="001A174B">
              <w:rPr>
                <w:rFonts w:ascii="Arial" w:hAnsi="Arial" w:cs="Arial"/>
                <w:sz w:val="20"/>
                <w:szCs w:val="20"/>
              </w:rPr>
              <w:t>D</w:t>
            </w:r>
            <w:r w:rsidR="00343DCE">
              <w:rPr>
                <w:rFonts w:ascii="Arial" w:hAnsi="Arial" w:cs="Arial"/>
                <w:sz w:val="20"/>
                <w:szCs w:val="20"/>
              </w:rPr>
              <w:t>11</w:t>
            </w:r>
            <w:r w:rsidRPr="001A174B">
              <w:rPr>
                <w:rFonts w:ascii="Arial" w:hAnsi="Arial" w:cs="Arial"/>
                <w:sz w:val="20"/>
                <w:szCs w:val="20"/>
              </w:rPr>
              <w:t xml:space="preserve"> v</w:t>
            </w:r>
            <w:r w:rsidR="00343DCE">
              <w:rPr>
                <w:rFonts w:ascii="Arial" w:hAnsi="Arial" w:cs="Arial"/>
                <w:sz w:val="20"/>
                <w:szCs w:val="20"/>
              </w:rPr>
              <w:t>4</w:t>
            </w:r>
            <w:r w:rsidRPr="001A174B">
              <w:rPr>
                <w:rFonts w:ascii="Arial" w:hAnsi="Arial" w:cs="Arial"/>
                <w:sz w:val="20"/>
                <w:szCs w:val="20"/>
              </w:rPr>
              <w:t>.01</w:t>
            </w:r>
          </w:p>
        </w:tc>
      </w:tr>
    </w:tbl>
    <w:p w:rsidR="001C400E" w:rsidRDefault="001C400E" w:rsidP="00B72D8C">
      <w:pPr>
        <w:rPr>
          <w:rFonts w:ascii="Arial" w:hAnsi="Arial" w:cs="Arial"/>
          <w:sz w:val="20"/>
          <w:szCs w:val="22"/>
        </w:rPr>
      </w:pPr>
    </w:p>
    <w:p w:rsidR="00471AA2" w:rsidRDefault="00D81F10" w:rsidP="00B72D8C">
      <w:pPr>
        <w:rPr>
          <w:rFonts w:ascii="Arial" w:hAnsi="Arial" w:cs="Arial"/>
          <w:sz w:val="20"/>
          <w:szCs w:val="22"/>
        </w:rPr>
      </w:pPr>
      <w:r>
        <w:rPr>
          <w:rFonts w:ascii="Arial" w:hAnsi="Arial" w:cs="Arial"/>
          <w:sz w:val="20"/>
          <w:szCs w:val="22"/>
        </w:rPr>
        <w:t xml:space="preserve">The DEER </w:t>
      </w:r>
      <w:r w:rsidR="00AB4ED8">
        <w:rPr>
          <w:rFonts w:ascii="Arial" w:hAnsi="Arial" w:cs="Arial"/>
          <w:sz w:val="20"/>
          <w:szCs w:val="22"/>
        </w:rPr>
        <w:t xml:space="preserve">savings </w:t>
      </w:r>
      <w:r>
        <w:rPr>
          <w:rFonts w:ascii="Arial" w:hAnsi="Arial" w:cs="Arial"/>
          <w:sz w:val="20"/>
          <w:szCs w:val="22"/>
        </w:rPr>
        <w:t xml:space="preserve">was </w:t>
      </w:r>
      <w:r w:rsidR="001A731B">
        <w:rPr>
          <w:rFonts w:ascii="Arial" w:hAnsi="Arial" w:cs="Arial"/>
          <w:sz w:val="20"/>
          <w:szCs w:val="22"/>
        </w:rPr>
        <w:t>given</w:t>
      </w:r>
      <w:r>
        <w:rPr>
          <w:rFonts w:ascii="Arial" w:hAnsi="Arial" w:cs="Arial"/>
          <w:sz w:val="20"/>
          <w:szCs w:val="22"/>
        </w:rPr>
        <w:t xml:space="preserve"> in terms of kWh, kW, and </w:t>
      </w:r>
      <w:proofErr w:type="spellStart"/>
      <w:r>
        <w:rPr>
          <w:rFonts w:ascii="Arial" w:hAnsi="Arial" w:cs="Arial"/>
          <w:sz w:val="20"/>
          <w:szCs w:val="22"/>
        </w:rPr>
        <w:t>Therms</w:t>
      </w:r>
      <w:proofErr w:type="spellEnd"/>
      <w:r>
        <w:rPr>
          <w:rFonts w:ascii="Arial" w:hAnsi="Arial" w:cs="Arial"/>
          <w:sz w:val="20"/>
          <w:szCs w:val="22"/>
        </w:rPr>
        <w:t xml:space="preserve"> per 1 kW of connected load under sensor control. These values were </w:t>
      </w:r>
      <w:r w:rsidR="00FE178B">
        <w:rPr>
          <w:rFonts w:ascii="Arial" w:hAnsi="Arial" w:cs="Arial"/>
          <w:sz w:val="20"/>
          <w:szCs w:val="22"/>
        </w:rPr>
        <w:t>multiplied by</w:t>
      </w:r>
      <w:r w:rsidR="00DF1858">
        <w:rPr>
          <w:rFonts w:ascii="Arial" w:hAnsi="Arial" w:cs="Arial"/>
          <w:sz w:val="20"/>
          <w:szCs w:val="22"/>
        </w:rPr>
        <w:t xml:space="preserve"> </w:t>
      </w:r>
      <w:r w:rsidR="002F14FF">
        <w:rPr>
          <w:rFonts w:ascii="Arial" w:hAnsi="Arial" w:cs="Arial"/>
          <w:sz w:val="20"/>
          <w:szCs w:val="22"/>
        </w:rPr>
        <w:t>0.075kW</w:t>
      </w:r>
      <w:r w:rsidR="002F14FF" w:rsidRPr="002F14FF">
        <w:rPr>
          <w:rFonts w:ascii="Arial" w:hAnsi="Arial" w:cs="Arial"/>
          <w:sz w:val="20"/>
          <w:szCs w:val="20"/>
        </w:rPr>
        <w:t xml:space="preserve"> </w:t>
      </w:r>
      <w:r w:rsidR="002F14FF">
        <w:rPr>
          <w:rFonts w:ascii="Arial" w:hAnsi="Arial" w:cs="Arial"/>
          <w:sz w:val="20"/>
          <w:szCs w:val="20"/>
        </w:rPr>
        <w:t>to determine the savings on a per fixture basis</w:t>
      </w:r>
      <w:r w:rsidR="00AB4ED8">
        <w:rPr>
          <w:rFonts w:ascii="Arial" w:hAnsi="Arial" w:cs="Arial"/>
          <w:sz w:val="20"/>
          <w:szCs w:val="20"/>
        </w:rPr>
        <w:t xml:space="preserve"> (shown in Table 4)</w:t>
      </w:r>
      <w:r w:rsidR="001C400E">
        <w:rPr>
          <w:rFonts w:ascii="Arial" w:hAnsi="Arial" w:cs="Arial"/>
          <w:sz w:val="20"/>
          <w:szCs w:val="22"/>
        </w:rPr>
        <w:t>.</w:t>
      </w:r>
    </w:p>
    <w:p w:rsidR="001A731B" w:rsidRDefault="001A731B" w:rsidP="00B72D8C">
      <w:pPr>
        <w:rPr>
          <w:rFonts w:ascii="Arial" w:hAnsi="Arial" w:cs="Arial"/>
          <w:sz w:val="20"/>
          <w:szCs w:val="22"/>
        </w:rPr>
      </w:pPr>
    </w:p>
    <w:p w:rsidR="001A731B" w:rsidRPr="00471AA2" w:rsidRDefault="001A731B" w:rsidP="00B72D8C">
      <w:pPr>
        <w:rPr>
          <w:rFonts w:ascii="Arial" w:hAnsi="Arial" w:cs="Arial"/>
          <w:b/>
          <w:sz w:val="20"/>
          <w:szCs w:val="22"/>
        </w:rPr>
      </w:pPr>
      <w:r w:rsidRPr="00471AA2">
        <w:rPr>
          <w:rFonts w:ascii="Arial" w:hAnsi="Arial" w:cs="Arial"/>
          <w:b/>
          <w:sz w:val="20"/>
          <w:szCs w:val="22"/>
        </w:rPr>
        <w:t>Example: For daylight harvesting measures</w:t>
      </w:r>
    </w:p>
    <w:p w:rsidR="001A731B" w:rsidRPr="00471AA2" w:rsidRDefault="001A731B" w:rsidP="00B72D8C">
      <w:pPr>
        <w:rPr>
          <w:rFonts w:ascii="Arial" w:hAnsi="Arial" w:cs="Arial"/>
          <w:b/>
          <w:sz w:val="20"/>
          <w:szCs w:val="22"/>
        </w:rPr>
      </w:pPr>
    </w:p>
    <w:p w:rsidR="001A731B" w:rsidRPr="008152AD" w:rsidRDefault="001A731B" w:rsidP="008E58B2">
      <w:pPr>
        <w:ind w:left="720"/>
        <w:rPr>
          <w:rFonts w:ascii="Arial" w:hAnsi="Arial" w:cs="Arial"/>
          <w:sz w:val="20"/>
          <w:szCs w:val="22"/>
        </w:rPr>
      </w:pPr>
      <w:r w:rsidRPr="008152AD">
        <w:rPr>
          <w:rFonts w:ascii="Arial" w:hAnsi="Arial" w:cs="Arial"/>
          <w:sz w:val="20"/>
          <w:szCs w:val="22"/>
        </w:rPr>
        <w:t xml:space="preserve">Electric Energy Savings per fixture = 883kWh * 0.075 kW per fixture / 1 kW controlled lighting = </w:t>
      </w:r>
      <w:r w:rsidR="00471AA2" w:rsidRPr="008152AD">
        <w:rPr>
          <w:rFonts w:ascii="Arial" w:hAnsi="Arial" w:cs="Arial"/>
          <w:sz w:val="20"/>
          <w:szCs w:val="22"/>
        </w:rPr>
        <w:t>65.82</w:t>
      </w:r>
      <w:r w:rsidRPr="008152AD">
        <w:rPr>
          <w:rFonts w:ascii="Arial" w:hAnsi="Arial" w:cs="Arial"/>
          <w:sz w:val="20"/>
          <w:szCs w:val="22"/>
        </w:rPr>
        <w:t xml:space="preserve"> </w:t>
      </w:r>
      <w:r w:rsidR="00471AA2" w:rsidRPr="008152AD">
        <w:rPr>
          <w:rFonts w:ascii="Arial" w:hAnsi="Arial" w:cs="Arial"/>
          <w:sz w:val="20"/>
          <w:szCs w:val="22"/>
        </w:rPr>
        <w:t>k</w:t>
      </w:r>
      <w:r w:rsidRPr="008152AD">
        <w:rPr>
          <w:rFonts w:ascii="Arial" w:hAnsi="Arial" w:cs="Arial"/>
          <w:sz w:val="20"/>
          <w:szCs w:val="22"/>
        </w:rPr>
        <w:t>W</w:t>
      </w:r>
      <w:r w:rsidR="00471AA2" w:rsidRPr="008152AD">
        <w:rPr>
          <w:rFonts w:ascii="Arial" w:hAnsi="Arial" w:cs="Arial"/>
          <w:sz w:val="20"/>
          <w:szCs w:val="22"/>
        </w:rPr>
        <w:t>h savings per fixture</w:t>
      </w:r>
    </w:p>
    <w:p w:rsidR="00BB6C0E" w:rsidRDefault="00BB6C0E" w:rsidP="00B72D8C">
      <w:pPr>
        <w:rPr>
          <w:rFonts w:ascii="Arial" w:hAnsi="Arial" w:cs="Arial"/>
          <w:sz w:val="20"/>
          <w:szCs w:val="22"/>
        </w:rPr>
      </w:pPr>
    </w:p>
    <w:p w:rsidR="00D81F10" w:rsidRDefault="00471AA2" w:rsidP="00B72D8C">
      <w:pPr>
        <w:rPr>
          <w:rFonts w:ascii="Arial" w:hAnsi="Arial" w:cs="Arial"/>
          <w:sz w:val="20"/>
          <w:szCs w:val="22"/>
        </w:rPr>
      </w:pPr>
      <w:r>
        <w:rPr>
          <w:rFonts w:ascii="Arial" w:hAnsi="Arial" w:cs="Arial"/>
          <w:sz w:val="20"/>
          <w:szCs w:val="22"/>
        </w:rPr>
        <w:t>Table 4 presents the calculated savings per fixture f</w:t>
      </w:r>
      <w:r w:rsidR="001C400E">
        <w:rPr>
          <w:rFonts w:ascii="Arial" w:hAnsi="Arial" w:cs="Arial"/>
          <w:sz w:val="20"/>
          <w:szCs w:val="22"/>
        </w:rPr>
        <w:t>or daylight harvesting controls.</w:t>
      </w:r>
    </w:p>
    <w:p w:rsidR="001C400E" w:rsidRDefault="001C400E" w:rsidP="00B72D8C">
      <w:pPr>
        <w:rPr>
          <w:rFonts w:ascii="Arial" w:hAnsi="Arial" w:cs="Arial"/>
          <w:sz w:val="20"/>
          <w:szCs w:val="22"/>
        </w:rPr>
      </w:pPr>
    </w:p>
    <w:p w:rsidR="00471AA2" w:rsidRDefault="00471AA2" w:rsidP="00471AA2">
      <w:pPr>
        <w:pStyle w:val="Caption"/>
        <w:keepNext/>
        <w:keepLines/>
      </w:pPr>
      <w:bookmarkStart w:id="36" w:name="_Toc390771098"/>
      <w:proofErr w:type="gramStart"/>
      <w:r>
        <w:t xml:space="preserve">Table </w:t>
      </w:r>
      <w:r w:rsidR="006D78EA">
        <w:fldChar w:fldCharType="begin"/>
      </w:r>
      <w:r w:rsidR="006D78EA">
        <w:instrText xml:space="preserve"> SEQ Table \* ARABIC </w:instrText>
      </w:r>
      <w:r w:rsidR="006D78EA">
        <w:fldChar w:fldCharType="separate"/>
      </w:r>
      <w:r w:rsidR="003A4812">
        <w:rPr>
          <w:noProof/>
        </w:rPr>
        <w:t>4</w:t>
      </w:r>
      <w:r w:rsidR="006D78EA">
        <w:rPr>
          <w:noProof/>
        </w:rPr>
        <w:fldChar w:fldCharType="end"/>
      </w:r>
      <w:r>
        <w:t>.</w:t>
      </w:r>
      <w:proofErr w:type="gramEnd"/>
      <w:r>
        <w:t xml:space="preserve"> DEER savings adjusted to represent savings per fixture.</w:t>
      </w:r>
      <w:bookmarkEnd w:id="36"/>
    </w:p>
    <w:tbl>
      <w:tblPr>
        <w:tblW w:w="87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9"/>
        <w:gridCol w:w="1991"/>
        <w:gridCol w:w="1890"/>
        <w:gridCol w:w="1239"/>
      </w:tblGrid>
      <w:tr w:rsidR="00471AA2" w:rsidTr="0067364B">
        <w:trPr>
          <w:trHeight w:val="255"/>
        </w:trPr>
        <w:tc>
          <w:tcPr>
            <w:tcW w:w="3679" w:type="dxa"/>
            <w:shd w:val="clear" w:color="auto" w:fill="auto"/>
            <w:noWrap/>
            <w:vAlign w:val="bottom"/>
            <w:hideMark/>
          </w:tcPr>
          <w:p w:rsidR="00471AA2" w:rsidRPr="0067364B" w:rsidRDefault="0067364B" w:rsidP="00471AA2">
            <w:pPr>
              <w:keepNext/>
              <w:keepLines/>
              <w:rPr>
                <w:rFonts w:ascii="Arial" w:hAnsi="Arial" w:cs="Arial"/>
                <w:b/>
                <w:sz w:val="20"/>
                <w:szCs w:val="20"/>
              </w:rPr>
            </w:pPr>
            <w:r w:rsidRPr="0067364B">
              <w:rPr>
                <w:rFonts w:ascii="Arial" w:hAnsi="Arial" w:cs="Arial"/>
                <w:b/>
                <w:sz w:val="20"/>
                <w:szCs w:val="20"/>
              </w:rPr>
              <w:t>Measure</w:t>
            </w:r>
          </w:p>
        </w:tc>
        <w:tc>
          <w:tcPr>
            <w:tcW w:w="1991" w:type="dxa"/>
            <w:shd w:val="clear" w:color="auto" w:fill="auto"/>
            <w:noWrap/>
            <w:vAlign w:val="bottom"/>
            <w:hideMark/>
          </w:tcPr>
          <w:p w:rsidR="00471AA2" w:rsidRDefault="00471AA2" w:rsidP="00471AA2">
            <w:pPr>
              <w:keepNext/>
              <w:keepLines/>
              <w:jc w:val="center"/>
              <w:rPr>
                <w:rFonts w:ascii="Arial" w:hAnsi="Arial" w:cs="Arial"/>
                <w:b/>
                <w:bCs/>
                <w:sz w:val="20"/>
                <w:szCs w:val="20"/>
              </w:rPr>
            </w:pPr>
            <w:r>
              <w:rPr>
                <w:rFonts w:ascii="Arial" w:hAnsi="Arial" w:cs="Arial"/>
                <w:b/>
                <w:bCs/>
                <w:sz w:val="20"/>
                <w:szCs w:val="20"/>
              </w:rPr>
              <w:t>k</w:t>
            </w:r>
            <w:r w:rsidR="00016332">
              <w:rPr>
                <w:rFonts w:ascii="Arial" w:hAnsi="Arial" w:cs="Arial"/>
                <w:b/>
                <w:bCs/>
                <w:sz w:val="20"/>
                <w:szCs w:val="20"/>
              </w:rPr>
              <w:t>W</w:t>
            </w:r>
            <w:r>
              <w:rPr>
                <w:rFonts w:ascii="Arial" w:hAnsi="Arial" w:cs="Arial"/>
                <w:b/>
                <w:bCs/>
                <w:sz w:val="20"/>
                <w:szCs w:val="20"/>
              </w:rPr>
              <w:t>h</w:t>
            </w:r>
          </w:p>
        </w:tc>
        <w:tc>
          <w:tcPr>
            <w:tcW w:w="1890" w:type="dxa"/>
            <w:shd w:val="clear" w:color="auto" w:fill="auto"/>
            <w:noWrap/>
            <w:vAlign w:val="bottom"/>
            <w:hideMark/>
          </w:tcPr>
          <w:p w:rsidR="00471AA2" w:rsidRDefault="00471AA2" w:rsidP="00471AA2">
            <w:pPr>
              <w:keepNext/>
              <w:keepLines/>
              <w:jc w:val="center"/>
              <w:rPr>
                <w:rFonts w:ascii="Arial" w:hAnsi="Arial" w:cs="Arial"/>
                <w:b/>
                <w:bCs/>
                <w:sz w:val="20"/>
                <w:szCs w:val="20"/>
              </w:rPr>
            </w:pPr>
            <w:r>
              <w:rPr>
                <w:rFonts w:ascii="Arial" w:hAnsi="Arial" w:cs="Arial"/>
                <w:b/>
                <w:bCs/>
                <w:sz w:val="20"/>
                <w:szCs w:val="20"/>
              </w:rPr>
              <w:t>kW</w:t>
            </w:r>
          </w:p>
        </w:tc>
        <w:tc>
          <w:tcPr>
            <w:tcW w:w="1239" w:type="dxa"/>
            <w:shd w:val="clear" w:color="auto" w:fill="auto"/>
            <w:noWrap/>
            <w:vAlign w:val="bottom"/>
            <w:hideMark/>
          </w:tcPr>
          <w:p w:rsidR="00471AA2" w:rsidRDefault="00471AA2" w:rsidP="00471AA2">
            <w:pPr>
              <w:keepNext/>
              <w:keepLines/>
              <w:jc w:val="center"/>
              <w:rPr>
                <w:rFonts w:ascii="Arial" w:hAnsi="Arial" w:cs="Arial"/>
                <w:b/>
                <w:bCs/>
                <w:sz w:val="20"/>
                <w:szCs w:val="20"/>
              </w:rPr>
            </w:pPr>
            <w:proofErr w:type="spellStart"/>
            <w:r>
              <w:rPr>
                <w:rFonts w:ascii="Arial" w:hAnsi="Arial" w:cs="Arial"/>
                <w:b/>
                <w:bCs/>
                <w:sz w:val="20"/>
                <w:szCs w:val="20"/>
              </w:rPr>
              <w:t>Therm</w:t>
            </w:r>
            <w:r w:rsidR="0067364B">
              <w:rPr>
                <w:rFonts w:ascii="Arial" w:hAnsi="Arial" w:cs="Arial"/>
                <w:b/>
                <w:bCs/>
                <w:sz w:val="20"/>
                <w:szCs w:val="20"/>
              </w:rPr>
              <w:t>s</w:t>
            </w:r>
            <w:proofErr w:type="spellEnd"/>
          </w:p>
        </w:tc>
      </w:tr>
      <w:tr w:rsidR="00471AA2" w:rsidTr="0067364B">
        <w:trPr>
          <w:trHeight w:val="255"/>
        </w:trPr>
        <w:tc>
          <w:tcPr>
            <w:tcW w:w="3679" w:type="dxa"/>
            <w:shd w:val="clear" w:color="auto" w:fill="auto"/>
            <w:noWrap/>
            <w:vAlign w:val="center"/>
            <w:hideMark/>
          </w:tcPr>
          <w:p w:rsidR="00471AA2" w:rsidRPr="00D81F10" w:rsidRDefault="00471AA2" w:rsidP="00471AA2">
            <w:pPr>
              <w:keepNext/>
              <w:keepLines/>
              <w:rPr>
                <w:rFonts w:ascii="Arial" w:hAnsi="Arial" w:cs="Arial"/>
                <w:sz w:val="20"/>
                <w:szCs w:val="20"/>
              </w:rPr>
            </w:pPr>
            <w:r w:rsidRPr="00D81F10">
              <w:rPr>
                <w:rFonts w:ascii="Arial" w:hAnsi="Arial" w:cs="Arial"/>
                <w:sz w:val="20"/>
                <w:szCs w:val="20"/>
              </w:rPr>
              <w:t>Side-lighting (daylighting)</w:t>
            </w:r>
          </w:p>
        </w:tc>
        <w:tc>
          <w:tcPr>
            <w:tcW w:w="1991" w:type="dxa"/>
            <w:shd w:val="clear" w:color="auto" w:fill="auto"/>
            <w:noWrap/>
            <w:vAlign w:val="bottom"/>
            <w:hideMark/>
          </w:tcPr>
          <w:p w:rsidR="00471AA2" w:rsidRPr="0067364B" w:rsidRDefault="00471AA2" w:rsidP="00471AA2">
            <w:pPr>
              <w:keepNext/>
              <w:keepLines/>
              <w:jc w:val="center"/>
              <w:rPr>
                <w:rFonts w:ascii="Arial" w:hAnsi="Arial" w:cs="Arial"/>
                <w:bCs/>
                <w:sz w:val="20"/>
                <w:szCs w:val="20"/>
              </w:rPr>
            </w:pPr>
            <w:r w:rsidRPr="0067364B">
              <w:rPr>
                <w:rFonts w:ascii="Arial" w:hAnsi="Arial" w:cs="Arial"/>
                <w:bCs/>
                <w:sz w:val="20"/>
                <w:szCs w:val="20"/>
              </w:rPr>
              <w:t>65.82</w:t>
            </w:r>
          </w:p>
        </w:tc>
        <w:tc>
          <w:tcPr>
            <w:tcW w:w="1890" w:type="dxa"/>
            <w:shd w:val="clear" w:color="auto" w:fill="auto"/>
            <w:noWrap/>
            <w:vAlign w:val="bottom"/>
            <w:hideMark/>
          </w:tcPr>
          <w:p w:rsidR="00471AA2" w:rsidRPr="0067364B" w:rsidRDefault="00471AA2" w:rsidP="00471AA2">
            <w:pPr>
              <w:keepNext/>
              <w:keepLines/>
              <w:jc w:val="center"/>
              <w:rPr>
                <w:rFonts w:ascii="Arial" w:hAnsi="Arial" w:cs="Arial"/>
                <w:bCs/>
                <w:sz w:val="20"/>
                <w:szCs w:val="20"/>
              </w:rPr>
            </w:pPr>
            <w:r w:rsidRPr="0067364B">
              <w:rPr>
                <w:rFonts w:ascii="Arial" w:hAnsi="Arial" w:cs="Arial"/>
                <w:bCs/>
                <w:sz w:val="20"/>
                <w:szCs w:val="20"/>
              </w:rPr>
              <w:t>0.03</w:t>
            </w:r>
          </w:p>
        </w:tc>
        <w:tc>
          <w:tcPr>
            <w:tcW w:w="1239" w:type="dxa"/>
            <w:shd w:val="clear" w:color="auto" w:fill="auto"/>
            <w:noWrap/>
            <w:vAlign w:val="bottom"/>
            <w:hideMark/>
          </w:tcPr>
          <w:p w:rsidR="00471AA2" w:rsidRPr="0067364B" w:rsidRDefault="00471AA2" w:rsidP="00471AA2">
            <w:pPr>
              <w:keepNext/>
              <w:keepLines/>
              <w:jc w:val="center"/>
              <w:rPr>
                <w:rFonts w:ascii="Arial" w:hAnsi="Arial" w:cs="Arial"/>
                <w:bCs/>
                <w:sz w:val="20"/>
                <w:szCs w:val="20"/>
              </w:rPr>
            </w:pPr>
            <w:r w:rsidRPr="0067364B">
              <w:rPr>
                <w:rFonts w:ascii="Arial" w:hAnsi="Arial" w:cs="Arial"/>
                <w:bCs/>
                <w:sz w:val="20"/>
                <w:szCs w:val="20"/>
              </w:rPr>
              <w:t>-1.15</w:t>
            </w:r>
          </w:p>
        </w:tc>
      </w:tr>
    </w:tbl>
    <w:p w:rsidR="00D81F10" w:rsidRDefault="00D81F10" w:rsidP="00B72D8C">
      <w:pPr>
        <w:rPr>
          <w:rFonts w:ascii="Arial" w:hAnsi="Arial" w:cs="Arial"/>
          <w:sz w:val="20"/>
          <w:szCs w:val="22"/>
        </w:rPr>
      </w:pPr>
    </w:p>
    <w:p w:rsidR="00471AA2" w:rsidRDefault="00471AA2" w:rsidP="00471AA2">
      <w:pPr>
        <w:rPr>
          <w:rFonts w:ascii="Arial" w:hAnsi="Arial" w:cs="Arial"/>
          <w:sz w:val="20"/>
          <w:szCs w:val="22"/>
        </w:rPr>
      </w:pPr>
      <w:r>
        <w:rPr>
          <w:rFonts w:ascii="Arial" w:hAnsi="Arial" w:cs="Arial"/>
          <w:sz w:val="20"/>
          <w:szCs w:val="22"/>
        </w:rPr>
        <w:t xml:space="preserve">Savings for daylight harvesting were then </w:t>
      </w:r>
      <w:r w:rsidR="0007015C">
        <w:rPr>
          <w:rFonts w:ascii="Arial" w:hAnsi="Arial" w:cs="Arial"/>
          <w:sz w:val="20"/>
          <w:szCs w:val="22"/>
        </w:rPr>
        <w:t>reduced</w:t>
      </w:r>
      <w:r w:rsidR="00DF1858">
        <w:rPr>
          <w:rFonts w:ascii="Arial" w:hAnsi="Arial" w:cs="Arial"/>
          <w:sz w:val="20"/>
          <w:szCs w:val="22"/>
        </w:rPr>
        <w:t xml:space="preserve"> </w:t>
      </w:r>
      <w:r>
        <w:rPr>
          <w:rFonts w:ascii="Arial" w:hAnsi="Arial" w:cs="Arial"/>
          <w:sz w:val="20"/>
          <w:szCs w:val="22"/>
        </w:rPr>
        <w:t>by 20% to account for the savin</w:t>
      </w:r>
      <w:r w:rsidR="00E55E76">
        <w:rPr>
          <w:rFonts w:ascii="Arial" w:hAnsi="Arial" w:cs="Arial"/>
          <w:sz w:val="20"/>
          <w:szCs w:val="22"/>
        </w:rPr>
        <w:t>gs already captured from tuning, as presented in Table 5.</w:t>
      </w:r>
    </w:p>
    <w:p w:rsidR="00471AA2" w:rsidRDefault="00471AA2" w:rsidP="00471AA2">
      <w:pPr>
        <w:rPr>
          <w:rFonts w:ascii="Arial" w:hAnsi="Arial" w:cs="Arial"/>
          <w:b/>
          <w:sz w:val="20"/>
          <w:szCs w:val="22"/>
        </w:rPr>
      </w:pPr>
    </w:p>
    <w:p w:rsidR="00471AA2" w:rsidRPr="00471AA2" w:rsidRDefault="00471AA2" w:rsidP="00471AA2">
      <w:pPr>
        <w:rPr>
          <w:rFonts w:ascii="Arial" w:hAnsi="Arial" w:cs="Arial"/>
          <w:b/>
          <w:sz w:val="20"/>
          <w:szCs w:val="22"/>
        </w:rPr>
      </w:pPr>
      <w:r w:rsidRPr="00471AA2">
        <w:rPr>
          <w:rFonts w:ascii="Arial" w:hAnsi="Arial" w:cs="Arial"/>
          <w:b/>
          <w:sz w:val="20"/>
          <w:szCs w:val="22"/>
        </w:rPr>
        <w:t>Example: For daylight harvesting measures</w:t>
      </w:r>
    </w:p>
    <w:p w:rsidR="00471AA2" w:rsidRPr="008152AD" w:rsidRDefault="00471AA2" w:rsidP="00471AA2">
      <w:pPr>
        <w:rPr>
          <w:rFonts w:ascii="Arial" w:hAnsi="Arial" w:cs="Arial"/>
          <w:sz w:val="20"/>
          <w:szCs w:val="22"/>
        </w:rPr>
      </w:pPr>
    </w:p>
    <w:p w:rsidR="00471AA2" w:rsidRPr="00471AA2" w:rsidRDefault="00471AA2" w:rsidP="008E58B2">
      <w:pPr>
        <w:ind w:left="720"/>
        <w:rPr>
          <w:rFonts w:ascii="Arial" w:hAnsi="Arial" w:cs="Arial"/>
          <w:b/>
          <w:sz w:val="20"/>
          <w:szCs w:val="22"/>
        </w:rPr>
      </w:pPr>
      <w:r w:rsidRPr="008152AD">
        <w:rPr>
          <w:rFonts w:ascii="Arial" w:hAnsi="Arial" w:cs="Arial"/>
          <w:sz w:val="20"/>
          <w:szCs w:val="22"/>
        </w:rPr>
        <w:t xml:space="preserve">Electric Energy Savings per fixture = 65.82 kWh savings per fixture * 80% = </w:t>
      </w:r>
      <w:proofErr w:type="gramStart"/>
      <w:r w:rsidRPr="008152AD">
        <w:rPr>
          <w:rFonts w:ascii="Arial" w:hAnsi="Arial" w:cs="Arial"/>
          <w:sz w:val="20"/>
          <w:szCs w:val="22"/>
        </w:rPr>
        <w:t>52.65  kWh</w:t>
      </w:r>
      <w:proofErr w:type="gramEnd"/>
      <w:r w:rsidRPr="008152AD">
        <w:rPr>
          <w:rFonts w:ascii="Arial" w:hAnsi="Arial" w:cs="Arial"/>
          <w:sz w:val="20"/>
          <w:szCs w:val="22"/>
        </w:rPr>
        <w:t xml:space="preserve"> savings per fixture</w:t>
      </w:r>
    </w:p>
    <w:p w:rsidR="00471AA2" w:rsidRDefault="00471AA2" w:rsidP="00B72D8C">
      <w:pPr>
        <w:rPr>
          <w:rFonts w:ascii="Arial" w:hAnsi="Arial" w:cs="Arial"/>
          <w:sz w:val="20"/>
          <w:szCs w:val="22"/>
        </w:rPr>
      </w:pPr>
    </w:p>
    <w:p w:rsidR="00471AA2" w:rsidRDefault="00471AA2" w:rsidP="00471AA2">
      <w:pPr>
        <w:pStyle w:val="Caption"/>
        <w:keepNext/>
        <w:keepLines/>
      </w:pPr>
      <w:bookmarkStart w:id="37" w:name="_Toc390771099"/>
      <w:r>
        <w:t xml:space="preserve">Table </w:t>
      </w:r>
      <w:r w:rsidR="006D78EA">
        <w:fldChar w:fldCharType="begin"/>
      </w:r>
      <w:r w:rsidR="006D78EA">
        <w:instrText xml:space="preserve"> SEQ Table \* ARABIC </w:instrText>
      </w:r>
      <w:r w:rsidR="006D78EA">
        <w:fldChar w:fldCharType="separate"/>
      </w:r>
      <w:r w:rsidR="003A4812">
        <w:rPr>
          <w:noProof/>
        </w:rPr>
        <w:t>5</w:t>
      </w:r>
      <w:r w:rsidR="006D78EA">
        <w:rPr>
          <w:noProof/>
        </w:rPr>
        <w:fldChar w:fldCharType="end"/>
      </w:r>
      <w:r>
        <w:t xml:space="preserve">. DEER savings adjusted to represent savings per fixture after </w:t>
      </w:r>
      <w:r w:rsidR="007254EC">
        <w:t xml:space="preserve">20% reduction for </w:t>
      </w:r>
      <w:r>
        <w:t>tuning.</w:t>
      </w:r>
      <w:bookmarkEnd w:id="37"/>
    </w:p>
    <w:tbl>
      <w:tblPr>
        <w:tblW w:w="87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9"/>
        <w:gridCol w:w="1991"/>
        <w:gridCol w:w="1890"/>
        <w:gridCol w:w="1239"/>
      </w:tblGrid>
      <w:tr w:rsidR="00471AA2" w:rsidTr="0067364B">
        <w:trPr>
          <w:trHeight w:val="255"/>
        </w:trPr>
        <w:tc>
          <w:tcPr>
            <w:tcW w:w="3679" w:type="dxa"/>
            <w:shd w:val="clear" w:color="auto" w:fill="auto"/>
            <w:noWrap/>
            <w:vAlign w:val="bottom"/>
            <w:hideMark/>
          </w:tcPr>
          <w:p w:rsidR="00471AA2" w:rsidRDefault="0067364B" w:rsidP="00471AA2">
            <w:pPr>
              <w:keepNext/>
              <w:keepLines/>
              <w:rPr>
                <w:rFonts w:ascii="Arial" w:hAnsi="Arial" w:cs="Arial"/>
                <w:sz w:val="20"/>
                <w:szCs w:val="20"/>
              </w:rPr>
            </w:pPr>
            <w:r w:rsidRPr="0067364B">
              <w:rPr>
                <w:rFonts w:ascii="Arial" w:hAnsi="Arial" w:cs="Arial"/>
                <w:b/>
                <w:sz w:val="20"/>
                <w:szCs w:val="20"/>
              </w:rPr>
              <w:t>Measure</w:t>
            </w:r>
          </w:p>
        </w:tc>
        <w:tc>
          <w:tcPr>
            <w:tcW w:w="1991" w:type="dxa"/>
            <w:shd w:val="clear" w:color="auto" w:fill="auto"/>
            <w:noWrap/>
            <w:vAlign w:val="bottom"/>
            <w:hideMark/>
          </w:tcPr>
          <w:p w:rsidR="00471AA2" w:rsidRDefault="00471AA2" w:rsidP="00471AA2">
            <w:pPr>
              <w:keepNext/>
              <w:keepLines/>
              <w:jc w:val="center"/>
              <w:rPr>
                <w:rFonts w:ascii="Arial" w:hAnsi="Arial" w:cs="Arial"/>
                <w:b/>
                <w:bCs/>
                <w:sz w:val="20"/>
                <w:szCs w:val="20"/>
              </w:rPr>
            </w:pPr>
            <w:r>
              <w:rPr>
                <w:rFonts w:ascii="Arial" w:hAnsi="Arial" w:cs="Arial"/>
                <w:b/>
                <w:bCs/>
                <w:sz w:val="20"/>
                <w:szCs w:val="20"/>
              </w:rPr>
              <w:t>k</w:t>
            </w:r>
            <w:r w:rsidR="00016332">
              <w:rPr>
                <w:rFonts w:ascii="Arial" w:hAnsi="Arial" w:cs="Arial"/>
                <w:b/>
                <w:bCs/>
                <w:sz w:val="20"/>
                <w:szCs w:val="20"/>
              </w:rPr>
              <w:t>W</w:t>
            </w:r>
            <w:r>
              <w:rPr>
                <w:rFonts w:ascii="Arial" w:hAnsi="Arial" w:cs="Arial"/>
                <w:b/>
                <w:bCs/>
                <w:sz w:val="20"/>
                <w:szCs w:val="20"/>
              </w:rPr>
              <w:t>h</w:t>
            </w:r>
          </w:p>
        </w:tc>
        <w:tc>
          <w:tcPr>
            <w:tcW w:w="1890" w:type="dxa"/>
            <w:shd w:val="clear" w:color="auto" w:fill="auto"/>
            <w:noWrap/>
            <w:vAlign w:val="bottom"/>
            <w:hideMark/>
          </w:tcPr>
          <w:p w:rsidR="00471AA2" w:rsidRDefault="00471AA2" w:rsidP="00471AA2">
            <w:pPr>
              <w:keepNext/>
              <w:keepLines/>
              <w:jc w:val="center"/>
              <w:rPr>
                <w:rFonts w:ascii="Arial" w:hAnsi="Arial" w:cs="Arial"/>
                <w:b/>
                <w:bCs/>
                <w:sz w:val="20"/>
                <w:szCs w:val="20"/>
              </w:rPr>
            </w:pPr>
            <w:r>
              <w:rPr>
                <w:rFonts w:ascii="Arial" w:hAnsi="Arial" w:cs="Arial"/>
                <w:b/>
                <w:bCs/>
                <w:sz w:val="20"/>
                <w:szCs w:val="20"/>
              </w:rPr>
              <w:t>kW</w:t>
            </w:r>
          </w:p>
        </w:tc>
        <w:tc>
          <w:tcPr>
            <w:tcW w:w="1239" w:type="dxa"/>
            <w:shd w:val="clear" w:color="auto" w:fill="auto"/>
            <w:noWrap/>
            <w:vAlign w:val="bottom"/>
            <w:hideMark/>
          </w:tcPr>
          <w:p w:rsidR="00471AA2" w:rsidRDefault="00471AA2" w:rsidP="00471AA2">
            <w:pPr>
              <w:keepNext/>
              <w:keepLines/>
              <w:jc w:val="center"/>
              <w:rPr>
                <w:rFonts w:ascii="Arial" w:hAnsi="Arial" w:cs="Arial"/>
                <w:b/>
                <w:bCs/>
                <w:sz w:val="20"/>
                <w:szCs w:val="20"/>
              </w:rPr>
            </w:pPr>
            <w:proofErr w:type="spellStart"/>
            <w:r>
              <w:rPr>
                <w:rFonts w:ascii="Arial" w:hAnsi="Arial" w:cs="Arial"/>
                <w:b/>
                <w:bCs/>
                <w:sz w:val="20"/>
                <w:szCs w:val="20"/>
              </w:rPr>
              <w:t>Therm</w:t>
            </w:r>
            <w:r w:rsidR="0067364B">
              <w:rPr>
                <w:rFonts w:ascii="Arial" w:hAnsi="Arial" w:cs="Arial"/>
                <w:b/>
                <w:bCs/>
                <w:sz w:val="20"/>
                <w:szCs w:val="20"/>
              </w:rPr>
              <w:t>s</w:t>
            </w:r>
            <w:proofErr w:type="spellEnd"/>
          </w:p>
        </w:tc>
      </w:tr>
      <w:tr w:rsidR="00471AA2" w:rsidTr="0067364B">
        <w:trPr>
          <w:trHeight w:val="255"/>
        </w:trPr>
        <w:tc>
          <w:tcPr>
            <w:tcW w:w="3679" w:type="dxa"/>
            <w:shd w:val="clear" w:color="auto" w:fill="auto"/>
            <w:noWrap/>
            <w:vAlign w:val="center"/>
            <w:hideMark/>
          </w:tcPr>
          <w:p w:rsidR="00471AA2" w:rsidRPr="00D81F10" w:rsidRDefault="00471AA2" w:rsidP="00471AA2">
            <w:pPr>
              <w:keepNext/>
              <w:keepLines/>
              <w:rPr>
                <w:rFonts w:ascii="Arial" w:hAnsi="Arial" w:cs="Arial"/>
                <w:sz w:val="20"/>
                <w:szCs w:val="20"/>
              </w:rPr>
            </w:pPr>
            <w:r w:rsidRPr="00D81F10">
              <w:rPr>
                <w:rFonts w:ascii="Arial" w:hAnsi="Arial" w:cs="Arial"/>
                <w:sz w:val="20"/>
                <w:szCs w:val="20"/>
              </w:rPr>
              <w:t>Side-lighting (daylighting)</w:t>
            </w:r>
          </w:p>
        </w:tc>
        <w:tc>
          <w:tcPr>
            <w:tcW w:w="1991" w:type="dxa"/>
            <w:shd w:val="clear" w:color="auto" w:fill="auto"/>
            <w:noWrap/>
            <w:vAlign w:val="bottom"/>
            <w:hideMark/>
          </w:tcPr>
          <w:p w:rsidR="00471AA2" w:rsidRPr="0067364B" w:rsidRDefault="00471AA2" w:rsidP="00471AA2">
            <w:pPr>
              <w:keepNext/>
              <w:keepLines/>
              <w:jc w:val="center"/>
              <w:rPr>
                <w:rFonts w:ascii="Arial" w:hAnsi="Arial" w:cs="Arial"/>
                <w:bCs/>
                <w:sz w:val="20"/>
                <w:szCs w:val="20"/>
              </w:rPr>
            </w:pPr>
            <w:r w:rsidRPr="0067364B">
              <w:rPr>
                <w:rFonts w:ascii="Arial" w:hAnsi="Arial" w:cs="Arial"/>
                <w:bCs/>
                <w:sz w:val="20"/>
                <w:szCs w:val="20"/>
              </w:rPr>
              <w:t>52.65</w:t>
            </w:r>
          </w:p>
        </w:tc>
        <w:tc>
          <w:tcPr>
            <w:tcW w:w="1890" w:type="dxa"/>
            <w:shd w:val="clear" w:color="auto" w:fill="auto"/>
            <w:noWrap/>
            <w:vAlign w:val="bottom"/>
            <w:hideMark/>
          </w:tcPr>
          <w:p w:rsidR="00471AA2" w:rsidRPr="0067364B" w:rsidRDefault="00471AA2" w:rsidP="00471AA2">
            <w:pPr>
              <w:keepNext/>
              <w:keepLines/>
              <w:jc w:val="center"/>
              <w:rPr>
                <w:rFonts w:ascii="Arial" w:hAnsi="Arial" w:cs="Arial"/>
                <w:bCs/>
                <w:sz w:val="20"/>
                <w:szCs w:val="20"/>
              </w:rPr>
            </w:pPr>
            <w:r w:rsidRPr="0067364B">
              <w:rPr>
                <w:rFonts w:ascii="Arial" w:hAnsi="Arial" w:cs="Arial"/>
                <w:bCs/>
                <w:sz w:val="20"/>
                <w:szCs w:val="20"/>
              </w:rPr>
              <w:t>0.02</w:t>
            </w:r>
          </w:p>
        </w:tc>
        <w:tc>
          <w:tcPr>
            <w:tcW w:w="1239" w:type="dxa"/>
            <w:shd w:val="clear" w:color="auto" w:fill="auto"/>
            <w:noWrap/>
            <w:vAlign w:val="bottom"/>
            <w:hideMark/>
          </w:tcPr>
          <w:p w:rsidR="00471AA2" w:rsidRPr="0067364B" w:rsidRDefault="00471AA2" w:rsidP="00471AA2">
            <w:pPr>
              <w:keepNext/>
              <w:keepLines/>
              <w:jc w:val="center"/>
              <w:rPr>
                <w:rFonts w:ascii="Arial" w:hAnsi="Arial" w:cs="Arial"/>
                <w:bCs/>
                <w:sz w:val="20"/>
                <w:szCs w:val="20"/>
              </w:rPr>
            </w:pPr>
            <w:r w:rsidRPr="0067364B">
              <w:rPr>
                <w:rFonts w:ascii="Arial" w:hAnsi="Arial" w:cs="Arial"/>
                <w:bCs/>
                <w:sz w:val="20"/>
                <w:szCs w:val="20"/>
              </w:rPr>
              <w:t>-0.92</w:t>
            </w:r>
          </w:p>
        </w:tc>
      </w:tr>
    </w:tbl>
    <w:p w:rsidR="00471AA2" w:rsidRDefault="00471AA2" w:rsidP="00B72D8C">
      <w:pPr>
        <w:rPr>
          <w:rFonts w:ascii="Arial" w:hAnsi="Arial" w:cs="Arial"/>
          <w:sz w:val="20"/>
          <w:szCs w:val="22"/>
        </w:rPr>
      </w:pPr>
    </w:p>
    <w:p w:rsidR="00471AA2" w:rsidRDefault="00471AA2" w:rsidP="00B72D8C">
      <w:pPr>
        <w:rPr>
          <w:rFonts w:ascii="Arial" w:hAnsi="Arial" w:cs="Arial"/>
          <w:sz w:val="20"/>
          <w:szCs w:val="22"/>
        </w:rPr>
      </w:pPr>
    </w:p>
    <w:p w:rsidR="00C069A2" w:rsidRDefault="00C069A2" w:rsidP="00D20486">
      <w:pPr>
        <w:pStyle w:val="Heading2"/>
      </w:pPr>
      <w:bookmarkStart w:id="38" w:name="_Toc390769240"/>
      <w:r>
        <w:t xml:space="preserve">2.1 </w:t>
      </w:r>
      <w:r w:rsidR="007878B9">
        <w:t xml:space="preserve">Electric </w:t>
      </w:r>
      <w:r>
        <w:t>Energy Savings Estimation Methodologies</w:t>
      </w:r>
      <w:bookmarkEnd w:id="38"/>
    </w:p>
    <w:p w:rsidR="00A95746" w:rsidRPr="00A72732" w:rsidRDefault="00A95746" w:rsidP="00A95746">
      <w:pPr>
        <w:numPr>
          <w:ilvl w:val="0"/>
          <w:numId w:val="14"/>
        </w:numPr>
        <w:tabs>
          <w:tab w:val="clear" w:pos="1440"/>
          <w:tab w:val="num" w:pos="360"/>
        </w:tabs>
        <w:ind w:left="360"/>
        <w:rPr>
          <w:rFonts w:ascii="Arial" w:hAnsi="Arial" w:cs="Arial"/>
          <w:i/>
          <w:sz w:val="20"/>
          <w:szCs w:val="20"/>
        </w:rPr>
      </w:pPr>
      <w:r w:rsidRPr="00A72732">
        <w:rPr>
          <w:rFonts w:ascii="Arial" w:hAnsi="Arial" w:cs="Arial"/>
          <w:sz w:val="20"/>
          <w:szCs w:val="20"/>
        </w:rPr>
        <w:t>This measure includes HVAC interactive effects savings.</w:t>
      </w:r>
    </w:p>
    <w:p w:rsidR="00A95746" w:rsidRPr="00A72732" w:rsidRDefault="00A95746" w:rsidP="00A95746">
      <w:pPr>
        <w:numPr>
          <w:ilvl w:val="0"/>
          <w:numId w:val="14"/>
        </w:numPr>
        <w:tabs>
          <w:tab w:val="clear" w:pos="1440"/>
        </w:tabs>
        <w:ind w:left="360"/>
        <w:rPr>
          <w:rFonts w:ascii="Arial" w:hAnsi="Arial" w:cs="Arial"/>
          <w:sz w:val="20"/>
          <w:szCs w:val="20"/>
        </w:rPr>
      </w:pPr>
      <w:r w:rsidRPr="00A72732">
        <w:rPr>
          <w:rFonts w:ascii="Arial" w:hAnsi="Arial" w:cs="Arial"/>
          <w:sz w:val="20"/>
          <w:szCs w:val="20"/>
        </w:rPr>
        <w:t>This measure is</w:t>
      </w:r>
      <w:r w:rsidR="00DF2AE8">
        <w:rPr>
          <w:rFonts w:ascii="Arial" w:hAnsi="Arial" w:cs="Arial"/>
          <w:sz w:val="20"/>
          <w:szCs w:val="20"/>
        </w:rPr>
        <w:t xml:space="preserve"> not</w:t>
      </w:r>
      <w:r w:rsidRPr="00A72732">
        <w:rPr>
          <w:rFonts w:ascii="Arial" w:hAnsi="Arial" w:cs="Arial"/>
          <w:sz w:val="20"/>
          <w:szCs w:val="20"/>
        </w:rPr>
        <w:t xml:space="preserve"> an Early Retirement measure. </w:t>
      </w:r>
    </w:p>
    <w:p w:rsidR="00E10E72" w:rsidRDefault="00E10E72" w:rsidP="00126A4E"/>
    <w:p w:rsidR="00126A4E" w:rsidRPr="001A3026" w:rsidRDefault="00126A4E" w:rsidP="00CF3FF0">
      <w:pPr>
        <w:rPr>
          <w:rFonts w:ascii="Arial" w:hAnsi="Arial" w:cs="Arial"/>
          <w:sz w:val="20"/>
          <w:szCs w:val="20"/>
        </w:rPr>
      </w:pPr>
      <w:r w:rsidRPr="00CF3FF0">
        <w:rPr>
          <w:rFonts w:ascii="Arial" w:hAnsi="Arial" w:cs="Arial"/>
          <w:b/>
          <w:sz w:val="20"/>
          <w:szCs w:val="20"/>
        </w:rPr>
        <w:t>∆Watts/</w:t>
      </w:r>
      <w:r w:rsidR="00340DA6">
        <w:rPr>
          <w:rFonts w:ascii="Arial" w:hAnsi="Arial" w:cs="Arial"/>
          <w:b/>
          <w:sz w:val="20"/>
          <w:szCs w:val="20"/>
        </w:rPr>
        <w:t>fixture</w:t>
      </w:r>
      <w:r w:rsidRPr="00CF3FF0">
        <w:rPr>
          <w:rFonts w:ascii="Arial" w:hAnsi="Arial" w:cs="Arial"/>
          <w:b/>
          <w:sz w:val="20"/>
          <w:szCs w:val="20"/>
        </w:rPr>
        <w:t>:</w:t>
      </w:r>
      <w:r w:rsidR="00CF3FF0" w:rsidRPr="00CF3FF0" w:rsidDel="00CF3FF0">
        <w:rPr>
          <w:rFonts w:ascii="Arial" w:hAnsi="Arial" w:cs="Arial"/>
          <w:b/>
          <w:sz w:val="20"/>
          <w:szCs w:val="20"/>
        </w:rPr>
        <w:t xml:space="preserve"> </w:t>
      </w:r>
      <w:r w:rsidRPr="001A3026">
        <w:rPr>
          <w:rFonts w:ascii="Arial" w:hAnsi="Arial" w:cs="Arial"/>
          <w:sz w:val="20"/>
          <w:szCs w:val="20"/>
        </w:rPr>
        <w:t xml:space="preserve">The demand difference (watts per </w:t>
      </w:r>
      <w:r w:rsidR="00340DA6">
        <w:rPr>
          <w:rFonts w:ascii="Arial" w:hAnsi="Arial" w:cs="Arial"/>
          <w:sz w:val="20"/>
          <w:szCs w:val="20"/>
        </w:rPr>
        <w:t>fixture</w:t>
      </w:r>
      <w:r w:rsidRPr="001A3026">
        <w:rPr>
          <w:rFonts w:ascii="Arial" w:hAnsi="Arial" w:cs="Arial"/>
          <w:sz w:val="20"/>
          <w:szCs w:val="20"/>
        </w:rPr>
        <w:t xml:space="preserve">) is simply the difference between the electric demand of the base </w:t>
      </w:r>
      <w:r w:rsidR="006634D9">
        <w:rPr>
          <w:rFonts w:ascii="Arial" w:hAnsi="Arial" w:cs="Arial"/>
          <w:sz w:val="20"/>
          <w:szCs w:val="20"/>
        </w:rPr>
        <w:t>unit</w:t>
      </w:r>
      <w:r w:rsidRPr="001A3026">
        <w:rPr>
          <w:rFonts w:ascii="Arial" w:hAnsi="Arial" w:cs="Arial"/>
          <w:sz w:val="20"/>
          <w:szCs w:val="20"/>
        </w:rPr>
        <w:t xml:space="preserve"> and the electric demand of the energy efficient </w:t>
      </w:r>
      <w:r w:rsidR="006634D9">
        <w:rPr>
          <w:rFonts w:ascii="Arial" w:hAnsi="Arial" w:cs="Arial"/>
          <w:sz w:val="20"/>
          <w:szCs w:val="20"/>
        </w:rPr>
        <w:t>unit</w:t>
      </w:r>
      <w:r w:rsidRPr="001A3026">
        <w:rPr>
          <w:rFonts w:ascii="Arial" w:hAnsi="Arial" w:cs="Arial"/>
          <w:sz w:val="20"/>
          <w:szCs w:val="20"/>
        </w:rPr>
        <w:t>.</w:t>
      </w:r>
      <w:r w:rsidR="006634D9">
        <w:rPr>
          <w:rFonts w:ascii="Arial" w:hAnsi="Arial" w:cs="Arial"/>
          <w:sz w:val="20"/>
          <w:szCs w:val="20"/>
        </w:rPr>
        <w:t xml:space="preserve"> The base unit is </w:t>
      </w:r>
      <w:proofErr w:type="gramStart"/>
      <w:r w:rsidR="006634D9">
        <w:rPr>
          <w:rFonts w:ascii="Arial" w:hAnsi="Arial" w:cs="Arial"/>
          <w:sz w:val="20"/>
          <w:szCs w:val="20"/>
        </w:rPr>
        <w:t>a generic</w:t>
      </w:r>
      <w:proofErr w:type="gramEnd"/>
      <w:r w:rsidR="006634D9">
        <w:rPr>
          <w:rFonts w:ascii="Arial" w:hAnsi="Arial" w:cs="Arial"/>
          <w:sz w:val="20"/>
          <w:szCs w:val="20"/>
        </w:rPr>
        <w:t xml:space="preserve"> electronic fixed-output ballast with a Normal Light Output Ballast Factor in a fixture representing a weighted-average of </w:t>
      </w:r>
      <w:r w:rsidR="008041B7">
        <w:rPr>
          <w:rFonts w:ascii="Arial" w:hAnsi="Arial" w:cs="Arial"/>
          <w:sz w:val="20"/>
          <w:szCs w:val="20"/>
        </w:rPr>
        <w:t xml:space="preserve">1-, </w:t>
      </w:r>
      <w:r w:rsidR="006634D9">
        <w:rPr>
          <w:rFonts w:ascii="Arial" w:hAnsi="Arial" w:cs="Arial"/>
          <w:sz w:val="20"/>
          <w:szCs w:val="20"/>
        </w:rPr>
        <w:t>2-</w:t>
      </w:r>
      <w:r w:rsidR="008041B7">
        <w:rPr>
          <w:rFonts w:ascii="Arial" w:hAnsi="Arial" w:cs="Arial"/>
          <w:sz w:val="20"/>
          <w:szCs w:val="20"/>
        </w:rPr>
        <w:t>,</w:t>
      </w:r>
      <w:r w:rsidR="006634D9">
        <w:rPr>
          <w:rFonts w:ascii="Arial" w:hAnsi="Arial" w:cs="Arial"/>
          <w:sz w:val="20"/>
          <w:szCs w:val="20"/>
        </w:rPr>
        <w:t xml:space="preserve"> 3-</w:t>
      </w:r>
      <w:r w:rsidR="008041B7">
        <w:rPr>
          <w:rFonts w:ascii="Arial" w:hAnsi="Arial" w:cs="Arial"/>
          <w:sz w:val="20"/>
          <w:szCs w:val="20"/>
        </w:rPr>
        <w:t>,</w:t>
      </w:r>
      <w:r w:rsidR="006634D9">
        <w:rPr>
          <w:rFonts w:ascii="Arial" w:hAnsi="Arial" w:cs="Arial"/>
          <w:sz w:val="20"/>
          <w:szCs w:val="20"/>
        </w:rPr>
        <w:t xml:space="preserve"> and 4-lamp fixtures, with a connected load of 75 W. </w:t>
      </w:r>
    </w:p>
    <w:p w:rsidR="00126A4E" w:rsidRDefault="00126A4E" w:rsidP="00126A4E">
      <w:pPr>
        <w:ind w:left="720"/>
        <w:rPr>
          <w:rFonts w:ascii="Arial" w:hAnsi="Arial" w:cs="Arial"/>
          <w:sz w:val="20"/>
          <w:szCs w:val="20"/>
        </w:rPr>
      </w:pPr>
    </w:p>
    <w:p w:rsidR="008B636A" w:rsidRDefault="008B636A" w:rsidP="0020595D">
      <w:pPr>
        <w:ind w:left="720"/>
        <w:rPr>
          <w:rFonts w:ascii="Arial" w:hAnsi="Arial" w:cs="Arial"/>
          <w:b/>
          <w:sz w:val="20"/>
          <w:szCs w:val="20"/>
          <w:u w:val="single"/>
        </w:rPr>
      </w:pPr>
    </w:p>
    <w:p w:rsidR="0020595D" w:rsidRDefault="0020595D" w:rsidP="0020595D">
      <w:pPr>
        <w:ind w:left="720"/>
        <w:rPr>
          <w:rFonts w:ascii="Arial" w:hAnsi="Arial" w:cs="Arial"/>
          <w:b/>
          <w:sz w:val="20"/>
          <w:szCs w:val="20"/>
        </w:rPr>
      </w:pPr>
      <w:r w:rsidRPr="00CF3FF0">
        <w:rPr>
          <w:rFonts w:ascii="Arial" w:hAnsi="Arial" w:cs="Arial"/>
          <w:b/>
          <w:sz w:val="20"/>
          <w:szCs w:val="20"/>
          <w:u w:val="single"/>
        </w:rPr>
        <w:t>∆Watts/</w:t>
      </w:r>
      <w:r w:rsidR="001F7466">
        <w:rPr>
          <w:rFonts w:ascii="Arial" w:hAnsi="Arial" w:cs="Arial"/>
          <w:b/>
          <w:sz w:val="20"/>
          <w:szCs w:val="20"/>
          <w:u w:val="single"/>
        </w:rPr>
        <w:t>fixture</w:t>
      </w:r>
      <w:r w:rsidRPr="00CF3FF0">
        <w:rPr>
          <w:rFonts w:ascii="Arial" w:hAnsi="Arial" w:cs="Arial"/>
          <w:b/>
          <w:sz w:val="20"/>
          <w:szCs w:val="20"/>
        </w:rPr>
        <w:tab/>
        <w:t>= Base Watts/</w:t>
      </w:r>
      <w:proofErr w:type="gramStart"/>
      <w:r w:rsidR="001F7466">
        <w:rPr>
          <w:rFonts w:ascii="Arial" w:hAnsi="Arial" w:cs="Arial"/>
          <w:b/>
          <w:sz w:val="20"/>
          <w:szCs w:val="20"/>
        </w:rPr>
        <w:t>fixture</w:t>
      </w:r>
      <w:r w:rsidRPr="00CF3FF0">
        <w:rPr>
          <w:rFonts w:ascii="Arial" w:hAnsi="Arial" w:cs="Arial"/>
          <w:b/>
          <w:sz w:val="20"/>
          <w:szCs w:val="20"/>
        </w:rPr>
        <w:t xml:space="preserve">  -</w:t>
      </w:r>
      <w:proofErr w:type="gramEnd"/>
      <w:r w:rsidRPr="00CF3FF0">
        <w:rPr>
          <w:rFonts w:ascii="Arial" w:hAnsi="Arial" w:cs="Arial"/>
          <w:b/>
          <w:sz w:val="20"/>
          <w:szCs w:val="20"/>
        </w:rPr>
        <w:t xml:space="preserve">  Energy Efficient Watts</w:t>
      </w:r>
      <w:r w:rsidR="001F7466">
        <w:rPr>
          <w:rFonts w:ascii="Arial" w:hAnsi="Arial" w:cs="Arial"/>
          <w:b/>
          <w:sz w:val="20"/>
          <w:szCs w:val="20"/>
        </w:rPr>
        <w:t>/fixture</w:t>
      </w:r>
    </w:p>
    <w:p w:rsidR="00880E5A" w:rsidRDefault="00880E5A" w:rsidP="00CC34FF">
      <w:pPr>
        <w:ind w:left="720"/>
        <w:rPr>
          <w:rFonts w:ascii="Arial" w:hAnsi="Arial" w:cs="Arial"/>
          <w:b/>
          <w:sz w:val="20"/>
          <w:szCs w:val="20"/>
          <w:u w:val="single"/>
        </w:rPr>
      </w:pPr>
    </w:p>
    <w:p w:rsidR="000B3187" w:rsidRPr="000B3187" w:rsidRDefault="000B3187" w:rsidP="00126A4E">
      <w:pPr>
        <w:rPr>
          <w:rFonts w:ascii="Arial" w:hAnsi="Arial" w:cs="Arial"/>
          <w:b/>
          <w:sz w:val="20"/>
          <w:szCs w:val="20"/>
        </w:rPr>
      </w:pPr>
      <w:r w:rsidRPr="000B3187">
        <w:rPr>
          <w:rFonts w:ascii="Arial" w:hAnsi="Arial" w:cs="Arial"/>
          <w:b/>
          <w:sz w:val="20"/>
          <w:szCs w:val="20"/>
        </w:rPr>
        <w:t>Example:</w:t>
      </w:r>
      <w:r w:rsidR="00DE02F0">
        <w:rPr>
          <w:rFonts w:ascii="Arial" w:hAnsi="Arial" w:cs="Arial"/>
          <w:b/>
          <w:sz w:val="20"/>
          <w:szCs w:val="20"/>
        </w:rPr>
        <w:t xml:space="preserve"> For 20% tuning</w:t>
      </w:r>
    </w:p>
    <w:p w:rsidR="00880E5A" w:rsidRDefault="00880E5A" w:rsidP="000B3187">
      <w:pPr>
        <w:ind w:firstLine="720"/>
        <w:rPr>
          <w:rFonts w:ascii="Arial" w:hAnsi="Arial" w:cs="Arial"/>
          <w:b/>
          <w:sz w:val="20"/>
          <w:szCs w:val="20"/>
        </w:rPr>
      </w:pPr>
    </w:p>
    <w:p w:rsidR="000B3187" w:rsidRPr="00FB673E" w:rsidRDefault="000B3187" w:rsidP="000B3187">
      <w:pPr>
        <w:ind w:firstLine="720"/>
        <w:rPr>
          <w:rFonts w:ascii="Arial" w:hAnsi="Arial" w:cs="Arial"/>
          <w:sz w:val="20"/>
          <w:szCs w:val="20"/>
        </w:rPr>
      </w:pPr>
      <w:r w:rsidRPr="00FB673E">
        <w:rPr>
          <w:rFonts w:ascii="Arial" w:hAnsi="Arial" w:cs="Arial"/>
          <w:sz w:val="20"/>
          <w:szCs w:val="20"/>
        </w:rPr>
        <w:t xml:space="preserve">∆Watts/fixture = </w:t>
      </w:r>
      <w:r w:rsidR="00C815A8" w:rsidRPr="00FB673E">
        <w:rPr>
          <w:rFonts w:ascii="Arial" w:hAnsi="Arial" w:cs="Arial"/>
          <w:sz w:val="20"/>
          <w:szCs w:val="20"/>
        </w:rPr>
        <w:t>75</w:t>
      </w:r>
      <w:r w:rsidRPr="00FB673E">
        <w:rPr>
          <w:rFonts w:ascii="Arial" w:hAnsi="Arial" w:cs="Arial"/>
          <w:sz w:val="20"/>
          <w:szCs w:val="20"/>
        </w:rPr>
        <w:t xml:space="preserve"> W – </w:t>
      </w:r>
      <w:r w:rsidR="00C815A8" w:rsidRPr="00FB673E">
        <w:rPr>
          <w:rFonts w:ascii="Arial" w:hAnsi="Arial" w:cs="Arial"/>
          <w:sz w:val="20"/>
          <w:szCs w:val="20"/>
        </w:rPr>
        <w:t>60</w:t>
      </w:r>
      <w:r w:rsidRPr="00FB673E">
        <w:rPr>
          <w:rFonts w:ascii="Arial" w:hAnsi="Arial" w:cs="Arial"/>
          <w:sz w:val="20"/>
          <w:szCs w:val="20"/>
        </w:rPr>
        <w:t xml:space="preserve"> W = 1</w:t>
      </w:r>
      <w:r w:rsidR="00C815A8" w:rsidRPr="00FB673E">
        <w:rPr>
          <w:rFonts w:ascii="Arial" w:hAnsi="Arial" w:cs="Arial"/>
          <w:sz w:val="20"/>
          <w:szCs w:val="20"/>
        </w:rPr>
        <w:t>5</w:t>
      </w:r>
      <w:r w:rsidRPr="00FB673E">
        <w:rPr>
          <w:rFonts w:ascii="Arial" w:hAnsi="Arial" w:cs="Arial"/>
          <w:sz w:val="20"/>
          <w:szCs w:val="20"/>
        </w:rPr>
        <w:t xml:space="preserve"> ∆Watts/fixture </w:t>
      </w:r>
    </w:p>
    <w:p w:rsidR="00403FBE" w:rsidRDefault="00E23EC3" w:rsidP="00126A4E">
      <w:pPr>
        <w:rPr>
          <w:rFonts w:ascii="Arial" w:hAnsi="Arial" w:cs="Arial"/>
          <w:sz w:val="20"/>
          <w:szCs w:val="20"/>
        </w:rPr>
      </w:pPr>
      <w:r>
        <w:rPr>
          <w:rFonts w:ascii="Arial" w:hAnsi="Arial" w:cs="Arial"/>
          <w:sz w:val="20"/>
          <w:szCs w:val="20"/>
        </w:rPr>
        <w:br/>
      </w:r>
    </w:p>
    <w:p w:rsidR="00126A4E" w:rsidRPr="0020595D" w:rsidRDefault="00B42822" w:rsidP="00126A4E">
      <w:pPr>
        <w:rPr>
          <w:rFonts w:ascii="Arial" w:hAnsi="Arial" w:cs="Arial"/>
          <w:b/>
          <w:sz w:val="20"/>
          <w:szCs w:val="20"/>
        </w:rPr>
      </w:pPr>
      <w:r w:rsidRPr="0020595D">
        <w:rPr>
          <w:rFonts w:ascii="Arial" w:hAnsi="Arial" w:cs="Arial"/>
          <w:b/>
          <w:sz w:val="20"/>
          <w:szCs w:val="20"/>
        </w:rPr>
        <w:t>Annual Electric</w:t>
      </w:r>
      <w:r w:rsidR="00126A4E" w:rsidRPr="0020595D">
        <w:rPr>
          <w:rFonts w:ascii="Arial" w:hAnsi="Arial" w:cs="Arial"/>
          <w:b/>
          <w:sz w:val="20"/>
          <w:szCs w:val="20"/>
        </w:rPr>
        <w:t xml:space="preserve"> Savings:</w:t>
      </w:r>
    </w:p>
    <w:p w:rsidR="00126A4E" w:rsidRPr="0020595D" w:rsidRDefault="00126A4E" w:rsidP="00126A4E">
      <w:pPr>
        <w:ind w:left="720"/>
        <w:rPr>
          <w:rFonts w:ascii="Arial" w:hAnsi="Arial" w:cs="Arial"/>
          <w:b/>
          <w:sz w:val="20"/>
          <w:szCs w:val="20"/>
        </w:rPr>
      </w:pPr>
    </w:p>
    <w:p w:rsidR="001F7466" w:rsidRPr="00E10E72" w:rsidRDefault="001F7466" w:rsidP="001F7466">
      <w:pPr>
        <w:ind w:left="720"/>
        <w:rPr>
          <w:rFonts w:ascii="Arial" w:hAnsi="Arial" w:cs="Arial"/>
          <w:b/>
          <w:sz w:val="20"/>
          <w:szCs w:val="20"/>
        </w:rPr>
      </w:pPr>
      <w:r w:rsidRPr="00E10E72">
        <w:rPr>
          <w:rFonts w:ascii="Arial" w:hAnsi="Arial" w:cs="Arial"/>
          <w:b/>
          <w:sz w:val="20"/>
          <w:szCs w:val="20"/>
        </w:rPr>
        <w:t xml:space="preserve">Energy Savings [kWh/fixture] = </w:t>
      </w:r>
      <w:r w:rsidRPr="00E10E72">
        <w:rPr>
          <w:rFonts w:ascii="Arial" w:hAnsi="Arial" w:cs="Arial"/>
          <w:b/>
          <w:sz w:val="20"/>
          <w:szCs w:val="20"/>
          <w:u w:val="single"/>
        </w:rPr>
        <w:t>(∆Watts/</w:t>
      </w:r>
      <w:r>
        <w:rPr>
          <w:rFonts w:ascii="Arial" w:hAnsi="Arial" w:cs="Arial"/>
          <w:b/>
          <w:sz w:val="20"/>
          <w:szCs w:val="20"/>
          <w:u w:val="single"/>
        </w:rPr>
        <w:t>fixture</w:t>
      </w:r>
      <w:r w:rsidRPr="00E10E72">
        <w:rPr>
          <w:rFonts w:ascii="Arial" w:hAnsi="Arial" w:cs="Arial"/>
          <w:b/>
          <w:sz w:val="20"/>
          <w:szCs w:val="20"/>
          <w:u w:val="single"/>
        </w:rPr>
        <w:t>) x (</w:t>
      </w:r>
      <w:r>
        <w:rPr>
          <w:rFonts w:ascii="Arial" w:hAnsi="Arial" w:cs="Arial"/>
          <w:b/>
          <w:sz w:val="20"/>
          <w:szCs w:val="20"/>
          <w:u w:val="single"/>
        </w:rPr>
        <w:t>Annual Hours of Operation</w:t>
      </w:r>
      <w:r w:rsidRPr="00CC6DB2">
        <w:rPr>
          <w:rFonts w:ascii="Arial" w:hAnsi="Arial" w:cs="Arial"/>
          <w:b/>
          <w:sz w:val="20"/>
          <w:szCs w:val="20"/>
        </w:rPr>
        <w:t>) x (Energy Interactive Effects)</w:t>
      </w:r>
      <w:r>
        <w:rPr>
          <w:rFonts w:ascii="Arial" w:hAnsi="Arial" w:cs="Arial"/>
          <w:b/>
          <w:sz w:val="20"/>
          <w:szCs w:val="20"/>
        </w:rPr>
        <w:t xml:space="preserve"> /</w:t>
      </w:r>
      <w:r w:rsidRPr="00E10E72">
        <w:rPr>
          <w:rFonts w:ascii="Arial" w:hAnsi="Arial" w:cs="Arial"/>
          <w:b/>
          <w:sz w:val="20"/>
          <w:szCs w:val="20"/>
        </w:rPr>
        <w:t xml:space="preserve"> 1,000 Watts / kW</w:t>
      </w:r>
    </w:p>
    <w:p w:rsidR="000B3187" w:rsidRDefault="000B3187" w:rsidP="000B3187">
      <w:pPr>
        <w:rPr>
          <w:rFonts w:ascii="Arial" w:hAnsi="Arial" w:cs="Arial"/>
          <w:b/>
          <w:sz w:val="20"/>
          <w:szCs w:val="20"/>
        </w:rPr>
      </w:pPr>
    </w:p>
    <w:p w:rsidR="000B3187" w:rsidRPr="000B3187" w:rsidRDefault="000B3187" w:rsidP="000B3187">
      <w:pPr>
        <w:rPr>
          <w:rFonts w:ascii="Arial" w:hAnsi="Arial" w:cs="Arial"/>
          <w:b/>
          <w:sz w:val="20"/>
          <w:szCs w:val="20"/>
        </w:rPr>
      </w:pPr>
      <w:r w:rsidRPr="000B3187">
        <w:rPr>
          <w:rFonts w:ascii="Arial" w:hAnsi="Arial" w:cs="Arial"/>
          <w:b/>
          <w:sz w:val="20"/>
          <w:szCs w:val="20"/>
        </w:rPr>
        <w:t>Example:</w:t>
      </w:r>
    </w:p>
    <w:p w:rsidR="00880E5A" w:rsidRPr="00FB673E" w:rsidRDefault="00880E5A" w:rsidP="00880E5A">
      <w:pPr>
        <w:ind w:left="720"/>
        <w:rPr>
          <w:rFonts w:ascii="Arial" w:hAnsi="Arial" w:cs="Arial"/>
          <w:sz w:val="20"/>
          <w:szCs w:val="20"/>
        </w:rPr>
      </w:pPr>
      <w:r w:rsidRPr="00FB673E">
        <w:rPr>
          <w:rFonts w:ascii="Arial" w:hAnsi="Arial" w:cs="Arial"/>
          <w:sz w:val="20"/>
          <w:szCs w:val="20"/>
        </w:rPr>
        <w:t xml:space="preserve">Annual Energy Savings = </w:t>
      </w:r>
      <w:r w:rsidR="001A174B" w:rsidRPr="00FB673E">
        <w:rPr>
          <w:rFonts w:ascii="Arial" w:hAnsi="Arial" w:cs="Arial"/>
          <w:sz w:val="20"/>
          <w:szCs w:val="20"/>
        </w:rPr>
        <w:t>15</w:t>
      </w:r>
      <w:r w:rsidRPr="00FB673E">
        <w:rPr>
          <w:rFonts w:ascii="Arial" w:hAnsi="Arial" w:cs="Arial"/>
          <w:sz w:val="20"/>
          <w:szCs w:val="20"/>
        </w:rPr>
        <w:t xml:space="preserve"> ∆Watts/fixture 3,18</w:t>
      </w:r>
      <w:r w:rsidR="00C815A8" w:rsidRPr="00FB673E">
        <w:rPr>
          <w:rFonts w:ascii="Arial" w:hAnsi="Arial" w:cs="Arial"/>
          <w:sz w:val="20"/>
          <w:szCs w:val="20"/>
        </w:rPr>
        <w:t>0</w:t>
      </w:r>
      <w:r w:rsidRPr="00FB673E">
        <w:rPr>
          <w:rFonts w:ascii="Arial" w:hAnsi="Arial" w:cs="Arial"/>
          <w:sz w:val="20"/>
          <w:szCs w:val="20"/>
        </w:rPr>
        <w:t xml:space="preserve"> hours x 1.0</w:t>
      </w:r>
      <w:r w:rsidR="001A174B" w:rsidRPr="00FB673E">
        <w:rPr>
          <w:rFonts w:ascii="Arial" w:hAnsi="Arial" w:cs="Arial"/>
          <w:sz w:val="20"/>
          <w:szCs w:val="20"/>
        </w:rPr>
        <w:t xml:space="preserve">61 kWh/kWh / 1,000 Watts/kW </w:t>
      </w:r>
      <w:r w:rsidR="001A174B" w:rsidRPr="00FB673E">
        <w:rPr>
          <w:rFonts w:ascii="Arial" w:hAnsi="Arial" w:cs="Arial"/>
          <w:sz w:val="20"/>
          <w:szCs w:val="20"/>
        </w:rPr>
        <w:br/>
        <w:t>= 50</w:t>
      </w:r>
      <w:r w:rsidRPr="00FB673E">
        <w:rPr>
          <w:rFonts w:ascii="Arial" w:hAnsi="Arial" w:cs="Arial"/>
          <w:sz w:val="20"/>
          <w:szCs w:val="20"/>
        </w:rPr>
        <w:t xml:space="preserve"> kWh</w:t>
      </w:r>
    </w:p>
    <w:p w:rsidR="00C069A2" w:rsidRDefault="0030550A" w:rsidP="002E0043">
      <w:pPr>
        <w:pStyle w:val="Heading2"/>
        <w:keepNext w:val="0"/>
      </w:pPr>
      <w:bookmarkStart w:id="39" w:name="_Toc390769241"/>
      <w:r>
        <w:t>2.2. Demand R</w:t>
      </w:r>
      <w:r w:rsidR="00C069A2">
        <w:t>eduction Estimation Methodologies</w:t>
      </w:r>
      <w:bookmarkEnd w:id="39"/>
    </w:p>
    <w:p w:rsidR="00044570" w:rsidRPr="00CF3FF0" w:rsidRDefault="00044570" w:rsidP="00CF3FF0">
      <w:pPr>
        <w:rPr>
          <w:rFonts w:ascii="Arial" w:hAnsi="Arial" w:cs="Arial"/>
          <w:i/>
          <w:sz w:val="20"/>
          <w:szCs w:val="20"/>
        </w:rPr>
      </w:pPr>
    </w:p>
    <w:p w:rsidR="00044570" w:rsidRPr="00340DA6" w:rsidRDefault="00044570" w:rsidP="00CF3FF0">
      <w:pPr>
        <w:numPr>
          <w:ilvl w:val="0"/>
          <w:numId w:val="15"/>
        </w:numPr>
        <w:tabs>
          <w:tab w:val="clear" w:pos="1440"/>
          <w:tab w:val="num" w:pos="360"/>
        </w:tabs>
        <w:ind w:left="360"/>
        <w:rPr>
          <w:rFonts w:ascii="Arial" w:hAnsi="Arial" w:cs="Arial"/>
          <w:i/>
          <w:sz w:val="20"/>
          <w:szCs w:val="20"/>
        </w:rPr>
      </w:pPr>
      <w:r w:rsidRPr="00340DA6">
        <w:rPr>
          <w:rFonts w:ascii="Arial" w:hAnsi="Arial" w:cs="Arial"/>
          <w:sz w:val="20"/>
          <w:szCs w:val="20"/>
        </w:rPr>
        <w:t>This measure includes HVAC interactive effects savings.</w:t>
      </w:r>
    </w:p>
    <w:p w:rsidR="00A95746" w:rsidRDefault="00A95746" w:rsidP="00A95746">
      <w:pPr>
        <w:rPr>
          <w:rFonts w:ascii="Arial" w:hAnsi="Arial" w:cs="Arial"/>
          <w:i/>
          <w:sz w:val="20"/>
          <w:szCs w:val="20"/>
        </w:rPr>
      </w:pPr>
    </w:p>
    <w:p w:rsidR="008565EC" w:rsidRPr="00A72732" w:rsidRDefault="008565EC" w:rsidP="008565EC">
      <w:pPr>
        <w:numPr>
          <w:ilvl w:val="0"/>
          <w:numId w:val="14"/>
        </w:numPr>
        <w:tabs>
          <w:tab w:val="clear" w:pos="1440"/>
        </w:tabs>
        <w:ind w:left="360"/>
        <w:rPr>
          <w:rFonts w:ascii="Arial" w:hAnsi="Arial" w:cs="Arial"/>
          <w:sz w:val="20"/>
          <w:szCs w:val="20"/>
        </w:rPr>
      </w:pPr>
      <w:r w:rsidRPr="00A72732">
        <w:rPr>
          <w:rFonts w:ascii="Arial" w:hAnsi="Arial" w:cs="Arial"/>
          <w:sz w:val="20"/>
          <w:szCs w:val="20"/>
        </w:rPr>
        <w:t>This measure is</w:t>
      </w:r>
      <w:r>
        <w:rPr>
          <w:rFonts w:ascii="Arial" w:hAnsi="Arial" w:cs="Arial"/>
          <w:sz w:val="20"/>
          <w:szCs w:val="20"/>
        </w:rPr>
        <w:t xml:space="preserve"> not</w:t>
      </w:r>
      <w:r w:rsidRPr="00A72732">
        <w:rPr>
          <w:rFonts w:ascii="Arial" w:hAnsi="Arial" w:cs="Arial"/>
          <w:sz w:val="20"/>
          <w:szCs w:val="20"/>
        </w:rPr>
        <w:t xml:space="preserve"> an Early Retirement measure. </w:t>
      </w:r>
    </w:p>
    <w:p w:rsidR="00CF3FF0" w:rsidRPr="00CF3FF0" w:rsidRDefault="001A174B" w:rsidP="00EB46D0">
      <w:pPr>
        <w:rPr>
          <w:rFonts w:ascii="Arial" w:hAnsi="Arial" w:cs="Arial"/>
          <w:i/>
          <w:sz w:val="20"/>
          <w:szCs w:val="20"/>
        </w:rPr>
      </w:pPr>
      <w:r>
        <w:rPr>
          <w:rFonts w:ascii="Arial" w:hAnsi="Arial" w:cs="Arial"/>
          <w:i/>
          <w:sz w:val="20"/>
          <w:szCs w:val="20"/>
        </w:rPr>
        <w:t xml:space="preserve"> </w:t>
      </w:r>
    </w:p>
    <w:p w:rsidR="00EB46D0" w:rsidRPr="00CF3FF0" w:rsidRDefault="00EB46D0" w:rsidP="00CF3FF0">
      <w:pPr>
        <w:rPr>
          <w:rFonts w:ascii="Arial" w:hAnsi="Arial" w:cs="Arial"/>
          <w:sz w:val="20"/>
          <w:szCs w:val="20"/>
        </w:rPr>
      </w:pPr>
      <w:r w:rsidRPr="00CF3FF0">
        <w:rPr>
          <w:rFonts w:ascii="Arial" w:hAnsi="Arial" w:cs="Arial"/>
          <w:b/>
          <w:sz w:val="20"/>
          <w:szCs w:val="20"/>
        </w:rPr>
        <w:t>∆Watts</w:t>
      </w:r>
      <w:r w:rsidR="001F7466">
        <w:rPr>
          <w:rFonts w:ascii="Arial" w:hAnsi="Arial" w:cs="Arial"/>
          <w:b/>
          <w:sz w:val="20"/>
          <w:szCs w:val="20"/>
        </w:rPr>
        <w:t>/fixture</w:t>
      </w:r>
      <w:r w:rsidRPr="00CF3FF0">
        <w:rPr>
          <w:rFonts w:ascii="Arial" w:hAnsi="Arial" w:cs="Arial"/>
          <w:b/>
          <w:sz w:val="20"/>
          <w:szCs w:val="20"/>
        </w:rPr>
        <w:t>:</w:t>
      </w:r>
      <w:r w:rsidR="00CF3FF0">
        <w:rPr>
          <w:rFonts w:ascii="Arial" w:hAnsi="Arial" w:cs="Arial"/>
          <w:b/>
          <w:sz w:val="20"/>
          <w:szCs w:val="20"/>
        </w:rPr>
        <w:t xml:space="preserve"> </w:t>
      </w:r>
      <w:r w:rsidRPr="00CF3FF0">
        <w:rPr>
          <w:rFonts w:ascii="Arial" w:hAnsi="Arial" w:cs="Arial"/>
          <w:sz w:val="20"/>
          <w:szCs w:val="20"/>
        </w:rPr>
        <w:t>The demand difference (watts per unit) is simply the difference between the electric demand of the base unit and the electric demand of the energy efficient unit.</w:t>
      </w:r>
      <w:r w:rsidR="006634D9" w:rsidRPr="006634D9">
        <w:rPr>
          <w:rFonts w:ascii="Arial" w:hAnsi="Arial" w:cs="Arial"/>
          <w:sz w:val="20"/>
          <w:szCs w:val="20"/>
        </w:rPr>
        <w:t xml:space="preserve"> </w:t>
      </w:r>
      <w:r w:rsidR="006634D9">
        <w:rPr>
          <w:rFonts w:ascii="Arial" w:hAnsi="Arial" w:cs="Arial"/>
          <w:sz w:val="20"/>
          <w:szCs w:val="20"/>
        </w:rPr>
        <w:t xml:space="preserve">The base unit is </w:t>
      </w:r>
      <w:proofErr w:type="gramStart"/>
      <w:r w:rsidR="006634D9">
        <w:rPr>
          <w:rFonts w:ascii="Arial" w:hAnsi="Arial" w:cs="Arial"/>
          <w:sz w:val="20"/>
          <w:szCs w:val="20"/>
        </w:rPr>
        <w:t>a generic</w:t>
      </w:r>
      <w:proofErr w:type="gramEnd"/>
      <w:r w:rsidR="006634D9">
        <w:rPr>
          <w:rFonts w:ascii="Arial" w:hAnsi="Arial" w:cs="Arial"/>
          <w:sz w:val="20"/>
          <w:szCs w:val="20"/>
        </w:rPr>
        <w:t xml:space="preserve"> electronic fixed-output ballast with a Normal Light Output Ballast Factor in a fixture representing a weighted-average of </w:t>
      </w:r>
      <w:r w:rsidR="00E75B81">
        <w:rPr>
          <w:rFonts w:ascii="Arial" w:hAnsi="Arial" w:cs="Arial"/>
          <w:sz w:val="20"/>
          <w:szCs w:val="20"/>
        </w:rPr>
        <w:t xml:space="preserve">1-, </w:t>
      </w:r>
      <w:r w:rsidR="006634D9">
        <w:rPr>
          <w:rFonts w:ascii="Arial" w:hAnsi="Arial" w:cs="Arial"/>
          <w:sz w:val="20"/>
          <w:szCs w:val="20"/>
        </w:rPr>
        <w:t>2-</w:t>
      </w:r>
      <w:r w:rsidR="00E75B81">
        <w:rPr>
          <w:rFonts w:ascii="Arial" w:hAnsi="Arial" w:cs="Arial"/>
          <w:sz w:val="20"/>
          <w:szCs w:val="20"/>
        </w:rPr>
        <w:t>,</w:t>
      </w:r>
      <w:r w:rsidR="006634D9">
        <w:rPr>
          <w:rFonts w:ascii="Arial" w:hAnsi="Arial" w:cs="Arial"/>
          <w:sz w:val="20"/>
          <w:szCs w:val="20"/>
        </w:rPr>
        <w:t xml:space="preserve"> 3-</w:t>
      </w:r>
      <w:r w:rsidR="00E75B81">
        <w:rPr>
          <w:rFonts w:ascii="Arial" w:hAnsi="Arial" w:cs="Arial"/>
          <w:sz w:val="20"/>
          <w:szCs w:val="20"/>
        </w:rPr>
        <w:t>,</w:t>
      </w:r>
      <w:r w:rsidR="006634D9">
        <w:rPr>
          <w:rFonts w:ascii="Arial" w:hAnsi="Arial" w:cs="Arial"/>
          <w:sz w:val="20"/>
          <w:szCs w:val="20"/>
        </w:rPr>
        <w:t xml:space="preserve"> and 4-lamp fixtures, with a connected load of 75 W.</w:t>
      </w:r>
    </w:p>
    <w:p w:rsidR="00EB46D0" w:rsidRPr="00CF3FF0" w:rsidRDefault="00EB46D0" w:rsidP="00EB46D0">
      <w:pPr>
        <w:ind w:left="720"/>
        <w:rPr>
          <w:rFonts w:ascii="Arial" w:hAnsi="Arial" w:cs="Arial"/>
          <w:i/>
          <w:sz w:val="20"/>
          <w:szCs w:val="20"/>
        </w:rPr>
      </w:pPr>
    </w:p>
    <w:p w:rsidR="00EB46D0" w:rsidRPr="0033036F" w:rsidRDefault="00EB46D0" w:rsidP="00CC34FF">
      <w:pPr>
        <w:ind w:left="720"/>
        <w:rPr>
          <w:rFonts w:ascii="Arial" w:hAnsi="Arial" w:cs="Arial"/>
          <w:b/>
          <w:sz w:val="20"/>
          <w:szCs w:val="20"/>
        </w:rPr>
      </w:pPr>
      <w:r w:rsidRPr="0033036F">
        <w:rPr>
          <w:rFonts w:ascii="Arial" w:hAnsi="Arial" w:cs="Arial"/>
          <w:b/>
          <w:sz w:val="20"/>
          <w:szCs w:val="20"/>
          <w:u w:val="single"/>
        </w:rPr>
        <w:t>∆Watts</w:t>
      </w:r>
      <w:r w:rsidR="001F7466" w:rsidRPr="0033036F">
        <w:rPr>
          <w:rFonts w:ascii="Arial" w:hAnsi="Arial" w:cs="Arial"/>
          <w:b/>
          <w:sz w:val="20"/>
          <w:szCs w:val="20"/>
          <w:u w:val="single"/>
        </w:rPr>
        <w:t>/fixture</w:t>
      </w:r>
      <w:r w:rsidRPr="0033036F">
        <w:rPr>
          <w:rFonts w:ascii="Arial" w:hAnsi="Arial" w:cs="Arial"/>
          <w:b/>
          <w:sz w:val="20"/>
          <w:szCs w:val="20"/>
        </w:rPr>
        <w:tab/>
        <w:t>=</w:t>
      </w:r>
      <w:r w:rsidR="00E23EC3" w:rsidRPr="0033036F">
        <w:rPr>
          <w:rFonts w:ascii="Arial" w:hAnsi="Arial" w:cs="Arial"/>
          <w:b/>
          <w:sz w:val="20"/>
          <w:szCs w:val="20"/>
        </w:rPr>
        <w:t xml:space="preserve"> </w:t>
      </w:r>
      <w:r w:rsidRPr="0033036F">
        <w:rPr>
          <w:rFonts w:ascii="Arial" w:hAnsi="Arial" w:cs="Arial"/>
          <w:b/>
          <w:sz w:val="20"/>
          <w:szCs w:val="20"/>
        </w:rPr>
        <w:t>Base Watts</w:t>
      </w:r>
      <w:r w:rsidR="001F7466" w:rsidRPr="0033036F">
        <w:rPr>
          <w:rFonts w:ascii="Arial" w:hAnsi="Arial" w:cs="Arial"/>
          <w:b/>
          <w:sz w:val="20"/>
          <w:szCs w:val="20"/>
        </w:rPr>
        <w:t>/fixture</w:t>
      </w:r>
      <w:r w:rsidR="009B4DB1" w:rsidRPr="0033036F">
        <w:rPr>
          <w:rFonts w:ascii="Arial" w:hAnsi="Arial" w:cs="Arial"/>
          <w:b/>
          <w:sz w:val="20"/>
          <w:szCs w:val="20"/>
        </w:rPr>
        <w:t xml:space="preserve"> </w:t>
      </w:r>
      <w:r w:rsidRPr="0033036F">
        <w:rPr>
          <w:rFonts w:ascii="Arial" w:hAnsi="Arial" w:cs="Arial"/>
          <w:b/>
          <w:sz w:val="20"/>
          <w:szCs w:val="20"/>
        </w:rPr>
        <w:t>-</w:t>
      </w:r>
      <w:r w:rsidR="009B4DB1" w:rsidRPr="0033036F">
        <w:rPr>
          <w:rFonts w:ascii="Arial" w:hAnsi="Arial" w:cs="Arial"/>
          <w:b/>
          <w:sz w:val="20"/>
          <w:szCs w:val="20"/>
        </w:rPr>
        <w:t xml:space="preserve"> </w:t>
      </w:r>
      <w:r w:rsidRPr="0033036F">
        <w:rPr>
          <w:rFonts w:ascii="Arial" w:hAnsi="Arial" w:cs="Arial"/>
          <w:b/>
          <w:sz w:val="20"/>
          <w:szCs w:val="20"/>
        </w:rPr>
        <w:t>Energy Efficient Watts</w:t>
      </w:r>
      <w:r w:rsidR="001F7466" w:rsidRPr="0033036F">
        <w:rPr>
          <w:rFonts w:ascii="Arial" w:hAnsi="Arial" w:cs="Arial"/>
          <w:b/>
          <w:sz w:val="20"/>
          <w:szCs w:val="20"/>
        </w:rPr>
        <w:t>/fixture</w:t>
      </w:r>
    </w:p>
    <w:p w:rsidR="00E23EC3" w:rsidRPr="0033036F" w:rsidRDefault="00E23EC3" w:rsidP="00CC34FF">
      <w:pPr>
        <w:ind w:left="720"/>
        <w:rPr>
          <w:rFonts w:ascii="Arial" w:hAnsi="Arial" w:cs="Arial"/>
          <w:b/>
          <w:sz w:val="20"/>
          <w:szCs w:val="20"/>
        </w:rPr>
      </w:pPr>
    </w:p>
    <w:p w:rsidR="00880E5A" w:rsidRPr="000B3187" w:rsidRDefault="00880E5A" w:rsidP="00880E5A">
      <w:pPr>
        <w:rPr>
          <w:rFonts w:ascii="Arial" w:hAnsi="Arial" w:cs="Arial"/>
          <w:b/>
          <w:sz w:val="20"/>
          <w:szCs w:val="20"/>
        </w:rPr>
      </w:pPr>
      <w:r w:rsidRPr="000B3187">
        <w:rPr>
          <w:rFonts w:ascii="Arial" w:hAnsi="Arial" w:cs="Arial"/>
          <w:b/>
          <w:sz w:val="20"/>
          <w:szCs w:val="20"/>
        </w:rPr>
        <w:t>Example:</w:t>
      </w:r>
      <w:r>
        <w:rPr>
          <w:rFonts w:ascii="Arial" w:hAnsi="Arial" w:cs="Arial"/>
          <w:b/>
          <w:sz w:val="20"/>
          <w:szCs w:val="20"/>
        </w:rPr>
        <w:t xml:space="preserve"> For 20% tuning</w:t>
      </w:r>
    </w:p>
    <w:p w:rsidR="00880E5A" w:rsidRPr="00FB673E" w:rsidRDefault="00880E5A" w:rsidP="00880E5A">
      <w:pPr>
        <w:ind w:firstLine="720"/>
        <w:rPr>
          <w:rFonts w:ascii="Arial" w:hAnsi="Arial" w:cs="Arial"/>
          <w:sz w:val="20"/>
          <w:szCs w:val="20"/>
        </w:rPr>
      </w:pPr>
      <w:r w:rsidRPr="00FB673E">
        <w:rPr>
          <w:rFonts w:ascii="Arial" w:hAnsi="Arial" w:cs="Arial"/>
          <w:sz w:val="20"/>
          <w:szCs w:val="20"/>
        </w:rPr>
        <w:t xml:space="preserve">∆Watts/fixture = </w:t>
      </w:r>
      <w:r w:rsidR="001A174B" w:rsidRPr="00FB673E">
        <w:rPr>
          <w:rFonts w:ascii="Arial" w:hAnsi="Arial" w:cs="Arial"/>
          <w:sz w:val="20"/>
          <w:szCs w:val="20"/>
        </w:rPr>
        <w:t>75</w:t>
      </w:r>
      <w:r w:rsidRPr="00FB673E">
        <w:rPr>
          <w:rFonts w:ascii="Arial" w:hAnsi="Arial" w:cs="Arial"/>
          <w:sz w:val="20"/>
          <w:szCs w:val="20"/>
        </w:rPr>
        <w:t xml:space="preserve"> W – </w:t>
      </w:r>
      <w:r w:rsidR="001A174B" w:rsidRPr="00FB673E">
        <w:rPr>
          <w:rFonts w:ascii="Arial" w:hAnsi="Arial" w:cs="Arial"/>
          <w:sz w:val="20"/>
          <w:szCs w:val="20"/>
        </w:rPr>
        <w:t>60 W = 15</w:t>
      </w:r>
      <w:r w:rsidRPr="00FB673E">
        <w:rPr>
          <w:rFonts w:ascii="Arial" w:hAnsi="Arial" w:cs="Arial"/>
          <w:sz w:val="20"/>
          <w:szCs w:val="20"/>
        </w:rPr>
        <w:t xml:space="preserve"> ∆Watts/fixture </w:t>
      </w:r>
    </w:p>
    <w:p w:rsidR="00EB46D0" w:rsidRPr="0033036F" w:rsidRDefault="00EB46D0" w:rsidP="00EB46D0">
      <w:pPr>
        <w:rPr>
          <w:rFonts w:ascii="Arial" w:hAnsi="Arial" w:cs="Arial"/>
          <w:i/>
          <w:sz w:val="20"/>
          <w:szCs w:val="20"/>
        </w:rPr>
      </w:pPr>
    </w:p>
    <w:p w:rsidR="003F3DED" w:rsidRPr="0033036F" w:rsidRDefault="003F3DED" w:rsidP="003F3DED">
      <w:pPr>
        <w:rPr>
          <w:rFonts w:ascii="Arial" w:hAnsi="Arial" w:cs="Arial"/>
          <w:b/>
          <w:sz w:val="20"/>
          <w:szCs w:val="20"/>
        </w:rPr>
      </w:pPr>
      <w:r w:rsidRPr="0033036F">
        <w:rPr>
          <w:rFonts w:ascii="Arial" w:hAnsi="Arial" w:cs="Arial"/>
          <w:b/>
          <w:sz w:val="20"/>
          <w:szCs w:val="20"/>
        </w:rPr>
        <w:t>Demand Reduction:</w:t>
      </w:r>
    </w:p>
    <w:p w:rsidR="003F3DED" w:rsidRPr="0033036F" w:rsidRDefault="003F3DED" w:rsidP="003F3DED">
      <w:pPr>
        <w:ind w:left="720"/>
        <w:rPr>
          <w:rFonts w:ascii="Arial" w:hAnsi="Arial" w:cs="Arial"/>
          <w:i/>
          <w:sz w:val="20"/>
          <w:szCs w:val="20"/>
        </w:rPr>
      </w:pPr>
    </w:p>
    <w:p w:rsidR="003F3DED" w:rsidRPr="0033036F" w:rsidRDefault="003F3DED" w:rsidP="003F3DED">
      <w:pPr>
        <w:ind w:left="720"/>
        <w:rPr>
          <w:rFonts w:ascii="Arial" w:hAnsi="Arial" w:cs="Arial"/>
          <w:b/>
          <w:sz w:val="20"/>
          <w:szCs w:val="20"/>
        </w:rPr>
      </w:pPr>
      <w:r w:rsidRPr="0033036F">
        <w:rPr>
          <w:rFonts w:ascii="Arial" w:hAnsi="Arial" w:cs="Arial"/>
          <w:b/>
          <w:sz w:val="20"/>
          <w:szCs w:val="20"/>
        </w:rPr>
        <w:t>Demand Reduction [kW</w:t>
      </w:r>
      <w:r w:rsidR="001F7466" w:rsidRPr="0033036F">
        <w:rPr>
          <w:rFonts w:ascii="Arial" w:hAnsi="Arial" w:cs="Arial"/>
          <w:b/>
          <w:sz w:val="20"/>
          <w:szCs w:val="20"/>
        </w:rPr>
        <w:t>/fixture</w:t>
      </w:r>
      <w:r w:rsidRPr="0033036F">
        <w:rPr>
          <w:rFonts w:ascii="Arial" w:hAnsi="Arial" w:cs="Arial"/>
          <w:b/>
          <w:sz w:val="20"/>
          <w:szCs w:val="20"/>
        </w:rPr>
        <w:t xml:space="preserve">] = </w:t>
      </w:r>
      <w:r w:rsidRPr="0033036F">
        <w:rPr>
          <w:rFonts w:ascii="Arial" w:hAnsi="Arial" w:cs="Arial"/>
          <w:b/>
          <w:sz w:val="20"/>
          <w:szCs w:val="20"/>
          <w:u w:val="single"/>
        </w:rPr>
        <w:t>(</w:t>
      </w:r>
      <w:r w:rsidR="00CC34FF" w:rsidRPr="0033036F">
        <w:rPr>
          <w:rFonts w:ascii="Arial" w:hAnsi="Arial" w:cs="Arial"/>
          <w:b/>
          <w:sz w:val="20"/>
          <w:szCs w:val="20"/>
          <w:u w:val="single"/>
        </w:rPr>
        <w:t>∆Watts</w:t>
      </w:r>
      <w:r w:rsidR="001F7466" w:rsidRPr="0033036F">
        <w:rPr>
          <w:rFonts w:ascii="Arial" w:hAnsi="Arial" w:cs="Arial"/>
          <w:b/>
          <w:sz w:val="20"/>
          <w:szCs w:val="20"/>
          <w:u w:val="single"/>
        </w:rPr>
        <w:t>/fixture</w:t>
      </w:r>
      <w:r w:rsidR="00CC34FF" w:rsidRPr="0033036F">
        <w:rPr>
          <w:rFonts w:ascii="Arial" w:hAnsi="Arial" w:cs="Arial"/>
          <w:b/>
          <w:sz w:val="20"/>
          <w:szCs w:val="20"/>
          <w:u w:val="single"/>
        </w:rPr>
        <w:t>) x</w:t>
      </w:r>
      <w:r w:rsidRPr="0033036F">
        <w:rPr>
          <w:rFonts w:ascii="Arial" w:hAnsi="Arial" w:cs="Arial"/>
          <w:b/>
          <w:sz w:val="20"/>
          <w:szCs w:val="20"/>
          <w:u w:val="single"/>
        </w:rPr>
        <w:t xml:space="preserve"> (</w:t>
      </w:r>
      <w:r w:rsidR="00CF3FF0" w:rsidRPr="0033036F">
        <w:rPr>
          <w:rFonts w:ascii="Arial" w:hAnsi="Arial" w:cs="Arial"/>
          <w:b/>
          <w:sz w:val="20"/>
          <w:szCs w:val="20"/>
          <w:u w:val="single"/>
        </w:rPr>
        <w:t xml:space="preserve">DEER </w:t>
      </w:r>
      <w:r w:rsidRPr="0033036F">
        <w:rPr>
          <w:rFonts w:ascii="Arial" w:hAnsi="Arial" w:cs="Arial"/>
          <w:b/>
          <w:sz w:val="20"/>
          <w:szCs w:val="20"/>
          <w:u w:val="single"/>
        </w:rPr>
        <w:t>Peak Hour Load Share)</w:t>
      </w:r>
      <w:r w:rsidRPr="0033036F">
        <w:rPr>
          <w:rFonts w:ascii="Arial" w:hAnsi="Arial" w:cs="Arial"/>
          <w:b/>
          <w:sz w:val="20"/>
          <w:szCs w:val="20"/>
        </w:rPr>
        <w:tab/>
      </w:r>
      <w:r w:rsidR="007B1A8B" w:rsidRPr="00CC6DB2">
        <w:rPr>
          <w:rFonts w:ascii="Arial" w:hAnsi="Arial" w:cs="Arial"/>
          <w:b/>
          <w:sz w:val="20"/>
          <w:szCs w:val="20"/>
        </w:rPr>
        <w:t>(Energy Interactive Effects)</w:t>
      </w:r>
      <w:r w:rsidR="007B1A8B">
        <w:rPr>
          <w:rFonts w:ascii="Arial" w:hAnsi="Arial" w:cs="Arial"/>
          <w:b/>
          <w:sz w:val="20"/>
          <w:szCs w:val="20"/>
        </w:rPr>
        <w:t xml:space="preserve"> /</w:t>
      </w:r>
      <w:r w:rsidR="00880E5A">
        <w:rPr>
          <w:rFonts w:ascii="Arial" w:hAnsi="Arial" w:cs="Arial"/>
          <w:b/>
          <w:sz w:val="20"/>
          <w:szCs w:val="20"/>
        </w:rPr>
        <w:t xml:space="preserve"> 1,000 Watts </w:t>
      </w:r>
      <w:r w:rsidRPr="0033036F">
        <w:rPr>
          <w:rFonts w:ascii="Arial" w:hAnsi="Arial" w:cs="Arial"/>
          <w:b/>
          <w:sz w:val="20"/>
          <w:szCs w:val="20"/>
        </w:rPr>
        <w:t>/ kW</w:t>
      </w:r>
    </w:p>
    <w:p w:rsidR="00880E5A" w:rsidRDefault="00880E5A" w:rsidP="00880E5A">
      <w:pPr>
        <w:rPr>
          <w:rFonts w:ascii="Arial" w:hAnsi="Arial" w:cs="Arial"/>
          <w:b/>
          <w:sz w:val="20"/>
          <w:szCs w:val="20"/>
        </w:rPr>
      </w:pPr>
    </w:p>
    <w:p w:rsidR="00880E5A" w:rsidRPr="000B3187" w:rsidRDefault="00880E5A" w:rsidP="00880E5A">
      <w:pPr>
        <w:rPr>
          <w:rFonts w:ascii="Arial" w:hAnsi="Arial" w:cs="Arial"/>
          <w:b/>
          <w:sz w:val="20"/>
          <w:szCs w:val="20"/>
        </w:rPr>
      </w:pPr>
      <w:r w:rsidRPr="000B3187">
        <w:rPr>
          <w:rFonts w:ascii="Arial" w:hAnsi="Arial" w:cs="Arial"/>
          <w:b/>
          <w:sz w:val="20"/>
          <w:szCs w:val="20"/>
        </w:rPr>
        <w:lastRenderedPageBreak/>
        <w:t>Example:</w:t>
      </w:r>
    </w:p>
    <w:p w:rsidR="00542990" w:rsidRPr="00FB673E" w:rsidRDefault="00880E5A" w:rsidP="00C815A8">
      <w:pPr>
        <w:ind w:left="720"/>
        <w:rPr>
          <w:rFonts w:ascii="Arial" w:hAnsi="Arial" w:cs="Arial"/>
          <w:sz w:val="20"/>
          <w:szCs w:val="20"/>
          <w:highlight w:val="cyan"/>
        </w:rPr>
      </w:pPr>
      <w:r w:rsidRPr="00FB673E">
        <w:rPr>
          <w:rFonts w:ascii="Arial" w:hAnsi="Arial" w:cs="Arial"/>
          <w:sz w:val="20"/>
          <w:szCs w:val="20"/>
        </w:rPr>
        <w:t xml:space="preserve">Demand Reduction = </w:t>
      </w:r>
      <w:r w:rsidR="001A174B" w:rsidRPr="00FB673E">
        <w:rPr>
          <w:rFonts w:ascii="Arial" w:hAnsi="Arial" w:cs="Arial"/>
          <w:sz w:val="20"/>
          <w:szCs w:val="20"/>
        </w:rPr>
        <w:t>15</w:t>
      </w:r>
      <w:r w:rsidRPr="00FB673E">
        <w:rPr>
          <w:rFonts w:ascii="Arial" w:hAnsi="Arial" w:cs="Arial"/>
          <w:sz w:val="20"/>
          <w:szCs w:val="20"/>
        </w:rPr>
        <w:t xml:space="preserve"> ∆Watts/</w:t>
      </w:r>
      <w:r w:rsidR="001A174B" w:rsidRPr="00FB673E">
        <w:rPr>
          <w:rFonts w:ascii="Arial" w:hAnsi="Arial" w:cs="Arial"/>
          <w:sz w:val="20"/>
          <w:szCs w:val="20"/>
        </w:rPr>
        <w:t>fixture x 0.64 x 1.20</w:t>
      </w:r>
      <w:r w:rsidRPr="00FB673E">
        <w:rPr>
          <w:rFonts w:ascii="Arial" w:hAnsi="Arial" w:cs="Arial"/>
          <w:sz w:val="20"/>
          <w:szCs w:val="20"/>
        </w:rPr>
        <w:t xml:space="preserve"> kW/kW / 1,000 Watts/</w:t>
      </w:r>
      <w:r w:rsidR="001A174B" w:rsidRPr="00FB673E">
        <w:rPr>
          <w:rFonts w:ascii="Arial" w:hAnsi="Arial" w:cs="Arial"/>
          <w:sz w:val="20"/>
          <w:szCs w:val="20"/>
        </w:rPr>
        <w:t xml:space="preserve">kW </w:t>
      </w:r>
      <w:r w:rsidR="001A174B" w:rsidRPr="00FB673E">
        <w:rPr>
          <w:rFonts w:ascii="Arial" w:hAnsi="Arial" w:cs="Arial"/>
          <w:sz w:val="20"/>
          <w:szCs w:val="20"/>
        </w:rPr>
        <w:br/>
        <w:t>= 0.011</w:t>
      </w:r>
      <w:r w:rsidRPr="00FB673E">
        <w:rPr>
          <w:rFonts w:ascii="Arial" w:hAnsi="Arial" w:cs="Arial"/>
          <w:sz w:val="20"/>
          <w:szCs w:val="20"/>
        </w:rPr>
        <w:t xml:space="preserve"> kW</w:t>
      </w:r>
    </w:p>
    <w:p w:rsidR="007878B9" w:rsidRPr="00BF0332" w:rsidRDefault="00276ED1" w:rsidP="00BF0332">
      <w:pPr>
        <w:pStyle w:val="Heading2"/>
      </w:pPr>
      <w:bookmarkStart w:id="40" w:name="_Toc390769242"/>
      <w:r w:rsidRPr="00BF0332">
        <w:t xml:space="preserve">2.3. </w:t>
      </w:r>
      <w:r w:rsidR="007878B9" w:rsidRPr="00BF0332">
        <w:t>Gas Energy Savings Estimation Methodologies</w:t>
      </w:r>
      <w:bookmarkEnd w:id="40"/>
    </w:p>
    <w:p w:rsidR="00CF3FF0" w:rsidRPr="00CF3FF0" w:rsidRDefault="00CF3FF0" w:rsidP="00CF3FF0">
      <w:pPr>
        <w:rPr>
          <w:rFonts w:ascii="Arial" w:hAnsi="Arial" w:cs="Arial"/>
          <w:sz w:val="20"/>
          <w:szCs w:val="20"/>
        </w:rPr>
      </w:pPr>
    </w:p>
    <w:p w:rsidR="00844B27" w:rsidRPr="00351506" w:rsidRDefault="00044570" w:rsidP="00CF3FF0">
      <w:pPr>
        <w:numPr>
          <w:ilvl w:val="0"/>
          <w:numId w:val="16"/>
        </w:numPr>
        <w:tabs>
          <w:tab w:val="clear" w:pos="1440"/>
          <w:tab w:val="num" w:pos="360"/>
        </w:tabs>
        <w:ind w:left="360"/>
        <w:rPr>
          <w:rFonts w:ascii="Arial" w:hAnsi="Arial" w:cs="Arial"/>
          <w:i/>
          <w:sz w:val="20"/>
          <w:szCs w:val="20"/>
        </w:rPr>
      </w:pPr>
      <w:r w:rsidRPr="00351506">
        <w:rPr>
          <w:rFonts w:ascii="Arial" w:hAnsi="Arial" w:cs="Arial"/>
          <w:sz w:val="20"/>
          <w:szCs w:val="20"/>
        </w:rPr>
        <w:t>Gas estimates are entirely those estimated increased gas us</w:t>
      </w:r>
      <w:r w:rsidR="00351506" w:rsidRPr="00351506">
        <w:rPr>
          <w:rFonts w:ascii="Arial" w:hAnsi="Arial" w:cs="Arial"/>
          <w:sz w:val="20"/>
          <w:szCs w:val="20"/>
        </w:rPr>
        <w:t>e</w:t>
      </w:r>
      <w:r w:rsidRPr="00351506">
        <w:rPr>
          <w:rFonts w:ascii="Arial" w:hAnsi="Arial" w:cs="Arial"/>
          <w:sz w:val="20"/>
          <w:szCs w:val="20"/>
        </w:rPr>
        <w:t xml:space="preserve"> through calculated interactive effects.</w:t>
      </w:r>
    </w:p>
    <w:p w:rsidR="00CF3FF0" w:rsidRPr="00351506" w:rsidRDefault="00CF3FF0" w:rsidP="00CF3FF0">
      <w:pPr>
        <w:rPr>
          <w:rFonts w:ascii="Arial" w:hAnsi="Arial" w:cs="Arial"/>
          <w:i/>
          <w:sz w:val="20"/>
          <w:szCs w:val="20"/>
        </w:rPr>
      </w:pPr>
    </w:p>
    <w:p w:rsidR="0000291D" w:rsidRPr="00A72732" w:rsidRDefault="0000291D" w:rsidP="0000291D">
      <w:pPr>
        <w:numPr>
          <w:ilvl w:val="0"/>
          <w:numId w:val="14"/>
        </w:numPr>
        <w:tabs>
          <w:tab w:val="clear" w:pos="1440"/>
        </w:tabs>
        <w:ind w:left="360"/>
        <w:rPr>
          <w:rFonts w:ascii="Arial" w:hAnsi="Arial" w:cs="Arial"/>
          <w:sz w:val="20"/>
          <w:szCs w:val="20"/>
        </w:rPr>
      </w:pPr>
      <w:r w:rsidRPr="00A72732">
        <w:rPr>
          <w:rFonts w:ascii="Arial" w:hAnsi="Arial" w:cs="Arial"/>
          <w:sz w:val="20"/>
          <w:szCs w:val="20"/>
        </w:rPr>
        <w:t>This measure is</w:t>
      </w:r>
      <w:r>
        <w:rPr>
          <w:rFonts w:ascii="Arial" w:hAnsi="Arial" w:cs="Arial"/>
          <w:sz w:val="20"/>
          <w:szCs w:val="20"/>
        </w:rPr>
        <w:t xml:space="preserve"> not</w:t>
      </w:r>
      <w:r w:rsidRPr="00A72732">
        <w:rPr>
          <w:rFonts w:ascii="Arial" w:hAnsi="Arial" w:cs="Arial"/>
          <w:sz w:val="20"/>
          <w:szCs w:val="20"/>
        </w:rPr>
        <w:t xml:space="preserve"> an Early Retirement measure. </w:t>
      </w:r>
    </w:p>
    <w:p w:rsidR="0020595D" w:rsidRDefault="0020595D" w:rsidP="0020595D">
      <w:pPr>
        <w:ind w:left="1440"/>
      </w:pPr>
    </w:p>
    <w:p w:rsidR="0020595D" w:rsidRPr="001A3026" w:rsidRDefault="0020595D" w:rsidP="0020595D">
      <w:pPr>
        <w:rPr>
          <w:rFonts w:ascii="Arial" w:hAnsi="Arial" w:cs="Arial"/>
          <w:sz w:val="20"/>
          <w:szCs w:val="20"/>
        </w:rPr>
      </w:pPr>
      <w:r w:rsidRPr="00CF3FF0">
        <w:rPr>
          <w:rFonts w:ascii="Arial" w:hAnsi="Arial" w:cs="Arial"/>
          <w:b/>
          <w:sz w:val="20"/>
          <w:szCs w:val="20"/>
        </w:rPr>
        <w:t>∆Watts/</w:t>
      </w:r>
      <w:r>
        <w:rPr>
          <w:rFonts w:ascii="Arial" w:hAnsi="Arial" w:cs="Arial"/>
          <w:b/>
          <w:sz w:val="20"/>
          <w:szCs w:val="20"/>
        </w:rPr>
        <w:t>fixture</w:t>
      </w:r>
      <w:r w:rsidRPr="00CF3FF0">
        <w:rPr>
          <w:rFonts w:ascii="Arial" w:hAnsi="Arial" w:cs="Arial"/>
          <w:b/>
          <w:sz w:val="20"/>
          <w:szCs w:val="20"/>
        </w:rPr>
        <w:t>:</w:t>
      </w:r>
      <w:r w:rsidRPr="00CF3FF0" w:rsidDel="00CF3FF0">
        <w:rPr>
          <w:rFonts w:ascii="Arial" w:hAnsi="Arial" w:cs="Arial"/>
          <w:b/>
          <w:sz w:val="20"/>
          <w:szCs w:val="20"/>
        </w:rPr>
        <w:t xml:space="preserve"> </w:t>
      </w:r>
      <w:r w:rsidRPr="001A3026">
        <w:rPr>
          <w:rFonts w:ascii="Arial" w:hAnsi="Arial" w:cs="Arial"/>
          <w:sz w:val="20"/>
          <w:szCs w:val="20"/>
        </w:rPr>
        <w:t xml:space="preserve">The demand difference (watts per </w:t>
      </w:r>
      <w:r>
        <w:rPr>
          <w:rFonts w:ascii="Arial" w:hAnsi="Arial" w:cs="Arial"/>
          <w:sz w:val="20"/>
          <w:szCs w:val="20"/>
        </w:rPr>
        <w:t>fixture</w:t>
      </w:r>
      <w:r w:rsidRPr="001A3026">
        <w:rPr>
          <w:rFonts w:ascii="Arial" w:hAnsi="Arial" w:cs="Arial"/>
          <w:sz w:val="20"/>
          <w:szCs w:val="20"/>
        </w:rPr>
        <w:t xml:space="preserve">) is simply the difference between the electric demand of the base </w:t>
      </w:r>
      <w:r w:rsidR="006634D9">
        <w:rPr>
          <w:rFonts w:ascii="Arial" w:hAnsi="Arial" w:cs="Arial"/>
          <w:sz w:val="20"/>
          <w:szCs w:val="20"/>
        </w:rPr>
        <w:t>unit</w:t>
      </w:r>
      <w:r w:rsidRPr="001A3026">
        <w:rPr>
          <w:rFonts w:ascii="Arial" w:hAnsi="Arial" w:cs="Arial"/>
          <w:sz w:val="20"/>
          <w:szCs w:val="20"/>
        </w:rPr>
        <w:t xml:space="preserve"> and the electric demand of the energy efficient </w:t>
      </w:r>
      <w:r w:rsidR="006634D9">
        <w:rPr>
          <w:rFonts w:ascii="Arial" w:hAnsi="Arial" w:cs="Arial"/>
          <w:sz w:val="20"/>
          <w:szCs w:val="20"/>
        </w:rPr>
        <w:t>unit</w:t>
      </w:r>
      <w:r w:rsidRPr="001A3026">
        <w:rPr>
          <w:rFonts w:ascii="Arial" w:hAnsi="Arial" w:cs="Arial"/>
          <w:sz w:val="20"/>
          <w:szCs w:val="20"/>
        </w:rPr>
        <w:t>.</w:t>
      </w:r>
      <w:r w:rsidR="006634D9" w:rsidRPr="006634D9">
        <w:rPr>
          <w:rFonts w:ascii="Arial" w:hAnsi="Arial" w:cs="Arial"/>
          <w:sz w:val="20"/>
          <w:szCs w:val="20"/>
        </w:rPr>
        <w:t xml:space="preserve"> </w:t>
      </w:r>
      <w:r w:rsidR="006634D9">
        <w:rPr>
          <w:rFonts w:ascii="Arial" w:hAnsi="Arial" w:cs="Arial"/>
          <w:sz w:val="20"/>
          <w:szCs w:val="20"/>
        </w:rPr>
        <w:t xml:space="preserve">The base unit is </w:t>
      </w:r>
      <w:proofErr w:type="gramStart"/>
      <w:r w:rsidR="006634D9">
        <w:rPr>
          <w:rFonts w:ascii="Arial" w:hAnsi="Arial" w:cs="Arial"/>
          <w:sz w:val="20"/>
          <w:szCs w:val="20"/>
        </w:rPr>
        <w:t>a generic</w:t>
      </w:r>
      <w:proofErr w:type="gramEnd"/>
      <w:r w:rsidR="006634D9">
        <w:rPr>
          <w:rFonts w:ascii="Arial" w:hAnsi="Arial" w:cs="Arial"/>
          <w:sz w:val="20"/>
          <w:szCs w:val="20"/>
        </w:rPr>
        <w:t xml:space="preserve"> electronic fixed-output ballast with a Normal Light Output Ballast Factor in a fixture representing a weighted-average of </w:t>
      </w:r>
      <w:r w:rsidR="00205F55">
        <w:rPr>
          <w:rFonts w:ascii="Arial" w:hAnsi="Arial" w:cs="Arial"/>
          <w:sz w:val="20"/>
          <w:szCs w:val="20"/>
        </w:rPr>
        <w:t xml:space="preserve">1-, </w:t>
      </w:r>
      <w:r w:rsidR="006634D9">
        <w:rPr>
          <w:rFonts w:ascii="Arial" w:hAnsi="Arial" w:cs="Arial"/>
          <w:sz w:val="20"/>
          <w:szCs w:val="20"/>
        </w:rPr>
        <w:t>2-</w:t>
      </w:r>
      <w:r w:rsidR="00205F55">
        <w:rPr>
          <w:rFonts w:ascii="Arial" w:hAnsi="Arial" w:cs="Arial"/>
          <w:sz w:val="20"/>
          <w:szCs w:val="20"/>
        </w:rPr>
        <w:t>,</w:t>
      </w:r>
      <w:r w:rsidR="006634D9">
        <w:rPr>
          <w:rFonts w:ascii="Arial" w:hAnsi="Arial" w:cs="Arial"/>
          <w:sz w:val="20"/>
          <w:szCs w:val="20"/>
        </w:rPr>
        <w:t xml:space="preserve"> 3-</w:t>
      </w:r>
      <w:r w:rsidR="00205F55">
        <w:rPr>
          <w:rFonts w:ascii="Arial" w:hAnsi="Arial" w:cs="Arial"/>
          <w:sz w:val="20"/>
          <w:szCs w:val="20"/>
        </w:rPr>
        <w:t>,</w:t>
      </w:r>
      <w:r w:rsidR="006634D9">
        <w:rPr>
          <w:rFonts w:ascii="Arial" w:hAnsi="Arial" w:cs="Arial"/>
          <w:sz w:val="20"/>
          <w:szCs w:val="20"/>
        </w:rPr>
        <w:t xml:space="preserve"> and 4-lamp fixtures, with a connected load of 75 W.</w:t>
      </w:r>
    </w:p>
    <w:p w:rsidR="009E0C36" w:rsidRPr="00CF3FF0" w:rsidRDefault="009E0C36" w:rsidP="009E0C36">
      <w:pPr>
        <w:ind w:left="720"/>
        <w:rPr>
          <w:rFonts w:ascii="Arial" w:hAnsi="Arial" w:cs="Arial"/>
          <w:i/>
          <w:sz w:val="20"/>
          <w:szCs w:val="20"/>
        </w:rPr>
      </w:pPr>
    </w:p>
    <w:p w:rsidR="00A95746" w:rsidRPr="009E0C36" w:rsidRDefault="009E0C36" w:rsidP="009E0C36">
      <w:pPr>
        <w:ind w:left="720"/>
        <w:rPr>
          <w:rFonts w:ascii="Arial" w:hAnsi="Arial" w:cs="Arial"/>
          <w:b/>
          <w:sz w:val="20"/>
          <w:szCs w:val="20"/>
        </w:rPr>
      </w:pPr>
      <w:r w:rsidRPr="00CF3FF0">
        <w:rPr>
          <w:rFonts w:ascii="Arial" w:hAnsi="Arial" w:cs="Arial"/>
          <w:b/>
          <w:sz w:val="20"/>
          <w:szCs w:val="20"/>
          <w:u w:val="single"/>
        </w:rPr>
        <w:t>∆Watts</w:t>
      </w:r>
      <w:r>
        <w:rPr>
          <w:rFonts w:ascii="Arial" w:hAnsi="Arial" w:cs="Arial"/>
          <w:b/>
          <w:sz w:val="20"/>
          <w:szCs w:val="20"/>
          <w:u w:val="single"/>
        </w:rPr>
        <w:t>/fixture</w:t>
      </w:r>
      <w:r w:rsidRPr="00CF3FF0">
        <w:rPr>
          <w:rFonts w:ascii="Arial" w:hAnsi="Arial" w:cs="Arial"/>
          <w:b/>
          <w:sz w:val="20"/>
          <w:szCs w:val="20"/>
        </w:rPr>
        <w:tab/>
        <w:t>= Base Watts</w:t>
      </w:r>
      <w:r>
        <w:rPr>
          <w:rFonts w:ascii="Arial" w:hAnsi="Arial" w:cs="Arial"/>
          <w:b/>
          <w:sz w:val="20"/>
          <w:szCs w:val="20"/>
        </w:rPr>
        <w:t xml:space="preserve">/fixture </w:t>
      </w:r>
      <w:r w:rsidRPr="00CF3FF0">
        <w:rPr>
          <w:rFonts w:ascii="Arial" w:hAnsi="Arial" w:cs="Arial"/>
          <w:b/>
          <w:sz w:val="20"/>
          <w:szCs w:val="20"/>
        </w:rPr>
        <w:t>-</w:t>
      </w:r>
      <w:r>
        <w:rPr>
          <w:rFonts w:ascii="Arial" w:hAnsi="Arial" w:cs="Arial"/>
          <w:b/>
          <w:sz w:val="20"/>
          <w:szCs w:val="20"/>
        </w:rPr>
        <w:t xml:space="preserve"> </w:t>
      </w:r>
      <w:r w:rsidRPr="00CF3FF0">
        <w:rPr>
          <w:rFonts w:ascii="Arial" w:hAnsi="Arial" w:cs="Arial"/>
          <w:b/>
          <w:sz w:val="20"/>
          <w:szCs w:val="20"/>
        </w:rPr>
        <w:t>Energy Efficient Watts</w:t>
      </w:r>
      <w:r>
        <w:rPr>
          <w:rFonts w:ascii="Arial" w:hAnsi="Arial" w:cs="Arial"/>
          <w:b/>
          <w:sz w:val="20"/>
          <w:szCs w:val="20"/>
        </w:rPr>
        <w:t>/fixture</w:t>
      </w:r>
    </w:p>
    <w:p w:rsidR="0020595D" w:rsidRDefault="0020595D" w:rsidP="0020595D">
      <w:pPr>
        <w:rPr>
          <w:rFonts w:ascii="Arial" w:hAnsi="Arial" w:cs="Arial"/>
          <w:sz w:val="20"/>
          <w:szCs w:val="20"/>
        </w:rPr>
      </w:pPr>
    </w:p>
    <w:p w:rsidR="00880E5A" w:rsidRPr="000B3187" w:rsidRDefault="00880E5A" w:rsidP="00880E5A">
      <w:pPr>
        <w:rPr>
          <w:rFonts w:ascii="Arial" w:hAnsi="Arial" w:cs="Arial"/>
          <w:b/>
          <w:sz w:val="20"/>
          <w:szCs w:val="20"/>
        </w:rPr>
      </w:pPr>
      <w:r w:rsidRPr="000B3187">
        <w:rPr>
          <w:rFonts w:ascii="Arial" w:hAnsi="Arial" w:cs="Arial"/>
          <w:b/>
          <w:sz w:val="20"/>
          <w:szCs w:val="20"/>
        </w:rPr>
        <w:t>Example:</w:t>
      </w:r>
      <w:r>
        <w:rPr>
          <w:rFonts w:ascii="Arial" w:hAnsi="Arial" w:cs="Arial"/>
          <w:b/>
          <w:sz w:val="20"/>
          <w:szCs w:val="20"/>
        </w:rPr>
        <w:t xml:space="preserve"> For 20% tuning</w:t>
      </w:r>
    </w:p>
    <w:p w:rsidR="00880E5A" w:rsidRPr="00CE69F2" w:rsidRDefault="00880E5A" w:rsidP="00880E5A">
      <w:pPr>
        <w:ind w:firstLine="720"/>
        <w:rPr>
          <w:rFonts w:ascii="Arial" w:hAnsi="Arial" w:cs="Arial"/>
          <w:sz w:val="20"/>
          <w:szCs w:val="20"/>
        </w:rPr>
      </w:pPr>
      <w:r w:rsidRPr="00CE69F2">
        <w:rPr>
          <w:rFonts w:ascii="Arial" w:hAnsi="Arial" w:cs="Arial"/>
          <w:sz w:val="20"/>
          <w:szCs w:val="20"/>
        </w:rPr>
        <w:t xml:space="preserve">∆Watts/fixture = </w:t>
      </w:r>
      <w:r w:rsidR="001A174B" w:rsidRPr="00CE69F2">
        <w:rPr>
          <w:rFonts w:ascii="Arial" w:hAnsi="Arial" w:cs="Arial"/>
          <w:sz w:val="20"/>
          <w:szCs w:val="20"/>
        </w:rPr>
        <w:t>75</w:t>
      </w:r>
      <w:r w:rsidRPr="00CE69F2">
        <w:rPr>
          <w:rFonts w:ascii="Arial" w:hAnsi="Arial" w:cs="Arial"/>
          <w:sz w:val="20"/>
          <w:szCs w:val="20"/>
        </w:rPr>
        <w:t xml:space="preserve"> W – </w:t>
      </w:r>
      <w:r w:rsidR="001A174B" w:rsidRPr="00CE69F2">
        <w:rPr>
          <w:rFonts w:ascii="Arial" w:hAnsi="Arial" w:cs="Arial"/>
          <w:sz w:val="20"/>
          <w:szCs w:val="20"/>
        </w:rPr>
        <w:t>60</w:t>
      </w:r>
      <w:r w:rsidRPr="00CE69F2">
        <w:rPr>
          <w:rFonts w:ascii="Arial" w:hAnsi="Arial" w:cs="Arial"/>
          <w:sz w:val="20"/>
          <w:szCs w:val="20"/>
        </w:rPr>
        <w:t xml:space="preserve"> W = </w:t>
      </w:r>
      <w:r w:rsidR="001A174B" w:rsidRPr="00CE69F2">
        <w:rPr>
          <w:rFonts w:ascii="Arial" w:hAnsi="Arial" w:cs="Arial"/>
          <w:sz w:val="20"/>
          <w:szCs w:val="20"/>
        </w:rPr>
        <w:t>15</w:t>
      </w:r>
      <w:r w:rsidRPr="00CE69F2">
        <w:rPr>
          <w:rFonts w:ascii="Arial" w:hAnsi="Arial" w:cs="Arial"/>
          <w:sz w:val="20"/>
          <w:szCs w:val="20"/>
        </w:rPr>
        <w:t xml:space="preserve"> ∆Watts/fixture </w:t>
      </w:r>
    </w:p>
    <w:p w:rsidR="0020595D" w:rsidRPr="00CF3FF0" w:rsidRDefault="0020595D" w:rsidP="0020595D">
      <w:pPr>
        <w:rPr>
          <w:rFonts w:ascii="Arial" w:hAnsi="Arial" w:cs="Arial"/>
          <w:i/>
          <w:sz w:val="20"/>
          <w:szCs w:val="20"/>
        </w:rPr>
      </w:pPr>
    </w:p>
    <w:p w:rsidR="0020595D" w:rsidRPr="00CF3FF0" w:rsidRDefault="0020595D" w:rsidP="0020595D">
      <w:pPr>
        <w:rPr>
          <w:rFonts w:ascii="Arial" w:hAnsi="Arial" w:cs="Arial"/>
          <w:b/>
          <w:sz w:val="20"/>
          <w:szCs w:val="20"/>
        </w:rPr>
      </w:pPr>
      <w:r>
        <w:rPr>
          <w:rFonts w:ascii="Arial" w:hAnsi="Arial" w:cs="Arial"/>
          <w:b/>
          <w:sz w:val="20"/>
          <w:szCs w:val="20"/>
        </w:rPr>
        <w:t>Annual Gas Savings</w:t>
      </w:r>
      <w:r w:rsidRPr="00CF3FF0">
        <w:rPr>
          <w:rFonts w:ascii="Arial" w:hAnsi="Arial" w:cs="Arial"/>
          <w:b/>
          <w:sz w:val="20"/>
          <w:szCs w:val="20"/>
        </w:rPr>
        <w:t>:</w:t>
      </w:r>
    </w:p>
    <w:p w:rsidR="0020595D" w:rsidRPr="00CF3FF0" w:rsidRDefault="0020595D" w:rsidP="0020595D">
      <w:pPr>
        <w:rPr>
          <w:rFonts w:ascii="Arial" w:hAnsi="Arial" w:cs="Arial"/>
          <w:i/>
          <w:sz w:val="20"/>
          <w:szCs w:val="20"/>
        </w:rPr>
      </w:pPr>
    </w:p>
    <w:p w:rsidR="0020595D" w:rsidRDefault="0020595D" w:rsidP="0020595D">
      <w:pPr>
        <w:rPr>
          <w:rFonts w:ascii="Arial" w:hAnsi="Arial" w:cs="Arial"/>
          <w:b/>
          <w:sz w:val="20"/>
          <w:szCs w:val="20"/>
        </w:rPr>
      </w:pPr>
      <w:r>
        <w:rPr>
          <w:rFonts w:ascii="Arial" w:hAnsi="Arial" w:cs="Arial"/>
          <w:b/>
          <w:sz w:val="20"/>
          <w:szCs w:val="20"/>
        </w:rPr>
        <w:t>Annual Gas Savings</w:t>
      </w:r>
      <w:r w:rsidRPr="00CF3FF0">
        <w:rPr>
          <w:rFonts w:ascii="Arial" w:hAnsi="Arial" w:cs="Arial"/>
          <w:b/>
          <w:sz w:val="20"/>
          <w:szCs w:val="20"/>
        </w:rPr>
        <w:t xml:space="preserve"> [</w:t>
      </w:r>
      <w:r w:rsidRPr="00F24E69">
        <w:rPr>
          <w:rFonts w:ascii="Arial" w:hAnsi="Arial" w:cs="Arial"/>
          <w:b/>
          <w:sz w:val="20"/>
          <w:szCs w:val="20"/>
        </w:rPr>
        <w:t>∆</w:t>
      </w:r>
      <w:proofErr w:type="spellStart"/>
      <w:r>
        <w:rPr>
          <w:rFonts w:ascii="Arial" w:hAnsi="Arial" w:cs="Arial"/>
          <w:b/>
          <w:sz w:val="20"/>
          <w:szCs w:val="20"/>
        </w:rPr>
        <w:t>Therms</w:t>
      </w:r>
      <w:proofErr w:type="spellEnd"/>
      <w:r w:rsidRPr="00F24E69">
        <w:rPr>
          <w:rFonts w:ascii="Arial" w:hAnsi="Arial" w:cs="Arial"/>
          <w:b/>
          <w:sz w:val="20"/>
          <w:szCs w:val="20"/>
        </w:rPr>
        <w:t>/</w:t>
      </w:r>
      <w:r w:rsidR="00E02485">
        <w:rPr>
          <w:rFonts w:ascii="Arial" w:hAnsi="Arial" w:cs="Arial"/>
          <w:b/>
          <w:sz w:val="20"/>
          <w:szCs w:val="20"/>
        </w:rPr>
        <w:t>fixture</w:t>
      </w:r>
      <w:r w:rsidRPr="00CF3FF0">
        <w:rPr>
          <w:rFonts w:ascii="Arial" w:hAnsi="Arial" w:cs="Arial"/>
          <w:b/>
          <w:sz w:val="20"/>
          <w:szCs w:val="20"/>
        </w:rPr>
        <w:t xml:space="preserve">] = </w:t>
      </w:r>
      <w:r w:rsidRPr="006F52ED">
        <w:rPr>
          <w:rFonts w:ascii="Arial" w:hAnsi="Arial" w:cs="Arial"/>
          <w:b/>
          <w:sz w:val="20"/>
          <w:szCs w:val="20"/>
        </w:rPr>
        <w:t>(</w:t>
      </w:r>
      <w:r w:rsidRPr="002D12AC">
        <w:rPr>
          <w:rFonts w:ascii="Arial" w:hAnsi="Arial" w:cs="Arial"/>
          <w:b/>
          <w:sz w:val="20"/>
          <w:szCs w:val="20"/>
        </w:rPr>
        <w:t>∆Watts/</w:t>
      </w:r>
      <w:r w:rsidR="00E02485" w:rsidRPr="00E02485">
        <w:rPr>
          <w:rFonts w:ascii="Arial" w:hAnsi="Arial" w:cs="Arial"/>
          <w:b/>
          <w:sz w:val="20"/>
          <w:szCs w:val="20"/>
        </w:rPr>
        <w:t xml:space="preserve"> </w:t>
      </w:r>
      <w:r w:rsidR="00E02485">
        <w:rPr>
          <w:rFonts w:ascii="Arial" w:hAnsi="Arial" w:cs="Arial"/>
          <w:b/>
          <w:sz w:val="20"/>
          <w:szCs w:val="20"/>
        </w:rPr>
        <w:t>fixture</w:t>
      </w:r>
      <w:r w:rsidRPr="002D12AC">
        <w:rPr>
          <w:rFonts w:ascii="Arial" w:hAnsi="Arial" w:cs="Arial"/>
          <w:b/>
          <w:sz w:val="20"/>
          <w:szCs w:val="20"/>
        </w:rPr>
        <w:t>) x (Annual Hours of Operation) x (Gas Interactive Effects</w:t>
      </w:r>
      <w:r w:rsidRPr="006132A6">
        <w:rPr>
          <w:rFonts w:ascii="Arial" w:hAnsi="Arial" w:cs="Arial"/>
          <w:b/>
          <w:sz w:val="20"/>
          <w:szCs w:val="20"/>
        </w:rPr>
        <w:t>)</w:t>
      </w:r>
      <w:r>
        <w:rPr>
          <w:rFonts w:ascii="Arial" w:hAnsi="Arial" w:cs="Arial"/>
          <w:b/>
          <w:sz w:val="20"/>
          <w:szCs w:val="20"/>
        </w:rPr>
        <w:t xml:space="preserve"> / 1</w:t>
      </w:r>
      <w:r w:rsidRPr="00CF3FF0">
        <w:rPr>
          <w:rFonts w:ascii="Arial" w:hAnsi="Arial" w:cs="Arial"/>
          <w:b/>
          <w:sz w:val="20"/>
          <w:szCs w:val="20"/>
        </w:rPr>
        <w:t>,000 Watts/kW</w:t>
      </w:r>
    </w:p>
    <w:p w:rsidR="00880E5A" w:rsidRDefault="00880E5A" w:rsidP="0020595D">
      <w:pPr>
        <w:rPr>
          <w:rFonts w:ascii="Arial" w:hAnsi="Arial" w:cs="Arial"/>
          <w:i/>
          <w:sz w:val="20"/>
          <w:szCs w:val="20"/>
        </w:rPr>
      </w:pPr>
    </w:p>
    <w:p w:rsidR="0020595D" w:rsidRDefault="0020595D" w:rsidP="0020595D">
      <w:pPr>
        <w:rPr>
          <w:rFonts w:ascii="Arial" w:hAnsi="Arial" w:cs="Arial"/>
          <w:b/>
          <w:sz w:val="20"/>
          <w:szCs w:val="20"/>
        </w:rPr>
      </w:pPr>
      <w:r>
        <w:rPr>
          <w:rFonts w:ascii="Arial" w:hAnsi="Arial" w:cs="Arial"/>
          <w:b/>
          <w:sz w:val="20"/>
          <w:szCs w:val="20"/>
        </w:rPr>
        <w:t>Example:</w:t>
      </w:r>
      <w:r w:rsidR="00880E5A">
        <w:rPr>
          <w:rFonts w:ascii="Arial" w:hAnsi="Arial" w:cs="Arial"/>
          <w:b/>
          <w:sz w:val="20"/>
          <w:szCs w:val="20"/>
        </w:rPr>
        <w:t xml:space="preserve"> For 20% tuning</w:t>
      </w:r>
    </w:p>
    <w:p w:rsidR="0020595D" w:rsidRDefault="0020595D" w:rsidP="0020595D">
      <w:pPr>
        <w:rPr>
          <w:rFonts w:ascii="Arial" w:hAnsi="Arial" w:cs="Arial"/>
          <w:b/>
          <w:sz w:val="20"/>
          <w:szCs w:val="20"/>
        </w:rPr>
      </w:pPr>
    </w:p>
    <w:p w:rsidR="00A95746" w:rsidRPr="00CE69F2" w:rsidRDefault="0020595D" w:rsidP="00C815A8">
      <w:pPr>
        <w:ind w:left="720"/>
        <w:rPr>
          <w:rFonts w:ascii="Arial" w:hAnsi="Arial" w:cs="Arial"/>
          <w:sz w:val="20"/>
          <w:szCs w:val="20"/>
        </w:rPr>
      </w:pPr>
      <w:r w:rsidRPr="00CE69F2">
        <w:rPr>
          <w:rFonts w:ascii="Arial" w:hAnsi="Arial" w:cs="Arial"/>
          <w:sz w:val="20"/>
          <w:szCs w:val="20"/>
        </w:rPr>
        <w:t xml:space="preserve">Annual Gas Savings = </w:t>
      </w:r>
      <w:r w:rsidR="001A174B" w:rsidRPr="00CE69F2">
        <w:rPr>
          <w:rFonts w:ascii="Arial" w:hAnsi="Arial" w:cs="Arial"/>
          <w:sz w:val="20"/>
          <w:szCs w:val="20"/>
        </w:rPr>
        <w:t>15</w:t>
      </w:r>
      <w:r w:rsidRPr="00CE69F2">
        <w:rPr>
          <w:rFonts w:ascii="Arial" w:hAnsi="Arial" w:cs="Arial"/>
          <w:sz w:val="20"/>
          <w:szCs w:val="20"/>
        </w:rPr>
        <w:t xml:space="preserve"> ∆Watts/</w:t>
      </w:r>
      <w:r w:rsidR="001A174B" w:rsidRPr="00CE69F2">
        <w:rPr>
          <w:rFonts w:ascii="Arial" w:hAnsi="Arial" w:cs="Arial"/>
          <w:sz w:val="20"/>
          <w:szCs w:val="20"/>
        </w:rPr>
        <w:t>fixture x 3,180</w:t>
      </w:r>
      <w:r w:rsidRPr="00CE69F2">
        <w:rPr>
          <w:rFonts w:ascii="Arial" w:hAnsi="Arial" w:cs="Arial"/>
          <w:sz w:val="20"/>
          <w:szCs w:val="20"/>
        </w:rPr>
        <w:t xml:space="preserve"> hours x -0.0</w:t>
      </w:r>
      <w:r w:rsidR="00E02485" w:rsidRPr="00CE69F2">
        <w:rPr>
          <w:rFonts w:ascii="Arial" w:hAnsi="Arial" w:cs="Arial"/>
          <w:sz w:val="20"/>
          <w:szCs w:val="20"/>
        </w:rPr>
        <w:t>061</w:t>
      </w:r>
      <w:r w:rsidRPr="00CE69F2">
        <w:rPr>
          <w:rFonts w:ascii="Arial" w:hAnsi="Arial" w:cs="Arial"/>
          <w:sz w:val="20"/>
          <w:szCs w:val="20"/>
        </w:rPr>
        <w:t xml:space="preserve"> </w:t>
      </w:r>
      <w:proofErr w:type="spellStart"/>
      <w:r w:rsidRPr="00CE69F2">
        <w:rPr>
          <w:rFonts w:ascii="Arial" w:hAnsi="Arial" w:cs="Arial"/>
          <w:sz w:val="20"/>
          <w:szCs w:val="20"/>
        </w:rPr>
        <w:t>Therms</w:t>
      </w:r>
      <w:proofErr w:type="spellEnd"/>
      <w:r w:rsidRPr="00CE69F2">
        <w:rPr>
          <w:rFonts w:ascii="Arial" w:hAnsi="Arial" w:cs="Arial"/>
          <w:sz w:val="20"/>
          <w:szCs w:val="20"/>
        </w:rPr>
        <w:t xml:space="preserve">/kWh / 1,000 Watts/kW </w:t>
      </w:r>
      <w:r w:rsidRPr="00CE69F2">
        <w:rPr>
          <w:rFonts w:ascii="Arial" w:hAnsi="Arial" w:cs="Arial"/>
          <w:sz w:val="20"/>
          <w:szCs w:val="20"/>
        </w:rPr>
        <w:br/>
        <w:t xml:space="preserve">= </w:t>
      </w:r>
      <w:r w:rsidR="007567E8" w:rsidRPr="00CE69F2">
        <w:rPr>
          <w:rFonts w:ascii="Arial" w:hAnsi="Arial" w:cs="Arial"/>
          <w:sz w:val="20"/>
          <w:szCs w:val="20"/>
        </w:rPr>
        <w:t>-</w:t>
      </w:r>
      <w:r w:rsidR="001A174B" w:rsidRPr="00CE69F2">
        <w:rPr>
          <w:rFonts w:ascii="Arial" w:hAnsi="Arial" w:cs="Arial"/>
          <w:sz w:val="20"/>
          <w:szCs w:val="20"/>
        </w:rPr>
        <w:t>0.289</w:t>
      </w:r>
      <w:r w:rsidRPr="00CE69F2">
        <w:rPr>
          <w:rFonts w:ascii="Arial" w:hAnsi="Arial" w:cs="Arial"/>
          <w:sz w:val="20"/>
          <w:szCs w:val="20"/>
        </w:rPr>
        <w:t xml:space="preserve"> </w:t>
      </w:r>
      <w:proofErr w:type="spellStart"/>
      <w:r w:rsidRPr="00CE69F2">
        <w:rPr>
          <w:rFonts w:ascii="Arial" w:hAnsi="Arial" w:cs="Arial"/>
          <w:sz w:val="20"/>
          <w:szCs w:val="20"/>
        </w:rPr>
        <w:t>Therms</w:t>
      </w:r>
      <w:proofErr w:type="spellEnd"/>
    </w:p>
    <w:p w:rsidR="00B7164C" w:rsidRPr="007A4D97" w:rsidRDefault="00C069A2" w:rsidP="00B637A8">
      <w:pPr>
        <w:pStyle w:val="Heading1"/>
      </w:pPr>
      <w:bookmarkStart w:id="41" w:name="_Toc390769243"/>
      <w:proofErr w:type="gramStart"/>
      <w:r w:rsidRPr="007A4D97">
        <w:t>Section 3</w:t>
      </w:r>
      <w:r w:rsidR="003129E8" w:rsidRPr="007A4D97">
        <w:t>.</w:t>
      </w:r>
      <w:proofErr w:type="gramEnd"/>
      <w:r w:rsidRPr="007A4D97">
        <w:t xml:space="preserve"> Load Shapes</w:t>
      </w:r>
      <w:bookmarkEnd w:id="41"/>
      <w:r w:rsidR="00844B27" w:rsidRPr="007A4D97">
        <w:t xml:space="preserve"> </w:t>
      </w:r>
    </w:p>
    <w:p w:rsidR="005E61D0" w:rsidRPr="0008537D" w:rsidRDefault="005E61D0" w:rsidP="005E61D0">
      <w:pPr>
        <w:autoSpaceDE w:val="0"/>
        <w:autoSpaceDN w:val="0"/>
        <w:adjustRightInd w:val="0"/>
        <w:rPr>
          <w:rFonts w:ascii="Arial" w:hAnsi="Arial" w:cs="Arial"/>
          <w:sz w:val="20"/>
          <w:szCs w:val="20"/>
        </w:rPr>
      </w:pPr>
      <w:bookmarkStart w:id="42" w:name="_Toc173742996"/>
      <w:r w:rsidRPr="0008537D">
        <w:rPr>
          <w:rFonts w:ascii="Arial" w:hAnsi="Arial" w:cs="Arial"/>
          <w:sz w:val="20"/>
          <w:szCs w:val="20"/>
        </w:rPr>
        <w:t>Load Shapes are an important part of the life-cycle cost analysis of any energy efficiency program portfolio.</w:t>
      </w:r>
      <w:r>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Pr>
          <w:rFonts w:ascii="Arial" w:hAnsi="Arial" w:cs="Arial"/>
          <w:sz w:val="20"/>
          <w:szCs w:val="20"/>
        </w:rPr>
        <w:t xml:space="preserve"> </w:t>
      </w:r>
      <w:r w:rsidRPr="0008537D">
        <w:rPr>
          <w:rFonts w:ascii="Arial" w:hAnsi="Arial" w:cs="Arial"/>
          <w:sz w:val="20"/>
          <w:szCs w:val="20"/>
        </w:rPr>
        <w:t>For electricity, the avoided cost varies hourly over an entire year.</w:t>
      </w:r>
      <w:r>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rsidR="00B7164C" w:rsidRPr="007A4D97" w:rsidRDefault="00BF0332" w:rsidP="00B7164C">
      <w:pPr>
        <w:pStyle w:val="Heading2"/>
        <w:keepNext w:val="0"/>
      </w:pPr>
      <w:bookmarkStart w:id="43" w:name="_Toc390769244"/>
      <w:r w:rsidRPr="007A4D97">
        <w:t>3.1 Base Case</w:t>
      </w:r>
      <w:r w:rsidR="00B7164C" w:rsidRPr="007A4D97">
        <w:t xml:space="preserve"> Load Shapes</w:t>
      </w:r>
      <w:bookmarkEnd w:id="42"/>
      <w:bookmarkEnd w:id="43"/>
    </w:p>
    <w:bookmarkStart w:id="44" w:name="_Toc173742997"/>
    <w:p w:rsidR="00B66898" w:rsidRPr="005E61D0" w:rsidRDefault="008840FA" w:rsidP="005E61D0">
      <w:pPr>
        <w:rPr>
          <w:rFonts w:ascii="Arial" w:hAnsi="Arial" w:cs="Arial"/>
        </w:rPr>
      </w:pPr>
      <w:r w:rsidRPr="005E61D0">
        <w:rPr>
          <w:rFonts w:ascii="Arial" w:hAnsi="Arial" w:cs="Arial"/>
          <w:sz w:val="20"/>
          <w:szCs w:val="20"/>
        </w:rPr>
        <w:fldChar w:fldCharType="begin"/>
      </w:r>
      <w:r w:rsidRPr="005E61D0">
        <w:rPr>
          <w:rFonts w:ascii="Arial" w:hAnsi="Arial" w:cs="Arial"/>
          <w:sz w:val="20"/>
          <w:szCs w:val="20"/>
        </w:rPr>
        <w:instrText xml:space="preserve"> XE "load shape" </w:instrText>
      </w:r>
      <w:r w:rsidRPr="005E61D0">
        <w:rPr>
          <w:rFonts w:ascii="Arial" w:hAnsi="Arial" w:cs="Arial"/>
          <w:sz w:val="20"/>
          <w:szCs w:val="20"/>
        </w:rPr>
        <w:fldChar w:fldCharType="end"/>
      </w:r>
      <w:r w:rsidR="00B66898" w:rsidRPr="005E61D0">
        <w:rPr>
          <w:rFonts w:ascii="Arial" w:hAnsi="Arial" w:cs="Arial"/>
          <w:sz w:val="20"/>
          <w:szCs w:val="20"/>
        </w:rPr>
        <w:t>T</w:t>
      </w:r>
      <w:r w:rsidRPr="005E61D0">
        <w:rPr>
          <w:rFonts w:ascii="Arial" w:hAnsi="Arial" w:cs="Arial"/>
          <w:sz w:val="20"/>
          <w:szCs w:val="20"/>
        </w:rPr>
        <w:t xml:space="preserve">he closest load shape chosen for this measure is the </w:t>
      </w:r>
      <w:proofErr w:type="spellStart"/>
      <w:r w:rsidRPr="005E61D0">
        <w:rPr>
          <w:rFonts w:ascii="Arial" w:hAnsi="Arial" w:cs="Arial"/>
          <w:sz w:val="20"/>
          <w:szCs w:val="20"/>
        </w:rPr>
        <w:t>DEER:Indoor_Non-CFL_Ltg</w:t>
      </w:r>
      <w:proofErr w:type="spellEnd"/>
      <w:r w:rsidRPr="005E61D0">
        <w:rPr>
          <w:rFonts w:ascii="Arial" w:hAnsi="Arial" w:cs="Arial"/>
          <w:sz w:val="20"/>
          <w:szCs w:val="20"/>
        </w:rPr>
        <w:t xml:space="preserve"> load shape</w:t>
      </w:r>
      <w:r w:rsidR="005E61D0">
        <w:rPr>
          <w:rFonts w:ascii="Arial" w:hAnsi="Arial" w:cs="Arial"/>
          <w:sz w:val="20"/>
          <w:szCs w:val="20"/>
        </w:rPr>
        <w:t>.</w:t>
      </w:r>
    </w:p>
    <w:p w:rsidR="00B66898" w:rsidRPr="005E61D0" w:rsidRDefault="00B66898" w:rsidP="008840FA">
      <w:pPr>
        <w:pStyle w:val="Caption"/>
        <w:jc w:val="center"/>
        <w:rPr>
          <w:rFonts w:ascii="Arial" w:hAnsi="Arial" w:cs="Arial"/>
        </w:rPr>
      </w:pPr>
    </w:p>
    <w:p w:rsidR="008840FA" w:rsidRPr="005E61D0" w:rsidRDefault="008840FA" w:rsidP="008840FA">
      <w:pPr>
        <w:pStyle w:val="Caption"/>
        <w:jc w:val="center"/>
        <w:rPr>
          <w:rFonts w:ascii="Arial" w:hAnsi="Arial" w:cs="Arial"/>
          <w:b w:val="0"/>
        </w:rPr>
      </w:pPr>
      <w:bookmarkStart w:id="45" w:name="_Toc390771100"/>
      <w:r w:rsidRPr="005E61D0">
        <w:rPr>
          <w:rFonts w:ascii="Arial" w:hAnsi="Arial" w:cs="Arial"/>
        </w:rPr>
        <w:t xml:space="preserve">Table </w:t>
      </w:r>
      <w:r w:rsidRPr="005E61D0">
        <w:rPr>
          <w:rFonts w:ascii="Arial" w:hAnsi="Arial" w:cs="Arial"/>
        </w:rPr>
        <w:fldChar w:fldCharType="begin"/>
      </w:r>
      <w:r w:rsidRPr="005E61D0">
        <w:rPr>
          <w:rFonts w:ascii="Arial" w:hAnsi="Arial" w:cs="Arial"/>
        </w:rPr>
        <w:instrText xml:space="preserve"> SEQ Table \* ARABIC </w:instrText>
      </w:r>
      <w:r w:rsidRPr="005E61D0">
        <w:rPr>
          <w:rFonts w:ascii="Arial" w:hAnsi="Arial" w:cs="Arial"/>
        </w:rPr>
        <w:fldChar w:fldCharType="separate"/>
      </w:r>
      <w:r w:rsidR="003A4812">
        <w:rPr>
          <w:rFonts w:ascii="Arial" w:hAnsi="Arial" w:cs="Arial"/>
          <w:noProof/>
        </w:rPr>
        <w:t>6</w:t>
      </w:r>
      <w:r w:rsidRPr="005E61D0">
        <w:rPr>
          <w:rFonts w:ascii="Arial" w:hAnsi="Arial" w:cs="Arial"/>
        </w:rPr>
        <w:fldChar w:fldCharType="end"/>
      </w:r>
      <w:r w:rsidRPr="005E61D0">
        <w:rPr>
          <w:rFonts w:ascii="Arial" w:hAnsi="Arial" w:cs="Arial"/>
        </w:rPr>
        <w:t xml:space="preserve"> Building Types and Load Shapes</w:t>
      </w:r>
      <w:bookmarkEnd w:id="45"/>
    </w:p>
    <w:tbl>
      <w:tblPr>
        <w:tblW w:w="4433"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2936"/>
        <w:gridCol w:w="2566"/>
      </w:tblGrid>
      <w:tr w:rsidR="008840FA" w:rsidRPr="005E61D0" w:rsidTr="00DF297C">
        <w:trPr>
          <w:jc w:val="center"/>
        </w:trPr>
        <w:tc>
          <w:tcPr>
            <w:tcW w:w="1760" w:type="pct"/>
            <w:shd w:val="pct20" w:color="000000" w:fill="FFFFFF"/>
          </w:tcPr>
          <w:p w:rsidR="008840FA" w:rsidRPr="005E61D0" w:rsidRDefault="008840FA" w:rsidP="0013080C">
            <w:pPr>
              <w:jc w:val="center"/>
              <w:rPr>
                <w:rFonts w:ascii="Arial" w:hAnsi="Arial" w:cs="Arial"/>
                <w:b/>
                <w:bCs/>
                <w:sz w:val="20"/>
                <w:szCs w:val="20"/>
              </w:rPr>
            </w:pPr>
            <w:r w:rsidRPr="005E61D0">
              <w:rPr>
                <w:rFonts w:ascii="Arial" w:hAnsi="Arial" w:cs="Arial"/>
                <w:b/>
                <w:bCs/>
                <w:sz w:val="20"/>
                <w:szCs w:val="20"/>
              </w:rPr>
              <w:t>Building Type</w:t>
            </w:r>
          </w:p>
        </w:tc>
        <w:tc>
          <w:tcPr>
            <w:tcW w:w="1729" w:type="pct"/>
            <w:shd w:val="pct20" w:color="000000" w:fill="FFFFFF"/>
          </w:tcPr>
          <w:p w:rsidR="008840FA" w:rsidRPr="005E61D0" w:rsidRDefault="008840FA" w:rsidP="0013080C">
            <w:pPr>
              <w:jc w:val="center"/>
              <w:rPr>
                <w:rFonts w:ascii="Arial" w:hAnsi="Arial" w:cs="Arial"/>
                <w:b/>
                <w:bCs/>
                <w:sz w:val="20"/>
                <w:szCs w:val="20"/>
              </w:rPr>
            </w:pPr>
            <w:r w:rsidRPr="005E61D0">
              <w:rPr>
                <w:rFonts w:ascii="Arial" w:hAnsi="Arial" w:cs="Arial"/>
                <w:b/>
                <w:bCs/>
                <w:sz w:val="20"/>
                <w:szCs w:val="20"/>
              </w:rPr>
              <w:t xml:space="preserve">E3 </w:t>
            </w:r>
            <w:smartTag w:uri="urn:schemas-microsoft-com:office:smarttags" w:element="place">
              <w:smartTag w:uri="urn:schemas-microsoft-com:office:smarttags" w:element="PlaceName">
                <w:r w:rsidRPr="005E61D0">
                  <w:rPr>
                    <w:rFonts w:ascii="Arial" w:hAnsi="Arial" w:cs="Arial"/>
                    <w:b/>
                    <w:bCs/>
                    <w:sz w:val="20"/>
                    <w:szCs w:val="20"/>
                  </w:rPr>
                  <w:t>Alt.</w:t>
                </w:r>
              </w:smartTag>
              <w:r w:rsidRPr="005E61D0">
                <w:rPr>
                  <w:rFonts w:ascii="Arial" w:hAnsi="Arial" w:cs="Arial"/>
                  <w:b/>
                  <w:bCs/>
                  <w:sz w:val="20"/>
                  <w:szCs w:val="20"/>
                </w:rPr>
                <w:t xml:space="preserve"> </w:t>
              </w:r>
              <w:smartTag w:uri="urn:schemas-microsoft-com:office:smarttags" w:element="PlaceType">
                <w:r w:rsidRPr="005E61D0">
                  <w:rPr>
                    <w:rFonts w:ascii="Arial" w:hAnsi="Arial" w:cs="Arial"/>
                    <w:b/>
                    <w:bCs/>
                    <w:sz w:val="20"/>
                    <w:szCs w:val="20"/>
                  </w:rPr>
                  <w:t>Building</w:t>
                </w:r>
              </w:smartTag>
            </w:smartTag>
            <w:r w:rsidRPr="005E61D0">
              <w:rPr>
                <w:rFonts w:ascii="Arial" w:hAnsi="Arial" w:cs="Arial"/>
                <w:b/>
                <w:bCs/>
                <w:sz w:val="20"/>
                <w:szCs w:val="20"/>
              </w:rPr>
              <w:t xml:space="preserve"> Type</w:t>
            </w:r>
          </w:p>
        </w:tc>
        <w:tc>
          <w:tcPr>
            <w:tcW w:w="1511" w:type="pct"/>
            <w:shd w:val="pct20" w:color="000000" w:fill="FFFFFF"/>
          </w:tcPr>
          <w:p w:rsidR="008840FA" w:rsidRPr="005E61D0" w:rsidRDefault="008840FA" w:rsidP="0013080C">
            <w:pPr>
              <w:jc w:val="center"/>
              <w:rPr>
                <w:rFonts w:ascii="Arial" w:hAnsi="Arial" w:cs="Arial"/>
                <w:b/>
                <w:bCs/>
                <w:sz w:val="20"/>
                <w:szCs w:val="20"/>
              </w:rPr>
            </w:pPr>
            <w:r w:rsidRPr="005E61D0">
              <w:rPr>
                <w:rFonts w:ascii="Arial" w:hAnsi="Arial" w:cs="Arial"/>
                <w:b/>
                <w:bCs/>
                <w:sz w:val="20"/>
                <w:szCs w:val="20"/>
              </w:rPr>
              <w:t>Load Shape</w:t>
            </w:r>
          </w:p>
        </w:tc>
      </w:tr>
      <w:tr w:rsidR="008840FA" w:rsidRPr="007A4D97" w:rsidTr="00DF297C">
        <w:trPr>
          <w:jc w:val="center"/>
        </w:trPr>
        <w:tc>
          <w:tcPr>
            <w:tcW w:w="1760" w:type="pct"/>
            <w:shd w:val="pct5" w:color="000000" w:fill="FFFFFF"/>
          </w:tcPr>
          <w:p w:rsidR="008840FA" w:rsidRPr="005E61D0" w:rsidRDefault="005E61D0" w:rsidP="0013080C">
            <w:pPr>
              <w:rPr>
                <w:rFonts w:ascii="Arial" w:hAnsi="Arial" w:cs="Arial"/>
                <w:sz w:val="20"/>
                <w:szCs w:val="20"/>
              </w:rPr>
            </w:pPr>
            <w:r w:rsidRPr="005E61D0">
              <w:rPr>
                <w:rFonts w:ascii="Arial" w:hAnsi="Arial" w:cs="Arial"/>
                <w:sz w:val="20"/>
                <w:szCs w:val="20"/>
              </w:rPr>
              <w:t>Commercial weighted</w:t>
            </w:r>
          </w:p>
        </w:tc>
        <w:tc>
          <w:tcPr>
            <w:tcW w:w="1729" w:type="pct"/>
            <w:shd w:val="pct5" w:color="000000" w:fill="FFFFFF"/>
          </w:tcPr>
          <w:p w:rsidR="008840FA" w:rsidRPr="005E61D0" w:rsidRDefault="008840FA" w:rsidP="0013080C">
            <w:pPr>
              <w:jc w:val="center"/>
              <w:rPr>
                <w:rFonts w:ascii="Arial" w:hAnsi="Arial" w:cs="Arial"/>
                <w:sz w:val="20"/>
                <w:szCs w:val="20"/>
              </w:rPr>
            </w:pPr>
            <w:r w:rsidRPr="005E61D0">
              <w:rPr>
                <w:rFonts w:ascii="Arial" w:hAnsi="Arial" w:cs="Arial"/>
                <w:sz w:val="20"/>
                <w:szCs w:val="20"/>
              </w:rPr>
              <w:t>NON_RES</w:t>
            </w:r>
          </w:p>
        </w:tc>
        <w:tc>
          <w:tcPr>
            <w:tcW w:w="1511" w:type="pct"/>
            <w:shd w:val="pct5" w:color="000000" w:fill="FFFFFF"/>
          </w:tcPr>
          <w:p w:rsidR="008840FA" w:rsidRPr="005E61D0" w:rsidRDefault="008840FA" w:rsidP="0013080C">
            <w:pPr>
              <w:jc w:val="center"/>
              <w:rPr>
                <w:rFonts w:ascii="Arial" w:hAnsi="Arial" w:cs="Arial"/>
                <w:sz w:val="20"/>
                <w:szCs w:val="20"/>
              </w:rPr>
            </w:pPr>
            <w:proofErr w:type="spellStart"/>
            <w:r w:rsidRPr="005E61D0">
              <w:rPr>
                <w:rFonts w:ascii="Arial" w:hAnsi="Arial" w:cs="Arial"/>
                <w:sz w:val="20"/>
                <w:szCs w:val="20"/>
              </w:rPr>
              <w:t>DEER:Indoor_Non-CFL_Ltg</w:t>
            </w:r>
            <w:proofErr w:type="spellEnd"/>
          </w:p>
        </w:tc>
      </w:tr>
    </w:tbl>
    <w:p w:rsidR="008840FA" w:rsidRPr="007A4D97" w:rsidRDefault="008840FA" w:rsidP="00B7164C">
      <w:pPr>
        <w:rPr>
          <w:rFonts w:ascii="Arial" w:hAnsi="Arial" w:cs="Arial"/>
          <w:sz w:val="20"/>
          <w:szCs w:val="20"/>
        </w:rPr>
      </w:pPr>
    </w:p>
    <w:p w:rsidR="00B7164C" w:rsidRPr="007A4D97" w:rsidRDefault="00B7164C" w:rsidP="00D20486">
      <w:pPr>
        <w:pStyle w:val="Heading2"/>
        <w:keepNext w:val="0"/>
      </w:pPr>
      <w:bookmarkStart w:id="46" w:name="_Toc390769245"/>
      <w:r w:rsidRPr="007A4D97">
        <w:t>3.2 Measure Load Shapes</w:t>
      </w:r>
      <w:bookmarkEnd w:id="44"/>
      <w:bookmarkEnd w:id="46"/>
    </w:p>
    <w:p w:rsidR="00B66898" w:rsidRPr="005E61D0" w:rsidRDefault="009B6201" w:rsidP="003C6DFA">
      <w:pPr>
        <w:rPr>
          <w:rFonts w:ascii="Arial" w:hAnsi="Arial" w:cs="Arial"/>
          <w:sz w:val="20"/>
          <w:szCs w:val="20"/>
        </w:rPr>
      </w:pPr>
      <w:r w:rsidRPr="005E61D0">
        <w:rPr>
          <w:rFonts w:ascii="Arial" w:hAnsi="Arial" w:cs="Arial"/>
          <w:sz w:val="20"/>
          <w:szCs w:val="20"/>
        </w:rPr>
        <w:t xml:space="preserve">The </w:t>
      </w:r>
      <w:r w:rsidR="00F47D9D" w:rsidRPr="005E61D0">
        <w:rPr>
          <w:rFonts w:ascii="Arial" w:hAnsi="Arial" w:cs="Arial"/>
          <w:sz w:val="20"/>
          <w:szCs w:val="20"/>
        </w:rPr>
        <w:t>measure load shape for this measure is</w:t>
      </w:r>
      <w:r w:rsidR="00AB2D9E" w:rsidRPr="005E61D0">
        <w:rPr>
          <w:rFonts w:ascii="Arial" w:hAnsi="Arial" w:cs="Arial"/>
          <w:sz w:val="20"/>
          <w:szCs w:val="20"/>
        </w:rPr>
        <w:t xml:space="preserve"> determined based o</w:t>
      </w:r>
      <w:r w:rsidR="00F47D9D" w:rsidRPr="005E61D0">
        <w:rPr>
          <w:rFonts w:ascii="Arial" w:hAnsi="Arial" w:cs="Arial"/>
          <w:sz w:val="20"/>
          <w:szCs w:val="20"/>
        </w:rPr>
        <w:t>n</w:t>
      </w:r>
      <w:r w:rsidR="00AB2D9E" w:rsidRPr="005E61D0">
        <w:rPr>
          <w:rFonts w:ascii="Arial" w:hAnsi="Arial" w:cs="Arial"/>
          <w:sz w:val="20"/>
          <w:szCs w:val="20"/>
        </w:rPr>
        <w:t xml:space="preserve"> the </w:t>
      </w:r>
      <w:r w:rsidR="005E61D0" w:rsidRPr="00B12511">
        <w:rPr>
          <w:rFonts w:ascii="Arial" w:hAnsi="Arial" w:cs="Arial"/>
          <w:sz w:val="20"/>
          <w:szCs w:val="20"/>
        </w:rPr>
        <w:t xml:space="preserve">commercial </w:t>
      </w:r>
      <w:r w:rsidR="00AB2D9E" w:rsidRPr="005E61D0">
        <w:rPr>
          <w:rFonts w:ascii="Arial" w:hAnsi="Arial" w:cs="Arial"/>
          <w:sz w:val="20"/>
          <w:szCs w:val="20"/>
        </w:rPr>
        <w:t>market sector</w:t>
      </w:r>
      <w:r w:rsidR="00F47D9D" w:rsidRPr="005E61D0">
        <w:rPr>
          <w:rFonts w:ascii="Arial" w:hAnsi="Arial" w:cs="Arial"/>
          <w:sz w:val="20"/>
          <w:szCs w:val="20"/>
        </w:rPr>
        <w:t xml:space="preserve"> and the </w:t>
      </w:r>
      <w:r w:rsidR="005E61D0" w:rsidRPr="005E61D0">
        <w:rPr>
          <w:rFonts w:ascii="Arial" w:hAnsi="Arial" w:cs="Arial"/>
          <w:sz w:val="20"/>
          <w:szCs w:val="20"/>
        </w:rPr>
        <w:t>lighting</w:t>
      </w:r>
      <w:r w:rsidR="00F47D9D" w:rsidRPr="005E61D0">
        <w:rPr>
          <w:rFonts w:ascii="Arial" w:hAnsi="Arial" w:cs="Arial"/>
          <w:sz w:val="20"/>
          <w:szCs w:val="20"/>
        </w:rPr>
        <w:t xml:space="preserve"> end-use.</w:t>
      </w:r>
      <w:r w:rsidR="009B4DB1">
        <w:rPr>
          <w:rFonts w:ascii="Arial" w:hAnsi="Arial" w:cs="Arial"/>
          <w:sz w:val="20"/>
          <w:szCs w:val="20"/>
        </w:rPr>
        <w:t xml:space="preserve"> </w:t>
      </w:r>
      <w:r w:rsidR="00B66898" w:rsidRPr="005E61D0">
        <w:rPr>
          <w:rFonts w:ascii="Arial" w:hAnsi="Arial" w:cs="Arial"/>
          <w:sz w:val="20"/>
          <w:szCs w:val="20"/>
        </w:rPr>
        <w:t xml:space="preserve">This load shape is different from the base case due to the savings impact of the measures and is shown by the load shapes listed below. </w:t>
      </w:r>
    </w:p>
    <w:p w:rsidR="00DF3395" w:rsidRPr="005E61D0" w:rsidRDefault="00B66898" w:rsidP="003C6DFA">
      <w:pPr>
        <w:rPr>
          <w:rFonts w:ascii="Arial" w:hAnsi="Arial" w:cs="Arial"/>
          <w:sz w:val="20"/>
          <w:szCs w:val="20"/>
        </w:rPr>
      </w:pPr>
      <w:r w:rsidRPr="005E61D0">
        <w:rPr>
          <w:rFonts w:ascii="Arial" w:hAnsi="Arial" w:cs="Arial"/>
          <w:sz w:val="20"/>
          <w:szCs w:val="20"/>
        </w:rPr>
        <w:t xml:space="preserve"> </w:t>
      </w:r>
    </w:p>
    <w:p w:rsidR="00D87EFF" w:rsidRPr="005E61D0" w:rsidRDefault="00B66898" w:rsidP="00D87EFF">
      <w:pPr>
        <w:rPr>
          <w:rFonts w:ascii="Arial" w:hAnsi="Arial" w:cs="Arial"/>
          <w:sz w:val="20"/>
          <w:szCs w:val="20"/>
        </w:rPr>
      </w:pPr>
      <w:r w:rsidRPr="005E61D0">
        <w:rPr>
          <w:rFonts w:ascii="Arial" w:hAnsi="Arial" w:cs="Arial"/>
          <w:sz w:val="20"/>
          <w:szCs w:val="20"/>
        </w:rPr>
        <w:t>T</w:t>
      </w:r>
      <w:r w:rsidR="00D87EFF" w:rsidRPr="005E61D0">
        <w:rPr>
          <w:rFonts w:ascii="Arial" w:hAnsi="Arial" w:cs="Arial"/>
          <w:sz w:val="20"/>
          <w:szCs w:val="20"/>
        </w:rPr>
        <w:t xml:space="preserve">he closest load shape chosen for this measure is the </w:t>
      </w:r>
      <w:proofErr w:type="spellStart"/>
      <w:r w:rsidR="00D87EFF" w:rsidRPr="005E61D0">
        <w:rPr>
          <w:rFonts w:ascii="Arial" w:hAnsi="Arial" w:cs="Arial"/>
          <w:sz w:val="20"/>
          <w:szCs w:val="20"/>
        </w:rPr>
        <w:t>DEER:Indoor_Non-CFL_Ltg</w:t>
      </w:r>
      <w:proofErr w:type="spellEnd"/>
      <w:r w:rsidR="00D87EFF" w:rsidRPr="005E61D0">
        <w:rPr>
          <w:rFonts w:ascii="Arial" w:hAnsi="Arial" w:cs="Arial"/>
          <w:sz w:val="20"/>
          <w:szCs w:val="20"/>
        </w:rPr>
        <w:t xml:space="preserve"> load shape</w:t>
      </w:r>
      <w:r w:rsidR="005E61D0" w:rsidRPr="005E61D0">
        <w:rPr>
          <w:rFonts w:ascii="Arial" w:hAnsi="Arial" w:cs="Arial"/>
          <w:sz w:val="20"/>
          <w:szCs w:val="20"/>
        </w:rPr>
        <w:t>.</w:t>
      </w:r>
    </w:p>
    <w:p w:rsidR="005E61D0" w:rsidRPr="005E61D0" w:rsidRDefault="005E61D0" w:rsidP="00D87EFF">
      <w:pPr>
        <w:rPr>
          <w:rFonts w:ascii="Arial" w:hAnsi="Arial" w:cs="Arial"/>
          <w:sz w:val="20"/>
          <w:szCs w:val="20"/>
        </w:rPr>
      </w:pPr>
    </w:p>
    <w:p w:rsidR="00D87EFF" w:rsidRPr="005E61D0" w:rsidRDefault="00D87EFF" w:rsidP="00D87EFF">
      <w:pPr>
        <w:pStyle w:val="Caption"/>
        <w:jc w:val="center"/>
        <w:rPr>
          <w:rFonts w:ascii="Arial" w:hAnsi="Arial" w:cs="Arial"/>
          <w:b w:val="0"/>
        </w:rPr>
      </w:pPr>
      <w:bookmarkStart w:id="47" w:name="_Ref296597958"/>
      <w:bookmarkStart w:id="48" w:name="_Toc390771101"/>
      <w:r w:rsidRPr="005E61D0">
        <w:rPr>
          <w:rFonts w:ascii="Arial" w:hAnsi="Arial" w:cs="Arial"/>
        </w:rPr>
        <w:t xml:space="preserve">Table </w:t>
      </w:r>
      <w:r w:rsidRPr="005E61D0">
        <w:rPr>
          <w:rFonts w:ascii="Arial" w:hAnsi="Arial" w:cs="Arial"/>
        </w:rPr>
        <w:fldChar w:fldCharType="begin"/>
      </w:r>
      <w:r w:rsidRPr="005E61D0">
        <w:rPr>
          <w:rFonts w:ascii="Arial" w:hAnsi="Arial" w:cs="Arial"/>
        </w:rPr>
        <w:instrText xml:space="preserve"> SEQ Table \* ARABIC </w:instrText>
      </w:r>
      <w:r w:rsidRPr="005E61D0">
        <w:rPr>
          <w:rFonts w:ascii="Arial" w:hAnsi="Arial" w:cs="Arial"/>
        </w:rPr>
        <w:fldChar w:fldCharType="separate"/>
      </w:r>
      <w:r w:rsidR="003A4812">
        <w:rPr>
          <w:rFonts w:ascii="Arial" w:hAnsi="Arial" w:cs="Arial"/>
          <w:noProof/>
        </w:rPr>
        <w:t>7</w:t>
      </w:r>
      <w:r w:rsidRPr="005E61D0">
        <w:rPr>
          <w:rFonts w:ascii="Arial" w:hAnsi="Arial" w:cs="Arial"/>
        </w:rPr>
        <w:fldChar w:fldCharType="end"/>
      </w:r>
      <w:bookmarkEnd w:id="47"/>
      <w:r w:rsidRPr="005E61D0">
        <w:rPr>
          <w:rFonts w:ascii="Arial" w:hAnsi="Arial" w:cs="Arial"/>
        </w:rPr>
        <w:t xml:space="preserve"> Building Types and Load Shapes</w:t>
      </w:r>
      <w:bookmarkEnd w:id="48"/>
    </w:p>
    <w:tbl>
      <w:tblPr>
        <w:tblW w:w="4433"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2936"/>
        <w:gridCol w:w="2566"/>
      </w:tblGrid>
      <w:tr w:rsidR="00D87EFF" w:rsidRPr="005E61D0" w:rsidTr="00DF297C">
        <w:trPr>
          <w:jc w:val="center"/>
        </w:trPr>
        <w:tc>
          <w:tcPr>
            <w:tcW w:w="1760" w:type="pct"/>
            <w:shd w:val="pct20" w:color="000000" w:fill="FFFFFF"/>
          </w:tcPr>
          <w:p w:rsidR="00D87EFF" w:rsidRPr="005E61D0" w:rsidRDefault="00D87EFF" w:rsidP="00D87EFF">
            <w:pPr>
              <w:jc w:val="center"/>
              <w:rPr>
                <w:rFonts w:ascii="Arial" w:hAnsi="Arial" w:cs="Arial"/>
                <w:b/>
                <w:bCs/>
                <w:sz w:val="20"/>
                <w:szCs w:val="20"/>
              </w:rPr>
            </w:pPr>
            <w:r w:rsidRPr="005E61D0">
              <w:rPr>
                <w:rFonts w:ascii="Arial" w:hAnsi="Arial" w:cs="Arial"/>
                <w:b/>
                <w:bCs/>
                <w:sz w:val="20"/>
                <w:szCs w:val="20"/>
              </w:rPr>
              <w:t>Building Type</w:t>
            </w:r>
          </w:p>
        </w:tc>
        <w:tc>
          <w:tcPr>
            <w:tcW w:w="1729" w:type="pct"/>
            <w:shd w:val="pct20" w:color="000000" w:fill="FFFFFF"/>
          </w:tcPr>
          <w:p w:rsidR="00D87EFF" w:rsidRPr="005E61D0" w:rsidRDefault="00D87EFF" w:rsidP="00D87EFF">
            <w:pPr>
              <w:jc w:val="center"/>
              <w:rPr>
                <w:rFonts w:ascii="Arial" w:hAnsi="Arial" w:cs="Arial"/>
                <w:b/>
                <w:bCs/>
                <w:sz w:val="20"/>
                <w:szCs w:val="20"/>
              </w:rPr>
            </w:pPr>
            <w:r w:rsidRPr="005E61D0">
              <w:rPr>
                <w:rFonts w:ascii="Arial" w:hAnsi="Arial" w:cs="Arial"/>
                <w:b/>
                <w:bCs/>
                <w:sz w:val="20"/>
                <w:szCs w:val="20"/>
              </w:rPr>
              <w:t xml:space="preserve">E3 </w:t>
            </w:r>
            <w:smartTag w:uri="urn:schemas-microsoft-com:office:smarttags" w:element="place">
              <w:smartTag w:uri="urn:schemas-microsoft-com:office:smarttags" w:element="PlaceName">
                <w:r w:rsidRPr="005E61D0">
                  <w:rPr>
                    <w:rFonts w:ascii="Arial" w:hAnsi="Arial" w:cs="Arial"/>
                    <w:b/>
                    <w:bCs/>
                    <w:sz w:val="20"/>
                    <w:szCs w:val="20"/>
                  </w:rPr>
                  <w:t>Alt.</w:t>
                </w:r>
              </w:smartTag>
              <w:r w:rsidRPr="005E61D0">
                <w:rPr>
                  <w:rFonts w:ascii="Arial" w:hAnsi="Arial" w:cs="Arial"/>
                  <w:b/>
                  <w:bCs/>
                  <w:sz w:val="20"/>
                  <w:szCs w:val="20"/>
                </w:rPr>
                <w:t xml:space="preserve"> </w:t>
              </w:r>
              <w:smartTag w:uri="urn:schemas-microsoft-com:office:smarttags" w:element="PlaceType">
                <w:r w:rsidRPr="005E61D0">
                  <w:rPr>
                    <w:rFonts w:ascii="Arial" w:hAnsi="Arial" w:cs="Arial"/>
                    <w:b/>
                    <w:bCs/>
                    <w:sz w:val="20"/>
                    <w:szCs w:val="20"/>
                  </w:rPr>
                  <w:t>Building</w:t>
                </w:r>
              </w:smartTag>
            </w:smartTag>
            <w:r w:rsidRPr="005E61D0">
              <w:rPr>
                <w:rFonts w:ascii="Arial" w:hAnsi="Arial" w:cs="Arial"/>
                <w:b/>
                <w:bCs/>
                <w:sz w:val="20"/>
                <w:szCs w:val="20"/>
              </w:rPr>
              <w:t xml:space="preserve"> Type</w:t>
            </w:r>
          </w:p>
        </w:tc>
        <w:tc>
          <w:tcPr>
            <w:tcW w:w="1511" w:type="pct"/>
            <w:shd w:val="pct20" w:color="000000" w:fill="FFFFFF"/>
          </w:tcPr>
          <w:p w:rsidR="00D87EFF" w:rsidRPr="005E61D0" w:rsidRDefault="00D87EFF" w:rsidP="00D87EFF">
            <w:pPr>
              <w:jc w:val="center"/>
              <w:rPr>
                <w:rFonts w:ascii="Arial" w:hAnsi="Arial" w:cs="Arial"/>
                <w:b/>
                <w:bCs/>
                <w:sz w:val="20"/>
                <w:szCs w:val="20"/>
              </w:rPr>
            </w:pPr>
            <w:r w:rsidRPr="005E61D0">
              <w:rPr>
                <w:rFonts w:ascii="Arial" w:hAnsi="Arial" w:cs="Arial"/>
                <w:b/>
                <w:bCs/>
                <w:sz w:val="20"/>
                <w:szCs w:val="20"/>
              </w:rPr>
              <w:t>Load Shape</w:t>
            </w:r>
          </w:p>
        </w:tc>
      </w:tr>
      <w:tr w:rsidR="005E61D0" w:rsidRPr="005E61D0" w:rsidTr="00DF297C">
        <w:trPr>
          <w:jc w:val="center"/>
        </w:trPr>
        <w:tc>
          <w:tcPr>
            <w:tcW w:w="1760" w:type="pct"/>
            <w:shd w:val="pct5" w:color="000000" w:fill="FFFFFF"/>
          </w:tcPr>
          <w:p w:rsidR="005E61D0" w:rsidRPr="005E61D0" w:rsidRDefault="005E61D0" w:rsidP="00445F3B">
            <w:pPr>
              <w:rPr>
                <w:rFonts w:ascii="Arial" w:hAnsi="Arial" w:cs="Arial"/>
                <w:sz w:val="20"/>
                <w:szCs w:val="20"/>
              </w:rPr>
            </w:pPr>
            <w:r w:rsidRPr="005E61D0">
              <w:rPr>
                <w:rFonts w:ascii="Arial" w:hAnsi="Arial" w:cs="Arial"/>
                <w:sz w:val="20"/>
                <w:szCs w:val="20"/>
              </w:rPr>
              <w:t>Commercial weighted</w:t>
            </w:r>
          </w:p>
        </w:tc>
        <w:tc>
          <w:tcPr>
            <w:tcW w:w="1729" w:type="pct"/>
            <w:shd w:val="pct5" w:color="000000" w:fill="FFFFFF"/>
          </w:tcPr>
          <w:p w:rsidR="005E61D0" w:rsidRPr="005E61D0" w:rsidRDefault="005E61D0" w:rsidP="00D87EFF">
            <w:pPr>
              <w:jc w:val="center"/>
              <w:rPr>
                <w:rFonts w:ascii="Arial" w:hAnsi="Arial" w:cs="Arial"/>
                <w:sz w:val="20"/>
                <w:szCs w:val="20"/>
              </w:rPr>
            </w:pPr>
            <w:r w:rsidRPr="005E61D0">
              <w:rPr>
                <w:rFonts w:ascii="Arial" w:hAnsi="Arial" w:cs="Arial"/>
                <w:sz w:val="20"/>
                <w:szCs w:val="20"/>
              </w:rPr>
              <w:t>NON_RES</w:t>
            </w:r>
          </w:p>
        </w:tc>
        <w:tc>
          <w:tcPr>
            <w:tcW w:w="1511" w:type="pct"/>
            <w:shd w:val="pct5" w:color="000000" w:fill="FFFFFF"/>
          </w:tcPr>
          <w:p w:rsidR="005E61D0" w:rsidRPr="005E61D0" w:rsidRDefault="005E61D0" w:rsidP="00D87EFF">
            <w:pPr>
              <w:jc w:val="center"/>
              <w:rPr>
                <w:rFonts w:ascii="Arial" w:hAnsi="Arial" w:cs="Arial"/>
                <w:sz w:val="20"/>
                <w:szCs w:val="20"/>
              </w:rPr>
            </w:pPr>
            <w:proofErr w:type="spellStart"/>
            <w:r w:rsidRPr="005E61D0">
              <w:rPr>
                <w:rFonts w:ascii="Arial" w:hAnsi="Arial" w:cs="Arial"/>
                <w:sz w:val="20"/>
                <w:szCs w:val="20"/>
              </w:rPr>
              <w:t>DEER:Indoor_Non-CFL_Ltg</w:t>
            </w:r>
            <w:proofErr w:type="spellEnd"/>
          </w:p>
        </w:tc>
      </w:tr>
    </w:tbl>
    <w:p w:rsidR="00D87EFF" w:rsidRPr="002E0043" w:rsidRDefault="00D87EFF" w:rsidP="002E0043"/>
    <w:p w:rsidR="00A14094" w:rsidRDefault="00A14094" w:rsidP="00663A00">
      <w:pPr>
        <w:pStyle w:val="Heading1"/>
        <w:keepNext w:val="0"/>
      </w:pPr>
    </w:p>
    <w:p w:rsidR="0091058D" w:rsidRDefault="00C069A2" w:rsidP="00663A00">
      <w:pPr>
        <w:pStyle w:val="Heading1"/>
        <w:keepNext w:val="0"/>
      </w:pPr>
      <w:bookmarkStart w:id="49" w:name="_Toc390769246"/>
      <w:proofErr w:type="gramStart"/>
      <w:r>
        <w:t>Section 4</w:t>
      </w:r>
      <w:r w:rsidR="003129E8">
        <w:t>.</w:t>
      </w:r>
      <w:proofErr w:type="gramEnd"/>
      <w:r>
        <w:t xml:space="preserve"> Base Case &amp; Measure Costs</w:t>
      </w:r>
      <w:bookmarkEnd w:id="49"/>
    </w:p>
    <w:tbl>
      <w:tblPr>
        <w:tblpPr w:leftFromText="180" w:rightFromText="180" w:vertAnchor="text" w:horzAnchor="margin" w:tblpY="129"/>
        <w:tblW w:w="86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394ADC" w:rsidRPr="00104A00" w:rsidTr="00394ADC">
        <w:trPr>
          <w:trHeight w:val="255"/>
        </w:trPr>
        <w:tc>
          <w:tcPr>
            <w:tcW w:w="1964" w:type="dxa"/>
            <w:shd w:val="clear" w:color="auto" w:fill="F3F3F3"/>
            <w:noWrap/>
            <w:vAlign w:val="center"/>
          </w:tcPr>
          <w:p w:rsidR="00394ADC" w:rsidRPr="00B16BE4" w:rsidRDefault="00394ADC" w:rsidP="00394ADC">
            <w:pPr>
              <w:jc w:val="center"/>
              <w:rPr>
                <w:rFonts w:ascii="Arial" w:hAnsi="Arial" w:cs="Arial"/>
                <w:b/>
              </w:rPr>
            </w:pPr>
            <w:r w:rsidRPr="00B16BE4">
              <w:rPr>
                <w:rFonts w:ascii="Arial" w:hAnsi="Arial" w:cs="Arial"/>
                <w:b/>
              </w:rPr>
              <w:t>Install/Program</w:t>
            </w:r>
            <w:r>
              <w:rPr>
                <w:rFonts w:ascii="Arial" w:hAnsi="Arial" w:cs="Arial"/>
                <w:b/>
              </w:rPr>
              <w:t xml:space="preserve"> </w:t>
            </w:r>
            <w:r w:rsidRPr="00B16BE4">
              <w:rPr>
                <w:rFonts w:ascii="Arial" w:hAnsi="Arial" w:cs="Arial"/>
                <w:b/>
              </w:rPr>
              <w:t>Type</w:t>
            </w:r>
          </w:p>
        </w:tc>
        <w:tc>
          <w:tcPr>
            <w:tcW w:w="1202" w:type="dxa"/>
            <w:shd w:val="clear" w:color="auto" w:fill="F3F3F3"/>
            <w:noWrap/>
            <w:vAlign w:val="center"/>
          </w:tcPr>
          <w:p w:rsidR="00394ADC" w:rsidRPr="00B16BE4" w:rsidRDefault="00394ADC" w:rsidP="00394ADC">
            <w:pPr>
              <w:jc w:val="center"/>
              <w:rPr>
                <w:rFonts w:ascii="Arial" w:hAnsi="Arial" w:cs="Arial"/>
                <w:b/>
              </w:rPr>
            </w:pPr>
            <w:r w:rsidRPr="00B16BE4">
              <w:rPr>
                <w:rFonts w:ascii="Arial" w:hAnsi="Arial" w:cs="Arial"/>
                <w:b/>
              </w:rPr>
              <w:t>Measure Life Basis</w:t>
            </w:r>
          </w:p>
        </w:tc>
        <w:tc>
          <w:tcPr>
            <w:tcW w:w="2699" w:type="dxa"/>
            <w:shd w:val="clear" w:color="auto" w:fill="F3F3F3"/>
            <w:vAlign w:val="center"/>
          </w:tcPr>
          <w:p w:rsidR="00394ADC" w:rsidRPr="00B16BE4" w:rsidRDefault="00394ADC" w:rsidP="00394ADC">
            <w:pPr>
              <w:jc w:val="center"/>
              <w:rPr>
                <w:rFonts w:ascii="Arial" w:hAnsi="Arial" w:cs="Arial"/>
                <w:b/>
              </w:rPr>
            </w:pPr>
            <w:r w:rsidRPr="00B16BE4">
              <w:rPr>
                <w:rFonts w:ascii="Arial" w:hAnsi="Arial" w:cs="Arial"/>
                <w:b/>
              </w:rPr>
              <w:t xml:space="preserve">First Baseline Period Gross Measure Cost </w:t>
            </w:r>
            <w:r>
              <w:rPr>
                <w:rFonts w:ascii="Arial" w:hAnsi="Arial" w:cs="Arial"/>
                <w:b/>
              </w:rPr>
              <w:t>(</w:t>
            </w:r>
            <w:r w:rsidRPr="00B16BE4">
              <w:rPr>
                <w:rFonts w:ascii="Arial" w:hAnsi="Arial" w:cs="Arial"/>
                <w:b/>
              </w:rPr>
              <w:t>RUL</w:t>
            </w:r>
            <w:r>
              <w:rPr>
                <w:rFonts w:ascii="Arial" w:hAnsi="Arial" w:cs="Arial"/>
                <w:b/>
              </w:rPr>
              <w:t>)</w:t>
            </w:r>
          </w:p>
        </w:tc>
        <w:tc>
          <w:tcPr>
            <w:tcW w:w="2790" w:type="dxa"/>
            <w:shd w:val="clear" w:color="auto" w:fill="F3F3F3"/>
            <w:noWrap/>
            <w:vAlign w:val="center"/>
          </w:tcPr>
          <w:p w:rsidR="00394ADC" w:rsidRPr="00B16BE4" w:rsidRDefault="00394ADC" w:rsidP="00394ADC">
            <w:pPr>
              <w:jc w:val="center"/>
              <w:rPr>
                <w:rFonts w:ascii="Arial" w:hAnsi="Arial" w:cs="Arial"/>
                <w:b/>
              </w:rPr>
            </w:pPr>
            <w:r w:rsidRPr="00B16BE4">
              <w:rPr>
                <w:rFonts w:ascii="Arial" w:hAnsi="Arial" w:cs="Arial"/>
                <w:b/>
              </w:rPr>
              <w:t>Second Baseline Period Gross Measure Cost</w:t>
            </w:r>
            <w:r>
              <w:rPr>
                <w:rFonts w:ascii="Arial" w:hAnsi="Arial" w:cs="Arial"/>
                <w:b/>
              </w:rPr>
              <w:t xml:space="preserve"> </w:t>
            </w:r>
            <w:r w:rsidRPr="00B16BE4">
              <w:rPr>
                <w:rFonts w:ascii="Arial" w:hAnsi="Arial" w:cs="Arial"/>
                <w:b/>
              </w:rPr>
              <w:t>(EUL – RUL)</w:t>
            </w:r>
          </w:p>
        </w:tc>
      </w:tr>
      <w:tr w:rsidR="00394ADC" w:rsidRPr="00104A00" w:rsidTr="00394ADC">
        <w:trPr>
          <w:trHeight w:val="255"/>
        </w:trPr>
        <w:tc>
          <w:tcPr>
            <w:tcW w:w="1964" w:type="dxa"/>
            <w:noWrap/>
            <w:vAlign w:val="center"/>
          </w:tcPr>
          <w:p w:rsidR="00394ADC" w:rsidRPr="00B16BE4" w:rsidRDefault="00394ADC" w:rsidP="00394ADC">
            <w:pPr>
              <w:rPr>
                <w:rFonts w:ascii="Arial" w:hAnsi="Arial" w:cs="Arial"/>
                <w:b/>
                <w:i/>
              </w:rPr>
            </w:pPr>
            <w:r w:rsidRPr="00B16BE4">
              <w:rPr>
                <w:rFonts w:ascii="Arial" w:hAnsi="Arial" w:cs="Arial"/>
                <w:b/>
                <w:i/>
              </w:rPr>
              <w:t>ROB</w:t>
            </w:r>
          </w:p>
        </w:tc>
        <w:tc>
          <w:tcPr>
            <w:tcW w:w="1202" w:type="dxa"/>
            <w:noWrap/>
            <w:vAlign w:val="center"/>
          </w:tcPr>
          <w:p w:rsidR="00394ADC" w:rsidRPr="00B16BE4" w:rsidRDefault="00394ADC" w:rsidP="00394ADC">
            <w:pPr>
              <w:rPr>
                <w:rFonts w:ascii="Arial" w:hAnsi="Arial" w:cs="Arial"/>
                <w:sz w:val="20"/>
                <w:szCs w:val="20"/>
              </w:rPr>
            </w:pPr>
            <w:r w:rsidRPr="00B16BE4">
              <w:rPr>
                <w:rFonts w:ascii="Arial" w:hAnsi="Arial" w:cs="Arial"/>
                <w:sz w:val="20"/>
                <w:szCs w:val="20"/>
              </w:rPr>
              <w:t>EUL</w:t>
            </w:r>
          </w:p>
        </w:tc>
        <w:tc>
          <w:tcPr>
            <w:tcW w:w="2699" w:type="dxa"/>
            <w:vAlign w:val="center"/>
          </w:tcPr>
          <w:p w:rsidR="00394ADC" w:rsidRPr="00B16BE4" w:rsidRDefault="00394ADC" w:rsidP="00394ADC">
            <w:pPr>
              <w:rPr>
                <w:rFonts w:ascii="Arial" w:hAnsi="Arial" w:cs="Arial"/>
                <w:sz w:val="20"/>
                <w:szCs w:val="20"/>
              </w:rPr>
            </w:pPr>
            <w:r w:rsidRPr="00B16BE4">
              <w:rPr>
                <w:rFonts w:ascii="Arial" w:hAnsi="Arial" w:cs="Arial"/>
                <w:sz w:val="20"/>
                <w:szCs w:val="20"/>
              </w:rPr>
              <w:t>Calculated as Incremental Measure Cost</w:t>
            </w:r>
          </w:p>
        </w:tc>
        <w:tc>
          <w:tcPr>
            <w:tcW w:w="2790" w:type="dxa"/>
            <w:noWrap/>
            <w:vAlign w:val="center"/>
          </w:tcPr>
          <w:p w:rsidR="00394ADC" w:rsidRPr="00B16BE4" w:rsidRDefault="00394ADC" w:rsidP="00394ADC">
            <w:pPr>
              <w:rPr>
                <w:rFonts w:ascii="Arial" w:hAnsi="Arial" w:cs="Arial"/>
                <w:sz w:val="20"/>
                <w:szCs w:val="20"/>
              </w:rPr>
            </w:pPr>
            <w:r w:rsidRPr="00B16BE4">
              <w:rPr>
                <w:rFonts w:ascii="Arial" w:hAnsi="Arial" w:cs="Arial"/>
                <w:sz w:val="20"/>
                <w:szCs w:val="20"/>
              </w:rPr>
              <w:t>N/A</w:t>
            </w:r>
          </w:p>
        </w:tc>
      </w:tr>
    </w:tbl>
    <w:p w:rsidR="00B16BE4" w:rsidRDefault="00B16BE4" w:rsidP="00B16BE4"/>
    <w:p w:rsidR="00B16BE4" w:rsidRPr="00B16BE4" w:rsidRDefault="00B16BE4" w:rsidP="00B16BE4"/>
    <w:p w:rsidR="00394ADC" w:rsidRDefault="00394ADC" w:rsidP="00D20486">
      <w:pPr>
        <w:pStyle w:val="Heading2"/>
        <w:keepNext w:val="0"/>
      </w:pPr>
    </w:p>
    <w:p w:rsidR="00394ADC" w:rsidRDefault="00394ADC" w:rsidP="00D20486">
      <w:pPr>
        <w:pStyle w:val="Heading2"/>
        <w:keepNext w:val="0"/>
      </w:pPr>
    </w:p>
    <w:p w:rsidR="001B242B" w:rsidRPr="00F55847" w:rsidRDefault="00C069A2" w:rsidP="00D20486">
      <w:pPr>
        <w:pStyle w:val="Heading2"/>
        <w:keepNext w:val="0"/>
      </w:pPr>
      <w:bookmarkStart w:id="50" w:name="_Toc390769247"/>
      <w:r>
        <w:t>4.1 Base Case</w:t>
      </w:r>
      <w:r w:rsidR="00C221D5">
        <w:t>(</w:t>
      </w:r>
      <w:r>
        <w:t>s</w:t>
      </w:r>
      <w:r w:rsidR="00C221D5">
        <w:t>)</w:t>
      </w:r>
      <w:r>
        <w:t xml:space="preserve"> Costs</w:t>
      </w:r>
      <w:bookmarkEnd w:id="50"/>
    </w:p>
    <w:p w:rsidR="00BD0D15" w:rsidRPr="00DD1C47" w:rsidRDefault="00351506" w:rsidP="00AB2D9E">
      <w:pPr>
        <w:rPr>
          <w:rFonts w:ascii="Arial" w:hAnsi="Arial" w:cs="Arial"/>
          <w:sz w:val="20"/>
          <w:szCs w:val="20"/>
        </w:rPr>
      </w:pPr>
      <w:r w:rsidRPr="00B16BE4">
        <w:rPr>
          <w:rFonts w:ascii="Arial" w:hAnsi="Arial" w:cs="Arial"/>
          <w:sz w:val="20"/>
          <w:szCs w:val="20"/>
        </w:rPr>
        <w:t xml:space="preserve">The following Transaction </w:t>
      </w:r>
      <w:r w:rsidRPr="00351506">
        <w:rPr>
          <w:rFonts w:ascii="Arial" w:hAnsi="Arial" w:cs="Arial"/>
          <w:sz w:val="20"/>
          <w:szCs w:val="20"/>
        </w:rPr>
        <w:t>type is appropriate to these measures</w:t>
      </w:r>
      <w:r w:rsidR="007254EC">
        <w:rPr>
          <w:rFonts w:ascii="Arial" w:hAnsi="Arial" w:cs="Arial"/>
          <w:sz w:val="20"/>
          <w:szCs w:val="20"/>
        </w:rPr>
        <w:t xml:space="preserve">, based on </w:t>
      </w:r>
      <w:proofErr w:type="gramStart"/>
      <w:r w:rsidR="007254EC">
        <w:rPr>
          <w:rFonts w:ascii="Arial" w:hAnsi="Arial" w:cs="Arial"/>
          <w:sz w:val="20"/>
          <w:szCs w:val="20"/>
        </w:rPr>
        <w:t xml:space="preserve">a </w:t>
      </w:r>
      <w:r w:rsidR="003B4F7C">
        <w:rPr>
          <w:rFonts w:ascii="Arial" w:hAnsi="Arial" w:cs="Arial"/>
          <w:sz w:val="20"/>
          <w:szCs w:val="20"/>
        </w:rPr>
        <w:t>generic</w:t>
      </w:r>
      <w:proofErr w:type="gramEnd"/>
      <w:r w:rsidR="003B4F7C">
        <w:rPr>
          <w:rFonts w:ascii="Arial" w:hAnsi="Arial" w:cs="Arial"/>
          <w:sz w:val="20"/>
          <w:szCs w:val="20"/>
        </w:rPr>
        <w:t xml:space="preserve"> electronic fixed-output ballast with a Normal Light Output Ballast Factor in a fixture representing a </w:t>
      </w:r>
      <w:r w:rsidR="007254EC">
        <w:rPr>
          <w:rFonts w:ascii="Arial" w:hAnsi="Arial" w:cs="Arial"/>
          <w:sz w:val="20"/>
          <w:szCs w:val="20"/>
        </w:rPr>
        <w:t>weighted</w:t>
      </w:r>
      <w:r w:rsidR="003B4F7C">
        <w:rPr>
          <w:rFonts w:ascii="Arial" w:hAnsi="Arial" w:cs="Arial"/>
          <w:sz w:val="20"/>
          <w:szCs w:val="20"/>
        </w:rPr>
        <w:t xml:space="preserve">-average of </w:t>
      </w:r>
      <w:r w:rsidR="0001175C">
        <w:rPr>
          <w:rFonts w:ascii="Arial" w:hAnsi="Arial" w:cs="Arial"/>
          <w:sz w:val="20"/>
          <w:szCs w:val="20"/>
        </w:rPr>
        <w:t xml:space="preserve">1- </w:t>
      </w:r>
      <w:r w:rsidR="003B4F7C">
        <w:rPr>
          <w:rFonts w:ascii="Arial" w:hAnsi="Arial" w:cs="Arial"/>
          <w:sz w:val="20"/>
          <w:szCs w:val="20"/>
        </w:rPr>
        <w:t>2- 3- and 4-lamp</w:t>
      </w:r>
      <w:r w:rsidR="007254EC">
        <w:rPr>
          <w:rFonts w:ascii="Arial" w:hAnsi="Arial" w:cs="Arial"/>
          <w:sz w:val="20"/>
          <w:szCs w:val="20"/>
        </w:rPr>
        <w:t xml:space="preserve"> </w:t>
      </w:r>
      <w:r w:rsidR="003B4F7C">
        <w:rPr>
          <w:rFonts w:ascii="Arial" w:hAnsi="Arial" w:cs="Arial"/>
          <w:sz w:val="20"/>
          <w:szCs w:val="20"/>
        </w:rPr>
        <w:t>fixtures</w:t>
      </w:r>
      <w:r w:rsidRPr="00351506">
        <w:rPr>
          <w:rFonts w:ascii="Arial" w:hAnsi="Arial" w:cs="Arial"/>
          <w:sz w:val="20"/>
          <w:szCs w:val="20"/>
        </w:rPr>
        <w:t>.</w:t>
      </w:r>
      <w:r>
        <w:rPr>
          <w:rFonts w:ascii="Arial" w:hAnsi="Arial" w:cs="Arial"/>
          <w:sz w:val="20"/>
          <w:szCs w:val="20"/>
        </w:rPr>
        <w:t xml:space="preserve"> </w:t>
      </w:r>
      <w:r w:rsidR="00DD1C47" w:rsidRPr="00DD1C47">
        <w:rPr>
          <w:rFonts w:ascii="Arial" w:hAnsi="Arial" w:cs="Arial"/>
          <w:sz w:val="20"/>
          <w:szCs w:val="20"/>
        </w:rPr>
        <w:t>The</w:t>
      </w:r>
      <w:r w:rsidR="00BD0D15" w:rsidRPr="00DD1C47">
        <w:rPr>
          <w:rFonts w:ascii="Arial" w:hAnsi="Arial" w:cs="Arial"/>
          <w:sz w:val="20"/>
          <w:szCs w:val="20"/>
        </w:rPr>
        <w:t xml:space="preserve"> Base Case Costs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3F46D4" w:rsidTr="003F46D4">
        <w:tc>
          <w:tcPr>
            <w:tcW w:w="1028" w:type="dxa"/>
            <w:shd w:val="clear" w:color="auto" w:fill="auto"/>
          </w:tcPr>
          <w:p w:rsidR="00DD1C47" w:rsidRPr="003F46D4" w:rsidRDefault="00DD1C47" w:rsidP="00AB2D9E">
            <w:pPr>
              <w:rPr>
                <w:rFonts w:ascii="Arial" w:hAnsi="Arial" w:cs="Arial"/>
                <w:b/>
                <w:i/>
                <w:sz w:val="20"/>
                <w:szCs w:val="20"/>
              </w:rPr>
            </w:pPr>
            <w:r w:rsidRPr="003F46D4">
              <w:rPr>
                <w:rFonts w:ascii="Arial" w:hAnsi="Arial" w:cs="Arial"/>
                <w:b/>
                <w:i/>
                <w:sz w:val="20"/>
                <w:szCs w:val="20"/>
              </w:rPr>
              <w:t>Measure Code</w:t>
            </w:r>
          </w:p>
        </w:tc>
        <w:tc>
          <w:tcPr>
            <w:tcW w:w="1420" w:type="dxa"/>
            <w:shd w:val="clear" w:color="auto" w:fill="auto"/>
          </w:tcPr>
          <w:p w:rsidR="00DD1C47" w:rsidRPr="003F46D4" w:rsidRDefault="00DD1C47" w:rsidP="00AB2D9E">
            <w:pPr>
              <w:rPr>
                <w:rFonts w:ascii="Arial" w:hAnsi="Arial" w:cs="Arial"/>
                <w:b/>
                <w:sz w:val="20"/>
                <w:szCs w:val="20"/>
              </w:rPr>
            </w:pPr>
            <w:r w:rsidRPr="003F46D4">
              <w:rPr>
                <w:rFonts w:ascii="Arial" w:hAnsi="Arial" w:cs="Arial"/>
                <w:b/>
                <w:sz w:val="20"/>
                <w:szCs w:val="20"/>
              </w:rPr>
              <w:t>Transaction</w:t>
            </w:r>
          </w:p>
        </w:tc>
        <w:tc>
          <w:tcPr>
            <w:tcW w:w="1620" w:type="dxa"/>
            <w:shd w:val="clear" w:color="auto" w:fill="auto"/>
          </w:tcPr>
          <w:p w:rsidR="00DD1C47" w:rsidRPr="003F46D4" w:rsidRDefault="00DD1C47" w:rsidP="00AB2D9E">
            <w:pPr>
              <w:rPr>
                <w:rFonts w:ascii="Arial" w:hAnsi="Arial" w:cs="Arial"/>
                <w:b/>
                <w:sz w:val="20"/>
                <w:szCs w:val="20"/>
              </w:rPr>
            </w:pPr>
            <w:r w:rsidRPr="003F46D4">
              <w:rPr>
                <w:rFonts w:ascii="Arial" w:hAnsi="Arial" w:cs="Arial"/>
                <w:b/>
                <w:sz w:val="20"/>
                <w:szCs w:val="20"/>
              </w:rPr>
              <w:t>Baseline</w:t>
            </w:r>
          </w:p>
        </w:tc>
        <w:tc>
          <w:tcPr>
            <w:tcW w:w="1440" w:type="dxa"/>
            <w:shd w:val="clear" w:color="auto" w:fill="auto"/>
          </w:tcPr>
          <w:p w:rsidR="00DD1C47" w:rsidRPr="003F46D4" w:rsidRDefault="00DD1C47" w:rsidP="00D36A23">
            <w:pPr>
              <w:rPr>
                <w:rFonts w:ascii="Arial" w:hAnsi="Arial" w:cs="Arial"/>
                <w:b/>
                <w:sz w:val="20"/>
                <w:szCs w:val="20"/>
              </w:rPr>
            </w:pPr>
            <w:r w:rsidRPr="003F46D4">
              <w:rPr>
                <w:rFonts w:ascii="Arial" w:hAnsi="Arial" w:cs="Arial"/>
                <w:b/>
                <w:sz w:val="20"/>
                <w:szCs w:val="20"/>
              </w:rPr>
              <w:t>Equipment C</w:t>
            </w:r>
            <w:r w:rsidR="00590A83">
              <w:rPr>
                <w:rFonts w:ascii="Arial" w:hAnsi="Arial" w:cs="Arial"/>
                <w:b/>
                <w:sz w:val="20"/>
                <w:szCs w:val="20"/>
              </w:rPr>
              <w:t>o</w:t>
            </w:r>
            <w:r w:rsidRPr="003F46D4">
              <w:rPr>
                <w:rFonts w:ascii="Arial" w:hAnsi="Arial" w:cs="Arial"/>
                <w:b/>
                <w:sz w:val="20"/>
                <w:szCs w:val="20"/>
              </w:rPr>
              <w:t>st</w:t>
            </w:r>
          </w:p>
        </w:tc>
        <w:tc>
          <w:tcPr>
            <w:tcW w:w="1341" w:type="dxa"/>
            <w:shd w:val="clear" w:color="auto" w:fill="auto"/>
          </w:tcPr>
          <w:p w:rsidR="00DD1C47" w:rsidRPr="003F46D4" w:rsidRDefault="00DD1C47" w:rsidP="00AB2D9E">
            <w:pPr>
              <w:rPr>
                <w:rFonts w:ascii="Arial" w:hAnsi="Arial" w:cs="Arial"/>
                <w:b/>
                <w:sz w:val="20"/>
                <w:szCs w:val="20"/>
              </w:rPr>
            </w:pPr>
            <w:r w:rsidRPr="003F46D4">
              <w:rPr>
                <w:rFonts w:ascii="Arial" w:hAnsi="Arial" w:cs="Arial"/>
                <w:b/>
                <w:sz w:val="20"/>
                <w:szCs w:val="20"/>
              </w:rPr>
              <w:t>Labor / Installation Cost</w:t>
            </w:r>
          </w:p>
        </w:tc>
        <w:tc>
          <w:tcPr>
            <w:tcW w:w="1513" w:type="dxa"/>
            <w:shd w:val="clear" w:color="auto" w:fill="auto"/>
          </w:tcPr>
          <w:p w:rsidR="00DD1C47" w:rsidRPr="003F46D4" w:rsidRDefault="00DD1C47" w:rsidP="00AB2D9E">
            <w:pPr>
              <w:rPr>
                <w:rFonts w:ascii="Arial" w:hAnsi="Arial" w:cs="Arial"/>
                <w:b/>
                <w:sz w:val="20"/>
                <w:szCs w:val="20"/>
              </w:rPr>
            </w:pPr>
            <w:r w:rsidRPr="003F46D4">
              <w:rPr>
                <w:rFonts w:ascii="Arial" w:hAnsi="Arial" w:cs="Arial"/>
                <w:b/>
                <w:sz w:val="20"/>
                <w:szCs w:val="20"/>
              </w:rPr>
              <w:t>Maintenance / Other Cost</w:t>
            </w:r>
          </w:p>
        </w:tc>
        <w:tc>
          <w:tcPr>
            <w:tcW w:w="1214" w:type="dxa"/>
            <w:shd w:val="clear" w:color="auto" w:fill="auto"/>
          </w:tcPr>
          <w:p w:rsidR="00DD1C47" w:rsidRPr="003F46D4" w:rsidRDefault="00DD1C47" w:rsidP="00AB2D9E">
            <w:pPr>
              <w:rPr>
                <w:rFonts w:ascii="Arial" w:hAnsi="Arial" w:cs="Arial"/>
                <w:b/>
                <w:sz w:val="20"/>
                <w:szCs w:val="20"/>
              </w:rPr>
            </w:pPr>
            <w:r w:rsidRPr="003F46D4">
              <w:rPr>
                <w:rFonts w:ascii="Arial" w:hAnsi="Arial" w:cs="Arial"/>
                <w:b/>
                <w:sz w:val="20"/>
                <w:szCs w:val="20"/>
              </w:rPr>
              <w:t>Total Base Case Cost</w:t>
            </w:r>
          </w:p>
        </w:tc>
      </w:tr>
      <w:tr w:rsidR="00D63674" w:rsidRPr="003F46D4" w:rsidTr="006D78EA">
        <w:tc>
          <w:tcPr>
            <w:tcW w:w="1028" w:type="dxa"/>
            <w:shd w:val="clear" w:color="auto" w:fill="auto"/>
            <w:vAlign w:val="bottom"/>
          </w:tcPr>
          <w:p w:rsidR="00D63674" w:rsidRPr="0008537D" w:rsidRDefault="00D63674" w:rsidP="00D816CF">
            <w:pPr>
              <w:jc w:val="center"/>
              <w:rPr>
                <w:rFonts w:ascii="Arial" w:hAnsi="Arial" w:cs="Arial"/>
                <w:sz w:val="20"/>
              </w:rPr>
            </w:pPr>
            <w:r>
              <w:rPr>
                <w:rFonts w:ascii="Arial" w:hAnsi="Arial" w:cs="Arial"/>
                <w:sz w:val="20"/>
              </w:rPr>
              <w:t>L</w:t>
            </w:r>
            <w:r w:rsidR="00D816CF">
              <w:rPr>
                <w:rFonts w:ascii="Arial" w:hAnsi="Arial" w:cs="Arial"/>
                <w:sz w:val="20"/>
              </w:rPr>
              <w:t>0337</w:t>
            </w:r>
          </w:p>
        </w:tc>
        <w:tc>
          <w:tcPr>
            <w:tcW w:w="1420" w:type="dxa"/>
            <w:shd w:val="clear" w:color="auto" w:fill="auto"/>
          </w:tcPr>
          <w:p w:rsidR="00D63674" w:rsidRPr="003F46D4" w:rsidRDefault="00D63674" w:rsidP="00AB2D9E">
            <w:pPr>
              <w:rPr>
                <w:rFonts w:ascii="Arial" w:hAnsi="Arial" w:cs="Arial"/>
                <w:sz w:val="20"/>
                <w:szCs w:val="20"/>
              </w:rPr>
            </w:pPr>
            <w:r>
              <w:rPr>
                <w:rFonts w:ascii="Arial" w:hAnsi="Arial" w:cs="Arial"/>
                <w:sz w:val="20"/>
                <w:szCs w:val="20"/>
              </w:rPr>
              <w:t>ROB</w:t>
            </w:r>
          </w:p>
        </w:tc>
        <w:tc>
          <w:tcPr>
            <w:tcW w:w="1620" w:type="dxa"/>
            <w:shd w:val="clear" w:color="auto" w:fill="auto"/>
          </w:tcPr>
          <w:p w:rsidR="00D63674" w:rsidRPr="003F46D4" w:rsidRDefault="00D63674" w:rsidP="00AB2D9E">
            <w:pPr>
              <w:rPr>
                <w:rFonts w:ascii="Arial" w:hAnsi="Arial" w:cs="Arial"/>
                <w:sz w:val="20"/>
                <w:szCs w:val="20"/>
              </w:rPr>
            </w:pPr>
            <w:r>
              <w:rPr>
                <w:rFonts w:ascii="Arial" w:hAnsi="Arial" w:cs="Arial"/>
                <w:sz w:val="20"/>
                <w:szCs w:val="20"/>
              </w:rPr>
              <w:t>Existing</w:t>
            </w:r>
          </w:p>
        </w:tc>
        <w:tc>
          <w:tcPr>
            <w:tcW w:w="1440" w:type="dxa"/>
            <w:shd w:val="clear" w:color="auto" w:fill="auto"/>
          </w:tcPr>
          <w:p w:rsidR="00D63674" w:rsidRPr="00D36A23" w:rsidRDefault="00D63674" w:rsidP="00590A83">
            <w:pPr>
              <w:rPr>
                <w:rFonts w:ascii="Arial" w:hAnsi="Arial" w:cs="Arial"/>
                <w:sz w:val="20"/>
                <w:szCs w:val="20"/>
              </w:rPr>
            </w:pPr>
            <w:r w:rsidRPr="00D36A23">
              <w:rPr>
                <w:rFonts w:ascii="Arial" w:hAnsi="Arial" w:cs="Arial"/>
                <w:sz w:val="20"/>
                <w:szCs w:val="20"/>
              </w:rPr>
              <w:t>$</w:t>
            </w:r>
            <w:r>
              <w:rPr>
                <w:rFonts w:ascii="Arial" w:hAnsi="Arial" w:cs="Arial"/>
                <w:sz w:val="20"/>
                <w:szCs w:val="20"/>
              </w:rPr>
              <w:t>20.87</w:t>
            </w:r>
          </w:p>
        </w:tc>
        <w:tc>
          <w:tcPr>
            <w:tcW w:w="1341" w:type="dxa"/>
            <w:shd w:val="clear" w:color="auto" w:fill="auto"/>
          </w:tcPr>
          <w:p w:rsidR="00D63674" w:rsidRPr="00D36A23" w:rsidRDefault="00D63674" w:rsidP="00AB2D9E">
            <w:pPr>
              <w:rPr>
                <w:rFonts w:ascii="Arial" w:hAnsi="Arial" w:cs="Arial"/>
                <w:sz w:val="20"/>
                <w:szCs w:val="20"/>
              </w:rPr>
            </w:pPr>
            <w:r w:rsidRPr="00D36A23">
              <w:rPr>
                <w:rFonts w:ascii="Arial" w:hAnsi="Arial" w:cs="Arial"/>
                <w:sz w:val="20"/>
                <w:szCs w:val="20"/>
              </w:rPr>
              <w:t>$0</w:t>
            </w:r>
          </w:p>
        </w:tc>
        <w:tc>
          <w:tcPr>
            <w:tcW w:w="1513" w:type="dxa"/>
            <w:shd w:val="clear" w:color="auto" w:fill="auto"/>
          </w:tcPr>
          <w:p w:rsidR="00D63674" w:rsidRPr="00D36A23" w:rsidRDefault="00D63674" w:rsidP="00AB2D9E">
            <w:pPr>
              <w:rPr>
                <w:rFonts w:ascii="Arial" w:hAnsi="Arial" w:cs="Arial"/>
                <w:sz w:val="20"/>
                <w:szCs w:val="20"/>
              </w:rPr>
            </w:pPr>
            <w:r w:rsidRPr="00D36A23">
              <w:rPr>
                <w:rFonts w:ascii="Arial" w:hAnsi="Arial" w:cs="Arial"/>
                <w:sz w:val="20"/>
                <w:szCs w:val="20"/>
              </w:rPr>
              <w:t>$0</w:t>
            </w:r>
          </w:p>
        </w:tc>
        <w:tc>
          <w:tcPr>
            <w:tcW w:w="1214" w:type="dxa"/>
            <w:shd w:val="clear" w:color="auto" w:fill="auto"/>
          </w:tcPr>
          <w:p w:rsidR="00D63674" w:rsidRPr="00D36A23" w:rsidRDefault="00D63674" w:rsidP="00716141">
            <w:pPr>
              <w:rPr>
                <w:rFonts w:ascii="Arial" w:hAnsi="Arial" w:cs="Arial"/>
                <w:sz w:val="20"/>
                <w:szCs w:val="20"/>
              </w:rPr>
            </w:pPr>
            <w:r w:rsidRPr="00D36A23">
              <w:rPr>
                <w:rFonts w:ascii="Arial" w:hAnsi="Arial" w:cs="Arial"/>
                <w:sz w:val="20"/>
                <w:szCs w:val="20"/>
              </w:rPr>
              <w:t>$</w:t>
            </w:r>
            <w:r>
              <w:rPr>
                <w:rFonts w:ascii="Arial" w:hAnsi="Arial" w:cs="Arial"/>
                <w:sz w:val="20"/>
                <w:szCs w:val="20"/>
              </w:rPr>
              <w:t>20.87</w:t>
            </w:r>
          </w:p>
        </w:tc>
      </w:tr>
      <w:tr w:rsidR="00D63674" w:rsidRPr="003F46D4" w:rsidTr="006D78EA">
        <w:tc>
          <w:tcPr>
            <w:tcW w:w="1028" w:type="dxa"/>
            <w:shd w:val="clear" w:color="auto" w:fill="auto"/>
            <w:vAlign w:val="bottom"/>
          </w:tcPr>
          <w:p w:rsidR="00D63674" w:rsidRPr="0008537D" w:rsidRDefault="00D63674" w:rsidP="00D816CF">
            <w:pPr>
              <w:jc w:val="center"/>
              <w:rPr>
                <w:rFonts w:ascii="Arial" w:hAnsi="Arial" w:cs="Arial"/>
                <w:sz w:val="20"/>
              </w:rPr>
            </w:pPr>
            <w:r>
              <w:rPr>
                <w:rFonts w:ascii="Arial" w:hAnsi="Arial" w:cs="Arial"/>
                <w:sz w:val="20"/>
              </w:rPr>
              <w:t>L</w:t>
            </w:r>
            <w:r w:rsidR="00D816CF">
              <w:rPr>
                <w:rFonts w:ascii="Arial" w:hAnsi="Arial" w:cs="Arial"/>
                <w:sz w:val="20"/>
              </w:rPr>
              <w:t>0338</w:t>
            </w:r>
          </w:p>
        </w:tc>
        <w:tc>
          <w:tcPr>
            <w:tcW w:w="1420" w:type="dxa"/>
            <w:shd w:val="clear" w:color="auto" w:fill="auto"/>
          </w:tcPr>
          <w:p w:rsidR="00D63674" w:rsidRPr="003F46D4" w:rsidRDefault="00D63674" w:rsidP="00441A87">
            <w:pPr>
              <w:rPr>
                <w:rFonts w:ascii="Arial" w:hAnsi="Arial" w:cs="Arial"/>
                <w:sz w:val="20"/>
                <w:szCs w:val="20"/>
              </w:rPr>
            </w:pPr>
            <w:r>
              <w:rPr>
                <w:rFonts w:ascii="Arial" w:hAnsi="Arial" w:cs="Arial"/>
                <w:sz w:val="20"/>
                <w:szCs w:val="20"/>
              </w:rPr>
              <w:t>ROB</w:t>
            </w:r>
          </w:p>
        </w:tc>
        <w:tc>
          <w:tcPr>
            <w:tcW w:w="1620" w:type="dxa"/>
            <w:shd w:val="clear" w:color="auto" w:fill="auto"/>
          </w:tcPr>
          <w:p w:rsidR="00D63674" w:rsidRPr="003F46D4" w:rsidRDefault="00D63674" w:rsidP="00441A87">
            <w:pPr>
              <w:rPr>
                <w:rFonts w:ascii="Arial" w:hAnsi="Arial" w:cs="Arial"/>
                <w:sz w:val="20"/>
                <w:szCs w:val="20"/>
              </w:rPr>
            </w:pPr>
            <w:r>
              <w:rPr>
                <w:rFonts w:ascii="Arial" w:hAnsi="Arial" w:cs="Arial"/>
                <w:sz w:val="20"/>
                <w:szCs w:val="20"/>
              </w:rPr>
              <w:t>Existing</w:t>
            </w:r>
          </w:p>
        </w:tc>
        <w:tc>
          <w:tcPr>
            <w:tcW w:w="1440" w:type="dxa"/>
            <w:shd w:val="clear" w:color="auto" w:fill="auto"/>
          </w:tcPr>
          <w:p w:rsidR="00D63674" w:rsidRPr="00D36A23" w:rsidRDefault="00D63674" w:rsidP="00AB2D9E">
            <w:pPr>
              <w:rPr>
                <w:rFonts w:ascii="Arial" w:hAnsi="Arial" w:cs="Arial"/>
                <w:sz w:val="20"/>
                <w:szCs w:val="20"/>
              </w:rPr>
            </w:pPr>
            <w:r w:rsidRPr="00D36A23">
              <w:rPr>
                <w:rFonts w:ascii="Arial" w:hAnsi="Arial" w:cs="Arial"/>
                <w:sz w:val="20"/>
                <w:szCs w:val="20"/>
              </w:rPr>
              <w:t>$</w:t>
            </w:r>
            <w:r>
              <w:rPr>
                <w:rFonts w:ascii="Arial" w:hAnsi="Arial" w:cs="Arial"/>
                <w:sz w:val="20"/>
                <w:szCs w:val="20"/>
              </w:rPr>
              <w:t>20.87</w:t>
            </w:r>
          </w:p>
        </w:tc>
        <w:tc>
          <w:tcPr>
            <w:tcW w:w="1341" w:type="dxa"/>
            <w:shd w:val="clear" w:color="auto" w:fill="auto"/>
          </w:tcPr>
          <w:p w:rsidR="00D63674" w:rsidRPr="00D36A23" w:rsidRDefault="00D63674" w:rsidP="00AB2D9E">
            <w:pPr>
              <w:rPr>
                <w:rFonts w:ascii="Arial" w:hAnsi="Arial" w:cs="Arial"/>
                <w:sz w:val="20"/>
                <w:szCs w:val="20"/>
              </w:rPr>
            </w:pPr>
            <w:r w:rsidRPr="00D36A23">
              <w:rPr>
                <w:rFonts w:ascii="Arial" w:hAnsi="Arial" w:cs="Arial"/>
                <w:sz w:val="20"/>
                <w:szCs w:val="20"/>
              </w:rPr>
              <w:t>$0</w:t>
            </w:r>
          </w:p>
        </w:tc>
        <w:tc>
          <w:tcPr>
            <w:tcW w:w="1513" w:type="dxa"/>
            <w:shd w:val="clear" w:color="auto" w:fill="auto"/>
          </w:tcPr>
          <w:p w:rsidR="00D63674" w:rsidRPr="00D36A23" w:rsidRDefault="00D63674" w:rsidP="00AB2D9E">
            <w:pPr>
              <w:rPr>
                <w:rFonts w:ascii="Arial" w:hAnsi="Arial" w:cs="Arial"/>
                <w:sz w:val="20"/>
                <w:szCs w:val="20"/>
              </w:rPr>
            </w:pPr>
            <w:r w:rsidRPr="00D36A23">
              <w:rPr>
                <w:rFonts w:ascii="Arial" w:hAnsi="Arial" w:cs="Arial"/>
                <w:sz w:val="20"/>
                <w:szCs w:val="20"/>
              </w:rPr>
              <w:t>$0</w:t>
            </w:r>
          </w:p>
        </w:tc>
        <w:tc>
          <w:tcPr>
            <w:tcW w:w="1214" w:type="dxa"/>
            <w:shd w:val="clear" w:color="auto" w:fill="auto"/>
          </w:tcPr>
          <w:p w:rsidR="00D63674" w:rsidRPr="00D36A23" w:rsidRDefault="00D63674" w:rsidP="00716141">
            <w:pPr>
              <w:rPr>
                <w:rFonts w:ascii="Arial" w:hAnsi="Arial" w:cs="Arial"/>
                <w:sz w:val="20"/>
                <w:szCs w:val="20"/>
              </w:rPr>
            </w:pPr>
            <w:r w:rsidRPr="00D36A23">
              <w:rPr>
                <w:rFonts w:ascii="Arial" w:hAnsi="Arial" w:cs="Arial"/>
                <w:sz w:val="20"/>
                <w:szCs w:val="20"/>
              </w:rPr>
              <w:t>$</w:t>
            </w:r>
            <w:r>
              <w:rPr>
                <w:rFonts w:ascii="Arial" w:hAnsi="Arial" w:cs="Arial"/>
                <w:sz w:val="20"/>
                <w:szCs w:val="20"/>
              </w:rPr>
              <w:t>20.87</w:t>
            </w:r>
          </w:p>
        </w:tc>
      </w:tr>
    </w:tbl>
    <w:p w:rsidR="00BD0D15" w:rsidRPr="00DD1C47" w:rsidRDefault="00DD1C47" w:rsidP="00AB2D9E">
      <w:pPr>
        <w:rPr>
          <w:rFonts w:ascii="Arial" w:hAnsi="Arial" w:cs="Arial"/>
          <w:i/>
          <w:sz w:val="20"/>
          <w:szCs w:val="20"/>
        </w:rPr>
      </w:pPr>
      <w:r w:rsidRPr="00DD1C47">
        <w:rPr>
          <w:rFonts w:ascii="Arial" w:hAnsi="Arial" w:cs="Arial"/>
          <w:i/>
          <w:sz w:val="20"/>
          <w:szCs w:val="20"/>
        </w:rPr>
        <w:t>All costs are noted as $ per measure unit</w:t>
      </w:r>
    </w:p>
    <w:p w:rsidR="002221BA" w:rsidRPr="002221BA" w:rsidRDefault="002221BA" w:rsidP="000A4829"/>
    <w:p w:rsidR="00C069A2" w:rsidRDefault="00663A00" w:rsidP="002E0043">
      <w:pPr>
        <w:pStyle w:val="Heading2"/>
        <w:keepNext w:val="0"/>
      </w:pPr>
      <w:bookmarkStart w:id="51" w:name="_Toc390769248"/>
      <w:r>
        <w:t>4.2 Meas</w:t>
      </w:r>
      <w:r w:rsidR="00C069A2">
        <w:t xml:space="preserve">ure </w:t>
      </w:r>
      <w:r w:rsidR="00930877">
        <w:t xml:space="preserve">Case </w:t>
      </w:r>
      <w:r w:rsidR="00C069A2">
        <w:t>Costs</w:t>
      </w:r>
      <w:bookmarkEnd w:id="51"/>
      <w:r w:rsidR="00930877">
        <w:t xml:space="preserve"> </w:t>
      </w:r>
    </w:p>
    <w:p w:rsidR="00DD1C47" w:rsidRPr="00DD1C47" w:rsidRDefault="00DD1C47" w:rsidP="00DD1C47">
      <w:pPr>
        <w:rPr>
          <w:rFonts w:ascii="Arial" w:hAnsi="Arial" w:cs="Arial"/>
          <w:sz w:val="20"/>
          <w:szCs w:val="20"/>
        </w:rPr>
      </w:pPr>
      <w:r w:rsidRPr="00B16BE4">
        <w:rPr>
          <w:rFonts w:ascii="Arial" w:hAnsi="Arial" w:cs="Arial"/>
          <w:sz w:val="20"/>
          <w:szCs w:val="20"/>
        </w:rPr>
        <w:t xml:space="preserve">The following Transaction </w:t>
      </w:r>
      <w:r w:rsidRPr="00351506">
        <w:rPr>
          <w:rFonts w:ascii="Arial" w:hAnsi="Arial" w:cs="Arial"/>
          <w:sz w:val="20"/>
          <w:szCs w:val="20"/>
        </w:rPr>
        <w:t xml:space="preserve">type is appropriate to </w:t>
      </w:r>
      <w:r w:rsidR="00351506" w:rsidRPr="00351506">
        <w:rPr>
          <w:rFonts w:ascii="Arial" w:hAnsi="Arial" w:cs="Arial"/>
          <w:sz w:val="20"/>
          <w:szCs w:val="20"/>
        </w:rPr>
        <w:t>th</w:t>
      </w:r>
      <w:r w:rsidRPr="00351506">
        <w:rPr>
          <w:rFonts w:ascii="Arial" w:hAnsi="Arial" w:cs="Arial"/>
          <w:sz w:val="20"/>
          <w:szCs w:val="20"/>
        </w:rPr>
        <w:t>ese measure</w:t>
      </w:r>
      <w:r w:rsidR="00351506" w:rsidRPr="00351506">
        <w:rPr>
          <w:rFonts w:ascii="Arial" w:hAnsi="Arial" w:cs="Arial"/>
          <w:sz w:val="20"/>
          <w:szCs w:val="20"/>
        </w:rPr>
        <w:t>s</w:t>
      </w:r>
      <w:r w:rsidRPr="00351506">
        <w:rPr>
          <w:rFonts w:ascii="Arial" w:hAnsi="Arial" w:cs="Arial"/>
          <w:sz w:val="20"/>
          <w:szCs w:val="20"/>
        </w:rPr>
        <w:t>.</w:t>
      </w:r>
      <w:r>
        <w:rPr>
          <w:rFonts w:ascii="Arial" w:hAnsi="Arial" w:cs="Arial"/>
          <w:sz w:val="20"/>
          <w:szCs w:val="20"/>
        </w:rPr>
        <w:t xml:space="preserve"> </w:t>
      </w:r>
      <w:r w:rsidRPr="00DD1C47">
        <w:rPr>
          <w:rFonts w:ascii="Arial" w:hAnsi="Arial" w:cs="Arial"/>
          <w:sz w:val="20"/>
          <w:szCs w:val="20"/>
        </w:rPr>
        <w:t xml:space="preserve">The </w:t>
      </w:r>
      <w:r>
        <w:rPr>
          <w:rFonts w:ascii="Arial" w:hAnsi="Arial" w:cs="Arial"/>
          <w:sz w:val="20"/>
          <w:szCs w:val="20"/>
        </w:rPr>
        <w:t>Measure</w:t>
      </w:r>
      <w:r w:rsidRPr="00DD1C47">
        <w:rPr>
          <w:rFonts w:ascii="Arial" w:hAnsi="Arial" w:cs="Arial"/>
          <w:sz w:val="20"/>
          <w:szCs w:val="20"/>
        </w:rPr>
        <w:t xml:space="preserve"> Case Costs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3F46D4" w:rsidTr="003F46D4">
        <w:tc>
          <w:tcPr>
            <w:tcW w:w="1028" w:type="dxa"/>
            <w:shd w:val="clear" w:color="auto" w:fill="auto"/>
          </w:tcPr>
          <w:p w:rsidR="00DD1C47" w:rsidRPr="003F46D4" w:rsidRDefault="00DD1C47" w:rsidP="003F57BD">
            <w:pPr>
              <w:rPr>
                <w:rFonts w:ascii="Arial" w:hAnsi="Arial" w:cs="Arial"/>
                <w:b/>
                <w:i/>
                <w:sz w:val="20"/>
                <w:szCs w:val="20"/>
              </w:rPr>
            </w:pPr>
            <w:r w:rsidRPr="003F46D4">
              <w:rPr>
                <w:rFonts w:ascii="Arial" w:hAnsi="Arial" w:cs="Arial"/>
                <w:b/>
                <w:i/>
                <w:sz w:val="20"/>
                <w:szCs w:val="20"/>
              </w:rPr>
              <w:t>Measure Code</w:t>
            </w:r>
          </w:p>
        </w:tc>
        <w:tc>
          <w:tcPr>
            <w:tcW w:w="1420" w:type="dxa"/>
            <w:shd w:val="clear" w:color="auto" w:fill="auto"/>
          </w:tcPr>
          <w:p w:rsidR="00DD1C47" w:rsidRPr="003F46D4" w:rsidRDefault="00DD1C47" w:rsidP="003F57BD">
            <w:pPr>
              <w:rPr>
                <w:rFonts w:ascii="Arial" w:hAnsi="Arial" w:cs="Arial"/>
                <w:b/>
                <w:sz w:val="20"/>
                <w:szCs w:val="20"/>
              </w:rPr>
            </w:pPr>
            <w:r w:rsidRPr="003F46D4">
              <w:rPr>
                <w:rFonts w:ascii="Arial" w:hAnsi="Arial" w:cs="Arial"/>
                <w:b/>
                <w:sz w:val="20"/>
                <w:szCs w:val="20"/>
              </w:rPr>
              <w:t>Transaction</w:t>
            </w:r>
          </w:p>
        </w:tc>
        <w:tc>
          <w:tcPr>
            <w:tcW w:w="1620" w:type="dxa"/>
            <w:shd w:val="clear" w:color="auto" w:fill="auto"/>
          </w:tcPr>
          <w:p w:rsidR="00DD1C47" w:rsidRPr="003F46D4" w:rsidRDefault="00DD1C47" w:rsidP="003F57BD">
            <w:pPr>
              <w:rPr>
                <w:rFonts w:ascii="Arial" w:hAnsi="Arial" w:cs="Arial"/>
                <w:b/>
                <w:sz w:val="20"/>
                <w:szCs w:val="20"/>
              </w:rPr>
            </w:pPr>
            <w:r w:rsidRPr="003F46D4">
              <w:rPr>
                <w:rFonts w:ascii="Arial" w:hAnsi="Arial" w:cs="Arial"/>
                <w:b/>
                <w:sz w:val="20"/>
                <w:szCs w:val="20"/>
              </w:rPr>
              <w:t>Baseline</w:t>
            </w:r>
          </w:p>
        </w:tc>
        <w:tc>
          <w:tcPr>
            <w:tcW w:w="1440" w:type="dxa"/>
            <w:shd w:val="clear" w:color="auto" w:fill="auto"/>
          </w:tcPr>
          <w:p w:rsidR="00DD1C47" w:rsidRPr="003F46D4" w:rsidRDefault="00DD1C47" w:rsidP="003F57BD">
            <w:pPr>
              <w:rPr>
                <w:rFonts w:ascii="Arial" w:hAnsi="Arial" w:cs="Arial"/>
                <w:b/>
                <w:sz w:val="20"/>
                <w:szCs w:val="20"/>
              </w:rPr>
            </w:pPr>
            <w:r w:rsidRPr="003F46D4">
              <w:rPr>
                <w:rFonts w:ascii="Arial" w:hAnsi="Arial" w:cs="Arial"/>
                <w:b/>
                <w:sz w:val="20"/>
                <w:szCs w:val="20"/>
              </w:rPr>
              <w:t>Equipment Cost</w:t>
            </w:r>
          </w:p>
        </w:tc>
        <w:tc>
          <w:tcPr>
            <w:tcW w:w="1341" w:type="dxa"/>
            <w:shd w:val="clear" w:color="auto" w:fill="auto"/>
          </w:tcPr>
          <w:p w:rsidR="00DD1C47" w:rsidRPr="003F46D4" w:rsidRDefault="00DD1C47" w:rsidP="003F57BD">
            <w:pPr>
              <w:rPr>
                <w:rFonts w:ascii="Arial" w:hAnsi="Arial" w:cs="Arial"/>
                <w:b/>
                <w:sz w:val="20"/>
                <w:szCs w:val="20"/>
              </w:rPr>
            </w:pPr>
            <w:r w:rsidRPr="003F46D4">
              <w:rPr>
                <w:rFonts w:ascii="Arial" w:hAnsi="Arial" w:cs="Arial"/>
                <w:b/>
                <w:sz w:val="20"/>
                <w:szCs w:val="20"/>
              </w:rPr>
              <w:t>Labor / Installation Cost</w:t>
            </w:r>
          </w:p>
        </w:tc>
        <w:tc>
          <w:tcPr>
            <w:tcW w:w="1513" w:type="dxa"/>
            <w:shd w:val="clear" w:color="auto" w:fill="auto"/>
          </w:tcPr>
          <w:p w:rsidR="00DD1C47" w:rsidRPr="003F46D4" w:rsidRDefault="00DD1C47" w:rsidP="003F57BD">
            <w:pPr>
              <w:rPr>
                <w:rFonts w:ascii="Arial" w:hAnsi="Arial" w:cs="Arial"/>
                <w:b/>
                <w:sz w:val="20"/>
                <w:szCs w:val="20"/>
              </w:rPr>
            </w:pPr>
            <w:r w:rsidRPr="003F46D4">
              <w:rPr>
                <w:rFonts w:ascii="Arial" w:hAnsi="Arial" w:cs="Arial"/>
                <w:b/>
                <w:sz w:val="20"/>
                <w:szCs w:val="20"/>
              </w:rPr>
              <w:t>Maintenance / Other Cost</w:t>
            </w:r>
          </w:p>
        </w:tc>
        <w:tc>
          <w:tcPr>
            <w:tcW w:w="1214" w:type="dxa"/>
            <w:shd w:val="clear" w:color="auto" w:fill="auto"/>
          </w:tcPr>
          <w:p w:rsidR="00DD1C47" w:rsidRPr="003F46D4" w:rsidRDefault="00DD1C47" w:rsidP="003F57BD">
            <w:pPr>
              <w:rPr>
                <w:rFonts w:ascii="Arial" w:hAnsi="Arial" w:cs="Arial"/>
                <w:b/>
                <w:sz w:val="20"/>
                <w:szCs w:val="20"/>
              </w:rPr>
            </w:pPr>
            <w:r w:rsidRPr="003F46D4">
              <w:rPr>
                <w:rFonts w:ascii="Arial" w:hAnsi="Arial" w:cs="Arial"/>
                <w:b/>
                <w:sz w:val="20"/>
                <w:szCs w:val="20"/>
              </w:rPr>
              <w:t>Total Measure Case Cost</w:t>
            </w:r>
          </w:p>
        </w:tc>
      </w:tr>
      <w:tr w:rsidR="00D816CF" w:rsidRPr="003F46D4" w:rsidTr="006D78EA">
        <w:tc>
          <w:tcPr>
            <w:tcW w:w="1028" w:type="dxa"/>
            <w:shd w:val="clear" w:color="auto" w:fill="auto"/>
            <w:vAlign w:val="bottom"/>
          </w:tcPr>
          <w:p w:rsidR="00D816CF" w:rsidRPr="0008537D" w:rsidRDefault="00D816CF" w:rsidP="006D78EA">
            <w:pPr>
              <w:jc w:val="center"/>
              <w:rPr>
                <w:rFonts w:ascii="Arial" w:hAnsi="Arial" w:cs="Arial"/>
                <w:sz w:val="20"/>
              </w:rPr>
            </w:pPr>
            <w:r>
              <w:rPr>
                <w:rFonts w:ascii="Arial" w:hAnsi="Arial" w:cs="Arial"/>
                <w:sz w:val="20"/>
              </w:rPr>
              <w:t>L0337</w:t>
            </w:r>
          </w:p>
        </w:tc>
        <w:tc>
          <w:tcPr>
            <w:tcW w:w="1420" w:type="dxa"/>
            <w:shd w:val="clear" w:color="auto" w:fill="auto"/>
          </w:tcPr>
          <w:p w:rsidR="00D816CF" w:rsidRPr="003F46D4" w:rsidRDefault="00D816CF" w:rsidP="00441A87">
            <w:pPr>
              <w:rPr>
                <w:rFonts w:ascii="Arial" w:hAnsi="Arial" w:cs="Arial"/>
                <w:sz w:val="20"/>
                <w:szCs w:val="20"/>
              </w:rPr>
            </w:pPr>
            <w:r>
              <w:rPr>
                <w:rFonts w:ascii="Arial" w:hAnsi="Arial" w:cs="Arial"/>
                <w:sz w:val="20"/>
                <w:szCs w:val="20"/>
              </w:rPr>
              <w:t>ROB</w:t>
            </w:r>
          </w:p>
        </w:tc>
        <w:tc>
          <w:tcPr>
            <w:tcW w:w="1620" w:type="dxa"/>
            <w:shd w:val="clear" w:color="auto" w:fill="auto"/>
          </w:tcPr>
          <w:p w:rsidR="00D816CF" w:rsidRPr="003F46D4" w:rsidRDefault="00D816CF" w:rsidP="00441A87">
            <w:pPr>
              <w:rPr>
                <w:rFonts w:ascii="Arial" w:hAnsi="Arial" w:cs="Arial"/>
                <w:sz w:val="20"/>
                <w:szCs w:val="20"/>
              </w:rPr>
            </w:pPr>
            <w:r>
              <w:rPr>
                <w:rFonts w:ascii="Arial" w:hAnsi="Arial" w:cs="Arial"/>
                <w:sz w:val="20"/>
                <w:szCs w:val="20"/>
              </w:rPr>
              <w:t>Existing</w:t>
            </w:r>
          </w:p>
        </w:tc>
        <w:tc>
          <w:tcPr>
            <w:tcW w:w="1440" w:type="dxa"/>
            <w:shd w:val="clear" w:color="auto" w:fill="auto"/>
          </w:tcPr>
          <w:p w:rsidR="00D816CF" w:rsidRPr="000E39B4" w:rsidRDefault="00D816CF" w:rsidP="003F57BD">
            <w:pPr>
              <w:rPr>
                <w:rFonts w:ascii="Arial" w:hAnsi="Arial" w:cs="Arial"/>
                <w:sz w:val="20"/>
                <w:szCs w:val="20"/>
              </w:rPr>
            </w:pPr>
            <w:r w:rsidRPr="000E39B4">
              <w:rPr>
                <w:rFonts w:ascii="Arial" w:hAnsi="Arial" w:cs="Arial"/>
                <w:sz w:val="20"/>
                <w:szCs w:val="20"/>
              </w:rPr>
              <w:t>$56.16</w:t>
            </w:r>
          </w:p>
        </w:tc>
        <w:tc>
          <w:tcPr>
            <w:tcW w:w="1341" w:type="dxa"/>
            <w:shd w:val="clear" w:color="auto" w:fill="auto"/>
          </w:tcPr>
          <w:p w:rsidR="00D816CF" w:rsidRPr="000E39B4" w:rsidRDefault="00D816CF" w:rsidP="003F57BD">
            <w:pPr>
              <w:rPr>
                <w:rFonts w:ascii="Arial" w:hAnsi="Arial" w:cs="Arial"/>
                <w:sz w:val="20"/>
                <w:szCs w:val="20"/>
              </w:rPr>
            </w:pPr>
            <w:r w:rsidRPr="000E39B4">
              <w:rPr>
                <w:rFonts w:ascii="Arial" w:hAnsi="Arial" w:cs="Arial"/>
                <w:sz w:val="20"/>
                <w:szCs w:val="20"/>
              </w:rPr>
              <w:t>$0</w:t>
            </w:r>
          </w:p>
        </w:tc>
        <w:tc>
          <w:tcPr>
            <w:tcW w:w="1513" w:type="dxa"/>
            <w:shd w:val="clear" w:color="auto" w:fill="auto"/>
          </w:tcPr>
          <w:p w:rsidR="00D816CF" w:rsidRPr="000E39B4" w:rsidRDefault="00D816CF" w:rsidP="003F57BD">
            <w:pPr>
              <w:rPr>
                <w:rFonts w:ascii="Arial" w:hAnsi="Arial" w:cs="Arial"/>
                <w:sz w:val="20"/>
                <w:szCs w:val="20"/>
              </w:rPr>
            </w:pPr>
            <w:r w:rsidRPr="000E39B4">
              <w:rPr>
                <w:rFonts w:ascii="Arial" w:hAnsi="Arial" w:cs="Arial"/>
                <w:sz w:val="20"/>
                <w:szCs w:val="20"/>
              </w:rPr>
              <w:t>$0</w:t>
            </w:r>
          </w:p>
        </w:tc>
        <w:tc>
          <w:tcPr>
            <w:tcW w:w="1214" w:type="dxa"/>
            <w:shd w:val="clear" w:color="auto" w:fill="auto"/>
          </w:tcPr>
          <w:p w:rsidR="00D816CF" w:rsidRPr="000E39B4" w:rsidRDefault="00D816CF" w:rsidP="003F57BD">
            <w:pPr>
              <w:rPr>
                <w:rFonts w:ascii="Arial" w:hAnsi="Arial" w:cs="Arial"/>
                <w:sz w:val="20"/>
                <w:szCs w:val="20"/>
              </w:rPr>
            </w:pPr>
            <w:r w:rsidRPr="000E39B4">
              <w:rPr>
                <w:rFonts w:ascii="Arial" w:hAnsi="Arial" w:cs="Arial"/>
                <w:sz w:val="20"/>
                <w:szCs w:val="20"/>
              </w:rPr>
              <w:t>$56.16</w:t>
            </w:r>
          </w:p>
        </w:tc>
      </w:tr>
      <w:tr w:rsidR="00D816CF" w:rsidRPr="003F46D4" w:rsidTr="006D78EA">
        <w:tc>
          <w:tcPr>
            <w:tcW w:w="1028" w:type="dxa"/>
            <w:shd w:val="clear" w:color="auto" w:fill="auto"/>
            <w:vAlign w:val="bottom"/>
          </w:tcPr>
          <w:p w:rsidR="00D816CF" w:rsidRPr="0008537D" w:rsidRDefault="00D816CF" w:rsidP="006D78EA">
            <w:pPr>
              <w:jc w:val="center"/>
              <w:rPr>
                <w:rFonts w:ascii="Arial" w:hAnsi="Arial" w:cs="Arial"/>
                <w:sz w:val="20"/>
              </w:rPr>
            </w:pPr>
            <w:r>
              <w:rPr>
                <w:rFonts w:ascii="Arial" w:hAnsi="Arial" w:cs="Arial"/>
                <w:sz w:val="20"/>
              </w:rPr>
              <w:t>L0338</w:t>
            </w:r>
          </w:p>
        </w:tc>
        <w:tc>
          <w:tcPr>
            <w:tcW w:w="1420" w:type="dxa"/>
            <w:shd w:val="clear" w:color="auto" w:fill="auto"/>
          </w:tcPr>
          <w:p w:rsidR="00D816CF" w:rsidRPr="003F46D4" w:rsidRDefault="00D816CF" w:rsidP="00441A87">
            <w:pPr>
              <w:rPr>
                <w:rFonts w:ascii="Arial" w:hAnsi="Arial" w:cs="Arial"/>
                <w:sz w:val="20"/>
                <w:szCs w:val="20"/>
              </w:rPr>
            </w:pPr>
            <w:r>
              <w:rPr>
                <w:rFonts w:ascii="Arial" w:hAnsi="Arial" w:cs="Arial"/>
                <w:sz w:val="20"/>
                <w:szCs w:val="20"/>
              </w:rPr>
              <w:t>ROB</w:t>
            </w:r>
          </w:p>
        </w:tc>
        <w:tc>
          <w:tcPr>
            <w:tcW w:w="1620" w:type="dxa"/>
            <w:shd w:val="clear" w:color="auto" w:fill="auto"/>
          </w:tcPr>
          <w:p w:rsidR="00D816CF" w:rsidRPr="003F46D4" w:rsidRDefault="00D816CF" w:rsidP="00441A87">
            <w:pPr>
              <w:rPr>
                <w:rFonts w:ascii="Arial" w:hAnsi="Arial" w:cs="Arial"/>
                <w:sz w:val="20"/>
                <w:szCs w:val="20"/>
              </w:rPr>
            </w:pPr>
            <w:r>
              <w:rPr>
                <w:rFonts w:ascii="Arial" w:hAnsi="Arial" w:cs="Arial"/>
                <w:sz w:val="20"/>
                <w:szCs w:val="20"/>
              </w:rPr>
              <w:t>Existing</w:t>
            </w:r>
          </w:p>
        </w:tc>
        <w:tc>
          <w:tcPr>
            <w:tcW w:w="1440" w:type="dxa"/>
            <w:shd w:val="clear" w:color="auto" w:fill="auto"/>
          </w:tcPr>
          <w:p w:rsidR="00D816CF" w:rsidRPr="00590A83" w:rsidRDefault="00D816CF" w:rsidP="00716141">
            <w:pPr>
              <w:rPr>
                <w:rFonts w:ascii="Arial" w:hAnsi="Arial" w:cs="Arial"/>
                <w:sz w:val="20"/>
                <w:szCs w:val="20"/>
              </w:rPr>
            </w:pPr>
            <w:r w:rsidRPr="00590A83">
              <w:rPr>
                <w:rFonts w:ascii="Arial" w:hAnsi="Arial" w:cs="Arial"/>
                <w:sz w:val="20"/>
                <w:szCs w:val="20"/>
              </w:rPr>
              <w:t>$88.91</w:t>
            </w:r>
          </w:p>
        </w:tc>
        <w:tc>
          <w:tcPr>
            <w:tcW w:w="1341" w:type="dxa"/>
            <w:shd w:val="clear" w:color="auto" w:fill="auto"/>
          </w:tcPr>
          <w:p w:rsidR="00D816CF" w:rsidRPr="000E39B4" w:rsidRDefault="00D816CF" w:rsidP="003F57BD">
            <w:pPr>
              <w:rPr>
                <w:rFonts w:ascii="Arial" w:hAnsi="Arial" w:cs="Arial"/>
                <w:sz w:val="20"/>
                <w:szCs w:val="20"/>
              </w:rPr>
            </w:pPr>
            <w:r w:rsidRPr="000E39B4">
              <w:rPr>
                <w:rFonts w:ascii="Arial" w:hAnsi="Arial" w:cs="Arial"/>
                <w:sz w:val="20"/>
                <w:szCs w:val="20"/>
              </w:rPr>
              <w:t>$19.75</w:t>
            </w:r>
          </w:p>
        </w:tc>
        <w:tc>
          <w:tcPr>
            <w:tcW w:w="1513" w:type="dxa"/>
            <w:shd w:val="clear" w:color="auto" w:fill="auto"/>
          </w:tcPr>
          <w:p w:rsidR="00D816CF" w:rsidRPr="000E39B4" w:rsidRDefault="00D816CF" w:rsidP="003F57BD">
            <w:pPr>
              <w:rPr>
                <w:rFonts w:ascii="Arial" w:hAnsi="Arial" w:cs="Arial"/>
                <w:sz w:val="20"/>
                <w:szCs w:val="20"/>
              </w:rPr>
            </w:pPr>
            <w:r w:rsidRPr="000E39B4">
              <w:rPr>
                <w:rFonts w:ascii="Arial" w:hAnsi="Arial" w:cs="Arial"/>
                <w:sz w:val="20"/>
                <w:szCs w:val="20"/>
              </w:rPr>
              <w:t>$0</w:t>
            </w:r>
          </w:p>
        </w:tc>
        <w:tc>
          <w:tcPr>
            <w:tcW w:w="1214" w:type="dxa"/>
            <w:shd w:val="clear" w:color="auto" w:fill="auto"/>
          </w:tcPr>
          <w:p w:rsidR="00D816CF" w:rsidRPr="00590A83" w:rsidRDefault="00D816CF" w:rsidP="00716141">
            <w:pPr>
              <w:rPr>
                <w:rFonts w:ascii="Arial" w:hAnsi="Arial" w:cs="Arial"/>
                <w:sz w:val="20"/>
                <w:szCs w:val="20"/>
              </w:rPr>
            </w:pPr>
            <w:r w:rsidRPr="00590A83">
              <w:rPr>
                <w:rFonts w:ascii="Arial" w:hAnsi="Arial" w:cs="Arial"/>
                <w:sz w:val="20"/>
                <w:szCs w:val="20"/>
              </w:rPr>
              <w:t>$108.66</w:t>
            </w:r>
          </w:p>
        </w:tc>
      </w:tr>
    </w:tbl>
    <w:p w:rsidR="00DD1C47" w:rsidRPr="00DD1C47" w:rsidRDefault="00DD1C47" w:rsidP="00DD1C47">
      <w:pPr>
        <w:rPr>
          <w:rFonts w:ascii="Arial" w:hAnsi="Arial" w:cs="Arial"/>
          <w:i/>
          <w:sz w:val="20"/>
          <w:szCs w:val="20"/>
        </w:rPr>
      </w:pPr>
      <w:r w:rsidRPr="00DD1C47">
        <w:rPr>
          <w:rFonts w:ascii="Arial" w:hAnsi="Arial" w:cs="Arial"/>
          <w:i/>
          <w:sz w:val="20"/>
          <w:szCs w:val="20"/>
        </w:rPr>
        <w:t>All costs are noted as $ per measure unit</w:t>
      </w:r>
    </w:p>
    <w:p w:rsidR="00DD1C47" w:rsidRDefault="00DD1C47" w:rsidP="00DD1C47">
      <w:pPr>
        <w:rPr>
          <w:i/>
        </w:rPr>
      </w:pPr>
    </w:p>
    <w:p w:rsidR="00E30B56" w:rsidRDefault="002221BA" w:rsidP="00DD1C47">
      <w:pPr>
        <w:rPr>
          <w:rFonts w:ascii="Arial" w:hAnsi="Arial" w:cs="Arial"/>
          <w:sz w:val="20"/>
          <w:szCs w:val="20"/>
        </w:rPr>
      </w:pPr>
      <w:r w:rsidRPr="00860154">
        <w:rPr>
          <w:rFonts w:ascii="Arial" w:hAnsi="Arial" w:cs="Arial"/>
          <w:sz w:val="20"/>
          <w:szCs w:val="20"/>
        </w:rPr>
        <w:t xml:space="preserve">Base case cost of </w:t>
      </w:r>
      <w:r w:rsidR="004048BA">
        <w:rPr>
          <w:rFonts w:ascii="Arial" w:hAnsi="Arial" w:cs="Arial"/>
          <w:sz w:val="20"/>
          <w:szCs w:val="20"/>
        </w:rPr>
        <w:t>fluorescent ballasts and measure case cost of dimming ballasts were</w:t>
      </w:r>
      <w:r w:rsidRPr="00860154">
        <w:rPr>
          <w:rFonts w:ascii="Arial" w:hAnsi="Arial" w:cs="Arial"/>
          <w:sz w:val="20"/>
          <w:szCs w:val="20"/>
        </w:rPr>
        <w:t xml:space="preserve"> estimate</w:t>
      </w:r>
      <w:r w:rsidR="004048BA">
        <w:rPr>
          <w:rFonts w:ascii="Arial" w:hAnsi="Arial" w:cs="Arial"/>
          <w:sz w:val="20"/>
          <w:szCs w:val="20"/>
        </w:rPr>
        <w:t>d by examining product costs from 1000bulbs.com, a large national distributor of lighting products. As 2-lamp ballasts are</w:t>
      </w:r>
      <w:r w:rsidR="00627927">
        <w:rPr>
          <w:rFonts w:ascii="Arial" w:hAnsi="Arial" w:cs="Arial"/>
          <w:sz w:val="20"/>
          <w:szCs w:val="20"/>
        </w:rPr>
        <w:t xml:space="preserve"> the</w:t>
      </w:r>
      <w:r w:rsidR="004048BA">
        <w:rPr>
          <w:rFonts w:ascii="Arial" w:hAnsi="Arial" w:cs="Arial"/>
          <w:sz w:val="20"/>
          <w:szCs w:val="20"/>
        </w:rPr>
        <w:t xml:space="preserve"> most common </w:t>
      </w:r>
      <w:r w:rsidR="00627927">
        <w:rPr>
          <w:rFonts w:ascii="Arial" w:hAnsi="Arial" w:cs="Arial"/>
          <w:sz w:val="20"/>
          <w:szCs w:val="20"/>
        </w:rPr>
        <w:t xml:space="preserve">ballast types </w:t>
      </w:r>
      <w:r w:rsidR="004048BA">
        <w:rPr>
          <w:rFonts w:ascii="Arial" w:hAnsi="Arial" w:cs="Arial"/>
          <w:sz w:val="20"/>
          <w:szCs w:val="20"/>
        </w:rPr>
        <w:t xml:space="preserve">in commercial installations, average prices for 2-lamp fixed output and 2-lamp dimming ballasts were chosen as representative costs for this measure. Off-brand </w:t>
      </w:r>
      <w:r w:rsidR="004048BA">
        <w:rPr>
          <w:rFonts w:ascii="Arial" w:hAnsi="Arial" w:cs="Arial"/>
          <w:sz w:val="20"/>
          <w:szCs w:val="20"/>
        </w:rPr>
        <w:lastRenderedPageBreak/>
        <w:t xml:space="preserve">products and dimming ballasts with special </w:t>
      </w:r>
      <w:r w:rsidR="004B3A75">
        <w:rPr>
          <w:rFonts w:ascii="Arial" w:hAnsi="Arial" w:cs="Arial"/>
          <w:sz w:val="20"/>
          <w:szCs w:val="20"/>
        </w:rPr>
        <w:t xml:space="preserve">added </w:t>
      </w:r>
      <w:r w:rsidR="004048BA">
        <w:rPr>
          <w:rFonts w:ascii="Arial" w:hAnsi="Arial" w:cs="Arial"/>
          <w:sz w:val="20"/>
          <w:szCs w:val="20"/>
        </w:rPr>
        <w:t>functionality (for example, DALI communications) were filtered out from the final averages, resulting in an average incremental measure cost of $37.74.</w:t>
      </w:r>
      <w:r w:rsidR="0051149B" w:rsidRPr="0051149B">
        <w:rPr>
          <w:rFonts w:ascii="Arial" w:hAnsi="Arial" w:cs="Arial"/>
          <w:sz w:val="20"/>
          <w:szCs w:val="20"/>
          <w:vertAlign w:val="superscript"/>
        </w:rPr>
        <w:fldChar w:fldCharType="begin"/>
      </w:r>
      <w:r w:rsidR="0051149B" w:rsidRPr="0051149B">
        <w:rPr>
          <w:rFonts w:ascii="Arial" w:hAnsi="Arial" w:cs="Arial"/>
          <w:sz w:val="20"/>
          <w:szCs w:val="20"/>
          <w:vertAlign w:val="superscript"/>
        </w:rPr>
        <w:instrText xml:space="preserve"> NOTEREF _Ref350352730 \h </w:instrText>
      </w:r>
      <w:r w:rsidR="0051149B">
        <w:rPr>
          <w:rFonts w:ascii="Arial" w:hAnsi="Arial" w:cs="Arial"/>
          <w:sz w:val="20"/>
          <w:szCs w:val="20"/>
          <w:vertAlign w:val="superscript"/>
        </w:rPr>
        <w:instrText xml:space="preserve"> \* MERGEFORMAT </w:instrText>
      </w:r>
      <w:r w:rsidR="0051149B" w:rsidRPr="0051149B">
        <w:rPr>
          <w:rFonts w:ascii="Arial" w:hAnsi="Arial" w:cs="Arial"/>
          <w:sz w:val="20"/>
          <w:szCs w:val="20"/>
          <w:vertAlign w:val="superscript"/>
        </w:rPr>
      </w:r>
      <w:r w:rsidR="0051149B" w:rsidRPr="0051149B">
        <w:rPr>
          <w:rFonts w:ascii="Arial" w:hAnsi="Arial" w:cs="Arial"/>
          <w:sz w:val="20"/>
          <w:szCs w:val="20"/>
          <w:vertAlign w:val="superscript"/>
        </w:rPr>
        <w:fldChar w:fldCharType="separate"/>
      </w:r>
      <w:r w:rsidR="003A4812">
        <w:rPr>
          <w:rFonts w:ascii="Arial" w:hAnsi="Arial" w:cs="Arial"/>
          <w:sz w:val="20"/>
          <w:szCs w:val="20"/>
          <w:vertAlign w:val="superscript"/>
        </w:rPr>
        <w:t>3</w:t>
      </w:r>
      <w:r w:rsidR="0051149B" w:rsidRPr="0051149B">
        <w:rPr>
          <w:rFonts w:ascii="Arial" w:hAnsi="Arial" w:cs="Arial"/>
          <w:sz w:val="20"/>
          <w:szCs w:val="20"/>
          <w:vertAlign w:val="superscript"/>
        </w:rPr>
        <w:fldChar w:fldCharType="end"/>
      </w:r>
      <w:r w:rsidR="004048BA">
        <w:rPr>
          <w:rFonts w:ascii="Arial" w:hAnsi="Arial" w:cs="Arial"/>
          <w:sz w:val="20"/>
          <w:szCs w:val="20"/>
        </w:rPr>
        <w:t xml:space="preserve"> </w:t>
      </w:r>
      <w:r w:rsidR="00D36A23">
        <w:rPr>
          <w:rFonts w:ascii="Arial" w:hAnsi="Arial" w:cs="Arial"/>
          <w:sz w:val="20"/>
          <w:szCs w:val="20"/>
        </w:rPr>
        <w:t>This is consistent with an Energy Design Resources</w:t>
      </w:r>
      <w:r w:rsidR="007254EC">
        <w:rPr>
          <w:rFonts w:ascii="Arial" w:hAnsi="Arial" w:cs="Arial"/>
          <w:sz w:val="20"/>
          <w:szCs w:val="20"/>
        </w:rPr>
        <w:t>’</w:t>
      </w:r>
      <w:r w:rsidR="00D36A23">
        <w:rPr>
          <w:rFonts w:ascii="Arial" w:hAnsi="Arial" w:cs="Arial"/>
          <w:sz w:val="20"/>
          <w:szCs w:val="20"/>
        </w:rPr>
        <w:t xml:space="preserve"> claim that the cost of </w:t>
      </w:r>
      <w:proofErr w:type="gramStart"/>
      <w:r w:rsidR="00D36A23">
        <w:rPr>
          <w:rFonts w:ascii="Arial" w:hAnsi="Arial" w:cs="Arial"/>
          <w:sz w:val="20"/>
          <w:szCs w:val="20"/>
        </w:rPr>
        <w:t>a dimming</w:t>
      </w:r>
      <w:proofErr w:type="gramEnd"/>
      <w:r w:rsidR="00D36A23">
        <w:rPr>
          <w:rFonts w:ascii="Arial" w:hAnsi="Arial" w:cs="Arial"/>
          <w:sz w:val="20"/>
          <w:szCs w:val="20"/>
        </w:rPr>
        <w:t xml:space="preserve"> ballast is typically on the order of three times greater than that of a fixed output ballast</w:t>
      </w:r>
      <w:r w:rsidR="00E30B56">
        <w:rPr>
          <w:rFonts w:ascii="Arial" w:hAnsi="Arial" w:cs="Arial"/>
          <w:sz w:val="20"/>
          <w:szCs w:val="20"/>
        </w:rPr>
        <w:t>.</w:t>
      </w:r>
      <w:r w:rsidR="00E30B56">
        <w:rPr>
          <w:rStyle w:val="EndnoteReference"/>
          <w:rFonts w:ascii="Arial" w:hAnsi="Arial" w:cs="Arial"/>
          <w:sz w:val="20"/>
          <w:szCs w:val="20"/>
        </w:rPr>
        <w:endnoteReference w:id="9"/>
      </w:r>
      <w:r w:rsidR="00D36A23">
        <w:rPr>
          <w:rFonts w:ascii="Arial" w:hAnsi="Arial" w:cs="Arial"/>
          <w:sz w:val="20"/>
          <w:szCs w:val="20"/>
        </w:rPr>
        <w:t xml:space="preserve"> </w:t>
      </w:r>
    </w:p>
    <w:p w:rsidR="00E30B56" w:rsidRPr="00860154" w:rsidRDefault="00E30B56" w:rsidP="00DD1C47">
      <w:pPr>
        <w:rPr>
          <w:rFonts w:ascii="Arial" w:hAnsi="Arial" w:cs="Arial"/>
          <w:sz w:val="20"/>
          <w:szCs w:val="20"/>
        </w:rPr>
      </w:pPr>
    </w:p>
    <w:p w:rsidR="000A4829" w:rsidRDefault="002221BA" w:rsidP="00DD1C47">
      <w:pPr>
        <w:rPr>
          <w:rFonts w:ascii="Arial" w:hAnsi="Arial" w:cs="Arial"/>
          <w:sz w:val="20"/>
          <w:szCs w:val="20"/>
        </w:rPr>
      </w:pPr>
      <w:r w:rsidRPr="00860154">
        <w:rPr>
          <w:rFonts w:ascii="Arial" w:hAnsi="Arial" w:cs="Arial"/>
          <w:sz w:val="20"/>
          <w:szCs w:val="20"/>
        </w:rPr>
        <w:t xml:space="preserve">This adjustment is detailed in Section 1.4.1. </w:t>
      </w:r>
      <w:r w:rsidR="00AF6838" w:rsidRPr="00860154">
        <w:rPr>
          <w:rFonts w:ascii="Arial" w:hAnsi="Arial" w:cs="Arial"/>
          <w:sz w:val="20"/>
          <w:szCs w:val="20"/>
        </w:rPr>
        <w:t xml:space="preserve">Equipment and labor cost for daylight harvesting sensors was obtained from </w:t>
      </w:r>
      <w:proofErr w:type="spellStart"/>
      <w:r w:rsidR="00AF6838" w:rsidRPr="00860154">
        <w:rPr>
          <w:rFonts w:ascii="Arial" w:hAnsi="Arial" w:cs="Arial"/>
          <w:sz w:val="20"/>
          <w:szCs w:val="20"/>
        </w:rPr>
        <w:t>RSMeans</w:t>
      </w:r>
      <w:proofErr w:type="spellEnd"/>
      <w:r w:rsidR="00AF6838" w:rsidRPr="00860154">
        <w:rPr>
          <w:rFonts w:ascii="Arial" w:hAnsi="Arial" w:cs="Arial"/>
          <w:sz w:val="20"/>
          <w:szCs w:val="20"/>
        </w:rPr>
        <w:t xml:space="preserve"> data. These costs were adjusted to represent per fixture costs by relying on data from the T24 Controllable Lighting CASE report. This adjustment is detailed in Section 1.4.4.</w:t>
      </w:r>
    </w:p>
    <w:p w:rsidR="008B0E5E" w:rsidRDefault="008B0E5E" w:rsidP="00DD1C47">
      <w:pPr>
        <w:rPr>
          <w:rFonts w:ascii="Arial" w:hAnsi="Arial" w:cs="Arial"/>
          <w:sz w:val="20"/>
          <w:szCs w:val="20"/>
        </w:rPr>
      </w:pPr>
    </w:p>
    <w:p w:rsidR="008B0E5E" w:rsidRPr="00860154" w:rsidRDefault="008B0E5E" w:rsidP="00DD1C47">
      <w:pPr>
        <w:rPr>
          <w:rFonts w:ascii="Arial" w:hAnsi="Arial" w:cs="Arial"/>
          <w:sz w:val="20"/>
          <w:szCs w:val="20"/>
        </w:rPr>
      </w:pPr>
      <w:r>
        <w:rPr>
          <w:rFonts w:ascii="Arial" w:hAnsi="Arial" w:cs="Arial"/>
          <w:sz w:val="20"/>
          <w:szCs w:val="20"/>
        </w:rPr>
        <w:t>All installation costs are incremental to the cost of</w:t>
      </w:r>
      <w:r w:rsidR="000D2BBD">
        <w:rPr>
          <w:rFonts w:ascii="Arial" w:hAnsi="Arial" w:cs="Arial"/>
          <w:sz w:val="20"/>
          <w:szCs w:val="20"/>
        </w:rPr>
        <w:t xml:space="preserve"> installing the ballast itself. Ballast installation cost </w:t>
      </w:r>
      <w:r>
        <w:rPr>
          <w:rFonts w:ascii="Arial" w:hAnsi="Arial" w:cs="Arial"/>
          <w:sz w:val="20"/>
          <w:szCs w:val="20"/>
        </w:rPr>
        <w:t xml:space="preserve">is assumed to be equal for fixed output and dimming ballasts, and therefore has been </w:t>
      </w:r>
      <w:r w:rsidR="007254EC">
        <w:rPr>
          <w:rFonts w:ascii="Arial" w:hAnsi="Arial" w:cs="Arial"/>
          <w:sz w:val="20"/>
          <w:szCs w:val="20"/>
        </w:rPr>
        <w:t>removed</w:t>
      </w:r>
      <w:r w:rsidR="000D2BBD">
        <w:rPr>
          <w:rFonts w:ascii="Arial" w:hAnsi="Arial" w:cs="Arial"/>
          <w:sz w:val="20"/>
          <w:szCs w:val="20"/>
        </w:rPr>
        <w:t xml:space="preserve"> both</w:t>
      </w:r>
      <w:r w:rsidR="007254EC">
        <w:rPr>
          <w:rFonts w:ascii="Arial" w:hAnsi="Arial" w:cs="Arial"/>
          <w:sz w:val="20"/>
          <w:szCs w:val="20"/>
        </w:rPr>
        <w:t xml:space="preserve"> base and incremental costs</w:t>
      </w:r>
      <w:r>
        <w:rPr>
          <w:rFonts w:ascii="Arial" w:hAnsi="Arial" w:cs="Arial"/>
          <w:sz w:val="20"/>
          <w:szCs w:val="20"/>
        </w:rPr>
        <w:t xml:space="preserve">. </w:t>
      </w:r>
      <w:r w:rsidR="000976A4">
        <w:rPr>
          <w:rFonts w:ascii="Arial" w:hAnsi="Arial" w:cs="Arial"/>
          <w:sz w:val="20"/>
          <w:szCs w:val="20"/>
        </w:rPr>
        <w:t xml:space="preserve">Therefore, for 20% tuning, the installation costs in the base and measure case are assumed to be $0. </w:t>
      </w:r>
      <w:r>
        <w:rPr>
          <w:rFonts w:ascii="Arial" w:hAnsi="Arial" w:cs="Arial"/>
          <w:sz w:val="20"/>
          <w:szCs w:val="20"/>
        </w:rPr>
        <w:t>The installation costs are only the added cost of installing daylighting sensors.</w:t>
      </w:r>
      <w:r w:rsidR="000D2BBD">
        <w:rPr>
          <w:rFonts w:ascii="Arial" w:hAnsi="Arial" w:cs="Arial"/>
          <w:sz w:val="20"/>
          <w:szCs w:val="20"/>
        </w:rPr>
        <w:t xml:space="preserve"> Since the existing ballast is not assum</w:t>
      </w:r>
      <w:r w:rsidR="001C400E">
        <w:rPr>
          <w:rFonts w:ascii="Arial" w:hAnsi="Arial" w:cs="Arial"/>
          <w:sz w:val="20"/>
          <w:szCs w:val="20"/>
        </w:rPr>
        <w:t>ed to have a daylighting sensor</w:t>
      </w:r>
      <w:r w:rsidR="000D2BBD">
        <w:rPr>
          <w:rFonts w:ascii="Arial" w:hAnsi="Arial" w:cs="Arial"/>
          <w:sz w:val="20"/>
          <w:szCs w:val="20"/>
        </w:rPr>
        <w:t xml:space="preserve"> installed, the base case installation cost is $0 for these measures.</w:t>
      </w:r>
    </w:p>
    <w:p w:rsidR="0030550A" w:rsidRDefault="0030550A" w:rsidP="002E0043">
      <w:pPr>
        <w:pStyle w:val="Heading2"/>
        <w:keepNext w:val="0"/>
      </w:pPr>
      <w:bookmarkStart w:id="52" w:name="_Toc390769249"/>
      <w:r>
        <w:t>4.3 Incremental &amp; Full Measure Costs</w:t>
      </w:r>
      <w:bookmarkEnd w:id="52"/>
    </w:p>
    <w:tbl>
      <w:tblPr>
        <w:tblW w:w="1050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724"/>
        <w:gridCol w:w="3154"/>
        <w:gridCol w:w="2520"/>
        <w:gridCol w:w="3104"/>
      </w:tblGrid>
      <w:tr w:rsidR="007C2B1A" w:rsidRPr="003F57BD" w:rsidTr="00394ADC">
        <w:trPr>
          <w:trHeight w:val="264"/>
        </w:trPr>
        <w:tc>
          <w:tcPr>
            <w:tcW w:w="1724" w:type="dxa"/>
            <w:tcBorders>
              <w:top w:val="double" w:sz="4" w:space="0" w:color="auto"/>
            </w:tcBorders>
            <w:shd w:val="clear" w:color="auto" w:fill="F3F3F3"/>
            <w:noWrap/>
          </w:tcPr>
          <w:p w:rsidR="003F57BD" w:rsidRPr="003F57BD" w:rsidRDefault="003F57BD" w:rsidP="003F57BD">
            <w:pPr>
              <w:rPr>
                <w:rFonts w:ascii="Arial" w:hAnsi="Arial" w:cs="Arial"/>
                <w:b/>
                <w:sz w:val="20"/>
                <w:szCs w:val="20"/>
              </w:rPr>
            </w:pPr>
            <w:r w:rsidRPr="003F57BD">
              <w:rPr>
                <w:rFonts w:ascii="Arial" w:hAnsi="Arial" w:cs="Arial"/>
                <w:b/>
                <w:sz w:val="20"/>
                <w:szCs w:val="20"/>
              </w:rPr>
              <w:t>Install/Program</w:t>
            </w:r>
            <w:r w:rsidR="009B4DB1">
              <w:rPr>
                <w:rFonts w:ascii="Arial" w:hAnsi="Arial" w:cs="Arial"/>
                <w:b/>
                <w:sz w:val="20"/>
                <w:szCs w:val="20"/>
              </w:rPr>
              <w:t xml:space="preserve"> </w:t>
            </w:r>
            <w:r w:rsidRPr="003F57BD">
              <w:rPr>
                <w:rFonts w:ascii="Arial" w:hAnsi="Arial" w:cs="Arial"/>
                <w:b/>
                <w:sz w:val="20"/>
                <w:szCs w:val="20"/>
              </w:rPr>
              <w:t>Type</w:t>
            </w:r>
          </w:p>
        </w:tc>
        <w:tc>
          <w:tcPr>
            <w:tcW w:w="3154" w:type="dxa"/>
            <w:tcBorders>
              <w:top w:val="double" w:sz="4" w:space="0" w:color="auto"/>
            </w:tcBorders>
            <w:shd w:val="clear" w:color="auto" w:fill="F3F3F3"/>
          </w:tcPr>
          <w:p w:rsidR="003F57BD" w:rsidRPr="003F57BD" w:rsidRDefault="003F57BD" w:rsidP="003F57BD">
            <w:pPr>
              <w:rPr>
                <w:rFonts w:ascii="Arial" w:hAnsi="Arial" w:cs="Arial"/>
                <w:b/>
                <w:sz w:val="20"/>
                <w:szCs w:val="20"/>
              </w:rPr>
            </w:pPr>
            <w:r w:rsidRPr="003F57BD">
              <w:rPr>
                <w:rFonts w:ascii="Arial" w:hAnsi="Arial" w:cs="Arial"/>
                <w:b/>
                <w:sz w:val="20"/>
                <w:szCs w:val="20"/>
              </w:rPr>
              <w:t>Gross Measure Cost</w:t>
            </w:r>
          </w:p>
          <w:p w:rsidR="003F57BD" w:rsidRPr="003F57BD" w:rsidRDefault="003F57BD" w:rsidP="003F57BD">
            <w:pPr>
              <w:rPr>
                <w:rFonts w:ascii="Arial" w:hAnsi="Arial" w:cs="Arial"/>
                <w:b/>
                <w:sz w:val="20"/>
                <w:szCs w:val="20"/>
              </w:rPr>
            </w:pPr>
            <w:r w:rsidRPr="003F57BD">
              <w:rPr>
                <w:rFonts w:ascii="Arial" w:hAnsi="Arial" w:cs="Arial"/>
                <w:b/>
                <w:sz w:val="20"/>
                <w:szCs w:val="20"/>
              </w:rPr>
              <w:t>(RUL Period/First Baseline)</w:t>
            </w:r>
          </w:p>
        </w:tc>
        <w:tc>
          <w:tcPr>
            <w:tcW w:w="2520" w:type="dxa"/>
            <w:tcBorders>
              <w:top w:val="double" w:sz="4" w:space="0" w:color="auto"/>
            </w:tcBorders>
            <w:shd w:val="clear" w:color="auto" w:fill="F3F3F3"/>
            <w:noWrap/>
          </w:tcPr>
          <w:p w:rsidR="003F57BD" w:rsidRPr="003F57BD" w:rsidRDefault="003F57BD" w:rsidP="003F57BD">
            <w:pPr>
              <w:rPr>
                <w:rFonts w:ascii="Arial" w:hAnsi="Arial" w:cs="Arial"/>
                <w:b/>
                <w:sz w:val="20"/>
                <w:szCs w:val="20"/>
              </w:rPr>
            </w:pPr>
            <w:r w:rsidRPr="003F57BD">
              <w:rPr>
                <w:rFonts w:ascii="Arial" w:hAnsi="Arial" w:cs="Arial"/>
                <w:b/>
                <w:sz w:val="20"/>
                <w:szCs w:val="20"/>
              </w:rPr>
              <w:t>Gross Measure Cost</w:t>
            </w:r>
          </w:p>
          <w:p w:rsidR="003F57BD" w:rsidRPr="003F57BD" w:rsidRDefault="003F57BD" w:rsidP="003F57BD">
            <w:pPr>
              <w:rPr>
                <w:rFonts w:ascii="Arial" w:hAnsi="Arial" w:cs="Arial"/>
                <w:b/>
                <w:sz w:val="20"/>
                <w:szCs w:val="20"/>
              </w:rPr>
            </w:pPr>
            <w:r w:rsidRPr="003F57BD">
              <w:rPr>
                <w:rFonts w:ascii="Arial" w:hAnsi="Arial" w:cs="Arial"/>
                <w:b/>
                <w:sz w:val="20"/>
                <w:szCs w:val="20"/>
              </w:rPr>
              <w:t>(EUL-RUL Period</w:t>
            </w:r>
            <w:r w:rsidR="00AF6838">
              <w:rPr>
                <w:rFonts w:ascii="Arial" w:hAnsi="Arial" w:cs="Arial"/>
                <w:b/>
                <w:sz w:val="20"/>
                <w:szCs w:val="20"/>
              </w:rPr>
              <w:t xml:space="preserve"> </w:t>
            </w:r>
            <w:r w:rsidRPr="003F57BD">
              <w:rPr>
                <w:rFonts w:ascii="Arial" w:hAnsi="Arial" w:cs="Arial"/>
                <w:b/>
                <w:sz w:val="20"/>
                <w:szCs w:val="20"/>
              </w:rPr>
              <w:t>/ Second Baseline)</w:t>
            </w:r>
          </w:p>
        </w:tc>
        <w:tc>
          <w:tcPr>
            <w:tcW w:w="3104" w:type="dxa"/>
            <w:tcBorders>
              <w:top w:val="double" w:sz="4" w:space="0" w:color="auto"/>
            </w:tcBorders>
            <w:shd w:val="clear" w:color="auto" w:fill="F3F3F3"/>
            <w:noWrap/>
          </w:tcPr>
          <w:p w:rsidR="003F57BD" w:rsidRPr="003F57BD" w:rsidRDefault="003F57BD" w:rsidP="003F57BD">
            <w:pPr>
              <w:rPr>
                <w:rFonts w:ascii="Arial" w:hAnsi="Arial" w:cs="Arial"/>
                <w:b/>
                <w:sz w:val="20"/>
                <w:szCs w:val="20"/>
              </w:rPr>
            </w:pPr>
            <w:r w:rsidRPr="003F57BD">
              <w:rPr>
                <w:rFonts w:ascii="Arial" w:hAnsi="Arial" w:cs="Arial"/>
                <w:b/>
                <w:sz w:val="20"/>
                <w:szCs w:val="20"/>
              </w:rPr>
              <w:t>Incremental Measure Cost</w:t>
            </w:r>
          </w:p>
        </w:tc>
      </w:tr>
      <w:tr w:rsidR="007C2B1A" w:rsidRPr="003F57BD" w:rsidTr="00394ADC">
        <w:trPr>
          <w:trHeight w:val="264"/>
        </w:trPr>
        <w:tc>
          <w:tcPr>
            <w:tcW w:w="1724" w:type="dxa"/>
            <w:noWrap/>
            <w:vAlign w:val="bottom"/>
          </w:tcPr>
          <w:p w:rsidR="008B0E5E" w:rsidRPr="003F57BD" w:rsidRDefault="008B0E5E" w:rsidP="00C06690">
            <w:pPr>
              <w:rPr>
                <w:rFonts w:ascii="Arial" w:hAnsi="Arial" w:cs="Arial"/>
                <w:sz w:val="20"/>
                <w:szCs w:val="20"/>
              </w:rPr>
            </w:pPr>
            <w:r w:rsidRPr="003F57BD">
              <w:rPr>
                <w:rFonts w:ascii="Arial" w:hAnsi="Arial" w:cs="Arial"/>
                <w:sz w:val="20"/>
                <w:szCs w:val="20"/>
              </w:rPr>
              <w:t>ROB</w:t>
            </w:r>
          </w:p>
        </w:tc>
        <w:tc>
          <w:tcPr>
            <w:tcW w:w="3154" w:type="dxa"/>
            <w:vAlign w:val="bottom"/>
          </w:tcPr>
          <w:p w:rsidR="008B0E5E" w:rsidRPr="003F57BD" w:rsidRDefault="008B0E5E" w:rsidP="00C06690">
            <w:pPr>
              <w:rPr>
                <w:rFonts w:ascii="Arial" w:hAnsi="Arial" w:cs="Arial"/>
                <w:sz w:val="20"/>
                <w:szCs w:val="20"/>
              </w:rPr>
            </w:pPr>
            <w:r w:rsidRPr="003F57BD">
              <w:rPr>
                <w:rFonts w:ascii="Arial" w:hAnsi="Arial" w:cs="Arial"/>
                <w:sz w:val="20"/>
                <w:szCs w:val="20"/>
              </w:rPr>
              <w:t>Measure Equipment Cost – Base Case Equipment Cost</w:t>
            </w:r>
          </w:p>
        </w:tc>
        <w:tc>
          <w:tcPr>
            <w:tcW w:w="2520" w:type="dxa"/>
            <w:noWrap/>
            <w:vAlign w:val="bottom"/>
          </w:tcPr>
          <w:p w:rsidR="008B0E5E" w:rsidRPr="003F57BD" w:rsidRDefault="008B0E5E" w:rsidP="00C06690">
            <w:pPr>
              <w:rPr>
                <w:rFonts w:ascii="Arial" w:hAnsi="Arial" w:cs="Arial"/>
                <w:sz w:val="20"/>
                <w:szCs w:val="20"/>
              </w:rPr>
            </w:pPr>
            <w:r w:rsidRPr="003F57BD">
              <w:rPr>
                <w:rFonts w:ascii="Arial" w:hAnsi="Arial" w:cs="Arial"/>
                <w:sz w:val="20"/>
                <w:szCs w:val="20"/>
              </w:rPr>
              <w:t>N/A</w:t>
            </w:r>
          </w:p>
        </w:tc>
        <w:tc>
          <w:tcPr>
            <w:tcW w:w="3104" w:type="dxa"/>
            <w:noWrap/>
            <w:vAlign w:val="bottom"/>
          </w:tcPr>
          <w:p w:rsidR="008B0E5E" w:rsidRPr="003F57BD" w:rsidRDefault="008B0E5E" w:rsidP="00C06690">
            <w:pPr>
              <w:rPr>
                <w:rFonts w:ascii="Arial" w:hAnsi="Arial" w:cs="Arial"/>
                <w:sz w:val="20"/>
                <w:szCs w:val="20"/>
              </w:rPr>
            </w:pPr>
            <w:r w:rsidRPr="003F57BD">
              <w:rPr>
                <w:rFonts w:ascii="Arial" w:hAnsi="Arial" w:cs="Arial"/>
                <w:sz w:val="20"/>
                <w:szCs w:val="20"/>
              </w:rPr>
              <w:t>Measure Equipment Cost – Base Case Equipment Cost</w:t>
            </w:r>
          </w:p>
        </w:tc>
      </w:tr>
    </w:tbl>
    <w:p w:rsidR="003F57BD" w:rsidRDefault="003F57BD" w:rsidP="00663A00">
      <w:pPr>
        <w:rPr>
          <w:rFonts w:ascii="Arial" w:hAnsi="Arial" w:cs="Arial"/>
          <w:i/>
        </w:rPr>
      </w:pPr>
    </w:p>
    <w:p w:rsidR="00860154" w:rsidRPr="008D410C" w:rsidRDefault="00860154" w:rsidP="00663A00">
      <w:pPr>
        <w:rPr>
          <w:rFonts w:ascii="Arial" w:hAnsi="Arial" w:cs="Arial"/>
          <w:sz w:val="20"/>
        </w:rPr>
      </w:pPr>
      <w:r w:rsidRPr="008D410C">
        <w:rPr>
          <w:rFonts w:ascii="Arial" w:hAnsi="Arial" w:cs="Arial"/>
          <w:sz w:val="20"/>
        </w:rPr>
        <w:t>Labor costs for installing a fixed output ballast and dimmable ballast are assumed to be roughly equivalent. Therefore, labor costs for ballast installation cancel out, and are not included in measure cost calculations.</w:t>
      </w:r>
      <w:r w:rsidR="00953CB2" w:rsidRPr="008D410C">
        <w:rPr>
          <w:rFonts w:ascii="Arial" w:hAnsi="Arial" w:cs="Arial"/>
          <w:sz w:val="20"/>
        </w:rPr>
        <w:t xml:space="preserve"> However, labor costs for daylight harvesting sensors are included in measure cost calculations.</w:t>
      </w:r>
    </w:p>
    <w:p w:rsidR="003F57BD" w:rsidRPr="003F57BD" w:rsidRDefault="003F57BD" w:rsidP="00B637A8">
      <w:pPr>
        <w:pStyle w:val="Heading3"/>
      </w:pPr>
      <w:bookmarkStart w:id="53" w:name="_Toc390769250"/>
      <w:r w:rsidRPr="003F57BD">
        <w:t>4.3.1 Gross Measure Cost</w:t>
      </w:r>
      <w:bookmarkEnd w:id="53"/>
    </w:p>
    <w:p w:rsidR="003F57BD" w:rsidRPr="003F57BD" w:rsidRDefault="003F57BD" w:rsidP="003F57BD">
      <w:pPr>
        <w:rPr>
          <w:rFonts w:ascii="Arial" w:hAnsi="Arial" w:cs="Arial"/>
          <w:sz w:val="20"/>
          <w:szCs w:val="20"/>
        </w:rPr>
      </w:pPr>
      <w:r w:rsidRPr="003F57BD">
        <w:rPr>
          <w:rFonts w:ascii="Arial" w:hAnsi="Arial" w:cs="Arial"/>
          <w:sz w:val="20"/>
          <w:szCs w:val="20"/>
        </w:rPr>
        <w:t xml:space="preserve">Gross Measure Cost is the cost to install an energy efficient measure per the </w:t>
      </w:r>
      <w:r w:rsidR="00133C60">
        <w:rPr>
          <w:rFonts w:ascii="Arial" w:hAnsi="Arial" w:cs="Arial"/>
          <w:sz w:val="20"/>
          <w:szCs w:val="20"/>
        </w:rPr>
        <w:t xml:space="preserve">CPUC calculators. </w:t>
      </w:r>
    </w:p>
    <w:p w:rsidR="00F32479" w:rsidRDefault="00F32479" w:rsidP="00F32479">
      <w:pPr>
        <w:rPr>
          <w:rFonts w:ascii="Arial" w:hAnsi="Arial" w:cs="Arial"/>
          <w:sz w:val="20"/>
          <w:szCs w:val="20"/>
          <w:highlight w:val="yellow"/>
        </w:rPr>
      </w:pPr>
    </w:p>
    <w:p w:rsidR="005A456C" w:rsidRPr="0000291D" w:rsidRDefault="005A456C" w:rsidP="005A456C">
      <w:pPr>
        <w:rPr>
          <w:rFonts w:ascii="Arial" w:hAnsi="Arial" w:cs="Arial"/>
          <w:sz w:val="20"/>
          <w:szCs w:val="20"/>
        </w:rPr>
      </w:pPr>
      <w:r w:rsidRPr="0000291D">
        <w:rPr>
          <w:rFonts w:ascii="Arial" w:hAnsi="Arial" w:cs="Arial"/>
          <w:sz w:val="20"/>
          <w:szCs w:val="20"/>
        </w:rPr>
        <w:t xml:space="preserve">This measure transaction type is: </w:t>
      </w:r>
      <w:r w:rsidRPr="0000291D">
        <w:rPr>
          <w:rFonts w:ascii="Arial" w:hAnsi="Arial" w:cs="Arial"/>
          <w:b/>
          <w:sz w:val="20"/>
          <w:szCs w:val="20"/>
        </w:rPr>
        <w:t>ROB</w:t>
      </w:r>
      <w:r w:rsidRPr="0000291D">
        <w:rPr>
          <w:rFonts w:ascii="Arial" w:hAnsi="Arial" w:cs="Arial"/>
          <w:sz w:val="20"/>
          <w:szCs w:val="20"/>
        </w:rPr>
        <w:t>, so the Gross Measure Cost (GMC) is represented by the equation below:</w:t>
      </w:r>
    </w:p>
    <w:p w:rsidR="005A456C" w:rsidRPr="0000291D" w:rsidRDefault="005A456C" w:rsidP="005A456C">
      <w:pPr>
        <w:rPr>
          <w:rFonts w:ascii="Arial" w:hAnsi="Arial" w:cs="Arial"/>
          <w:sz w:val="20"/>
          <w:szCs w:val="20"/>
        </w:rPr>
      </w:pPr>
    </w:p>
    <w:p w:rsidR="005A456C" w:rsidRPr="0000291D" w:rsidRDefault="005A456C" w:rsidP="005A456C">
      <w:pPr>
        <w:ind w:firstLine="720"/>
        <w:rPr>
          <w:rFonts w:ascii="Arial" w:hAnsi="Arial" w:cs="Arial"/>
          <w:sz w:val="20"/>
          <w:szCs w:val="20"/>
        </w:rPr>
      </w:pPr>
      <w:r w:rsidRPr="0000291D">
        <w:rPr>
          <w:rFonts w:ascii="Arial" w:hAnsi="Arial" w:cs="Arial"/>
          <w:sz w:val="20"/>
          <w:szCs w:val="20"/>
        </w:rPr>
        <w:t>GMC = (Measure Equipment Cost + Measure Labor Cost) –</w:t>
      </w:r>
    </w:p>
    <w:p w:rsidR="005A456C" w:rsidRPr="0000291D" w:rsidRDefault="005A456C" w:rsidP="005A456C">
      <w:pPr>
        <w:ind w:left="720" w:firstLine="720"/>
        <w:rPr>
          <w:rFonts w:ascii="Arial" w:hAnsi="Arial" w:cs="Arial"/>
          <w:sz w:val="20"/>
          <w:szCs w:val="20"/>
        </w:rPr>
      </w:pPr>
      <w:r w:rsidRPr="0000291D">
        <w:rPr>
          <w:rFonts w:ascii="Arial" w:hAnsi="Arial" w:cs="Arial"/>
          <w:sz w:val="20"/>
          <w:szCs w:val="20"/>
        </w:rPr>
        <w:t xml:space="preserve">    (Base Case Equipment Cost + Base Case Labor Cost)</w:t>
      </w:r>
    </w:p>
    <w:p w:rsidR="005A456C" w:rsidRPr="0000291D" w:rsidRDefault="005A456C" w:rsidP="005A456C">
      <w:pPr>
        <w:rPr>
          <w:rFonts w:ascii="Arial" w:hAnsi="Arial" w:cs="Arial"/>
          <w:b/>
          <w:sz w:val="20"/>
          <w:szCs w:val="20"/>
        </w:rPr>
      </w:pPr>
    </w:p>
    <w:p w:rsidR="0000291D" w:rsidRPr="0000291D" w:rsidRDefault="0000291D" w:rsidP="0000291D">
      <w:pPr>
        <w:ind w:left="720"/>
        <w:rPr>
          <w:rFonts w:ascii="Arial" w:hAnsi="Arial" w:cs="Arial"/>
          <w:i/>
          <w:sz w:val="20"/>
          <w:szCs w:val="20"/>
        </w:rPr>
      </w:pPr>
      <w:r w:rsidRPr="0000291D">
        <w:rPr>
          <w:rFonts w:ascii="Arial" w:hAnsi="Arial" w:cs="Arial"/>
          <w:i/>
          <w:sz w:val="20"/>
          <w:szCs w:val="20"/>
        </w:rPr>
        <w:t>For20% tuning (base and measure labor costs are assumed to be equal, so are both set to zero):</w:t>
      </w:r>
    </w:p>
    <w:p w:rsidR="005A456C" w:rsidRPr="003F57BD" w:rsidRDefault="0000291D" w:rsidP="005A456C">
      <w:pPr>
        <w:ind w:firstLine="720"/>
        <w:rPr>
          <w:rFonts w:ascii="Arial" w:hAnsi="Arial" w:cs="Arial"/>
          <w:i/>
          <w:sz w:val="20"/>
          <w:szCs w:val="20"/>
        </w:rPr>
      </w:pPr>
      <w:r w:rsidRPr="0000291D">
        <w:rPr>
          <w:rFonts w:ascii="Arial" w:hAnsi="Arial" w:cs="Arial"/>
          <w:i/>
          <w:sz w:val="20"/>
          <w:szCs w:val="20"/>
        </w:rPr>
        <w:t>GMC = $56.16</w:t>
      </w:r>
      <w:r w:rsidR="005A456C" w:rsidRPr="0000291D">
        <w:rPr>
          <w:rFonts w:ascii="Arial" w:hAnsi="Arial" w:cs="Arial"/>
          <w:i/>
          <w:sz w:val="20"/>
          <w:szCs w:val="20"/>
        </w:rPr>
        <w:t xml:space="preserve"> per </w:t>
      </w:r>
      <w:r w:rsidRPr="0000291D">
        <w:rPr>
          <w:rFonts w:ascii="Arial" w:hAnsi="Arial" w:cs="Arial"/>
          <w:i/>
          <w:sz w:val="20"/>
          <w:szCs w:val="20"/>
        </w:rPr>
        <w:t>fixture</w:t>
      </w:r>
      <w:r w:rsidR="005A456C" w:rsidRPr="0000291D">
        <w:rPr>
          <w:rFonts w:ascii="Arial" w:hAnsi="Arial" w:cs="Arial"/>
          <w:i/>
          <w:sz w:val="20"/>
          <w:szCs w:val="20"/>
        </w:rPr>
        <w:t xml:space="preserve"> - $</w:t>
      </w:r>
      <w:r w:rsidRPr="0000291D">
        <w:rPr>
          <w:rFonts w:ascii="Arial" w:hAnsi="Arial" w:cs="Arial"/>
          <w:i/>
          <w:sz w:val="20"/>
          <w:szCs w:val="20"/>
        </w:rPr>
        <w:t>20.87 per fixture</w:t>
      </w:r>
      <w:r w:rsidR="005A456C" w:rsidRPr="0000291D">
        <w:rPr>
          <w:rFonts w:ascii="Arial" w:hAnsi="Arial" w:cs="Arial"/>
          <w:i/>
          <w:sz w:val="20"/>
          <w:szCs w:val="20"/>
        </w:rPr>
        <w:t xml:space="preserve"> = </w:t>
      </w:r>
      <w:r w:rsidRPr="0000291D">
        <w:rPr>
          <w:rFonts w:ascii="Arial" w:hAnsi="Arial" w:cs="Arial"/>
          <w:i/>
          <w:sz w:val="20"/>
          <w:szCs w:val="20"/>
        </w:rPr>
        <w:t xml:space="preserve">$35.29 </w:t>
      </w:r>
      <w:r w:rsidR="005A456C" w:rsidRPr="0000291D">
        <w:rPr>
          <w:rFonts w:ascii="Arial" w:hAnsi="Arial" w:cs="Arial"/>
          <w:i/>
          <w:sz w:val="20"/>
          <w:szCs w:val="20"/>
        </w:rPr>
        <w:t xml:space="preserve">per </w:t>
      </w:r>
      <w:r w:rsidRPr="0000291D">
        <w:rPr>
          <w:rFonts w:ascii="Arial" w:hAnsi="Arial" w:cs="Arial"/>
          <w:i/>
          <w:sz w:val="20"/>
          <w:szCs w:val="20"/>
        </w:rPr>
        <w:t>fixture</w:t>
      </w:r>
    </w:p>
    <w:p w:rsidR="00EB7F72" w:rsidRPr="00AF6838" w:rsidRDefault="00EB7F72" w:rsidP="003F57BD">
      <w:pPr>
        <w:ind w:firstLine="720"/>
        <w:rPr>
          <w:rFonts w:ascii="Arial" w:hAnsi="Arial" w:cs="Arial"/>
          <w:i/>
          <w:sz w:val="20"/>
          <w:szCs w:val="20"/>
        </w:rPr>
      </w:pPr>
    </w:p>
    <w:p w:rsidR="00A47BFE" w:rsidRDefault="00B637A8" w:rsidP="00B637A8">
      <w:pPr>
        <w:pStyle w:val="Heading3"/>
      </w:pPr>
      <w:bookmarkStart w:id="54" w:name="_Toc390769251"/>
      <w:r>
        <w:t xml:space="preserve">4.3.2 </w:t>
      </w:r>
      <w:r w:rsidR="00A47BFE" w:rsidRPr="00A47BFE">
        <w:t>Incremental Measure Costs</w:t>
      </w:r>
      <w:bookmarkEnd w:id="54"/>
    </w:p>
    <w:p w:rsidR="00ED3B31" w:rsidRDefault="00ED3B31" w:rsidP="00ED3B31">
      <w:pPr>
        <w:rPr>
          <w:rFonts w:ascii="Arial" w:hAnsi="Arial" w:cs="Arial"/>
          <w:sz w:val="20"/>
          <w:szCs w:val="20"/>
        </w:rPr>
      </w:pPr>
      <w:r w:rsidRPr="00ED3B31">
        <w:rPr>
          <w:rFonts w:ascii="Arial" w:hAnsi="Arial" w:cs="Arial"/>
          <w:sz w:val="20"/>
          <w:szCs w:val="20"/>
        </w:rPr>
        <w:t>Incremental Measure Cost is the premium cost to install an energy efficient measure over a standard efficiency measure or code baseline measure.</w:t>
      </w:r>
      <w:r w:rsidR="009B4DB1">
        <w:rPr>
          <w:rFonts w:ascii="Arial" w:hAnsi="Arial" w:cs="Arial"/>
          <w:sz w:val="20"/>
          <w:szCs w:val="20"/>
        </w:rPr>
        <w:t xml:space="preserve"> </w:t>
      </w:r>
    </w:p>
    <w:p w:rsidR="00627927" w:rsidRDefault="00627927" w:rsidP="00ED3B31">
      <w:pPr>
        <w:rPr>
          <w:rFonts w:ascii="Arial" w:hAnsi="Arial" w:cs="Arial"/>
          <w:sz w:val="22"/>
          <w:szCs w:val="22"/>
        </w:rPr>
      </w:pPr>
    </w:p>
    <w:p w:rsidR="00ED3B31" w:rsidRPr="00AF6838" w:rsidRDefault="00ED3B31" w:rsidP="00ED3B31">
      <w:pPr>
        <w:rPr>
          <w:rFonts w:ascii="Arial" w:hAnsi="Arial" w:cs="Arial"/>
          <w:sz w:val="20"/>
          <w:szCs w:val="20"/>
        </w:rPr>
      </w:pPr>
      <w:r w:rsidRPr="00AF6838">
        <w:rPr>
          <w:rFonts w:ascii="Arial" w:hAnsi="Arial" w:cs="Arial"/>
          <w:sz w:val="20"/>
          <w:szCs w:val="20"/>
        </w:rPr>
        <w:t xml:space="preserve">This measure transaction type is: </w:t>
      </w:r>
      <w:r w:rsidR="0000291D">
        <w:rPr>
          <w:rFonts w:ascii="Arial" w:hAnsi="Arial" w:cs="Arial"/>
          <w:b/>
          <w:sz w:val="20"/>
          <w:szCs w:val="20"/>
        </w:rPr>
        <w:t>ROB</w:t>
      </w:r>
      <w:r w:rsidRPr="00AF6838">
        <w:rPr>
          <w:rFonts w:ascii="Arial" w:hAnsi="Arial" w:cs="Arial"/>
          <w:b/>
          <w:sz w:val="20"/>
          <w:szCs w:val="20"/>
        </w:rPr>
        <w:t xml:space="preserve"> </w:t>
      </w:r>
      <w:r w:rsidRPr="00AF6838">
        <w:rPr>
          <w:rFonts w:ascii="Arial" w:hAnsi="Arial" w:cs="Arial"/>
          <w:sz w:val="20"/>
          <w:szCs w:val="20"/>
        </w:rPr>
        <w:t xml:space="preserve">so the </w:t>
      </w:r>
      <w:r w:rsidR="00860154">
        <w:rPr>
          <w:rFonts w:ascii="Arial" w:hAnsi="Arial" w:cs="Arial"/>
          <w:sz w:val="20"/>
          <w:szCs w:val="20"/>
        </w:rPr>
        <w:t>Incremental</w:t>
      </w:r>
      <w:r w:rsidRPr="00AF6838">
        <w:rPr>
          <w:rFonts w:ascii="Arial" w:hAnsi="Arial" w:cs="Arial"/>
          <w:sz w:val="20"/>
          <w:szCs w:val="20"/>
        </w:rPr>
        <w:t xml:space="preserve"> Measure Cost (</w:t>
      </w:r>
      <w:r w:rsidR="00860154">
        <w:rPr>
          <w:rFonts w:ascii="Arial" w:hAnsi="Arial" w:cs="Arial"/>
          <w:sz w:val="20"/>
          <w:szCs w:val="20"/>
        </w:rPr>
        <w:t>I</w:t>
      </w:r>
      <w:r w:rsidRPr="00AF6838">
        <w:rPr>
          <w:rFonts w:ascii="Arial" w:hAnsi="Arial" w:cs="Arial"/>
          <w:sz w:val="20"/>
          <w:szCs w:val="20"/>
        </w:rPr>
        <w:t>MC) is represented by the equation below:</w:t>
      </w:r>
    </w:p>
    <w:p w:rsidR="00ED3B31" w:rsidRPr="00AF6838" w:rsidRDefault="00ED3B31" w:rsidP="00ED3B31">
      <w:pPr>
        <w:rPr>
          <w:rFonts w:ascii="Arial" w:hAnsi="Arial" w:cs="Arial"/>
          <w:sz w:val="22"/>
          <w:szCs w:val="22"/>
        </w:rPr>
      </w:pPr>
    </w:p>
    <w:p w:rsidR="00ED3B31" w:rsidRPr="0000291D" w:rsidRDefault="00ED3B31" w:rsidP="00ED3B31">
      <w:pPr>
        <w:ind w:firstLine="720"/>
        <w:rPr>
          <w:rFonts w:ascii="Arial" w:hAnsi="Arial" w:cs="Arial"/>
          <w:sz w:val="20"/>
          <w:szCs w:val="20"/>
        </w:rPr>
      </w:pPr>
      <w:smartTag w:uri="urn:schemas-microsoft-com:office:smarttags" w:element="stockticker">
        <w:r w:rsidRPr="0000291D">
          <w:rPr>
            <w:rFonts w:ascii="Arial" w:hAnsi="Arial" w:cs="Arial"/>
            <w:sz w:val="20"/>
            <w:szCs w:val="20"/>
          </w:rPr>
          <w:t>IMC</w:t>
        </w:r>
      </w:smartTag>
      <w:r w:rsidRPr="0000291D">
        <w:rPr>
          <w:rFonts w:ascii="Arial" w:hAnsi="Arial" w:cs="Arial"/>
          <w:sz w:val="20"/>
          <w:szCs w:val="20"/>
        </w:rPr>
        <w:t xml:space="preserve"> = (Measure Equipment Cost + Measure Labor Cost) –</w:t>
      </w:r>
    </w:p>
    <w:p w:rsidR="00ED3B31" w:rsidRPr="0000291D" w:rsidRDefault="009B4DB1" w:rsidP="00ED3B31">
      <w:pPr>
        <w:ind w:left="720" w:firstLine="720"/>
        <w:rPr>
          <w:rFonts w:ascii="Arial" w:hAnsi="Arial" w:cs="Arial"/>
          <w:sz w:val="20"/>
          <w:szCs w:val="20"/>
        </w:rPr>
      </w:pPr>
      <w:r w:rsidRPr="0000291D">
        <w:rPr>
          <w:rFonts w:ascii="Arial" w:hAnsi="Arial" w:cs="Arial"/>
          <w:sz w:val="20"/>
          <w:szCs w:val="20"/>
        </w:rPr>
        <w:t xml:space="preserve">  </w:t>
      </w:r>
      <w:r w:rsidR="00ED3B31" w:rsidRPr="0000291D">
        <w:rPr>
          <w:rFonts w:ascii="Arial" w:hAnsi="Arial" w:cs="Arial"/>
          <w:sz w:val="20"/>
          <w:szCs w:val="20"/>
        </w:rPr>
        <w:t>(Base Case Equipment Cost + Base Case Labor Cost)</w:t>
      </w:r>
    </w:p>
    <w:p w:rsidR="00ED3B31" w:rsidRPr="0000291D" w:rsidRDefault="00ED3B31" w:rsidP="00ED3B31">
      <w:pPr>
        <w:rPr>
          <w:rFonts w:ascii="Arial" w:hAnsi="Arial" w:cs="Arial"/>
          <w:sz w:val="22"/>
          <w:szCs w:val="22"/>
        </w:rPr>
      </w:pPr>
    </w:p>
    <w:p w:rsidR="00E14020" w:rsidRPr="0000291D" w:rsidRDefault="00E14020" w:rsidP="00ED3B31">
      <w:pPr>
        <w:ind w:firstLine="720"/>
        <w:rPr>
          <w:rFonts w:ascii="Arial" w:hAnsi="Arial" w:cs="Arial"/>
          <w:i/>
          <w:sz w:val="20"/>
          <w:szCs w:val="20"/>
        </w:rPr>
      </w:pPr>
      <w:r w:rsidRPr="0000291D">
        <w:rPr>
          <w:rFonts w:ascii="Arial" w:hAnsi="Arial" w:cs="Arial"/>
          <w:i/>
          <w:sz w:val="20"/>
          <w:szCs w:val="20"/>
        </w:rPr>
        <w:t>For 20% tuning:</w:t>
      </w:r>
    </w:p>
    <w:p w:rsidR="00ED3B31" w:rsidRPr="0000291D" w:rsidRDefault="00ED3B31" w:rsidP="00ED3B31">
      <w:pPr>
        <w:ind w:firstLine="720"/>
        <w:rPr>
          <w:rFonts w:ascii="Arial" w:hAnsi="Arial" w:cs="Arial"/>
          <w:i/>
          <w:sz w:val="20"/>
          <w:szCs w:val="20"/>
        </w:rPr>
      </w:pPr>
      <w:r w:rsidRPr="0000291D">
        <w:rPr>
          <w:rFonts w:ascii="Arial" w:hAnsi="Arial" w:cs="Arial"/>
          <w:i/>
          <w:sz w:val="20"/>
          <w:szCs w:val="20"/>
        </w:rPr>
        <w:t>IMC = $</w:t>
      </w:r>
      <w:r w:rsidR="00E14020" w:rsidRPr="0000291D">
        <w:rPr>
          <w:rFonts w:ascii="Arial" w:hAnsi="Arial" w:cs="Arial"/>
          <w:i/>
          <w:sz w:val="20"/>
          <w:szCs w:val="20"/>
        </w:rPr>
        <w:t xml:space="preserve">56.16 </w:t>
      </w:r>
      <w:r w:rsidR="00AF6838" w:rsidRPr="0000291D">
        <w:rPr>
          <w:rFonts w:ascii="Arial" w:hAnsi="Arial" w:cs="Arial"/>
          <w:i/>
          <w:sz w:val="20"/>
          <w:szCs w:val="20"/>
        </w:rPr>
        <w:t>per fixture</w:t>
      </w:r>
      <w:r w:rsidR="00E14020" w:rsidRPr="0000291D">
        <w:rPr>
          <w:rFonts w:ascii="Arial" w:hAnsi="Arial" w:cs="Arial"/>
          <w:i/>
          <w:sz w:val="20"/>
          <w:szCs w:val="20"/>
        </w:rPr>
        <w:t xml:space="preserve"> -</w:t>
      </w:r>
      <w:r w:rsidRPr="0000291D">
        <w:rPr>
          <w:rFonts w:ascii="Arial" w:hAnsi="Arial" w:cs="Arial"/>
          <w:i/>
          <w:sz w:val="20"/>
          <w:szCs w:val="20"/>
        </w:rPr>
        <w:t xml:space="preserve"> $</w:t>
      </w:r>
      <w:r w:rsidR="0076704B" w:rsidRPr="0000291D">
        <w:rPr>
          <w:rFonts w:ascii="Arial" w:hAnsi="Arial" w:cs="Arial"/>
          <w:i/>
          <w:sz w:val="20"/>
          <w:szCs w:val="20"/>
        </w:rPr>
        <w:t>20.87</w:t>
      </w:r>
      <w:r w:rsidR="00E14020" w:rsidRPr="0000291D">
        <w:rPr>
          <w:rFonts w:ascii="Arial" w:hAnsi="Arial" w:cs="Arial"/>
          <w:i/>
          <w:sz w:val="20"/>
          <w:szCs w:val="20"/>
        </w:rPr>
        <w:t xml:space="preserve"> </w:t>
      </w:r>
      <w:r w:rsidRPr="0000291D">
        <w:rPr>
          <w:rFonts w:ascii="Arial" w:hAnsi="Arial" w:cs="Arial"/>
          <w:i/>
          <w:sz w:val="20"/>
          <w:szCs w:val="20"/>
        </w:rPr>
        <w:t xml:space="preserve">per </w:t>
      </w:r>
      <w:r w:rsidR="00AF6838" w:rsidRPr="0000291D">
        <w:rPr>
          <w:rFonts w:ascii="Arial" w:hAnsi="Arial" w:cs="Arial"/>
          <w:i/>
          <w:sz w:val="20"/>
          <w:szCs w:val="20"/>
        </w:rPr>
        <w:t xml:space="preserve">fixture </w:t>
      </w:r>
      <w:r w:rsidRPr="0000291D">
        <w:rPr>
          <w:rFonts w:ascii="Arial" w:hAnsi="Arial" w:cs="Arial"/>
          <w:i/>
          <w:sz w:val="20"/>
          <w:szCs w:val="20"/>
        </w:rPr>
        <w:t>= $</w:t>
      </w:r>
      <w:r w:rsidR="00E14020" w:rsidRPr="0000291D">
        <w:rPr>
          <w:rFonts w:ascii="Arial" w:hAnsi="Arial" w:cs="Arial"/>
          <w:i/>
          <w:sz w:val="20"/>
          <w:szCs w:val="20"/>
        </w:rPr>
        <w:t>3</w:t>
      </w:r>
      <w:r w:rsidR="0076704B" w:rsidRPr="0000291D">
        <w:rPr>
          <w:rFonts w:ascii="Arial" w:hAnsi="Arial" w:cs="Arial"/>
          <w:i/>
          <w:sz w:val="20"/>
          <w:szCs w:val="20"/>
        </w:rPr>
        <w:t>5.29</w:t>
      </w:r>
      <w:r w:rsidR="00E14020" w:rsidRPr="0000291D">
        <w:rPr>
          <w:rFonts w:ascii="Arial" w:hAnsi="Arial" w:cs="Arial"/>
          <w:i/>
          <w:sz w:val="20"/>
          <w:szCs w:val="20"/>
        </w:rPr>
        <w:t xml:space="preserve"> </w:t>
      </w:r>
      <w:r w:rsidRPr="0000291D">
        <w:rPr>
          <w:rFonts w:ascii="Arial" w:hAnsi="Arial" w:cs="Arial"/>
          <w:i/>
          <w:sz w:val="20"/>
          <w:szCs w:val="20"/>
        </w:rPr>
        <w:t xml:space="preserve">per </w:t>
      </w:r>
      <w:r w:rsidR="00AF6838" w:rsidRPr="0000291D">
        <w:rPr>
          <w:rFonts w:ascii="Arial" w:hAnsi="Arial" w:cs="Arial"/>
          <w:i/>
          <w:sz w:val="20"/>
          <w:szCs w:val="20"/>
        </w:rPr>
        <w:t>fixture</w:t>
      </w:r>
    </w:p>
    <w:p w:rsidR="00ED3B31" w:rsidRDefault="00ED3B31" w:rsidP="00ED3B31">
      <w:pPr>
        <w:rPr>
          <w:rFonts w:ascii="Arial" w:hAnsi="Arial" w:cs="Arial"/>
          <w:sz w:val="22"/>
          <w:szCs w:val="22"/>
        </w:rPr>
      </w:pPr>
    </w:p>
    <w:p w:rsidR="002F3610" w:rsidRDefault="002F3610" w:rsidP="00471AA2">
      <w:pPr>
        <w:keepNext/>
        <w:keepLines/>
        <w:rPr>
          <w:rFonts w:ascii="Arial" w:hAnsi="Arial" w:cs="Arial"/>
          <w:b/>
          <w:sz w:val="20"/>
          <w:szCs w:val="20"/>
        </w:rPr>
      </w:pPr>
      <w:r w:rsidRPr="002F3610">
        <w:rPr>
          <w:rFonts w:ascii="Arial" w:hAnsi="Arial" w:cs="Arial"/>
          <w:b/>
          <w:sz w:val="20"/>
          <w:szCs w:val="20"/>
        </w:rPr>
        <w:t>Summary Table for Section 4</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9"/>
        <w:gridCol w:w="1980"/>
        <w:gridCol w:w="2251"/>
        <w:gridCol w:w="2382"/>
        <w:gridCol w:w="2239"/>
      </w:tblGrid>
      <w:tr w:rsidR="007C2B1A" w:rsidRPr="003F46D4" w:rsidTr="00394ADC">
        <w:trPr>
          <w:trHeight w:val="512"/>
        </w:trPr>
        <w:tc>
          <w:tcPr>
            <w:tcW w:w="552" w:type="pct"/>
            <w:shd w:val="clear" w:color="auto" w:fill="auto"/>
          </w:tcPr>
          <w:p w:rsidR="00627927" w:rsidRPr="003F46D4" w:rsidRDefault="00627927" w:rsidP="00E14020">
            <w:pPr>
              <w:keepNext/>
              <w:keepLines/>
              <w:rPr>
                <w:rFonts w:ascii="Arial" w:hAnsi="Arial" w:cs="Arial"/>
                <w:b/>
                <w:sz w:val="20"/>
                <w:szCs w:val="20"/>
              </w:rPr>
            </w:pPr>
            <w:r w:rsidRPr="003F46D4">
              <w:rPr>
                <w:rFonts w:ascii="Arial" w:hAnsi="Arial" w:cs="Arial"/>
                <w:b/>
                <w:sz w:val="20"/>
                <w:szCs w:val="20"/>
              </w:rPr>
              <w:t>Measure ID</w:t>
            </w:r>
          </w:p>
        </w:tc>
        <w:tc>
          <w:tcPr>
            <w:tcW w:w="995" w:type="pct"/>
            <w:shd w:val="clear" w:color="auto" w:fill="auto"/>
          </w:tcPr>
          <w:p w:rsidR="00627927" w:rsidRPr="003F46D4" w:rsidRDefault="00627927" w:rsidP="00E14020">
            <w:pPr>
              <w:keepNext/>
              <w:keepLines/>
              <w:rPr>
                <w:rFonts w:ascii="Arial" w:hAnsi="Arial" w:cs="Arial"/>
                <w:b/>
                <w:sz w:val="20"/>
                <w:szCs w:val="20"/>
              </w:rPr>
            </w:pPr>
            <w:r w:rsidRPr="003F46D4">
              <w:rPr>
                <w:rFonts w:ascii="Arial" w:hAnsi="Arial" w:cs="Arial"/>
                <w:b/>
                <w:sz w:val="20"/>
                <w:szCs w:val="20"/>
              </w:rPr>
              <w:t>Transaction Type</w:t>
            </w:r>
          </w:p>
        </w:tc>
        <w:tc>
          <w:tcPr>
            <w:tcW w:w="1131" w:type="pct"/>
            <w:shd w:val="clear" w:color="auto" w:fill="auto"/>
          </w:tcPr>
          <w:p w:rsidR="00627927" w:rsidRPr="003F46D4" w:rsidRDefault="00627927" w:rsidP="00E14020">
            <w:pPr>
              <w:keepNext/>
              <w:keepLines/>
              <w:rPr>
                <w:rFonts w:ascii="Arial" w:hAnsi="Arial" w:cs="Arial"/>
                <w:b/>
                <w:sz w:val="20"/>
                <w:szCs w:val="20"/>
              </w:rPr>
            </w:pPr>
            <w:r w:rsidRPr="003F46D4">
              <w:rPr>
                <w:rFonts w:ascii="Arial" w:hAnsi="Arial" w:cs="Arial"/>
                <w:b/>
                <w:sz w:val="20"/>
                <w:szCs w:val="20"/>
              </w:rPr>
              <w:t>Base Case Total Cost</w:t>
            </w:r>
          </w:p>
        </w:tc>
        <w:tc>
          <w:tcPr>
            <w:tcW w:w="1197" w:type="pct"/>
            <w:shd w:val="clear" w:color="auto" w:fill="auto"/>
          </w:tcPr>
          <w:p w:rsidR="00627927" w:rsidRPr="003F46D4" w:rsidRDefault="00627927" w:rsidP="00E14020">
            <w:pPr>
              <w:keepNext/>
              <w:keepLines/>
              <w:rPr>
                <w:rFonts w:ascii="Arial" w:hAnsi="Arial" w:cs="Arial"/>
                <w:b/>
                <w:sz w:val="20"/>
                <w:szCs w:val="20"/>
              </w:rPr>
            </w:pPr>
            <w:r w:rsidRPr="003F46D4">
              <w:rPr>
                <w:rFonts w:ascii="Arial" w:hAnsi="Arial" w:cs="Arial"/>
                <w:b/>
                <w:sz w:val="20"/>
                <w:szCs w:val="20"/>
              </w:rPr>
              <w:t>Gross Measure Case Cost</w:t>
            </w:r>
          </w:p>
        </w:tc>
        <w:tc>
          <w:tcPr>
            <w:tcW w:w="1125" w:type="pct"/>
            <w:shd w:val="clear" w:color="auto" w:fill="auto"/>
          </w:tcPr>
          <w:p w:rsidR="00627927" w:rsidRPr="003F46D4" w:rsidRDefault="00627927" w:rsidP="00E14020">
            <w:pPr>
              <w:keepNext/>
              <w:keepLines/>
              <w:rPr>
                <w:rFonts w:ascii="Arial" w:hAnsi="Arial" w:cs="Arial"/>
                <w:b/>
                <w:sz w:val="20"/>
                <w:szCs w:val="20"/>
              </w:rPr>
            </w:pPr>
            <w:r w:rsidRPr="003F46D4">
              <w:rPr>
                <w:rFonts w:ascii="Arial" w:hAnsi="Arial" w:cs="Arial"/>
                <w:b/>
                <w:sz w:val="20"/>
                <w:szCs w:val="20"/>
              </w:rPr>
              <w:t>Incremental Measure Cost</w:t>
            </w:r>
          </w:p>
        </w:tc>
      </w:tr>
      <w:tr w:rsidR="00D816CF" w:rsidRPr="003F46D4" w:rsidTr="006D78EA">
        <w:trPr>
          <w:trHeight w:val="201"/>
        </w:trPr>
        <w:tc>
          <w:tcPr>
            <w:tcW w:w="552" w:type="pct"/>
            <w:shd w:val="clear" w:color="auto" w:fill="auto"/>
            <w:vAlign w:val="bottom"/>
          </w:tcPr>
          <w:p w:rsidR="00D816CF" w:rsidRPr="0008537D" w:rsidRDefault="00D816CF" w:rsidP="006D78EA">
            <w:pPr>
              <w:jc w:val="center"/>
              <w:rPr>
                <w:rFonts w:ascii="Arial" w:hAnsi="Arial" w:cs="Arial"/>
                <w:sz w:val="20"/>
              </w:rPr>
            </w:pPr>
            <w:r>
              <w:rPr>
                <w:rFonts w:ascii="Arial" w:hAnsi="Arial" w:cs="Arial"/>
                <w:sz w:val="20"/>
              </w:rPr>
              <w:t>L0337</w:t>
            </w:r>
          </w:p>
        </w:tc>
        <w:tc>
          <w:tcPr>
            <w:tcW w:w="995" w:type="pct"/>
            <w:shd w:val="clear" w:color="auto" w:fill="auto"/>
          </w:tcPr>
          <w:p w:rsidR="00D816CF" w:rsidRPr="00AF6838" w:rsidRDefault="00D816CF" w:rsidP="00E14020">
            <w:pPr>
              <w:keepNext/>
              <w:keepLines/>
              <w:rPr>
                <w:rFonts w:ascii="Arial" w:hAnsi="Arial" w:cs="Arial"/>
                <w:b/>
                <w:sz w:val="20"/>
                <w:szCs w:val="20"/>
              </w:rPr>
            </w:pPr>
            <w:r>
              <w:rPr>
                <w:rFonts w:ascii="Arial" w:hAnsi="Arial" w:cs="Arial"/>
                <w:sz w:val="20"/>
                <w:szCs w:val="20"/>
              </w:rPr>
              <w:t>ROB</w:t>
            </w:r>
          </w:p>
        </w:tc>
        <w:tc>
          <w:tcPr>
            <w:tcW w:w="1131" w:type="pct"/>
            <w:shd w:val="clear" w:color="auto" w:fill="auto"/>
          </w:tcPr>
          <w:p w:rsidR="00D816CF" w:rsidRPr="00D36A23" w:rsidRDefault="00D816CF" w:rsidP="007D504F">
            <w:pPr>
              <w:rPr>
                <w:rFonts w:ascii="Arial" w:hAnsi="Arial" w:cs="Arial"/>
                <w:sz w:val="20"/>
                <w:szCs w:val="20"/>
              </w:rPr>
            </w:pPr>
            <w:r w:rsidRPr="0076704B">
              <w:rPr>
                <w:rFonts w:ascii="Arial" w:hAnsi="Arial" w:cs="Arial"/>
                <w:sz w:val="20"/>
                <w:szCs w:val="20"/>
              </w:rPr>
              <w:t>$20.87</w:t>
            </w:r>
          </w:p>
        </w:tc>
        <w:tc>
          <w:tcPr>
            <w:tcW w:w="1197" w:type="pct"/>
            <w:shd w:val="clear" w:color="auto" w:fill="auto"/>
          </w:tcPr>
          <w:p w:rsidR="00D816CF" w:rsidRPr="000E39B4" w:rsidRDefault="00D816CF" w:rsidP="007D504F">
            <w:pPr>
              <w:rPr>
                <w:rFonts w:ascii="Arial" w:hAnsi="Arial" w:cs="Arial"/>
                <w:sz w:val="20"/>
                <w:szCs w:val="20"/>
              </w:rPr>
            </w:pPr>
            <w:r w:rsidRPr="000E39B4">
              <w:rPr>
                <w:rFonts w:ascii="Arial" w:hAnsi="Arial" w:cs="Arial"/>
                <w:sz w:val="20"/>
                <w:szCs w:val="20"/>
              </w:rPr>
              <w:t>$56.16</w:t>
            </w:r>
          </w:p>
        </w:tc>
        <w:tc>
          <w:tcPr>
            <w:tcW w:w="1125" w:type="pct"/>
            <w:shd w:val="clear" w:color="auto" w:fill="auto"/>
          </w:tcPr>
          <w:p w:rsidR="00D816CF" w:rsidRPr="0076704B" w:rsidRDefault="00D816CF" w:rsidP="00716141">
            <w:pPr>
              <w:rPr>
                <w:rFonts w:ascii="Arial" w:hAnsi="Arial" w:cs="Arial"/>
                <w:sz w:val="20"/>
                <w:szCs w:val="20"/>
              </w:rPr>
            </w:pPr>
            <w:r w:rsidRPr="0076704B">
              <w:rPr>
                <w:rFonts w:ascii="Arial" w:hAnsi="Arial" w:cs="Arial"/>
                <w:sz w:val="20"/>
                <w:szCs w:val="20"/>
              </w:rPr>
              <w:t>$35.29</w:t>
            </w:r>
          </w:p>
        </w:tc>
      </w:tr>
      <w:tr w:rsidR="00D816CF" w:rsidRPr="003F46D4" w:rsidTr="006D78EA">
        <w:trPr>
          <w:trHeight w:val="201"/>
        </w:trPr>
        <w:tc>
          <w:tcPr>
            <w:tcW w:w="552" w:type="pct"/>
            <w:shd w:val="clear" w:color="auto" w:fill="auto"/>
            <w:vAlign w:val="bottom"/>
          </w:tcPr>
          <w:p w:rsidR="00D816CF" w:rsidRPr="0008537D" w:rsidRDefault="00D816CF" w:rsidP="006D78EA">
            <w:pPr>
              <w:jc w:val="center"/>
              <w:rPr>
                <w:rFonts w:ascii="Arial" w:hAnsi="Arial" w:cs="Arial"/>
                <w:sz w:val="20"/>
              </w:rPr>
            </w:pPr>
            <w:r>
              <w:rPr>
                <w:rFonts w:ascii="Arial" w:hAnsi="Arial" w:cs="Arial"/>
                <w:sz w:val="20"/>
              </w:rPr>
              <w:t>L0338</w:t>
            </w:r>
          </w:p>
        </w:tc>
        <w:tc>
          <w:tcPr>
            <w:tcW w:w="995" w:type="pct"/>
            <w:shd w:val="clear" w:color="auto" w:fill="auto"/>
          </w:tcPr>
          <w:p w:rsidR="00D816CF" w:rsidRPr="00AF6838" w:rsidRDefault="00D816CF" w:rsidP="00E14020">
            <w:pPr>
              <w:keepNext/>
              <w:keepLines/>
              <w:rPr>
                <w:rFonts w:ascii="Arial" w:hAnsi="Arial" w:cs="Arial"/>
                <w:b/>
                <w:sz w:val="20"/>
                <w:szCs w:val="20"/>
              </w:rPr>
            </w:pPr>
            <w:r>
              <w:rPr>
                <w:rFonts w:ascii="Arial" w:hAnsi="Arial" w:cs="Arial"/>
                <w:sz w:val="20"/>
                <w:szCs w:val="20"/>
              </w:rPr>
              <w:t>ROB</w:t>
            </w:r>
          </w:p>
        </w:tc>
        <w:tc>
          <w:tcPr>
            <w:tcW w:w="1131" w:type="pct"/>
            <w:shd w:val="clear" w:color="auto" w:fill="auto"/>
          </w:tcPr>
          <w:p w:rsidR="00D816CF" w:rsidRPr="00D36A23" w:rsidRDefault="00D816CF" w:rsidP="007D504F">
            <w:pPr>
              <w:rPr>
                <w:rFonts w:ascii="Arial" w:hAnsi="Arial" w:cs="Arial"/>
                <w:sz w:val="20"/>
                <w:szCs w:val="20"/>
              </w:rPr>
            </w:pPr>
            <w:r w:rsidRPr="0076704B">
              <w:rPr>
                <w:rFonts w:ascii="Arial" w:hAnsi="Arial" w:cs="Arial"/>
                <w:sz w:val="20"/>
                <w:szCs w:val="20"/>
              </w:rPr>
              <w:t>$20.87</w:t>
            </w:r>
          </w:p>
        </w:tc>
        <w:tc>
          <w:tcPr>
            <w:tcW w:w="1197" w:type="pct"/>
            <w:shd w:val="clear" w:color="auto" w:fill="auto"/>
          </w:tcPr>
          <w:p w:rsidR="00D816CF" w:rsidRPr="000E39B4" w:rsidRDefault="00D816CF" w:rsidP="007D504F">
            <w:pPr>
              <w:rPr>
                <w:rFonts w:ascii="Arial" w:hAnsi="Arial" w:cs="Arial"/>
                <w:sz w:val="20"/>
                <w:szCs w:val="20"/>
              </w:rPr>
            </w:pPr>
            <w:r w:rsidRPr="000E39B4">
              <w:rPr>
                <w:rFonts w:ascii="Arial" w:hAnsi="Arial" w:cs="Arial"/>
                <w:sz w:val="20"/>
                <w:szCs w:val="20"/>
              </w:rPr>
              <w:t>$</w:t>
            </w:r>
            <w:r>
              <w:rPr>
                <w:rFonts w:ascii="Arial" w:hAnsi="Arial" w:cs="Arial"/>
                <w:sz w:val="20"/>
                <w:szCs w:val="20"/>
              </w:rPr>
              <w:t>108.66</w:t>
            </w:r>
          </w:p>
        </w:tc>
        <w:tc>
          <w:tcPr>
            <w:tcW w:w="1125" w:type="pct"/>
            <w:shd w:val="clear" w:color="auto" w:fill="auto"/>
          </w:tcPr>
          <w:p w:rsidR="00D816CF" w:rsidRPr="0076704B" w:rsidRDefault="00D816CF" w:rsidP="00716141">
            <w:pPr>
              <w:rPr>
                <w:rFonts w:ascii="Arial" w:hAnsi="Arial" w:cs="Arial"/>
                <w:sz w:val="20"/>
                <w:szCs w:val="20"/>
              </w:rPr>
            </w:pPr>
            <w:r w:rsidRPr="0076704B">
              <w:rPr>
                <w:rFonts w:ascii="Arial" w:hAnsi="Arial" w:cs="Arial"/>
                <w:sz w:val="20"/>
                <w:szCs w:val="20"/>
              </w:rPr>
              <w:t>$87.79</w:t>
            </w:r>
          </w:p>
        </w:tc>
      </w:tr>
    </w:tbl>
    <w:p w:rsidR="002F3610" w:rsidRPr="002F3610" w:rsidRDefault="002F3610" w:rsidP="002F3610">
      <w:pPr>
        <w:ind w:firstLine="720"/>
        <w:rPr>
          <w:rFonts w:ascii="Arial" w:hAnsi="Arial" w:cs="Arial"/>
          <w:b/>
          <w:sz w:val="20"/>
          <w:szCs w:val="20"/>
        </w:rPr>
      </w:pPr>
    </w:p>
    <w:p w:rsidR="006009C7" w:rsidRDefault="006009C7" w:rsidP="008756A8">
      <w:pPr>
        <w:pStyle w:val="Heading1"/>
      </w:pPr>
    </w:p>
    <w:p w:rsidR="009168A1" w:rsidRPr="008756A8" w:rsidRDefault="000966CC" w:rsidP="008756A8">
      <w:pPr>
        <w:pStyle w:val="Heading1"/>
        <w:rPr>
          <w:b w:val="0"/>
        </w:rPr>
      </w:pPr>
      <w:bookmarkStart w:id="55" w:name="_Toc390769252"/>
      <w:r>
        <w:t>References</w:t>
      </w:r>
      <w:r w:rsidR="001946B1">
        <w:t>:</w:t>
      </w:r>
      <w:bookmarkEnd w:id="55"/>
      <w:r w:rsidR="00844B27">
        <w:t xml:space="preserve"> </w:t>
      </w:r>
    </w:p>
    <w:sectPr w:rsidR="009168A1" w:rsidRPr="008756A8" w:rsidSect="00500486">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E38" w:rsidRDefault="00A75E38">
      <w:r>
        <w:separator/>
      </w:r>
    </w:p>
    <w:p w:rsidR="00A75E38" w:rsidRDefault="00A75E38"/>
  </w:endnote>
  <w:endnote w:type="continuationSeparator" w:id="0">
    <w:p w:rsidR="00A75E38" w:rsidRDefault="00A75E38">
      <w:r>
        <w:continuationSeparator/>
      </w:r>
    </w:p>
    <w:p w:rsidR="00A75E38" w:rsidRDefault="00A75E38"/>
  </w:endnote>
  <w:endnote w:id="1">
    <w:p w:rsidR="00D43007" w:rsidRDefault="00D43007">
      <w:pPr>
        <w:pStyle w:val="EndnoteText"/>
      </w:pPr>
      <w:r>
        <w:rPr>
          <w:rStyle w:val="EndnoteReference"/>
        </w:rPr>
        <w:endnoteRef/>
      </w:r>
      <w:r>
        <w:t xml:space="preserve"> Consortium for Energy Efficiency High Performance T8 Qualifying Products List. </w:t>
      </w:r>
      <w:hyperlink r:id="rId1" w:history="1">
        <w:r w:rsidRPr="00A26E6D">
          <w:rPr>
            <w:rStyle w:val="Hyperlink"/>
          </w:rPr>
          <w:t>http://library.cee1.org/content/commercial-lighting-qualifying-products-lists</w:t>
        </w:r>
      </w:hyperlink>
      <w:r>
        <w:t xml:space="preserve"> </w:t>
      </w:r>
    </w:p>
    <w:p w:rsidR="00D43007" w:rsidRDefault="00D43007">
      <w:pPr>
        <w:pStyle w:val="EndnoteText"/>
      </w:pPr>
    </w:p>
  </w:endnote>
  <w:endnote w:id="2">
    <w:p w:rsidR="00D43007" w:rsidRDefault="00D43007">
      <w:pPr>
        <w:pStyle w:val="EndnoteText"/>
      </w:pPr>
      <w:r>
        <w:rPr>
          <w:rStyle w:val="EndnoteReference"/>
        </w:rPr>
        <w:endnoteRef/>
      </w:r>
      <w:r>
        <w:t xml:space="preserve"> </w:t>
      </w:r>
      <w:proofErr w:type="gramStart"/>
      <w:r>
        <w:t>PG&amp;E Lighting Rebate Catalog.</w:t>
      </w:r>
      <w:proofErr w:type="gramEnd"/>
      <w:r>
        <w:t xml:space="preserve"> </w:t>
      </w:r>
      <w:hyperlink r:id="rId2" w:history="1">
        <w:r w:rsidRPr="007A711C">
          <w:rPr>
            <w:rStyle w:val="Hyperlink"/>
          </w:rPr>
          <w:t>http://www.pge.com/includes/docs/pdfs/mybusiness/energysavingsrebates/incentivesbyindustry/lighting_catalog_final.pdf</w:t>
        </w:r>
      </w:hyperlink>
    </w:p>
    <w:p w:rsidR="00D43007" w:rsidRDefault="00D43007">
      <w:pPr>
        <w:pStyle w:val="EndnoteText"/>
      </w:pPr>
    </w:p>
  </w:endnote>
  <w:endnote w:id="3">
    <w:p w:rsidR="00D43007" w:rsidRDefault="00D43007" w:rsidP="00D73172">
      <w:pPr>
        <w:pStyle w:val="EndnoteText"/>
      </w:pPr>
      <w:r>
        <w:rPr>
          <w:rStyle w:val="EndnoteReference"/>
        </w:rPr>
        <w:endnoteRef/>
      </w:r>
      <w:r>
        <w:t xml:space="preserve"> </w:t>
      </w:r>
      <w:proofErr w:type="gramStart"/>
      <w:r>
        <w:t>Excel worksheet provided, PGECOLTG176 R0calc, includes cost research and calculations, UES calculations, CEE list.</w:t>
      </w:r>
      <w:proofErr w:type="gramEnd"/>
    </w:p>
    <w:p w:rsidR="00D43007" w:rsidRDefault="00D43007" w:rsidP="00D73172">
      <w:pPr>
        <w:pStyle w:val="EndnoteText"/>
      </w:pPr>
    </w:p>
  </w:endnote>
  <w:endnote w:id="4">
    <w:p w:rsidR="00D43007" w:rsidRDefault="00D43007" w:rsidP="00E30B56">
      <w:pPr>
        <w:pStyle w:val="EndnoteText"/>
      </w:pPr>
      <w:r w:rsidRPr="00C80E3F">
        <w:rPr>
          <w:rStyle w:val="EndnoteReference"/>
          <w:rFonts w:ascii="Arial" w:hAnsi="Arial" w:cs="Arial"/>
        </w:rPr>
        <w:endnoteRef/>
      </w:r>
      <w:r>
        <w:t xml:space="preserve"> Williams, A., Atkinson,</w:t>
      </w:r>
      <w:r w:rsidRPr="009A57C7">
        <w:t xml:space="preserve"> </w:t>
      </w:r>
      <w:r>
        <w:t xml:space="preserve">B., </w:t>
      </w:r>
      <w:proofErr w:type="spellStart"/>
      <w:r>
        <w:t>Garbesi</w:t>
      </w:r>
      <w:proofErr w:type="spellEnd"/>
      <w:r>
        <w:t xml:space="preserve">, K., &amp; Rubinstein, F. (2011) </w:t>
      </w:r>
      <w:r w:rsidRPr="00E30B56">
        <w:t>A Meta-Analysis of Energy Savings from Lighting Controls in Commercial Buildings</w:t>
      </w:r>
      <w:r>
        <w:t xml:space="preserve">. </w:t>
      </w:r>
      <w:proofErr w:type="gramStart"/>
      <w:r>
        <w:t>Lawrence Berkeley National Laboratory.</w:t>
      </w:r>
      <w:proofErr w:type="gramEnd"/>
    </w:p>
    <w:p w:rsidR="00D43007" w:rsidRDefault="00D43007" w:rsidP="00E30B56">
      <w:pPr>
        <w:pStyle w:val="EndnoteText"/>
      </w:pPr>
    </w:p>
  </w:endnote>
  <w:endnote w:id="5">
    <w:p w:rsidR="00D43007" w:rsidRDefault="00D43007">
      <w:pPr>
        <w:pStyle w:val="EndnoteText"/>
      </w:pPr>
      <w:r>
        <w:rPr>
          <w:rStyle w:val="EndnoteReference"/>
        </w:rPr>
        <w:endnoteRef/>
      </w:r>
      <w:r>
        <w:t xml:space="preserve"> </w:t>
      </w:r>
      <w:proofErr w:type="spellStart"/>
      <w:r>
        <w:t>Benya</w:t>
      </w:r>
      <w:proofErr w:type="spellEnd"/>
      <w:r>
        <w:t xml:space="preserve">, J., </w:t>
      </w:r>
      <w:proofErr w:type="spellStart"/>
      <w:r>
        <w:t>Heschong</w:t>
      </w:r>
      <w:proofErr w:type="spellEnd"/>
      <w:r>
        <w:t xml:space="preserve">, L., McGowan, T., Miller, N., Rubinstein, F. (2003) Advanced Lighting Guidelines. </w:t>
      </w:r>
      <w:proofErr w:type="gramStart"/>
      <w:r>
        <w:t>New Buildings Institute, Inc.</w:t>
      </w:r>
      <w:proofErr w:type="gramEnd"/>
    </w:p>
    <w:p w:rsidR="00D43007" w:rsidRDefault="00D43007">
      <w:pPr>
        <w:pStyle w:val="EndnoteText"/>
      </w:pPr>
    </w:p>
  </w:endnote>
  <w:endnote w:id="6">
    <w:p w:rsidR="00D43007" w:rsidRDefault="00D43007">
      <w:pPr>
        <w:pStyle w:val="EndnoteText"/>
      </w:pPr>
      <w:r>
        <w:rPr>
          <w:rStyle w:val="EndnoteReference"/>
        </w:rPr>
        <w:endnoteRef/>
      </w:r>
      <w:r>
        <w:t xml:space="preserve"> PG&amp;E Appendix B: Table of Standard Fixture Wattages.  </w:t>
      </w:r>
      <w:hyperlink r:id="rId3" w:history="1">
        <w:r w:rsidRPr="00B82FE9">
          <w:rPr>
            <w:rStyle w:val="Hyperlink"/>
          </w:rPr>
          <w:t>http://www.pge.com/en/mybusiness/energysavingsrebates/rebatesincentives/index.page</w:t>
        </w:r>
      </w:hyperlink>
    </w:p>
    <w:p w:rsidR="00D43007" w:rsidRDefault="00D43007">
      <w:pPr>
        <w:pStyle w:val="EndnoteText"/>
      </w:pPr>
      <w:r>
        <w:t>In the link above, go to Customized Retrofit Incentives, then click on “learn more”, then go to Appendices section and locate Appendix B.</w:t>
      </w:r>
    </w:p>
    <w:p w:rsidR="00D43007" w:rsidRDefault="00D43007">
      <w:pPr>
        <w:pStyle w:val="EndnoteText"/>
      </w:pPr>
    </w:p>
  </w:endnote>
  <w:endnote w:id="7">
    <w:p w:rsidR="00D43007" w:rsidRDefault="00D43007">
      <w:pPr>
        <w:pStyle w:val="EndnoteText"/>
      </w:pPr>
      <w:r>
        <w:rPr>
          <w:rStyle w:val="EndnoteReference"/>
        </w:rPr>
        <w:endnoteRef/>
      </w:r>
      <w:r>
        <w:t xml:space="preserve"> </w:t>
      </w:r>
      <w:proofErr w:type="gramStart"/>
      <w:r w:rsidRPr="008756A8">
        <w:t xml:space="preserve">2012 </w:t>
      </w:r>
      <w:proofErr w:type="spellStart"/>
      <w:r w:rsidRPr="008756A8">
        <w:t>RSMeans</w:t>
      </w:r>
      <w:proofErr w:type="spellEnd"/>
      <w:r w:rsidRPr="008756A8">
        <w:t xml:space="preserve"> Electrical Cost Data.</w:t>
      </w:r>
      <w:proofErr w:type="gramEnd"/>
      <w:r w:rsidRPr="008756A8">
        <w:t xml:space="preserve"> </w:t>
      </w:r>
      <w:proofErr w:type="gramStart"/>
      <w:r w:rsidRPr="008756A8">
        <w:t>35th Annual Edition.</w:t>
      </w:r>
      <w:proofErr w:type="gramEnd"/>
    </w:p>
    <w:p w:rsidR="00D43007" w:rsidRDefault="00D43007">
      <w:pPr>
        <w:pStyle w:val="EndnoteText"/>
      </w:pPr>
    </w:p>
  </w:endnote>
  <w:endnote w:id="8">
    <w:p w:rsidR="00D43007" w:rsidRDefault="00D43007">
      <w:pPr>
        <w:pStyle w:val="EndnoteText"/>
      </w:pPr>
      <w:r>
        <w:rPr>
          <w:rStyle w:val="EndnoteReference"/>
        </w:rPr>
        <w:endnoteRef/>
      </w:r>
      <w:r>
        <w:t xml:space="preserve"> </w:t>
      </w:r>
      <w:r w:rsidRPr="008756A8">
        <w:t xml:space="preserve">2011 California Building Energy Efficiency Standards: Requirements for Controllable Lighting. </w:t>
      </w:r>
      <w:hyperlink r:id="rId4" w:history="1">
        <w:r w:rsidRPr="00A26E6D">
          <w:rPr>
            <w:rStyle w:val="Hyperlink"/>
          </w:rPr>
          <w:t>http://www.energy.ca.gov/title24/2013standards/prerulemaking/documents/2011-04-04_workshop/review/Nonres_Controllable_Lighting.pdf</w:t>
        </w:r>
      </w:hyperlink>
      <w:r>
        <w:t xml:space="preserve"> </w:t>
      </w:r>
    </w:p>
    <w:p w:rsidR="00D43007" w:rsidRDefault="00D43007">
      <w:pPr>
        <w:pStyle w:val="EndnoteText"/>
      </w:pPr>
    </w:p>
  </w:endnote>
  <w:endnote w:id="9">
    <w:p w:rsidR="00D43007" w:rsidRDefault="00D43007">
      <w:pPr>
        <w:pStyle w:val="EndnoteText"/>
      </w:pPr>
      <w:r>
        <w:rPr>
          <w:rStyle w:val="EndnoteReference"/>
        </w:rPr>
        <w:endnoteRef/>
      </w:r>
      <w:r>
        <w:t xml:space="preserve"> </w:t>
      </w:r>
      <w:proofErr w:type="gramStart"/>
      <w:r>
        <w:t>Energy Design Resources.</w:t>
      </w:r>
      <w:proofErr w:type="gramEnd"/>
      <w:r>
        <w:t xml:space="preserve"> Design Brief: Lighting Controls. </w:t>
      </w:r>
      <w:hyperlink r:id="rId5" w:history="1">
        <w:r w:rsidRPr="00A26E6D">
          <w:rPr>
            <w:rStyle w:val="Hyperlink"/>
          </w:rPr>
          <w:t>http://www.energydesignresources.com/media/1765/EDR_DesignBriefs_lightingcontrols.pdf?tracked=true</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Default="00D43007"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43007" w:rsidRDefault="00D430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Pr="00846195" w:rsidRDefault="00D43007"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D43007" w:rsidRDefault="00D43007"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D43007" w:rsidRDefault="00D43007" w:rsidP="00D7047A">
    <w:pPr>
      <w:pStyle w:val="Footer"/>
      <w:rPr>
        <w:b/>
        <w:sz w:val="20"/>
        <w:szCs w:val="20"/>
      </w:rPr>
    </w:pPr>
    <w:r>
      <w:rPr>
        <w:b/>
        <w:sz w:val="20"/>
        <w:szCs w:val="20"/>
      </w:rPr>
      <w:t>Pacific Gas &amp; Electric Company</w:t>
    </w:r>
  </w:p>
  <w:p w:rsidR="00D43007" w:rsidRPr="00844B27" w:rsidRDefault="00D43007"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PGECOLTG176 R0-Dimming Ballast.docx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Pr="002E0E3F" w:rsidRDefault="00D43007" w:rsidP="00274A7E">
    <w:pPr>
      <w:pStyle w:val="Footer"/>
      <w:jc w:val="right"/>
      <w:rPr>
        <w:rFonts w:ascii="Arial" w:hAnsi="Arial" w:cs="Arial"/>
        <w:b/>
        <w:sz w:val="36"/>
        <w:szCs w:val="36"/>
      </w:rPr>
    </w:pPr>
  </w:p>
  <w:p w:rsidR="00D43007" w:rsidRDefault="00D4300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Default="00D43007"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43007" w:rsidRDefault="00D4300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Default="00D43007" w:rsidP="00D7047A">
    <w:pPr>
      <w:pStyle w:val="Footer"/>
      <w:pBdr>
        <w:top w:val="single" w:sz="4" w:space="1" w:color="auto"/>
      </w:pBdr>
      <w:tabs>
        <w:tab w:val="clear" w:pos="8640"/>
        <w:tab w:val="right" w:pos="9360"/>
      </w:tabs>
      <w:rPr>
        <w:b/>
        <w:sz w:val="20"/>
        <w:szCs w:val="20"/>
      </w:rPr>
    </w:pPr>
    <w:r w:rsidRPr="00DA0951">
      <w:rPr>
        <w:b/>
        <w:sz w:val="20"/>
        <w:szCs w:val="20"/>
      </w:rPr>
      <w:t>PGECOLT</w:t>
    </w:r>
    <w:r>
      <w:rPr>
        <w:b/>
        <w:sz w:val="20"/>
        <w:szCs w:val="20"/>
      </w:rPr>
      <w:t>G</w:t>
    </w:r>
    <w:r w:rsidRPr="00DA0951">
      <w:rPr>
        <w:b/>
        <w:sz w:val="20"/>
        <w:szCs w:val="20"/>
      </w:rPr>
      <w:t xml:space="preserve">176-Dimmable </w:t>
    </w:r>
    <w:r>
      <w:rPr>
        <w:b/>
        <w:sz w:val="20"/>
        <w:szCs w:val="20"/>
      </w:rPr>
      <w:t>Fluorescent Ballasts, Revision 2</w:t>
    </w:r>
    <w:r>
      <w:rPr>
        <w:b/>
        <w:sz w:val="20"/>
        <w:szCs w:val="20"/>
      </w:rPr>
      <w:tab/>
      <w:t>6/17/2014</w:t>
    </w:r>
  </w:p>
  <w:p w:rsidR="00D43007" w:rsidRPr="00846195" w:rsidRDefault="00D43007" w:rsidP="008E58B2">
    <w:pPr>
      <w:pStyle w:val="Footer"/>
      <w:framePr w:wrap="around" w:vAnchor="text" w:hAnchor="page" w:x="6113" w:y="176"/>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DE67C3">
      <w:rPr>
        <w:rStyle w:val="PageNumber"/>
        <w:b/>
        <w:noProof/>
        <w:sz w:val="20"/>
        <w:szCs w:val="20"/>
      </w:rPr>
      <w:t>ii</w:t>
    </w:r>
    <w:r w:rsidRPr="00846195">
      <w:rPr>
        <w:rStyle w:val="PageNumber"/>
        <w:b/>
        <w:sz w:val="20"/>
        <w:szCs w:val="20"/>
      </w:rPr>
      <w:fldChar w:fldCharType="end"/>
    </w:r>
  </w:p>
  <w:p w:rsidR="00D43007" w:rsidRDefault="00D43007" w:rsidP="00D7047A">
    <w:pPr>
      <w:pStyle w:val="Footer"/>
      <w:rPr>
        <w:b/>
        <w:sz w:val="20"/>
        <w:szCs w:val="20"/>
      </w:rPr>
    </w:pPr>
    <w:r>
      <w:rPr>
        <w:b/>
        <w:sz w:val="20"/>
        <w:szCs w:val="20"/>
      </w:rPr>
      <w:t>Pacific Gas &amp; Electric Company</w:t>
    </w:r>
  </w:p>
  <w:p w:rsidR="00D43007" w:rsidRDefault="00D43007" w:rsidP="00D7047A">
    <w:pPr>
      <w:pStyle w:val="Footer"/>
      <w:rPr>
        <w:b/>
        <w:color w:val="0000FF"/>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Pr="002E0E3F" w:rsidRDefault="00D43007" w:rsidP="00D7047A">
    <w:pPr>
      <w:pStyle w:val="Footer"/>
      <w:jc w:val="right"/>
      <w:rPr>
        <w:rFonts w:ascii="Arial" w:hAnsi="Arial" w:cs="Arial"/>
        <w:b/>
        <w:sz w:val="36"/>
        <w:szCs w:val="36"/>
      </w:rPr>
    </w:pPr>
    <w:r>
      <w:rPr>
        <w:rFonts w:ascii="Arial" w:hAnsi="Arial" w:cs="Arial"/>
        <w:b/>
        <w:sz w:val="36"/>
        <w:szCs w:val="36"/>
      </w:rPr>
      <w:t>Date of Last Revision</w:t>
    </w:r>
  </w:p>
  <w:p w:rsidR="00D43007" w:rsidRDefault="00D430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E38" w:rsidRDefault="00A75E38">
      <w:r>
        <w:separator/>
      </w:r>
    </w:p>
    <w:p w:rsidR="00A75E38" w:rsidRDefault="00A75E38"/>
  </w:footnote>
  <w:footnote w:type="continuationSeparator" w:id="0">
    <w:p w:rsidR="00A75E38" w:rsidRDefault="00A75E38">
      <w:r>
        <w:continuationSeparator/>
      </w:r>
    </w:p>
    <w:p w:rsidR="00A75E38" w:rsidRDefault="00A75E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Default="00D4300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Default="00D43007" w:rsidP="001A573F">
    <w:pPr>
      <w:pStyle w:val="Header"/>
      <w:jc w:val="right"/>
    </w:pPr>
  </w:p>
  <w:p w:rsidR="00D43007" w:rsidRDefault="00D43007"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Default="00D4300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Default="00D43007" w:rsidP="001A573F">
    <w:pPr>
      <w:pStyle w:val="Header"/>
      <w:jc w:val="right"/>
    </w:pPr>
  </w:p>
  <w:p w:rsidR="00D43007" w:rsidRDefault="00D43007"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07" w:rsidRDefault="00D430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1918"/>
    <w:multiLevelType w:val="hybridMultilevel"/>
    <w:tmpl w:val="BD3656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EDB03042"/>
    <w:lvl w:ilvl="0" w:tplc="DBEC874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515698"/>
    <w:multiLevelType w:val="hybridMultilevel"/>
    <w:tmpl w:val="917CB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9336F08"/>
    <w:multiLevelType w:val="hybridMultilevel"/>
    <w:tmpl w:val="15EC7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5C1B3779"/>
    <w:multiLevelType w:val="hybridMultilevel"/>
    <w:tmpl w:val="59661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E63FC8"/>
    <w:multiLevelType w:val="hybridMultilevel"/>
    <w:tmpl w:val="5E7ADB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5D136EC6"/>
    <w:multiLevelType w:val="hybridMultilevel"/>
    <w:tmpl w:val="FB963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8BF3120"/>
    <w:multiLevelType w:val="hybridMultilevel"/>
    <w:tmpl w:val="DC02F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820856"/>
    <w:multiLevelType w:val="singleLevel"/>
    <w:tmpl w:val="6C78A414"/>
    <w:lvl w:ilvl="0">
      <w:start w:val="1"/>
      <w:numFmt w:val="decimal"/>
      <w:lvlText w:val="%1."/>
      <w:legacy w:legacy="1" w:legacySpace="0" w:legacyIndent="0"/>
      <w:lvlJc w:val="left"/>
    </w:lvl>
  </w:abstractNum>
  <w:abstractNum w:abstractNumId="24">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5"/>
  </w:num>
  <w:num w:numId="4">
    <w:abstractNumId w:val="8"/>
  </w:num>
  <w:num w:numId="5">
    <w:abstractNumId w:val="23"/>
  </w:num>
  <w:num w:numId="6">
    <w:abstractNumId w:val="11"/>
  </w:num>
  <w:num w:numId="7">
    <w:abstractNumId w:val="7"/>
  </w:num>
  <w:num w:numId="8">
    <w:abstractNumId w:val="13"/>
  </w:num>
  <w:num w:numId="9">
    <w:abstractNumId w:val="10"/>
  </w:num>
  <w:num w:numId="10">
    <w:abstractNumId w:val="2"/>
  </w:num>
  <w:num w:numId="11">
    <w:abstractNumId w:val="17"/>
  </w:num>
  <w:num w:numId="12">
    <w:abstractNumId w:val="21"/>
  </w:num>
  <w:num w:numId="13">
    <w:abstractNumId w:val="4"/>
  </w:num>
  <w:num w:numId="14">
    <w:abstractNumId w:val="24"/>
  </w:num>
  <w:num w:numId="15">
    <w:abstractNumId w:val="14"/>
  </w:num>
  <w:num w:numId="16">
    <w:abstractNumId w:val="15"/>
  </w:num>
  <w:num w:numId="17">
    <w:abstractNumId w:val="1"/>
  </w:num>
  <w:num w:numId="18">
    <w:abstractNumId w:val="0"/>
  </w:num>
  <w:num w:numId="19">
    <w:abstractNumId w:val="16"/>
  </w:num>
  <w:num w:numId="20">
    <w:abstractNumId w:val="9"/>
  </w:num>
  <w:num w:numId="21">
    <w:abstractNumId w:val="19"/>
  </w:num>
  <w:num w:numId="22">
    <w:abstractNumId w:val="6"/>
  </w:num>
  <w:num w:numId="23">
    <w:abstractNumId w:val="22"/>
  </w:num>
  <w:num w:numId="24">
    <w:abstractNumId w:val="2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91D"/>
    <w:rsid w:val="00002C26"/>
    <w:rsid w:val="00005E70"/>
    <w:rsid w:val="00007247"/>
    <w:rsid w:val="000073DE"/>
    <w:rsid w:val="0001175C"/>
    <w:rsid w:val="00012F86"/>
    <w:rsid w:val="00014740"/>
    <w:rsid w:val="00014A14"/>
    <w:rsid w:val="00016332"/>
    <w:rsid w:val="000170B5"/>
    <w:rsid w:val="00017488"/>
    <w:rsid w:val="00024AA9"/>
    <w:rsid w:val="00025BBC"/>
    <w:rsid w:val="00026F78"/>
    <w:rsid w:val="000272C2"/>
    <w:rsid w:val="00027966"/>
    <w:rsid w:val="0003064A"/>
    <w:rsid w:val="000326E3"/>
    <w:rsid w:val="00032B63"/>
    <w:rsid w:val="000351CB"/>
    <w:rsid w:val="000374A5"/>
    <w:rsid w:val="00040D1E"/>
    <w:rsid w:val="00044570"/>
    <w:rsid w:val="00055389"/>
    <w:rsid w:val="000571F6"/>
    <w:rsid w:val="00057C09"/>
    <w:rsid w:val="0006125F"/>
    <w:rsid w:val="00061FA2"/>
    <w:rsid w:val="00063FA7"/>
    <w:rsid w:val="0006490F"/>
    <w:rsid w:val="00065993"/>
    <w:rsid w:val="00066D5B"/>
    <w:rsid w:val="000678A2"/>
    <w:rsid w:val="00067EB5"/>
    <w:rsid w:val="0007015C"/>
    <w:rsid w:val="000701EB"/>
    <w:rsid w:val="000719AA"/>
    <w:rsid w:val="000749EA"/>
    <w:rsid w:val="00077161"/>
    <w:rsid w:val="000814B9"/>
    <w:rsid w:val="000842B9"/>
    <w:rsid w:val="00085751"/>
    <w:rsid w:val="00085DF5"/>
    <w:rsid w:val="00086594"/>
    <w:rsid w:val="00087378"/>
    <w:rsid w:val="000913DF"/>
    <w:rsid w:val="00095610"/>
    <w:rsid w:val="000966CC"/>
    <w:rsid w:val="000976A4"/>
    <w:rsid w:val="0009782B"/>
    <w:rsid w:val="000A2FB3"/>
    <w:rsid w:val="000A4829"/>
    <w:rsid w:val="000A48F2"/>
    <w:rsid w:val="000B0B1E"/>
    <w:rsid w:val="000B3187"/>
    <w:rsid w:val="000B61DA"/>
    <w:rsid w:val="000C0FD3"/>
    <w:rsid w:val="000C7AA6"/>
    <w:rsid w:val="000D2BBD"/>
    <w:rsid w:val="000E132D"/>
    <w:rsid w:val="000E16C8"/>
    <w:rsid w:val="000E31B5"/>
    <w:rsid w:val="000E39B4"/>
    <w:rsid w:val="000E56E2"/>
    <w:rsid w:val="000F0069"/>
    <w:rsid w:val="000F11DD"/>
    <w:rsid w:val="000F6ECA"/>
    <w:rsid w:val="000F7548"/>
    <w:rsid w:val="00115EB1"/>
    <w:rsid w:val="00120342"/>
    <w:rsid w:val="0012422F"/>
    <w:rsid w:val="001248A3"/>
    <w:rsid w:val="00124F32"/>
    <w:rsid w:val="00126483"/>
    <w:rsid w:val="00126A4E"/>
    <w:rsid w:val="00127CC8"/>
    <w:rsid w:val="0013046A"/>
    <w:rsid w:val="0013080C"/>
    <w:rsid w:val="0013087E"/>
    <w:rsid w:val="00133198"/>
    <w:rsid w:val="00133C60"/>
    <w:rsid w:val="00134522"/>
    <w:rsid w:val="00136D56"/>
    <w:rsid w:val="00150EC7"/>
    <w:rsid w:val="00152262"/>
    <w:rsid w:val="00155EF5"/>
    <w:rsid w:val="00167F2B"/>
    <w:rsid w:val="0017179F"/>
    <w:rsid w:val="00172149"/>
    <w:rsid w:val="00175673"/>
    <w:rsid w:val="00176223"/>
    <w:rsid w:val="00176431"/>
    <w:rsid w:val="00183349"/>
    <w:rsid w:val="00183C8E"/>
    <w:rsid w:val="00185B2F"/>
    <w:rsid w:val="001946B1"/>
    <w:rsid w:val="00194E14"/>
    <w:rsid w:val="001965AF"/>
    <w:rsid w:val="00196D7C"/>
    <w:rsid w:val="00197A23"/>
    <w:rsid w:val="001A174B"/>
    <w:rsid w:val="001A287F"/>
    <w:rsid w:val="001A3026"/>
    <w:rsid w:val="001A4516"/>
    <w:rsid w:val="001A5482"/>
    <w:rsid w:val="001A550C"/>
    <w:rsid w:val="001A573F"/>
    <w:rsid w:val="001A64C6"/>
    <w:rsid w:val="001A7081"/>
    <w:rsid w:val="001A70AD"/>
    <w:rsid w:val="001A731B"/>
    <w:rsid w:val="001A73E3"/>
    <w:rsid w:val="001B06B5"/>
    <w:rsid w:val="001B238D"/>
    <w:rsid w:val="001B242B"/>
    <w:rsid w:val="001B4ACB"/>
    <w:rsid w:val="001B5D49"/>
    <w:rsid w:val="001B5E15"/>
    <w:rsid w:val="001B75E6"/>
    <w:rsid w:val="001B792D"/>
    <w:rsid w:val="001C2942"/>
    <w:rsid w:val="001C400E"/>
    <w:rsid w:val="001D11CE"/>
    <w:rsid w:val="001D16C2"/>
    <w:rsid w:val="001D27BF"/>
    <w:rsid w:val="001D3F48"/>
    <w:rsid w:val="001D483C"/>
    <w:rsid w:val="001E0DF3"/>
    <w:rsid w:val="001E0E27"/>
    <w:rsid w:val="001E7CA0"/>
    <w:rsid w:val="001F4083"/>
    <w:rsid w:val="001F60D5"/>
    <w:rsid w:val="001F627F"/>
    <w:rsid w:val="001F7023"/>
    <w:rsid w:val="001F7466"/>
    <w:rsid w:val="00200174"/>
    <w:rsid w:val="0020595D"/>
    <w:rsid w:val="00205F55"/>
    <w:rsid w:val="00211BAC"/>
    <w:rsid w:val="002154B2"/>
    <w:rsid w:val="002170D6"/>
    <w:rsid w:val="002203EA"/>
    <w:rsid w:val="0022055B"/>
    <w:rsid w:val="0022067C"/>
    <w:rsid w:val="002207C3"/>
    <w:rsid w:val="00221B69"/>
    <w:rsid w:val="002221BA"/>
    <w:rsid w:val="0022428B"/>
    <w:rsid w:val="002257FA"/>
    <w:rsid w:val="0023285F"/>
    <w:rsid w:val="00235694"/>
    <w:rsid w:val="0024233E"/>
    <w:rsid w:val="00243BAC"/>
    <w:rsid w:val="00244BD6"/>
    <w:rsid w:val="00245A56"/>
    <w:rsid w:val="002466F4"/>
    <w:rsid w:val="00252352"/>
    <w:rsid w:val="00255067"/>
    <w:rsid w:val="0025738E"/>
    <w:rsid w:val="002628B9"/>
    <w:rsid w:val="00262B6E"/>
    <w:rsid w:val="00264B03"/>
    <w:rsid w:val="00272CC7"/>
    <w:rsid w:val="0027474D"/>
    <w:rsid w:val="00274A7E"/>
    <w:rsid w:val="00276918"/>
    <w:rsid w:val="00276ED1"/>
    <w:rsid w:val="0027792C"/>
    <w:rsid w:val="00283775"/>
    <w:rsid w:val="00285AF5"/>
    <w:rsid w:val="0028709C"/>
    <w:rsid w:val="00291D75"/>
    <w:rsid w:val="00295B67"/>
    <w:rsid w:val="002A2C2E"/>
    <w:rsid w:val="002A4B6C"/>
    <w:rsid w:val="002B0ECF"/>
    <w:rsid w:val="002B1BC5"/>
    <w:rsid w:val="002B1C71"/>
    <w:rsid w:val="002C12FA"/>
    <w:rsid w:val="002C21F9"/>
    <w:rsid w:val="002C26EB"/>
    <w:rsid w:val="002C321E"/>
    <w:rsid w:val="002C42E0"/>
    <w:rsid w:val="002C4F1C"/>
    <w:rsid w:val="002C518C"/>
    <w:rsid w:val="002C78A7"/>
    <w:rsid w:val="002C7B46"/>
    <w:rsid w:val="002D0F51"/>
    <w:rsid w:val="002D27DC"/>
    <w:rsid w:val="002D2A8E"/>
    <w:rsid w:val="002D4621"/>
    <w:rsid w:val="002D699F"/>
    <w:rsid w:val="002E0043"/>
    <w:rsid w:val="002E40A2"/>
    <w:rsid w:val="002E47B4"/>
    <w:rsid w:val="002E5671"/>
    <w:rsid w:val="002F06D2"/>
    <w:rsid w:val="002F105C"/>
    <w:rsid w:val="002F14FF"/>
    <w:rsid w:val="002F3610"/>
    <w:rsid w:val="002F3FE5"/>
    <w:rsid w:val="002F4E8C"/>
    <w:rsid w:val="00300931"/>
    <w:rsid w:val="0030114D"/>
    <w:rsid w:val="00302B74"/>
    <w:rsid w:val="003032B7"/>
    <w:rsid w:val="00303AC1"/>
    <w:rsid w:val="0030550A"/>
    <w:rsid w:val="00306FD6"/>
    <w:rsid w:val="003129E8"/>
    <w:rsid w:val="00315657"/>
    <w:rsid w:val="00315AB7"/>
    <w:rsid w:val="00324AFE"/>
    <w:rsid w:val="00324D0F"/>
    <w:rsid w:val="003259CD"/>
    <w:rsid w:val="0032657A"/>
    <w:rsid w:val="00327FD0"/>
    <w:rsid w:val="00330131"/>
    <w:rsid w:val="0033036F"/>
    <w:rsid w:val="003312BF"/>
    <w:rsid w:val="00333E01"/>
    <w:rsid w:val="00335017"/>
    <w:rsid w:val="00340DA6"/>
    <w:rsid w:val="00340DAD"/>
    <w:rsid w:val="00343DCE"/>
    <w:rsid w:val="00345971"/>
    <w:rsid w:val="00345DE6"/>
    <w:rsid w:val="0034647B"/>
    <w:rsid w:val="00350382"/>
    <w:rsid w:val="00351506"/>
    <w:rsid w:val="00351683"/>
    <w:rsid w:val="003519D9"/>
    <w:rsid w:val="00351ED6"/>
    <w:rsid w:val="00353DC2"/>
    <w:rsid w:val="00362067"/>
    <w:rsid w:val="00366D1B"/>
    <w:rsid w:val="00374640"/>
    <w:rsid w:val="00377407"/>
    <w:rsid w:val="0038391A"/>
    <w:rsid w:val="00383CDA"/>
    <w:rsid w:val="00384159"/>
    <w:rsid w:val="003914D2"/>
    <w:rsid w:val="00391F64"/>
    <w:rsid w:val="00392530"/>
    <w:rsid w:val="00392B5E"/>
    <w:rsid w:val="00392C05"/>
    <w:rsid w:val="00393618"/>
    <w:rsid w:val="00393D41"/>
    <w:rsid w:val="00394ADC"/>
    <w:rsid w:val="00395845"/>
    <w:rsid w:val="003A1B51"/>
    <w:rsid w:val="003A352E"/>
    <w:rsid w:val="003A4812"/>
    <w:rsid w:val="003A648E"/>
    <w:rsid w:val="003A66D0"/>
    <w:rsid w:val="003B384E"/>
    <w:rsid w:val="003B4F7C"/>
    <w:rsid w:val="003B51DE"/>
    <w:rsid w:val="003C27C4"/>
    <w:rsid w:val="003C3A3C"/>
    <w:rsid w:val="003C48C5"/>
    <w:rsid w:val="003C5980"/>
    <w:rsid w:val="003C6DFA"/>
    <w:rsid w:val="003D04BC"/>
    <w:rsid w:val="003D36AD"/>
    <w:rsid w:val="003D3F36"/>
    <w:rsid w:val="003D5191"/>
    <w:rsid w:val="003D60B8"/>
    <w:rsid w:val="003E24CE"/>
    <w:rsid w:val="003E3441"/>
    <w:rsid w:val="003E3941"/>
    <w:rsid w:val="003E540D"/>
    <w:rsid w:val="003E7422"/>
    <w:rsid w:val="003E7CF9"/>
    <w:rsid w:val="003E7D3D"/>
    <w:rsid w:val="003E7E0A"/>
    <w:rsid w:val="003F0CBE"/>
    <w:rsid w:val="003F3DED"/>
    <w:rsid w:val="003F46D4"/>
    <w:rsid w:val="003F57BD"/>
    <w:rsid w:val="003F5B70"/>
    <w:rsid w:val="00400E3E"/>
    <w:rsid w:val="004018B3"/>
    <w:rsid w:val="0040323C"/>
    <w:rsid w:val="00403FBE"/>
    <w:rsid w:val="004048BA"/>
    <w:rsid w:val="00405D34"/>
    <w:rsid w:val="00406009"/>
    <w:rsid w:val="004078BB"/>
    <w:rsid w:val="0041339D"/>
    <w:rsid w:val="00415754"/>
    <w:rsid w:val="004162E3"/>
    <w:rsid w:val="00421ED8"/>
    <w:rsid w:val="0042297B"/>
    <w:rsid w:val="00422F19"/>
    <w:rsid w:val="00423B48"/>
    <w:rsid w:val="00423F22"/>
    <w:rsid w:val="00423FF9"/>
    <w:rsid w:val="00425FE9"/>
    <w:rsid w:val="00427131"/>
    <w:rsid w:val="004323E9"/>
    <w:rsid w:val="00432C65"/>
    <w:rsid w:val="0043388D"/>
    <w:rsid w:val="004339ED"/>
    <w:rsid w:val="00433B89"/>
    <w:rsid w:val="00436F7E"/>
    <w:rsid w:val="00437947"/>
    <w:rsid w:val="0044128D"/>
    <w:rsid w:val="004419D3"/>
    <w:rsid w:val="00441A87"/>
    <w:rsid w:val="0044337C"/>
    <w:rsid w:val="00445790"/>
    <w:rsid w:val="00445F3B"/>
    <w:rsid w:val="00450273"/>
    <w:rsid w:val="004509A5"/>
    <w:rsid w:val="004551F3"/>
    <w:rsid w:val="00455856"/>
    <w:rsid w:val="004563F1"/>
    <w:rsid w:val="004602EC"/>
    <w:rsid w:val="004617A6"/>
    <w:rsid w:val="004643C3"/>
    <w:rsid w:val="00465447"/>
    <w:rsid w:val="004672C1"/>
    <w:rsid w:val="00467FE9"/>
    <w:rsid w:val="00471AA2"/>
    <w:rsid w:val="00474025"/>
    <w:rsid w:val="00475469"/>
    <w:rsid w:val="0048008C"/>
    <w:rsid w:val="004800BA"/>
    <w:rsid w:val="004809C9"/>
    <w:rsid w:val="00480BAD"/>
    <w:rsid w:val="00480C7E"/>
    <w:rsid w:val="00484596"/>
    <w:rsid w:val="00486CF9"/>
    <w:rsid w:val="00487D95"/>
    <w:rsid w:val="00492048"/>
    <w:rsid w:val="004967A2"/>
    <w:rsid w:val="00497CD3"/>
    <w:rsid w:val="004A09D0"/>
    <w:rsid w:val="004A2D46"/>
    <w:rsid w:val="004A3A35"/>
    <w:rsid w:val="004A44F2"/>
    <w:rsid w:val="004A6FCA"/>
    <w:rsid w:val="004B0F48"/>
    <w:rsid w:val="004B2CFB"/>
    <w:rsid w:val="004B3A75"/>
    <w:rsid w:val="004B4489"/>
    <w:rsid w:val="004B6005"/>
    <w:rsid w:val="004C423B"/>
    <w:rsid w:val="004C4E2A"/>
    <w:rsid w:val="004C56D1"/>
    <w:rsid w:val="004D2C76"/>
    <w:rsid w:val="004D3D0D"/>
    <w:rsid w:val="004D58D5"/>
    <w:rsid w:val="004D71AF"/>
    <w:rsid w:val="004D7301"/>
    <w:rsid w:val="004E18E3"/>
    <w:rsid w:val="004E21C4"/>
    <w:rsid w:val="004E2F7A"/>
    <w:rsid w:val="004F1DB8"/>
    <w:rsid w:val="004F3EDB"/>
    <w:rsid w:val="004F55EC"/>
    <w:rsid w:val="004F61DD"/>
    <w:rsid w:val="00500486"/>
    <w:rsid w:val="00502569"/>
    <w:rsid w:val="005030CC"/>
    <w:rsid w:val="00506204"/>
    <w:rsid w:val="00511171"/>
    <w:rsid w:val="0051149B"/>
    <w:rsid w:val="00511E1B"/>
    <w:rsid w:val="005136CC"/>
    <w:rsid w:val="00513858"/>
    <w:rsid w:val="00514B37"/>
    <w:rsid w:val="00514EEC"/>
    <w:rsid w:val="00517888"/>
    <w:rsid w:val="00521874"/>
    <w:rsid w:val="00521920"/>
    <w:rsid w:val="00522951"/>
    <w:rsid w:val="005246B1"/>
    <w:rsid w:val="0053090B"/>
    <w:rsid w:val="00530B04"/>
    <w:rsid w:val="0053683E"/>
    <w:rsid w:val="00537B0D"/>
    <w:rsid w:val="005403E8"/>
    <w:rsid w:val="00540F74"/>
    <w:rsid w:val="00542990"/>
    <w:rsid w:val="00542A98"/>
    <w:rsid w:val="005453C5"/>
    <w:rsid w:val="0054599C"/>
    <w:rsid w:val="00545A84"/>
    <w:rsid w:val="005517A2"/>
    <w:rsid w:val="00551EF3"/>
    <w:rsid w:val="00554084"/>
    <w:rsid w:val="00555230"/>
    <w:rsid w:val="00557E24"/>
    <w:rsid w:val="00560593"/>
    <w:rsid w:val="00560CC0"/>
    <w:rsid w:val="0056163A"/>
    <w:rsid w:val="00562217"/>
    <w:rsid w:val="00563BE5"/>
    <w:rsid w:val="00567397"/>
    <w:rsid w:val="00574FBD"/>
    <w:rsid w:val="005773BB"/>
    <w:rsid w:val="00585B15"/>
    <w:rsid w:val="00585C83"/>
    <w:rsid w:val="00586604"/>
    <w:rsid w:val="00590A83"/>
    <w:rsid w:val="005921AE"/>
    <w:rsid w:val="005A1F9D"/>
    <w:rsid w:val="005A3798"/>
    <w:rsid w:val="005A456C"/>
    <w:rsid w:val="005A67E5"/>
    <w:rsid w:val="005A6D2A"/>
    <w:rsid w:val="005A7302"/>
    <w:rsid w:val="005B2FD9"/>
    <w:rsid w:val="005B5676"/>
    <w:rsid w:val="005C2844"/>
    <w:rsid w:val="005C7F3F"/>
    <w:rsid w:val="005D6266"/>
    <w:rsid w:val="005E2187"/>
    <w:rsid w:val="005E2FDF"/>
    <w:rsid w:val="005E4FE9"/>
    <w:rsid w:val="005E61D0"/>
    <w:rsid w:val="005F02BD"/>
    <w:rsid w:val="005F19E0"/>
    <w:rsid w:val="005F365A"/>
    <w:rsid w:val="005F57B5"/>
    <w:rsid w:val="005F7AA1"/>
    <w:rsid w:val="006009C7"/>
    <w:rsid w:val="00604FAE"/>
    <w:rsid w:val="006065AB"/>
    <w:rsid w:val="0060670A"/>
    <w:rsid w:val="00607077"/>
    <w:rsid w:val="00607605"/>
    <w:rsid w:val="0061001E"/>
    <w:rsid w:val="00610B3C"/>
    <w:rsid w:val="0061378C"/>
    <w:rsid w:val="00622319"/>
    <w:rsid w:val="00623394"/>
    <w:rsid w:val="0062416A"/>
    <w:rsid w:val="00625FB3"/>
    <w:rsid w:val="00626129"/>
    <w:rsid w:val="00627927"/>
    <w:rsid w:val="00632A52"/>
    <w:rsid w:val="00634414"/>
    <w:rsid w:val="00636012"/>
    <w:rsid w:val="00636987"/>
    <w:rsid w:val="00640BB6"/>
    <w:rsid w:val="00642FCD"/>
    <w:rsid w:val="006433B2"/>
    <w:rsid w:val="006460F3"/>
    <w:rsid w:val="00646240"/>
    <w:rsid w:val="00652DD9"/>
    <w:rsid w:val="006559C8"/>
    <w:rsid w:val="00657405"/>
    <w:rsid w:val="006605C2"/>
    <w:rsid w:val="00661864"/>
    <w:rsid w:val="006634D9"/>
    <w:rsid w:val="00663A00"/>
    <w:rsid w:val="00664FA6"/>
    <w:rsid w:val="0066557D"/>
    <w:rsid w:val="00665AA9"/>
    <w:rsid w:val="0066632E"/>
    <w:rsid w:val="0067364B"/>
    <w:rsid w:val="00675439"/>
    <w:rsid w:val="00681A81"/>
    <w:rsid w:val="006832A4"/>
    <w:rsid w:val="006846E9"/>
    <w:rsid w:val="006872DB"/>
    <w:rsid w:val="006920AF"/>
    <w:rsid w:val="00695ED2"/>
    <w:rsid w:val="006A1022"/>
    <w:rsid w:val="006A1A83"/>
    <w:rsid w:val="006A1E51"/>
    <w:rsid w:val="006A2C4B"/>
    <w:rsid w:val="006A541C"/>
    <w:rsid w:val="006A55D2"/>
    <w:rsid w:val="006A5A91"/>
    <w:rsid w:val="006A7AF3"/>
    <w:rsid w:val="006B2A01"/>
    <w:rsid w:val="006B42B8"/>
    <w:rsid w:val="006B6104"/>
    <w:rsid w:val="006B69D4"/>
    <w:rsid w:val="006B763D"/>
    <w:rsid w:val="006B7EDD"/>
    <w:rsid w:val="006D0365"/>
    <w:rsid w:val="006D2068"/>
    <w:rsid w:val="006D2633"/>
    <w:rsid w:val="006D3725"/>
    <w:rsid w:val="006D4A78"/>
    <w:rsid w:val="006D4AE1"/>
    <w:rsid w:val="006D52D8"/>
    <w:rsid w:val="006D5AAB"/>
    <w:rsid w:val="006D78EA"/>
    <w:rsid w:val="006E0111"/>
    <w:rsid w:val="006E3C13"/>
    <w:rsid w:val="006F0139"/>
    <w:rsid w:val="006F214B"/>
    <w:rsid w:val="006F28C7"/>
    <w:rsid w:val="007001DD"/>
    <w:rsid w:val="0070443C"/>
    <w:rsid w:val="00712407"/>
    <w:rsid w:val="00712477"/>
    <w:rsid w:val="00716141"/>
    <w:rsid w:val="00721A54"/>
    <w:rsid w:val="00721C75"/>
    <w:rsid w:val="007228DB"/>
    <w:rsid w:val="007230AA"/>
    <w:rsid w:val="007230D9"/>
    <w:rsid w:val="00723862"/>
    <w:rsid w:val="007254EC"/>
    <w:rsid w:val="00731859"/>
    <w:rsid w:val="00732062"/>
    <w:rsid w:val="00733275"/>
    <w:rsid w:val="00735A4C"/>
    <w:rsid w:val="00735CB1"/>
    <w:rsid w:val="00741F74"/>
    <w:rsid w:val="00742E8A"/>
    <w:rsid w:val="007431B7"/>
    <w:rsid w:val="00745482"/>
    <w:rsid w:val="00746DDC"/>
    <w:rsid w:val="007475AA"/>
    <w:rsid w:val="0075061C"/>
    <w:rsid w:val="00754D25"/>
    <w:rsid w:val="00755961"/>
    <w:rsid w:val="007567E8"/>
    <w:rsid w:val="00756A18"/>
    <w:rsid w:val="00757590"/>
    <w:rsid w:val="007652CE"/>
    <w:rsid w:val="00765936"/>
    <w:rsid w:val="0076704B"/>
    <w:rsid w:val="0077416A"/>
    <w:rsid w:val="007821CF"/>
    <w:rsid w:val="0078292F"/>
    <w:rsid w:val="00783DAC"/>
    <w:rsid w:val="00784500"/>
    <w:rsid w:val="00785112"/>
    <w:rsid w:val="00786700"/>
    <w:rsid w:val="007878B9"/>
    <w:rsid w:val="00790593"/>
    <w:rsid w:val="00790EFC"/>
    <w:rsid w:val="007931BC"/>
    <w:rsid w:val="00793646"/>
    <w:rsid w:val="0079521E"/>
    <w:rsid w:val="00796071"/>
    <w:rsid w:val="00796B15"/>
    <w:rsid w:val="007A1510"/>
    <w:rsid w:val="007A2ED8"/>
    <w:rsid w:val="007A4D97"/>
    <w:rsid w:val="007A768C"/>
    <w:rsid w:val="007B0B34"/>
    <w:rsid w:val="007B1A8B"/>
    <w:rsid w:val="007B2CAC"/>
    <w:rsid w:val="007B44FB"/>
    <w:rsid w:val="007C0E38"/>
    <w:rsid w:val="007C18E3"/>
    <w:rsid w:val="007C2B1A"/>
    <w:rsid w:val="007C4E08"/>
    <w:rsid w:val="007D2F4C"/>
    <w:rsid w:val="007D3DFF"/>
    <w:rsid w:val="007D3F38"/>
    <w:rsid w:val="007D4DB8"/>
    <w:rsid w:val="007D504F"/>
    <w:rsid w:val="007D7A82"/>
    <w:rsid w:val="007E141E"/>
    <w:rsid w:val="007E1ADA"/>
    <w:rsid w:val="007E2197"/>
    <w:rsid w:val="007E3304"/>
    <w:rsid w:val="007F1E48"/>
    <w:rsid w:val="007F2BC2"/>
    <w:rsid w:val="007F4605"/>
    <w:rsid w:val="007F6C7D"/>
    <w:rsid w:val="007F6E8F"/>
    <w:rsid w:val="008026F6"/>
    <w:rsid w:val="00803F84"/>
    <w:rsid w:val="008041B7"/>
    <w:rsid w:val="00806070"/>
    <w:rsid w:val="00806EE8"/>
    <w:rsid w:val="00811D89"/>
    <w:rsid w:val="00814500"/>
    <w:rsid w:val="008152AD"/>
    <w:rsid w:val="0081747E"/>
    <w:rsid w:val="00822F77"/>
    <w:rsid w:val="00833AF7"/>
    <w:rsid w:val="00834023"/>
    <w:rsid w:val="00835579"/>
    <w:rsid w:val="00835C14"/>
    <w:rsid w:val="00836F9B"/>
    <w:rsid w:val="00844106"/>
    <w:rsid w:val="00844B27"/>
    <w:rsid w:val="00844D29"/>
    <w:rsid w:val="00846195"/>
    <w:rsid w:val="008469D9"/>
    <w:rsid w:val="00846FA0"/>
    <w:rsid w:val="00847511"/>
    <w:rsid w:val="0084766E"/>
    <w:rsid w:val="008479B6"/>
    <w:rsid w:val="00852C13"/>
    <w:rsid w:val="008565EC"/>
    <w:rsid w:val="0086002F"/>
    <w:rsid w:val="00860154"/>
    <w:rsid w:val="00863F9D"/>
    <w:rsid w:val="008645F9"/>
    <w:rsid w:val="0086628A"/>
    <w:rsid w:val="00871279"/>
    <w:rsid w:val="00872913"/>
    <w:rsid w:val="00873F82"/>
    <w:rsid w:val="008756A8"/>
    <w:rsid w:val="00880CA5"/>
    <w:rsid w:val="00880E5A"/>
    <w:rsid w:val="008811BD"/>
    <w:rsid w:val="008817B1"/>
    <w:rsid w:val="008834BB"/>
    <w:rsid w:val="008840FA"/>
    <w:rsid w:val="008846D2"/>
    <w:rsid w:val="008860E6"/>
    <w:rsid w:val="00890F95"/>
    <w:rsid w:val="0089160C"/>
    <w:rsid w:val="0089311A"/>
    <w:rsid w:val="008946C3"/>
    <w:rsid w:val="008948E0"/>
    <w:rsid w:val="0089528C"/>
    <w:rsid w:val="008A1179"/>
    <w:rsid w:val="008A1B2B"/>
    <w:rsid w:val="008B034D"/>
    <w:rsid w:val="008B0BBC"/>
    <w:rsid w:val="008B0E5E"/>
    <w:rsid w:val="008B20D1"/>
    <w:rsid w:val="008B4153"/>
    <w:rsid w:val="008B5356"/>
    <w:rsid w:val="008B636A"/>
    <w:rsid w:val="008B7927"/>
    <w:rsid w:val="008C6A0E"/>
    <w:rsid w:val="008C6AD1"/>
    <w:rsid w:val="008C71B5"/>
    <w:rsid w:val="008D410C"/>
    <w:rsid w:val="008D6C11"/>
    <w:rsid w:val="008E431F"/>
    <w:rsid w:val="008E58B2"/>
    <w:rsid w:val="008E5E12"/>
    <w:rsid w:val="008F0D2A"/>
    <w:rsid w:val="008F12D4"/>
    <w:rsid w:val="008F17A0"/>
    <w:rsid w:val="008F23EF"/>
    <w:rsid w:val="008F386F"/>
    <w:rsid w:val="008F48E1"/>
    <w:rsid w:val="008F5BD0"/>
    <w:rsid w:val="009003FE"/>
    <w:rsid w:val="00903C95"/>
    <w:rsid w:val="00903D41"/>
    <w:rsid w:val="009046D4"/>
    <w:rsid w:val="0091058D"/>
    <w:rsid w:val="00913858"/>
    <w:rsid w:val="00913A0F"/>
    <w:rsid w:val="00914959"/>
    <w:rsid w:val="00915CE6"/>
    <w:rsid w:val="009168A1"/>
    <w:rsid w:val="00924681"/>
    <w:rsid w:val="0092622E"/>
    <w:rsid w:val="00930877"/>
    <w:rsid w:val="00934B10"/>
    <w:rsid w:val="00945CB0"/>
    <w:rsid w:val="00950A37"/>
    <w:rsid w:val="00951188"/>
    <w:rsid w:val="009524D0"/>
    <w:rsid w:val="00953CB2"/>
    <w:rsid w:val="00954126"/>
    <w:rsid w:val="00955CBA"/>
    <w:rsid w:val="00960F2F"/>
    <w:rsid w:val="009634F6"/>
    <w:rsid w:val="00963B5E"/>
    <w:rsid w:val="00963FA0"/>
    <w:rsid w:val="0096491F"/>
    <w:rsid w:val="00974E95"/>
    <w:rsid w:val="00975F2D"/>
    <w:rsid w:val="00977BF5"/>
    <w:rsid w:val="0098302D"/>
    <w:rsid w:val="00985EC2"/>
    <w:rsid w:val="009864FC"/>
    <w:rsid w:val="00987608"/>
    <w:rsid w:val="00987E90"/>
    <w:rsid w:val="00993AB9"/>
    <w:rsid w:val="009943A0"/>
    <w:rsid w:val="009953BC"/>
    <w:rsid w:val="009963D2"/>
    <w:rsid w:val="009A0568"/>
    <w:rsid w:val="009A0AF9"/>
    <w:rsid w:val="009A16BE"/>
    <w:rsid w:val="009A2337"/>
    <w:rsid w:val="009A2E00"/>
    <w:rsid w:val="009A355A"/>
    <w:rsid w:val="009A57C7"/>
    <w:rsid w:val="009A5CE8"/>
    <w:rsid w:val="009A7B5A"/>
    <w:rsid w:val="009A7F79"/>
    <w:rsid w:val="009B009B"/>
    <w:rsid w:val="009B2BDC"/>
    <w:rsid w:val="009B4DB1"/>
    <w:rsid w:val="009B5F5D"/>
    <w:rsid w:val="009B6201"/>
    <w:rsid w:val="009B73BA"/>
    <w:rsid w:val="009C10D9"/>
    <w:rsid w:val="009C425A"/>
    <w:rsid w:val="009C5CA7"/>
    <w:rsid w:val="009C6828"/>
    <w:rsid w:val="009D03F8"/>
    <w:rsid w:val="009D1DF4"/>
    <w:rsid w:val="009D7A24"/>
    <w:rsid w:val="009E00E4"/>
    <w:rsid w:val="009E0C36"/>
    <w:rsid w:val="009E0D20"/>
    <w:rsid w:val="009E0F6B"/>
    <w:rsid w:val="009E2964"/>
    <w:rsid w:val="009E5D18"/>
    <w:rsid w:val="009E6287"/>
    <w:rsid w:val="009E7D81"/>
    <w:rsid w:val="009E7DCD"/>
    <w:rsid w:val="009F1A53"/>
    <w:rsid w:val="009F55F9"/>
    <w:rsid w:val="009F5CC0"/>
    <w:rsid w:val="009F6F8B"/>
    <w:rsid w:val="009F7164"/>
    <w:rsid w:val="00A02F0A"/>
    <w:rsid w:val="00A1074D"/>
    <w:rsid w:val="00A127DD"/>
    <w:rsid w:val="00A14094"/>
    <w:rsid w:val="00A14E6C"/>
    <w:rsid w:val="00A167EC"/>
    <w:rsid w:val="00A172E6"/>
    <w:rsid w:val="00A178FD"/>
    <w:rsid w:val="00A204B3"/>
    <w:rsid w:val="00A2355B"/>
    <w:rsid w:val="00A24C8D"/>
    <w:rsid w:val="00A26F15"/>
    <w:rsid w:val="00A30E37"/>
    <w:rsid w:val="00A35CF8"/>
    <w:rsid w:val="00A360E7"/>
    <w:rsid w:val="00A400FB"/>
    <w:rsid w:val="00A417ED"/>
    <w:rsid w:val="00A432F9"/>
    <w:rsid w:val="00A443D1"/>
    <w:rsid w:val="00A456B3"/>
    <w:rsid w:val="00A46AA3"/>
    <w:rsid w:val="00A47BFE"/>
    <w:rsid w:val="00A51808"/>
    <w:rsid w:val="00A51D78"/>
    <w:rsid w:val="00A51EA8"/>
    <w:rsid w:val="00A53AC9"/>
    <w:rsid w:val="00A549C3"/>
    <w:rsid w:val="00A561A8"/>
    <w:rsid w:val="00A562A6"/>
    <w:rsid w:val="00A67307"/>
    <w:rsid w:val="00A7007B"/>
    <w:rsid w:val="00A71623"/>
    <w:rsid w:val="00A72732"/>
    <w:rsid w:val="00A75E38"/>
    <w:rsid w:val="00A84B68"/>
    <w:rsid w:val="00A84B87"/>
    <w:rsid w:val="00A84D4B"/>
    <w:rsid w:val="00A8592D"/>
    <w:rsid w:val="00A90D08"/>
    <w:rsid w:val="00A93FFF"/>
    <w:rsid w:val="00A95746"/>
    <w:rsid w:val="00A9644A"/>
    <w:rsid w:val="00A96D45"/>
    <w:rsid w:val="00A973EE"/>
    <w:rsid w:val="00A9745F"/>
    <w:rsid w:val="00AA18DD"/>
    <w:rsid w:val="00AA1F91"/>
    <w:rsid w:val="00AA5CE1"/>
    <w:rsid w:val="00AB0CBA"/>
    <w:rsid w:val="00AB2D9E"/>
    <w:rsid w:val="00AB4404"/>
    <w:rsid w:val="00AB4ED8"/>
    <w:rsid w:val="00AC21EE"/>
    <w:rsid w:val="00AC3B22"/>
    <w:rsid w:val="00AC4101"/>
    <w:rsid w:val="00AC5597"/>
    <w:rsid w:val="00AD0116"/>
    <w:rsid w:val="00AD126D"/>
    <w:rsid w:val="00AD1B42"/>
    <w:rsid w:val="00AD4B84"/>
    <w:rsid w:val="00AE23BE"/>
    <w:rsid w:val="00AE33C6"/>
    <w:rsid w:val="00AE5772"/>
    <w:rsid w:val="00AF0AC0"/>
    <w:rsid w:val="00AF102F"/>
    <w:rsid w:val="00AF27BC"/>
    <w:rsid w:val="00AF4CA9"/>
    <w:rsid w:val="00AF5B52"/>
    <w:rsid w:val="00AF5CF1"/>
    <w:rsid w:val="00AF6838"/>
    <w:rsid w:val="00B008BF"/>
    <w:rsid w:val="00B07460"/>
    <w:rsid w:val="00B12511"/>
    <w:rsid w:val="00B15A3E"/>
    <w:rsid w:val="00B16978"/>
    <w:rsid w:val="00B16BE4"/>
    <w:rsid w:val="00B1762D"/>
    <w:rsid w:val="00B17EBB"/>
    <w:rsid w:val="00B204BA"/>
    <w:rsid w:val="00B24A6F"/>
    <w:rsid w:val="00B27245"/>
    <w:rsid w:val="00B278DB"/>
    <w:rsid w:val="00B30D4F"/>
    <w:rsid w:val="00B3434E"/>
    <w:rsid w:val="00B351FD"/>
    <w:rsid w:val="00B35BFD"/>
    <w:rsid w:val="00B3669B"/>
    <w:rsid w:val="00B37C7A"/>
    <w:rsid w:val="00B4117C"/>
    <w:rsid w:val="00B41777"/>
    <w:rsid w:val="00B421F2"/>
    <w:rsid w:val="00B42822"/>
    <w:rsid w:val="00B42C54"/>
    <w:rsid w:val="00B4395A"/>
    <w:rsid w:val="00B4553E"/>
    <w:rsid w:val="00B46553"/>
    <w:rsid w:val="00B46773"/>
    <w:rsid w:val="00B47091"/>
    <w:rsid w:val="00B47E14"/>
    <w:rsid w:val="00B54256"/>
    <w:rsid w:val="00B545F4"/>
    <w:rsid w:val="00B55AA0"/>
    <w:rsid w:val="00B56303"/>
    <w:rsid w:val="00B574E9"/>
    <w:rsid w:val="00B615BF"/>
    <w:rsid w:val="00B637A8"/>
    <w:rsid w:val="00B64F62"/>
    <w:rsid w:val="00B66898"/>
    <w:rsid w:val="00B7164C"/>
    <w:rsid w:val="00B72D8C"/>
    <w:rsid w:val="00B75BA9"/>
    <w:rsid w:val="00B807AB"/>
    <w:rsid w:val="00B80F53"/>
    <w:rsid w:val="00B81253"/>
    <w:rsid w:val="00B82E26"/>
    <w:rsid w:val="00B90839"/>
    <w:rsid w:val="00B95FBC"/>
    <w:rsid w:val="00B97C44"/>
    <w:rsid w:val="00BA05AE"/>
    <w:rsid w:val="00BA2FA3"/>
    <w:rsid w:val="00BA36A0"/>
    <w:rsid w:val="00BA40E9"/>
    <w:rsid w:val="00BA6418"/>
    <w:rsid w:val="00BA764D"/>
    <w:rsid w:val="00BA7D18"/>
    <w:rsid w:val="00BB3A8F"/>
    <w:rsid w:val="00BB4534"/>
    <w:rsid w:val="00BB6C0E"/>
    <w:rsid w:val="00BC2A83"/>
    <w:rsid w:val="00BC6972"/>
    <w:rsid w:val="00BD0A12"/>
    <w:rsid w:val="00BD0D15"/>
    <w:rsid w:val="00BD28C6"/>
    <w:rsid w:val="00BD3BD3"/>
    <w:rsid w:val="00BD5425"/>
    <w:rsid w:val="00BF0332"/>
    <w:rsid w:val="00BF5FCC"/>
    <w:rsid w:val="00C06690"/>
    <w:rsid w:val="00C069A2"/>
    <w:rsid w:val="00C069EC"/>
    <w:rsid w:val="00C10D38"/>
    <w:rsid w:val="00C12570"/>
    <w:rsid w:val="00C12EA6"/>
    <w:rsid w:val="00C16F52"/>
    <w:rsid w:val="00C17416"/>
    <w:rsid w:val="00C1748F"/>
    <w:rsid w:val="00C20458"/>
    <w:rsid w:val="00C221D5"/>
    <w:rsid w:val="00C2280A"/>
    <w:rsid w:val="00C2652B"/>
    <w:rsid w:val="00C30449"/>
    <w:rsid w:val="00C30598"/>
    <w:rsid w:val="00C34788"/>
    <w:rsid w:val="00C37A70"/>
    <w:rsid w:val="00C44AD6"/>
    <w:rsid w:val="00C4572D"/>
    <w:rsid w:val="00C45C85"/>
    <w:rsid w:val="00C51FED"/>
    <w:rsid w:val="00C533E6"/>
    <w:rsid w:val="00C56730"/>
    <w:rsid w:val="00C5707F"/>
    <w:rsid w:val="00C6024F"/>
    <w:rsid w:val="00C60CE3"/>
    <w:rsid w:val="00C63D95"/>
    <w:rsid w:val="00C64AF4"/>
    <w:rsid w:val="00C64B94"/>
    <w:rsid w:val="00C67204"/>
    <w:rsid w:val="00C679CA"/>
    <w:rsid w:val="00C739BF"/>
    <w:rsid w:val="00C75434"/>
    <w:rsid w:val="00C76C24"/>
    <w:rsid w:val="00C80E3F"/>
    <w:rsid w:val="00C815A8"/>
    <w:rsid w:val="00C90663"/>
    <w:rsid w:val="00C920A1"/>
    <w:rsid w:val="00C93DCA"/>
    <w:rsid w:val="00C95B76"/>
    <w:rsid w:val="00CA071B"/>
    <w:rsid w:val="00CA5466"/>
    <w:rsid w:val="00CA6C45"/>
    <w:rsid w:val="00CA734B"/>
    <w:rsid w:val="00CB0475"/>
    <w:rsid w:val="00CB0A29"/>
    <w:rsid w:val="00CB2C4F"/>
    <w:rsid w:val="00CB3583"/>
    <w:rsid w:val="00CB6A8C"/>
    <w:rsid w:val="00CC34FF"/>
    <w:rsid w:val="00CC44F0"/>
    <w:rsid w:val="00CC47F1"/>
    <w:rsid w:val="00CD0E5B"/>
    <w:rsid w:val="00CD0FE9"/>
    <w:rsid w:val="00CD396E"/>
    <w:rsid w:val="00CD5104"/>
    <w:rsid w:val="00CD6046"/>
    <w:rsid w:val="00CE06A5"/>
    <w:rsid w:val="00CE0845"/>
    <w:rsid w:val="00CE202E"/>
    <w:rsid w:val="00CE2229"/>
    <w:rsid w:val="00CE374E"/>
    <w:rsid w:val="00CE69F2"/>
    <w:rsid w:val="00CF0534"/>
    <w:rsid w:val="00CF3FF0"/>
    <w:rsid w:val="00CF41AF"/>
    <w:rsid w:val="00CF4567"/>
    <w:rsid w:val="00CF53AB"/>
    <w:rsid w:val="00CF6815"/>
    <w:rsid w:val="00D0231D"/>
    <w:rsid w:val="00D04D3D"/>
    <w:rsid w:val="00D050AD"/>
    <w:rsid w:val="00D0662A"/>
    <w:rsid w:val="00D11B02"/>
    <w:rsid w:val="00D1202C"/>
    <w:rsid w:val="00D12617"/>
    <w:rsid w:val="00D16DDF"/>
    <w:rsid w:val="00D16E24"/>
    <w:rsid w:val="00D20486"/>
    <w:rsid w:val="00D228D8"/>
    <w:rsid w:val="00D2644B"/>
    <w:rsid w:val="00D31439"/>
    <w:rsid w:val="00D33310"/>
    <w:rsid w:val="00D33677"/>
    <w:rsid w:val="00D36A23"/>
    <w:rsid w:val="00D373EC"/>
    <w:rsid w:val="00D4180D"/>
    <w:rsid w:val="00D41A14"/>
    <w:rsid w:val="00D42875"/>
    <w:rsid w:val="00D42B44"/>
    <w:rsid w:val="00D42CC0"/>
    <w:rsid w:val="00D43007"/>
    <w:rsid w:val="00D44A14"/>
    <w:rsid w:val="00D47738"/>
    <w:rsid w:val="00D51A9B"/>
    <w:rsid w:val="00D51D95"/>
    <w:rsid w:val="00D53EC6"/>
    <w:rsid w:val="00D55A00"/>
    <w:rsid w:val="00D56F77"/>
    <w:rsid w:val="00D61E9F"/>
    <w:rsid w:val="00D62CC8"/>
    <w:rsid w:val="00D63674"/>
    <w:rsid w:val="00D6402F"/>
    <w:rsid w:val="00D7029C"/>
    <w:rsid w:val="00D7047A"/>
    <w:rsid w:val="00D719E9"/>
    <w:rsid w:val="00D72225"/>
    <w:rsid w:val="00D73172"/>
    <w:rsid w:val="00D73550"/>
    <w:rsid w:val="00D816CF"/>
    <w:rsid w:val="00D81F10"/>
    <w:rsid w:val="00D838F7"/>
    <w:rsid w:val="00D84754"/>
    <w:rsid w:val="00D8479E"/>
    <w:rsid w:val="00D868F1"/>
    <w:rsid w:val="00D87EFF"/>
    <w:rsid w:val="00D91AE6"/>
    <w:rsid w:val="00D941E0"/>
    <w:rsid w:val="00D95840"/>
    <w:rsid w:val="00DA0951"/>
    <w:rsid w:val="00DA554C"/>
    <w:rsid w:val="00DA5F07"/>
    <w:rsid w:val="00DB42FB"/>
    <w:rsid w:val="00DB60B9"/>
    <w:rsid w:val="00DB7AEE"/>
    <w:rsid w:val="00DC39C4"/>
    <w:rsid w:val="00DC4568"/>
    <w:rsid w:val="00DC687A"/>
    <w:rsid w:val="00DD0941"/>
    <w:rsid w:val="00DD0D1C"/>
    <w:rsid w:val="00DD1C47"/>
    <w:rsid w:val="00DD604B"/>
    <w:rsid w:val="00DD6B5E"/>
    <w:rsid w:val="00DE02F0"/>
    <w:rsid w:val="00DE2078"/>
    <w:rsid w:val="00DE4BF6"/>
    <w:rsid w:val="00DE67C3"/>
    <w:rsid w:val="00DE69D0"/>
    <w:rsid w:val="00DE7070"/>
    <w:rsid w:val="00DE77A3"/>
    <w:rsid w:val="00DF02F6"/>
    <w:rsid w:val="00DF1858"/>
    <w:rsid w:val="00DF21B8"/>
    <w:rsid w:val="00DF297C"/>
    <w:rsid w:val="00DF2AE8"/>
    <w:rsid w:val="00DF31EE"/>
    <w:rsid w:val="00DF3395"/>
    <w:rsid w:val="00DF754A"/>
    <w:rsid w:val="00DF7681"/>
    <w:rsid w:val="00E02485"/>
    <w:rsid w:val="00E02D36"/>
    <w:rsid w:val="00E03431"/>
    <w:rsid w:val="00E04E43"/>
    <w:rsid w:val="00E05E74"/>
    <w:rsid w:val="00E10933"/>
    <w:rsid w:val="00E10E72"/>
    <w:rsid w:val="00E13F13"/>
    <w:rsid w:val="00E14020"/>
    <w:rsid w:val="00E149CE"/>
    <w:rsid w:val="00E16AC4"/>
    <w:rsid w:val="00E17C58"/>
    <w:rsid w:val="00E2178D"/>
    <w:rsid w:val="00E23958"/>
    <w:rsid w:val="00E23AD4"/>
    <w:rsid w:val="00E23BEC"/>
    <w:rsid w:val="00E23EC3"/>
    <w:rsid w:val="00E24E4D"/>
    <w:rsid w:val="00E2618B"/>
    <w:rsid w:val="00E267F1"/>
    <w:rsid w:val="00E30B56"/>
    <w:rsid w:val="00E30C0B"/>
    <w:rsid w:val="00E42C18"/>
    <w:rsid w:val="00E528AF"/>
    <w:rsid w:val="00E53131"/>
    <w:rsid w:val="00E5518E"/>
    <w:rsid w:val="00E55E76"/>
    <w:rsid w:val="00E56222"/>
    <w:rsid w:val="00E566D8"/>
    <w:rsid w:val="00E56C8D"/>
    <w:rsid w:val="00E57743"/>
    <w:rsid w:val="00E577C9"/>
    <w:rsid w:val="00E60110"/>
    <w:rsid w:val="00E62DD3"/>
    <w:rsid w:val="00E66D8F"/>
    <w:rsid w:val="00E6742D"/>
    <w:rsid w:val="00E71707"/>
    <w:rsid w:val="00E71EF1"/>
    <w:rsid w:val="00E731C6"/>
    <w:rsid w:val="00E740C4"/>
    <w:rsid w:val="00E74686"/>
    <w:rsid w:val="00E74750"/>
    <w:rsid w:val="00E75B81"/>
    <w:rsid w:val="00E76686"/>
    <w:rsid w:val="00E80520"/>
    <w:rsid w:val="00E81BD0"/>
    <w:rsid w:val="00E83C98"/>
    <w:rsid w:val="00E840FE"/>
    <w:rsid w:val="00E84DBD"/>
    <w:rsid w:val="00E867AB"/>
    <w:rsid w:val="00E9128A"/>
    <w:rsid w:val="00E91C15"/>
    <w:rsid w:val="00E943E8"/>
    <w:rsid w:val="00E945CE"/>
    <w:rsid w:val="00E94FAF"/>
    <w:rsid w:val="00E9696E"/>
    <w:rsid w:val="00EA0528"/>
    <w:rsid w:val="00EA347E"/>
    <w:rsid w:val="00EA4E02"/>
    <w:rsid w:val="00EA6276"/>
    <w:rsid w:val="00EB048C"/>
    <w:rsid w:val="00EB2C67"/>
    <w:rsid w:val="00EB367C"/>
    <w:rsid w:val="00EB43BA"/>
    <w:rsid w:val="00EB46D0"/>
    <w:rsid w:val="00EB4700"/>
    <w:rsid w:val="00EB514A"/>
    <w:rsid w:val="00EB7F72"/>
    <w:rsid w:val="00EC27F4"/>
    <w:rsid w:val="00EC2F49"/>
    <w:rsid w:val="00EC4357"/>
    <w:rsid w:val="00EC49A4"/>
    <w:rsid w:val="00EC4EF3"/>
    <w:rsid w:val="00ED20C9"/>
    <w:rsid w:val="00ED21EE"/>
    <w:rsid w:val="00ED37E1"/>
    <w:rsid w:val="00ED3B31"/>
    <w:rsid w:val="00ED4EC4"/>
    <w:rsid w:val="00ED6C04"/>
    <w:rsid w:val="00EE4094"/>
    <w:rsid w:val="00EE4D57"/>
    <w:rsid w:val="00EE53FF"/>
    <w:rsid w:val="00EE5E83"/>
    <w:rsid w:val="00EE7092"/>
    <w:rsid w:val="00EE7FAF"/>
    <w:rsid w:val="00EF2F5C"/>
    <w:rsid w:val="00EF7590"/>
    <w:rsid w:val="00F024CA"/>
    <w:rsid w:val="00F0354F"/>
    <w:rsid w:val="00F1013F"/>
    <w:rsid w:val="00F10A99"/>
    <w:rsid w:val="00F128DC"/>
    <w:rsid w:val="00F138A2"/>
    <w:rsid w:val="00F154EB"/>
    <w:rsid w:val="00F20632"/>
    <w:rsid w:val="00F23738"/>
    <w:rsid w:val="00F3036C"/>
    <w:rsid w:val="00F30846"/>
    <w:rsid w:val="00F30CAB"/>
    <w:rsid w:val="00F32479"/>
    <w:rsid w:val="00F327DF"/>
    <w:rsid w:val="00F33121"/>
    <w:rsid w:val="00F33769"/>
    <w:rsid w:val="00F36DEB"/>
    <w:rsid w:val="00F37D66"/>
    <w:rsid w:val="00F406FD"/>
    <w:rsid w:val="00F414D0"/>
    <w:rsid w:val="00F43387"/>
    <w:rsid w:val="00F47D9D"/>
    <w:rsid w:val="00F50558"/>
    <w:rsid w:val="00F5087B"/>
    <w:rsid w:val="00F50A8E"/>
    <w:rsid w:val="00F50EA3"/>
    <w:rsid w:val="00F55847"/>
    <w:rsid w:val="00F57142"/>
    <w:rsid w:val="00F5756D"/>
    <w:rsid w:val="00F57E42"/>
    <w:rsid w:val="00F6051C"/>
    <w:rsid w:val="00F630A2"/>
    <w:rsid w:val="00F652AB"/>
    <w:rsid w:val="00F65942"/>
    <w:rsid w:val="00F72AA0"/>
    <w:rsid w:val="00F76A40"/>
    <w:rsid w:val="00F77F03"/>
    <w:rsid w:val="00F80C07"/>
    <w:rsid w:val="00F87264"/>
    <w:rsid w:val="00F908E9"/>
    <w:rsid w:val="00FA49C0"/>
    <w:rsid w:val="00FA56D6"/>
    <w:rsid w:val="00FA595F"/>
    <w:rsid w:val="00FA6C24"/>
    <w:rsid w:val="00FB651A"/>
    <w:rsid w:val="00FB673E"/>
    <w:rsid w:val="00FC0CB3"/>
    <w:rsid w:val="00FC2999"/>
    <w:rsid w:val="00FC4260"/>
    <w:rsid w:val="00FC765F"/>
    <w:rsid w:val="00FD1861"/>
    <w:rsid w:val="00FD5375"/>
    <w:rsid w:val="00FD61A3"/>
    <w:rsid w:val="00FD66C9"/>
    <w:rsid w:val="00FD79F6"/>
    <w:rsid w:val="00FD7B6C"/>
    <w:rsid w:val="00FE0371"/>
    <w:rsid w:val="00FE08CC"/>
    <w:rsid w:val="00FE0BBB"/>
    <w:rsid w:val="00FE1258"/>
    <w:rsid w:val="00FE178B"/>
    <w:rsid w:val="00FE31D0"/>
    <w:rsid w:val="00FE3581"/>
    <w:rsid w:val="00FE7A3F"/>
    <w:rsid w:val="00FF3F57"/>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ockticker"/>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styleId="ListParagraph">
    <w:name w:val="List Paragraph"/>
    <w:basedOn w:val="Normal"/>
    <w:uiPriority w:val="34"/>
    <w:qFormat/>
    <w:rsid w:val="009B009B"/>
    <w:pPr>
      <w:ind w:left="720"/>
    </w:pPr>
    <w:rPr>
      <w:rFonts w:ascii="Calibri" w:eastAsia="Calibri" w:hAnsi="Calibri" w:cs="Calibri"/>
      <w:sz w:val="22"/>
      <w:szCs w:val="22"/>
    </w:rPr>
  </w:style>
  <w:style w:type="paragraph" w:customStyle="1" w:styleId="Default">
    <w:name w:val="Default"/>
    <w:rsid w:val="000D2BB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styleId="ListParagraph">
    <w:name w:val="List Paragraph"/>
    <w:basedOn w:val="Normal"/>
    <w:uiPriority w:val="34"/>
    <w:qFormat/>
    <w:rsid w:val="009B009B"/>
    <w:pPr>
      <w:ind w:left="720"/>
    </w:pPr>
    <w:rPr>
      <w:rFonts w:ascii="Calibri" w:eastAsia="Calibri" w:hAnsi="Calibri" w:cs="Calibri"/>
      <w:sz w:val="22"/>
      <w:szCs w:val="22"/>
    </w:rPr>
  </w:style>
  <w:style w:type="paragraph" w:customStyle="1" w:styleId="Default">
    <w:name w:val="Default"/>
    <w:rsid w:val="000D2BB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07923">
      <w:bodyDiv w:val="1"/>
      <w:marLeft w:val="0"/>
      <w:marRight w:val="0"/>
      <w:marTop w:val="0"/>
      <w:marBottom w:val="0"/>
      <w:divBdr>
        <w:top w:val="none" w:sz="0" w:space="0" w:color="auto"/>
        <w:left w:val="none" w:sz="0" w:space="0" w:color="auto"/>
        <w:bottom w:val="none" w:sz="0" w:space="0" w:color="auto"/>
        <w:right w:val="none" w:sz="0" w:space="0" w:color="auto"/>
      </w:divBdr>
    </w:div>
    <w:div w:id="211115580">
      <w:bodyDiv w:val="1"/>
      <w:marLeft w:val="0"/>
      <w:marRight w:val="0"/>
      <w:marTop w:val="0"/>
      <w:marBottom w:val="0"/>
      <w:divBdr>
        <w:top w:val="none" w:sz="0" w:space="0" w:color="auto"/>
        <w:left w:val="none" w:sz="0" w:space="0" w:color="auto"/>
        <w:bottom w:val="none" w:sz="0" w:space="0" w:color="auto"/>
        <w:right w:val="none" w:sz="0" w:space="0" w:color="auto"/>
      </w:divBdr>
    </w:div>
    <w:div w:id="233470570">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6597484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89255083">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196694181">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81977309">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4371328">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60907753">
      <w:bodyDiv w:val="1"/>
      <w:marLeft w:val="0"/>
      <w:marRight w:val="0"/>
      <w:marTop w:val="0"/>
      <w:marBottom w:val="0"/>
      <w:divBdr>
        <w:top w:val="none" w:sz="0" w:space="0" w:color="auto"/>
        <w:left w:val="none" w:sz="0" w:space="0" w:color="auto"/>
        <w:bottom w:val="none" w:sz="0" w:space="0" w:color="auto"/>
        <w:right w:val="none" w:sz="0" w:space="0" w:color="auto"/>
      </w:divBdr>
    </w:div>
    <w:div w:id="177609417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64317008">
      <w:bodyDiv w:val="1"/>
      <w:marLeft w:val="0"/>
      <w:marRight w:val="0"/>
      <w:marTop w:val="0"/>
      <w:marBottom w:val="0"/>
      <w:divBdr>
        <w:top w:val="none" w:sz="0" w:space="0" w:color="auto"/>
        <w:left w:val="none" w:sz="0" w:space="0" w:color="auto"/>
        <w:bottom w:val="none" w:sz="0" w:space="0" w:color="auto"/>
        <w:right w:val="none" w:sz="0" w:space="0" w:color="auto"/>
      </w:divBdr>
    </w:div>
    <w:div w:id="1909266903">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package" Target="embeddings/Microsoft_Excel_Worksheet1.xlsx"/><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pge.com/en/mybusiness/energysavingsrebates/rebatesincentives/index.page" TargetMode="External"/><Relationship Id="rId2" Type="http://schemas.openxmlformats.org/officeDocument/2006/relationships/hyperlink" Target="http://www.pge.com/includes/docs/pdfs/mybusiness/energysavingsrebates/incentivesbyindustry/lighting_catalog_final.pdf" TargetMode="External"/><Relationship Id="rId1" Type="http://schemas.openxmlformats.org/officeDocument/2006/relationships/hyperlink" Target="http://library.cee1.org/content/commercial-lighting-qualifying-products-lists" TargetMode="External"/><Relationship Id="rId5" Type="http://schemas.openxmlformats.org/officeDocument/2006/relationships/hyperlink" Target="http://www.energydesignresources.com/media/1765/EDR_DesignBriefs_lightingcontrols.pdf?tracked=true" TargetMode="External"/><Relationship Id="rId4" Type="http://schemas.openxmlformats.org/officeDocument/2006/relationships/hyperlink" Target="http://www.energy.ca.gov/title24/2013standards/prerulemaking/documents/2011-04-04_workshop/review/Nonres_Controllable_Light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361CD57-D305-4086-9BCD-95D49B0CFA69}"/>
</file>

<file path=customXml/itemProps2.xml><?xml version="1.0" encoding="utf-8"?>
<ds:datastoreItem xmlns:ds="http://schemas.openxmlformats.org/officeDocument/2006/customXml" ds:itemID="{150EBF25-B9DA-4E42-82A3-73638AED6ED6}"/>
</file>

<file path=customXml/itemProps3.xml><?xml version="1.0" encoding="utf-8"?>
<ds:datastoreItem xmlns:ds="http://schemas.openxmlformats.org/officeDocument/2006/customXml" ds:itemID="{A62F8C0F-53CB-4503-BE84-2B4834AB6475}"/>
</file>

<file path=customXml/itemProps4.xml><?xml version="1.0" encoding="utf-8"?>
<ds:datastoreItem xmlns:ds="http://schemas.openxmlformats.org/officeDocument/2006/customXml" ds:itemID="{50E9FB7C-357B-4C61-8DA6-D29EEBA8EA9C}"/>
</file>

<file path=docProps/app.xml><?xml version="1.0" encoding="utf-8"?>
<Properties xmlns="http://schemas.openxmlformats.org/officeDocument/2006/extended-properties" xmlns:vt="http://schemas.openxmlformats.org/officeDocument/2006/docPropsVTypes">
  <Template>SCE Work Paper Template - Final.dot</Template>
  <TotalTime>17</TotalTime>
  <Pages>18</Pages>
  <Words>4980</Words>
  <Characters>28386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33300</CharactersWithSpaces>
  <SharedDoc>false</SharedDoc>
  <HLinks>
    <vt:vector size="240" baseType="variant">
      <vt:variant>
        <vt:i4>1310779</vt:i4>
      </vt:variant>
      <vt:variant>
        <vt:i4>206</vt:i4>
      </vt:variant>
      <vt:variant>
        <vt:i4>0</vt:i4>
      </vt:variant>
      <vt:variant>
        <vt:i4>5</vt:i4>
      </vt:variant>
      <vt:variant>
        <vt:lpwstr/>
      </vt:variant>
      <vt:variant>
        <vt:lpwstr>_Toc348105038</vt:lpwstr>
      </vt:variant>
      <vt:variant>
        <vt:i4>1310779</vt:i4>
      </vt:variant>
      <vt:variant>
        <vt:i4>197</vt:i4>
      </vt:variant>
      <vt:variant>
        <vt:i4>0</vt:i4>
      </vt:variant>
      <vt:variant>
        <vt:i4>5</vt:i4>
      </vt:variant>
      <vt:variant>
        <vt:lpwstr/>
      </vt:variant>
      <vt:variant>
        <vt:lpwstr>_Toc348105036</vt:lpwstr>
      </vt:variant>
      <vt:variant>
        <vt:i4>1310779</vt:i4>
      </vt:variant>
      <vt:variant>
        <vt:i4>191</vt:i4>
      </vt:variant>
      <vt:variant>
        <vt:i4>0</vt:i4>
      </vt:variant>
      <vt:variant>
        <vt:i4>5</vt:i4>
      </vt:variant>
      <vt:variant>
        <vt:lpwstr/>
      </vt:variant>
      <vt:variant>
        <vt:lpwstr>_Toc348105035</vt:lpwstr>
      </vt:variant>
      <vt:variant>
        <vt:i4>1310779</vt:i4>
      </vt:variant>
      <vt:variant>
        <vt:i4>185</vt:i4>
      </vt:variant>
      <vt:variant>
        <vt:i4>0</vt:i4>
      </vt:variant>
      <vt:variant>
        <vt:i4>5</vt:i4>
      </vt:variant>
      <vt:variant>
        <vt:lpwstr/>
      </vt:variant>
      <vt:variant>
        <vt:lpwstr>_Toc348105034</vt:lpwstr>
      </vt:variant>
      <vt:variant>
        <vt:i4>1310779</vt:i4>
      </vt:variant>
      <vt:variant>
        <vt:i4>179</vt:i4>
      </vt:variant>
      <vt:variant>
        <vt:i4>0</vt:i4>
      </vt:variant>
      <vt:variant>
        <vt:i4>5</vt:i4>
      </vt:variant>
      <vt:variant>
        <vt:lpwstr/>
      </vt:variant>
      <vt:variant>
        <vt:lpwstr>_Toc348105033</vt:lpwstr>
      </vt:variant>
      <vt:variant>
        <vt:i4>1048635</vt:i4>
      </vt:variant>
      <vt:variant>
        <vt:i4>170</vt:i4>
      </vt:variant>
      <vt:variant>
        <vt:i4>0</vt:i4>
      </vt:variant>
      <vt:variant>
        <vt:i4>5</vt:i4>
      </vt:variant>
      <vt:variant>
        <vt:lpwstr/>
      </vt:variant>
      <vt:variant>
        <vt:lpwstr>_Toc348105071</vt:lpwstr>
      </vt:variant>
      <vt:variant>
        <vt:i4>1048635</vt:i4>
      </vt:variant>
      <vt:variant>
        <vt:i4>164</vt:i4>
      </vt:variant>
      <vt:variant>
        <vt:i4>0</vt:i4>
      </vt:variant>
      <vt:variant>
        <vt:i4>5</vt:i4>
      </vt:variant>
      <vt:variant>
        <vt:lpwstr/>
      </vt:variant>
      <vt:variant>
        <vt:lpwstr>_Toc348105070</vt:lpwstr>
      </vt:variant>
      <vt:variant>
        <vt:i4>1114171</vt:i4>
      </vt:variant>
      <vt:variant>
        <vt:i4>158</vt:i4>
      </vt:variant>
      <vt:variant>
        <vt:i4>0</vt:i4>
      </vt:variant>
      <vt:variant>
        <vt:i4>5</vt:i4>
      </vt:variant>
      <vt:variant>
        <vt:lpwstr/>
      </vt:variant>
      <vt:variant>
        <vt:lpwstr>_Toc348105069</vt:lpwstr>
      </vt:variant>
      <vt:variant>
        <vt:i4>1114171</vt:i4>
      </vt:variant>
      <vt:variant>
        <vt:i4>152</vt:i4>
      </vt:variant>
      <vt:variant>
        <vt:i4>0</vt:i4>
      </vt:variant>
      <vt:variant>
        <vt:i4>5</vt:i4>
      </vt:variant>
      <vt:variant>
        <vt:lpwstr/>
      </vt:variant>
      <vt:variant>
        <vt:lpwstr>_Toc348105068</vt:lpwstr>
      </vt:variant>
      <vt:variant>
        <vt:i4>1114171</vt:i4>
      </vt:variant>
      <vt:variant>
        <vt:i4>146</vt:i4>
      </vt:variant>
      <vt:variant>
        <vt:i4>0</vt:i4>
      </vt:variant>
      <vt:variant>
        <vt:i4>5</vt:i4>
      </vt:variant>
      <vt:variant>
        <vt:lpwstr/>
      </vt:variant>
      <vt:variant>
        <vt:lpwstr>_Toc348105067</vt:lpwstr>
      </vt:variant>
      <vt:variant>
        <vt:i4>1114171</vt:i4>
      </vt:variant>
      <vt:variant>
        <vt:i4>140</vt:i4>
      </vt:variant>
      <vt:variant>
        <vt:i4>0</vt:i4>
      </vt:variant>
      <vt:variant>
        <vt:i4>5</vt:i4>
      </vt:variant>
      <vt:variant>
        <vt:lpwstr/>
      </vt:variant>
      <vt:variant>
        <vt:lpwstr>_Toc348105066</vt:lpwstr>
      </vt:variant>
      <vt:variant>
        <vt:i4>1114171</vt:i4>
      </vt:variant>
      <vt:variant>
        <vt:i4>134</vt:i4>
      </vt:variant>
      <vt:variant>
        <vt:i4>0</vt:i4>
      </vt:variant>
      <vt:variant>
        <vt:i4>5</vt:i4>
      </vt:variant>
      <vt:variant>
        <vt:lpwstr/>
      </vt:variant>
      <vt:variant>
        <vt:lpwstr>_Toc348105065</vt:lpwstr>
      </vt:variant>
      <vt:variant>
        <vt:i4>1114171</vt:i4>
      </vt:variant>
      <vt:variant>
        <vt:i4>128</vt:i4>
      </vt:variant>
      <vt:variant>
        <vt:i4>0</vt:i4>
      </vt:variant>
      <vt:variant>
        <vt:i4>5</vt:i4>
      </vt:variant>
      <vt:variant>
        <vt:lpwstr/>
      </vt:variant>
      <vt:variant>
        <vt:lpwstr>_Toc348105064</vt:lpwstr>
      </vt:variant>
      <vt:variant>
        <vt:i4>1114171</vt:i4>
      </vt:variant>
      <vt:variant>
        <vt:i4>122</vt:i4>
      </vt:variant>
      <vt:variant>
        <vt:i4>0</vt:i4>
      </vt:variant>
      <vt:variant>
        <vt:i4>5</vt:i4>
      </vt:variant>
      <vt:variant>
        <vt:lpwstr/>
      </vt:variant>
      <vt:variant>
        <vt:lpwstr>_Toc348105063</vt:lpwstr>
      </vt:variant>
      <vt:variant>
        <vt:i4>1114171</vt:i4>
      </vt:variant>
      <vt:variant>
        <vt:i4>116</vt:i4>
      </vt:variant>
      <vt:variant>
        <vt:i4>0</vt:i4>
      </vt:variant>
      <vt:variant>
        <vt:i4>5</vt:i4>
      </vt:variant>
      <vt:variant>
        <vt:lpwstr/>
      </vt:variant>
      <vt:variant>
        <vt:lpwstr>_Toc348105062</vt:lpwstr>
      </vt:variant>
      <vt:variant>
        <vt:i4>1114171</vt:i4>
      </vt:variant>
      <vt:variant>
        <vt:i4>110</vt:i4>
      </vt:variant>
      <vt:variant>
        <vt:i4>0</vt:i4>
      </vt:variant>
      <vt:variant>
        <vt:i4>5</vt:i4>
      </vt:variant>
      <vt:variant>
        <vt:lpwstr/>
      </vt:variant>
      <vt:variant>
        <vt:lpwstr>_Toc348105061</vt:lpwstr>
      </vt:variant>
      <vt:variant>
        <vt:i4>1114171</vt:i4>
      </vt:variant>
      <vt:variant>
        <vt:i4>104</vt:i4>
      </vt:variant>
      <vt:variant>
        <vt:i4>0</vt:i4>
      </vt:variant>
      <vt:variant>
        <vt:i4>5</vt:i4>
      </vt:variant>
      <vt:variant>
        <vt:lpwstr/>
      </vt:variant>
      <vt:variant>
        <vt:lpwstr>_Toc348105060</vt:lpwstr>
      </vt:variant>
      <vt:variant>
        <vt:i4>1179707</vt:i4>
      </vt:variant>
      <vt:variant>
        <vt:i4>98</vt:i4>
      </vt:variant>
      <vt:variant>
        <vt:i4>0</vt:i4>
      </vt:variant>
      <vt:variant>
        <vt:i4>5</vt:i4>
      </vt:variant>
      <vt:variant>
        <vt:lpwstr/>
      </vt:variant>
      <vt:variant>
        <vt:lpwstr>_Toc348105059</vt:lpwstr>
      </vt:variant>
      <vt:variant>
        <vt:i4>1179707</vt:i4>
      </vt:variant>
      <vt:variant>
        <vt:i4>92</vt:i4>
      </vt:variant>
      <vt:variant>
        <vt:i4>0</vt:i4>
      </vt:variant>
      <vt:variant>
        <vt:i4>5</vt:i4>
      </vt:variant>
      <vt:variant>
        <vt:lpwstr/>
      </vt:variant>
      <vt:variant>
        <vt:lpwstr>_Toc348105058</vt:lpwstr>
      </vt:variant>
      <vt:variant>
        <vt:i4>1179707</vt:i4>
      </vt:variant>
      <vt:variant>
        <vt:i4>86</vt:i4>
      </vt:variant>
      <vt:variant>
        <vt:i4>0</vt:i4>
      </vt:variant>
      <vt:variant>
        <vt:i4>5</vt:i4>
      </vt:variant>
      <vt:variant>
        <vt:lpwstr/>
      </vt:variant>
      <vt:variant>
        <vt:lpwstr>_Toc348105057</vt:lpwstr>
      </vt:variant>
      <vt:variant>
        <vt:i4>1179707</vt:i4>
      </vt:variant>
      <vt:variant>
        <vt:i4>80</vt:i4>
      </vt:variant>
      <vt:variant>
        <vt:i4>0</vt:i4>
      </vt:variant>
      <vt:variant>
        <vt:i4>5</vt:i4>
      </vt:variant>
      <vt:variant>
        <vt:lpwstr/>
      </vt:variant>
      <vt:variant>
        <vt:lpwstr>_Toc348105056</vt:lpwstr>
      </vt:variant>
      <vt:variant>
        <vt:i4>1179707</vt:i4>
      </vt:variant>
      <vt:variant>
        <vt:i4>74</vt:i4>
      </vt:variant>
      <vt:variant>
        <vt:i4>0</vt:i4>
      </vt:variant>
      <vt:variant>
        <vt:i4>5</vt:i4>
      </vt:variant>
      <vt:variant>
        <vt:lpwstr/>
      </vt:variant>
      <vt:variant>
        <vt:lpwstr>_Toc348105055</vt:lpwstr>
      </vt:variant>
      <vt:variant>
        <vt:i4>1179707</vt:i4>
      </vt:variant>
      <vt:variant>
        <vt:i4>68</vt:i4>
      </vt:variant>
      <vt:variant>
        <vt:i4>0</vt:i4>
      </vt:variant>
      <vt:variant>
        <vt:i4>5</vt:i4>
      </vt:variant>
      <vt:variant>
        <vt:lpwstr/>
      </vt:variant>
      <vt:variant>
        <vt:lpwstr>_Toc348105054</vt:lpwstr>
      </vt:variant>
      <vt:variant>
        <vt:i4>1179707</vt:i4>
      </vt:variant>
      <vt:variant>
        <vt:i4>62</vt:i4>
      </vt:variant>
      <vt:variant>
        <vt:i4>0</vt:i4>
      </vt:variant>
      <vt:variant>
        <vt:i4>5</vt:i4>
      </vt:variant>
      <vt:variant>
        <vt:lpwstr/>
      </vt:variant>
      <vt:variant>
        <vt:lpwstr>_Toc348105053</vt:lpwstr>
      </vt:variant>
      <vt:variant>
        <vt:i4>1179707</vt:i4>
      </vt:variant>
      <vt:variant>
        <vt:i4>56</vt:i4>
      </vt:variant>
      <vt:variant>
        <vt:i4>0</vt:i4>
      </vt:variant>
      <vt:variant>
        <vt:i4>5</vt:i4>
      </vt:variant>
      <vt:variant>
        <vt:lpwstr/>
      </vt:variant>
      <vt:variant>
        <vt:lpwstr>_Toc348105052</vt:lpwstr>
      </vt:variant>
      <vt:variant>
        <vt:i4>1179707</vt:i4>
      </vt:variant>
      <vt:variant>
        <vt:i4>50</vt:i4>
      </vt:variant>
      <vt:variant>
        <vt:i4>0</vt:i4>
      </vt:variant>
      <vt:variant>
        <vt:i4>5</vt:i4>
      </vt:variant>
      <vt:variant>
        <vt:lpwstr/>
      </vt:variant>
      <vt:variant>
        <vt:lpwstr>_Toc348105051</vt:lpwstr>
      </vt:variant>
      <vt:variant>
        <vt:i4>1179707</vt:i4>
      </vt:variant>
      <vt:variant>
        <vt:i4>44</vt:i4>
      </vt:variant>
      <vt:variant>
        <vt:i4>0</vt:i4>
      </vt:variant>
      <vt:variant>
        <vt:i4>5</vt:i4>
      </vt:variant>
      <vt:variant>
        <vt:lpwstr/>
      </vt:variant>
      <vt:variant>
        <vt:lpwstr>_Toc348105050</vt:lpwstr>
      </vt:variant>
      <vt:variant>
        <vt:i4>1245243</vt:i4>
      </vt:variant>
      <vt:variant>
        <vt:i4>38</vt:i4>
      </vt:variant>
      <vt:variant>
        <vt:i4>0</vt:i4>
      </vt:variant>
      <vt:variant>
        <vt:i4>5</vt:i4>
      </vt:variant>
      <vt:variant>
        <vt:lpwstr/>
      </vt:variant>
      <vt:variant>
        <vt:lpwstr>_Toc348105049</vt:lpwstr>
      </vt:variant>
      <vt:variant>
        <vt:i4>1245243</vt:i4>
      </vt:variant>
      <vt:variant>
        <vt:i4>32</vt:i4>
      </vt:variant>
      <vt:variant>
        <vt:i4>0</vt:i4>
      </vt:variant>
      <vt:variant>
        <vt:i4>5</vt:i4>
      </vt:variant>
      <vt:variant>
        <vt:lpwstr/>
      </vt:variant>
      <vt:variant>
        <vt:lpwstr>_Toc348105048</vt:lpwstr>
      </vt:variant>
      <vt:variant>
        <vt:i4>1245243</vt:i4>
      </vt:variant>
      <vt:variant>
        <vt:i4>26</vt:i4>
      </vt:variant>
      <vt:variant>
        <vt:i4>0</vt:i4>
      </vt:variant>
      <vt:variant>
        <vt:i4>5</vt:i4>
      </vt:variant>
      <vt:variant>
        <vt:lpwstr/>
      </vt:variant>
      <vt:variant>
        <vt:lpwstr>_Toc348105047</vt:lpwstr>
      </vt:variant>
      <vt:variant>
        <vt:i4>1245243</vt:i4>
      </vt:variant>
      <vt:variant>
        <vt:i4>20</vt:i4>
      </vt:variant>
      <vt:variant>
        <vt:i4>0</vt:i4>
      </vt:variant>
      <vt:variant>
        <vt:i4>5</vt:i4>
      </vt:variant>
      <vt:variant>
        <vt:lpwstr/>
      </vt:variant>
      <vt:variant>
        <vt:lpwstr>_Toc348105046</vt:lpwstr>
      </vt:variant>
      <vt:variant>
        <vt:i4>1245243</vt:i4>
      </vt:variant>
      <vt:variant>
        <vt:i4>14</vt:i4>
      </vt:variant>
      <vt:variant>
        <vt:i4>0</vt:i4>
      </vt:variant>
      <vt:variant>
        <vt:i4>5</vt:i4>
      </vt:variant>
      <vt:variant>
        <vt:lpwstr/>
      </vt:variant>
      <vt:variant>
        <vt:lpwstr>_Toc348105045</vt:lpwstr>
      </vt:variant>
      <vt:variant>
        <vt:i4>1245243</vt:i4>
      </vt:variant>
      <vt:variant>
        <vt:i4>8</vt:i4>
      </vt:variant>
      <vt:variant>
        <vt:i4>0</vt:i4>
      </vt:variant>
      <vt:variant>
        <vt:i4>5</vt:i4>
      </vt:variant>
      <vt:variant>
        <vt:lpwstr/>
      </vt:variant>
      <vt:variant>
        <vt:lpwstr>_Toc348105044</vt:lpwstr>
      </vt:variant>
      <vt:variant>
        <vt:i4>1245243</vt:i4>
      </vt:variant>
      <vt:variant>
        <vt:i4>2</vt:i4>
      </vt:variant>
      <vt:variant>
        <vt:i4>0</vt:i4>
      </vt:variant>
      <vt:variant>
        <vt:i4>5</vt:i4>
      </vt:variant>
      <vt:variant>
        <vt:lpwstr/>
      </vt:variant>
      <vt:variant>
        <vt:lpwstr>_Toc348105043</vt:lpwstr>
      </vt:variant>
      <vt:variant>
        <vt:i4>131157</vt:i4>
      </vt:variant>
      <vt:variant>
        <vt:i4>12</vt:i4>
      </vt:variant>
      <vt:variant>
        <vt:i4>0</vt:i4>
      </vt:variant>
      <vt:variant>
        <vt:i4>5</vt:i4>
      </vt:variant>
      <vt:variant>
        <vt:lpwstr>http://www.energydesignresources.com/media/1765/EDR_DesignBriefs_lightingcontrols.pdf?tracked=true</vt:lpwstr>
      </vt:variant>
      <vt:variant>
        <vt:lpwstr/>
      </vt:variant>
      <vt:variant>
        <vt:i4>3866631</vt:i4>
      </vt:variant>
      <vt:variant>
        <vt:i4>9</vt:i4>
      </vt:variant>
      <vt:variant>
        <vt:i4>0</vt:i4>
      </vt:variant>
      <vt:variant>
        <vt:i4>5</vt:i4>
      </vt:variant>
      <vt:variant>
        <vt:lpwstr>http://www.energy.ca.gov/title24/2013standards/prerulemaking/documents/2011-04-04_workshop/review/Nonres_Controllable_Lighting.pdf</vt:lpwstr>
      </vt:variant>
      <vt:variant>
        <vt:lpwstr/>
      </vt:variant>
      <vt:variant>
        <vt:i4>3080231</vt:i4>
      </vt:variant>
      <vt:variant>
        <vt:i4>6</vt:i4>
      </vt:variant>
      <vt:variant>
        <vt:i4>0</vt:i4>
      </vt:variant>
      <vt:variant>
        <vt:i4>5</vt:i4>
      </vt:variant>
      <vt:variant>
        <vt:lpwstr>http://www.aesc-inc.com/download/spc/2012SPCDocs/UnifiedManual/App B Standard Fixture Watts.pdf</vt:lpwstr>
      </vt:variant>
      <vt:variant>
        <vt:lpwstr/>
      </vt:variant>
      <vt:variant>
        <vt:i4>4915214</vt:i4>
      </vt:variant>
      <vt:variant>
        <vt:i4>3</vt:i4>
      </vt:variant>
      <vt:variant>
        <vt:i4>0</vt:i4>
      </vt:variant>
      <vt:variant>
        <vt:i4>5</vt:i4>
      </vt:variant>
      <vt:variant>
        <vt:lpwstr>http://www.pge.com/includes/docs/pdfs/mybusiness/energysavingsrebates/incentivesbyindustry/lighting_catalog_final.pdf</vt:lpwstr>
      </vt:variant>
      <vt:variant>
        <vt:lpwstr/>
      </vt:variant>
      <vt:variant>
        <vt:i4>262175</vt:i4>
      </vt:variant>
      <vt:variant>
        <vt:i4>0</vt:i4>
      </vt:variant>
      <vt:variant>
        <vt:i4>0</vt:i4>
      </vt:variant>
      <vt:variant>
        <vt:i4>5</vt:i4>
      </vt:variant>
      <vt:variant>
        <vt:lpwstr>http://library.cee1.org/content/commercial-lighting-qualifying-products-lists</vt:lpwstr>
      </vt:variant>
      <vt:variant>
        <vt:lpwstr/>
      </vt:variant>
      <vt:variant>
        <vt:i4>7929884</vt:i4>
      </vt:variant>
      <vt:variant>
        <vt:i4>21970</vt:i4>
      </vt:variant>
      <vt:variant>
        <vt:i4>1026</vt:i4>
      </vt:variant>
      <vt:variant>
        <vt:i4>1</vt:i4>
      </vt:variant>
      <vt:variant>
        <vt:lpwstr>cid:image001.jpg@01CDFB1F.22806450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Tiemens, Mark</cp:lastModifiedBy>
  <cp:revision>5</cp:revision>
  <cp:lastPrinted>2013-03-01T22:19:00Z</cp:lastPrinted>
  <dcterms:created xsi:type="dcterms:W3CDTF">2014-06-17T19:16:00Z</dcterms:created>
  <dcterms:modified xsi:type="dcterms:W3CDTF">2014-06-17T20:16:00Z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