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045127" w:rsidRDefault="003129E8" w:rsidP="00DD6B5E">
      <w:pPr>
        <w:jc w:val="right"/>
        <w:rPr>
          <w:rFonts w:cs="Arial"/>
          <w:b/>
          <w:sz w:val="48"/>
          <w:szCs w:val="48"/>
        </w:rPr>
      </w:pPr>
      <w:bookmarkStart w:id="0" w:name="_Toc153189646"/>
      <w:r w:rsidRPr="00045127">
        <w:rPr>
          <w:rFonts w:cs="Arial"/>
          <w:b/>
          <w:sz w:val="48"/>
          <w:szCs w:val="48"/>
        </w:rPr>
        <w:t xml:space="preserve">Work Paper </w:t>
      </w:r>
      <w:bookmarkEnd w:id="0"/>
      <w:r w:rsidR="00045127" w:rsidRPr="00045127">
        <w:rPr>
          <w:rFonts w:cs="Arial"/>
          <w:b/>
          <w:sz w:val="48"/>
          <w:szCs w:val="48"/>
        </w:rPr>
        <w:t>PGECOLTG158</w:t>
      </w:r>
    </w:p>
    <w:p w:rsidR="00A167EC" w:rsidRPr="00045127" w:rsidRDefault="00045127" w:rsidP="00A167EC">
      <w:pPr>
        <w:jc w:val="right"/>
        <w:rPr>
          <w:rFonts w:cs="Arial"/>
          <w:b/>
          <w:sz w:val="48"/>
          <w:szCs w:val="48"/>
        </w:rPr>
      </w:pPr>
      <w:r w:rsidRPr="00045127">
        <w:rPr>
          <w:rFonts w:cs="Arial"/>
          <w:b/>
          <w:sz w:val="48"/>
          <w:szCs w:val="48"/>
        </w:rPr>
        <w:t>Exterior Induction Fixtures</w:t>
      </w:r>
    </w:p>
    <w:p w:rsidR="003129E8" w:rsidRPr="00045127" w:rsidRDefault="003129E8" w:rsidP="002E0043">
      <w:pPr>
        <w:jc w:val="right"/>
        <w:rPr>
          <w:rFonts w:cs="Arial"/>
          <w:b/>
          <w:sz w:val="48"/>
          <w:szCs w:val="48"/>
        </w:rPr>
      </w:pPr>
      <w:bookmarkStart w:id="1" w:name="_Toc153189647"/>
      <w:r w:rsidRPr="00045127">
        <w:rPr>
          <w:rFonts w:cs="Arial"/>
          <w:b/>
          <w:sz w:val="48"/>
          <w:szCs w:val="48"/>
        </w:rPr>
        <w:t xml:space="preserve">Revision </w:t>
      </w:r>
      <w:bookmarkEnd w:id="1"/>
      <w:r w:rsidR="001A6D00">
        <w:rPr>
          <w:rFonts w:cs="Arial"/>
          <w:b/>
          <w:sz w:val="48"/>
          <w:szCs w:val="48"/>
        </w:rPr>
        <w:t>5</w:t>
      </w:r>
    </w:p>
    <w:p w:rsidR="003129E8" w:rsidRDefault="003129E8" w:rsidP="003129E8"/>
    <w:p w:rsidR="00497068" w:rsidRDefault="00497068" w:rsidP="003129E8"/>
    <w:p w:rsidR="00497068" w:rsidRDefault="00497068" w:rsidP="003129E8"/>
    <w:p w:rsidR="00497068" w:rsidRDefault="00497068" w:rsidP="003129E8"/>
    <w:p w:rsidR="00D7047A" w:rsidRPr="00045127" w:rsidRDefault="00DD6B5E" w:rsidP="00D7047A">
      <w:pPr>
        <w:pBdr>
          <w:bottom w:val="single" w:sz="4" w:space="1" w:color="auto"/>
        </w:pBdr>
        <w:rPr>
          <w:rFonts w:cs="Arial"/>
          <w:b/>
          <w:sz w:val="36"/>
          <w:szCs w:val="36"/>
        </w:rPr>
      </w:pPr>
      <w:r w:rsidRPr="00045127">
        <w:rPr>
          <w:rFonts w:cs="Arial"/>
          <w:b/>
          <w:sz w:val="36"/>
          <w:szCs w:val="36"/>
        </w:rPr>
        <w:t>Pacific Gas &amp; Electric</w:t>
      </w:r>
      <w:r w:rsidR="00DF21B8" w:rsidRPr="00045127">
        <w:rPr>
          <w:rFonts w:cs="Arial"/>
          <w:b/>
          <w:sz w:val="36"/>
          <w:szCs w:val="36"/>
        </w:rPr>
        <w:t xml:space="preserve"> Company</w:t>
      </w:r>
    </w:p>
    <w:p w:rsidR="00D7047A" w:rsidRPr="00045127" w:rsidRDefault="00661864" w:rsidP="00D7047A">
      <w:pPr>
        <w:rPr>
          <w:rFonts w:cs="Arial"/>
          <w:b/>
          <w:sz w:val="32"/>
          <w:szCs w:val="32"/>
        </w:rPr>
      </w:pPr>
      <w:r w:rsidRPr="00045127">
        <w:rPr>
          <w:rFonts w:cs="Arial"/>
          <w:b/>
          <w:sz w:val="32"/>
          <w:szCs w:val="32"/>
        </w:rPr>
        <w:t xml:space="preserve">Customer Energy Solutions </w:t>
      </w:r>
    </w:p>
    <w:p w:rsidR="00E34E73" w:rsidRPr="00045127" w:rsidRDefault="00E34E73" w:rsidP="00324D0F">
      <w:pPr>
        <w:rPr>
          <w:rFonts w:cs="Arial"/>
          <w:b/>
          <w:highlight w:val="cyan"/>
        </w:rPr>
      </w:pPr>
    </w:p>
    <w:p w:rsidR="00C274E0" w:rsidRPr="00045127" w:rsidRDefault="00C274E0" w:rsidP="00324D0F">
      <w:pPr>
        <w:rPr>
          <w:rFonts w:cs="Arial"/>
          <w:b/>
          <w:highlight w:val="cyan"/>
        </w:rPr>
      </w:pPr>
    </w:p>
    <w:p w:rsidR="00C274E0" w:rsidRPr="00045127" w:rsidRDefault="00C274E0" w:rsidP="00324D0F">
      <w:pPr>
        <w:rPr>
          <w:rFonts w:cs="Arial"/>
          <w:b/>
          <w:highlight w:val="cyan"/>
        </w:rPr>
      </w:pPr>
    </w:p>
    <w:p w:rsidR="00324D0F" w:rsidRPr="00045127" w:rsidRDefault="00324D0F" w:rsidP="00324D0F">
      <w:pPr>
        <w:rPr>
          <w:rFonts w:cs="Arial"/>
          <w:b/>
          <w:bCs/>
          <w:i/>
        </w:rPr>
      </w:pPr>
    </w:p>
    <w:p w:rsidR="00324D0F" w:rsidRPr="00045127" w:rsidRDefault="00045127" w:rsidP="00A167EC">
      <w:pPr>
        <w:ind w:right="-720"/>
        <w:rPr>
          <w:rFonts w:cs="Arial"/>
          <w:b/>
          <w:sz w:val="72"/>
          <w:szCs w:val="72"/>
        </w:rPr>
      </w:pPr>
      <w:r w:rsidRPr="00045127">
        <w:rPr>
          <w:rFonts w:cs="Arial"/>
          <w:b/>
          <w:sz w:val="72"/>
          <w:szCs w:val="72"/>
        </w:rPr>
        <w:t>Exterior Induction Fixtures</w:t>
      </w:r>
    </w:p>
    <w:p w:rsidR="00B421F2" w:rsidRPr="00045127" w:rsidRDefault="00A167EC" w:rsidP="002D4621">
      <w:pPr>
        <w:ind w:right="-720"/>
        <w:rPr>
          <w:rFonts w:cs="Arial"/>
          <w:b/>
        </w:rPr>
      </w:pPr>
      <w:r w:rsidRPr="00045127">
        <w:rPr>
          <w:rFonts w:cs="Arial"/>
          <w:b/>
        </w:rPr>
        <w:t>Measure Codes</w:t>
      </w:r>
      <w:r w:rsidR="00045127" w:rsidRPr="00045127">
        <w:rPr>
          <w:rFonts w:cs="Arial"/>
          <w:b/>
        </w:rPr>
        <w:t xml:space="preserve"> L0262, L0263, L0264, L0265, L0267</w:t>
      </w:r>
    </w:p>
    <w:p w:rsidR="00CB3583" w:rsidRPr="00045127" w:rsidRDefault="00CB3583" w:rsidP="002E0043">
      <w:pPr>
        <w:rPr>
          <w:rFonts w:cs="Arial"/>
          <w:b/>
          <w:i/>
          <w:highlight w:val="cyan"/>
        </w:rPr>
      </w:pPr>
    </w:p>
    <w:p w:rsidR="003D3F36" w:rsidRPr="00045127" w:rsidRDefault="003D3F36" w:rsidP="00844B27">
      <w:pPr>
        <w:rPr>
          <w:rFonts w:cs="Arial"/>
          <w:b/>
          <w:i/>
          <w:highlight w:val="cyan"/>
        </w:rPr>
      </w:pPr>
    </w:p>
    <w:p w:rsidR="00E84DBD" w:rsidRPr="00045127" w:rsidRDefault="00E84DBD" w:rsidP="00844B27">
      <w:pPr>
        <w:rPr>
          <w:rFonts w:cs="Arial"/>
          <w:b/>
          <w:i/>
        </w:rPr>
      </w:pPr>
    </w:p>
    <w:p w:rsidR="00C274E0" w:rsidRPr="00045127" w:rsidRDefault="00C274E0" w:rsidP="00844B27">
      <w:pPr>
        <w:rPr>
          <w:rFonts w:cs="Arial"/>
          <w:b/>
          <w:i/>
        </w:rPr>
      </w:pPr>
    </w:p>
    <w:p w:rsidR="00C274E0" w:rsidRPr="00045127" w:rsidRDefault="00C274E0" w:rsidP="00844B27">
      <w:pPr>
        <w:rPr>
          <w:rFonts w:cs="Arial"/>
          <w:b/>
          <w:i/>
        </w:rPr>
      </w:pPr>
    </w:p>
    <w:p w:rsidR="00C274E0" w:rsidRPr="00045127"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534386" w:rsidRPr="00C274E0" w:rsidRDefault="00534386" w:rsidP="001A6D00">
      <w:pPr>
        <w:jc w:val="right"/>
        <w:rPr>
          <w:rFonts w:cs="Arial"/>
          <w:b/>
          <w:i/>
        </w:rPr>
        <w:sectPr w:rsidR="00534386" w:rsidRPr="00C274E0" w:rsidSect="001A6D00">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Default="00E731C6" w:rsidP="00E71EF1">
      <w:pPr>
        <w:pStyle w:val="Heading1"/>
      </w:pPr>
      <w:bookmarkStart w:id="2" w:name="_Toc304800192"/>
      <w:bookmarkStart w:id="3" w:name="_Toc324318330"/>
      <w:bookmarkStart w:id="4" w:name="_Toc324340474"/>
      <w:bookmarkStart w:id="5" w:name="_Toc438561225"/>
      <w:r>
        <w:lastRenderedPageBreak/>
        <w:t>At-</w:t>
      </w:r>
      <w:r w:rsidR="00E71EF1">
        <w:t>a</w:t>
      </w:r>
      <w:r>
        <w:t>-</w:t>
      </w:r>
      <w:r w:rsidR="00E71EF1">
        <w:t>Glance Summary</w:t>
      </w:r>
      <w:bookmarkEnd w:id="2"/>
      <w:bookmarkEnd w:id="3"/>
      <w:bookmarkEnd w:id="4"/>
      <w:bookmarkEnd w:id="5"/>
    </w:p>
    <w:tbl>
      <w:tblPr>
        <w:tblW w:w="9648" w:type="dxa"/>
        <w:tblBorders>
          <w:insideH w:val="single" w:sz="18" w:space="0" w:color="FFFFFF"/>
          <w:insideV w:val="single" w:sz="18" w:space="0" w:color="FFFFFF"/>
        </w:tblBorders>
        <w:tblLayout w:type="fixed"/>
        <w:tblLook w:val="01E0" w:firstRow="1" w:lastRow="1" w:firstColumn="1" w:lastColumn="1" w:noHBand="0" w:noVBand="0"/>
      </w:tblPr>
      <w:tblGrid>
        <w:gridCol w:w="3348"/>
        <w:gridCol w:w="1260"/>
        <w:gridCol w:w="90"/>
        <w:gridCol w:w="1170"/>
        <w:gridCol w:w="90"/>
        <w:gridCol w:w="1170"/>
        <w:gridCol w:w="1260"/>
        <w:gridCol w:w="1260"/>
      </w:tblGrid>
      <w:tr w:rsidR="00E73E69" w:rsidRPr="00A55DD1" w:rsidTr="00E73E69">
        <w:trPr>
          <w:trHeight w:val="465"/>
        </w:trPr>
        <w:tc>
          <w:tcPr>
            <w:tcW w:w="3348" w:type="dxa"/>
            <w:shd w:val="pct20" w:color="000000" w:fill="FFFFFF"/>
          </w:tcPr>
          <w:p w:rsidR="00045127" w:rsidRPr="00610FC6" w:rsidRDefault="00045127" w:rsidP="00045127">
            <w:pPr>
              <w:rPr>
                <w:rStyle w:val="Strong"/>
              </w:rPr>
            </w:pPr>
            <w:r w:rsidRPr="00610FC6">
              <w:rPr>
                <w:rStyle w:val="Strong"/>
              </w:rPr>
              <w:t>Applicable Measure Codes:</w:t>
            </w:r>
          </w:p>
        </w:tc>
        <w:tc>
          <w:tcPr>
            <w:tcW w:w="1350" w:type="dxa"/>
            <w:gridSpan w:val="2"/>
            <w:shd w:val="pct20" w:color="000000" w:fill="FFFFFF"/>
            <w:vAlign w:val="center"/>
          </w:tcPr>
          <w:p w:rsidR="00045127" w:rsidRPr="000E22C9" w:rsidRDefault="00045127" w:rsidP="006825D1">
            <w:pPr>
              <w:rPr>
                <w:rFonts w:cs="Arial"/>
                <w:b/>
                <w:bCs/>
                <w:sz w:val="20"/>
                <w:szCs w:val="20"/>
              </w:rPr>
            </w:pPr>
            <w:r>
              <w:rPr>
                <w:b/>
                <w:bCs/>
                <w:sz w:val="20"/>
                <w:szCs w:val="20"/>
              </w:rPr>
              <w:t>L026</w:t>
            </w:r>
            <w:r w:rsidR="006825D1">
              <w:rPr>
                <w:b/>
                <w:bCs/>
                <w:sz w:val="20"/>
                <w:szCs w:val="20"/>
              </w:rPr>
              <w:t>2</w:t>
            </w:r>
          </w:p>
        </w:tc>
        <w:tc>
          <w:tcPr>
            <w:tcW w:w="1260" w:type="dxa"/>
            <w:gridSpan w:val="2"/>
            <w:shd w:val="pct20" w:color="000000" w:fill="FFFFFF"/>
            <w:vAlign w:val="center"/>
          </w:tcPr>
          <w:p w:rsidR="00045127" w:rsidRPr="000E22C9" w:rsidRDefault="00045127" w:rsidP="00045127">
            <w:pPr>
              <w:rPr>
                <w:rFonts w:cs="Arial"/>
                <w:b/>
                <w:bCs/>
                <w:sz w:val="20"/>
                <w:szCs w:val="20"/>
              </w:rPr>
            </w:pPr>
            <w:r>
              <w:rPr>
                <w:b/>
                <w:bCs/>
                <w:sz w:val="20"/>
                <w:szCs w:val="20"/>
              </w:rPr>
              <w:t>L0263</w:t>
            </w:r>
          </w:p>
        </w:tc>
        <w:tc>
          <w:tcPr>
            <w:tcW w:w="1170" w:type="dxa"/>
            <w:shd w:val="pct20" w:color="000000" w:fill="FFFFFF"/>
            <w:vAlign w:val="center"/>
          </w:tcPr>
          <w:p w:rsidR="00045127" w:rsidRPr="000E22C9" w:rsidRDefault="00045127" w:rsidP="00045127">
            <w:pPr>
              <w:rPr>
                <w:rFonts w:cs="Arial"/>
                <w:b/>
                <w:bCs/>
                <w:sz w:val="20"/>
                <w:szCs w:val="20"/>
              </w:rPr>
            </w:pPr>
            <w:r>
              <w:rPr>
                <w:b/>
                <w:bCs/>
                <w:sz w:val="20"/>
                <w:szCs w:val="20"/>
              </w:rPr>
              <w:t>L0264</w:t>
            </w:r>
          </w:p>
        </w:tc>
        <w:tc>
          <w:tcPr>
            <w:tcW w:w="1260" w:type="dxa"/>
            <w:shd w:val="pct20" w:color="000000" w:fill="FFFFFF"/>
            <w:vAlign w:val="center"/>
          </w:tcPr>
          <w:p w:rsidR="00045127" w:rsidRPr="000E22C9" w:rsidRDefault="00045127" w:rsidP="00045127">
            <w:pPr>
              <w:rPr>
                <w:rFonts w:cs="Arial"/>
                <w:b/>
                <w:bCs/>
                <w:sz w:val="20"/>
                <w:szCs w:val="20"/>
              </w:rPr>
            </w:pPr>
            <w:r w:rsidRPr="00D05CA7">
              <w:rPr>
                <w:b/>
                <w:bCs/>
                <w:sz w:val="20"/>
                <w:szCs w:val="20"/>
              </w:rPr>
              <w:t>L</w:t>
            </w:r>
            <w:r>
              <w:rPr>
                <w:b/>
                <w:bCs/>
                <w:sz w:val="20"/>
                <w:szCs w:val="20"/>
              </w:rPr>
              <w:t>0265</w:t>
            </w:r>
          </w:p>
        </w:tc>
        <w:tc>
          <w:tcPr>
            <w:tcW w:w="1260" w:type="dxa"/>
            <w:shd w:val="pct20" w:color="000000" w:fill="FFFFFF"/>
            <w:vAlign w:val="center"/>
          </w:tcPr>
          <w:p w:rsidR="00045127" w:rsidRPr="000E22C9" w:rsidRDefault="00045127" w:rsidP="00045127">
            <w:pPr>
              <w:rPr>
                <w:rFonts w:cs="Arial"/>
                <w:b/>
                <w:bCs/>
                <w:sz w:val="20"/>
                <w:szCs w:val="20"/>
              </w:rPr>
            </w:pPr>
            <w:r>
              <w:rPr>
                <w:b/>
                <w:bCs/>
                <w:sz w:val="20"/>
                <w:szCs w:val="20"/>
              </w:rPr>
              <w:t>L0267</w:t>
            </w:r>
          </w:p>
        </w:tc>
      </w:tr>
      <w:tr w:rsidR="00045127" w:rsidRPr="00A55DD1" w:rsidTr="00E73E69">
        <w:trPr>
          <w:trHeight w:val="465"/>
        </w:trPr>
        <w:tc>
          <w:tcPr>
            <w:tcW w:w="3348" w:type="dxa"/>
            <w:shd w:val="pct5" w:color="000000" w:fill="FFFFFF"/>
          </w:tcPr>
          <w:p w:rsidR="00045127" w:rsidRPr="00610FC6" w:rsidRDefault="00045127" w:rsidP="00045127">
            <w:pPr>
              <w:rPr>
                <w:rStyle w:val="Strong"/>
              </w:rPr>
            </w:pPr>
            <w:r w:rsidRPr="00610FC6">
              <w:rPr>
                <w:rStyle w:val="Strong"/>
              </w:rPr>
              <w:t xml:space="preserve">Measure Description: </w:t>
            </w:r>
          </w:p>
        </w:tc>
        <w:tc>
          <w:tcPr>
            <w:tcW w:w="6300" w:type="dxa"/>
            <w:gridSpan w:val="7"/>
            <w:shd w:val="pct5" w:color="000000" w:fill="FFFFFF"/>
            <w:vAlign w:val="center"/>
          </w:tcPr>
          <w:p w:rsidR="00045127" w:rsidRPr="000E22C9" w:rsidRDefault="00045127" w:rsidP="00045127">
            <w:pPr>
              <w:rPr>
                <w:rFonts w:cs="Arial"/>
                <w:sz w:val="20"/>
                <w:szCs w:val="20"/>
              </w:rPr>
            </w:pPr>
            <w:r>
              <w:rPr>
                <w:sz w:val="20"/>
                <w:szCs w:val="20"/>
              </w:rPr>
              <w:t>Exterior Induction</w:t>
            </w:r>
            <w:r w:rsidRPr="00D05CA7">
              <w:rPr>
                <w:sz w:val="20"/>
                <w:szCs w:val="20"/>
              </w:rPr>
              <w:t xml:space="preserve"> Fixtures.</w:t>
            </w:r>
          </w:p>
        </w:tc>
      </w:tr>
      <w:tr w:rsidR="00045127" w:rsidRPr="00A55DD1" w:rsidTr="00E73E69">
        <w:trPr>
          <w:trHeight w:val="465"/>
        </w:trPr>
        <w:tc>
          <w:tcPr>
            <w:tcW w:w="3348" w:type="dxa"/>
            <w:shd w:val="pct20" w:color="000000" w:fill="FFFFFF"/>
          </w:tcPr>
          <w:p w:rsidR="00045127" w:rsidRPr="00610FC6" w:rsidRDefault="00045127" w:rsidP="00045127">
            <w:pPr>
              <w:rPr>
                <w:rStyle w:val="Strong"/>
              </w:rPr>
            </w:pPr>
            <w:r w:rsidRPr="00610FC6">
              <w:rPr>
                <w:rStyle w:val="Strong"/>
              </w:rPr>
              <w:t xml:space="preserve">Energy Impact Common Units: </w:t>
            </w:r>
          </w:p>
        </w:tc>
        <w:tc>
          <w:tcPr>
            <w:tcW w:w="6300" w:type="dxa"/>
            <w:gridSpan w:val="7"/>
            <w:shd w:val="pct20" w:color="000000" w:fill="FFFFFF"/>
            <w:vAlign w:val="center"/>
          </w:tcPr>
          <w:p w:rsidR="00045127" w:rsidRPr="000E22C9" w:rsidRDefault="00045127" w:rsidP="00045127">
            <w:pPr>
              <w:rPr>
                <w:rFonts w:cs="Arial"/>
                <w:sz w:val="20"/>
                <w:szCs w:val="20"/>
              </w:rPr>
            </w:pPr>
            <w:r w:rsidRPr="00D05CA7">
              <w:rPr>
                <w:sz w:val="20"/>
                <w:szCs w:val="20"/>
              </w:rPr>
              <w:t>Per Fixture</w:t>
            </w:r>
          </w:p>
        </w:tc>
      </w:tr>
      <w:tr w:rsidR="00045127" w:rsidRPr="00A55DD1" w:rsidTr="00E73E69">
        <w:trPr>
          <w:trHeight w:val="465"/>
        </w:trPr>
        <w:tc>
          <w:tcPr>
            <w:tcW w:w="3348" w:type="dxa"/>
            <w:shd w:val="pct5" w:color="000000" w:fill="FFFFFF"/>
          </w:tcPr>
          <w:p w:rsidR="00045127" w:rsidRPr="00610FC6" w:rsidRDefault="00045127" w:rsidP="00045127">
            <w:pPr>
              <w:rPr>
                <w:rStyle w:val="Strong"/>
              </w:rPr>
            </w:pPr>
            <w:r w:rsidRPr="00610FC6">
              <w:rPr>
                <w:rStyle w:val="Strong"/>
              </w:rPr>
              <w:t>Base Case Description:</w:t>
            </w:r>
          </w:p>
        </w:tc>
        <w:tc>
          <w:tcPr>
            <w:tcW w:w="6300" w:type="dxa"/>
            <w:gridSpan w:val="7"/>
            <w:shd w:val="pct5" w:color="000000" w:fill="FFFFFF"/>
            <w:vAlign w:val="center"/>
          </w:tcPr>
          <w:p w:rsidR="00045127" w:rsidRPr="000E22C9" w:rsidRDefault="001A491F" w:rsidP="00045127">
            <w:pPr>
              <w:rPr>
                <w:rFonts w:cs="Arial"/>
                <w:sz w:val="20"/>
                <w:szCs w:val="20"/>
              </w:rPr>
            </w:pPr>
            <w:r>
              <w:rPr>
                <w:sz w:val="20"/>
                <w:szCs w:val="20"/>
              </w:rPr>
              <w:t>Incandescent or HID fixtures including mercury vapor, high pressure sodium, and standard metal halide or pulse start metal halide</w:t>
            </w:r>
          </w:p>
        </w:tc>
      </w:tr>
      <w:tr w:rsidR="00045127" w:rsidRPr="00A55DD1" w:rsidTr="00E73E69">
        <w:trPr>
          <w:trHeight w:val="465"/>
        </w:trPr>
        <w:tc>
          <w:tcPr>
            <w:tcW w:w="3348" w:type="dxa"/>
            <w:shd w:val="pct20" w:color="000000" w:fill="FFFFFF"/>
          </w:tcPr>
          <w:p w:rsidR="00045127" w:rsidRPr="00610FC6" w:rsidRDefault="00045127" w:rsidP="00045127">
            <w:pPr>
              <w:rPr>
                <w:rStyle w:val="Strong"/>
              </w:rPr>
            </w:pPr>
            <w:r w:rsidRPr="00610FC6">
              <w:rPr>
                <w:rStyle w:val="Strong"/>
              </w:rPr>
              <w:t xml:space="preserve">Base Case Energy Consumption: </w:t>
            </w:r>
          </w:p>
        </w:tc>
        <w:tc>
          <w:tcPr>
            <w:tcW w:w="6300" w:type="dxa"/>
            <w:gridSpan w:val="7"/>
            <w:shd w:val="pct20" w:color="000000" w:fill="FFFFFF"/>
            <w:vAlign w:val="center"/>
          </w:tcPr>
          <w:p w:rsidR="00045127" w:rsidRPr="000E22C9" w:rsidRDefault="00045127" w:rsidP="00766BF6">
            <w:pPr>
              <w:rPr>
                <w:rFonts w:cs="Arial"/>
                <w:sz w:val="20"/>
                <w:szCs w:val="20"/>
              </w:rPr>
            </w:pPr>
            <w:r w:rsidRPr="00A0329E">
              <w:rPr>
                <w:sz w:val="20"/>
                <w:szCs w:val="20"/>
              </w:rPr>
              <w:t>Source: PG&amp;E Calculations.</w:t>
            </w:r>
            <w:r w:rsidR="00766BF6" w:rsidRPr="000E22C9">
              <w:rPr>
                <w:rFonts w:cs="Arial"/>
                <w:sz w:val="20"/>
                <w:szCs w:val="20"/>
              </w:rPr>
              <w:t xml:space="preserve"> </w:t>
            </w:r>
          </w:p>
        </w:tc>
      </w:tr>
      <w:tr w:rsidR="00045127" w:rsidRPr="00A55DD1" w:rsidTr="00E73E69">
        <w:trPr>
          <w:trHeight w:val="855"/>
        </w:trPr>
        <w:tc>
          <w:tcPr>
            <w:tcW w:w="3348" w:type="dxa"/>
            <w:shd w:val="pct5" w:color="000000" w:fill="FFFFFF"/>
          </w:tcPr>
          <w:p w:rsidR="00045127" w:rsidRPr="00E73E69" w:rsidRDefault="00045127" w:rsidP="00045127">
            <w:pPr>
              <w:rPr>
                <w:b/>
                <w:bCs/>
              </w:rPr>
            </w:pPr>
            <w:r w:rsidRPr="00610FC6">
              <w:rPr>
                <w:rStyle w:val="Strong"/>
              </w:rPr>
              <w:t>Measure Energy Consumption:</w:t>
            </w:r>
          </w:p>
        </w:tc>
        <w:tc>
          <w:tcPr>
            <w:tcW w:w="6300" w:type="dxa"/>
            <w:gridSpan w:val="7"/>
            <w:shd w:val="pct5" w:color="000000" w:fill="FFFFFF"/>
            <w:vAlign w:val="center"/>
          </w:tcPr>
          <w:p w:rsidR="00045127" w:rsidRPr="00A0329E" w:rsidRDefault="00045127" w:rsidP="00045127">
            <w:pPr>
              <w:rPr>
                <w:sz w:val="20"/>
                <w:szCs w:val="20"/>
              </w:rPr>
            </w:pPr>
            <w:r w:rsidRPr="00A0329E">
              <w:rPr>
                <w:sz w:val="20"/>
                <w:szCs w:val="20"/>
              </w:rPr>
              <w:t xml:space="preserve">Source: PG&amp;E Calculations.  </w:t>
            </w:r>
          </w:p>
          <w:p w:rsidR="00045127" w:rsidRPr="000E22C9" w:rsidRDefault="00045127" w:rsidP="00045127">
            <w:pPr>
              <w:rPr>
                <w:rFonts w:cs="Arial"/>
                <w:sz w:val="20"/>
                <w:szCs w:val="20"/>
              </w:rPr>
            </w:pPr>
          </w:p>
        </w:tc>
      </w:tr>
      <w:tr w:rsidR="00E73E69" w:rsidRPr="00A55DD1" w:rsidTr="00E73E69">
        <w:trPr>
          <w:trHeight w:val="465"/>
        </w:trPr>
        <w:tc>
          <w:tcPr>
            <w:tcW w:w="3348" w:type="dxa"/>
            <w:shd w:val="pct20" w:color="000000" w:fill="FFFFFF"/>
          </w:tcPr>
          <w:p w:rsidR="00E73E69" w:rsidRPr="00610FC6" w:rsidRDefault="00E73E69" w:rsidP="00045127">
            <w:pPr>
              <w:rPr>
                <w:rStyle w:val="Strong"/>
              </w:rPr>
            </w:pPr>
            <w:r w:rsidRPr="00610FC6">
              <w:rPr>
                <w:rStyle w:val="Strong"/>
              </w:rPr>
              <w:t xml:space="preserve">Energy Savings </w:t>
            </w:r>
          </w:p>
          <w:p w:rsidR="00E73E69" w:rsidRPr="00644D17" w:rsidRDefault="00E73E69" w:rsidP="00045127">
            <w:pPr>
              <w:rPr>
                <w:rStyle w:val="Strong1"/>
                <w:b w:val="0"/>
              </w:rPr>
            </w:pPr>
            <w:r w:rsidRPr="00610FC6">
              <w:rPr>
                <w:rStyle w:val="Strong"/>
              </w:rPr>
              <w:t>(Base Case – Measure):</w:t>
            </w:r>
          </w:p>
        </w:tc>
        <w:tc>
          <w:tcPr>
            <w:tcW w:w="6300" w:type="dxa"/>
            <w:gridSpan w:val="7"/>
            <w:shd w:val="pct20" w:color="000000" w:fill="FFFFFF"/>
            <w:vAlign w:val="center"/>
          </w:tcPr>
          <w:p w:rsidR="00E73E69" w:rsidRPr="00A0329E" w:rsidRDefault="00E73E69" w:rsidP="00E73E69">
            <w:pPr>
              <w:rPr>
                <w:sz w:val="20"/>
                <w:szCs w:val="20"/>
              </w:rPr>
            </w:pPr>
            <w:r w:rsidRPr="00A0329E">
              <w:rPr>
                <w:sz w:val="20"/>
                <w:szCs w:val="20"/>
              </w:rPr>
              <w:t xml:space="preserve">Source: PG&amp;E Calculations.  </w:t>
            </w:r>
          </w:p>
          <w:p w:rsidR="00E73E69" w:rsidRPr="000E22C9" w:rsidRDefault="00E73E69" w:rsidP="00045127">
            <w:pPr>
              <w:rPr>
                <w:rFonts w:cs="Arial"/>
                <w:sz w:val="20"/>
                <w:szCs w:val="20"/>
              </w:rPr>
            </w:pPr>
          </w:p>
        </w:tc>
      </w:tr>
      <w:tr w:rsidR="00045127" w:rsidRPr="00A55DD1" w:rsidTr="00E73E69">
        <w:trPr>
          <w:trHeight w:val="465"/>
        </w:trPr>
        <w:tc>
          <w:tcPr>
            <w:tcW w:w="3348" w:type="dxa"/>
            <w:shd w:val="pct5" w:color="000000" w:fill="FFFFFF"/>
          </w:tcPr>
          <w:p w:rsidR="00045127" w:rsidRPr="00610FC6" w:rsidRDefault="00045127" w:rsidP="00045127">
            <w:pPr>
              <w:rPr>
                <w:rStyle w:val="Strong"/>
              </w:rPr>
            </w:pPr>
            <w:r w:rsidRPr="00610FC6">
              <w:rPr>
                <w:rStyle w:val="Strong"/>
              </w:rPr>
              <w:t xml:space="preserve">Costs Common Units: </w:t>
            </w:r>
          </w:p>
        </w:tc>
        <w:tc>
          <w:tcPr>
            <w:tcW w:w="6300" w:type="dxa"/>
            <w:gridSpan w:val="7"/>
            <w:shd w:val="pct5" w:color="000000" w:fill="FFFFFF"/>
            <w:vAlign w:val="center"/>
          </w:tcPr>
          <w:p w:rsidR="00045127" w:rsidRPr="000E22C9" w:rsidRDefault="00045127" w:rsidP="00045127">
            <w:pPr>
              <w:rPr>
                <w:rFonts w:cs="Arial"/>
                <w:sz w:val="20"/>
                <w:szCs w:val="20"/>
              </w:rPr>
            </w:pPr>
            <w:r w:rsidRPr="00CD573A">
              <w:rPr>
                <w:sz w:val="20"/>
                <w:szCs w:val="20"/>
              </w:rPr>
              <w:t>$ per fixture</w:t>
            </w:r>
          </w:p>
        </w:tc>
      </w:tr>
      <w:tr w:rsidR="000D06E2" w:rsidRPr="00A55DD1" w:rsidTr="00873B01">
        <w:trPr>
          <w:trHeight w:val="465"/>
        </w:trPr>
        <w:tc>
          <w:tcPr>
            <w:tcW w:w="3348" w:type="dxa"/>
            <w:shd w:val="pct20" w:color="000000" w:fill="FFFFFF"/>
          </w:tcPr>
          <w:p w:rsidR="000D06E2" w:rsidRPr="00610FC6" w:rsidRDefault="000D06E2" w:rsidP="00045127">
            <w:pPr>
              <w:rPr>
                <w:rStyle w:val="Strong"/>
                <w:highlight w:val="cyan"/>
              </w:rPr>
            </w:pPr>
            <w:r w:rsidRPr="00610FC6">
              <w:rPr>
                <w:rStyle w:val="Strong"/>
              </w:rPr>
              <w:t>Base Case Equipment Cost ($/unit):</w:t>
            </w:r>
          </w:p>
          <w:p w:rsidR="000D06E2" w:rsidRPr="000E22C9" w:rsidRDefault="000D06E2" w:rsidP="00045127">
            <w:pPr>
              <w:rPr>
                <w:highlight w:val="cyan"/>
              </w:rPr>
            </w:pPr>
          </w:p>
        </w:tc>
        <w:tc>
          <w:tcPr>
            <w:tcW w:w="1260" w:type="dxa"/>
            <w:shd w:val="pct20" w:color="000000" w:fill="FFFFFF"/>
            <w:vAlign w:val="center"/>
          </w:tcPr>
          <w:p w:rsidR="000D06E2" w:rsidRPr="000E22C9" w:rsidRDefault="000D06E2" w:rsidP="00045127">
            <w:pPr>
              <w:rPr>
                <w:rFonts w:cs="Arial"/>
                <w:sz w:val="20"/>
                <w:szCs w:val="20"/>
              </w:rPr>
            </w:pPr>
            <w:r>
              <w:rPr>
                <w:sz w:val="20"/>
                <w:szCs w:val="20"/>
              </w:rPr>
              <w:t>Varies</w:t>
            </w:r>
          </w:p>
        </w:tc>
        <w:tc>
          <w:tcPr>
            <w:tcW w:w="1260" w:type="dxa"/>
            <w:gridSpan w:val="2"/>
            <w:shd w:val="pct20" w:color="000000" w:fill="FFFFFF"/>
            <w:vAlign w:val="center"/>
          </w:tcPr>
          <w:p w:rsidR="000D06E2" w:rsidRPr="000E22C9" w:rsidRDefault="000D06E2" w:rsidP="00045127">
            <w:pPr>
              <w:rPr>
                <w:rFonts w:cs="Arial"/>
                <w:sz w:val="20"/>
                <w:szCs w:val="20"/>
              </w:rPr>
            </w:pPr>
            <w:r>
              <w:rPr>
                <w:sz w:val="20"/>
                <w:szCs w:val="20"/>
              </w:rPr>
              <w:t>Varies</w:t>
            </w:r>
          </w:p>
        </w:tc>
        <w:tc>
          <w:tcPr>
            <w:tcW w:w="1260" w:type="dxa"/>
            <w:gridSpan w:val="2"/>
            <w:shd w:val="pct20" w:color="000000" w:fill="FFFFFF"/>
            <w:vAlign w:val="center"/>
          </w:tcPr>
          <w:p w:rsidR="000D06E2" w:rsidRPr="000E22C9" w:rsidRDefault="000D06E2" w:rsidP="00045127">
            <w:pPr>
              <w:rPr>
                <w:rFonts w:cs="Arial"/>
                <w:sz w:val="20"/>
                <w:szCs w:val="20"/>
              </w:rPr>
            </w:pPr>
            <w:r>
              <w:rPr>
                <w:sz w:val="20"/>
                <w:szCs w:val="20"/>
              </w:rPr>
              <w:t>Varies</w:t>
            </w:r>
          </w:p>
        </w:tc>
        <w:tc>
          <w:tcPr>
            <w:tcW w:w="1260" w:type="dxa"/>
            <w:shd w:val="pct20" w:color="000000" w:fill="FFFFFF"/>
            <w:vAlign w:val="center"/>
          </w:tcPr>
          <w:p w:rsidR="000D06E2" w:rsidRPr="000E22C9" w:rsidRDefault="000D06E2" w:rsidP="00045127">
            <w:pPr>
              <w:rPr>
                <w:rFonts w:cs="Arial"/>
                <w:sz w:val="20"/>
                <w:szCs w:val="20"/>
              </w:rPr>
            </w:pPr>
            <w:r>
              <w:rPr>
                <w:sz w:val="20"/>
                <w:szCs w:val="20"/>
              </w:rPr>
              <w:t>Varies</w:t>
            </w:r>
          </w:p>
        </w:tc>
        <w:tc>
          <w:tcPr>
            <w:tcW w:w="1260" w:type="dxa"/>
            <w:shd w:val="pct20" w:color="000000" w:fill="FFFFFF"/>
            <w:vAlign w:val="center"/>
          </w:tcPr>
          <w:p w:rsidR="000D06E2" w:rsidRPr="000E22C9" w:rsidRDefault="000D06E2" w:rsidP="00045127">
            <w:pPr>
              <w:rPr>
                <w:rFonts w:cs="Arial"/>
                <w:sz w:val="20"/>
                <w:szCs w:val="20"/>
              </w:rPr>
            </w:pPr>
            <w:r>
              <w:rPr>
                <w:sz w:val="20"/>
                <w:szCs w:val="20"/>
              </w:rPr>
              <w:t>Varies</w:t>
            </w:r>
          </w:p>
        </w:tc>
      </w:tr>
      <w:tr w:rsidR="000D06E2" w:rsidRPr="00A55DD1" w:rsidTr="00873B01">
        <w:trPr>
          <w:trHeight w:val="465"/>
        </w:trPr>
        <w:tc>
          <w:tcPr>
            <w:tcW w:w="3348" w:type="dxa"/>
            <w:shd w:val="pct5" w:color="000000" w:fill="FFFFFF"/>
          </w:tcPr>
          <w:p w:rsidR="000D06E2" w:rsidRPr="00610FC6" w:rsidRDefault="000D06E2" w:rsidP="00045127">
            <w:pPr>
              <w:rPr>
                <w:rStyle w:val="Strong"/>
              </w:rPr>
            </w:pPr>
            <w:r w:rsidRPr="00610FC6">
              <w:rPr>
                <w:rStyle w:val="Strong"/>
              </w:rPr>
              <w:t xml:space="preserve">Measure Equipment Cost ($/unit): </w:t>
            </w:r>
          </w:p>
        </w:tc>
        <w:tc>
          <w:tcPr>
            <w:tcW w:w="1260" w:type="dxa"/>
            <w:shd w:val="pct5" w:color="000000" w:fill="FFFFFF"/>
            <w:vAlign w:val="center"/>
          </w:tcPr>
          <w:p w:rsidR="000D06E2" w:rsidRPr="00A55DD1" w:rsidRDefault="000D06E2" w:rsidP="00045127">
            <w:pPr>
              <w:rPr>
                <w:rFonts w:cs="Arial"/>
                <w:sz w:val="20"/>
                <w:szCs w:val="20"/>
              </w:rPr>
            </w:pPr>
            <w:r>
              <w:rPr>
                <w:sz w:val="20"/>
                <w:szCs w:val="20"/>
              </w:rPr>
              <w:t>Varies</w:t>
            </w:r>
          </w:p>
        </w:tc>
        <w:tc>
          <w:tcPr>
            <w:tcW w:w="1260" w:type="dxa"/>
            <w:gridSpan w:val="2"/>
            <w:shd w:val="pct5" w:color="000000" w:fill="FFFFFF"/>
            <w:vAlign w:val="center"/>
          </w:tcPr>
          <w:p w:rsidR="000D06E2" w:rsidRPr="00A55DD1" w:rsidRDefault="000D06E2" w:rsidP="00045127">
            <w:pPr>
              <w:rPr>
                <w:rFonts w:cs="Arial"/>
                <w:sz w:val="20"/>
                <w:szCs w:val="20"/>
              </w:rPr>
            </w:pPr>
            <w:r>
              <w:rPr>
                <w:sz w:val="20"/>
                <w:szCs w:val="20"/>
              </w:rPr>
              <w:t>Varies</w:t>
            </w:r>
          </w:p>
        </w:tc>
        <w:tc>
          <w:tcPr>
            <w:tcW w:w="1260" w:type="dxa"/>
            <w:gridSpan w:val="2"/>
            <w:shd w:val="pct5" w:color="000000" w:fill="FFFFFF"/>
            <w:vAlign w:val="center"/>
          </w:tcPr>
          <w:p w:rsidR="000D06E2" w:rsidRPr="00A55DD1" w:rsidRDefault="000D06E2" w:rsidP="00045127">
            <w:pPr>
              <w:rPr>
                <w:rFonts w:cs="Arial"/>
                <w:sz w:val="20"/>
                <w:szCs w:val="20"/>
              </w:rPr>
            </w:pPr>
            <w:r>
              <w:rPr>
                <w:sz w:val="20"/>
                <w:szCs w:val="20"/>
              </w:rPr>
              <w:t>Varies</w:t>
            </w:r>
          </w:p>
        </w:tc>
        <w:tc>
          <w:tcPr>
            <w:tcW w:w="1260" w:type="dxa"/>
            <w:shd w:val="pct5" w:color="000000" w:fill="FFFFFF"/>
            <w:vAlign w:val="center"/>
          </w:tcPr>
          <w:p w:rsidR="000D06E2" w:rsidRPr="00A55DD1" w:rsidRDefault="000D06E2" w:rsidP="00045127">
            <w:pPr>
              <w:rPr>
                <w:rFonts w:cs="Arial"/>
                <w:sz w:val="20"/>
                <w:szCs w:val="20"/>
              </w:rPr>
            </w:pPr>
            <w:r>
              <w:rPr>
                <w:sz w:val="20"/>
                <w:szCs w:val="20"/>
              </w:rPr>
              <w:t>Varies</w:t>
            </w:r>
          </w:p>
        </w:tc>
        <w:tc>
          <w:tcPr>
            <w:tcW w:w="1260" w:type="dxa"/>
            <w:shd w:val="pct5" w:color="000000" w:fill="FFFFFF"/>
            <w:vAlign w:val="center"/>
          </w:tcPr>
          <w:p w:rsidR="000D06E2" w:rsidRPr="00A55DD1" w:rsidRDefault="000D06E2" w:rsidP="00045127">
            <w:pPr>
              <w:rPr>
                <w:rFonts w:cs="Arial"/>
                <w:sz w:val="20"/>
                <w:szCs w:val="20"/>
              </w:rPr>
            </w:pPr>
            <w:r>
              <w:rPr>
                <w:sz w:val="20"/>
                <w:szCs w:val="20"/>
              </w:rPr>
              <w:t>Varies</w:t>
            </w:r>
          </w:p>
        </w:tc>
      </w:tr>
      <w:tr w:rsidR="000D06E2" w:rsidRPr="00A55DD1" w:rsidTr="00873B01">
        <w:trPr>
          <w:trHeight w:val="465"/>
        </w:trPr>
        <w:tc>
          <w:tcPr>
            <w:tcW w:w="3348" w:type="dxa"/>
            <w:shd w:val="pct20" w:color="000000" w:fill="FFFFFF"/>
          </w:tcPr>
          <w:p w:rsidR="000D06E2" w:rsidRPr="00610FC6" w:rsidRDefault="004C1351" w:rsidP="00045127">
            <w:pPr>
              <w:rPr>
                <w:rStyle w:val="Strong"/>
              </w:rPr>
            </w:pPr>
            <w:r>
              <w:rPr>
                <w:rStyle w:val="Strong"/>
              </w:rPr>
              <w:t>Full</w:t>
            </w:r>
            <w:r w:rsidR="000D06E2" w:rsidRPr="00610FC6">
              <w:rPr>
                <w:rStyle w:val="Strong"/>
              </w:rPr>
              <w:t xml:space="preserve"> Measure Cost ($/unit)</w:t>
            </w:r>
          </w:p>
        </w:tc>
        <w:tc>
          <w:tcPr>
            <w:tcW w:w="1260" w:type="dxa"/>
            <w:shd w:val="pct20" w:color="000000" w:fill="FFFFFF"/>
            <w:vAlign w:val="center"/>
          </w:tcPr>
          <w:p w:rsidR="000D06E2" w:rsidRPr="00A55DD1" w:rsidRDefault="000D06E2" w:rsidP="00045127">
            <w:pPr>
              <w:rPr>
                <w:rFonts w:cs="Arial"/>
                <w:sz w:val="20"/>
                <w:szCs w:val="20"/>
              </w:rPr>
            </w:pPr>
            <w:r>
              <w:rPr>
                <w:sz w:val="20"/>
                <w:szCs w:val="20"/>
              </w:rPr>
              <w:t>Varies</w:t>
            </w:r>
          </w:p>
        </w:tc>
        <w:tc>
          <w:tcPr>
            <w:tcW w:w="1260" w:type="dxa"/>
            <w:gridSpan w:val="2"/>
            <w:shd w:val="pct20" w:color="000000" w:fill="FFFFFF"/>
            <w:vAlign w:val="center"/>
          </w:tcPr>
          <w:p w:rsidR="000D06E2" w:rsidRPr="00A55DD1" w:rsidRDefault="000D06E2" w:rsidP="00045127">
            <w:pPr>
              <w:rPr>
                <w:rFonts w:cs="Arial"/>
                <w:sz w:val="20"/>
                <w:szCs w:val="20"/>
              </w:rPr>
            </w:pPr>
            <w:r>
              <w:rPr>
                <w:sz w:val="20"/>
                <w:szCs w:val="20"/>
              </w:rPr>
              <w:t>Varies</w:t>
            </w:r>
          </w:p>
        </w:tc>
        <w:tc>
          <w:tcPr>
            <w:tcW w:w="1260" w:type="dxa"/>
            <w:gridSpan w:val="2"/>
            <w:shd w:val="pct20" w:color="000000" w:fill="FFFFFF"/>
            <w:vAlign w:val="center"/>
          </w:tcPr>
          <w:p w:rsidR="000D06E2" w:rsidRPr="00A55DD1" w:rsidRDefault="000D06E2" w:rsidP="00045127">
            <w:pPr>
              <w:rPr>
                <w:rFonts w:cs="Arial"/>
                <w:sz w:val="20"/>
                <w:szCs w:val="20"/>
              </w:rPr>
            </w:pPr>
            <w:r>
              <w:rPr>
                <w:sz w:val="20"/>
                <w:szCs w:val="20"/>
              </w:rPr>
              <w:t>Varies</w:t>
            </w:r>
          </w:p>
        </w:tc>
        <w:tc>
          <w:tcPr>
            <w:tcW w:w="1260" w:type="dxa"/>
            <w:shd w:val="pct20" w:color="000000" w:fill="FFFFFF"/>
            <w:vAlign w:val="center"/>
          </w:tcPr>
          <w:p w:rsidR="000D06E2" w:rsidRPr="00A55DD1" w:rsidRDefault="000D06E2" w:rsidP="00045127">
            <w:pPr>
              <w:rPr>
                <w:rFonts w:cs="Arial"/>
                <w:sz w:val="20"/>
                <w:szCs w:val="20"/>
              </w:rPr>
            </w:pPr>
            <w:r>
              <w:rPr>
                <w:sz w:val="20"/>
                <w:szCs w:val="20"/>
              </w:rPr>
              <w:t>Varies</w:t>
            </w:r>
          </w:p>
        </w:tc>
        <w:tc>
          <w:tcPr>
            <w:tcW w:w="1260" w:type="dxa"/>
            <w:shd w:val="pct20" w:color="000000" w:fill="FFFFFF"/>
            <w:vAlign w:val="center"/>
          </w:tcPr>
          <w:p w:rsidR="000D06E2" w:rsidRPr="00A55DD1" w:rsidRDefault="000D06E2" w:rsidP="00045127">
            <w:pPr>
              <w:rPr>
                <w:rFonts w:cs="Arial"/>
                <w:sz w:val="20"/>
                <w:szCs w:val="20"/>
              </w:rPr>
            </w:pPr>
            <w:r>
              <w:rPr>
                <w:sz w:val="20"/>
                <w:szCs w:val="20"/>
              </w:rPr>
              <w:t>Varies</w:t>
            </w:r>
          </w:p>
        </w:tc>
      </w:tr>
      <w:tr w:rsidR="000D06E2" w:rsidRPr="00A55DD1" w:rsidTr="00873B01">
        <w:trPr>
          <w:trHeight w:val="465"/>
        </w:trPr>
        <w:tc>
          <w:tcPr>
            <w:tcW w:w="3348" w:type="dxa"/>
            <w:shd w:val="pct20" w:color="000000" w:fill="FFFFFF"/>
          </w:tcPr>
          <w:p w:rsidR="000D06E2" w:rsidRPr="00610FC6" w:rsidRDefault="000D06E2" w:rsidP="00045127">
            <w:pPr>
              <w:rPr>
                <w:rStyle w:val="Strong"/>
              </w:rPr>
            </w:pPr>
            <w:r w:rsidRPr="00610FC6">
              <w:rPr>
                <w:rStyle w:val="Strong"/>
              </w:rPr>
              <w:t xml:space="preserve">Measure Incremental Cost ($/unit): </w:t>
            </w:r>
          </w:p>
        </w:tc>
        <w:tc>
          <w:tcPr>
            <w:tcW w:w="1260" w:type="dxa"/>
            <w:shd w:val="pct20" w:color="000000" w:fill="FFFFFF"/>
            <w:vAlign w:val="center"/>
          </w:tcPr>
          <w:p w:rsidR="000D06E2" w:rsidRPr="00A55DD1" w:rsidRDefault="000D06E2" w:rsidP="00045127">
            <w:pPr>
              <w:rPr>
                <w:rFonts w:cs="Arial"/>
                <w:sz w:val="20"/>
                <w:szCs w:val="20"/>
              </w:rPr>
            </w:pPr>
            <w:r>
              <w:rPr>
                <w:sz w:val="20"/>
                <w:szCs w:val="20"/>
              </w:rPr>
              <w:t>Varies</w:t>
            </w:r>
          </w:p>
        </w:tc>
        <w:tc>
          <w:tcPr>
            <w:tcW w:w="1260" w:type="dxa"/>
            <w:gridSpan w:val="2"/>
            <w:shd w:val="pct20" w:color="000000" w:fill="FFFFFF"/>
            <w:vAlign w:val="center"/>
          </w:tcPr>
          <w:p w:rsidR="000D06E2" w:rsidRPr="00A55DD1" w:rsidRDefault="000D06E2" w:rsidP="00045127">
            <w:pPr>
              <w:rPr>
                <w:rFonts w:cs="Arial"/>
                <w:sz w:val="20"/>
                <w:szCs w:val="20"/>
              </w:rPr>
            </w:pPr>
            <w:r>
              <w:rPr>
                <w:sz w:val="20"/>
                <w:szCs w:val="20"/>
              </w:rPr>
              <w:t>Varies</w:t>
            </w:r>
          </w:p>
        </w:tc>
        <w:tc>
          <w:tcPr>
            <w:tcW w:w="1260" w:type="dxa"/>
            <w:gridSpan w:val="2"/>
            <w:shd w:val="pct20" w:color="000000" w:fill="FFFFFF"/>
            <w:vAlign w:val="center"/>
          </w:tcPr>
          <w:p w:rsidR="000D06E2" w:rsidRPr="00A55DD1" w:rsidRDefault="000D06E2" w:rsidP="00045127">
            <w:pPr>
              <w:rPr>
                <w:rFonts w:cs="Arial"/>
                <w:sz w:val="20"/>
                <w:szCs w:val="20"/>
              </w:rPr>
            </w:pPr>
            <w:r>
              <w:rPr>
                <w:sz w:val="20"/>
                <w:szCs w:val="20"/>
              </w:rPr>
              <w:t>Varies</w:t>
            </w:r>
          </w:p>
        </w:tc>
        <w:tc>
          <w:tcPr>
            <w:tcW w:w="1260" w:type="dxa"/>
            <w:shd w:val="pct20" w:color="000000" w:fill="FFFFFF"/>
            <w:vAlign w:val="center"/>
          </w:tcPr>
          <w:p w:rsidR="000D06E2" w:rsidRPr="00A55DD1" w:rsidRDefault="000D06E2" w:rsidP="00045127">
            <w:pPr>
              <w:rPr>
                <w:rFonts w:cs="Arial"/>
                <w:sz w:val="20"/>
                <w:szCs w:val="20"/>
              </w:rPr>
            </w:pPr>
            <w:r>
              <w:rPr>
                <w:sz w:val="20"/>
                <w:szCs w:val="20"/>
              </w:rPr>
              <w:t>Varies</w:t>
            </w:r>
          </w:p>
        </w:tc>
        <w:tc>
          <w:tcPr>
            <w:tcW w:w="1260" w:type="dxa"/>
            <w:shd w:val="pct20" w:color="000000" w:fill="FFFFFF"/>
            <w:vAlign w:val="center"/>
          </w:tcPr>
          <w:p w:rsidR="000D06E2" w:rsidRPr="00A55DD1" w:rsidRDefault="000D06E2" w:rsidP="00045127">
            <w:pPr>
              <w:rPr>
                <w:rFonts w:cs="Arial"/>
                <w:sz w:val="20"/>
                <w:szCs w:val="20"/>
              </w:rPr>
            </w:pPr>
            <w:r>
              <w:rPr>
                <w:sz w:val="20"/>
                <w:szCs w:val="20"/>
              </w:rPr>
              <w:t>Varies</w:t>
            </w:r>
          </w:p>
        </w:tc>
      </w:tr>
      <w:tr w:rsidR="00EA5D91" w:rsidRPr="00A55DD1" w:rsidTr="00E73E69">
        <w:trPr>
          <w:trHeight w:val="465"/>
        </w:trPr>
        <w:tc>
          <w:tcPr>
            <w:tcW w:w="3348" w:type="dxa"/>
            <w:shd w:val="pct5" w:color="000000" w:fill="FFFFFF"/>
          </w:tcPr>
          <w:p w:rsidR="00EA5D91" w:rsidRPr="00610FC6" w:rsidRDefault="00EA5D91" w:rsidP="00045127">
            <w:pPr>
              <w:rPr>
                <w:rStyle w:val="Strong"/>
              </w:rPr>
            </w:pPr>
            <w:r w:rsidRPr="00610FC6">
              <w:rPr>
                <w:rStyle w:val="Strong"/>
              </w:rPr>
              <w:t xml:space="preserve">Effective Useful Life (years): </w:t>
            </w:r>
          </w:p>
        </w:tc>
        <w:tc>
          <w:tcPr>
            <w:tcW w:w="6300" w:type="dxa"/>
            <w:gridSpan w:val="7"/>
            <w:shd w:val="pct5" w:color="000000" w:fill="FFFFFF"/>
          </w:tcPr>
          <w:p w:rsidR="00EA5D91" w:rsidRDefault="00EA5D91" w:rsidP="00A02943">
            <w:pPr>
              <w:rPr>
                <w:sz w:val="20"/>
                <w:szCs w:val="20"/>
              </w:rPr>
            </w:pPr>
            <w:r w:rsidRPr="00687015">
              <w:rPr>
                <w:sz w:val="20"/>
                <w:szCs w:val="20"/>
              </w:rPr>
              <w:t>1</w:t>
            </w:r>
            <w:r w:rsidR="00A02943">
              <w:rPr>
                <w:sz w:val="20"/>
                <w:szCs w:val="20"/>
              </w:rPr>
              <w:t>5 years</w:t>
            </w:r>
            <w:r w:rsidR="004F1450">
              <w:rPr>
                <w:sz w:val="20"/>
                <w:szCs w:val="20"/>
              </w:rPr>
              <w:t>, OLtg-HID</w:t>
            </w:r>
          </w:p>
          <w:p w:rsidR="00A02943" w:rsidRPr="00A55DD1" w:rsidRDefault="00A02943" w:rsidP="004F1450">
            <w:pPr>
              <w:rPr>
                <w:rFonts w:cs="Arial"/>
                <w:sz w:val="20"/>
                <w:szCs w:val="20"/>
              </w:rPr>
            </w:pPr>
            <w:r w:rsidRPr="00687015">
              <w:rPr>
                <w:sz w:val="20"/>
                <w:szCs w:val="20"/>
              </w:rPr>
              <w:t>Source:</w:t>
            </w:r>
            <w:r>
              <w:rPr>
                <w:sz w:val="20"/>
                <w:szCs w:val="20"/>
              </w:rPr>
              <w:t xml:space="preserve"> DEER </w:t>
            </w:r>
            <w:r w:rsidR="004F1450">
              <w:rPr>
                <w:sz w:val="20"/>
                <w:szCs w:val="20"/>
              </w:rPr>
              <w:t>2016</w:t>
            </w:r>
          </w:p>
        </w:tc>
      </w:tr>
      <w:tr w:rsidR="00EA5D91" w:rsidRPr="00A55DD1" w:rsidTr="00E73E69">
        <w:trPr>
          <w:trHeight w:val="465"/>
        </w:trPr>
        <w:tc>
          <w:tcPr>
            <w:tcW w:w="3348" w:type="dxa"/>
            <w:shd w:val="pct20" w:color="000000" w:fill="FFFFFF"/>
          </w:tcPr>
          <w:p w:rsidR="00EA5D91" w:rsidRPr="00610FC6" w:rsidRDefault="00EA5D91" w:rsidP="00045127">
            <w:pPr>
              <w:rPr>
                <w:rStyle w:val="Strong"/>
              </w:rPr>
            </w:pPr>
            <w:r>
              <w:rPr>
                <w:rStyle w:val="Strong"/>
              </w:rPr>
              <w:t>Measure Application Type</w:t>
            </w:r>
            <w:r w:rsidRPr="00610FC6">
              <w:rPr>
                <w:rStyle w:val="Strong"/>
              </w:rPr>
              <w:t>:</w:t>
            </w:r>
          </w:p>
        </w:tc>
        <w:tc>
          <w:tcPr>
            <w:tcW w:w="6300" w:type="dxa"/>
            <w:gridSpan w:val="7"/>
            <w:shd w:val="pct20" w:color="000000" w:fill="FFFFFF"/>
          </w:tcPr>
          <w:p w:rsidR="00EA5D91" w:rsidRPr="00A55DD1" w:rsidRDefault="00EA5D91" w:rsidP="00045127">
            <w:pPr>
              <w:rPr>
                <w:rFonts w:cs="Arial"/>
                <w:sz w:val="20"/>
                <w:szCs w:val="20"/>
              </w:rPr>
            </w:pPr>
            <w:r>
              <w:rPr>
                <w:rFonts w:cs="Arial"/>
                <w:sz w:val="20"/>
                <w:szCs w:val="20"/>
              </w:rPr>
              <w:t>ROB</w:t>
            </w:r>
          </w:p>
        </w:tc>
      </w:tr>
      <w:tr w:rsidR="00EA5D91" w:rsidRPr="00A55DD1" w:rsidTr="00E73E69">
        <w:trPr>
          <w:trHeight w:val="465"/>
        </w:trPr>
        <w:tc>
          <w:tcPr>
            <w:tcW w:w="3348" w:type="dxa"/>
            <w:shd w:val="pct5" w:color="000000" w:fill="FFFFFF"/>
          </w:tcPr>
          <w:p w:rsidR="00EA5D91" w:rsidRPr="00610FC6" w:rsidRDefault="00EA5D91" w:rsidP="00045127">
            <w:pPr>
              <w:rPr>
                <w:rStyle w:val="Strong"/>
              </w:rPr>
            </w:pPr>
            <w:r w:rsidRPr="00610FC6">
              <w:rPr>
                <w:rStyle w:val="Strong"/>
              </w:rPr>
              <w:t xml:space="preserve">Net-to-Gross Ratios: </w:t>
            </w:r>
          </w:p>
        </w:tc>
        <w:tc>
          <w:tcPr>
            <w:tcW w:w="6300" w:type="dxa"/>
            <w:gridSpan w:val="7"/>
            <w:shd w:val="pct5" w:color="000000" w:fill="FFFFFF"/>
            <w:vAlign w:val="center"/>
          </w:tcPr>
          <w:p w:rsidR="001263F9" w:rsidRDefault="00EA5D91" w:rsidP="001A491F">
            <w:pPr>
              <w:rPr>
                <w:sz w:val="20"/>
                <w:szCs w:val="20"/>
              </w:rPr>
            </w:pPr>
            <w:r w:rsidRPr="00B67F63">
              <w:rPr>
                <w:sz w:val="20"/>
                <w:szCs w:val="20"/>
              </w:rPr>
              <w:t>NTG =  0.</w:t>
            </w:r>
            <w:bookmarkStart w:id="6" w:name="_Ref257189814"/>
            <w:r w:rsidRPr="00B67F63">
              <w:rPr>
                <w:sz w:val="20"/>
                <w:szCs w:val="20"/>
              </w:rPr>
              <w:t>60</w:t>
            </w:r>
            <w:bookmarkEnd w:id="6"/>
            <w:r w:rsidR="001A491F">
              <w:rPr>
                <w:sz w:val="20"/>
                <w:szCs w:val="20"/>
              </w:rPr>
              <w:t xml:space="preserve"> Com-Default&gt;2yrs</w:t>
            </w:r>
          </w:p>
          <w:p w:rsidR="00EA5D91" w:rsidRPr="001263F9" w:rsidRDefault="00DE2956" w:rsidP="001A491F">
            <w:pPr>
              <w:rPr>
                <w:sz w:val="20"/>
                <w:szCs w:val="20"/>
              </w:rPr>
            </w:pPr>
            <w:r>
              <w:rPr>
                <w:sz w:val="20"/>
                <w:szCs w:val="20"/>
              </w:rPr>
              <w:t xml:space="preserve">Source:  </w:t>
            </w:r>
            <w:r w:rsidR="004F1450">
              <w:rPr>
                <w:sz w:val="20"/>
                <w:szCs w:val="20"/>
              </w:rPr>
              <w:t>DEER 2016</w:t>
            </w:r>
            <w:r w:rsidR="00EA5D91">
              <w:rPr>
                <w:sz w:val="20"/>
                <w:szCs w:val="20"/>
              </w:rPr>
              <w:t xml:space="preserve">            </w:t>
            </w:r>
          </w:p>
        </w:tc>
      </w:tr>
      <w:tr w:rsidR="00EA5D91" w:rsidRPr="00A55DD1" w:rsidTr="00E73E69">
        <w:trPr>
          <w:trHeight w:val="465"/>
        </w:trPr>
        <w:tc>
          <w:tcPr>
            <w:tcW w:w="3348" w:type="dxa"/>
            <w:shd w:val="pct20" w:color="000000" w:fill="FFFFFF"/>
          </w:tcPr>
          <w:p w:rsidR="00EA5D91" w:rsidRPr="00610FC6" w:rsidRDefault="00EA5D91" w:rsidP="00045127">
            <w:pPr>
              <w:rPr>
                <w:rStyle w:val="Strong"/>
              </w:rPr>
            </w:pPr>
            <w:r w:rsidRPr="00610FC6">
              <w:rPr>
                <w:rStyle w:val="Strong"/>
              </w:rPr>
              <w:t>Important Comments:</w:t>
            </w:r>
          </w:p>
        </w:tc>
        <w:tc>
          <w:tcPr>
            <w:tcW w:w="6300" w:type="dxa"/>
            <w:gridSpan w:val="7"/>
            <w:shd w:val="pct20" w:color="000000" w:fill="FFFFFF"/>
          </w:tcPr>
          <w:p w:rsidR="00EA5D91" w:rsidRPr="00A55DD1" w:rsidRDefault="00EA5D91" w:rsidP="00045127">
            <w:pPr>
              <w:rPr>
                <w:rFonts w:cs="Arial"/>
                <w:sz w:val="20"/>
                <w:szCs w:val="20"/>
              </w:rPr>
            </w:pPr>
          </w:p>
        </w:tc>
      </w:tr>
    </w:tbl>
    <w:p w:rsidR="005F19E0" w:rsidRDefault="005F19E0" w:rsidP="0006490F">
      <w:pPr>
        <w:rPr>
          <w:rFonts w:cs="Arial"/>
          <w:b/>
          <w:i/>
          <w:color w:val="FF0000"/>
          <w:sz w:val="20"/>
          <w:szCs w:val="20"/>
        </w:rPr>
      </w:pPr>
    </w:p>
    <w:p w:rsidR="007F2147" w:rsidRPr="005F19E0" w:rsidRDefault="007F2147" w:rsidP="0006490F">
      <w:pPr>
        <w:rPr>
          <w:rFonts w:cs="Arial"/>
          <w:b/>
          <w:color w:val="FF0000"/>
          <w:sz w:val="20"/>
          <w:szCs w:val="20"/>
        </w:rPr>
        <w:sectPr w:rsidR="007F2147" w:rsidRPr="005F19E0" w:rsidSect="00873B01">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hapStyle="1"/>
          <w:cols w:space="720"/>
          <w:docGrid w:linePitch="360"/>
        </w:sectPr>
      </w:pPr>
    </w:p>
    <w:p w:rsidR="00E71EF1" w:rsidRDefault="00E71EF1" w:rsidP="00E71EF1">
      <w:pPr>
        <w:pStyle w:val="Heading1"/>
      </w:pPr>
      <w:bookmarkStart w:id="7" w:name="_Toc304800196"/>
      <w:bookmarkStart w:id="8" w:name="_Toc324318333"/>
      <w:bookmarkStart w:id="9" w:name="_Toc324340477"/>
      <w:bookmarkStart w:id="10" w:name="_Toc438561226"/>
      <w:r>
        <w:lastRenderedPageBreak/>
        <w:t>Document Revision History</w:t>
      </w:r>
      <w:bookmarkEnd w:id="7"/>
      <w:bookmarkEnd w:id="8"/>
      <w:bookmarkEnd w:id="9"/>
      <w:bookmarkEnd w:id="10"/>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rsidTr="00766BF6">
        <w:trPr>
          <w:trHeight w:val="464"/>
        </w:trPr>
        <w:tc>
          <w:tcPr>
            <w:tcW w:w="858" w:type="pct"/>
            <w:tcBorders>
              <w:top w:val="nil"/>
              <w:bottom w:val="single" w:sz="18" w:space="0" w:color="FFFFFF"/>
            </w:tcBorders>
            <w:shd w:val="pct20" w:color="000000" w:fill="FFFFFF"/>
          </w:tcPr>
          <w:p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79"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Author (Company)</w:t>
            </w:r>
          </w:p>
        </w:tc>
      </w:tr>
      <w:tr w:rsidR="00766BF6" w:rsidRPr="00783DAC" w:rsidTr="00766BF6">
        <w:trPr>
          <w:trHeight w:val="464"/>
        </w:trPr>
        <w:tc>
          <w:tcPr>
            <w:tcW w:w="858" w:type="pct"/>
            <w:tcBorders>
              <w:top w:val="single" w:sz="18" w:space="0" w:color="FFFFFF"/>
            </w:tcBorders>
            <w:shd w:val="pct20" w:color="000000" w:fill="FFFFFF"/>
          </w:tcPr>
          <w:p w:rsidR="00766BF6" w:rsidRPr="00766BF6" w:rsidRDefault="00766BF6" w:rsidP="008948E0">
            <w:pPr>
              <w:rPr>
                <w:b/>
                <w:bCs/>
                <w:sz w:val="20"/>
              </w:rPr>
            </w:pPr>
            <w:r w:rsidRPr="00766BF6">
              <w:rPr>
                <w:bCs/>
                <w:sz w:val="20"/>
              </w:rPr>
              <w:t xml:space="preserve">Revision 2 </w:t>
            </w:r>
          </w:p>
        </w:tc>
        <w:tc>
          <w:tcPr>
            <w:tcW w:w="783" w:type="pct"/>
            <w:tcBorders>
              <w:top w:val="single" w:sz="18" w:space="0" w:color="FFFFFF"/>
            </w:tcBorders>
            <w:shd w:val="pct20" w:color="000000" w:fill="FFFFFF"/>
          </w:tcPr>
          <w:p w:rsidR="00766BF6" w:rsidRPr="00766BF6" w:rsidRDefault="00766BF6" w:rsidP="008948E0">
            <w:pPr>
              <w:rPr>
                <w:b/>
                <w:bCs/>
                <w:sz w:val="20"/>
                <w:szCs w:val="20"/>
                <w:highlight w:val="yellow"/>
              </w:rPr>
            </w:pPr>
            <w:r w:rsidRPr="00766BF6">
              <w:rPr>
                <w:bCs/>
                <w:sz w:val="20"/>
              </w:rPr>
              <w:t>1/21/2010</w:t>
            </w:r>
          </w:p>
        </w:tc>
        <w:tc>
          <w:tcPr>
            <w:tcW w:w="1680" w:type="pct"/>
            <w:tcBorders>
              <w:top w:val="single" w:sz="18" w:space="0" w:color="FFFFFF"/>
            </w:tcBorders>
            <w:shd w:val="pct20" w:color="000000" w:fill="FFFFFF"/>
          </w:tcPr>
          <w:p w:rsidR="00766BF6" w:rsidRPr="00766BF6" w:rsidRDefault="00766BF6" w:rsidP="008948E0">
            <w:pPr>
              <w:rPr>
                <w:b/>
                <w:bCs/>
                <w:sz w:val="20"/>
                <w:szCs w:val="20"/>
              </w:rPr>
            </w:pPr>
            <w:r w:rsidRPr="00766BF6">
              <w:rPr>
                <w:bCs/>
                <w:sz w:val="20"/>
              </w:rPr>
              <w:t>Exterior Induction Fixtures PGECOLTG158 R2.doc (R2 is the original work paper)</w:t>
            </w:r>
          </w:p>
        </w:tc>
        <w:tc>
          <w:tcPr>
            <w:tcW w:w="1679" w:type="pct"/>
            <w:tcBorders>
              <w:top w:val="single" w:sz="18" w:space="0" w:color="FFFFFF"/>
            </w:tcBorders>
            <w:shd w:val="pct20" w:color="000000" w:fill="FFFFFF"/>
          </w:tcPr>
          <w:p w:rsidR="00766BF6" w:rsidRPr="00766BF6" w:rsidRDefault="00766BF6" w:rsidP="008948E0">
            <w:pPr>
              <w:rPr>
                <w:b/>
                <w:bCs/>
                <w:sz w:val="20"/>
                <w:szCs w:val="20"/>
              </w:rPr>
            </w:pPr>
            <w:r w:rsidRPr="00766BF6">
              <w:rPr>
                <w:bCs/>
                <w:sz w:val="20"/>
              </w:rPr>
              <w:t xml:space="preserve">Judith Jennings, PG&amp;E </w:t>
            </w:r>
          </w:p>
        </w:tc>
      </w:tr>
      <w:tr w:rsidR="00766BF6" w:rsidRPr="00DE21B1" w:rsidTr="00766BF6">
        <w:trPr>
          <w:trHeight w:val="464"/>
        </w:trPr>
        <w:tc>
          <w:tcPr>
            <w:tcW w:w="858" w:type="pct"/>
            <w:shd w:val="pct5" w:color="000000" w:fill="FFFFFF"/>
          </w:tcPr>
          <w:p w:rsidR="00766BF6" w:rsidRPr="00766BF6" w:rsidRDefault="00766BF6" w:rsidP="008948E0">
            <w:pPr>
              <w:rPr>
                <w:b/>
                <w:sz w:val="20"/>
              </w:rPr>
            </w:pPr>
            <w:r w:rsidRPr="00766BF6">
              <w:rPr>
                <w:sz w:val="20"/>
              </w:rPr>
              <w:t xml:space="preserve">Revision 3 </w:t>
            </w:r>
          </w:p>
        </w:tc>
        <w:tc>
          <w:tcPr>
            <w:tcW w:w="783" w:type="pct"/>
            <w:shd w:val="pct5" w:color="000000" w:fill="FFFFFF"/>
          </w:tcPr>
          <w:p w:rsidR="00766BF6" w:rsidRPr="00766BF6" w:rsidRDefault="00766BF6" w:rsidP="005B00A6">
            <w:pPr>
              <w:autoSpaceDE w:val="0"/>
              <w:autoSpaceDN w:val="0"/>
              <w:adjustRightInd w:val="0"/>
              <w:rPr>
                <w:b/>
                <w:sz w:val="20"/>
                <w:szCs w:val="20"/>
                <w:highlight w:val="yellow"/>
              </w:rPr>
            </w:pPr>
            <w:r w:rsidRPr="00766BF6">
              <w:rPr>
                <w:sz w:val="20"/>
              </w:rPr>
              <w:t>5/29/12</w:t>
            </w:r>
          </w:p>
        </w:tc>
        <w:tc>
          <w:tcPr>
            <w:tcW w:w="1680" w:type="pct"/>
            <w:shd w:val="pct5" w:color="000000" w:fill="FFFFFF"/>
          </w:tcPr>
          <w:p w:rsidR="00766BF6" w:rsidRPr="00766BF6" w:rsidRDefault="00766BF6" w:rsidP="008948E0">
            <w:pPr>
              <w:rPr>
                <w:b/>
                <w:sz w:val="20"/>
                <w:szCs w:val="20"/>
              </w:rPr>
            </w:pPr>
            <w:r w:rsidRPr="00766BF6">
              <w:rPr>
                <w:bCs/>
                <w:sz w:val="20"/>
              </w:rPr>
              <w:t xml:space="preserve">PGECOLTG158 R3 Exterior Induction Fixtures.doc Updated to DEER 2011 values and NTG. </w:t>
            </w:r>
          </w:p>
        </w:tc>
        <w:tc>
          <w:tcPr>
            <w:tcW w:w="1679" w:type="pct"/>
            <w:shd w:val="pct5" w:color="000000" w:fill="FFFFFF"/>
          </w:tcPr>
          <w:p w:rsidR="00766BF6" w:rsidRPr="00766BF6" w:rsidRDefault="00766BF6" w:rsidP="00746DDC">
            <w:pPr>
              <w:rPr>
                <w:b/>
                <w:bCs/>
                <w:sz w:val="20"/>
                <w:szCs w:val="20"/>
              </w:rPr>
            </w:pPr>
            <w:r w:rsidRPr="00766BF6">
              <w:rPr>
                <w:bCs/>
                <w:sz w:val="20"/>
              </w:rPr>
              <w:t>Tim Conroy, PG&amp;E</w:t>
            </w:r>
          </w:p>
        </w:tc>
      </w:tr>
      <w:tr w:rsidR="00766BF6" w:rsidRPr="00DE21B1" w:rsidTr="00766BF6">
        <w:trPr>
          <w:trHeight w:val="464"/>
        </w:trPr>
        <w:tc>
          <w:tcPr>
            <w:tcW w:w="858" w:type="pct"/>
            <w:shd w:val="clear" w:color="auto" w:fill="BFBFBF" w:themeFill="background1" w:themeFillShade="BF"/>
          </w:tcPr>
          <w:p w:rsidR="00766BF6" w:rsidRPr="00766BF6" w:rsidRDefault="00766BF6" w:rsidP="008948E0">
            <w:pPr>
              <w:rPr>
                <w:b/>
                <w:sz w:val="20"/>
              </w:rPr>
            </w:pPr>
            <w:r w:rsidRPr="00766BF6">
              <w:rPr>
                <w:sz w:val="20"/>
              </w:rPr>
              <w:t>Revision 3</w:t>
            </w:r>
          </w:p>
        </w:tc>
        <w:tc>
          <w:tcPr>
            <w:tcW w:w="783" w:type="pct"/>
            <w:shd w:val="clear" w:color="auto" w:fill="BFBFBF" w:themeFill="background1" w:themeFillShade="BF"/>
          </w:tcPr>
          <w:p w:rsidR="00766BF6" w:rsidRPr="00766BF6" w:rsidRDefault="00766BF6" w:rsidP="005B00A6">
            <w:pPr>
              <w:autoSpaceDE w:val="0"/>
              <w:autoSpaceDN w:val="0"/>
              <w:adjustRightInd w:val="0"/>
              <w:rPr>
                <w:b/>
                <w:sz w:val="20"/>
                <w:szCs w:val="20"/>
                <w:highlight w:val="yellow"/>
              </w:rPr>
            </w:pPr>
            <w:r w:rsidRPr="00766BF6">
              <w:rPr>
                <w:sz w:val="20"/>
              </w:rPr>
              <w:t>8/29/12</w:t>
            </w:r>
          </w:p>
        </w:tc>
        <w:tc>
          <w:tcPr>
            <w:tcW w:w="1680" w:type="pct"/>
            <w:shd w:val="clear" w:color="auto" w:fill="BFBFBF" w:themeFill="background1" w:themeFillShade="BF"/>
          </w:tcPr>
          <w:p w:rsidR="00766BF6" w:rsidRPr="00766BF6" w:rsidRDefault="00766BF6" w:rsidP="008948E0">
            <w:pPr>
              <w:rPr>
                <w:b/>
                <w:sz w:val="20"/>
                <w:szCs w:val="20"/>
              </w:rPr>
            </w:pPr>
            <w:r w:rsidRPr="00766BF6">
              <w:rPr>
                <w:bCs/>
                <w:sz w:val="20"/>
              </w:rPr>
              <w:t>For Building type changed OTR to ANY, For Vintage AV is changed to ANY and For Climate Zone All is changed to ANY (Since this measure is for Exterior Lighting)</w:t>
            </w:r>
          </w:p>
        </w:tc>
        <w:tc>
          <w:tcPr>
            <w:tcW w:w="1679" w:type="pct"/>
            <w:shd w:val="clear" w:color="auto" w:fill="BFBFBF" w:themeFill="background1" w:themeFillShade="BF"/>
          </w:tcPr>
          <w:p w:rsidR="00766BF6" w:rsidRPr="00766BF6" w:rsidRDefault="00766BF6" w:rsidP="00746DDC">
            <w:pPr>
              <w:rPr>
                <w:b/>
                <w:bCs/>
                <w:sz w:val="20"/>
                <w:szCs w:val="20"/>
              </w:rPr>
            </w:pPr>
            <w:r w:rsidRPr="00766BF6">
              <w:rPr>
                <w:bCs/>
                <w:sz w:val="20"/>
              </w:rPr>
              <w:t>Alina Zohrabian (PG&amp;E)</w:t>
            </w:r>
          </w:p>
        </w:tc>
      </w:tr>
      <w:tr w:rsidR="00164FB8" w:rsidRPr="00DE21B1" w:rsidTr="00766BF6">
        <w:trPr>
          <w:trHeight w:val="464"/>
        </w:trPr>
        <w:tc>
          <w:tcPr>
            <w:tcW w:w="858" w:type="pct"/>
            <w:shd w:val="pct5" w:color="000000" w:fill="FFFFFF"/>
          </w:tcPr>
          <w:p w:rsidR="00164FB8" w:rsidRPr="00766BF6" w:rsidRDefault="00164FB8" w:rsidP="008948E0">
            <w:pPr>
              <w:rPr>
                <w:sz w:val="20"/>
              </w:rPr>
            </w:pPr>
            <w:r>
              <w:rPr>
                <w:sz w:val="20"/>
              </w:rPr>
              <w:t>Revision 4</w:t>
            </w:r>
          </w:p>
        </w:tc>
        <w:tc>
          <w:tcPr>
            <w:tcW w:w="783" w:type="pct"/>
            <w:shd w:val="pct5" w:color="000000" w:fill="FFFFFF"/>
          </w:tcPr>
          <w:p w:rsidR="00164FB8" w:rsidRPr="002E0FCA" w:rsidRDefault="002B2DF1" w:rsidP="002B2DF1">
            <w:pPr>
              <w:autoSpaceDE w:val="0"/>
              <w:autoSpaceDN w:val="0"/>
              <w:adjustRightInd w:val="0"/>
              <w:rPr>
                <w:sz w:val="20"/>
                <w:szCs w:val="20"/>
              </w:rPr>
            </w:pPr>
            <w:r w:rsidRPr="002E0FCA">
              <w:rPr>
                <w:sz w:val="20"/>
                <w:szCs w:val="20"/>
              </w:rPr>
              <w:t>5</w:t>
            </w:r>
            <w:r w:rsidR="00164FB8" w:rsidRPr="002E0FCA">
              <w:rPr>
                <w:sz w:val="20"/>
                <w:szCs w:val="20"/>
              </w:rPr>
              <w:t>/1</w:t>
            </w:r>
            <w:r w:rsidRPr="002E0FCA">
              <w:rPr>
                <w:sz w:val="20"/>
                <w:szCs w:val="20"/>
              </w:rPr>
              <w:t>3</w:t>
            </w:r>
            <w:r w:rsidR="00164FB8" w:rsidRPr="002E0FCA">
              <w:rPr>
                <w:sz w:val="20"/>
                <w:szCs w:val="20"/>
              </w:rPr>
              <w:t>/14</w:t>
            </w:r>
          </w:p>
        </w:tc>
        <w:tc>
          <w:tcPr>
            <w:tcW w:w="1680" w:type="pct"/>
            <w:shd w:val="pct5" w:color="000000" w:fill="FFFFFF"/>
          </w:tcPr>
          <w:p w:rsidR="00164FB8" w:rsidRPr="00EC0468" w:rsidRDefault="002335AA" w:rsidP="0025741F">
            <w:pPr>
              <w:rPr>
                <w:sz w:val="20"/>
                <w:szCs w:val="20"/>
              </w:rPr>
            </w:pPr>
            <w:r w:rsidRPr="00EC0468">
              <w:rPr>
                <w:sz w:val="20"/>
                <w:szCs w:val="20"/>
              </w:rPr>
              <w:t xml:space="preserve">Updated base case wattages per November 2013 ED Disposition. </w:t>
            </w:r>
            <w:r w:rsidR="00164FB8" w:rsidRPr="00EC0468">
              <w:rPr>
                <w:sz w:val="20"/>
                <w:szCs w:val="20"/>
              </w:rPr>
              <w:t>Added DI values from (PGE3PLTG190) and applied the 2014 IE and Hours from DEER (posted 2/20/14). For updated savings values, see file PGECOLTG158 R4.xlsx</w:t>
            </w:r>
            <w:r w:rsidR="0025741F" w:rsidRPr="00EC0468">
              <w:rPr>
                <w:sz w:val="20"/>
                <w:szCs w:val="20"/>
              </w:rPr>
              <w:t xml:space="preserve">. </w:t>
            </w:r>
          </w:p>
          <w:p w:rsidR="00164FB8" w:rsidRPr="00EC0468" w:rsidRDefault="0025741F" w:rsidP="008948E0">
            <w:r w:rsidRPr="00EC0468">
              <w:rPr>
                <w:sz w:val="20"/>
                <w:szCs w:val="20"/>
              </w:rPr>
              <w:t>Updated labor costs with 2014 RS Means Building Construction Cost Data.</w:t>
            </w:r>
          </w:p>
        </w:tc>
        <w:tc>
          <w:tcPr>
            <w:tcW w:w="1679" w:type="pct"/>
            <w:shd w:val="pct5" w:color="000000" w:fill="FFFFFF"/>
          </w:tcPr>
          <w:p w:rsidR="00164FB8" w:rsidRDefault="00164FB8" w:rsidP="00746DDC">
            <w:pPr>
              <w:rPr>
                <w:bCs/>
                <w:sz w:val="20"/>
                <w:szCs w:val="20"/>
              </w:rPr>
            </w:pPr>
            <w:r>
              <w:rPr>
                <w:bCs/>
                <w:sz w:val="20"/>
                <w:szCs w:val="20"/>
              </w:rPr>
              <w:t>Jia Huang (PG&amp;E)</w:t>
            </w:r>
          </w:p>
          <w:p w:rsidR="002B2DF1" w:rsidRPr="00CA7610" w:rsidRDefault="002B2DF1" w:rsidP="00746DDC">
            <w:pPr>
              <w:rPr>
                <w:bCs/>
                <w:sz w:val="20"/>
                <w:szCs w:val="20"/>
              </w:rPr>
            </w:pPr>
            <w:r>
              <w:rPr>
                <w:bCs/>
                <w:sz w:val="20"/>
                <w:szCs w:val="20"/>
              </w:rPr>
              <w:t>Tai Voong (PG&amp;E)</w:t>
            </w:r>
          </w:p>
        </w:tc>
      </w:tr>
      <w:tr w:rsidR="00EC0468" w:rsidRPr="00DE21B1" w:rsidTr="00EC0468">
        <w:trPr>
          <w:trHeight w:val="464"/>
        </w:trPr>
        <w:tc>
          <w:tcPr>
            <w:tcW w:w="858" w:type="pct"/>
            <w:shd w:val="clear" w:color="auto" w:fill="A6A6A6" w:themeFill="background1" w:themeFillShade="A6"/>
          </w:tcPr>
          <w:p w:rsidR="00EC0468" w:rsidRDefault="00EC0468" w:rsidP="008948E0">
            <w:pPr>
              <w:rPr>
                <w:sz w:val="20"/>
              </w:rPr>
            </w:pPr>
            <w:r>
              <w:rPr>
                <w:sz w:val="20"/>
              </w:rPr>
              <w:t>Revision 5</w:t>
            </w:r>
          </w:p>
        </w:tc>
        <w:tc>
          <w:tcPr>
            <w:tcW w:w="783" w:type="pct"/>
            <w:shd w:val="clear" w:color="auto" w:fill="A6A6A6" w:themeFill="background1" w:themeFillShade="A6"/>
          </w:tcPr>
          <w:p w:rsidR="00EC0468" w:rsidRPr="002E0FCA" w:rsidRDefault="00EC0468" w:rsidP="002B2DF1">
            <w:pPr>
              <w:autoSpaceDE w:val="0"/>
              <w:autoSpaceDN w:val="0"/>
              <w:adjustRightInd w:val="0"/>
              <w:rPr>
                <w:sz w:val="20"/>
                <w:szCs w:val="20"/>
              </w:rPr>
            </w:pPr>
            <w:r>
              <w:rPr>
                <w:sz w:val="20"/>
                <w:szCs w:val="20"/>
              </w:rPr>
              <w:t>1/1/2016</w:t>
            </w:r>
          </w:p>
        </w:tc>
        <w:tc>
          <w:tcPr>
            <w:tcW w:w="1680" w:type="pct"/>
            <w:shd w:val="clear" w:color="auto" w:fill="A6A6A6" w:themeFill="background1" w:themeFillShade="A6"/>
          </w:tcPr>
          <w:p w:rsidR="00EC0468" w:rsidRDefault="006B4DC2" w:rsidP="00B05720">
            <w:pPr>
              <w:rPr>
                <w:color w:val="00B050"/>
                <w:sz w:val="20"/>
                <w:szCs w:val="20"/>
              </w:rPr>
            </w:pPr>
            <w:r w:rsidRPr="006B4DC2">
              <w:rPr>
                <w:sz w:val="20"/>
                <w:szCs w:val="20"/>
              </w:rPr>
              <w:t>Updated</w:t>
            </w:r>
            <w:r w:rsidR="008B11AB">
              <w:rPr>
                <w:sz w:val="20"/>
                <w:szCs w:val="20"/>
              </w:rPr>
              <w:t xml:space="preserve"> Title 24 and Title 20 information.  Updated </w:t>
            </w:r>
            <w:r w:rsidRPr="006B4DC2">
              <w:rPr>
                <w:sz w:val="20"/>
                <w:szCs w:val="20"/>
              </w:rPr>
              <w:t>base case cost</w:t>
            </w:r>
            <w:r w:rsidR="008B11AB">
              <w:rPr>
                <w:sz w:val="20"/>
                <w:szCs w:val="20"/>
              </w:rPr>
              <w:t>s</w:t>
            </w:r>
            <w:r w:rsidRPr="006B4DC2">
              <w:rPr>
                <w:sz w:val="20"/>
                <w:szCs w:val="20"/>
              </w:rPr>
              <w:t xml:space="preserve"> and measure cost</w:t>
            </w:r>
            <w:r w:rsidR="008B11AB">
              <w:rPr>
                <w:sz w:val="20"/>
                <w:szCs w:val="20"/>
              </w:rPr>
              <w:t xml:space="preserve">s from </w:t>
            </w:r>
            <w:r w:rsidR="00B05720">
              <w:rPr>
                <w:sz w:val="20"/>
                <w:szCs w:val="20"/>
              </w:rPr>
              <w:t>SCE Exterior Induction Work Paper</w:t>
            </w:r>
            <w:r w:rsidR="008B11AB">
              <w:rPr>
                <w:sz w:val="20"/>
                <w:szCs w:val="20"/>
              </w:rPr>
              <w:t>.</w:t>
            </w:r>
          </w:p>
        </w:tc>
        <w:tc>
          <w:tcPr>
            <w:tcW w:w="1679" w:type="pct"/>
            <w:shd w:val="clear" w:color="auto" w:fill="A6A6A6" w:themeFill="background1" w:themeFillShade="A6"/>
          </w:tcPr>
          <w:p w:rsidR="00EC0468" w:rsidRDefault="00EC0468" w:rsidP="008B11AB">
            <w:pPr>
              <w:rPr>
                <w:bCs/>
                <w:sz w:val="20"/>
                <w:szCs w:val="20"/>
              </w:rPr>
            </w:pPr>
            <w:r>
              <w:rPr>
                <w:bCs/>
                <w:sz w:val="20"/>
                <w:szCs w:val="20"/>
              </w:rPr>
              <w:t>Linda Wan (PG&amp;E)</w:t>
            </w:r>
            <w:r w:rsidR="008B11AB">
              <w:rPr>
                <w:bCs/>
                <w:sz w:val="20"/>
                <w:szCs w:val="20"/>
              </w:rPr>
              <w:t>/</w:t>
            </w:r>
            <w:r w:rsidR="008B11AB" w:rsidRPr="00766BF6">
              <w:rPr>
                <w:bCs/>
                <w:sz w:val="20"/>
              </w:rPr>
              <w:t>Alina Zohrabian (PG&amp;E)</w:t>
            </w:r>
            <w:r w:rsidR="00B05720">
              <w:rPr>
                <w:bCs/>
                <w:sz w:val="20"/>
              </w:rPr>
              <w:t>/Tai Voong (PG&amp;E)</w:t>
            </w:r>
          </w:p>
        </w:tc>
      </w:tr>
    </w:tbl>
    <w:p w:rsidR="00E71EF1" w:rsidRDefault="00E71EF1" w:rsidP="00F55847">
      <w:pPr>
        <w:pStyle w:val="Heading1"/>
      </w:pPr>
      <w:bookmarkStart w:id="11" w:name="_Toc186621650"/>
      <w:bookmarkStart w:id="12" w:name="_Toc304800197"/>
      <w:bookmarkStart w:id="13" w:name="_Toc324318334"/>
      <w:r w:rsidRPr="006832A4">
        <w:br w:type="page"/>
      </w:r>
      <w:bookmarkStart w:id="14" w:name="_Toc304800198"/>
      <w:bookmarkStart w:id="15" w:name="_Toc324340478"/>
      <w:bookmarkStart w:id="16" w:name="_Toc438561227"/>
      <w:r w:rsidR="001248A3">
        <w:lastRenderedPageBreak/>
        <w:t>Table</w:t>
      </w:r>
      <w:r w:rsidR="006559C8">
        <w:t xml:space="preserve"> of Contents</w:t>
      </w:r>
      <w:bookmarkEnd w:id="11"/>
      <w:bookmarkEnd w:id="12"/>
      <w:bookmarkEnd w:id="13"/>
      <w:bookmarkEnd w:id="14"/>
      <w:bookmarkEnd w:id="15"/>
      <w:bookmarkEnd w:id="16"/>
    </w:p>
    <w:p w:rsidR="003E7776"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38561225" w:history="1">
        <w:r w:rsidR="003E7776" w:rsidRPr="00865712">
          <w:rPr>
            <w:rStyle w:val="Hyperlink"/>
            <w:noProof/>
          </w:rPr>
          <w:t>At-a-Glance Summary</w:t>
        </w:r>
        <w:r w:rsidR="003E7776">
          <w:rPr>
            <w:noProof/>
            <w:webHidden/>
          </w:rPr>
          <w:tab/>
        </w:r>
        <w:r w:rsidR="003E7776">
          <w:rPr>
            <w:noProof/>
            <w:webHidden/>
          </w:rPr>
          <w:fldChar w:fldCharType="begin"/>
        </w:r>
        <w:r w:rsidR="003E7776">
          <w:rPr>
            <w:noProof/>
            <w:webHidden/>
          </w:rPr>
          <w:instrText xml:space="preserve"> PAGEREF _Toc438561225 \h </w:instrText>
        </w:r>
        <w:r w:rsidR="003E7776">
          <w:rPr>
            <w:noProof/>
            <w:webHidden/>
          </w:rPr>
        </w:r>
        <w:r w:rsidR="003E7776">
          <w:rPr>
            <w:noProof/>
            <w:webHidden/>
          </w:rPr>
          <w:fldChar w:fldCharType="separate"/>
        </w:r>
        <w:r w:rsidR="003E7776">
          <w:rPr>
            <w:noProof/>
            <w:webHidden/>
          </w:rPr>
          <w:t>ii</w:t>
        </w:r>
        <w:r w:rsidR="003E7776">
          <w:rPr>
            <w:noProof/>
            <w:webHidden/>
          </w:rPr>
          <w:fldChar w:fldCharType="end"/>
        </w:r>
      </w:hyperlink>
    </w:p>
    <w:p w:rsidR="003E7776" w:rsidRDefault="003E7776">
      <w:pPr>
        <w:pStyle w:val="TOC1"/>
        <w:tabs>
          <w:tab w:val="right" w:leader="dot" w:pos="9350"/>
        </w:tabs>
        <w:rPr>
          <w:rFonts w:asciiTheme="minorHAnsi" w:eastAsiaTheme="minorEastAsia" w:hAnsiTheme="minorHAnsi" w:cstheme="minorBidi"/>
          <w:noProof/>
          <w:szCs w:val="22"/>
        </w:rPr>
      </w:pPr>
      <w:hyperlink w:anchor="_Toc438561226" w:history="1">
        <w:r w:rsidRPr="00865712">
          <w:rPr>
            <w:rStyle w:val="Hyperlink"/>
            <w:noProof/>
          </w:rPr>
          <w:t>Document Revision History</w:t>
        </w:r>
        <w:r>
          <w:rPr>
            <w:noProof/>
            <w:webHidden/>
          </w:rPr>
          <w:tab/>
        </w:r>
        <w:r>
          <w:rPr>
            <w:noProof/>
            <w:webHidden/>
          </w:rPr>
          <w:fldChar w:fldCharType="begin"/>
        </w:r>
        <w:r>
          <w:rPr>
            <w:noProof/>
            <w:webHidden/>
          </w:rPr>
          <w:instrText xml:space="preserve"> PAGEREF _Toc438561226 \h </w:instrText>
        </w:r>
        <w:r>
          <w:rPr>
            <w:noProof/>
            <w:webHidden/>
          </w:rPr>
        </w:r>
        <w:r>
          <w:rPr>
            <w:noProof/>
            <w:webHidden/>
          </w:rPr>
          <w:fldChar w:fldCharType="separate"/>
        </w:r>
        <w:r>
          <w:rPr>
            <w:noProof/>
            <w:webHidden/>
          </w:rPr>
          <w:t>iii</w:t>
        </w:r>
        <w:r>
          <w:rPr>
            <w:noProof/>
            <w:webHidden/>
          </w:rPr>
          <w:fldChar w:fldCharType="end"/>
        </w:r>
      </w:hyperlink>
    </w:p>
    <w:p w:rsidR="003E7776" w:rsidRDefault="003E7776">
      <w:pPr>
        <w:pStyle w:val="TOC1"/>
        <w:tabs>
          <w:tab w:val="right" w:leader="dot" w:pos="9350"/>
        </w:tabs>
        <w:rPr>
          <w:rFonts w:asciiTheme="minorHAnsi" w:eastAsiaTheme="minorEastAsia" w:hAnsiTheme="minorHAnsi" w:cstheme="minorBidi"/>
          <w:noProof/>
          <w:szCs w:val="22"/>
        </w:rPr>
      </w:pPr>
      <w:hyperlink w:anchor="_Toc438561227" w:history="1">
        <w:r w:rsidRPr="00865712">
          <w:rPr>
            <w:rStyle w:val="Hyperlink"/>
            <w:noProof/>
          </w:rPr>
          <w:t>Table of Contents</w:t>
        </w:r>
        <w:r>
          <w:rPr>
            <w:noProof/>
            <w:webHidden/>
          </w:rPr>
          <w:tab/>
        </w:r>
        <w:r>
          <w:rPr>
            <w:noProof/>
            <w:webHidden/>
          </w:rPr>
          <w:fldChar w:fldCharType="begin"/>
        </w:r>
        <w:r>
          <w:rPr>
            <w:noProof/>
            <w:webHidden/>
          </w:rPr>
          <w:instrText xml:space="preserve"> PAGEREF _Toc438561227 \h </w:instrText>
        </w:r>
        <w:r>
          <w:rPr>
            <w:noProof/>
            <w:webHidden/>
          </w:rPr>
        </w:r>
        <w:r>
          <w:rPr>
            <w:noProof/>
            <w:webHidden/>
          </w:rPr>
          <w:fldChar w:fldCharType="separate"/>
        </w:r>
        <w:r>
          <w:rPr>
            <w:noProof/>
            <w:webHidden/>
          </w:rPr>
          <w:t>iv</w:t>
        </w:r>
        <w:r>
          <w:rPr>
            <w:noProof/>
            <w:webHidden/>
          </w:rPr>
          <w:fldChar w:fldCharType="end"/>
        </w:r>
      </w:hyperlink>
    </w:p>
    <w:p w:rsidR="003E7776" w:rsidRDefault="003E7776">
      <w:pPr>
        <w:pStyle w:val="TOC1"/>
        <w:tabs>
          <w:tab w:val="right" w:leader="dot" w:pos="9350"/>
        </w:tabs>
        <w:rPr>
          <w:rFonts w:asciiTheme="minorHAnsi" w:eastAsiaTheme="minorEastAsia" w:hAnsiTheme="minorHAnsi" w:cstheme="minorBidi"/>
          <w:noProof/>
          <w:szCs w:val="22"/>
        </w:rPr>
      </w:pPr>
      <w:hyperlink w:anchor="_Toc438561228" w:history="1">
        <w:r w:rsidRPr="00865712">
          <w:rPr>
            <w:rStyle w:val="Hyperlink"/>
            <w:noProof/>
          </w:rPr>
          <w:t>List of Tables</w:t>
        </w:r>
        <w:r>
          <w:rPr>
            <w:noProof/>
            <w:webHidden/>
          </w:rPr>
          <w:tab/>
        </w:r>
        <w:r>
          <w:rPr>
            <w:noProof/>
            <w:webHidden/>
          </w:rPr>
          <w:fldChar w:fldCharType="begin"/>
        </w:r>
        <w:r>
          <w:rPr>
            <w:noProof/>
            <w:webHidden/>
          </w:rPr>
          <w:instrText xml:space="preserve"> PAGEREF _Toc438561228 \h </w:instrText>
        </w:r>
        <w:r>
          <w:rPr>
            <w:noProof/>
            <w:webHidden/>
          </w:rPr>
        </w:r>
        <w:r>
          <w:rPr>
            <w:noProof/>
            <w:webHidden/>
          </w:rPr>
          <w:fldChar w:fldCharType="separate"/>
        </w:r>
        <w:r>
          <w:rPr>
            <w:noProof/>
            <w:webHidden/>
          </w:rPr>
          <w:t>iv</w:t>
        </w:r>
        <w:r>
          <w:rPr>
            <w:noProof/>
            <w:webHidden/>
          </w:rPr>
          <w:fldChar w:fldCharType="end"/>
        </w:r>
      </w:hyperlink>
    </w:p>
    <w:p w:rsidR="003E7776" w:rsidRDefault="003E7776">
      <w:pPr>
        <w:pStyle w:val="TOC1"/>
        <w:tabs>
          <w:tab w:val="right" w:leader="dot" w:pos="9350"/>
        </w:tabs>
        <w:rPr>
          <w:rFonts w:asciiTheme="minorHAnsi" w:eastAsiaTheme="minorEastAsia" w:hAnsiTheme="minorHAnsi" w:cstheme="minorBidi"/>
          <w:noProof/>
          <w:szCs w:val="22"/>
        </w:rPr>
      </w:pPr>
      <w:hyperlink w:anchor="_Toc438561229" w:history="1">
        <w:r w:rsidRPr="00865712">
          <w:rPr>
            <w:rStyle w:val="Hyperlink"/>
            <w:noProof/>
          </w:rPr>
          <w:t>Section 1. General Measure &amp; Baseline Data</w:t>
        </w:r>
        <w:r>
          <w:rPr>
            <w:noProof/>
            <w:webHidden/>
          </w:rPr>
          <w:tab/>
        </w:r>
        <w:r>
          <w:rPr>
            <w:noProof/>
            <w:webHidden/>
          </w:rPr>
          <w:fldChar w:fldCharType="begin"/>
        </w:r>
        <w:r>
          <w:rPr>
            <w:noProof/>
            <w:webHidden/>
          </w:rPr>
          <w:instrText xml:space="preserve"> PAGEREF _Toc438561229 \h </w:instrText>
        </w:r>
        <w:r>
          <w:rPr>
            <w:noProof/>
            <w:webHidden/>
          </w:rPr>
        </w:r>
        <w:r>
          <w:rPr>
            <w:noProof/>
            <w:webHidden/>
          </w:rPr>
          <w:fldChar w:fldCharType="separate"/>
        </w:r>
        <w:r>
          <w:rPr>
            <w:noProof/>
            <w:webHidden/>
          </w:rPr>
          <w:t>1</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30" w:history="1">
        <w:r w:rsidRPr="00865712">
          <w:rPr>
            <w:rStyle w:val="Hyperlink"/>
            <w:noProof/>
          </w:rPr>
          <w:t>1.1 Product Measure Description &amp; Background</w:t>
        </w:r>
        <w:r>
          <w:rPr>
            <w:noProof/>
            <w:webHidden/>
          </w:rPr>
          <w:tab/>
        </w:r>
        <w:r>
          <w:rPr>
            <w:noProof/>
            <w:webHidden/>
          </w:rPr>
          <w:fldChar w:fldCharType="begin"/>
        </w:r>
        <w:r>
          <w:rPr>
            <w:noProof/>
            <w:webHidden/>
          </w:rPr>
          <w:instrText xml:space="preserve"> PAGEREF _Toc438561230 \h </w:instrText>
        </w:r>
        <w:r>
          <w:rPr>
            <w:noProof/>
            <w:webHidden/>
          </w:rPr>
        </w:r>
        <w:r>
          <w:rPr>
            <w:noProof/>
            <w:webHidden/>
          </w:rPr>
          <w:fldChar w:fldCharType="separate"/>
        </w:r>
        <w:r>
          <w:rPr>
            <w:noProof/>
            <w:webHidden/>
          </w:rPr>
          <w:t>1</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31" w:history="1">
        <w:r w:rsidRPr="00865712">
          <w:rPr>
            <w:rStyle w:val="Hyperlink"/>
            <w:noProof/>
          </w:rPr>
          <w:t>1.3 Measure Application Type</w:t>
        </w:r>
        <w:r>
          <w:rPr>
            <w:noProof/>
            <w:webHidden/>
          </w:rPr>
          <w:tab/>
        </w:r>
        <w:r>
          <w:rPr>
            <w:noProof/>
            <w:webHidden/>
          </w:rPr>
          <w:fldChar w:fldCharType="begin"/>
        </w:r>
        <w:r>
          <w:rPr>
            <w:noProof/>
            <w:webHidden/>
          </w:rPr>
          <w:instrText xml:space="preserve"> PAGEREF _Toc438561231 \h </w:instrText>
        </w:r>
        <w:r>
          <w:rPr>
            <w:noProof/>
            <w:webHidden/>
          </w:rPr>
        </w:r>
        <w:r>
          <w:rPr>
            <w:noProof/>
            <w:webHidden/>
          </w:rPr>
          <w:fldChar w:fldCharType="separate"/>
        </w:r>
        <w:r>
          <w:rPr>
            <w:noProof/>
            <w:webHidden/>
          </w:rPr>
          <w:t>3</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32" w:history="1">
        <w:r w:rsidRPr="00865712">
          <w:rPr>
            <w:rStyle w:val="Hyperlink"/>
            <w:noProof/>
          </w:rPr>
          <w:t>1.4 Product Base Case and Measure Case Data</w:t>
        </w:r>
        <w:r>
          <w:rPr>
            <w:noProof/>
            <w:webHidden/>
          </w:rPr>
          <w:tab/>
        </w:r>
        <w:r>
          <w:rPr>
            <w:noProof/>
            <w:webHidden/>
          </w:rPr>
          <w:fldChar w:fldCharType="begin"/>
        </w:r>
        <w:r>
          <w:rPr>
            <w:noProof/>
            <w:webHidden/>
          </w:rPr>
          <w:instrText xml:space="preserve"> PAGEREF _Toc438561232 \h </w:instrText>
        </w:r>
        <w:r>
          <w:rPr>
            <w:noProof/>
            <w:webHidden/>
          </w:rPr>
        </w:r>
        <w:r>
          <w:rPr>
            <w:noProof/>
            <w:webHidden/>
          </w:rPr>
          <w:fldChar w:fldCharType="separate"/>
        </w:r>
        <w:r>
          <w:rPr>
            <w:noProof/>
            <w:webHidden/>
          </w:rPr>
          <w:t>4</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33" w:history="1">
        <w:r w:rsidRPr="00865712">
          <w:rPr>
            <w:rStyle w:val="Hyperlink"/>
            <w:noProof/>
          </w:rPr>
          <w:t>1.4.1 DEER Base Case and Measure Case Information</w:t>
        </w:r>
        <w:r>
          <w:rPr>
            <w:noProof/>
            <w:webHidden/>
          </w:rPr>
          <w:tab/>
        </w:r>
        <w:r>
          <w:rPr>
            <w:noProof/>
            <w:webHidden/>
          </w:rPr>
          <w:fldChar w:fldCharType="begin"/>
        </w:r>
        <w:r>
          <w:rPr>
            <w:noProof/>
            <w:webHidden/>
          </w:rPr>
          <w:instrText xml:space="preserve"> PAGEREF _Toc438561233 \h </w:instrText>
        </w:r>
        <w:r>
          <w:rPr>
            <w:noProof/>
            <w:webHidden/>
          </w:rPr>
        </w:r>
        <w:r>
          <w:rPr>
            <w:noProof/>
            <w:webHidden/>
          </w:rPr>
          <w:fldChar w:fldCharType="separate"/>
        </w:r>
        <w:r>
          <w:rPr>
            <w:noProof/>
            <w:webHidden/>
          </w:rPr>
          <w:t>4</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34" w:history="1">
        <w:r w:rsidRPr="00865712">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_Toc438561234 \h </w:instrText>
        </w:r>
        <w:r>
          <w:rPr>
            <w:noProof/>
            <w:webHidden/>
          </w:rPr>
        </w:r>
        <w:r>
          <w:rPr>
            <w:noProof/>
            <w:webHidden/>
          </w:rPr>
          <w:fldChar w:fldCharType="separate"/>
        </w:r>
        <w:r>
          <w:rPr>
            <w:noProof/>
            <w:webHidden/>
          </w:rPr>
          <w:t>5</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35" w:history="1">
        <w:r w:rsidRPr="00865712">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_Toc438561235 \h </w:instrText>
        </w:r>
        <w:r>
          <w:rPr>
            <w:noProof/>
            <w:webHidden/>
          </w:rPr>
        </w:r>
        <w:r>
          <w:rPr>
            <w:noProof/>
            <w:webHidden/>
          </w:rPr>
          <w:fldChar w:fldCharType="separate"/>
        </w:r>
        <w:r>
          <w:rPr>
            <w:noProof/>
            <w:webHidden/>
          </w:rPr>
          <w:t>6</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36" w:history="1">
        <w:r w:rsidRPr="00865712">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_Toc438561236 \h </w:instrText>
        </w:r>
        <w:r>
          <w:rPr>
            <w:noProof/>
            <w:webHidden/>
          </w:rPr>
        </w:r>
        <w:r>
          <w:rPr>
            <w:noProof/>
            <w:webHidden/>
          </w:rPr>
          <w:fldChar w:fldCharType="separate"/>
        </w:r>
        <w:r>
          <w:rPr>
            <w:noProof/>
            <w:webHidden/>
          </w:rPr>
          <w:t>6</w:t>
        </w:r>
        <w:r>
          <w:rPr>
            <w:noProof/>
            <w:webHidden/>
          </w:rPr>
          <w:fldChar w:fldCharType="end"/>
        </w:r>
      </w:hyperlink>
    </w:p>
    <w:p w:rsidR="003E7776" w:rsidRDefault="003E7776">
      <w:pPr>
        <w:pStyle w:val="TOC1"/>
        <w:tabs>
          <w:tab w:val="right" w:leader="dot" w:pos="9350"/>
        </w:tabs>
        <w:rPr>
          <w:rFonts w:asciiTheme="minorHAnsi" w:eastAsiaTheme="minorEastAsia" w:hAnsiTheme="minorHAnsi" w:cstheme="minorBidi"/>
          <w:noProof/>
          <w:szCs w:val="22"/>
        </w:rPr>
      </w:pPr>
      <w:hyperlink w:anchor="_Toc438561237" w:history="1">
        <w:r w:rsidRPr="00865712">
          <w:rPr>
            <w:rStyle w:val="Hyperlink"/>
            <w:noProof/>
          </w:rPr>
          <w:t>Section 2. Calculation Methods</w:t>
        </w:r>
        <w:r>
          <w:rPr>
            <w:noProof/>
            <w:webHidden/>
          </w:rPr>
          <w:tab/>
        </w:r>
        <w:r>
          <w:rPr>
            <w:noProof/>
            <w:webHidden/>
          </w:rPr>
          <w:fldChar w:fldCharType="begin"/>
        </w:r>
        <w:r>
          <w:rPr>
            <w:noProof/>
            <w:webHidden/>
          </w:rPr>
          <w:instrText xml:space="preserve"> PAGEREF _Toc438561237 \h </w:instrText>
        </w:r>
        <w:r>
          <w:rPr>
            <w:noProof/>
            <w:webHidden/>
          </w:rPr>
        </w:r>
        <w:r>
          <w:rPr>
            <w:noProof/>
            <w:webHidden/>
          </w:rPr>
          <w:fldChar w:fldCharType="separate"/>
        </w:r>
        <w:r>
          <w:rPr>
            <w:noProof/>
            <w:webHidden/>
          </w:rPr>
          <w:t>7</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38" w:history="1">
        <w:r w:rsidRPr="00865712">
          <w:rPr>
            <w:rStyle w:val="Hyperlink"/>
            <w:noProof/>
          </w:rPr>
          <w:t>2.1 Electric Energy Savings Estimation Methodologies</w:t>
        </w:r>
        <w:r>
          <w:rPr>
            <w:noProof/>
            <w:webHidden/>
          </w:rPr>
          <w:tab/>
        </w:r>
        <w:r>
          <w:rPr>
            <w:noProof/>
            <w:webHidden/>
          </w:rPr>
          <w:fldChar w:fldCharType="begin"/>
        </w:r>
        <w:r>
          <w:rPr>
            <w:noProof/>
            <w:webHidden/>
          </w:rPr>
          <w:instrText xml:space="preserve"> PAGEREF _Toc438561238 \h </w:instrText>
        </w:r>
        <w:r>
          <w:rPr>
            <w:noProof/>
            <w:webHidden/>
          </w:rPr>
        </w:r>
        <w:r>
          <w:rPr>
            <w:noProof/>
            <w:webHidden/>
          </w:rPr>
          <w:fldChar w:fldCharType="separate"/>
        </w:r>
        <w:r>
          <w:rPr>
            <w:noProof/>
            <w:webHidden/>
          </w:rPr>
          <w:t>7</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39" w:history="1">
        <w:r w:rsidRPr="00865712">
          <w:rPr>
            <w:rStyle w:val="Hyperlink"/>
            <w:noProof/>
          </w:rPr>
          <w:t>2.2. Demand Reduction Estimation Methodologies</w:t>
        </w:r>
        <w:r>
          <w:rPr>
            <w:noProof/>
            <w:webHidden/>
          </w:rPr>
          <w:tab/>
        </w:r>
        <w:r>
          <w:rPr>
            <w:noProof/>
            <w:webHidden/>
          </w:rPr>
          <w:fldChar w:fldCharType="begin"/>
        </w:r>
        <w:r>
          <w:rPr>
            <w:noProof/>
            <w:webHidden/>
          </w:rPr>
          <w:instrText xml:space="preserve"> PAGEREF _Toc438561239 \h </w:instrText>
        </w:r>
        <w:r>
          <w:rPr>
            <w:noProof/>
            <w:webHidden/>
          </w:rPr>
        </w:r>
        <w:r>
          <w:rPr>
            <w:noProof/>
            <w:webHidden/>
          </w:rPr>
          <w:fldChar w:fldCharType="separate"/>
        </w:r>
        <w:r>
          <w:rPr>
            <w:noProof/>
            <w:webHidden/>
          </w:rPr>
          <w:t>7</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40" w:history="1">
        <w:r w:rsidRPr="00865712">
          <w:rPr>
            <w:rStyle w:val="Hyperlink"/>
            <w:noProof/>
          </w:rPr>
          <w:t>2.3. Gas Energy Savings Estimation Methodologies</w:t>
        </w:r>
        <w:r>
          <w:rPr>
            <w:noProof/>
            <w:webHidden/>
          </w:rPr>
          <w:tab/>
        </w:r>
        <w:r>
          <w:rPr>
            <w:noProof/>
            <w:webHidden/>
          </w:rPr>
          <w:fldChar w:fldCharType="begin"/>
        </w:r>
        <w:r>
          <w:rPr>
            <w:noProof/>
            <w:webHidden/>
          </w:rPr>
          <w:instrText xml:space="preserve"> PAGEREF _Toc438561240 \h </w:instrText>
        </w:r>
        <w:r>
          <w:rPr>
            <w:noProof/>
            <w:webHidden/>
          </w:rPr>
        </w:r>
        <w:r>
          <w:rPr>
            <w:noProof/>
            <w:webHidden/>
          </w:rPr>
          <w:fldChar w:fldCharType="separate"/>
        </w:r>
        <w:r>
          <w:rPr>
            <w:noProof/>
            <w:webHidden/>
          </w:rPr>
          <w:t>7</w:t>
        </w:r>
        <w:r>
          <w:rPr>
            <w:noProof/>
            <w:webHidden/>
          </w:rPr>
          <w:fldChar w:fldCharType="end"/>
        </w:r>
      </w:hyperlink>
    </w:p>
    <w:p w:rsidR="003E7776" w:rsidRDefault="003E7776">
      <w:pPr>
        <w:pStyle w:val="TOC1"/>
        <w:tabs>
          <w:tab w:val="right" w:leader="dot" w:pos="9350"/>
        </w:tabs>
        <w:rPr>
          <w:rFonts w:asciiTheme="minorHAnsi" w:eastAsiaTheme="minorEastAsia" w:hAnsiTheme="minorHAnsi" w:cstheme="minorBidi"/>
          <w:noProof/>
          <w:szCs w:val="22"/>
        </w:rPr>
      </w:pPr>
      <w:hyperlink w:anchor="_Toc438561241" w:history="1">
        <w:r w:rsidRPr="00865712">
          <w:rPr>
            <w:rStyle w:val="Hyperlink"/>
            <w:i/>
            <w:noProof/>
          </w:rPr>
          <w:t>Section 3. Load Shapes</w:t>
        </w:r>
        <w:r>
          <w:rPr>
            <w:noProof/>
            <w:webHidden/>
          </w:rPr>
          <w:tab/>
        </w:r>
        <w:r>
          <w:rPr>
            <w:noProof/>
            <w:webHidden/>
          </w:rPr>
          <w:fldChar w:fldCharType="begin"/>
        </w:r>
        <w:r>
          <w:rPr>
            <w:noProof/>
            <w:webHidden/>
          </w:rPr>
          <w:instrText xml:space="preserve"> PAGEREF _Toc438561241 \h </w:instrText>
        </w:r>
        <w:r>
          <w:rPr>
            <w:noProof/>
            <w:webHidden/>
          </w:rPr>
        </w:r>
        <w:r>
          <w:rPr>
            <w:noProof/>
            <w:webHidden/>
          </w:rPr>
          <w:fldChar w:fldCharType="separate"/>
        </w:r>
        <w:r>
          <w:rPr>
            <w:noProof/>
            <w:webHidden/>
          </w:rPr>
          <w:t>8</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42" w:history="1">
        <w:r w:rsidRPr="00865712">
          <w:rPr>
            <w:rStyle w:val="Hyperlink"/>
            <w:noProof/>
          </w:rPr>
          <w:t>3.1 Base Case Load Shapes</w:t>
        </w:r>
        <w:r>
          <w:rPr>
            <w:noProof/>
            <w:webHidden/>
          </w:rPr>
          <w:tab/>
        </w:r>
        <w:r>
          <w:rPr>
            <w:noProof/>
            <w:webHidden/>
          </w:rPr>
          <w:fldChar w:fldCharType="begin"/>
        </w:r>
        <w:r>
          <w:rPr>
            <w:noProof/>
            <w:webHidden/>
          </w:rPr>
          <w:instrText xml:space="preserve"> PAGEREF _Toc438561242 \h </w:instrText>
        </w:r>
        <w:r>
          <w:rPr>
            <w:noProof/>
            <w:webHidden/>
          </w:rPr>
        </w:r>
        <w:r>
          <w:rPr>
            <w:noProof/>
            <w:webHidden/>
          </w:rPr>
          <w:fldChar w:fldCharType="separate"/>
        </w:r>
        <w:r>
          <w:rPr>
            <w:noProof/>
            <w:webHidden/>
          </w:rPr>
          <w:t>8</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43" w:history="1">
        <w:r w:rsidRPr="00865712">
          <w:rPr>
            <w:rStyle w:val="Hyperlink"/>
            <w:noProof/>
          </w:rPr>
          <w:t>3.2 Measure Load Shapes</w:t>
        </w:r>
        <w:r>
          <w:rPr>
            <w:noProof/>
            <w:webHidden/>
          </w:rPr>
          <w:tab/>
        </w:r>
        <w:r>
          <w:rPr>
            <w:noProof/>
            <w:webHidden/>
          </w:rPr>
          <w:fldChar w:fldCharType="begin"/>
        </w:r>
        <w:r>
          <w:rPr>
            <w:noProof/>
            <w:webHidden/>
          </w:rPr>
          <w:instrText xml:space="preserve"> PAGEREF _Toc438561243 \h </w:instrText>
        </w:r>
        <w:r>
          <w:rPr>
            <w:noProof/>
            <w:webHidden/>
          </w:rPr>
        </w:r>
        <w:r>
          <w:rPr>
            <w:noProof/>
            <w:webHidden/>
          </w:rPr>
          <w:fldChar w:fldCharType="separate"/>
        </w:r>
        <w:r>
          <w:rPr>
            <w:noProof/>
            <w:webHidden/>
          </w:rPr>
          <w:t>8</w:t>
        </w:r>
        <w:r>
          <w:rPr>
            <w:noProof/>
            <w:webHidden/>
          </w:rPr>
          <w:fldChar w:fldCharType="end"/>
        </w:r>
      </w:hyperlink>
    </w:p>
    <w:p w:rsidR="003E7776" w:rsidRDefault="003E7776">
      <w:pPr>
        <w:pStyle w:val="TOC1"/>
        <w:tabs>
          <w:tab w:val="right" w:leader="dot" w:pos="9350"/>
        </w:tabs>
        <w:rPr>
          <w:rFonts w:asciiTheme="minorHAnsi" w:eastAsiaTheme="minorEastAsia" w:hAnsiTheme="minorHAnsi" w:cstheme="minorBidi"/>
          <w:noProof/>
          <w:szCs w:val="22"/>
        </w:rPr>
      </w:pPr>
      <w:hyperlink w:anchor="_Toc438561244" w:history="1">
        <w:r w:rsidRPr="00865712">
          <w:rPr>
            <w:rStyle w:val="Hyperlink"/>
            <w:noProof/>
          </w:rPr>
          <w:t>Section 4. Base Case &amp; Measure Costs</w:t>
        </w:r>
        <w:r>
          <w:rPr>
            <w:noProof/>
            <w:webHidden/>
          </w:rPr>
          <w:tab/>
        </w:r>
        <w:r>
          <w:rPr>
            <w:noProof/>
            <w:webHidden/>
          </w:rPr>
          <w:fldChar w:fldCharType="begin"/>
        </w:r>
        <w:r>
          <w:rPr>
            <w:noProof/>
            <w:webHidden/>
          </w:rPr>
          <w:instrText xml:space="preserve"> PAGEREF _Toc438561244 \h </w:instrText>
        </w:r>
        <w:r>
          <w:rPr>
            <w:noProof/>
            <w:webHidden/>
          </w:rPr>
        </w:r>
        <w:r>
          <w:rPr>
            <w:noProof/>
            <w:webHidden/>
          </w:rPr>
          <w:fldChar w:fldCharType="separate"/>
        </w:r>
        <w:r>
          <w:rPr>
            <w:noProof/>
            <w:webHidden/>
          </w:rPr>
          <w:t>9</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45" w:history="1">
        <w:r w:rsidRPr="00865712">
          <w:rPr>
            <w:rStyle w:val="Hyperlink"/>
            <w:noProof/>
          </w:rPr>
          <w:t>4.1 Base Case(s) Costs</w:t>
        </w:r>
        <w:r>
          <w:rPr>
            <w:noProof/>
            <w:webHidden/>
          </w:rPr>
          <w:tab/>
        </w:r>
        <w:r>
          <w:rPr>
            <w:noProof/>
            <w:webHidden/>
          </w:rPr>
          <w:fldChar w:fldCharType="begin"/>
        </w:r>
        <w:r>
          <w:rPr>
            <w:noProof/>
            <w:webHidden/>
          </w:rPr>
          <w:instrText xml:space="preserve"> PAGEREF _Toc438561245 \h </w:instrText>
        </w:r>
        <w:r>
          <w:rPr>
            <w:noProof/>
            <w:webHidden/>
          </w:rPr>
        </w:r>
        <w:r>
          <w:rPr>
            <w:noProof/>
            <w:webHidden/>
          </w:rPr>
          <w:fldChar w:fldCharType="separate"/>
        </w:r>
        <w:r>
          <w:rPr>
            <w:noProof/>
            <w:webHidden/>
          </w:rPr>
          <w:t>9</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46" w:history="1">
        <w:r w:rsidRPr="00865712">
          <w:rPr>
            <w:rStyle w:val="Hyperlink"/>
            <w:noProof/>
          </w:rPr>
          <w:t>4.2 Measure Case Costs</w:t>
        </w:r>
        <w:r>
          <w:rPr>
            <w:noProof/>
            <w:webHidden/>
          </w:rPr>
          <w:tab/>
        </w:r>
        <w:r>
          <w:rPr>
            <w:noProof/>
            <w:webHidden/>
          </w:rPr>
          <w:fldChar w:fldCharType="begin"/>
        </w:r>
        <w:r>
          <w:rPr>
            <w:noProof/>
            <w:webHidden/>
          </w:rPr>
          <w:instrText xml:space="preserve"> PAGEREF _Toc438561246 \h </w:instrText>
        </w:r>
        <w:r>
          <w:rPr>
            <w:noProof/>
            <w:webHidden/>
          </w:rPr>
        </w:r>
        <w:r>
          <w:rPr>
            <w:noProof/>
            <w:webHidden/>
          </w:rPr>
          <w:fldChar w:fldCharType="separate"/>
        </w:r>
        <w:r>
          <w:rPr>
            <w:noProof/>
            <w:webHidden/>
          </w:rPr>
          <w:t>9</w:t>
        </w:r>
        <w:r>
          <w:rPr>
            <w:noProof/>
            <w:webHidden/>
          </w:rPr>
          <w:fldChar w:fldCharType="end"/>
        </w:r>
      </w:hyperlink>
    </w:p>
    <w:p w:rsidR="003E7776" w:rsidRDefault="003E7776">
      <w:pPr>
        <w:pStyle w:val="TOC2"/>
        <w:tabs>
          <w:tab w:val="right" w:leader="dot" w:pos="9350"/>
        </w:tabs>
        <w:rPr>
          <w:rFonts w:asciiTheme="minorHAnsi" w:eastAsiaTheme="minorEastAsia" w:hAnsiTheme="minorHAnsi" w:cstheme="minorBidi"/>
          <w:noProof/>
          <w:szCs w:val="22"/>
        </w:rPr>
      </w:pPr>
      <w:hyperlink w:anchor="_Toc438561247" w:history="1">
        <w:r w:rsidRPr="00865712">
          <w:rPr>
            <w:rStyle w:val="Hyperlink"/>
            <w:noProof/>
          </w:rPr>
          <w:t>4.3 Incremental &amp; Full Measure Costs</w:t>
        </w:r>
        <w:r>
          <w:rPr>
            <w:noProof/>
            <w:webHidden/>
          </w:rPr>
          <w:tab/>
        </w:r>
        <w:r>
          <w:rPr>
            <w:noProof/>
            <w:webHidden/>
          </w:rPr>
          <w:fldChar w:fldCharType="begin"/>
        </w:r>
        <w:r>
          <w:rPr>
            <w:noProof/>
            <w:webHidden/>
          </w:rPr>
          <w:instrText xml:space="preserve"> PAGEREF _Toc438561247 \h </w:instrText>
        </w:r>
        <w:r>
          <w:rPr>
            <w:noProof/>
            <w:webHidden/>
          </w:rPr>
        </w:r>
        <w:r>
          <w:rPr>
            <w:noProof/>
            <w:webHidden/>
          </w:rPr>
          <w:fldChar w:fldCharType="separate"/>
        </w:r>
        <w:r>
          <w:rPr>
            <w:noProof/>
            <w:webHidden/>
          </w:rPr>
          <w:t>9</w:t>
        </w:r>
        <w:r>
          <w:rPr>
            <w:noProof/>
            <w:webHidden/>
          </w:rPr>
          <w:fldChar w:fldCharType="end"/>
        </w:r>
      </w:hyperlink>
    </w:p>
    <w:p w:rsidR="003E7776" w:rsidRDefault="003E7776">
      <w:pPr>
        <w:pStyle w:val="TOC1"/>
        <w:tabs>
          <w:tab w:val="right" w:leader="dot" w:pos="9350"/>
        </w:tabs>
        <w:rPr>
          <w:rFonts w:asciiTheme="minorHAnsi" w:eastAsiaTheme="minorEastAsia" w:hAnsiTheme="minorHAnsi" w:cstheme="minorBidi"/>
          <w:noProof/>
          <w:szCs w:val="22"/>
        </w:rPr>
      </w:pPr>
      <w:hyperlink w:anchor="_Toc438561248" w:history="1">
        <w:r w:rsidRPr="00865712">
          <w:rPr>
            <w:rStyle w:val="Hyperlink"/>
            <w:noProof/>
          </w:rPr>
          <w:t>References</w:t>
        </w:r>
        <w:r>
          <w:rPr>
            <w:noProof/>
            <w:webHidden/>
          </w:rPr>
          <w:tab/>
        </w:r>
        <w:r>
          <w:rPr>
            <w:noProof/>
            <w:webHidden/>
          </w:rPr>
          <w:fldChar w:fldCharType="begin"/>
        </w:r>
        <w:r>
          <w:rPr>
            <w:noProof/>
            <w:webHidden/>
          </w:rPr>
          <w:instrText xml:space="preserve"> PAGEREF _Toc438561248 \h </w:instrText>
        </w:r>
        <w:r>
          <w:rPr>
            <w:noProof/>
            <w:webHidden/>
          </w:rPr>
        </w:r>
        <w:r>
          <w:rPr>
            <w:noProof/>
            <w:webHidden/>
          </w:rPr>
          <w:fldChar w:fldCharType="separate"/>
        </w:r>
        <w:r>
          <w:rPr>
            <w:noProof/>
            <w:webHidden/>
          </w:rPr>
          <w:t>10</w:t>
        </w:r>
        <w:r>
          <w:rPr>
            <w:noProof/>
            <w:webHidden/>
          </w:rPr>
          <w:fldChar w:fldCharType="end"/>
        </w:r>
      </w:hyperlink>
    </w:p>
    <w:p w:rsidR="001E4C31" w:rsidRDefault="001E4C31">
      <w:r>
        <w:rPr>
          <w:b/>
          <w:bCs/>
          <w:noProof/>
        </w:rPr>
        <w:fldChar w:fldCharType="end"/>
      </w:r>
    </w:p>
    <w:p w:rsidR="00ED21EE" w:rsidRDefault="00ED21EE" w:rsidP="00ED21EE">
      <w:pPr>
        <w:pStyle w:val="Heading1"/>
      </w:pPr>
      <w:bookmarkStart w:id="17" w:name="_Toc172205729"/>
      <w:bookmarkStart w:id="18" w:name="_Toc304800199"/>
      <w:bookmarkStart w:id="19" w:name="_Toc324318335"/>
      <w:bookmarkStart w:id="20" w:name="_Toc324340479"/>
      <w:bookmarkStart w:id="21" w:name="_Toc438561228"/>
      <w:r>
        <w:t>List of Tables</w:t>
      </w:r>
      <w:bookmarkEnd w:id="17"/>
      <w:bookmarkEnd w:id="18"/>
      <w:bookmarkEnd w:id="19"/>
      <w:bookmarkEnd w:id="20"/>
      <w:bookmarkEnd w:id="21"/>
    </w:p>
    <w:p w:rsidR="003E7776"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38561249" w:history="1">
        <w:r w:rsidR="003E7776" w:rsidRPr="00A14D89">
          <w:rPr>
            <w:rStyle w:val="Hyperlink"/>
            <w:noProof/>
          </w:rPr>
          <w:t>Table 1 Product Codes and Measure Descriptions</w:t>
        </w:r>
        <w:r w:rsidR="003E7776">
          <w:rPr>
            <w:noProof/>
            <w:webHidden/>
          </w:rPr>
          <w:tab/>
        </w:r>
        <w:r w:rsidR="003E7776">
          <w:rPr>
            <w:noProof/>
            <w:webHidden/>
          </w:rPr>
          <w:fldChar w:fldCharType="begin"/>
        </w:r>
        <w:r w:rsidR="003E7776">
          <w:rPr>
            <w:noProof/>
            <w:webHidden/>
          </w:rPr>
          <w:instrText xml:space="preserve"> PAGEREF _Toc438561249 \h </w:instrText>
        </w:r>
        <w:r w:rsidR="003E7776">
          <w:rPr>
            <w:noProof/>
            <w:webHidden/>
          </w:rPr>
        </w:r>
        <w:r w:rsidR="003E7776">
          <w:rPr>
            <w:noProof/>
            <w:webHidden/>
          </w:rPr>
          <w:fldChar w:fldCharType="separate"/>
        </w:r>
        <w:r w:rsidR="003E7776">
          <w:rPr>
            <w:noProof/>
            <w:webHidden/>
          </w:rPr>
          <w:t>1</w:t>
        </w:r>
        <w:r w:rsidR="003E7776">
          <w:rPr>
            <w:noProof/>
            <w:webHidden/>
          </w:rPr>
          <w:fldChar w:fldCharType="end"/>
        </w:r>
      </w:hyperlink>
    </w:p>
    <w:p w:rsidR="003E7776" w:rsidRDefault="003E7776">
      <w:pPr>
        <w:pStyle w:val="TableofFigures"/>
        <w:tabs>
          <w:tab w:val="right" w:leader="dot" w:pos="9350"/>
        </w:tabs>
        <w:rPr>
          <w:rFonts w:asciiTheme="minorHAnsi" w:eastAsiaTheme="minorEastAsia" w:hAnsiTheme="minorHAnsi" w:cstheme="minorBidi"/>
          <w:noProof/>
          <w:szCs w:val="22"/>
        </w:rPr>
      </w:pPr>
      <w:hyperlink w:anchor="_Toc438561250" w:history="1">
        <w:r w:rsidRPr="00A14D89">
          <w:rPr>
            <w:rStyle w:val="Hyperlink"/>
            <w:noProof/>
          </w:rPr>
          <w:t>Table 2 Delivery Method and Applicable Building Types</w:t>
        </w:r>
        <w:r>
          <w:rPr>
            <w:noProof/>
            <w:webHidden/>
          </w:rPr>
          <w:tab/>
        </w:r>
        <w:r>
          <w:rPr>
            <w:noProof/>
            <w:webHidden/>
          </w:rPr>
          <w:fldChar w:fldCharType="begin"/>
        </w:r>
        <w:r>
          <w:rPr>
            <w:noProof/>
            <w:webHidden/>
          </w:rPr>
          <w:instrText xml:space="preserve"> PAGEREF _Toc438561250 \h </w:instrText>
        </w:r>
        <w:r>
          <w:rPr>
            <w:noProof/>
            <w:webHidden/>
          </w:rPr>
        </w:r>
        <w:r>
          <w:rPr>
            <w:noProof/>
            <w:webHidden/>
          </w:rPr>
          <w:fldChar w:fldCharType="separate"/>
        </w:r>
        <w:r>
          <w:rPr>
            <w:noProof/>
            <w:webHidden/>
          </w:rPr>
          <w:t>1</w:t>
        </w:r>
        <w:r>
          <w:rPr>
            <w:noProof/>
            <w:webHidden/>
          </w:rPr>
          <w:fldChar w:fldCharType="end"/>
        </w:r>
      </w:hyperlink>
    </w:p>
    <w:p w:rsidR="003E7776" w:rsidRDefault="003E7776">
      <w:pPr>
        <w:pStyle w:val="TableofFigures"/>
        <w:tabs>
          <w:tab w:val="right" w:leader="dot" w:pos="9350"/>
        </w:tabs>
        <w:rPr>
          <w:rFonts w:asciiTheme="minorHAnsi" w:eastAsiaTheme="minorEastAsia" w:hAnsiTheme="minorHAnsi" w:cstheme="minorBidi"/>
          <w:noProof/>
          <w:szCs w:val="22"/>
        </w:rPr>
      </w:pPr>
      <w:hyperlink w:anchor="_Toc438561251" w:history="1">
        <w:r w:rsidRPr="00A14D89">
          <w:rPr>
            <w:rStyle w:val="Hyperlink"/>
            <w:noProof/>
          </w:rPr>
          <w:t>Table 3</w:t>
        </w:r>
        <w:r w:rsidRPr="00A14D89">
          <w:rPr>
            <w:rStyle w:val="Hyperlink"/>
            <w:rFonts w:ascii="Calibri" w:hAnsi="Calibri" w:cs="Calibri"/>
            <w:noProof/>
          </w:rPr>
          <w:t xml:space="preserve"> </w:t>
        </w:r>
        <w:r w:rsidRPr="00A14D89">
          <w:rPr>
            <w:rStyle w:val="Hyperlink"/>
            <w:rFonts w:cs="Arial"/>
            <w:noProof/>
          </w:rPr>
          <w:t>Measure Application Type</w:t>
        </w:r>
        <w:r>
          <w:rPr>
            <w:noProof/>
            <w:webHidden/>
          </w:rPr>
          <w:tab/>
        </w:r>
        <w:r>
          <w:rPr>
            <w:noProof/>
            <w:webHidden/>
          </w:rPr>
          <w:fldChar w:fldCharType="begin"/>
        </w:r>
        <w:r>
          <w:rPr>
            <w:noProof/>
            <w:webHidden/>
          </w:rPr>
          <w:instrText xml:space="preserve"> PAGEREF _Toc438561251 \h </w:instrText>
        </w:r>
        <w:r>
          <w:rPr>
            <w:noProof/>
            <w:webHidden/>
          </w:rPr>
        </w:r>
        <w:r>
          <w:rPr>
            <w:noProof/>
            <w:webHidden/>
          </w:rPr>
          <w:fldChar w:fldCharType="separate"/>
        </w:r>
        <w:r>
          <w:rPr>
            <w:noProof/>
            <w:webHidden/>
          </w:rPr>
          <w:t>4</w:t>
        </w:r>
        <w:r>
          <w:rPr>
            <w:noProof/>
            <w:webHidden/>
          </w:rPr>
          <w:fldChar w:fldCharType="end"/>
        </w:r>
      </w:hyperlink>
    </w:p>
    <w:p w:rsidR="003E7776" w:rsidRDefault="003E7776">
      <w:pPr>
        <w:pStyle w:val="TableofFigures"/>
        <w:tabs>
          <w:tab w:val="right" w:leader="dot" w:pos="9350"/>
        </w:tabs>
        <w:rPr>
          <w:rFonts w:asciiTheme="minorHAnsi" w:eastAsiaTheme="minorEastAsia" w:hAnsiTheme="minorHAnsi" w:cstheme="minorBidi"/>
          <w:noProof/>
          <w:szCs w:val="22"/>
        </w:rPr>
      </w:pPr>
      <w:hyperlink w:anchor="_Toc438561252" w:history="1">
        <w:r w:rsidRPr="00A14D89">
          <w:rPr>
            <w:rStyle w:val="Hyperlink"/>
            <w:rFonts w:cs="Arial"/>
            <w:noProof/>
          </w:rPr>
          <w:t>Table 4 DEER Net-to-Gross Ratios</w:t>
        </w:r>
        <w:r>
          <w:rPr>
            <w:noProof/>
            <w:webHidden/>
          </w:rPr>
          <w:tab/>
        </w:r>
        <w:r>
          <w:rPr>
            <w:noProof/>
            <w:webHidden/>
          </w:rPr>
          <w:fldChar w:fldCharType="begin"/>
        </w:r>
        <w:r>
          <w:rPr>
            <w:noProof/>
            <w:webHidden/>
          </w:rPr>
          <w:instrText xml:space="preserve"> PAGEREF _Toc438561252 \h </w:instrText>
        </w:r>
        <w:r>
          <w:rPr>
            <w:noProof/>
            <w:webHidden/>
          </w:rPr>
        </w:r>
        <w:r>
          <w:rPr>
            <w:noProof/>
            <w:webHidden/>
          </w:rPr>
          <w:fldChar w:fldCharType="separate"/>
        </w:r>
        <w:r>
          <w:rPr>
            <w:noProof/>
            <w:webHidden/>
          </w:rPr>
          <w:t>4</w:t>
        </w:r>
        <w:r>
          <w:rPr>
            <w:noProof/>
            <w:webHidden/>
          </w:rPr>
          <w:fldChar w:fldCharType="end"/>
        </w:r>
      </w:hyperlink>
    </w:p>
    <w:p w:rsidR="003E7776" w:rsidRDefault="003E7776">
      <w:pPr>
        <w:pStyle w:val="TableofFigures"/>
        <w:tabs>
          <w:tab w:val="right" w:leader="dot" w:pos="9350"/>
        </w:tabs>
        <w:rPr>
          <w:rFonts w:asciiTheme="minorHAnsi" w:eastAsiaTheme="minorEastAsia" w:hAnsiTheme="minorHAnsi" w:cstheme="minorBidi"/>
          <w:noProof/>
          <w:szCs w:val="22"/>
        </w:rPr>
      </w:pPr>
      <w:hyperlink w:anchor="_Toc438561253" w:history="1">
        <w:r w:rsidRPr="00A14D89">
          <w:rPr>
            <w:rStyle w:val="Hyperlink"/>
            <w:noProof/>
          </w:rPr>
          <w:t>Table 5 Installation Rate</w:t>
        </w:r>
        <w:r>
          <w:rPr>
            <w:noProof/>
            <w:webHidden/>
          </w:rPr>
          <w:tab/>
        </w:r>
        <w:r>
          <w:rPr>
            <w:noProof/>
            <w:webHidden/>
          </w:rPr>
          <w:fldChar w:fldCharType="begin"/>
        </w:r>
        <w:r>
          <w:rPr>
            <w:noProof/>
            <w:webHidden/>
          </w:rPr>
          <w:instrText xml:space="preserve"> PAGEREF _Toc438561253 \h </w:instrText>
        </w:r>
        <w:r>
          <w:rPr>
            <w:noProof/>
            <w:webHidden/>
          </w:rPr>
        </w:r>
        <w:r>
          <w:rPr>
            <w:noProof/>
            <w:webHidden/>
          </w:rPr>
          <w:fldChar w:fldCharType="separate"/>
        </w:r>
        <w:r>
          <w:rPr>
            <w:noProof/>
            <w:webHidden/>
          </w:rPr>
          <w:t>5</w:t>
        </w:r>
        <w:r>
          <w:rPr>
            <w:noProof/>
            <w:webHidden/>
          </w:rPr>
          <w:fldChar w:fldCharType="end"/>
        </w:r>
      </w:hyperlink>
    </w:p>
    <w:p w:rsidR="003E7776" w:rsidRDefault="003E7776">
      <w:pPr>
        <w:pStyle w:val="TableofFigures"/>
        <w:tabs>
          <w:tab w:val="right" w:leader="dot" w:pos="9350"/>
        </w:tabs>
        <w:rPr>
          <w:rFonts w:asciiTheme="minorHAnsi" w:eastAsiaTheme="minorEastAsia" w:hAnsiTheme="minorHAnsi" w:cstheme="minorBidi"/>
          <w:noProof/>
          <w:szCs w:val="22"/>
        </w:rPr>
      </w:pPr>
      <w:hyperlink w:anchor="_Toc438561254" w:history="1">
        <w:r w:rsidRPr="00A14D89">
          <w:rPr>
            <w:rStyle w:val="Hyperlink"/>
            <w:noProof/>
          </w:rPr>
          <w:t>Table 6 Effective Useful Life</w:t>
        </w:r>
        <w:r>
          <w:rPr>
            <w:noProof/>
            <w:webHidden/>
          </w:rPr>
          <w:tab/>
        </w:r>
        <w:r>
          <w:rPr>
            <w:noProof/>
            <w:webHidden/>
          </w:rPr>
          <w:fldChar w:fldCharType="begin"/>
        </w:r>
        <w:r>
          <w:rPr>
            <w:noProof/>
            <w:webHidden/>
          </w:rPr>
          <w:instrText xml:space="preserve"> PAGEREF _Toc438561254 \h </w:instrText>
        </w:r>
        <w:r>
          <w:rPr>
            <w:noProof/>
            <w:webHidden/>
          </w:rPr>
        </w:r>
        <w:r>
          <w:rPr>
            <w:noProof/>
            <w:webHidden/>
          </w:rPr>
          <w:fldChar w:fldCharType="separate"/>
        </w:r>
        <w:r>
          <w:rPr>
            <w:noProof/>
            <w:webHidden/>
          </w:rPr>
          <w:t>5</w:t>
        </w:r>
        <w:r>
          <w:rPr>
            <w:noProof/>
            <w:webHidden/>
          </w:rPr>
          <w:fldChar w:fldCharType="end"/>
        </w:r>
      </w:hyperlink>
    </w:p>
    <w:p w:rsidR="003E7776" w:rsidRDefault="003E7776">
      <w:pPr>
        <w:pStyle w:val="TableofFigures"/>
        <w:tabs>
          <w:tab w:val="right" w:leader="dot" w:pos="9350"/>
        </w:tabs>
        <w:rPr>
          <w:rFonts w:asciiTheme="minorHAnsi" w:eastAsiaTheme="minorEastAsia" w:hAnsiTheme="minorHAnsi" w:cstheme="minorBidi"/>
          <w:noProof/>
          <w:szCs w:val="22"/>
        </w:rPr>
      </w:pPr>
      <w:hyperlink w:anchor="_Toc438561255" w:history="1">
        <w:r w:rsidRPr="00A14D89">
          <w:rPr>
            <w:rStyle w:val="Hyperlink"/>
            <w:noProof/>
          </w:rPr>
          <w:t>Table 7 Building Types and Load Shapes</w:t>
        </w:r>
        <w:r>
          <w:rPr>
            <w:noProof/>
            <w:webHidden/>
          </w:rPr>
          <w:tab/>
        </w:r>
        <w:r>
          <w:rPr>
            <w:noProof/>
            <w:webHidden/>
          </w:rPr>
          <w:fldChar w:fldCharType="begin"/>
        </w:r>
        <w:r>
          <w:rPr>
            <w:noProof/>
            <w:webHidden/>
          </w:rPr>
          <w:instrText xml:space="preserve"> PAGEREF _Toc438561255 \h </w:instrText>
        </w:r>
        <w:r>
          <w:rPr>
            <w:noProof/>
            <w:webHidden/>
          </w:rPr>
        </w:r>
        <w:r>
          <w:rPr>
            <w:noProof/>
            <w:webHidden/>
          </w:rPr>
          <w:fldChar w:fldCharType="separate"/>
        </w:r>
        <w:r>
          <w:rPr>
            <w:noProof/>
            <w:webHidden/>
          </w:rPr>
          <w:t>8</w:t>
        </w:r>
        <w:r>
          <w:rPr>
            <w:noProof/>
            <w:webHidden/>
          </w:rPr>
          <w:fldChar w:fldCharType="end"/>
        </w:r>
      </w:hyperlink>
    </w:p>
    <w:p w:rsidR="003E7776" w:rsidRDefault="003E7776">
      <w:pPr>
        <w:pStyle w:val="TableofFigures"/>
        <w:tabs>
          <w:tab w:val="right" w:leader="dot" w:pos="9350"/>
        </w:tabs>
        <w:rPr>
          <w:rFonts w:asciiTheme="minorHAnsi" w:eastAsiaTheme="minorEastAsia" w:hAnsiTheme="minorHAnsi" w:cstheme="minorBidi"/>
          <w:noProof/>
          <w:szCs w:val="22"/>
        </w:rPr>
      </w:pPr>
      <w:hyperlink w:anchor="_Toc438561256" w:history="1">
        <w:r w:rsidRPr="00A14D89">
          <w:rPr>
            <w:rStyle w:val="Hyperlink"/>
            <w:noProof/>
          </w:rPr>
          <w:t>Table 8 Full and Incremental Measure Cost Equations</w:t>
        </w:r>
        <w:r>
          <w:rPr>
            <w:noProof/>
            <w:webHidden/>
          </w:rPr>
          <w:tab/>
        </w:r>
        <w:r>
          <w:rPr>
            <w:noProof/>
            <w:webHidden/>
          </w:rPr>
          <w:fldChar w:fldCharType="begin"/>
        </w:r>
        <w:r>
          <w:rPr>
            <w:noProof/>
            <w:webHidden/>
          </w:rPr>
          <w:instrText xml:space="preserve"> PAGEREF _Toc438561256 \h </w:instrText>
        </w:r>
        <w:r>
          <w:rPr>
            <w:noProof/>
            <w:webHidden/>
          </w:rPr>
        </w:r>
        <w:r>
          <w:rPr>
            <w:noProof/>
            <w:webHidden/>
          </w:rPr>
          <w:fldChar w:fldCharType="separate"/>
        </w:r>
        <w:r>
          <w:rPr>
            <w:noProof/>
            <w:webHidden/>
          </w:rPr>
          <w:t>9</w:t>
        </w:r>
        <w:r>
          <w:rPr>
            <w:noProof/>
            <w:webHidden/>
          </w:rPr>
          <w:fldChar w:fldCharType="end"/>
        </w:r>
      </w:hyperlink>
    </w:p>
    <w:p w:rsidR="005A1F9D" w:rsidRDefault="00ED21EE" w:rsidP="005A1F9D">
      <w:r>
        <w:fldChar w:fldCharType="end"/>
      </w:r>
      <w:r w:rsidR="005A1F9D" w:rsidRPr="005A1F9D">
        <w:t xml:space="preserve"> </w:t>
      </w:r>
    </w:p>
    <w:p w:rsidR="005A1F9D" w:rsidRDefault="005A1F9D" w:rsidP="005A1F9D"/>
    <w:p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2" w:name="_Toc304800201"/>
      <w:bookmarkStart w:id="23" w:name="_Toc324318337"/>
      <w:bookmarkStart w:id="24" w:name="_Toc324340481"/>
      <w:bookmarkStart w:id="25" w:name="_Toc172205732"/>
      <w:bookmarkStart w:id="26" w:name="_GoBack"/>
      <w:bookmarkEnd w:id="26"/>
    </w:p>
    <w:p w:rsidR="00ED21EE" w:rsidRDefault="00ED21EE" w:rsidP="00ED21EE">
      <w:pPr>
        <w:pStyle w:val="Heading1"/>
      </w:pPr>
      <w:bookmarkStart w:id="27" w:name="_Toc438561229"/>
      <w:r>
        <w:lastRenderedPageBreak/>
        <w:t>Section 1. General Measure &amp; Baseline Data</w:t>
      </w:r>
      <w:bookmarkEnd w:id="22"/>
      <w:bookmarkEnd w:id="23"/>
      <w:bookmarkEnd w:id="24"/>
      <w:bookmarkEnd w:id="27"/>
    </w:p>
    <w:p w:rsidR="00E71EF1" w:rsidRDefault="001248A3" w:rsidP="001248A3">
      <w:pPr>
        <w:pStyle w:val="Heading2"/>
      </w:pPr>
      <w:bookmarkStart w:id="28" w:name="_Toc304800202"/>
      <w:bookmarkStart w:id="29" w:name="_Toc324318338"/>
      <w:bookmarkStart w:id="30" w:name="_Toc324340482"/>
      <w:bookmarkStart w:id="31" w:name="_Toc438561230"/>
      <w:bookmarkEnd w:id="25"/>
      <w:r>
        <w:t xml:space="preserve">1.1 </w:t>
      </w:r>
      <w:r w:rsidR="008C6AD1">
        <w:t xml:space="preserve">Product </w:t>
      </w:r>
      <w:r w:rsidR="00E71EF1" w:rsidRPr="001248A3">
        <w:t>Measure Description &amp; Background</w:t>
      </w:r>
      <w:bookmarkEnd w:id="28"/>
      <w:bookmarkEnd w:id="29"/>
      <w:bookmarkEnd w:id="30"/>
      <w:bookmarkEnd w:id="31"/>
    </w:p>
    <w:p w:rsidR="00044DD1" w:rsidRDefault="00044DD1" w:rsidP="0026031F">
      <w:pPr>
        <w:rPr>
          <w:sz w:val="20"/>
        </w:rPr>
      </w:pPr>
      <w:r w:rsidRPr="00521920">
        <w:rPr>
          <w:rFonts w:cs="Arial"/>
          <w:b/>
          <w:i/>
        </w:rPr>
        <w:t>Catalog Description</w:t>
      </w:r>
      <w:r>
        <w:rPr>
          <w:rFonts w:cs="Arial"/>
          <w:b/>
          <w:i/>
        </w:rPr>
        <w:t xml:space="preserve"> –</w:t>
      </w:r>
    </w:p>
    <w:p w:rsidR="00E07796" w:rsidRDefault="00E07796" w:rsidP="0026031F">
      <w:pPr>
        <w:rPr>
          <w:sz w:val="20"/>
        </w:rPr>
      </w:pPr>
    </w:p>
    <w:p w:rsidR="00E07796" w:rsidRDefault="00E07796" w:rsidP="00E07796">
      <w:pPr>
        <w:pStyle w:val="Caption"/>
        <w:keepNext/>
        <w:jc w:val="center"/>
      </w:pPr>
      <w:bookmarkStart w:id="32" w:name="_Toc438561249"/>
      <w:r>
        <w:t xml:space="preserve">Table </w:t>
      </w:r>
      <w:fldSimple w:instr=" SEQ Table \* ARABIC ">
        <w:r w:rsidR="00B05720">
          <w:rPr>
            <w:noProof/>
          </w:rPr>
          <w:t>1</w:t>
        </w:r>
      </w:fldSimple>
      <w:r>
        <w:t xml:space="preserve"> Product Codes and Measure Descriptions</w:t>
      </w:r>
      <w:bookmarkEnd w:id="32"/>
    </w:p>
    <w:tbl>
      <w:tblPr>
        <w:tblStyle w:val="TableGrid"/>
        <w:tblW w:w="0" w:type="auto"/>
        <w:jc w:val="center"/>
        <w:tblLook w:val="04A0" w:firstRow="1" w:lastRow="0" w:firstColumn="1" w:lastColumn="0" w:noHBand="0" w:noVBand="1"/>
      </w:tblPr>
      <w:tblGrid>
        <w:gridCol w:w="1781"/>
        <w:gridCol w:w="5257"/>
      </w:tblGrid>
      <w:tr w:rsidR="00E07796" w:rsidRPr="00E07796" w:rsidTr="00E07796">
        <w:trPr>
          <w:jc w:val="center"/>
        </w:trPr>
        <w:tc>
          <w:tcPr>
            <w:tcW w:w="1781" w:type="dxa"/>
            <w:shd w:val="clear" w:color="auto" w:fill="D9D9D9" w:themeFill="background1" w:themeFillShade="D9"/>
          </w:tcPr>
          <w:p w:rsidR="00E07796" w:rsidRPr="00E07796" w:rsidRDefault="00E07796" w:rsidP="0026031F">
            <w:pPr>
              <w:rPr>
                <w:rFonts w:cs="Arial"/>
                <w:b/>
                <w:sz w:val="20"/>
              </w:rPr>
            </w:pPr>
            <w:r w:rsidRPr="00E07796">
              <w:rPr>
                <w:rFonts w:cs="Arial"/>
                <w:b/>
                <w:sz w:val="20"/>
              </w:rPr>
              <w:t>Product Code</w:t>
            </w:r>
          </w:p>
        </w:tc>
        <w:tc>
          <w:tcPr>
            <w:tcW w:w="5257" w:type="dxa"/>
            <w:shd w:val="clear" w:color="auto" w:fill="D9D9D9" w:themeFill="background1" w:themeFillShade="D9"/>
          </w:tcPr>
          <w:p w:rsidR="00E07796" w:rsidRPr="00E07796" w:rsidRDefault="00E07796" w:rsidP="0026031F">
            <w:pPr>
              <w:rPr>
                <w:rFonts w:cs="Arial"/>
                <w:b/>
                <w:sz w:val="20"/>
              </w:rPr>
            </w:pPr>
            <w:r w:rsidRPr="00E07796">
              <w:rPr>
                <w:rFonts w:cs="Arial"/>
                <w:b/>
                <w:sz w:val="20"/>
              </w:rPr>
              <w:t>Measure Description</w:t>
            </w:r>
          </w:p>
        </w:tc>
      </w:tr>
      <w:tr w:rsidR="00E07796" w:rsidRPr="00E07796" w:rsidTr="00E07796">
        <w:trPr>
          <w:jc w:val="center"/>
        </w:trPr>
        <w:tc>
          <w:tcPr>
            <w:tcW w:w="1781" w:type="dxa"/>
          </w:tcPr>
          <w:p w:rsidR="00E07796" w:rsidRPr="00E07796" w:rsidRDefault="00E07796" w:rsidP="0026031F">
            <w:pPr>
              <w:rPr>
                <w:rFonts w:cs="Arial"/>
                <w:sz w:val="20"/>
              </w:rPr>
            </w:pPr>
            <w:r w:rsidRPr="00E07796">
              <w:rPr>
                <w:rFonts w:cs="Arial"/>
                <w:sz w:val="20"/>
              </w:rPr>
              <w:t>L0265</w:t>
            </w:r>
          </w:p>
        </w:tc>
        <w:tc>
          <w:tcPr>
            <w:tcW w:w="5257" w:type="dxa"/>
          </w:tcPr>
          <w:p w:rsidR="00E07796" w:rsidRPr="00E07796" w:rsidRDefault="00E07796" w:rsidP="00E07796">
            <w:pPr>
              <w:rPr>
                <w:rFonts w:cs="Arial"/>
                <w:sz w:val="20"/>
              </w:rPr>
            </w:pPr>
            <w:bookmarkStart w:id="33" w:name="OLE_LINK4"/>
            <w:r w:rsidRPr="00E07796">
              <w:rPr>
                <w:rFonts w:cs="Arial"/>
                <w:sz w:val="20"/>
              </w:rPr>
              <w:t xml:space="preserve">FIXTURE EXT INDUCTION &gt; 180-250 WATTS </w:t>
            </w:r>
            <w:bookmarkEnd w:id="33"/>
          </w:p>
        </w:tc>
      </w:tr>
      <w:tr w:rsidR="00E07796" w:rsidRPr="00E07796" w:rsidTr="00E07796">
        <w:trPr>
          <w:jc w:val="center"/>
        </w:trPr>
        <w:tc>
          <w:tcPr>
            <w:tcW w:w="1781" w:type="dxa"/>
          </w:tcPr>
          <w:p w:rsidR="00E07796" w:rsidRPr="00E07796" w:rsidRDefault="00E07796" w:rsidP="0026031F">
            <w:pPr>
              <w:rPr>
                <w:rFonts w:cs="Arial"/>
                <w:sz w:val="20"/>
              </w:rPr>
            </w:pPr>
            <w:r w:rsidRPr="00E07796">
              <w:rPr>
                <w:rFonts w:cs="Arial"/>
                <w:sz w:val="20"/>
              </w:rPr>
              <w:t>L0267</w:t>
            </w:r>
          </w:p>
        </w:tc>
        <w:tc>
          <w:tcPr>
            <w:tcW w:w="5257" w:type="dxa"/>
          </w:tcPr>
          <w:p w:rsidR="00E07796" w:rsidRPr="00E07796" w:rsidRDefault="00E07796" w:rsidP="00E07796">
            <w:pPr>
              <w:rPr>
                <w:rFonts w:cs="Arial"/>
                <w:sz w:val="20"/>
              </w:rPr>
            </w:pPr>
            <w:bookmarkStart w:id="34" w:name="OLE_LINK5"/>
            <w:r w:rsidRPr="00E07796">
              <w:rPr>
                <w:rFonts w:cs="Arial"/>
                <w:sz w:val="20"/>
              </w:rPr>
              <w:t xml:space="preserve">FIXTURE EXT INDUCTION &gt; 120-180 WATTS </w:t>
            </w:r>
            <w:bookmarkEnd w:id="34"/>
          </w:p>
        </w:tc>
      </w:tr>
      <w:tr w:rsidR="00E07796" w:rsidRPr="00E07796" w:rsidTr="00E07796">
        <w:trPr>
          <w:jc w:val="center"/>
        </w:trPr>
        <w:tc>
          <w:tcPr>
            <w:tcW w:w="1781" w:type="dxa"/>
          </w:tcPr>
          <w:p w:rsidR="00E07796" w:rsidRPr="00E07796" w:rsidRDefault="00E07796" w:rsidP="0026031F">
            <w:pPr>
              <w:rPr>
                <w:rFonts w:cs="Arial"/>
                <w:sz w:val="20"/>
              </w:rPr>
            </w:pPr>
            <w:r w:rsidRPr="00E07796">
              <w:rPr>
                <w:rFonts w:cs="Arial"/>
                <w:sz w:val="20"/>
              </w:rPr>
              <w:t>L0264</w:t>
            </w:r>
          </w:p>
        </w:tc>
        <w:tc>
          <w:tcPr>
            <w:tcW w:w="5257" w:type="dxa"/>
          </w:tcPr>
          <w:p w:rsidR="00E07796" w:rsidRPr="00E07796" w:rsidRDefault="00E07796" w:rsidP="0026031F">
            <w:pPr>
              <w:rPr>
                <w:rFonts w:cs="Arial"/>
                <w:sz w:val="20"/>
              </w:rPr>
            </w:pPr>
            <w:bookmarkStart w:id="35" w:name="OLE_LINK3"/>
            <w:r w:rsidRPr="00E07796">
              <w:rPr>
                <w:rFonts w:cs="Arial"/>
                <w:sz w:val="20"/>
              </w:rPr>
              <w:t>FIXTURE EXT INDUCTION &gt; 100 -120 WATTS</w:t>
            </w:r>
            <w:bookmarkEnd w:id="35"/>
          </w:p>
        </w:tc>
      </w:tr>
      <w:tr w:rsidR="00E07796" w:rsidRPr="00E07796" w:rsidTr="00E07796">
        <w:trPr>
          <w:jc w:val="center"/>
        </w:trPr>
        <w:tc>
          <w:tcPr>
            <w:tcW w:w="1781" w:type="dxa"/>
          </w:tcPr>
          <w:p w:rsidR="00E07796" w:rsidRPr="00E07796" w:rsidRDefault="00E07796" w:rsidP="0026031F">
            <w:pPr>
              <w:rPr>
                <w:rFonts w:cs="Arial"/>
                <w:sz w:val="20"/>
              </w:rPr>
            </w:pPr>
            <w:r w:rsidRPr="00E07796">
              <w:rPr>
                <w:rFonts w:cs="Arial"/>
                <w:sz w:val="20"/>
              </w:rPr>
              <w:t>L0263</w:t>
            </w:r>
          </w:p>
        </w:tc>
        <w:tc>
          <w:tcPr>
            <w:tcW w:w="5257" w:type="dxa"/>
          </w:tcPr>
          <w:p w:rsidR="00E07796" w:rsidRPr="00E07796" w:rsidRDefault="00E07796" w:rsidP="0026031F">
            <w:pPr>
              <w:rPr>
                <w:rFonts w:cs="Arial"/>
                <w:sz w:val="20"/>
              </w:rPr>
            </w:pPr>
            <w:bookmarkStart w:id="36" w:name="OLE_LINK2"/>
            <w:r w:rsidRPr="00E07796">
              <w:rPr>
                <w:rFonts w:cs="Arial"/>
                <w:sz w:val="20"/>
              </w:rPr>
              <w:t>FIXTURE EXT INDUCTION &gt; 70 -100 WATTS</w:t>
            </w:r>
            <w:bookmarkEnd w:id="36"/>
          </w:p>
        </w:tc>
      </w:tr>
      <w:tr w:rsidR="00E07796" w:rsidRPr="00E07796" w:rsidTr="00E07796">
        <w:trPr>
          <w:jc w:val="center"/>
        </w:trPr>
        <w:tc>
          <w:tcPr>
            <w:tcW w:w="1781" w:type="dxa"/>
          </w:tcPr>
          <w:p w:rsidR="00E07796" w:rsidRPr="00E07796" w:rsidRDefault="00E07796" w:rsidP="0026031F">
            <w:pPr>
              <w:rPr>
                <w:rFonts w:cs="Arial"/>
                <w:sz w:val="20"/>
              </w:rPr>
            </w:pPr>
            <w:r w:rsidRPr="00E07796">
              <w:rPr>
                <w:rFonts w:cs="Arial"/>
                <w:sz w:val="20"/>
              </w:rPr>
              <w:t>L0262</w:t>
            </w:r>
          </w:p>
        </w:tc>
        <w:tc>
          <w:tcPr>
            <w:tcW w:w="5257" w:type="dxa"/>
          </w:tcPr>
          <w:p w:rsidR="00E07796" w:rsidRPr="00E07796" w:rsidRDefault="00E07796" w:rsidP="0026031F">
            <w:pPr>
              <w:rPr>
                <w:rFonts w:cs="Arial"/>
                <w:sz w:val="20"/>
              </w:rPr>
            </w:pPr>
            <w:bookmarkStart w:id="37" w:name="OLE_LINK1"/>
            <w:r w:rsidRPr="00E07796">
              <w:rPr>
                <w:rFonts w:cs="Arial"/>
                <w:sz w:val="20"/>
              </w:rPr>
              <w:t>FIXTURE EXT INDUCTION  ≤ 70 WATTS</w:t>
            </w:r>
            <w:bookmarkEnd w:id="37"/>
          </w:p>
        </w:tc>
      </w:tr>
    </w:tbl>
    <w:p w:rsidR="00E07796" w:rsidRDefault="00E07796" w:rsidP="0026031F"/>
    <w:p w:rsidR="0026031F" w:rsidRDefault="00044DD1" w:rsidP="0026031F">
      <w:pPr>
        <w:rPr>
          <w:rFonts w:cs="Arial"/>
          <w:b/>
          <w:i/>
        </w:rPr>
      </w:pPr>
      <w:r>
        <w:rPr>
          <w:rFonts w:cs="Arial"/>
          <w:b/>
          <w:i/>
        </w:rPr>
        <w:t>Program Restrictions and Guidelines</w:t>
      </w:r>
    </w:p>
    <w:p w:rsidR="0026031F" w:rsidRPr="0026031F" w:rsidRDefault="0026031F" w:rsidP="0026031F">
      <w:pPr>
        <w:spacing w:before="120"/>
        <w:rPr>
          <w:rFonts w:cs="Arial"/>
          <w:color w:val="000000"/>
          <w:sz w:val="20"/>
          <w:szCs w:val="20"/>
        </w:rPr>
      </w:pPr>
      <w:r w:rsidRPr="00E07796">
        <w:rPr>
          <w:rFonts w:cs="Arial"/>
          <w:b/>
          <w:sz w:val="20"/>
          <w:szCs w:val="20"/>
        </w:rPr>
        <w:t>Requirements</w:t>
      </w:r>
      <w:r w:rsidRPr="00E07796">
        <w:rPr>
          <w:rFonts w:cs="Arial"/>
          <w:sz w:val="20"/>
          <w:szCs w:val="20"/>
        </w:rPr>
        <w:t>:</w:t>
      </w:r>
    </w:p>
    <w:p w:rsidR="0026031F" w:rsidRPr="002767EF" w:rsidRDefault="0026031F" w:rsidP="0026031F">
      <w:pPr>
        <w:spacing w:before="120"/>
        <w:rPr>
          <w:rFonts w:cs="Arial"/>
          <w:color w:val="231F20"/>
          <w:sz w:val="20"/>
          <w:szCs w:val="20"/>
        </w:rPr>
      </w:pPr>
      <w:r w:rsidRPr="002767EF">
        <w:rPr>
          <w:rFonts w:cs="Arial"/>
          <w:color w:val="00A4DD"/>
          <w:sz w:val="20"/>
          <w:szCs w:val="20"/>
        </w:rPr>
        <w:t xml:space="preserve">• </w:t>
      </w:r>
      <w:r w:rsidRPr="002767EF">
        <w:rPr>
          <w:rFonts w:cs="Arial"/>
          <w:color w:val="231F20"/>
          <w:sz w:val="20"/>
          <w:szCs w:val="20"/>
        </w:rPr>
        <w:t>Only complete, new induction fixtures or retrofit kits.</w:t>
      </w:r>
    </w:p>
    <w:p w:rsidR="0026031F" w:rsidRPr="008B11AB" w:rsidRDefault="0026031F" w:rsidP="0026031F">
      <w:pPr>
        <w:spacing w:before="120"/>
        <w:rPr>
          <w:rFonts w:cs="Arial"/>
          <w:color w:val="231F20"/>
          <w:sz w:val="20"/>
          <w:szCs w:val="20"/>
        </w:rPr>
      </w:pPr>
      <w:r w:rsidRPr="008B11AB">
        <w:rPr>
          <w:rFonts w:cs="Arial"/>
          <w:color w:val="00A4DD"/>
          <w:sz w:val="20"/>
          <w:szCs w:val="20"/>
        </w:rPr>
        <w:t xml:space="preserve">• </w:t>
      </w:r>
      <w:r w:rsidRPr="008B11AB">
        <w:rPr>
          <w:rFonts w:cs="Arial"/>
          <w:color w:val="231F20"/>
          <w:sz w:val="20"/>
          <w:szCs w:val="20"/>
        </w:rPr>
        <w:t>New fixtures must not exceed the maximu</w:t>
      </w:r>
      <w:r w:rsidR="008B11AB">
        <w:rPr>
          <w:rFonts w:cs="Arial"/>
          <w:color w:val="231F20"/>
          <w:sz w:val="20"/>
          <w:szCs w:val="20"/>
        </w:rPr>
        <w:t>m “New Lamp Wattage” listed in the table above</w:t>
      </w:r>
      <w:r w:rsidRPr="008B11AB">
        <w:rPr>
          <w:rFonts w:cs="Arial"/>
          <w:color w:val="231F20"/>
          <w:sz w:val="20"/>
          <w:szCs w:val="20"/>
        </w:rPr>
        <w:t xml:space="preserve"> for each lamp being replaced. </w:t>
      </w:r>
      <w:r w:rsidR="008B11AB">
        <w:rPr>
          <w:rFonts w:cs="Arial"/>
          <w:color w:val="231F20"/>
          <w:sz w:val="20"/>
          <w:szCs w:val="20"/>
        </w:rPr>
        <w:t xml:space="preserve"> </w:t>
      </w:r>
      <w:r w:rsidRPr="008B11AB">
        <w:rPr>
          <w:rFonts w:cs="Arial"/>
          <w:color w:val="231F20"/>
          <w:sz w:val="20"/>
          <w:szCs w:val="20"/>
        </w:rPr>
        <w:t>New lamp wattage is the total lamp only wattage.</w:t>
      </w:r>
    </w:p>
    <w:p w:rsidR="0026031F" w:rsidRPr="008B11AB" w:rsidRDefault="0026031F" w:rsidP="0026031F">
      <w:pPr>
        <w:spacing w:before="120"/>
        <w:rPr>
          <w:rFonts w:cs="Arial"/>
          <w:sz w:val="20"/>
          <w:szCs w:val="20"/>
        </w:rPr>
      </w:pPr>
      <w:r w:rsidRPr="008B11AB">
        <w:rPr>
          <w:rFonts w:cs="Arial"/>
          <w:color w:val="00A4DD"/>
          <w:sz w:val="20"/>
          <w:szCs w:val="20"/>
        </w:rPr>
        <w:t xml:space="preserve">• </w:t>
      </w:r>
      <w:r w:rsidRPr="008B11AB">
        <w:rPr>
          <w:rFonts w:cs="Arial"/>
          <w:color w:val="231F20"/>
          <w:sz w:val="20"/>
          <w:szCs w:val="20"/>
        </w:rPr>
        <w:t xml:space="preserve">Rebates are based on a one-for-one replacement of incandescent or high intensity discharge (HID) fixtures including, mercury vapor, high pressure sodium, and standard metal halide or </w:t>
      </w:r>
      <w:r w:rsidRPr="008B11AB">
        <w:rPr>
          <w:rFonts w:cs="Arial"/>
          <w:sz w:val="20"/>
          <w:szCs w:val="20"/>
        </w:rPr>
        <w:t xml:space="preserve">pulse start metal halide. </w:t>
      </w:r>
    </w:p>
    <w:p w:rsidR="0026031F" w:rsidRPr="008B11AB" w:rsidRDefault="0026031F" w:rsidP="008B11AB">
      <w:pPr>
        <w:keepNext/>
        <w:keepLines/>
        <w:autoSpaceDE w:val="0"/>
        <w:autoSpaceDN w:val="0"/>
        <w:adjustRightInd w:val="0"/>
        <w:spacing w:before="120"/>
        <w:ind w:left="864" w:hanging="144"/>
        <w:rPr>
          <w:rFonts w:cs="Arial"/>
          <w:sz w:val="20"/>
          <w:szCs w:val="20"/>
        </w:rPr>
      </w:pPr>
      <w:r w:rsidRPr="008B11AB">
        <w:rPr>
          <w:rFonts w:cs="Arial"/>
          <w:sz w:val="20"/>
          <w:szCs w:val="20"/>
        </w:rPr>
        <w:t>• Any wattage incandescent lamp ≥ 60 Watts may be replaced by complete new exterior induction fixtures.</w:t>
      </w:r>
    </w:p>
    <w:p w:rsidR="0026031F" w:rsidRPr="008B11AB" w:rsidRDefault="0026031F" w:rsidP="0026031F">
      <w:pPr>
        <w:keepNext/>
        <w:keepLines/>
        <w:autoSpaceDE w:val="0"/>
        <w:autoSpaceDN w:val="0"/>
        <w:adjustRightInd w:val="0"/>
        <w:spacing w:before="120"/>
        <w:ind w:left="864" w:hanging="144"/>
        <w:rPr>
          <w:rFonts w:cs="Arial"/>
          <w:sz w:val="20"/>
          <w:szCs w:val="20"/>
        </w:rPr>
      </w:pPr>
      <w:r w:rsidRPr="008B11AB">
        <w:rPr>
          <w:rFonts w:cs="Arial"/>
          <w:sz w:val="20"/>
          <w:szCs w:val="20"/>
        </w:rPr>
        <w:t>• In all cases, the wattage of the replacement fixture must be less than the wattage of the existing lamp.</w:t>
      </w:r>
    </w:p>
    <w:p w:rsidR="0026031F" w:rsidRPr="008B11AB" w:rsidRDefault="0026031F" w:rsidP="0026031F">
      <w:pPr>
        <w:keepNext/>
        <w:keepLines/>
        <w:autoSpaceDE w:val="0"/>
        <w:autoSpaceDN w:val="0"/>
        <w:adjustRightInd w:val="0"/>
        <w:spacing w:before="120"/>
        <w:ind w:left="864" w:hanging="144"/>
        <w:rPr>
          <w:rFonts w:cs="Arial"/>
          <w:sz w:val="20"/>
          <w:szCs w:val="20"/>
        </w:rPr>
      </w:pPr>
      <w:r w:rsidRPr="004F1450">
        <w:rPr>
          <w:rFonts w:cs="Arial"/>
          <w:sz w:val="20"/>
          <w:szCs w:val="20"/>
        </w:rPr>
        <w:t>• May qualify for an additional control(s) rebate through the “Exterior Photocells” category, pro</w:t>
      </w:r>
      <w:r w:rsidR="008B11AB" w:rsidRPr="004F1450">
        <w:rPr>
          <w:rFonts w:cs="Arial"/>
          <w:sz w:val="20"/>
          <w:szCs w:val="20"/>
        </w:rPr>
        <w:t>vided all requirements are met and Title 24 does not already mandate a required photocell/occupancy sensor.</w:t>
      </w:r>
    </w:p>
    <w:p w:rsidR="0026031F" w:rsidRPr="008B11AB" w:rsidRDefault="0026031F" w:rsidP="0026031F">
      <w:pPr>
        <w:pStyle w:val="PlainText"/>
        <w:rPr>
          <w:rFonts w:ascii="Arial" w:hAnsi="Arial" w:cs="Arial"/>
          <w:sz w:val="20"/>
          <w:szCs w:val="20"/>
        </w:rPr>
      </w:pPr>
    </w:p>
    <w:p w:rsidR="00521920" w:rsidRPr="00E07796" w:rsidRDefault="0026031F" w:rsidP="0026031F">
      <w:pPr>
        <w:pStyle w:val="PlainText"/>
        <w:rPr>
          <w:rFonts w:ascii="Arial" w:hAnsi="Arial" w:cs="Arial"/>
          <w:sz w:val="20"/>
          <w:szCs w:val="20"/>
          <w:highlight w:val="yellow"/>
        </w:rPr>
      </w:pPr>
      <w:r w:rsidRPr="008B11AB">
        <w:rPr>
          <w:rFonts w:ascii="Arial" w:hAnsi="Arial" w:cs="Arial"/>
          <w:sz w:val="20"/>
          <w:szCs w:val="20"/>
        </w:rPr>
        <w:t>Any wattage incandescent lamp; Slimline T12, T12 HO and T12 VHO fluorescent lamps 60 Watts or greater may be replaced by complete new exterior Induction fixtures.</w:t>
      </w:r>
    </w:p>
    <w:p w:rsidR="00521920" w:rsidRPr="00E07796" w:rsidRDefault="00521920" w:rsidP="00872913">
      <w:pPr>
        <w:rPr>
          <w:rFonts w:cs="Arial"/>
          <w:b/>
          <w:i/>
          <w:sz w:val="20"/>
          <w:szCs w:val="20"/>
          <w:highlight w:val="yellow"/>
        </w:rPr>
      </w:pPr>
    </w:p>
    <w:p w:rsidR="00044DD1" w:rsidRPr="002767EF" w:rsidRDefault="00044DD1" w:rsidP="00044DD1">
      <w:pPr>
        <w:widowControl w:val="0"/>
        <w:autoSpaceDE w:val="0"/>
        <w:autoSpaceDN w:val="0"/>
        <w:adjustRightInd w:val="0"/>
        <w:rPr>
          <w:rFonts w:cs="Arial"/>
          <w:sz w:val="20"/>
          <w:szCs w:val="20"/>
        </w:rPr>
      </w:pPr>
      <w:r w:rsidRPr="002767EF">
        <w:rPr>
          <w:rFonts w:cs="Arial"/>
          <w:b/>
          <w:sz w:val="20"/>
          <w:szCs w:val="20"/>
        </w:rPr>
        <w:t>Exclusions</w:t>
      </w:r>
      <w:r w:rsidRPr="002767EF">
        <w:rPr>
          <w:rFonts w:cs="Arial"/>
          <w:sz w:val="20"/>
          <w:szCs w:val="20"/>
        </w:rPr>
        <w:t>:</w:t>
      </w:r>
    </w:p>
    <w:p w:rsidR="00BD0361" w:rsidRPr="002767EF" w:rsidRDefault="00044DD1" w:rsidP="00BD0361">
      <w:pPr>
        <w:autoSpaceDE w:val="0"/>
        <w:autoSpaceDN w:val="0"/>
        <w:adjustRightInd w:val="0"/>
        <w:spacing w:before="120"/>
        <w:ind w:left="864" w:hanging="144"/>
        <w:rPr>
          <w:rFonts w:cs="Arial"/>
          <w:sz w:val="20"/>
          <w:szCs w:val="20"/>
        </w:rPr>
      </w:pPr>
      <w:r w:rsidRPr="002767EF">
        <w:rPr>
          <w:rFonts w:cs="Arial"/>
          <w:sz w:val="20"/>
          <w:szCs w:val="20"/>
        </w:rPr>
        <w:t xml:space="preserve">• Street and roadway installations do not qualify; please refer to PG&amp;E’s Street Light Program for details refer to </w:t>
      </w:r>
      <w:hyperlink r:id="rId23" w:history="1">
        <w:r w:rsidR="00BD0361" w:rsidRPr="002767EF">
          <w:rPr>
            <w:rStyle w:val="Hyperlink"/>
            <w:rFonts w:cs="Arial"/>
            <w:b/>
            <w:bCs/>
            <w:sz w:val="20"/>
            <w:szCs w:val="20"/>
          </w:rPr>
          <w:t>www.pge.com/led</w:t>
        </w:r>
      </w:hyperlink>
      <w:r w:rsidRPr="002767EF">
        <w:rPr>
          <w:rFonts w:cs="Arial"/>
          <w:sz w:val="20"/>
          <w:szCs w:val="20"/>
        </w:rPr>
        <w:t>.</w:t>
      </w:r>
    </w:p>
    <w:p w:rsidR="00044DD1" w:rsidRPr="002767EF" w:rsidRDefault="00044DD1" w:rsidP="00BD0361">
      <w:pPr>
        <w:autoSpaceDE w:val="0"/>
        <w:autoSpaceDN w:val="0"/>
        <w:adjustRightInd w:val="0"/>
        <w:spacing w:before="120"/>
        <w:ind w:left="864" w:hanging="144"/>
        <w:rPr>
          <w:rFonts w:cs="Arial"/>
          <w:sz w:val="20"/>
          <w:szCs w:val="20"/>
        </w:rPr>
      </w:pPr>
      <w:r w:rsidRPr="002767EF">
        <w:rPr>
          <w:rFonts w:cs="Arial"/>
          <w:sz w:val="20"/>
          <w:szCs w:val="20"/>
        </w:rPr>
        <w:t>• Pulse start metal halide does not qualify. Please refer to “Exterior HID Fixtures w/Electronic Ballasts” category.</w:t>
      </w:r>
    </w:p>
    <w:p w:rsidR="00044DD1" w:rsidRPr="002767EF" w:rsidRDefault="00044DD1" w:rsidP="00044DD1">
      <w:pPr>
        <w:rPr>
          <w:rFonts w:cs="Arial"/>
          <w:b/>
          <w:i/>
          <w:sz w:val="20"/>
          <w:szCs w:val="20"/>
        </w:rPr>
      </w:pPr>
    </w:p>
    <w:p w:rsidR="003E7422" w:rsidRPr="00E07796" w:rsidRDefault="00521920" w:rsidP="00480BAD">
      <w:pPr>
        <w:ind w:left="360"/>
        <w:rPr>
          <w:rFonts w:cs="Arial"/>
          <w:sz w:val="20"/>
          <w:szCs w:val="20"/>
          <w:highlight w:val="yellow"/>
        </w:rPr>
      </w:pPr>
      <w:r w:rsidRPr="002767EF">
        <w:rPr>
          <w:rFonts w:cs="Arial"/>
          <w:b/>
          <w:i/>
          <w:sz w:val="20"/>
          <w:szCs w:val="20"/>
        </w:rPr>
        <w:t>Terms and Conditions</w:t>
      </w:r>
      <w:r w:rsidR="003E7422" w:rsidRPr="002767EF">
        <w:rPr>
          <w:rFonts w:cs="Arial"/>
          <w:b/>
          <w:i/>
          <w:sz w:val="20"/>
          <w:szCs w:val="20"/>
        </w:rPr>
        <w:t>:</w:t>
      </w:r>
      <w:r w:rsidR="00A562A6" w:rsidRPr="002767EF">
        <w:rPr>
          <w:rFonts w:cs="Arial"/>
          <w:b/>
          <w:i/>
          <w:sz w:val="20"/>
          <w:szCs w:val="20"/>
        </w:rPr>
        <w:t xml:space="preserve"> </w:t>
      </w:r>
      <w:r w:rsidR="00AF66BD" w:rsidRPr="002767EF">
        <w:rPr>
          <w:rFonts w:cs="Arial"/>
          <w:sz w:val="20"/>
          <w:szCs w:val="20"/>
        </w:rPr>
        <w:t xml:space="preserve">The customer must be a commercial PG&amp;E electric customer.  </w:t>
      </w:r>
    </w:p>
    <w:p w:rsidR="00AF66BD" w:rsidRPr="00E07796" w:rsidRDefault="00AF66BD" w:rsidP="00480BAD">
      <w:pPr>
        <w:ind w:left="360"/>
        <w:rPr>
          <w:rFonts w:cs="Arial"/>
          <w:b/>
          <w:i/>
          <w:sz w:val="20"/>
          <w:szCs w:val="20"/>
          <w:highlight w:val="yellow"/>
        </w:rPr>
      </w:pPr>
    </w:p>
    <w:p w:rsidR="00197A23" w:rsidRDefault="00521920" w:rsidP="00B7688C">
      <w:pPr>
        <w:ind w:left="360"/>
        <w:rPr>
          <w:rFonts w:cs="Arial"/>
          <w:sz w:val="20"/>
          <w:szCs w:val="20"/>
        </w:rPr>
      </w:pPr>
      <w:r w:rsidRPr="002767EF">
        <w:rPr>
          <w:rFonts w:cs="Arial"/>
          <w:b/>
          <w:i/>
          <w:sz w:val="20"/>
          <w:szCs w:val="20"/>
        </w:rPr>
        <w:t>Market Applicability</w:t>
      </w:r>
      <w:r w:rsidR="003E7422" w:rsidRPr="002767EF">
        <w:rPr>
          <w:rFonts w:cs="Arial"/>
          <w:b/>
          <w:i/>
          <w:sz w:val="20"/>
          <w:szCs w:val="20"/>
        </w:rPr>
        <w:t>:</w:t>
      </w:r>
      <w:r w:rsidRPr="002767EF">
        <w:rPr>
          <w:rFonts w:cs="Arial"/>
          <w:b/>
          <w:i/>
          <w:sz w:val="20"/>
          <w:szCs w:val="20"/>
        </w:rPr>
        <w:t xml:space="preserve"> </w:t>
      </w:r>
      <w:r w:rsidR="00B7688C" w:rsidRPr="002767EF">
        <w:rPr>
          <w:rFonts w:cs="Arial"/>
          <w:sz w:val="20"/>
          <w:szCs w:val="20"/>
        </w:rPr>
        <w:t>The measures discussed in this work paper are applicable to nonresidential market sectors.</w:t>
      </w:r>
      <w:r w:rsidR="003030CB" w:rsidRPr="002767EF">
        <w:rPr>
          <w:rFonts w:cs="Arial"/>
          <w:sz w:val="20"/>
          <w:szCs w:val="20"/>
        </w:rPr>
        <w:t xml:space="preserve">  These are both downstream and direct install measures.</w:t>
      </w:r>
      <w:r w:rsidR="003030CB">
        <w:rPr>
          <w:rFonts w:cs="Arial"/>
          <w:sz w:val="20"/>
          <w:szCs w:val="20"/>
        </w:rPr>
        <w:t xml:space="preserve"> </w:t>
      </w:r>
    </w:p>
    <w:p w:rsidR="00E07796" w:rsidRDefault="00E07796" w:rsidP="00B7688C">
      <w:pPr>
        <w:ind w:left="360"/>
        <w:rPr>
          <w:rFonts w:cs="Arial"/>
          <w:sz w:val="20"/>
          <w:szCs w:val="20"/>
        </w:rPr>
      </w:pPr>
    </w:p>
    <w:p w:rsidR="00E07796" w:rsidRDefault="00E07796" w:rsidP="00E07796">
      <w:pPr>
        <w:pStyle w:val="Caption"/>
        <w:keepNext/>
        <w:jc w:val="center"/>
      </w:pPr>
      <w:bookmarkStart w:id="38" w:name="_Toc438561250"/>
      <w:r>
        <w:t xml:space="preserve">Table </w:t>
      </w:r>
      <w:fldSimple w:instr=" SEQ Table \* ARABIC ">
        <w:r w:rsidR="00B05720">
          <w:rPr>
            <w:noProof/>
          </w:rPr>
          <w:t>2</w:t>
        </w:r>
      </w:fldSimple>
      <w:r>
        <w:t xml:space="preserve"> Delivery Method and Applicable Building Types</w:t>
      </w:r>
      <w:bookmarkEnd w:id="38"/>
    </w:p>
    <w:tbl>
      <w:tblPr>
        <w:tblStyle w:val="TableGrid"/>
        <w:tblW w:w="9200" w:type="dxa"/>
        <w:jc w:val="center"/>
        <w:tblLook w:val="04A0" w:firstRow="1" w:lastRow="0" w:firstColumn="1" w:lastColumn="0" w:noHBand="0" w:noVBand="1"/>
      </w:tblPr>
      <w:tblGrid>
        <w:gridCol w:w="2710"/>
        <w:gridCol w:w="3952"/>
        <w:gridCol w:w="2538"/>
      </w:tblGrid>
      <w:tr w:rsidR="00E07796" w:rsidRPr="00E07796" w:rsidTr="00B5565D">
        <w:trPr>
          <w:jc w:val="center"/>
        </w:trPr>
        <w:tc>
          <w:tcPr>
            <w:tcW w:w="2710" w:type="dxa"/>
            <w:shd w:val="clear" w:color="auto" w:fill="D9D9D9" w:themeFill="background1" w:themeFillShade="D9"/>
          </w:tcPr>
          <w:p w:rsidR="00E07796" w:rsidRPr="00E07796" w:rsidRDefault="00E07796" w:rsidP="00E07796">
            <w:pPr>
              <w:rPr>
                <w:rFonts w:cs="Arial"/>
                <w:b/>
                <w:sz w:val="20"/>
                <w:szCs w:val="20"/>
              </w:rPr>
            </w:pPr>
            <w:r w:rsidRPr="00E07796">
              <w:rPr>
                <w:rFonts w:cs="Arial"/>
                <w:b/>
                <w:sz w:val="20"/>
                <w:szCs w:val="20"/>
              </w:rPr>
              <w:t>Delivery Type</w:t>
            </w:r>
          </w:p>
        </w:tc>
        <w:tc>
          <w:tcPr>
            <w:tcW w:w="3952" w:type="dxa"/>
            <w:shd w:val="clear" w:color="auto" w:fill="D9D9D9" w:themeFill="background1" w:themeFillShade="D9"/>
          </w:tcPr>
          <w:p w:rsidR="00E07796" w:rsidRPr="00E07796" w:rsidRDefault="00E07796" w:rsidP="00E07796">
            <w:pPr>
              <w:rPr>
                <w:rFonts w:cs="Arial"/>
                <w:b/>
                <w:sz w:val="20"/>
                <w:szCs w:val="20"/>
              </w:rPr>
            </w:pPr>
            <w:r w:rsidRPr="00E07796">
              <w:rPr>
                <w:rFonts w:cs="Arial"/>
                <w:b/>
                <w:sz w:val="20"/>
                <w:szCs w:val="20"/>
              </w:rPr>
              <w:t>Applicable Building Types</w:t>
            </w:r>
          </w:p>
        </w:tc>
        <w:tc>
          <w:tcPr>
            <w:tcW w:w="2538" w:type="dxa"/>
            <w:shd w:val="clear" w:color="auto" w:fill="D9D9D9" w:themeFill="background1" w:themeFillShade="D9"/>
          </w:tcPr>
          <w:p w:rsidR="00E07796" w:rsidRPr="00E07796" w:rsidRDefault="00E07796" w:rsidP="00E07796">
            <w:pPr>
              <w:rPr>
                <w:rFonts w:cs="Arial"/>
                <w:b/>
                <w:sz w:val="20"/>
                <w:szCs w:val="20"/>
              </w:rPr>
            </w:pPr>
            <w:r w:rsidRPr="00E07796">
              <w:rPr>
                <w:rFonts w:cs="Arial"/>
                <w:b/>
                <w:sz w:val="20"/>
                <w:szCs w:val="20"/>
              </w:rPr>
              <w:t>Application Type</w:t>
            </w:r>
          </w:p>
        </w:tc>
      </w:tr>
      <w:tr w:rsidR="00E07796" w:rsidRPr="00E07796" w:rsidTr="00B5565D">
        <w:trPr>
          <w:jc w:val="center"/>
        </w:trPr>
        <w:tc>
          <w:tcPr>
            <w:tcW w:w="2710" w:type="dxa"/>
          </w:tcPr>
          <w:p w:rsidR="00E07796" w:rsidRPr="00E07796" w:rsidRDefault="00E07796" w:rsidP="00E07796">
            <w:pPr>
              <w:rPr>
                <w:rFonts w:cs="Arial"/>
                <w:sz w:val="20"/>
                <w:szCs w:val="20"/>
              </w:rPr>
            </w:pPr>
            <w:r w:rsidRPr="00E07796">
              <w:rPr>
                <w:rFonts w:cs="Arial"/>
                <w:sz w:val="20"/>
                <w:szCs w:val="20"/>
              </w:rPr>
              <w:t>Direct Install</w:t>
            </w:r>
          </w:p>
        </w:tc>
        <w:tc>
          <w:tcPr>
            <w:tcW w:w="3952" w:type="dxa"/>
          </w:tcPr>
          <w:p w:rsidR="00E07796" w:rsidRPr="00E07796" w:rsidRDefault="00E07796" w:rsidP="00E07796">
            <w:pPr>
              <w:rPr>
                <w:rFonts w:cs="Arial"/>
                <w:sz w:val="20"/>
                <w:szCs w:val="20"/>
              </w:rPr>
            </w:pPr>
            <w:r>
              <w:rPr>
                <w:rFonts w:cs="Arial"/>
                <w:sz w:val="20"/>
                <w:szCs w:val="20"/>
              </w:rPr>
              <w:t xml:space="preserve">Any </w:t>
            </w:r>
          </w:p>
        </w:tc>
        <w:tc>
          <w:tcPr>
            <w:tcW w:w="2538" w:type="dxa"/>
          </w:tcPr>
          <w:p w:rsidR="00E07796" w:rsidRPr="00E07796" w:rsidRDefault="00E07796" w:rsidP="00E07796">
            <w:pPr>
              <w:rPr>
                <w:rFonts w:cs="Arial"/>
                <w:sz w:val="20"/>
                <w:szCs w:val="20"/>
              </w:rPr>
            </w:pPr>
            <w:r w:rsidRPr="00E07796">
              <w:rPr>
                <w:rFonts w:cs="Arial"/>
                <w:sz w:val="20"/>
                <w:szCs w:val="20"/>
              </w:rPr>
              <w:t>ROB</w:t>
            </w:r>
          </w:p>
        </w:tc>
      </w:tr>
      <w:tr w:rsidR="00E07796" w:rsidRPr="00E07796" w:rsidTr="00B5565D">
        <w:trPr>
          <w:jc w:val="center"/>
        </w:trPr>
        <w:tc>
          <w:tcPr>
            <w:tcW w:w="2710" w:type="dxa"/>
          </w:tcPr>
          <w:p w:rsidR="00E07796" w:rsidRPr="00E07796" w:rsidRDefault="00E07796" w:rsidP="00E07796">
            <w:pPr>
              <w:rPr>
                <w:rFonts w:cs="Arial"/>
                <w:sz w:val="20"/>
                <w:szCs w:val="20"/>
              </w:rPr>
            </w:pPr>
            <w:r w:rsidRPr="00E07796">
              <w:rPr>
                <w:rFonts w:cs="Arial"/>
                <w:sz w:val="20"/>
                <w:szCs w:val="20"/>
              </w:rPr>
              <w:t>Downstream</w:t>
            </w:r>
          </w:p>
        </w:tc>
        <w:tc>
          <w:tcPr>
            <w:tcW w:w="3952" w:type="dxa"/>
          </w:tcPr>
          <w:p w:rsidR="00E07796" w:rsidRPr="00E07796" w:rsidRDefault="00E07796" w:rsidP="00E07796">
            <w:pPr>
              <w:rPr>
                <w:rFonts w:cs="Arial"/>
                <w:sz w:val="20"/>
                <w:szCs w:val="20"/>
              </w:rPr>
            </w:pPr>
            <w:r>
              <w:rPr>
                <w:rFonts w:cs="Arial"/>
                <w:sz w:val="20"/>
                <w:szCs w:val="20"/>
              </w:rPr>
              <w:t>Any</w:t>
            </w:r>
          </w:p>
        </w:tc>
        <w:tc>
          <w:tcPr>
            <w:tcW w:w="2538" w:type="dxa"/>
          </w:tcPr>
          <w:p w:rsidR="00E07796" w:rsidRPr="00E07796" w:rsidRDefault="00E07796" w:rsidP="00E07796">
            <w:pPr>
              <w:rPr>
                <w:rFonts w:cs="Arial"/>
                <w:sz w:val="20"/>
                <w:szCs w:val="20"/>
              </w:rPr>
            </w:pPr>
            <w:r w:rsidRPr="00E07796">
              <w:rPr>
                <w:rFonts w:cs="Arial"/>
                <w:sz w:val="20"/>
                <w:szCs w:val="20"/>
              </w:rPr>
              <w:t>ROB</w:t>
            </w:r>
          </w:p>
        </w:tc>
      </w:tr>
    </w:tbl>
    <w:p w:rsidR="00E07796" w:rsidRDefault="00E07796" w:rsidP="00E07796">
      <w:pPr>
        <w:rPr>
          <w:rFonts w:cs="Arial"/>
          <w:sz w:val="20"/>
          <w:szCs w:val="20"/>
        </w:rPr>
      </w:pPr>
    </w:p>
    <w:p w:rsidR="00462DFE" w:rsidRPr="00B7688C" w:rsidRDefault="00462DFE" w:rsidP="00B7688C">
      <w:pPr>
        <w:ind w:left="360"/>
        <w:rPr>
          <w:rFonts w:cs="Arial"/>
          <w:sz w:val="20"/>
          <w:szCs w:val="20"/>
        </w:rPr>
      </w:pPr>
    </w:p>
    <w:p w:rsidR="00521920" w:rsidRPr="00806070" w:rsidRDefault="00806070" w:rsidP="00806070">
      <w:pPr>
        <w:rPr>
          <w:rFonts w:cs="Arial"/>
          <w:b/>
          <w:i/>
          <w:sz w:val="28"/>
          <w:szCs w:val="28"/>
        </w:rPr>
      </w:pPr>
      <w:r>
        <w:rPr>
          <w:rFonts w:cs="Arial"/>
          <w:b/>
          <w:i/>
          <w:sz w:val="28"/>
          <w:szCs w:val="28"/>
        </w:rPr>
        <w:t xml:space="preserve">1.2 Product </w:t>
      </w:r>
      <w:r w:rsidR="00521920" w:rsidRPr="00806070">
        <w:rPr>
          <w:rFonts w:cs="Arial"/>
          <w:b/>
          <w:i/>
          <w:sz w:val="28"/>
          <w:szCs w:val="28"/>
        </w:rPr>
        <w:t>Technical Description</w:t>
      </w:r>
    </w:p>
    <w:p w:rsidR="002767EF" w:rsidRDefault="002767EF" w:rsidP="002767EF">
      <w:pPr>
        <w:rPr>
          <w:sz w:val="20"/>
        </w:rPr>
      </w:pPr>
      <w:r w:rsidRPr="002767EF">
        <w:rPr>
          <w:sz w:val="20"/>
        </w:rPr>
        <w:t>Induction lamps are a large lumen package fluorescent technology that does not require an electrode, but relies on radio frequency or magnetic induction to energize the lamp. Induction lighting is a high-efficacy alternative to HID lighting that provides color rendering that is superior to standard metal halide lighting, and boasts a very long lifetime. The CRI (Color Rendering Index) of induction lamps</w:t>
      </w:r>
      <w:r w:rsidRPr="002767EF">
        <w:rPr>
          <w:sz w:val="20"/>
          <w:vertAlign w:val="superscript"/>
        </w:rPr>
        <w:fldChar w:fldCharType="begin"/>
      </w:r>
      <w:r w:rsidRPr="002767EF">
        <w:rPr>
          <w:sz w:val="20"/>
          <w:vertAlign w:val="superscript"/>
        </w:rPr>
        <w:instrText xml:space="preserve"> NOTEREF _Ref252188242 \h  \* MERGEFORMAT </w:instrText>
      </w:r>
      <w:r w:rsidRPr="002767EF">
        <w:rPr>
          <w:sz w:val="20"/>
          <w:vertAlign w:val="superscript"/>
        </w:rPr>
      </w:r>
      <w:r w:rsidRPr="002767EF">
        <w:rPr>
          <w:sz w:val="20"/>
          <w:vertAlign w:val="superscript"/>
        </w:rPr>
        <w:fldChar w:fldCharType="separate"/>
      </w:r>
      <w:r w:rsidRPr="002767EF">
        <w:rPr>
          <w:sz w:val="20"/>
          <w:vertAlign w:val="superscript"/>
        </w:rPr>
        <w:t>1</w:t>
      </w:r>
      <w:r w:rsidRPr="002767EF">
        <w:rPr>
          <w:sz w:val="20"/>
          <w:vertAlign w:val="superscript"/>
        </w:rPr>
        <w:fldChar w:fldCharType="end"/>
      </w:r>
      <w:r w:rsidRPr="002767EF">
        <w:rPr>
          <w:sz w:val="20"/>
        </w:rPr>
        <w:t xml:space="preserve"> is 80, in comparison to a CRI from 65 to 75 for standard metal halide lamps. Manufacturers claim a lifetime for the lamp itself of 100,000</w:t>
      </w:r>
      <w:r w:rsidRPr="002767EF">
        <w:rPr>
          <w:sz w:val="20"/>
          <w:vertAlign w:val="superscript"/>
        </w:rPr>
        <w:fldChar w:fldCharType="begin"/>
      </w:r>
      <w:r w:rsidRPr="002767EF">
        <w:rPr>
          <w:sz w:val="20"/>
          <w:vertAlign w:val="superscript"/>
        </w:rPr>
        <w:instrText xml:space="preserve"> NOTEREF _Ref252188242 \h  \* MERGEFORMAT </w:instrText>
      </w:r>
      <w:r w:rsidRPr="002767EF">
        <w:rPr>
          <w:sz w:val="20"/>
          <w:vertAlign w:val="superscript"/>
        </w:rPr>
      </w:r>
      <w:r w:rsidRPr="002767EF">
        <w:rPr>
          <w:sz w:val="20"/>
          <w:vertAlign w:val="superscript"/>
        </w:rPr>
        <w:fldChar w:fldCharType="separate"/>
      </w:r>
      <w:r w:rsidRPr="002767EF">
        <w:rPr>
          <w:sz w:val="20"/>
          <w:vertAlign w:val="superscript"/>
        </w:rPr>
        <w:t>1</w:t>
      </w:r>
      <w:r w:rsidRPr="002767EF">
        <w:rPr>
          <w:sz w:val="20"/>
          <w:vertAlign w:val="superscript"/>
        </w:rPr>
        <w:fldChar w:fldCharType="end"/>
      </w:r>
      <w:r w:rsidRPr="002767EF">
        <w:rPr>
          <w:sz w:val="20"/>
        </w:rPr>
        <w:t xml:space="preserve"> hours, or 60,000 hours if the lamp is replaced at the end of the generator/ballast lifetime</w:t>
      </w:r>
      <w:r w:rsidRPr="002767EF">
        <w:rPr>
          <w:rStyle w:val="EndnoteReference"/>
          <w:sz w:val="20"/>
        </w:rPr>
        <w:endnoteReference w:id="1"/>
      </w:r>
      <w:r w:rsidRPr="002767EF">
        <w:rPr>
          <w:sz w:val="20"/>
        </w:rPr>
        <w:t>.</w:t>
      </w:r>
    </w:p>
    <w:p w:rsidR="002767EF" w:rsidRDefault="002767EF" w:rsidP="00044DD1">
      <w:pPr>
        <w:rPr>
          <w:sz w:val="20"/>
          <w:szCs w:val="20"/>
        </w:rPr>
      </w:pPr>
    </w:p>
    <w:p w:rsidR="00044DD1" w:rsidRPr="00044DD1" w:rsidRDefault="00044DD1" w:rsidP="00044DD1">
      <w:pPr>
        <w:rPr>
          <w:sz w:val="20"/>
          <w:szCs w:val="20"/>
        </w:rPr>
      </w:pPr>
      <w:r w:rsidRPr="00044DD1">
        <w:rPr>
          <w:sz w:val="20"/>
          <w:szCs w:val="20"/>
        </w:rPr>
        <w:t xml:space="preserve">Induction lamps are similar to ordinary fluorescent lamps, in that the inside of the lamp is coated with phosphors, and the lamp is filled with a vapor containing a small amount of mercury. In ordinary fluorescent lamps, the mercury vapor is excited by electrodes within the lamp, while the current is regulated by ballast. The excited mercury atoms give off ultraviolet light when they drop back to an unexcited state, which in turn excites the phosphor coating, causing it to fluoresce. The fluorescing phosphors produce visible light. </w:t>
      </w:r>
    </w:p>
    <w:p w:rsidR="00044DD1" w:rsidRPr="00044DD1" w:rsidRDefault="00044DD1" w:rsidP="00044DD1">
      <w:pPr>
        <w:rPr>
          <w:sz w:val="20"/>
          <w:szCs w:val="20"/>
        </w:rPr>
      </w:pPr>
    </w:p>
    <w:p w:rsidR="00044DD1" w:rsidRPr="00044DD1" w:rsidRDefault="00044DD1" w:rsidP="00044DD1">
      <w:pPr>
        <w:rPr>
          <w:sz w:val="20"/>
          <w:szCs w:val="20"/>
        </w:rPr>
      </w:pPr>
      <w:r w:rsidRPr="00044DD1">
        <w:rPr>
          <w:sz w:val="20"/>
          <w:szCs w:val="20"/>
        </w:rPr>
        <w:t>In the case of induction lamps, the energy within the gas is excited by electromagnetic induction, without the need for electrodes. One typical shape is that of an incandescent A-lamp, but with a glass tube inserted in the base that contains a radio antenna (a coil wound around a ferrite core), as illustrated by the early patent drawing reproduced in Figure 1. Another form of induction lamp is more of a donut shape, with two glass tubes joined together by short tubes containing electromagnetic coils that induce the current in the mercury gas, as shown on page 156 of the Sylvania lamp catalog.</w:t>
      </w:r>
      <w:r w:rsidRPr="00044DD1">
        <w:rPr>
          <w:sz w:val="20"/>
          <w:szCs w:val="20"/>
          <w:vertAlign w:val="superscript"/>
        </w:rPr>
        <w:fldChar w:fldCharType="begin"/>
      </w:r>
      <w:r w:rsidRPr="00044DD1">
        <w:rPr>
          <w:sz w:val="20"/>
          <w:szCs w:val="20"/>
          <w:vertAlign w:val="superscript"/>
        </w:rPr>
        <w:instrText xml:space="preserve"> NOTEREF _Ref252188242 \h  \* MERGEFORMAT </w:instrText>
      </w:r>
      <w:r w:rsidRPr="00044DD1">
        <w:rPr>
          <w:sz w:val="20"/>
          <w:szCs w:val="20"/>
          <w:vertAlign w:val="superscript"/>
        </w:rPr>
      </w:r>
      <w:r w:rsidRPr="00044DD1">
        <w:rPr>
          <w:sz w:val="20"/>
          <w:szCs w:val="20"/>
          <w:vertAlign w:val="superscript"/>
        </w:rPr>
        <w:fldChar w:fldCharType="separate"/>
      </w:r>
      <w:r w:rsidRPr="00044DD1">
        <w:rPr>
          <w:sz w:val="20"/>
          <w:szCs w:val="20"/>
          <w:vertAlign w:val="superscript"/>
        </w:rPr>
        <w:t>1</w:t>
      </w:r>
      <w:r w:rsidRPr="00044DD1">
        <w:rPr>
          <w:sz w:val="20"/>
          <w:szCs w:val="20"/>
          <w:vertAlign w:val="superscript"/>
        </w:rPr>
        <w:fldChar w:fldCharType="end"/>
      </w:r>
      <w:r w:rsidRPr="00044DD1">
        <w:rPr>
          <w:sz w:val="20"/>
          <w:szCs w:val="20"/>
        </w:rPr>
        <w:t xml:space="preserve"> Power is supplied to the coils by a high-frequency electronic generator/ballast.  </w:t>
      </w:r>
    </w:p>
    <w:p w:rsidR="00044DD1" w:rsidRPr="00044DD1" w:rsidRDefault="00044DD1" w:rsidP="00044DD1">
      <w:pPr>
        <w:rPr>
          <w:sz w:val="20"/>
          <w:szCs w:val="20"/>
        </w:rPr>
      </w:pPr>
    </w:p>
    <w:p w:rsidR="00044DD1" w:rsidRPr="00044DD1" w:rsidRDefault="00044DD1" w:rsidP="00044DD1">
      <w:pPr>
        <w:rPr>
          <w:sz w:val="20"/>
          <w:szCs w:val="20"/>
        </w:rPr>
      </w:pPr>
      <w:r w:rsidRPr="00044DD1">
        <w:rPr>
          <w:sz w:val="20"/>
          <w:szCs w:val="20"/>
        </w:rPr>
        <w:t>In ordinary fluorescent lamps, the electrodes are the components that give out most quickly. Because induction lamps are electrodeless, manufacturers claim a lifetime of 60,000 to 100,000 hours. In addition to energy savings, this longer lifetime can greatly reduce maintenance costs. Moreover, the spectrum and quality of light from induction sources provide excellent color rendering at CRI=80 or higher, compared to a CRI in the range of 65 to 75 for standard metal halide lamps as stated in the previous section.</w:t>
      </w:r>
    </w:p>
    <w:p w:rsidR="00044DD1" w:rsidRPr="00044DD1" w:rsidRDefault="00044DD1" w:rsidP="00044DD1">
      <w:pPr>
        <w:rPr>
          <w:sz w:val="20"/>
          <w:szCs w:val="20"/>
        </w:rPr>
      </w:pPr>
    </w:p>
    <w:p w:rsidR="00044DD1" w:rsidRPr="00044DD1" w:rsidRDefault="00044DD1" w:rsidP="00044DD1">
      <w:pPr>
        <w:rPr>
          <w:sz w:val="20"/>
          <w:szCs w:val="20"/>
        </w:rPr>
      </w:pPr>
      <w:r w:rsidRPr="00044DD1">
        <w:rPr>
          <w:sz w:val="20"/>
          <w:szCs w:val="20"/>
        </w:rPr>
        <w:t xml:space="preserve">Induction fixtures that can be used in exterior applications are manufactured by several manufacturers in the US, Europe, and Asia. </w:t>
      </w:r>
    </w:p>
    <w:p w:rsidR="00044DD1" w:rsidRPr="00044DD1" w:rsidRDefault="00044DD1" w:rsidP="00044DD1">
      <w:pPr>
        <w:jc w:val="center"/>
        <w:rPr>
          <w:sz w:val="20"/>
          <w:szCs w:val="20"/>
        </w:rPr>
      </w:pPr>
    </w:p>
    <w:p w:rsidR="00044DD1" w:rsidRPr="00044DD1" w:rsidRDefault="00044DD1" w:rsidP="00044DD1">
      <w:pPr>
        <w:pStyle w:val="Caption"/>
        <w:keepNext/>
        <w:jc w:val="center"/>
      </w:pPr>
      <w:bookmarkStart w:id="39" w:name="_Toc334015640"/>
      <w:r w:rsidRPr="00044DD1">
        <w:lastRenderedPageBreak/>
        <w:t xml:space="preserve">Figure </w:t>
      </w:r>
      <w:fldSimple w:instr=" SEQ Figure \* ARABIC ">
        <w:r w:rsidRPr="00044DD1">
          <w:rPr>
            <w:noProof/>
          </w:rPr>
          <w:t>1</w:t>
        </w:r>
      </w:fldSimple>
      <w:r w:rsidRPr="00044DD1">
        <w:t xml:space="preserve"> 1970 Patent Drawing of Electrodeless Fluorescent Lamp</w:t>
      </w:r>
      <w:bookmarkEnd w:id="39"/>
    </w:p>
    <w:p w:rsidR="00044DD1" w:rsidRPr="00044DD1" w:rsidRDefault="00044DD1" w:rsidP="00044DD1">
      <w:pPr>
        <w:pStyle w:val="Caption"/>
        <w:keepNext/>
        <w:jc w:val="center"/>
      </w:pPr>
      <w:r w:rsidRPr="00044DD1">
        <w:rPr>
          <w:b w:val="0"/>
        </w:rPr>
        <w:t>(</w:t>
      </w:r>
      <w:r w:rsidRPr="00044DD1">
        <w:rPr>
          <w:b w:val="0"/>
          <w:bCs w:val="0"/>
        </w:rPr>
        <w:t>Drawing pages of patent US3521120 A)</w:t>
      </w:r>
      <w:r w:rsidRPr="00044DD1">
        <w:rPr>
          <w:rStyle w:val="EndnoteReference"/>
          <w:b w:val="0"/>
          <w:bCs w:val="0"/>
        </w:rPr>
        <w:endnoteReference w:id="2"/>
      </w:r>
    </w:p>
    <w:p w:rsidR="00044DD1" w:rsidRPr="00044DD1" w:rsidRDefault="00044DD1" w:rsidP="00044DD1">
      <w:pPr>
        <w:jc w:val="center"/>
        <w:rPr>
          <w:sz w:val="20"/>
          <w:szCs w:val="20"/>
        </w:rPr>
      </w:pPr>
      <w:r w:rsidRPr="00044DD1">
        <w:rPr>
          <w:noProof/>
          <w:sz w:val="20"/>
          <w:szCs w:val="20"/>
        </w:rPr>
        <w:drawing>
          <wp:inline distT="0" distB="0" distL="0" distR="0" wp14:anchorId="274BF437" wp14:editId="27E499CE">
            <wp:extent cx="3638550" cy="5334000"/>
            <wp:effectExtent l="19050" t="19050" r="19050"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38550" cy="5334000"/>
                    </a:xfrm>
                    <a:prstGeom prst="rect">
                      <a:avLst/>
                    </a:prstGeom>
                    <a:noFill/>
                    <a:ln w="6350" cmpd="sng">
                      <a:solidFill>
                        <a:srgbClr val="000000"/>
                      </a:solidFill>
                      <a:miter lim="800000"/>
                      <a:headEnd/>
                      <a:tailEnd/>
                    </a:ln>
                    <a:effectLst/>
                  </pic:spPr>
                </pic:pic>
              </a:graphicData>
            </a:graphic>
          </wp:inline>
        </w:drawing>
      </w:r>
    </w:p>
    <w:p w:rsidR="00784500" w:rsidRPr="00044DD1" w:rsidRDefault="009C5CA7" w:rsidP="00044DD1">
      <w:pPr>
        <w:pStyle w:val="Heading2"/>
        <w:keepNext w:val="0"/>
      </w:pPr>
      <w:bookmarkStart w:id="40" w:name="_Toc304800203"/>
      <w:bookmarkStart w:id="41" w:name="_Toc324318339"/>
      <w:bookmarkStart w:id="42" w:name="_Toc324340483"/>
      <w:bookmarkStart w:id="43" w:name="_Toc438561231"/>
      <w:r>
        <w:t>1.</w:t>
      </w:r>
      <w:r w:rsidR="00806070">
        <w:t>3</w:t>
      </w:r>
      <w:r>
        <w:t xml:space="preserve"> </w:t>
      </w:r>
      <w:r w:rsidR="002E6162">
        <w:t xml:space="preserve">Measure Application </w:t>
      </w:r>
      <w:bookmarkEnd w:id="40"/>
      <w:r w:rsidR="002E6162">
        <w:t>Type</w:t>
      </w:r>
      <w:bookmarkEnd w:id="41"/>
      <w:bookmarkEnd w:id="42"/>
      <w:bookmarkEnd w:id="43"/>
      <w:r w:rsidR="00FA595F">
        <w:t xml:space="preserve"> </w:t>
      </w:r>
    </w:p>
    <w:p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5"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DEER2011 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rsidR="009C5CA7" w:rsidRPr="00F65942" w:rsidRDefault="009C5CA7" w:rsidP="009C5CA7">
      <w:pPr>
        <w:rPr>
          <w:i/>
        </w:rPr>
      </w:pPr>
    </w:p>
    <w:p w:rsidR="00BD02D0" w:rsidRPr="003541A6" w:rsidRDefault="00BD02D0" w:rsidP="00E07796">
      <w:pPr>
        <w:pStyle w:val="Caption"/>
        <w:keepNext/>
        <w:jc w:val="center"/>
        <w:rPr>
          <w:rFonts w:ascii="Calibri" w:hAnsi="Calibri" w:cs="Calibri"/>
          <w:sz w:val="26"/>
          <w:szCs w:val="26"/>
        </w:rPr>
      </w:pPr>
      <w:bookmarkStart w:id="44" w:name="_Toc438561251"/>
      <w:r w:rsidRPr="003541A6">
        <w:lastRenderedPageBreak/>
        <w:t xml:space="preserve">Table </w:t>
      </w:r>
      <w:fldSimple w:instr=" SEQ Table \* ARABIC ">
        <w:r w:rsidR="00B05720">
          <w:rPr>
            <w:noProof/>
          </w:rPr>
          <w:t>3</w:t>
        </w:r>
      </w:fldSimple>
      <w:bookmarkStart w:id="45"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5"/>
      <w:r w:rsidR="00C87539">
        <w:rPr>
          <w:rStyle w:val="EndnoteReference"/>
          <w:rFonts w:cs="Arial"/>
        </w:rPr>
        <w:endnoteReference w:id="3"/>
      </w:r>
      <w:bookmarkEnd w:id="44"/>
    </w:p>
    <w:p w:rsidR="00BD02D0" w:rsidRPr="00BD02D0" w:rsidRDefault="00BD02D0" w:rsidP="00BD02D0">
      <w:pPr>
        <w:keepNext/>
      </w:pPr>
      <w:r>
        <w:rPr>
          <w:rFonts w:ascii="Calibri" w:hAnsi="Calibri" w:cs="Calibri"/>
          <w:i/>
          <w:iCs/>
          <w:szCs w:val="22"/>
        </w:rPr>
        <w:t>I</w:t>
      </w:r>
      <w:r w:rsidRPr="00453CE7">
        <w:rPr>
          <w:rFonts w:ascii="Calibri" w:hAnsi="Calibri" w:cs="Calibri"/>
          <w:i/>
          <w:iCs/>
          <w:szCs w:val="22"/>
        </w:rPr>
        <w:t xml:space="preserve">dentifies the measure application type in the Measure </w:t>
      </w:r>
      <w:r w:rsidR="008B1BAF" w:rsidRPr="00453CE7">
        <w:rPr>
          <w:rFonts w:ascii="Calibri" w:hAnsi="Calibri" w:cs="Calibri"/>
          <w:i/>
          <w:iCs/>
          <w:szCs w:val="22"/>
        </w:rPr>
        <w:t>Implementation</w:t>
      </w:r>
      <w:r w:rsidRPr="00453CE7">
        <w:rPr>
          <w:rFonts w:ascii="Calibri" w:hAnsi="Calibri" w:cs="Calibri"/>
          <w:i/>
          <w:iCs/>
          <w:szCs w:val="22"/>
        </w:rPr>
        <w:t xml:space="preserve"> table</w:t>
      </w:r>
      <w:r w:rsidR="003541A6">
        <w:rPr>
          <w:rFonts w:ascii="Calibri" w:hAnsi="Calibri" w:cs="Calibri"/>
          <w:i/>
          <w:iCs/>
          <w:szCs w:val="22"/>
        </w:rPr>
        <w:t xml:space="preserve"> in DEER2011.</w:t>
      </w:r>
    </w:p>
    <w:tbl>
      <w:tblPr>
        <w:tblW w:w="9090" w:type="dxa"/>
        <w:tblInd w:w="108" w:type="dxa"/>
        <w:tblLook w:val="04A0" w:firstRow="1" w:lastRow="0" w:firstColumn="1" w:lastColumn="0" w:noHBand="0" w:noVBand="1"/>
      </w:tblPr>
      <w:tblGrid>
        <w:gridCol w:w="900"/>
        <w:gridCol w:w="2610"/>
        <w:gridCol w:w="5580"/>
      </w:tblGrid>
      <w:tr w:rsidR="00DC4019" w:rsidRPr="00BD02D0"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BD02D0" w:rsidRPr="00BD02D0"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544873" w:rsidRPr="00453CE7" w:rsidRDefault="00544873" w:rsidP="00F52572">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rsidR="00544873" w:rsidRPr="00453CE7" w:rsidRDefault="00544873" w:rsidP="00F5257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544873" w:rsidRPr="00453CE7" w:rsidRDefault="00544873" w:rsidP="00F5257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rsidR="00D73550" w:rsidRDefault="00D73550" w:rsidP="002E0043"/>
    <w:p w:rsidR="00044DD1" w:rsidRPr="00044DD1" w:rsidRDefault="00044DD1" w:rsidP="002E0043">
      <w:pPr>
        <w:rPr>
          <w:sz w:val="20"/>
        </w:rPr>
      </w:pPr>
      <w:r>
        <w:rPr>
          <w:sz w:val="20"/>
        </w:rPr>
        <w:t>These measures are identified as ROB, or replace on burnout.</w:t>
      </w:r>
    </w:p>
    <w:p w:rsidR="009003FE" w:rsidRPr="00044DD1" w:rsidRDefault="00806070" w:rsidP="00044DD1">
      <w:pPr>
        <w:pStyle w:val="Heading2"/>
      </w:pPr>
      <w:bookmarkStart w:id="46" w:name="_Toc304800204"/>
      <w:bookmarkStart w:id="47" w:name="_Toc324318340"/>
      <w:bookmarkStart w:id="48" w:name="_Toc324340484"/>
      <w:bookmarkStart w:id="49" w:name="_Toc438561232"/>
      <w:r>
        <w:t>1.4 Product Base Case and Measure Case Data</w:t>
      </w:r>
      <w:bookmarkEnd w:id="46"/>
      <w:bookmarkEnd w:id="47"/>
      <w:bookmarkEnd w:id="48"/>
      <w:bookmarkEnd w:id="49"/>
    </w:p>
    <w:p w:rsidR="00D44FBA" w:rsidRDefault="00D44FBA" w:rsidP="00D44FBA">
      <w:pPr>
        <w:rPr>
          <w:sz w:val="20"/>
        </w:rPr>
      </w:pPr>
      <w:bookmarkStart w:id="50" w:name="_Toc304800205"/>
      <w:bookmarkStart w:id="51" w:name="_Toc324318341"/>
      <w:bookmarkStart w:id="52" w:name="_Toc324340485"/>
      <w:r w:rsidRPr="00D44FBA">
        <w:rPr>
          <w:sz w:val="20"/>
        </w:rPr>
        <w:t xml:space="preserve">The base case is </w:t>
      </w:r>
      <w:r w:rsidR="00E07796">
        <w:rPr>
          <w:sz w:val="20"/>
        </w:rPr>
        <w:t>either a metal halide or high pressure sodium fixt</w:t>
      </w:r>
      <w:r w:rsidR="001B04D4">
        <w:rPr>
          <w:sz w:val="20"/>
        </w:rPr>
        <w:t>ure.  The base case wattages are from DEER 2016</w:t>
      </w:r>
      <w:r>
        <w:rPr>
          <w:sz w:val="20"/>
        </w:rPr>
        <w:t>.</w:t>
      </w:r>
    </w:p>
    <w:p w:rsidR="002705A8" w:rsidRDefault="002705A8" w:rsidP="00D44FBA">
      <w:pPr>
        <w:rPr>
          <w:sz w:val="20"/>
        </w:rPr>
      </w:pPr>
    </w:p>
    <w:tbl>
      <w:tblPr>
        <w:tblStyle w:val="TableGrid"/>
        <w:tblW w:w="0" w:type="auto"/>
        <w:jc w:val="center"/>
        <w:tblLook w:val="04A0" w:firstRow="1" w:lastRow="0" w:firstColumn="1" w:lastColumn="0" w:noHBand="0" w:noVBand="1"/>
      </w:tblPr>
      <w:tblGrid>
        <w:gridCol w:w="1345"/>
        <w:gridCol w:w="3141"/>
        <w:gridCol w:w="2545"/>
        <w:gridCol w:w="2545"/>
      </w:tblGrid>
      <w:tr w:rsidR="00E81678" w:rsidRPr="00E07796" w:rsidTr="00B05720">
        <w:trPr>
          <w:jc w:val="center"/>
        </w:trPr>
        <w:tc>
          <w:tcPr>
            <w:tcW w:w="1345" w:type="dxa"/>
            <w:shd w:val="clear" w:color="auto" w:fill="D9D9D9" w:themeFill="background1" w:themeFillShade="D9"/>
            <w:vAlign w:val="center"/>
          </w:tcPr>
          <w:p w:rsidR="00E81678" w:rsidRPr="00E07796" w:rsidRDefault="00E81678" w:rsidP="002705A8">
            <w:pPr>
              <w:jc w:val="center"/>
              <w:rPr>
                <w:rFonts w:cs="Arial"/>
                <w:b/>
                <w:sz w:val="20"/>
              </w:rPr>
            </w:pPr>
            <w:r w:rsidRPr="00E07796">
              <w:rPr>
                <w:rFonts w:cs="Arial"/>
                <w:b/>
                <w:sz w:val="20"/>
              </w:rPr>
              <w:t>Product Code</w:t>
            </w:r>
          </w:p>
        </w:tc>
        <w:tc>
          <w:tcPr>
            <w:tcW w:w="3141" w:type="dxa"/>
            <w:shd w:val="clear" w:color="auto" w:fill="D9D9D9" w:themeFill="background1" w:themeFillShade="D9"/>
            <w:vAlign w:val="center"/>
          </w:tcPr>
          <w:p w:rsidR="00E81678" w:rsidRPr="00E07796" w:rsidRDefault="00E81678" w:rsidP="002705A8">
            <w:pPr>
              <w:jc w:val="center"/>
              <w:rPr>
                <w:rFonts w:cs="Arial"/>
                <w:b/>
                <w:sz w:val="20"/>
              </w:rPr>
            </w:pPr>
            <w:r w:rsidRPr="00E07796">
              <w:rPr>
                <w:rFonts w:cs="Arial"/>
                <w:b/>
                <w:sz w:val="20"/>
              </w:rPr>
              <w:t>Measure Description</w:t>
            </w:r>
          </w:p>
        </w:tc>
        <w:tc>
          <w:tcPr>
            <w:tcW w:w="2545" w:type="dxa"/>
            <w:shd w:val="clear" w:color="auto" w:fill="D9D9D9" w:themeFill="background1" w:themeFillShade="D9"/>
          </w:tcPr>
          <w:p w:rsidR="00E81678" w:rsidRDefault="00E81678" w:rsidP="002705A8">
            <w:pPr>
              <w:jc w:val="center"/>
              <w:rPr>
                <w:rFonts w:cs="Arial"/>
                <w:b/>
                <w:sz w:val="20"/>
              </w:rPr>
            </w:pPr>
            <w:r>
              <w:rPr>
                <w:rFonts w:cs="Arial"/>
                <w:b/>
                <w:sz w:val="20"/>
              </w:rPr>
              <w:t>Measure Case Fixture Wattage</w:t>
            </w:r>
          </w:p>
        </w:tc>
        <w:tc>
          <w:tcPr>
            <w:tcW w:w="2545" w:type="dxa"/>
            <w:shd w:val="clear" w:color="auto" w:fill="D9D9D9" w:themeFill="background1" w:themeFillShade="D9"/>
            <w:vAlign w:val="center"/>
          </w:tcPr>
          <w:p w:rsidR="00E81678" w:rsidRPr="00E07796" w:rsidRDefault="00E81678" w:rsidP="002705A8">
            <w:pPr>
              <w:jc w:val="center"/>
              <w:rPr>
                <w:rFonts w:cs="Arial"/>
                <w:b/>
                <w:sz w:val="20"/>
              </w:rPr>
            </w:pPr>
            <w:r>
              <w:rPr>
                <w:rFonts w:cs="Arial"/>
                <w:b/>
                <w:sz w:val="20"/>
              </w:rPr>
              <w:t>Base Case Technology and Fixture Wattage</w:t>
            </w:r>
          </w:p>
        </w:tc>
      </w:tr>
      <w:tr w:rsidR="00E81678" w:rsidRPr="00E07796" w:rsidTr="00E81678">
        <w:trPr>
          <w:jc w:val="center"/>
        </w:trPr>
        <w:tc>
          <w:tcPr>
            <w:tcW w:w="1345" w:type="dxa"/>
            <w:vAlign w:val="center"/>
          </w:tcPr>
          <w:p w:rsidR="00E81678" w:rsidRPr="00E07796" w:rsidRDefault="00E81678" w:rsidP="00B05720">
            <w:pPr>
              <w:jc w:val="center"/>
              <w:rPr>
                <w:rFonts w:cs="Arial"/>
                <w:sz w:val="20"/>
              </w:rPr>
            </w:pPr>
            <w:r w:rsidRPr="00E07796">
              <w:rPr>
                <w:rFonts w:cs="Arial"/>
                <w:sz w:val="20"/>
              </w:rPr>
              <w:t>L0262</w:t>
            </w:r>
          </w:p>
        </w:tc>
        <w:tc>
          <w:tcPr>
            <w:tcW w:w="3141" w:type="dxa"/>
            <w:vAlign w:val="center"/>
          </w:tcPr>
          <w:p w:rsidR="00E81678" w:rsidRPr="00E07796" w:rsidRDefault="00E81678" w:rsidP="00B05720">
            <w:pPr>
              <w:jc w:val="center"/>
              <w:rPr>
                <w:rFonts w:cs="Arial"/>
                <w:sz w:val="20"/>
              </w:rPr>
            </w:pPr>
            <w:r w:rsidRPr="00E07796">
              <w:rPr>
                <w:rFonts w:cs="Arial"/>
                <w:sz w:val="20"/>
              </w:rPr>
              <w:t>FIXTURE EXT INDUCTION  ≤ 70 WATTS</w:t>
            </w:r>
          </w:p>
        </w:tc>
        <w:tc>
          <w:tcPr>
            <w:tcW w:w="2545" w:type="dxa"/>
            <w:vAlign w:val="center"/>
          </w:tcPr>
          <w:p w:rsidR="00E81678" w:rsidRDefault="00E81678" w:rsidP="00E81678">
            <w:pPr>
              <w:jc w:val="center"/>
              <w:rPr>
                <w:rFonts w:cs="Arial"/>
                <w:sz w:val="20"/>
              </w:rPr>
            </w:pPr>
            <w:r>
              <w:rPr>
                <w:rFonts w:cs="Arial"/>
                <w:sz w:val="20"/>
              </w:rPr>
              <w:t>70 W</w:t>
            </w:r>
          </w:p>
        </w:tc>
        <w:tc>
          <w:tcPr>
            <w:tcW w:w="2545" w:type="dxa"/>
            <w:vAlign w:val="center"/>
          </w:tcPr>
          <w:p w:rsidR="00E81678" w:rsidRPr="00E07796" w:rsidRDefault="00E81678" w:rsidP="002705A8">
            <w:pPr>
              <w:jc w:val="center"/>
              <w:rPr>
                <w:rFonts w:cs="Arial"/>
                <w:sz w:val="20"/>
              </w:rPr>
            </w:pPr>
            <w:r>
              <w:rPr>
                <w:rFonts w:cs="Arial"/>
                <w:sz w:val="20"/>
              </w:rPr>
              <w:t>Metal Halide 120 W</w:t>
            </w:r>
          </w:p>
        </w:tc>
      </w:tr>
      <w:tr w:rsidR="00E81678" w:rsidRPr="00E07796" w:rsidTr="00E81678">
        <w:trPr>
          <w:jc w:val="center"/>
        </w:trPr>
        <w:tc>
          <w:tcPr>
            <w:tcW w:w="1345" w:type="dxa"/>
            <w:vAlign w:val="center"/>
          </w:tcPr>
          <w:p w:rsidR="00E81678" w:rsidRPr="00E07796" w:rsidRDefault="00E81678" w:rsidP="00B05720">
            <w:pPr>
              <w:jc w:val="center"/>
              <w:rPr>
                <w:rFonts w:cs="Arial"/>
                <w:sz w:val="20"/>
              </w:rPr>
            </w:pPr>
            <w:r w:rsidRPr="00E07796">
              <w:rPr>
                <w:rFonts w:cs="Arial"/>
                <w:sz w:val="20"/>
              </w:rPr>
              <w:t>L0263</w:t>
            </w:r>
          </w:p>
        </w:tc>
        <w:tc>
          <w:tcPr>
            <w:tcW w:w="3141" w:type="dxa"/>
            <w:vAlign w:val="center"/>
          </w:tcPr>
          <w:p w:rsidR="00E81678" w:rsidRPr="00E07796" w:rsidRDefault="00E81678" w:rsidP="00B05720">
            <w:pPr>
              <w:jc w:val="center"/>
              <w:rPr>
                <w:rFonts w:cs="Arial"/>
                <w:sz w:val="20"/>
              </w:rPr>
            </w:pPr>
            <w:r w:rsidRPr="00E07796">
              <w:rPr>
                <w:rFonts w:cs="Arial"/>
                <w:sz w:val="20"/>
              </w:rPr>
              <w:t>FIXTURE EXT INDUCTION &gt; 70 -100 WATTS</w:t>
            </w:r>
          </w:p>
        </w:tc>
        <w:tc>
          <w:tcPr>
            <w:tcW w:w="2545" w:type="dxa"/>
            <w:vAlign w:val="center"/>
          </w:tcPr>
          <w:p w:rsidR="00E81678" w:rsidRDefault="00E81678" w:rsidP="00E81678">
            <w:pPr>
              <w:jc w:val="center"/>
              <w:rPr>
                <w:rFonts w:cs="Arial"/>
                <w:sz w:val="20"/>
              </w:rPr>
            </w:pPr>
            <w:r>
              <w:rPr>
                <w:rFonts w:cs="Arial"/>
                <w:sz w:val="20"/>
              </w:rPr>
              <w:t>100 W</w:t>
            </w:r>
          </w:p>
        </w:tc>
        <w:tc>
          <w:tcPr>
            <w:tcW w:w="2545" w:type="dxa"/>
            <w:vAlign w:val="center"/>
          </w:tcPr>
          <w:p w:rsidR="00E81678" w:rsidRPr="00E07796" w:rsidRDefault="00E81678" w:rsidP="002705A8">
            <w:pPr>
              <w:jc w:val="center"/>
              <w:rPr>
                <w:rFonts w:cs="Arial"/>
                <w:sz w:val="20"/>
              </w:rPr>
            </w:pPr>
            <w:r>
              <w:rPr>
                <w:rFonts w:cs="Arial"/>
                <w:sz w:val="20"/>
              </w:rPr>
              <w:t>High Pressure Sodium 190 W</w:t>
            </w:r>
          </w:p>
        </w:tc>
      </w:tr>
      <w:tr w:rsidR="00E81678" w:rsidRPr="00E07796" w:rsidTr="00E81678">
        <w:trPr>
          <w:jc w:val="center"/>
        </w:trPr>
        <w:tc>
          <w:tcPr>
            <w:tcW w:w="1345" w:type="dxa"/>
            <w:vAlign w:val="center"/>
          </w:tcPr>
          <w:p w:rsidR="00E81678" w:rsidRPr="00E07796" w:rsidRDefault="00E81678" w:rsidP="00B05720">
            <w:pPr>
              <w:jc w:val="center"/>
              <w:rPr>
                <w:rFonts w:cs="Arial"/>
                <w:sz w:val="20"/>
              </w:rPr>
            </w:pPr>
            <w:r w:rsidRPr="00E07796">
              <w:rPr>
                <w:rFonts w:cs="Arial"/>
                <w:sz w:val="20"/>
              </w:rPr>
              <w:t>L0264</w:t>
            </w:r>
          </w:p>
        </w:tc>
        <w:tc>
          <w:tcPr>
            <w:tcW w:w="3141" w:type="dxa"/>
            <w:vAlign w:val="center"/>
          </w:tcPr>
          <w:p w:rsidR="00E81678" w:rsidRPr="00E07796" w:rsidRDefault="00E81678" w:rsidP="00B05720">
            <w:pPr>
              <w:jc w:val="center"/>
              <w:rPr>
                <w:rFonts w:cs="Arial"/>
                <w:sz w:val="20"/>
              </w:rPr>
            </w:pPr>
            <w:r w:rsidRPr="00E07796">
              <w:rPr>
                <w:rFonts w:cs="Arial"/>
                <w:sz w:val="20"/>
              </w:rPr>
              <w:t>FIXTURE EXT INDUCTION &gt; 100 -120 WATTS</w:t>
            </w:r>
          </w:p>
        </w:tc>
        <w:tc>
          <w:tcPr>
            <w:tcW w:w="2545" w:type="dxa"/>
            <w:vAlign w:val="center"/>
          </w:tcPr>
          <w:p w:rsidR="00E81678" w:rsidRDefault="00E81678" w:rsidP="00E81678">
            <w:pPr>
              <w:jc w:val="center"/>
              <w:rPr>
                <w:rFonts w:cs="Arial"/>
                <w:sz w:val="20"/>
              </w:rPr>
            </w:pPr>
            <w:r>
              <w:rPr>
                <w:rFonts w:cs="Arial"/>
                <w:sz w:val="20"/>
              </w:rPr>
              <w:t>120 W</w:t>
            </w:r>
          </w:p>
        </w:tc>
        <w:tc>
          <w:tcPr>
            <w:tcW w:w="2545" w:type="dxa"/>
            <w:vAlign w:val="center"/>
          </w:tcPr>
          <w:p w:rsidR="00E81678" w:rsidRPr="00E07796" w:rsidRDefault="00E81678" w:rsidP="00E81678">
            <w:pPr>
              <w:jc w:val="center"/>
              <w:rPr>
                <w:rFonts w:cs="Arial"/>
                <w:sz w:val="20"/>
              </w:rPr>
            </w:pPr>
            <w:r>
              <w:rPr>
                <w:rFonts w:cs="Arial"/>
                <w:sz w:val="20"/>
              </w:rPr>
              <w:t>High Pressure Sodium 230 W</w:t>
            </w:r>
          </w:p>
        </w:tc>
      </w:tr>
      <w:tr w:rsidR="00E81678" w:rsidRPr="00E07796" w:rsidTr="00E81678">
        <w:trPr>
          <w:jc w:val="center"/>
        </w:trPr>
        <w:tc>
          <w:tcPr>
            <w:tcW w:w="1345" w:type="dxa"/>
            <w:vAlign w:val="center"/>
          </w:tcPr>
          <w:p w:rsidR="00E81678" w:rsidRPr="00E07796" w:rsidRDefault="00E81678" w:rsidP="002705A8">
            <w:pPr>
              <w:jc w:val="center"/>
              <w:rPr>
                <w:rFonts w:cs="Arial"/>
                <w:sz w:val="20"/>
              </w:rPr>
            </w:pPr>
            <w:r w:rsidRPr="00E07796">
              <w:rPr>
                <w:rFonts w:cs="Arial"/>
                <w:sz w:val="20"/>
              </w:rPr>
              <w:t>L0265</w:t>
            </w:r>
          </w:p>
        </w:tc>
        <w:tc>
          <w:tcPr>
            <w:tcW w:w="3141" w:type="dxa"/>
            <w:vAlign w:val="center"/>
          </w:tcPr>
          <w:p w:rsidR="00E81678" w:rsidRPr="00E07796" w:rsidRDefault="00E81678" w:rsidP="002705A8">
            <w:pPr>
              <w:jc w:val="center"/>
              <w:rPr>
                <w:rFonts w:cs="Arial"/>
                <w:sz w:val="20"/>
              </w:rPr>
            </w:pPr>
            <w:r w:rsidRPr="00E07796">
              <w:rPr>
                <w:rFonts w:cs="Arial"/>
                <w:sz w:val="20"/>
              </w:rPr>
              <w:t>FIXTURE EXT INDUCTION &gt; 180-250 WATTS</w:t>
            </w:r>
          </w:p>
        </w:tc>
        <w:tc>
          <w:tcPr>
            <w:tcW w:w="2545" w:type="dxa"/>
            <w:vAlign w:val="center"/>
          </w:tcPr>
          <w:p w:rsidR="00E81678" w:rsidRDefault="00E81678" w:rsidP="00E81678">
            <w:pPr>
              <w:jc w:val="center"/>
              <w:rPr>
                <w:rFonts w:cs="Arial"/>
                <w:sz w:val="20"/>
              </w:rPr>
            </w:pPr>
            <w:r>
              <w:rPr>
                <w:rFonts w:cs="Arial"/>
                <w:sz w:val="20"/>
              </w:rPr>
              <w:t>250 W</w:t>
            </w:r>
          </w:p>
        </w:tc>
        <w:tc>
          <w:tcPr>
            <w:tcW w:w="2545" w:type="dxa"/>
            <w:vAlign w:val="center"/>
          </w:tcPr>
          <w:p w:rsidR="00E81678" w:rsidRPr="00E07796" w:rsidRDefault="00E81678" w:rsidP="00E81678">
            <w:pPr>
              <w:jc w:val="center"/>
              <w:rPr>
                <w:rFonts w:cs="Arial"/>
                <w:sz w:val="20"/>
              </w:rPr>
            </w:pPr>
            <w:r>
              <w:rPr>
                <w:rFonts w:cs="Arial"/>
                <w:sz w:val="20"/>
              </w:rPr>
              <w:t>High Pressure Sodium 468 W</w:t>
            </w:r>
          </w:p>
        </w:tc>
      </w:tr>
      <w:tr w:rsidR="00E81678" w:rsidRPr="00E07796" w:rsidTr="00E81678">
        <w:trPr>
          <w:jc w:val="center"/>
        </w:trPr>
        <w:tc>
          <w:tcPr>
            <w:tcW w:w="1345" w:type="dxa"/>
            <w:vAlign w:val="center"/>
          </w:tcPr>
          <w:p w:rsidR="00E81678" w:rsidRPr="00E07796" w:rsidRDefault="00E81678" w:rsidP="002705A8">
            <w:pPr>
              <w:jc w:val="center"/>
              <w:rPr>
                <w:rFonts w:cs="Arial"/>
                <w:sz w:val="20"/>
              </w:rPr>
            </w:pPr>
            <w:r w:rsidRPr="00E07796">
              <w:rPr>
                <w:rFonts w:cs="Arial"/>
                <w:sz w:val="20"/>
              </w:rPr>
              <w:t>L0267</w:t>
            </w:r>
          </w:p>
        </w:tc>
        <w:tc>
          <w:tcPr>
            <w:tcW w:w="3141" w:type="dxa"/>
            <w:vAlign w:val="center"/>
          </w:tcPr>
          <w:p w:rsidR="00E81678" w:rsidRPr="00E07796" w:rsidRDefault="00E81678" w:rsidP="002705A8">
            <w:pPr>
              <w:jc w:val="center"/>
              <w:rPr>
                <w:rFonts w:cs="Arial"/>
                <w:sz w:val="20"/>
              </w:rPr>
            </w:pPr>
            <w:r w:rsidRPr="00E07796">
              <w:rPr>
                <w:rFonts w:cs="Arial"/>
                <w:sz w:val="20"/>
              </w:rPr>
              <w:t>FIXTURE EXT INDUCTION &gt; 120-180 WATTS</w:t>
            </w:r>
          </w:p>
        </w:tc>
        <w:tc>
          <w:tcPr>
            <w:tcW w:w="2545" w:type="dxa"/>
            <w:vAlign w:val="center"/>
          </w:tcPr>
          <w:p w:rsidR="00E81678" w:rsidRDefault="00E81678" w:rsidP="00E81678">
            <w:pPr>
              <w:jc w:val="center"/>
              <w:rPr>
                <w:rFonts w:cs="Arial"/>
                <w:sz w:val="20"/>
              </w:rPr>
            </w:pPr>
            <w:r>
              <w:rPr>
                <w:rFonts w:cs="Arial"/>
                <w:sz w:val="20"/>
              </w:rPr>
              <w:t>180 W</w:t>
            </w:r>
          </w:p>
        </w:tc>
        <w:tc>
          <w:tcPr>
            <w:tcW w:w="2545" w:type="dxa"/>
            <w:vAlign w:val="center"/>
          </w:tcPr>
          <w:p w:rsidR="00E81678" w:rsidRPr="00E07796" w:rsidRDefault="00E81678" w:rsidP="00E81678">
            <w:pPr>
              <w:jc w:val="center"/>
              <w:rPr>
                <w:rFonts w:cs="Arial"/>
                <w:sz w:val="20"/>
              </w:rPr>
            </w:pPr>
            <w:r>
              <w:rPr>
                <w:rFonts w:cs="Arial"/>
                <w:sz w:val="20"/>
              </w:rPr>
              <w:t>High Pressure Sodium 295 W</w:t>
            </w:r>
          </w:p>
        </w:tc>
      </w:tr>
    </w:tbl>
    <w:p w:rsidR="002705A8" w:rsidRPr="00D44FBA" w:rsidRDefault="002705A8" w:rsidP="00D44FBA">
      <w:pPr>
        <w:rPr>
          <w:sz w:val="20"/>
        </w:rPr>
      </w:pPr>
    </w:p>
    <w:p w:rsidR="00BE5E74" w:rsidRPr="00044DD1" w:rsidRDefault="001248A3" w:rsidP="00044DD1">
      <w:pPr>
        <w:pStyle w:val="Heading2"/>
      </w:pPr>
      <w:bookmarkStart w:id="53" w:name="_Toc438561233"/>
      <w:r>
        <w:t>1.</w:t>
      </w:r>
      <w:r w:rsidR="00806070">
        <w:t>4.1</w:t>
      </w:r>
      <w:r w:rsidR="00FA595F">
        <w:t xml:space="preserve"> </w:t>
      </w:r>
      <w:r w:rsidR="00C069A2" w:rsidRPr="001248A3">
        <w:t xml:space="preserve">DEER </w:t>
      </w:r>
      <w:r w:rsidR="008C6AD1">
        <w:t>Base Case and Measure Case Information</w:t>
      </w:r>
      <w:bookmarkEnd w:id="50"/>
      <w:bookmarkEnd w:id="51"/>
      <w:bookmarkEnd w:id="52"/>
      <w:bookmarkEnd w:id="53"/>
      <w:r w:rsidR="008C6AD1">
        <w:t xml:space="preserve"> </w:t>
      </w:r>
    </w:p>
    <w:p w:rsidR="00044DD1" w:rsidRPr="00673ED7" w:rsidRDefault="00673ED7" w:rsidP="000F11DD">
      <w:pPr>
        <w:rPr>
          <w:highlight w:val="yellow"/>
        </w:rPr>
      </w:pPr>
      <w:r>
        <w:rPr>
          <w:noProof/>
          <w:sz w:val="20"/>
        </w:rPr>
        <w:t>The DEER READI tool was used to identify the DEER base and measure case</w:t>
      </w:r>
      <w:r w:rsidR="001B04D4">
        <w:rPr>
          <w:noProof/>
          <w:sz w:val="20"/>
        </w:rPr>
        <w:t>s</w:t>
      </w:r>
      <w:r>
        <w:rPr>
          <w:noProof/>
          <w:sz w:val="20"/>
        </w:rPr>
        <w:t>.  Please refer to the Excel calculation workbook for DEER measure IDs.</w:t>
      </w:r>
    </w:p>
    <w:p w:rsidR="00044DD1" w:rsidRDefault="00044DD1" w:rsidP="000F11DD">
      <w:pPr>
        <w:rPr>
          <w:sz w:val="20"/>
        </w:rPr>
      </w:pPr>
    </w:p>
    <w:p w:rsidR="002225FF" w:rsidRDefault="00044DD1" w:rsidP="000F11DD">
      <w:pPr>
        <w:rPr>
          <w:rFonts w:cs="Arial"/>
          <w:b/>
          <w:sz w:val="20"/>
          <w:szCs w:val="20"/>
        </w:rPr>
      </w:pPr>
      <w:r w:rsidRPr="002225FF">
        <w:rPr>
          <w:rFonts w:cs="Arial"/>
          <w:b/>
          <w:sz w:val="20"/>
          <w:szCs w:val="20"/>
        </w:rPr>
        <w:t>Hours of Operation</w:t>
      </w:r>
    </w:p>
    <w:p w:rsidR="00044DD1" w:rsidRPr="002225FF" w:rsidRDefault="00044DD1" w:rsidP="000F11DD">
      <w:pPr>
        <w:rPr>
          <w:rFonts w:cs="Arial"/>
          <w:sz w:val="20"/>
          <w:szCs w:val="20"/>
        </w:rPr>
      </w:pPr>
      <w:r w:rsidRPr="002225FF">
        <w:rPr>
          <w:rFonts w:cs="Arial"/>
          <w:sz w:val="20"/>
          <w:szCs w:val="20"/>
        </w:rPr>
        <w:t>DEER 201</w:t>
      </w:r>
      <w:r w:rsidR="00673ED7" w:rsidRPr="002225FF">
        <w:rPr>
          <w:rFonts w:cs="Arial"/>
          <w:sz w:val="20"/>
          <w:szCs w:val="20"/>
        </w:rPr>
        <w:t>6</w:t>
      </w:r>
      <w:r w:rsidRPr="002225FF">
        <w:rPr>
          <w:rFonts w:cs="Arial"/>
          <w:sz w:val="20"/>
          <w:szCs w:val="20"/>
        </w:rPr>
        <w:t xml:space="preserve"> hours of operation </w:t>
      </w:r>
      <w:r w:rsidR="001B04D4">
        <w:rPr>
          <w:rFonts w:cs="Arial"/>
          <w:sz w:val="20"/>
          <w:szCs w:val="20"/>
        </w:rPr>
        <w:t xml:space="preserve">per year </w:t>
      </w:r>
      <w:r w:rsidRPr="002225FF">
        <w:rPr>
          <w:rFonts w:cs="Arial"/>
          <w:sz w:val="20"/>
          <w:szCs w:val="20"/>
        </w:rPr>
        <w:t>o</w:t>
      </w:r>
      <w:r w:rsidR="0004253C" w:rsidRPr="002225FF">
        <w:rPr>
          <w:rFonts w:cs="Arial"/>
          <w:sz w:val="20"/>
          <w:szCs w:val="20"/>
        </w:rPr>
        <w:t>f 4100 is used</w:t>
      </w:r>
      <w:r w:rsidR="001B04D4">
        <w:rPr>
          <w:rFonts w:cs="Arial"/>
          <w:sz w:val="20"/>
          <w:szCs w:val="20"/>
        </w:rPr>
        <w:t xml:space="preserve"> for exterior applications</w:t>
      </w:r>
      <w:r w:rsidR="0004253C" w:rsidRPr="002225FF">
        <w:rPr>
          <w:rFonts w:cs="Arial"/>
          <w:sz w:val="20"/>
          <w:szCs w:val="20"/>
        </w:rPr>
        <w:t xml:space="preserve">. </w:t>
      </w:r>
      <w:r w:rsidR="00673ED7" w:rsidRPr="002225FF">
        <w:rPr>
          <w:rFonts w:cs="Arial"/>
          <w:sz w:val="20"/>
          <w:szCs w:val="20"/>
        </w:rPr>
        <w:t xml:space="preserve"> </w:t>
      </w:r>
      <w:r w:rsidR="0004253C" w:rsidRPr="002225FF">
        <w:rPr>
          <w:rFonts w:cs="Arial"/>
          <w:sz w:val="20"/>
          <w:szCs w:val="20"/>
        </w:rPr>
        <w:t xml:space="preserve">This estimate was further verified against the </w:t>
      </w:r>
      <w:r w:rsidR="0004253C" w:rsidRPr="002225FF">
        <w:rPr>
          <w:rFonts w:cs="Arial"/>
          <w:i/>
          <w:sz w:val="20"/>
          <w:szCs w:val="20"/>
        </w:rPr>
        <w:t>LS-2 Rate Schedule</w:t>
      </w:r>
      <w:r w:rsidR="0004253C" w:rsidRPr="002225FF">
        <w:rPr>
          <w:rFonts w:cs="Arial"/>
          <w:sz w:val="20"/>
          <w:szCs w:val="20"/>
        </w:rPr>
        <w:t xml:space="preserve"> as a source of current operation practices.</w:t>
      </w:r>
      <w:r w:rsidR="0004253C" w:rsidRPr="002225FF">
        <w:rPr>
          <w:rStyle w:val="EndnoteReference"/>
          <w:rFonts w:cs="Arial"/>
          <w:sz w:val="20"/>
          <w:szCs w:val="20"/>
        </w:rPr>
        <w:endnoteReference w:id="4"/>
      </w:r>
    </w:p>
    <w:p w:rsidR="0004253C" w:rsidRPr="002225FF" w:rsidRDefault="0004253C" w:rsidP="000F11DD">
      <w:pPr>
        <w:rPr>
          <w:rFonts w:cs="Arial"/>
          <w:sz w:val="20"/>
          <w:szCs w:val="20"/>
        </w:rPr>
      </w:pPr>
    </w:p>
    <w:p w:rsidR="0004253C" w:rsidRPr="008F48E1" w:rsidRDefault="0004253C" w:rsidP="0004253C">
      <w:pPr>
        <w:rPr>
          <w:rFonts w:cs="Arial"/>
          <w:sz w:val="20"/>
          <w:szCs w:val="20"/>
        </w:rPr>
      </w:pPr>
      <w:bookmarkStart w:id="54" w:name="Net_to_Gross"/>
      <w:r w:rsidRPr="008F48E1">
        <w:rPr>
          <w:rFonts w:cs="Arial"/>
          <w:b/>
          <w:sz w:val="20"/>
          <w:szCs w:val="20"/>
        </w:rPr>
        <w:t>Net-to-Gross</w:t>
      </w:r>
      <w:bookmarkEnd w:id="54"/>
      <w:r w:rsidRPr="008F48E1">
        <w:rPr>
          <w:rFonts w:cs="Arial"/>
          <w:b/>
          <w:sz w:val="20"/>
          <w:szCs w:val="20"/>
        </w:rPr>
        <w:t xml:space="preserve"> Assumption</w:t>
      </w:r>
      <w:r>
        <w:rPr>
          <w:rFonts w:cs="Arial"/>
          <w:sz w:val="20"/>
          <w:szCs w:val="20"/>
        </w:rPr>
        <w:t xml:space="preserve"> </w:t>
      </w:r>
    </w:p>
    <w:p w:rsidR="0004253C" w:rsidRPr="008F48E1" w:rsidRDefault="00673ED7" w:rsidP="0004253C">
      <w:pPr>
        <w:rPr>
          <w:rFonts w:cs="Arial"/>
          <w:sz w:val="20"/>
          <w:szCs w:val="20"/>
        </w:rPr>
      </w:pPr>
      <w:r>
        <w:rPr>
          <w:rFonts w:cs="Arial"/>
          <w:sz w:val="20"/>
          <w:szCs w:val="20"/>
        </w:rPr>
        <w:t xml:space="preserve">Table 3 </w:t>
      </w:r>
      <w:r w:rsidR="0004253C" w:rsidRPr="008F48E1">
        <w:rPr>
          <w:rFonts w:cs="Arial"/>
          <w:sz w:val="20"/>
          <w:szCs w:val="20"/>
        </w:rPr>
        <w:t>below summarizes all applicable DEER based Net-to-Gross ratios for programs that may be used by this measure.</w:t>
      </w:r>
    </w:p>
    <w:p w:rsidR="00462DFE" w:rsidRDefault="00462DFE" w:rsidP="0004253C">
      <w:pPr>
        <w:pStyle w:val="Caption"/>
        <w:keepNext/>
        <w:jc w:val="center"/>
        <w:rPr>
          <w:rFonts w:cs="Arial"/>
        </w:rPr>
      </w:pPr>
      <w:bookmarkStart w:id="55" w:name="_Ref379552944"/>
      <w:bookmarkStart w:id="56" w:name="_Toc379784375"/>
    </w:p>
    <w:p w:rsidR="0004253C" w:rsidRPr="008F48E1" w:rsidRDefault="0004253C" w:rsidP="0004253C">
      <w:pPr>
        <w:pStyle w:val="Caption"/>
        <w:keepNext/>
        <w:jc w:val="center"/>
        <w:rPr>
          <w:rFonts w:cs="Arial"/>
        </w:rPr>
      </w:pPr>
      <w:bookmarkStart w:id="57" w:name="_Toc438561252"/>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B05720">
        <w:rPr>
          <w:rFonts w:cs="Arial"/>
          <w:noProof/>
        </w:rPr>
        <w:t>4</w:t>
      </w:r>
      <w:r w:rsidRPr="008F48E1">
        <w:rPr>
          <w:rFonts w:cs="Arial"/>
        </w:rPr>
        <w:fldChar w:fldCharType="end"/>
      </w:r>
      <w:bookmarkEnd w:id="55"/>
      <w:r>
        <w:rPr>
          <w:rFonts w:cs="Arial"/>
        </w:rPr>
        <w:t xml:space="preserve"> DEER </w:t>
      </w:r>
      <w:r w:rsidRPr="008F48E1">
        <w:rPr>
          <w:rFonts w:cs="Arial"/>
        </w:rPr>
        <w:t>Net-to-Gross Ratios</w:t>
      </w:r>
      <w:bookmarkEnd w:id="56"/>
      <w:bookmarkEnd w:id="57"/>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673ED7" w:rsidRPr="00673ED7" w:rsidTr="0060169C">
        <w:tc>
          <w:tcPr>
            <w:tcW w:w="808" w:type="pct"/>
            <w:shd w:val="clear" w:color="auto" w:fill="D9D9D9" w:themeFill="background1" w:themeFillShade="D9"/>
            <w:vAlign w:val="center"/>
          </w:tcPr>
          <w:p w:rsidR="00673ED7" w:rsidRPr="00673ED7" w:rsidRDefault="00673ED7" w:rsidP="00673ED7">
            <w:pPr>
              <w:jc w:val="center"/>
              <w:rPr>
                <w:rFonts w:cs="Arial"/>
                <w:b/>
                <w:sz w:val="20"/>
                <w:szCs w:val="20"/>
              </w:rPr>
            </w:pPr>
            <w:r w:rsidRPr="00673ED7">
              <w:rPr>
                <w:rFonts w:cs="Arial"/>
                <w:b/>
                <w:sz w:val="20"/>
                <w:szCs w:val="20"/>
              </w:rPr>
              <w:t>NTGR ID</w:t>
            </w:r>
          </w:p>
        </w:tc>
        <w:tc>
          <w:tcPr>
            <w:tcW w:w="1880" w:type="pct"/>
            <w:shd w:val="clear" w:color="auto" w:fill="D9D9D9" w:themeFill="background1" w:themeFillShade="D9"/>
            <w:vAlign w:val="center"/>
          </w:tcPr>
          <w:p w:rsidR="00673ED7" w:rsidRPr="00673ED7" w:rsidRDefault="00673ED7" w:rsidP="00673ED7">
            <w:pPr>
              <w:jc w:val="center"/>
              <w:rPr>
                <w:rFonts w:cs="Arial"/>
                <w:b/>
                <w:sz w:val="20"/>
                <w:szCs w:val="20"/>
              </w:rPr>
            </w:pPr>
            <w:r w:rsidRPr="00673ED7">
              <w:rPr>
                <w:rFonts w:cs="Arial"/>
                <w:b/>
                <w:sz w:val="20"/>
                <w:szCs w:val="20"/>
              </w:rPr>
              <w:t>Description</w:t>
            </w:r>
          </w:p>
        </w:tc>
        <w:tc>
          <w:tcPr>
            <w:tcW w:w="517" w:type="pct"/>
            <w:shd w:val="clear" w:color="auto" w:fill="D9D9D9" w:themeFill="background1" w:themeFillShade="D9"/>
            <w:vAlign w:val="center"/>
          </w:tcPr>
          <w:p w:rsidR="00673ED7" w:rsidRPr="00673ED7" w:rsidRDefault="00673ED7" w:rsidP="00673ED7">
            <w:pPr>
              <w:jc w:val="center"/>
              <w:rPr>
                <w:rFonts w:cs="Arial"/>
                <w:b/>
                <w:sz w:val="20"/>
                <w:szCs w:val="20"/>
              </w:rPr>
            </w:pPr>
            <w:r w:rsidRPr="00673ED7">
              <w:rPr>
                <w:rFonts w:cs="Arial"/>
                <w:b/>
                <w:sz w:val="20"/>
                <w:szCs w:val="20"/>
              </w:rPr>
              <w:t>Sector</w:t>
            </w:r>
          </w:p>
        </w:tc>
        <w:tc>
          <w:tcPr>
            <w:tcW w:w="611" w:type="pct"/>
            <w:shd w:val="clear" w:color="auto" w:fill="D9D9D9" w:themeFill="background1" w:themeFillShade="D9"/>
            <w:vAlign w:val="center"/>
          </w:tcPr>
          <w:p w:rsidR="00673ED7" w:rsidRPr="00673ED7" w:rsidRDefault="00673ED7" w:rsidP="00673ED7">
            <w:pPr>
              <w:jc w:val="center"/>
              <w:rPr>
                <w:rFonts w:cs="Arial"/>
                <w:b/>
                <w:sz w:val="20"/>
                <w:szCs w:val="20"/>
              </w:rPr>
            </w:pPr>
            <w:r w:rsidRPr="00673ED7">
              <w:rPr>
                <w:rFonts w:cs="Arial"/>
                <w:b/>
                <w:sz w:val="20"/>
                <w:szCs w:val="20"/>
              </w:rPr>
              <w:t>BldgType</w:t>
            </w:r>
          </w:p>
        </w:tc>
        <w:tc>
          <w:tcPr>
            <w:tcW w:w="752" w:type="pct"/>
            <w:shd w:val="clear" w:color="auto" w:fill="D9D9D9" w:themeFill="background1" w:themeFillShade="D9"/>
            <w:vAlign w:val="center"/>
          </w:tcPr>
          <w:p w:rsidR="00673ED7" w:rsidRPr="00673ED7" w:rsidRDefault="00673ED7" w:rsidP="00673ED7">
            <w:pPr>
              <w:jc w:val="center"/>
              <w:rPr>
                <w:rFonts w:cs="Arial"/>
                <w:b/>
                <w:sz w:val="20"/>
                <w:szCs w:val="20"/>
              </w:rPr>
            </w:pPr>
            <w:r w:rsidRPr="00673ED7">
              <w:rPr>
                <w:rFonts w:cs="Arial"/>
                <w:b/>
                <w:sz w:val="20"/>
                <w:szCs w:val="20"/>
              </w:rPr>
              <w:t>Delivery Method</w:t>
            </w:r>
          </w:p>
        </w:tc>
        <w:tc>
          <w:tcPr>
            <w:tcW w:w="432" w:type="pct"/>
            <w:shd w:val="clear" w:color="auto" w:fill="D9D9D9" w:themeFill="background1" w:themeFillShade="D9"/>
            <w:vAlign w:val="center"/>
          </w:tcPr>
          <w:p w:rsidR="00673ED7" w:rsidRPr="00673ED7" w:rsidRDefault="00673ED7" w:rsidP="00673ED7">
            <w:pPr>
              <w:jc w:val="center"/>
              <w:rPr>
                <w:rFonts w:cs="Arial"/>
                <w:b/>
                <w:sz w:val="20"/>
                <w:szCs w:val="20"/>
              </w:rPr>
            </w:pPr>
            <w:r w:rsidRPr="00673ED7">
              <w:rPr>
                <w:rFonts w:cs="Arial"/>
                <w:b/>
                <w:sz w:val="20"/>
                <w:szCs w:val="20"/>
              </w:rPr>
              <w:t>NTGR</w:t>
            </w:r>
          </w:p>
        </w:tc>
      </w:tr>
      <w:tr w:rsidR="00673ED7" w:rsidRPr="00673ED7" w:rsidTr="0060169C">
        <w:tc>
          <w:tcPr>
            <w:tcW w:w="808" w:type="pct"/>
            <w:vAlign w:val="center"/>
          </w:tcPr>
          <w:p w:rsidR="00673ED7" w:rsidRPr="00673ED7" w:rsidRDefault="00673ED7" w:rsidP="00673ED7">
            <w:pPr>
              <w:jc w:val="center"/>
              <w:rPr>
                <w:rFonts w:cs="Arial"/>
                <w:sz w:val="20"/>
                <w:szCs w:val="20"/>
              </w:rPr>
            </w:pPr>
            <w:r w:rsidRPr="00DE3ABF">
              <w:rPr>
                <w:rFonts w:cs="Arial"/>
                <w:sz w:val="20"/>
                <w:szCs w:val="20"/>
              </w:rPr>
              <w:t>Com-Default&gt;2yrs</w:t>
            </w:r>
          </w:p>
        </w:tc>
        <w:tc>
          <w:tcPr>
            <w:tcW w:w="1880" w:type="pct"/>
            <w:vAlign w:val="center"/>
          </w:tcPr>
          <w:p w:rsidR="00673ED7" w:rsidRPr="00673ED7" w:rsidRDefault="00673ED7" w:rsidP="00673ED7">
            <w:pPr>
              <w:jc w:val="center"/>
              <w:rPr>
                <w:rFonts w:cs="Arial"/>
                <w:sz w:val="20"/>
                <w:szCs w:val="20"/>
              </w:rPr>
            </w:pPr>
            <w:r w:rsidRPr="00DE3ABF">
              <w:rPr>
                <w:rFonts w:cs="Arial"/>
                <w:sz w:val="20"/>
                <w:szCs w:val="20"/>
              </w:rPr>
              <w:t>All other EEMs with no evaluated NTGR; existing EEM in programs with same delivery mechanism for more than 2 years</w:t>
            </w:r>
          </w:p>
        </w:tc>
        <w:tc>
          <w:tcPr>
            <w:tcW w:w="517" w:type="pct"/>
            <w:vAlign w:val="center"/>
          </w:tcPr>
          <w:p w:rsidR="00673ED7" w:rsidRPr="00673ED7" w:rsidRDefault="00673ED7" w:rsidP="00673ED7">
            <w:pPr>
              <w:jc w:val="center"/>
              <w:rPr>
                <w:rFonts w:cs="Arial"/>
                <w:sz w:val="20"/>
                <w:szCs w:val="20"/>
              </w:rPr>
            </w:pPr>
            <w:r w:rsidRPr="00DE3ABF">
              <w:rPr>
                <w:rFonts w:cs="Arial"/>
                <w:sz w:val="20"/>
                <w:szCs w:val="20"/>
              </w:rPr>
              <w:t>Com</w:t>
            </w:r>
          </w:p>
        </w:tc>
        <w:tc>
          <w:tcPr>
            <w:tcW w:w="611" w:type="pct"/>
            <w:vAlign w:val="center"/>
          </w:tcPr>
          <w:p w:rsidR="00673ED7" w:rsidRPr="00673ED7" w:rsidRDefault="00673ED7" w:rsidP="00673ED7">
            <w:pPr>
              <w:jc w:val="center"/>
              <w:rPr>
                <w:rFonts w:cs="Arial"/>
                <w:sz w:val="20"/>
                <w:szCs w:val="20"/>
              </w:rPr>
            </w:pPr>
            <w:r w:rsidRPr="00673ED7">
              <w:rPr>
                <w:rFonts w:cs="Arial"/>
                <w:sz w:val="20"/>
                <w:szCs w:val="20"/>
              </w:rPr>
              <w:t>Any</w:t>
            </w:r>
          </w:p>
        </w:tc>
        <w:tc>
          <w:tcPr>
            <w:tcW w:w="752" w:type="pct"/>
            <w:vAlign w:val="center"/>
          </w:tcPr>
          <w:p w:rsidR="00673ED7" w:rsidRPr="00673ED7" w:rsidRDefault="00673ED7" w:rsidP="00673ED7">
            <w:pPr>
              <w:jc w:val="center"/>
              <w:rPr>
                <w:rFonts w:cs="Arial"/>
                <w:sz w:val="20"/>
                <w:szCs w:val="20"/>
              </w:rPr>
            </w:pPr>
            <w:r w:rsidRPr="00DE3ABF">
              <w:rPr>
                <w:rFonts w:cs="Arial"/>
                <w:sz w:val="20"/>
                <w:szCs w:val="20"/>
              </w:rPr>
              <w:t>Any</w:t>
            </w:r>
          </w:p>
        </w:tc>
        <w:tc>
          <w:tcPr>
            <w:tcW w:w="432" w:type="pct"/>
            <w:vAlign w:val="center"/>
          </w:tcPr>
          <w:p w:rsidR="00673ED7" w:rsidRPr="00673ED7" w:rsidRDefault="00673ED7" w:rsidP="00673ED7">
            <w:pPr>
              <w:jc w:val="center"/>
              <w:rPr>
                <w:rFonts w:cs="Arial"/>
                <w:sz w:val="20"/>
                <w:szCs w:val="20"/>
              </w:rPr>
            </w:pPr>
            <w:r w:rsidRPr="00673ED7">
              <w:rPr>
                <w:rFonts w:cs="Arial"/>
                <w:sz w:val="20"/>
                <w:szCs w:val="20"/>
              </w:rPr>
              <w:t>0.6</w:t>
            </w:r>
            <w:r w:rsidRPr="00DE3ABF">
              <w:rPr>
                <w:rFonts w:cs="Arial"/>
                <w:sz w:val="20"/>
                <w:szCs w:val="20"/>
              </w:rPr>
              <w:t>0</w:t>
            </w:r>
          </w:p>
        </w:tc>
      </w:tr>
    </w:tbl>
    <w:p w:rsidR="00DE3ABF" w:rsidRDefault="00DE3ABF" w:rsidP="000F11DD">
      <w:pPr>
        <w:rPr>
          <w:rFonts w:cs="Arial"/>
          <w:sz w:val="20"/>
          <w:szCs w:val="20"/>
        </w:rPr>
      </w:pPr>
    </w:p>
    <w:p w:rsidR="00DE3ABF" w:rsidRDefault="00DE3ABF" w:rsidP="000F11DD">
      <w:pPr>
        <w:rPr>
          <w:rFonts w:cs="Arial"/>
          <w:b/>
          <w:sz w:val="20"/>
          <w:szCs w:val="20"/>
        </w:rPr>
      </w:pPr>
      <w:r>
        <w:rPr>
          <w:rFonts w:cs="Arial"/>
          <w:b/>
          <w:sz w:val="20"/>
          <w:szCs w:val="20"/>
        </w:rPr>
        <w:t>Spillage Rate</w:t>
      </w:r>
    </w:p>
    <w:p w:rsidR="00DE3ABF" w:rsidRPr="00DE3ABF" w:rsidRDefault="00DE3ABF" w:rsidP="000F11DD">
      <w:pPr>
        <w:rPr>
          <w:rFonts w:cs="Arial"/>
          <w:sz w:val="20"/>
          <w:szCs w:val="20"/>
        </w:rPr>
      </w:pPr>
      <w:r w:rsidRPr="00DE3ABF">
        <w:rPr>
          <w:rFonts w:cs="Arial"/>
          <w:sz w:val="20"/>
          <w:szCs w:val="20"/>
        </w:rPr>
        <w:lastRenderedPageBreak/>
        <w:t>Spillage rates are not tracked in work papers; they are tracked in an external document which will be supplied to the Commission Staff.</w:t>
      </w:r>
    </w:p>
    <w:p w:rsidR="00DE3ABF" w:rsidRDefault="00DE3ABF" w:rsidP="000F11DD">
      <w:pPr>
        <w:rPr>
          <w:rFonts w:cs="Arial"/>
          <w:b/>
          <w:sz w:val="20"/>
          <w:szCs w:val="20"/>
        </w:rPr>
      </w:pPr>
    </w:p>
    <w:p w:rsidR="00DE3ABF" w:rsidRDefault="00DE3ABF" w:rsidP="000F11DD">
      <w:pPr>
        <w:rPr>
          <w:rFonts w:cs="Arial"/>
          <w:b/>
          <w:sz w:val="20"/>
          <w:szCs w:val="20"/>
        </w:rPr>
      </w:pPr>
      <w:r>
        <w:rPr>
          <w:rFonts w:cs="Arial"/>
          <w:b/>
          <w:sz w:val="20"/>
          <w:szCs w:val="20"/>
        </w:rPr>
        <w:t>Installation Rate</w:t>
      </w:r>
    </w:p>
    <w:p w:rsidR="0004253C" w:rsidRDefault="00DE3ABF" w:rsidP="000F11DD">
      <w:pPr>
        <w:rPr>
          <w:rFonts w:cs="Arial"/>
          <w:sz w:val="20"/>
          <w:szCs w:val="20"/>
        </w:rPr>
      </w:pPr>
      <w:r>
        <w:rPr>
          <w:rFonts w:cs="Arial"/>
          <w:sz w:val="20"/>
          <w:szCs w:val="20"/>
        </w:rPr>
        <w:t xml:space="preserve">The IR value was obtained using the DEER READI tool.  The relevant IR value for the measures in this work paper is listed in the table </w:t>
      </w:r>
      <w:r w:rsidR="001B04D4">
        <w:rPr>
          <w:rFonts w:cs="Arial"/>
          <w:sz w:val="20"/>
          <w:szCs w:val="20"/>
        </w:rPr>
        <w:t>below</w:t>
      </w:r>
      <w:r>
        <w:rPr>
          <w:rFonts w:cs="Arial"/>
          <w:sz w:val="20"/>
          <w:szCs w:val="20"/>
        </w:rPr>
        <w:t>:</w:t>
      </w:r>
    </w:p>
    <w:p w:rsidR="00DE3ABF" w:rsidRDefault="00DE3ABF" w:rsidP="000F11DD">
      <w:pPr>
        <w:rPr>
          <w:rFonts w:cs="Arial"/>
          <w:sz w:val="20"/>
          <w:szCs w:val="20"/>
        </w:rPr>
      </w:pPr>
    </w:p>
    <w:p w:rsidR="00DE3ABF" w:rsidRDefault="00DE3ABF" w:rsidP="00DE3ABF">
      <w:pPr>
        <w:pStyle w:val="Caption"/>
        <w:keepNext/>
        <w:jc w:val="center"/>
      </w:pPr>
      <w:bookmarkStart w:id="58" w:name="_Toc438561253"/>
      <w:r>
        <w:t xml:space="preserve">Table </w:t>
      </w:r>
      <w:fldSimple w:instr=" SEQ Table \* ARABIC ">
        <w:r w:rsidR="00B05720">
          <w:rPr>
            <w:noProof/>
          </w:rPr>
          <w:t>5</w:t>
        </w:r>
      </w:fldSimple>
      <w:r>
        <w:t xml:space="preserve"> Installation Rate</w:t>
      </w:r>
      <w:bookmarkEnd w:id="58"/>
    </w:p>
    <w:tbl>
      <w:tblPr>
        <w:tblStyle w:val="TableGrid1"/>
        <w:tblW w:w="5000" w:type="pct"/>
        <w:tblLook w:val="01E0" w:firstRow="1" w:lastRow="1" w:firstColumn="1" w:lastColumn="1" w:noHBand="0" w:noVBand="0"/>
      </w:tblPr>
      <w:tblGrid>
        <w:gridCol w:w="1317"/>
        <w:gridCol w:w="2624"/>
        <w:gridCol w:w="1253"/>
        <w:gridCol w:w="1578"/>
        <w:gridCol w:w="1463"/>
        <w:gridCol w:w="1341"/>
      </w:tblGrid>
      <w:tr w:rsidR="00DE3ABF" w:rsidRPr="00DE3ABF" w:rsidTr="00DE3ABF">
        <w:tc>
          <w:tcPr>
            <w:tcW w:w="688" w:type="pct"/>
            <w:shd w:val="clear" w:color="auto" w:fill="D9D9D9" w:themeFill="background1" w:themeFillShade="D9"/>
          </w:tcPr>
          <w:p w:rsidR="00DE3ABF" w:rsidRPr="00DE3ABF" w:rsidRDefault="00DE3ABF" w:rsidP="0060169C">
            <w:pPr>
              <w:rPr>
                <w:rFonts w:cstheme="minorHAnsi"/>
                <w:b/>
                <w:sz w:val="20"/>
                <w:szCs w:val="20"/>
              </w:rPr>
            </w:pPr>
            <w:r w:rsidRPr="00DE3ABF">
              <w:rPr>
                <w:rFonts w:cstheme="minorHAnsi"/>
                <w:b/>
                <w:sz w:val="20"/>
                <w:szCs w:val="20"/>
              </w:rPr>
              <w:t>GSIA ID</w:t>
            </w:r>
          </w:p>
        </w:tc>
        <w:tc>
          <w:tcPr>
            <w:tcW w:w="1370" w:type="pct"/>
            <w:shd w:val="clear" w:color="auto" w:fill="D9D9D9" w:themeFill="background1" w:themeFillShade="D9"/>
          </w:tcPr>
          <w:p w:rsidR="00DE3ABF" w:rsidRPr="00DE3ABF" w:rsidRDefault="00DE3ABF" w:rsidP="0060169C">
            <w:pPr>
              <w:rPr>
                <w:rFonts w:cstheme="minorHAnsi"/>
                <w:b/>
                <w:sz w:val="20"/>
                <w:szCs w:val="20"/>
              </w:rPr>
            </w:pPr>
            <w:r w:rsidRPr="00DE3ABF">
              <w:rPr>
                <w:rFonts w:cstheme="minorHAnsi"/>
                <w:b/>
                <w:sz w:val="20"/>
                <w:szCs w:val="20"/>
              </w:rPr>
              <w:t>Description</w:t>
            </w:r>
          </w:p>
        </w:tc>
        <w:tc>
          <w:tcPr>
            <w:tcW w:w="654" w:type="pct"/>
            <w:shd w:val="clear" w:color="auto" w:fill="D9D9D9" w:themeFill="background1" w:themeFillShade="D9"/>
          </w:tcPr>
          <w:p w:rsidR="00DE3ABF" w:rsidRPr="00DE3ABF" w:rsidRDefault="00DE3ABF" w:rsidP="0060169C">
            <w:pPr>
              <w:rPr>
                <w:rFonts w:cstheme="minorHAnsi"/>
                <w:b/>
                <w:sz w:val="20"/>
                <w:szCs w:val="20"/>
              </w:rPr>
            </w:pPr>
            <w:r w:rsidRPr="00DE3ABF">
              <w:rPr>
                <w:rFonts w:cstheme="minorHAnsi"/>
                <w:b/>
                <w:sz w:val="20"/>
                <w:szCs w:val="20"/>
              </w:rPr>
              <w:t>Sector</w:t>
            </w:r>
          </w:p>
        </w:tc>
        <w:tc>
          <w:tcPr>
            <w:tcW w:w="824" w:type="pct"/>
            <w:shd w:val="clear" w:color="auto" w:fill="D9D9D9" w:themeFill="background1" w:themeFillShade="D9"/>
          </w:tcPr>
          <w:p w:rsidR="00DE3ABF" w:rsidRPr="00DE3ABF" w:rsidRDefault="00DE3ABF" w:rsidP="0060169C">
            <w:pPr>
              <w:rPr>
                <w:rFonts w:cstheme="minorHAnsi"/>
                <w:b/>
                <w:sz w:val="20"/>
                <w:szCs w:val="20"/>
              </w:rPr>
            </w:pPr>
            <w:r w:rsidRPr="00DE3ABF">
              <w:rPr>
                <w:rFonts w:cstheme="minorHAnsi"/>
                <w:b/>
                <w:sz w:val="20"/>
                <w:szCs w:val="20"/>
              </w:rPr>
              <w:t>BldgType</w:t>
            </w:r>
          </w:p>
        </w:tc>
        <w:tc>
          <w:tcPr>
            <w:tcW w:w="764" w:type="pct"/>
            <w:shd w:val="clear" w:color="auto" w:fill="D9D9D9" w:themeFill="background1" w:themeFillShade="D9"/>
          </w:tcPr>
          <w:p w:rsidR="00DE3ABF" w:rsidRPr="00DE3ABF" w:rsidRDefault="00DE3ABF" w:rsidP="0060169C">
            <w:pPr>
              <w:rPr>
                <w:rFonts w:cstheme="minorHAnsi"/>
                <w:b/>
                <w:sz w:val="20"/>
                <w:szCs w:val="20"/>
              </w:rPr>
            </w:pPr>
            <w:r w:rsidRPr="00DE3ABF">
              <w:rPr>
                <w:rFonts w:cstheme="minorHAnsi"/>
                <w:b/>
                <w:sz w:val="20"/>
                <w:szCs w:val="20"/>
              </w:rPr>
              <w:t>ProgDelivID</w:t>
            </w:r>
          </w:p>
        </w:tc>
        <w:tc>
          <w:tcPr>
            <w:tcW w:w="700" w:type="pct"/>
            <w:shd w:val="clear" w:color="auto" w:fill="D9D9D9" w:themeFill="background1" w:themeFillShade="D9"/>
          </w:tcPr>
          <w:p w:rsidR="00DE3ABF" w:rsidRPr="00DE3ABF" w:rsidRDefault="00DE3ABF" w:rsidP="0060169C">
            <w:pPr>
              <w:rPr>
                <w:rFonts w:cstheme="minorHAnsi"/>
                <w:b/>
                <w:sz w:val="20"/>
                <w:szCs w:val="20"/>
              </w:rPr>
            </w:pPr>
            <w:r w:rsidRPr="00DE3ABF">
              <w:rPr>
                <w:rFonts w:cstheme="minorHAnsi"/>
                <w:b/>
                <w:sz w:val="20"/>
                <w:szCs w:val="20"/>
              </w:rPr>
              <w:t>GSIAValue</w:t>
            </w:r>
          </w:p>
        </w:tc>
      </w:tr>
      <w:tr w:rsidR="00DE3ABF" w:rsidRPr="00DE3ABF" w:rsidTr="00DE3ABF">
        <w:tc>
          <w:tcPr>
            <w:tcW w:w="688" w:type="pct"/>
          </w:tcPr>
          <w:p w:rsidR="00DE3ABF" w:rsidRPr="00DE3ABF" w:rsidRDefault="00DE3ABF" w:rsidP="0060169C">
            <w:pPr>
              <w:rPr>
                <w:sz w:val="20"/>
                <w:szCs w:val="20"/>
              </w:rPr>
            </w:pPr>
            <w:r w:rsidRPr="00DE3ABF">
              <w:rPr>
                <w:sz w:val="20"/>
                <w:szCs w:val="20"/>
              </w:rPr>
              <w:t>Def-GSIA</w:t>
            </w:r>
          </w:p>
        </w:tc>
        <w:tc>
          <w:tcPr>
            <w:tcW w:w="1370" w:type="pct"/>
          </w:tcPr>
          <w:p w:rsidR="00DE3ABF" w:rsidRPr="00DE3ABF" w:rsidRDefault="00DE3ABF" w:rsidP="0060169C">
            <w:pPr>
              <w:rPr>
                <w:sz w:val="20"/>
                <w:szCs w:val="20"/>
              </w:rPr>
            </w:pPr>
            <w:r w:rsidRPr="00DE3ABF">
              <w:rPr>
                <w:sz w:val="20"/>
                <w:szCs w:val="20"/>
              </w:rPr>
              <w:t>Default GSIA values</w:t>
            </w:r>
          </w:p>
        </w:tc>
        <w:tc>
          <w:tcPr>
            <w:tcW w:w="654" w:type="pct"/>
          </w:tcPr>
          <w:p w:rsidR="00DE3ABF" w:rsidRPr="00DE3ABF" w:rsidRDefault="00DE3ABF" w:rsidP="0060169C">
            <w:pPr>
              <w:rPr>
                <w:sz w:val="20"/>
                <w:szCs w:val="20"/>
              </w:rPr>
            </w:pPr>
            <w:r w:rsidRPr="00DE3ABF">
              <w:rPr>
                <w:sz w:val="20"/>
                <w:szCs w:val="20"/>
              </w:rPr>
              <w:t>Any</w:t>
            </w:r>
          </w:p>
        </w:tc>
        <w:tc>
          <w:tcPr>
            <w:tcW w:w="824" w:type="pct"/>
          </w:tcPr>
          <w:p w:rsidR="00DE3ABF" w:rsidRPr="00DE3ABF" w:rsidRDefault="00DE3ABF" w:rsidP="0060169C">
            <w:pPr>
              <w:rPr>
                <w:sz w:val="20"/>
                <w:szCs w:val="20"/>
              </w:rPr>
            </w:pPr>
            <w:r w:rsidRPr="00DE3ABF">
              <w:rPr>
                <w:sz w:val="20"/>
                <w:szCs w:val="20"/>
              </w:rPr>
              <w:t>Any</w:t>
            </w:r>
          </w:p>
        </w:tc>
        <w:tc>
          <w:tcPr>
            <w:tcW w:w="764" w:type="pct"/>
          </w:tcPr>
          <w:p w:rsidR="00DE3ABF" w:rsidRPr="00DE3ABF" w:rsidRDefault="00DE3ABF" w:rsidP="0060169C">
            <w:pPr>
              <w:rPr>
                <w:sz w:val="20"/>
                <w:szCs w:val="20"/>
              </w:rPr>
            </w:pPr>
            <w:r w:rsidRPr="00DE3ABF">
              <w:rPr>
                <w:sz w:val="20"/>
                <w:szCs w:val="20"/>
              </w:rPr>
              <w:t>Any</w:t>
            </w:r>
          </w:p>
        </w:tc>
        <w:tc>
          <w:tcPr>
            <w:tcW w:w="700" w:type="pct"/>
          </w:tcPr>
          <w:p w:rsidR="00DE3ABF" w:rsidRPr="00DE3ABF" w:rsidRDefault="00DE3ABF" w:rsidP="0060169C">
            <w:pPr>
              <w:rPr>
                <w:sz w:val="20"/>
                <w:szCs w:val="20"/>
              </w:rPr>
            </w:pPr>
            <w:r w:rsidRPr="00DE3ABF">
              <w:rPr>
                <w:sz w:val="20"/>
                <w:szCs w:val="20"/>
              </w:rPr>
              <w:t>1</w:t>
            </w:r>
          </w:p>
        </w:tc>
      </w:tr>
    </w:tbl>
    <w:p w:rsidR="00DE3ABF" w:rsidRDefault="00DE3ABF" w:rsidP="000F11DD">
      <w:pPr>
        <w:rPr>
          <w:rFonts w:cs="Arial"/>
          <w:sz w:val="20"/>
          <w:szCs w:val="20"/>
        </w:rPr>
      </w:pPr>
    </w:p>
    <w:p w:rsidR="002225FF" w:rsidRDefault="002225FF" w:rsidP="002225FF">
      <w:pPr>
        <w:rPr>
          <w:rFonts w:cs="Arial"/>
          <w:b/>
          <w:sz w:val="20"/>
          <w:szCs w:val="20"/>
        </w:rPr>
      </w:pPr>
      <w:r w:rsidRPr="004162E3">
        <w:rPr>
          <w:rFonts w:cs="Arial"/>
          <w:b/>
          <w:sz w:val="20"/>
          <w:szCs w:val="20"/>
        </w:rPr>
        <w:t>Effective Useful Life</w:t>
      </w:r>
    </w:p>
    <w:p w:rsidR="002225FF" w:rsidRDefault="00A93E12" w:rsidP="002225FF">
      <w:pPr>
        <w:rPr>
          <w:rFonts w:cs="Arial"/>
          <w:sz w:val="18"/>
          <w:szCs w:val="20"/>
        </w:rPr>
      </w:pPr>
      <w:r>
        <w:rPr>
          <w:sz w:val="20"/>
        </w:rPr>
        <w:t xml:space="preserve">The EUL </w:t>
      </w:r>
      <w:r w:rsidR="001B04D4">
        <w:rPr>
          <w:sz w:val="20"/>
        </w:rPr>
        <w:t>was obtained using the DEER READI tool.  The relevant EUL value for the measures in this work paper are in the table below:</w:t>
      </w:r>
      <w:r w:rsidR="002225FF" w:rsidRPr="00C8318B">
        <w:rPr>
          <w:rFonts w:cs="Arial"/>
          <w:sz w:val="18"/>
          <w:szCs w:val="20"/>
        </w:rPr>
        <w:t xml:space="preserve"> </w:t>
      </w:r>
    </w:p>
    <w:p w:rsidR="002225FF" w:rsidRDefault="002225FF" w:rsidP="002225FF">
      <w:pPr>
        <w:rPr>
          <w:rFonts w:cs="Arial"/>
          <w:sz w:val="18"/>
          <w:szCs w:val="20"/>
        </w:rPr>
      </w:pPr>
    </w:p>
    <w:p w:rsidR="00A93E12" w:rsidRDefault="00A93E12" w:rsidP="00A93E12">
      <w:pPr>
        <w:pStyle w:val="Caption"/>
        <w:keepNext/>
        <w:jc w:val="center"/>
      </w:pPr>
      <w:bookmarkStart w:id="59" w:name="_Toc438561254"/>
      <w:r>
        <w:t xml:space="preserve">Table </w:t>
      </w:r>
      <w:fldSimple w:instr=" SEQ Table \* ARABIC ">
        <w:r w:rsidR="00B05720">
          <w:rPr>
            <w:noProof/>
          </w:rPr>
          <w:t>6</w:t>
        </w:r>
      </w:fldSimple>
      <w:r>
        <w:t xml:space="preserve"> Effective Useful Life</w:t>
      </w:r>
      <w:bookmarkEnd w:id="59"/>
    </w:p>
    <w:tbl>
      <w:tblPr>
        <w:tblStyle w:val="TableGrid1"/>
        <w:tblW w:w="4991" w:type="pct"/>
        <w:tblLook w:val="04A0" w:firstRow="1" w:lastRow="0" w:firstColumn="1" w:lastColumn="0" w:noHBand="0" w:noVBand="1"/>
      </w:tblPr>
      <w:tblGrid>
        <w:gridCol w:w="1549"/>
        <w:gridCol w:w="2720"/>
        <w:gridCol w:w="878"/>
        <w:gridCol w:w="1451"/>
        <w:gridCol w:w="2961"/>
      </w:tblGrid>
      <w:tr w:rsidR="00A93E12" w:rsidRPr="00A93E12" w:rsidTr="00A93E12">
        <w:tc>
          <w:tcPr>
            <w:tcW w:w="810" w:type="pct"/>
            <w:shd w:val="clear" w:color="auto" w:fill="D9D9D9" w:themeFill="background1" w:themeFillShade="D9"/>
          </w:tcPr>
          <w:p w:rsidR="00A93E12" w:rsidRPr="00A93E12" w:rsidRDefault="00A93E12" w:rsidP="0060169C">
            <w:pPr>
              <w:rPr>
                <w:rFonts w:cstheme="minorHAnsi"/>
                <w:b/>
                <w:sz w:val="20"/>
                <w:szCs w:val="20"/>
              </w:rPr>
            </w:pPr>
            <w:r w:rsidRPr="00A93E12">
              <w:rPr>
                <w:rFonts w:cstheme="minorHAnsi"/>
                <w:b/>
                <w:sz w:val="20"/>
                <w:szCs w:val="20"/>
              </w:rPr>
              <w:t>EUL ID</w:t>
            </w:r>
          </w:p>
        </w:tc>
        <w:tc>
          <w:tcPr>
            <w:tcW w:w="1423" w:type="pct"/>
            <w:shd w:val="clear" w:color="auto" w:fill="D9D9D9" w:themeFill="background1" w:themeFillShade="D9"/>
          </w:tcPr>
          <w:p w:rsidR="00A93E12" w:rsidRPr="00A93E12" w:rsidRDefault="00A93E12" w:rsidP="0060169C">
            <w:pPr>
              <w:rPr>
                <w:rFonts w:cstheme="minorHAnsi"/>
                <w:b/>
                <w:sz w:val="20"/>
                <w:szCs w:val="20"/>
              </w:rPr>
            </w:pPr>
            <w:r w:rsidRPr="00A93E12">
              <w:rPr>
                <w:rFonts w:cstheme="minorHAnsi"/>
                <w:b/>
                <w:sz w:val="20"/>
                <w:szCs w:val="20"/>
              </w:rPr>
              <w:t>Description</w:t>
            </w:r>
          </w:p>
        </w:tc>
        <w:tc>
          <w:tcPr>
            <w:tcW w:w="459" w:type="pct"/>
            <w:shd w:val="clear" w:color="auto" w:fill="D9D9D9" w:themeFill="background1" w:themeFillShade="D9"/>
          </w:tcPr>
          <w:p w:rsidR="00A93E12" w:rsidRPr="00A93E12" w:rsidRDefault="00A93E12" w:rsidP="0060169C">
            <w:pPr>
              <w:rPr>
                <w:rFonts w:cstheme="minorHAnsi"/>
                <w:b/>
                <w:sz w:val="20"/>
                <w:szCs w:val="20"/>
              </w:rPr>
            </w:pPr>
            <w:r w:rsidRPr="00A93E12">
              <w:rPr>
                <w:rFonts w:cstheme="minorHAnsi"/>
                <w:b/>
                <w:sz w:val="20"/>
                <w:szCs w:val="20"/>
              </w:rPr>
              <w:t>Sector</w:t>
            </w:r>
          </w:p>
        </w:tc>
        <w:tc>
          <w:tcPr>
            <w:tcW w:w="759" w:type="pct"/>
            <w:shd w:val="clear" w:color="auto" w:fill="D9D9D9" w:themeFill="background1" w:themeFillShade="D9"/>
          </w:tcPr>
          <w:p w:rsidR="00A93E12" w:rsidRPr="00A93E12" w:rsidRDefault="00A93E12" w:rsidP="0060169C">
            <w:pPr>
              <w:rPr>
                <w:rFonts w:cstheme="minorHAnsi"/>
                <w:b/>
                <w:sz w:val="20"/>
                <w:szCs w:val="20"/>
              </w:rPr>
            </w:pPr>
            <w:r w:rsidRPr="00A93E12">
              <w:rPr>
                <w:rFonts w:cstheme="minorHAnsi"/>
                <w:b/>
                <w:sz w:val="20"/>
                <w:szCs w:val="20"/>
              </w:rPr>
              <w:t>UseCategory</w:t>
            </w:r>
          </w:p>
        </w:tc>
        <w:tc>
          <w:tcPr>
            <w:tcW w:w="1549" w:type="pct"/>
            <w:shd w:val="clear" w:color="auto" w:fill="D9D9D9" w:themeFill="background1" w:themeFillShade="D9"/>
          </w:tcPr>
          <w:p w:rsidR="00A93E12" w:rsidRPr="00A93E12" w:rsidRDefault="00A93E12" w:rsidP="0060169C">
            <w:pPr>
              <w:rPr>
                <w:rFonts w:cstheme="minorHAnsi"/>
                <w:b/>
                <w:sz w:val="20"/>
                <w:szCs w:val="20"/>
              </w:rPr>
            </w:pPr>
            <w:r w:rsidRPr="00A93E12">
              <w:rPr>
                <w:rFonts w:cstheme="minorHAnsi"/>
                <w:b/>
                <w:sz w:val="20"/>
                <w:szCs w:val="20"/>
              </w:rPr>
              <w:t>EUL (Years)</w:t>
            </w:r>
          </w:p>
        </w:tc>
      </w:tr>
      <w:tr w:rsidR="00A93E12" w:rsidRPr="00A93E12" w:rsidTr="00A93E12">
        <w:trPr>
          <w:trHeight w:val="243"/>
        </w:trPr>
        <w:tc>
          <w:tcPr>
            <w:tcW w:w="810" w:type="pct"/>
          </w:tcPr>
          <w:p w:rsidR="00A93E12" w:rsidRPr="00A93E12" w:rsidRDefault="001B04D4" w:rsidP="0060169C">
            <w:pPr>
              <w:rPr>
                <w:sz w:val="20"/>
                <w:szCs w:val="20"/>
              </w:rPr>
            </w:pPr>
            <w:r>
              <w:rPr>
                <w:sz w:val="20"/>
                <w:szCs w:val="20"/>
              </w:rPr>
              <w:t>OLtg-HID</w:t>
            </w:r>
          </w:p>
        </w:tc>
        <w:tc>
          <w:tcPr>
            <w:tcW w:w="1423" w:type="pct"/>
          </w:tcPr>
          <w:p w:rsidR="00A93E12" w:rsidRPr="00A93E12" w:rsidRDefault="001B04D4" w:rsidP="001B04D4">
            <w:pPr>
              <w:rPr>
                <w:sz w:val="20"/>
                <w:szCs w:val="20"/>
              </w:rPr>
            </w:pPr>
            <w:r>
              <w:rPr>
                <w:sz w:val="20"/>
                <w:szCs w:val="20"/>
              </w:rPr>
              <w:t xml:space="preserve">Outdoor HID </w:t>
            </w:r>
            <w:r w:rsidR="00A93E12">
              <w:rPr>
                <w:sz w:val="20"/>
                <w:szCs w:val="20"/>
              </w:rPr>
              <w:t>Lighting</w:t>
            </w:r>
          </w:p>
        </w:tc>
        <w:tc>
          <w:tcPr>
            <w:tcW w:w="459" w:type="pct"/>
          </w:tcPr>
          <w:p w:rsidR="00A93E12" w:rsidRPr="00A93E12" w:rsidRDefault="00A93E12" w:rsidP="0060169C">
            <w:pPr>
              <w:rPr>
                <w:sz w:val="20"/>
                <w:szCs w:val="20"/>
              </w:rPr>
            </w:pPr>
            <w:r w:rsidRPr="00A93E12">
              <w:rPr>
                <w:sz w:val="20"/>
                <w:szCs w:val="20"/>
              </w:rPr>
              <w:t>Com</w:t>
            </w:r>
          </w:p>
        </w:tc>
        <w:tc>
          <w:tcPr>
            <w:tcW w:w="759" w:type="pct"/>
          </w:tcPr>
          <w:p w:rsidR="00A93E12" w:rsidRPr="00A93E12" w:rsidRDefault="00A93E12" w:rsidP="0060169C">
            <w:pPr>
              <w:rPr>
                <w:sz w:val="20"/>
                <w:szCs w:val="20"/>
              </w:rPr>
            </w:pPr>
            <w:r>
              <w:rPr>
                <w:sz w:val="20"/>
                <w:szCs w:val="20"/>
              </w:rPr>
              <w:t>Lighting</w:t>
            </w:r>
          </w:p>
        </w:tc>
        <w:tc>
          <w:tcPr>
            <w:tcW w:w="1549" w:type="pct"/>
          </w:tcPr>
          <w:p w:rsidR="00A93E12" w:rsidRPr="00A93E12" w:rsidRDefault="00A93E12" w:rsidP="001B04D4">
            <w:pPr>
              <w:rPr>
                <w:sz w:val="20"/>
                <w:szCs w:val="20"/>
              </w:rPr>
            </w:pPr>
            <w:r>
              <w:rPr>
                <w:sz w:val="20"/>
                <w:szCs w:val="20"/>
              </w:rPr>
              <w:t>1</w:t>
            </w:r>
            <w:r w:rsidR="001B04D4">
              <w:rPr>
                <w:sz w:val="20"/>
                <w:szCs w:val="20"/>
              </w:rPr>
              <w:t>5</w:t>
            </w:r>
          </w:p>
        </w:tc>
      </w:tr>
    </w:tbl>
    <w:p w:rsidR="00A93E12" w:rsidRDefault="00A93E12" w:rsidP="002225FF">
      <w:pPr>
        <w:rPr>
          <w:rFonts w:cs="Arial"/>
          <w:sz w:val="18"/>
          <w:szCs w:val="20"/>
        </w:rPr>
      </w:pPr>
    </w:p>
    <w:p w:rsidR="002E0043" w:rsidRPr="002E0043" w:rsidRDefault="001248A3" w:rsidP="002E0043">
      <w:pPr>
        <w:pStyle w:val="Heading2"/>
      </w:pPr>
      <w:bookmarkStart w:id="60" w:name="_Toc304800206"/>
      <w:bookmarkStart w:id="61" w:name="_Toc324318342"/>
      <w:bookmarkStart w:id="62" w:name="_Toc324340486"/>
      <w:bookmarkStart w:id="63" w:name="_Toc438561234"/>
      <w:r>
        <w:t>1.</w:t>
      </w:r>
      <w:r w:rsidR="00FA595F">
        <w:t>4</w:t>
      </w:r>
      <w:r w:rsidR="00793646">
        <w:t>.2</w:t>
      </w:r>
      <w:r w:rsidR="00FA595F">
        <w:t xml:space="preserve"> </w:t>
      </w:r>
      <w:r w:rsidR="00E71EF1" w:rsidRPr="001248A3">
        <w:t xml:space="preserve">Codes &amp; Standards Requirements </w:t>
      </w:r>
      <w:r w:rsidR="009C5CA7">
        <w:t>Base Case and Measure Information</w:t>
      </w:r>
      <w:bookmarkEnd w:id="60"/>
      <w:bookmarkEnd w:id="61"/>
      <w:bookmarkEnd w:id="62"/>
      <w:bookmarkEnd w:id="63"/>
    </w:p>
    <w:p w:rsidR="004511CE" w:rsidRPr="002767EF" w:rsidRDefault="004511CE" w:rsidP="004511CE">
      <w:pPr>
        <w:autoSpaceDE w:val="0"/>
        <w:autoSpaceDN w:val="0"/>
        <w:adjustRightInd w:val="0"/>
        <w:rPr>
          <w:rFonts w:cs="Arial"/>
          <w:sz w:val="20"/>
          <w:szCs w:val="20"/>
        </w:rPr>
      </w:pPr>
      <w:r w:rsidRPr="002767EF">
        <w:rPr>
          <w:rFonts w:cs="Arial"/>
          <w:b/>
          <w:i/>
          <w:sz w:val="20"/>
          <w:szCs w:val="20"/>
        </w:rPr>
        <w:t>Title 20</w:t>
      </w:r>
      <w:r w:rsidR="00A1012C" w:rsidRPr="002767EF">
        <w:rPr>
          <w:rFonts w:cs="Arial"/>
          <w:b/>
          <w:i/>
          <w:sz w:val="20"/>
          <w:szCs w:val="20"/>
        </w:rPr>
        <w:t xml:space="preserve"> [2015]</w:t>
      </w:r>
      <w:r w:rsidRPr="002767EF">
        <w:rPr>
          <w:rFonts w:cs="Arial"/>
          <w:b/>
          <w:i/>
          <w:sz w:val="20"/>
          <w:szCs w:val="20"/>
        </w:rPr>
        <w:t>:</w:t>
      </w:r>
      <w:r w:rsidRPr="002767EF">
        <w:rPr>
          <w:rFonts w:cs="Arial"/>
          <w:sz w:val="20"/>
          <w:szCs w:val="20"/>
        </w:rPr>
        <w:t xml:space="preserve"> As of January 1, 2009, fixtures with lamps &gt;150W must have a pulse-start metal halide ballast with a minimum ballast efficacy of 88%, a magnetic probe-start ballast with a minimum ballast efficacy of 94%, or a non-pulse-start electronic ballast with minimum ballast efficacy of 92% for wattages greater than 250W,</w:t>
      </w:r>
      <w:r w:rsidR="00262C30" w:rsidRPr="002767EF">
        <w:rPr>
          <w:rFonts w:cs="Arial"/>
          <w:sz w:val="20"/>
          <w:szCs w:val="20"/>
        </w:rPr>
        <w:t xml:space="preserve"> or 90% for wattages less than </w:t>
      </w:r>
      <w:r w:rsidRPr="002767EF">
        <w:rPr>
          <w:rFonts w:cs="Arial"/>
          <w:sz w:val="20"/>
          <w:szCs w:val="20"/>
        </w:rPr>
        <w:t>or equal to 250W.</w:t>
      </w:r>
      <w:r w:rsidRPr="002767EF">
        <w:rPr>
          <w:rStyle w:val="EndnoteReference"/>
          <w:rFonts w:cs="Arial"/>
          <w:sz w:val="20"/>
          <w:szCs w:val="20"/>
        </w:rPr>
        <w:endnoteReference w:id="5"/>
      </w:r>
      <w:r w:rsidRPr="002767EF">
        <w:rPr>
          <w:rFonts w:cs="Arial"/>
          <w:sz w:val="20"/>
          <w:szCs w:val="20"/>
        </w:rPr>
        <w:t xml:space="preserve"> </w:t>
      </w:r>
    </w:p>
    <w:p w:rsidR="004511CE" w:rsidRPr="002767EF" w:rsidRDefault="004511CE" w:rsidP="004511CE">
      <w:pPr>
        <w:autoSpaceDE w:val="0"/>
        <w:autoSpaceDN w:val="0"/>
        <w:adjustRightInd w:val="0"/>
        <w:rPr>
          <w:rFonts w:cs="Arial"/>
          <w:sz w:val="20"/>
          <w:szCs w:val="20"/>
        </w:rPr>
      </w:pPr>
    </w:p>
    <w:p w:rsidR="004511CE" w:rsidRPr="002767EF" w:rsidRDefault="004511CE" w:rsidP="004511CE">
      <w:pPr>
        <w:autoSpaceDE w:val="0"/>
        <w:autoSpaceDN w:val="0"/>
        <w:adjustRightInd w:val="0"/>
        <w:rPr>
          <w:rFonts w:cs="Arial"/>
          <w:sz w:val="20"/>
          <w:szCs w:val="20"/>
        </w:rPr>
      </w:pPr>
      <w:r w:rsidRPr="002767EF">
        <w:rPr>
          <w:rFonts w:cs="Arial"/>
          <w:sz w:val="20"/>
          <w:szCs w:val="20"/>
        </w:rPr>
        <w:t xml:space="preserve">For fixtures manufactured before January 1, 2009, Title 20 contains ballast requirements, </w:t>
      </w:r>
      <w:r w:rsidR="00A1012C" w:rsidRPr="002767EF">
        <w:rPr>
          <w:rFonts w:cs="Arial"/>
          <w:sz w:val="20"/>
          <w:szCs w:val="20"/>
        </w:rPr>
        <w:t>Section 1605.3(n).</w:t>
      </w:r>
    </w:p>
    <w:p w:rsidR="004511CE" w:rsidRPr="002767EF" w:rsidRDefault="004511CE" w:rsidP="004511CE">
      <w:pPr>
        <w:autoSpaceDE w:val="0"/>
        <w:autoSpaceDN w:val="0"/>
        <w:adjustRightInd w:val="0"/>
        <w:rPr>
          <w:rFonts w:cs="Arial"/>
          <w:sz w:val="20"/>
          <w:szCs w:val="20"/>
        </w:rPr>
      </w:pPr>
    </w:p>
    <w:p w:rsidR="004511CE" w:rsidRPr="001B04D4" w:rsidRDefault="004511CE" w:rsidP="004511CE">
      <w:pPr>
        <w:autoSpaceDE w:val="0"/>
        <w:autoSpaceDN w:val="0"/>
        <w:adjustRightInd w:val="0"/>
        <w:rPr>
          <w:rFonts w:cs="Arial"/>
          <w:i/>
          <w:sz w:val="20"/>
          <w:szCs w:val="20"/>
          <w:highlight w:val="yellow"/>
        </w:rPr>
      </w:pPr>
      <w:r w:rsidRPr="002767EF">
        <w:rPr>
          <w:rFonts w:cs="Arial"/>
          <w:sz w:val="20"/>
          <w:szCs w:val="20"/>
        </w:rPr>
        <w:t>The test method for metal halide luminaires is ANSI C82.6-2005. Ballasts may be tested separately, outside the luminaire. A sample of at least five ballasts shall be tested for each lamp wattage for which the luminaire and ballasts are rated. The average of these tests shall be used for certification and compliance purposes.</w:t>
      </w:r>
    </w:p>
    <w:p w:rsidR="004511CE" w:rsidRPr="001B04D4" w:rsidRDefault="004511CE" w:rsidP="004511CE">
      <w:pPr>
        <w:rPr>
          <w:rFonts w:cs="Arial"/>
          <w:b/>
          <w:i/>
          <w:sz w:val="20"/>
          <w:szCs w:val="20"/>
          <w:highlight w:val="yellow"/>
        </w:rPr>
      </w:pPr>
    </w:p>
    <w:p w:rsidR="004511CE" w:rsidRPr="001B04D4" w:rsidRDefault="004511CE" w:rsidP="004511CE">
      <w:pPr>
        <w:rPr>
          <w:rFonts w:cs="Arial"/>
          <w:sz w:val="20"/>
          <w:szCs w:val="20"/>
          <w:highlight w:val="yellow"/>
        </w:rPr>
      </w:pPr>
      <w:r w:rsidRPr="00711CA1">
        <w:rPr>
          <w:rFonts w:cs="Arial"/>
          <w:b/>
          <w:i/>
          <w:sz w:val="20"/>
          <w:szCs w:val="20"/>
        </w:rPr>
        <w:t>Title 24</w:t>
      </w:r>
      <w:r w:rsidR="00711CA1" w:rsidRPr="00711CA1">
        <w:rPr>
          <w:rFonts w:cs="Arial"/>
          <w:b/>
          <w:i/>
          <w:sz w:val="20"/>
          <w:szCs w:val="20"/>
        </w:rPr>
        <w:t xml:space="preserve"> [2013</w:t>
      </w:r>
      <w:r w:rsidR="00A1012C" w:rsidRPr="00711CA1">
        <w:rPr>
          <w:rFonts w:cs="Arial"/>
          <w:b/>
          <w:i/>
          <w:sz w:val="20"/>
          <w:szCs w:val="20"/>
        </w:rPr>
        <w:t>]</w:t>
      </w:r>
      <w:r w:rsidRPr="00711CA1">
        <w:rPr>
          <w:rFonts w:cs="Arial"/>
          <w:b/>
          <w:i/>
          <w:sz w:val="20"/>
          <w:szCs w:val="20"/>
        </w:rPr>
        <w:t>:</w:t>
      </w:r>
      <w:r w:rsidRPr="00711CA1">
        <w:rPr>
          <w:rFonts w:cs="Arial"/>
          <w:sz w:val="20"/>
          <w:szCs w:val="20"/>
        </w:rPr>
        <w:t xml:space="preserve"> Title </w:t>
      </w:r>
      <w:r w:rsidR="00A1012C" w:rsidRPr="00711CA1">
        <w:rPr>
          <w:rFonts w:cs="Arial"/>
          <w:sz w:val="20"/>
          <w:szCs w:val="20"/>
        </w:rPr>
        <w:t>24</w:t>
      </w:r>
      <w:r w:rsidR="009C518C" w:rsidRPr="00711CA1">
        <w:rPr>
          <w:rFonts w:cs="Arial"/>
          <w:sz w:val="20"/>
          <w:szCs w:val="20"/>
        </w:rPr>
        <w:t xml:space="preserve"> </w:t>
      </w:r>
      <w:r w:rsidRPr="00711CA1">
        <w:rPr>
          <w:rFonts w:cs="Arial"/>
          <w:sz w:val="20"/>
          <w:szCs w:val="20"/>
        </w:rPr>
        <w:t>requires that lamps over 4</w:t>
      </w:r>
      <w:r w:rsidR="00347B06" w:rsidRPr="00711CA1">
        <w:rPr>
          <w:rFonts w:cs="Arial"/>
          <w:sz w:val="20"/>
          <w:szCs w:val="20"/>
        </w:rPr>
        <w:t>0 W have a minimum efficacy of 9</w:t>
      </w:r>
      <w:r w:rsidRPr="00711CA1">
        <w:rPr>
          <w:rFonts w:cs="Arial"/>
          <w:sz w:val="20"/>
          <w:szCs w:val="20"/>
        </w:rPr>
        <w:t>0 lumens per watt.</w:t>
      </w:r>
      <w:r w:rsidRPr="00711CA1">
        <w:rPr>
          <w:rStyle w:val="EndnoteReference"/>
          <w:rFonts w:cs="Arial"/>
          <w:sz w:val="20"/>
          <w:szCs w:val="20"/>
        </w:rPr>
        <w:endnoteReference w:id="6"/>
      </w:r>
    </w:p>
    <w:p w:rsidR="004511CE" w:rsidRDefault="00347B06" w:rsidP="004511CE">
      <w:pPr>
        <w:rPr>
          <w:rFonts w:cs="Arial"/>
          <w:sz w:val="20"/>
          <w:szCs w:val="20"/>
        </w:rPr>
      </w:pPr>
      <w:r w:rsidRPr="001B04D4">
        <w:rPr>
          <w:noProof/>
          <w:highlight w:val="yellow"/>
        </w:rPr>
        <w:drawing>
          <wp:inline distT="0" distB="0" distL="0" distR="0" wp14:anchorId="6C9F98C0" wp14:editId="41B40119">
            <wp:extent cx="5943600" cy="20910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2091055"/>
                    </a:xfrm>
                    <a:prstGeom prst="rect">
                      <a:avLst/>
                    </a:prstGeom>
                  </pic:spPr>
                </pic:pic>
              </a:graphicData>
            </a:graphic>
          </wp:inline>
        </w:drawing>
      </w:r>
    </w:p>
    <w:p w:rsidR="00711CA1" w:rsidRDefault="003C0018" w:rsidP="004511CE">
      <w:pPr>
        <w:rPr>
          <w:rFonts w:cs="Arial"/>
          <w:sz w:val="20"/>
          <w:szCs w:val="20"/>
        </w:rPr>
      </w:pPr>
      <w:r>
        <w:rPr>
          <w:rFonts w:cs="Arial"/>
          <w:sz w:val="20"/>
          <w:szCs w:val="20"/>
        </w:rPr>
        <w:t xml:space="preserve">Section 141.0(b)2.J details </w:t>
      </w:r>
      <w:r w:rsidR="002767EF">
        <w:rPr>
          <w:rFonts w:cs="Arial"/>
          <w:sz w:val="20"/>
          <w:szCs w:val="20"/>
        </w:rPr>
        <w:t xml:space="preserve">the requirements for </w:t>
      </w:r>
      <w:r>
        <w:rPr>
          <w:rFonts w:cs="Arial"/>
          <w:sz w:val="20"/>
          <w:szCs w:val="20"/>
        </w:rPr>
        <w:t xml:space="preserve">alterations to existing outdoor lighting systems.  </w:t>
      </w:r>
      <w:r w:rsidR="002767EF">
        <w:rPr>
          <w:rFonts w:cs="Arial"/>
          <w:sz w:val="20"/>
          <w:szCs w:val="20"/>
        </w:rPr>
        <w:t xml:space="preserve">Some lighting controls may be required by Title 24 that is detailed in Section 130.2.  </w:t>
      </w:r>
      <w:r>
        <w:rPr>
          <w:rFonts w:cs="Arial"/>
          <w:sz w:val="20"/>
          <w:szCs w:val="20"/>
        </w:rPr>
        <w:t xml:space="preserve">An excerpt </w:t>
      </w:r>
      <w:r w:rsidR="002767EF">
        <w:rPr>
          <w:rFonts w:cs="Arial"/>
          <w:sz w:val="20"/>
          <w:szCs w:val="20"/>
        </w:rPr>
        <w:t>of the mandatory controls is below:</w:t>
      </w:r>
    </w:p>
    <w:p w:rsidR="003C0018" w:rsidRDefault="003C0018" w:rsidP="004511CE">
      <w:pPr>
        <w:rPr>
          <w:rFonts w:cs="Arial"/>
          <w:sz w:val="20"/>
          <w:szCs w:val="20"/>
        </w:rPr>
      </w:pPr>
    </w:p>
    <w:p w:rsidR="002767EF" w:rsidRDefault="002767EF" w:rsidP="004511CE">
      <w:pPr>
        <w:rPr>
          <w:rFonts w:cs="Arial"/>
          <w:sz w:val="20"/>
          <w:szCs w:val="20"/>
        </w:rPr>
      </w:pPr>
      <w:r>
        <w:rPr>
          <w:noProof/>
        </w:rPr>
        <w:lastRenderedPageBreak/>
        <w:drawing>
          <wp:inline distT="0" distB="0" distL="0" distR="0" wp14:anchorId="45256983" wp14:editId="474D9DBB">
            <wp:extent cx="5772150" cy="2171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772150" cy="2171700"/>
                    </a:xfrm>
                    <a:prstGeom prst="rect">
                      <a:avLst/>
                    </a:prstGeom>
                  </pic:spPr>
                </pic:pic>
              </a:graphicData>
            </a:graphic>
          </wp:inline>
        </w:drawing>
      </w:r>
    </w:p>
    <w:p w:rsidR="003C0018" w:rsidRPr="004511CE" w:rsidRDefault="002767EF" w:rsidP="004511CE">
      <w:pPr>
        <w:rPr>
          <w:rFonts w:cs="Arial"/>
          <w:sz w:val="20"/>
          <w:szCs w:val="20"/>
        </w:rPr>
      </w:pPr>
      <w:r>
        <w:rPr>
          <w:noProof/>
        </w:rPr>
        <w:drawing>
          <wp:inline distT="0" distB="0" distL="0" distR="0" wp14:anchorId="38624138" wp14:editId="2C6CDA36">
            <wp:extent cx="4114800" cy="228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114800" cy="228600"/>
                    </a:xfrm>
                    <a:prstGeom prst="rect">
                      <a:avLst/>
                    </a:prstGeom>
                  </pic:spPr>
                </pic:pic>
              </a:graphicData>
            </a:graphic>
          </wp:inline>
        </w:drawing>
      </w:r>
    </w:p>
    <w:p w:rsidR="004511CE" w:rsidRPr="004511CE" w:rsidRDefault="004511CE" w:rsidP="004511CE">
      <w:pPr>
        <w:rPr>
          <w:rFonts w:cs="Arial"/>
          <w:i/>
          <w:sz w:val="20"/>
          <w:szCs w:val="20"/>
        </w:rPr>
      </w:pPr>
    </w:p>
    <w:p w:rsidR="004511CE" w:rsidRPr="001B04D4" w:rsidRDefault="004511CE" w:rsidP="004511C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Arial" w:hAnsi="Arial" w:cs="Arial"/>
          <w:highlight w:val="yellow"/>
        </w:rPr>
      </w:pPr>
      <w:r w:rsidRPr="002767EF">
        <w:rPr>
          <w:rFonts w:ascii="Arial" w:hAnsi="Arial" w:cs="Arial"/>
          <w:b/>
          <w:i/>
        </w:rPr>
        <w:t>Federal Standards:</w:t>
      </w:r>
      <w:r w:rsidRPr="002767EF">
        <w:rPr>
          <w:rFonts w:ascii="Arial" w:hAnsi="Arial" w:cs="Arial"/>
        </w:rPr>
        <w:t xml:space="preserve"> Metal Halide lamps are governed by the Federal standard CFR 21 1040.30. EPA has added mercury-containing equipment to the federal list of universal wastes regulated under the Resource Conservation and Recovery Act (RCRA) hazardous waste regulation.</w:t>
      </w:r>
      <w:r w:rsidRPr="002767EF">
        <w:rPr>
          <w:rStyle w:val="EndnoteReference"/>
          <w:rFonts w:ascii="Arial" w:hAnsi="Arial" w:cs="Arial"/>
        </w:rPr>
        <w:endnoteReference w:id="7"/>
      </w:r>
      <w:r w:rsidRPr="002767EF">
        <w:rPr>
          <w:rFonts w:ascii="Arial" w:hAnsi="Arial" w:cs="Arial"/>
        </w:rPr>
        <w:t xml:space="preserve">. Handlers of universal wastes are subject to less stringent standards for storing, transporting, and collecting these wastes. EPA has concluded that regulating spent mercury-containing equipment as a universal waste will lead to better management of this equipment and will facilitate compliance with hazardous waste requirements. </w:t>
      </w:r>
    </w:p>
    <w:p w:rsidR="004511CE" w:rsidRPr="001B04D4" w:rsidRDefault="004511CE" w:rsidP="004511CE">
      <w:pPr>
        <w:rPr>
          <w:rFonts w:cs="Arial"/>
          <w:b/>
          <w:sz w:val="20"/>
          <w:szCs w:val="20"/>
          <w:highlight w:val="yellow"/>
        </w:rPr>
      </w:pPr>
    </w:p>
    <w:p w:rsidR="00FA595F" w:rsidRPr="004511CE" w:rsidRDefault="004511CE" w:rsidP="004511CE">
      <w:bookmarkStart w:id="64" w:name="_Toc326494638"/>
      <w:r w:rsidRPr="002767EF">
        <w:rPr>
          <w:rFonts w:cs="Arial"/>
          <w:b/>
          <w:sz w:val="20"/>
          <w:szCs w:val="20"/>
        </w:rPr>
        <w:t>California Codes and Standards:</w:t>
      </w:r>
      <w:r w:rsidRPr="002767EF">
        <w:rPr>
          <w:rFonts w:cs="Arial"/>
          <w:sz w:val="20"/>
          <w:szCs w:val="20"/>
        </w:rPr>
        <w:t xml:space="preserve">  The California State standards and California Appliance Efficiency Regulations require that all 150 – 500W Metal Halide lamps use a pulse-start ballast instead of a probe-start ballast.</w:t>
      </w:r>
      <w:bookmarkEnd w:id="64"/>
      <w:r w:rsidRPr="004511CE">
        <w:rPr>
          <w:rFonts w:cs="Arial"/>
          <w:sz w:val="20"/>
          <w:szCs w:val="20"/>
        </w:rPr>
        <w:t xml:space="preserve">  </w:t>
      </w:r>
    </w:p>
    <w:p w:rsidR="00432C65" w:rsidRPr="00C8318B" w:rsidRDefault="001248A3" w:rsidP="00C8318B">
      <w:pPr>
        <w:pStyle w:val="Heading2"/>
        <w:keepNext w:val="0"/>
      </w:pPr>
      <w:bookmarkStart w:id="65" w:name="_Toc304800207"/>
      <w:bookmarkStart w:id="66" w:name="_Toc324318343"/>
      <w:bookmarkStart w:id="67" w:name="_Toc324340487"/>
      <w:bookmarkStart w:id="68" w:name="_Toc438561235"/>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5"/>
      <w:bookmarkEnd w:id="66"/>
      <w:bookmarkEnd w:id="67"/>
      <w:bookmarkEnd w:id="68"/>
    </w:p>
    <w:p w:rsidR="005B1BE0" w:rsidRDefault="005B1BE0" w:rsidP="00A35CF8">
      <w:pPr>
        <w:rPr>
          <w:rFonts w:cs="Arial"/>
          <w:b/>
          <w:i/>
        </w:rPr>
      </w:pPr>
    </w:p>
    <w:p w:rsidR="009E2964" w:rsidRDefault="009E2964" w:rsidP="00A35CF8">
      <w:pPr>
        <w:rPr>
          <w:rFonts w:cs="Arial"/>
          <w:b/>
          <w:i/>
        </w:rPr>
      </w:pPr>
      <w:r w:rsidRPr="00C80E3F">
        <w:rPr>
          <w:rFonts w:cs="Arial"/>
          <w:b/>
          <w:i/>
        </w:rPr>
        <w:t xml:space="preserve">1.4.3.1 </w:t>
      </w:r>
      <w:r w:rsidR="000C32DF">
        <w:rPr>
          <w:rFonts w:cs="Arial"/>
          <w:b/>
          <w:i/>
        </w:rPr>
        <w:t>Induction lighting Demonstration and Survey for Ca</w:t>
      </w:r>
      <w:r w:rsidR="00557F28">
        <w:rPr>
          <w:rFonts w:cs="Arial"/>
          <w:b/>
          <w:i/>
        </w:rPr>
        <w:t xml:space="preserve">r Dealerships Exterior Display </w:t>
      </w:r>
      <w:r w:rsidR="000C32DF">
        <w:rPr>
          <w:rFonts w:cs="Arial"/>
          <w:b/>
          <w:i/>
        </w:rPr>
        <w:t>Lighting</w:t>
      </w:r>
      <w:r w:rsidR="00C80E3F">
        <w:rPr>
          <w:rStyle w:val="EndnoteReference"/>
          <w:rFonts w:cs="Arial"/>
          <w:b/>
          <w:i/>
        </w:rPr>
        <w:endnoteReference w:id="8"/>
      </w:r>
    </w:p>
    <w:p w:rsidR="009E12CF" w:rsidRDefault="00493C4B" w:rsidP="000C32DF">
      <w:pPr>
        <w:tabs>
          <w:tab w:val="left" w:pos="750"/>
        </w:tabs>
        <w:rPr>
          <w:rFonts w:cs="Arial"/>
          <w:sz w:val="20"/>
          <w:szCs w:val="20"/>
        </w:rPr>
      </w:pPr>
      <w:r>
        <w:rPr>
          <w:rFonts w:cs="Arial"/>
          <w:sz w:val="20"/>
          <w:szCs w:val="20"/>
        </w:rPr>
        <w:t xml:space="preserve">In 2006, </w:t>
      </w:r>
      <w:r w:rsidR="000C32DF">
        <w:rPr>
          <w:rFonts w:cs="Arial"/>
          <w:sz w:val="20"/>
          <w:szCs w:val="20"/>
        </w:rPr>
        <w:t xml:space="preserve">Clanton &amp; Associates, Inc. with sub-consultant RLW Analytics, Geltz Communications, and contractor Quality Light and Electric worked with Southern California Edison to conduct a survey of 100 respondents to assess whether customers perceive any difference </w:t>
      </w:r>
      <w:r w:rsidR="009E12CF">
        <w:rPr>
          <w:rFonts w:cs="Arial"/>
          <w:sz w:val="20"/>
          <w:szCs w:val="20"/>
        </w:rPr>
        <w:t xml:space="preserve">in light quality </w:t>
      </w:r>
      <w:r w:rsidR="000C32DF">
        <w:rPr>
          <w:rFonts w:cs="Arial"/>
          <w:sz w:val="20"/>
          <w:szCs w:val="20"/>
        </w:rPr>
        <w:t xml:space="preserve">between </w:t>
      </w:r>
      <w:r w:rsidR="009E12CF">
        <w:rPr>
          <w:rFonts w:cs="Arial"/>
          <w:sz w:val="20"/>
          <w:szCs w:val="20"/>
        </w:rPr>
        <w:t>metal halide lamps and induction lamps in a car dealership. The survey results did not show a significant difference between a metal halide system an</w:t>
      </w:r>
      <w:r w:rsidR="00847F51">
        <w:rPr>
          <w:rFonts w:cs="Arial"/>
          <w:sz w:val="20"/>
          <w:szCs w:val="20"/>
        </w:rPr>
        <w:t>d an</w:t>
      </w:r>
      <w:r w:rsidR="009E12CF">
        <w:rPr>
          <w:rFonts w:cs="Arial"/>
          <w:sz w:val="20"/>
          <w:szCs w:val="20"/>
        </w:rPr>
        <w:t xml:space="preserve"> induction lighting system that uses 62% less energy.</w:t>
      </w:r>
      <w:r w:rsidR="00847F51">
        <w:rPr>
          <w:rFonts w:cs="Arial"/>
          <w:sz w:val="20"/>
          <w:szCs w:val="20"/>
        </w:rPr>
        <w:t xml:space="preserve"> Note that this is an exploratory market research study, not a rigidly controlled experiment; it is therefore not possible to make any definitive statements about the specific performance of each system.</w:t>
      </w:r>
    </w:p>
    <w:p w:rsidR="009E12CF" w:rsidRDefault="009E12CF" w:rsidP="000C32DF">
      <w:pPr>
        <w:tabs>
          <w:tab w:val="left" w:pos="750"/>
        </w:tabs>
        <w:rPr>
          <w:rFonts w:cs="Arial"/>
          <w:sz w:val="20"/>
          <w:szCs w:val="20"/>
        </w:rPr>
      </w:pPr>
    </w:p>
    <w:p w:rsidR="00432C65" w:rsidRPr="000C32DF" w:rsidRDefault="009E12CF" w:rsidP="000C32DF">
      <w:pPr>
        <w:tabs>
          <w:tab w:val="left" w:pos="750"/>
        </w:tabs>
        <w:rPr>
          <w:rFonts w:cs="Arial"/>
          <w:sz w:val="20"/>
          <w:szCs w:val="20"/>
        </w:rPr>
      </w:pPr>
      <w:r>
        <w:rPr>
          <w:rFonts w:cs="Arial"/>
          <w:b/>
          <w:i/>
        </w:rPr>
        <w:t>1.4.3.2</w:t>
      </w:r>
      <w:r w:rsidRPr="00C80E3F">
        <w:rPr>
          <w:rFonts w:cs="Arial"/>
          <w:b/>
          <w:i/>
        </w:rPr>
        <w:t xml:space="preserve"> </w:t>
      </w:r>
      <w:r w:rsidR="00557F28">
        <w:rPr>
          <w:rFonts w:cs="Arial"/>
          <w:b/>
          <w:i/>
        </w:rPr>
        <w:t>PIER Solutions for Parking Lots and Garages</w:t>
      </w:r>
      <w:r>
        <w:rPr>
          <w:rStyle w:val="EndnoteReference"/>
          <w:rFonts w:cs="Arial"/>
          <w:b/>
          <w:i/>
        </w:rPr>
        <w:endnoteReference w:id="9"/>
      </w:r>
    </w:p>
    <w:p w:rsidR="00557F28" w:rsidRPr="00C8318B" w:rsidRDefault="00557F28" w:rsidP="00A35CF8">
      <w:pPr>
        <w:rPr>
          <w:rFonts w:cs="Arial"/>
          <w:sz w:val="20"/>
          <w:szCs w:val="20"/>
          <w:highlight w:val="cyan"/>
        </w:rPr>
      </w:pPr>
      <w:r w:rsidRPr="00557F28">
        <w:rPr>
          <w:rFonts w:cs="Arial"/>
          <w:sz w:val="20"/>
          <w:szCs w:val="20"/>
        </w:rPr>
        <w:t>PIER has sponsored case studies involving retrofits of induction lighting with integrated bi-level and occupancy-based controls in parking garages.</w:t>
      </w:r>
    </w:p>
    <w:p w:rsidR="00A172E6" w:rsidRPr="00C8318B" w:rsidRDefault="001248A3" w:rsidP="00C8318B">
      <w:pPr>
        <w:pStyle w:val="Heading2"/>
        <w:keepNext w:val="0"/>
      </w:pPr>
      <w:bookmarkStart w:id="69" w:name="_Toc304800208"/>
      <w:bookmarkStart w:id="70" w:name="_Toc324318344"/>
      <w:bookmarkStart w:id="71" w:name="_Toc324340488"/>
      <w:bookmarkStart w:id="72" w:name="_Toc438561236"/>
      <w:r>
        <w:t>1.</w:t>
      </w:r>
      <w:r w:rsidR="00264B03">
        <w:t xml:space="preserve">4.4 </w:t>
      </w:r>
      <w:r w:rsidR="009C5CA7">
        <w:t xml:space="preserve">Assumptions and </w:t>
      </w:r>
      <w:r w:rsidR="00264B03">
        <w:t>Calculations from other sources—Base and Measure Cases</w:t>
      </w:r>
      <w:bookmarkEnd w:id="69"/>
      <w:bookmarkEnd w:id="70"/>
      <w:bookmarkEnd w:id="71"/>
      <w:bookmarkEnd w:id="72"/>
    </w:p>
    <w:p w:rsidR="00640A56" w:rsidRPr="00C8318B" w:rsidRDefault="000701EB" w:rsidP="000F453B">
      <w:r w:rsidRPr="004162E3">
        <w:rPr>
          <w:rFonts w:cs="Arial"/>
          <w:b/>
          <w:sz w:val="20"/>
          <w:szCs w:val="20"/>
        </w:rPr>
        <w:t>Energy Savings Assumption (ΔW, ΔTherms):</w:t>
      </w:r>
      <w:r w:rsidR="00437BE1">
        <w:rPr>
          <w:rFonts w:cs="Arial"/>
          <w:sz w:val="20"/>
          <w:szCs w:val="20"/>
        </w:rPr>
        <w:t xml:space="preserve"> </w:t>
      </w:r>
      <w:r w:rsidR="000F453B">
        <w:rPr>
          <w:sz w:val="20"/>
        </w:rPr>
        <w:t xml:space="preserve">The delta wattage values were obtained from </w:t>
      </w:r>
      <w:r w:rsidR="00A1012C">
        <w:rPr>
          <w:sz w:val="20"/>
        </w:rPr>
        <w:t>the READI tool version 2.</w:t>
      </w:r>
      <w:r w:rsidR="000F453B">
        <w:rPr>
          <w:sz w:val="20"/>
        </w:rPr>
        <w:t>3.</w:t>
      </w:r>
      <w:r w:rsidR="00A1012C">
        <w:rPr>
          <w:sz w:val="20"/>
        </w:rPr>
        <w:t>0.</w:t>
      </w:r>
    </w:p>
    <w:p w:rsidR="009E1C9E" w:rsidRDefault="009E1C9E" w:rsidP="00063FA7">
      <w:pPr>
        <w:rPr>
          <w:rFonts w:cs="Arial"/>
          <w:b/>
          <w:i/>
          <w:sz w:val="28"/>
          <w:szCs w:val="28"/>
        </w:rPr>
      </w:pPr>
    </w:p>
    <w:p w:rsidR="00A1012C" w:rsidRDefault="00A1012C">
      <w:pPr>
        <w:rPr>
          <w:rFonts w:cs="Arial"/>
          <w:b/>
          <w:bCs/>
          <w:kern w:val="32"/>
          <w:sz w:val="32"/>
          <w:szCs w:val="32"/>
        </w:rPr>
      </w:pPr>
      <w:bookmarkStart w:id="73" w:name="_Toc304800210"/>
      <w:bookmarkStart w:id="74" w:name="_Toc324340489"/>
      <w:r>
        <w:br w:type="page"/>
      </w:r>
    </w:p>
    <w:p w:rsidR="00C069A2" w:rsidRDefault="00CF3FF0" w:rsidP="00C41E61">
      <w:pPr>
        <w:pStyle w:val="Heading1"/>
      </w:pPr>
      <w:bookmarkStart w:id="75" w:name="_Toc438561237"/>
      <w:r w:rsidRPr="00CF3FF0">
        <w:lastRenderedPageBreak/>
        <w:t xml:space="preserve">Section </w:t>
      </w:r>
      <w:r w:rsidR="00C069A2" w:rsidRPr="00CF3FF0">
        <w:t>2</w:t>
      </w:r>
      <w:r w:rsidR="003129E8" w:rsidRPr="00CF3FF0">
        <w:t>.</w:t>
      </w:r>
      <w:r w:rsidR="00C069A2" w:rsidRPr="00CF3FF0">
        <w:t xml:space="preserve"> Calculation Methods</w:t>
      </w:r>
      <w:bookmarkEnd w:id="73"/>
      <w:bookmarkEnd w:id="74"/>
      <w:bookmarkEnd w:id="75"/>
    </w:p>
    <w:p w:rsidR="00C069A2" w:rsidRDefault="00C069A2" w:rsidP="00D20486">
      <w:pPr>
        <w:pStyle w:val="Heading2"/>
      </w:pPr>
      <w:bookmarkStart w:id="76" w:name="_Toc304800211"/>
      <w:bookmarkStart w:id="77" w:name="_Toc324318365"/>
      <w:bookmarkStart w:id="78" w:name="_Toc324340494"/>
      <w:bookmarkStart w:id="79" w:name="_Toc438561238"/>
      <w:r>
        <w:t xml:space="preserve">2.1 </w:t>
      </w:r>
      <w:r w:rsidR="007878B9">
        <w:t xml:space="preserve">Electric </w:t>
      </w:r>
      <w:r>
        <w:t>Energy Savings Estimation Methodologies</w:t>
      </w:r>
      <w:bookmarkEnd w:id="76"/>
      <w:bookmarkEnd w:id="77"/>
      <w:bookmarkEnd w:id="78"/>
      <w:bookmarkEnd w:id="79"/>
    </w:p>
    <w:p w:rsidR="00A257F7" w:rsidRPr="00A257F7" w:rsidRDefault="00A257F7" w:rsidP="00A257F7">
      <w:pPr>
        <w:rPr>
          <w:rFonts w:cs="Arial"/>
          <w:sz w:val="20"/>
          <w:szCs w:val="20"/>
        </w:rPr>
      </w:pPr>
      <w:bookmarkStart w:id="80" w:name="_Toc304800212"/>
      <w:bookmarkStart w:id="81" w:name="_Toc324318366"/>
      <w:bookmarkStart w:id="82" w:name="_Toc324340495"/>
      <w:r w:rsidRPr="00A257F7">
        <w:rPr>
          <w:rFonts w:cs="Arial"/>
          <w:sz w:val="20"/>
          <w:szCs w:val="20"/>
        </w:rPr>
        <w:t xml:space="preserve">The power reduction in ∆Watts/unit is the basis for calculating the change in energy use from the Induction Fixture measure. (This is also a demand difference, but is not used for calculating a peak demand savings, since the savings occur outdoors at night during hours not included in the utility peak.) </w:t>
      </w:r>
    </w:p>
    <w:p w:rsidR="00A257F7" w:rsidRPr="00A257F7" w:rsidRDefault="00A257F7" w:rsidP="00A257F7">
      <w:pPr>
        <w:rPr>
          <w:rFonts w:cs="Arial"/>
          <w:i/>
          <w:sz w:val="20"/>
          <w:szCs w:val="20"/>
        </w:rPr>
      </w:pPr>
    </w:p>
    <w:p w:rsidR="00A257F7" w:rsidRPr="00A257F7" w:rsidRDefault="00A257F7" w:rsidP="00A257F7">
      <w:pPr>
        <w:rPr>
          <w:rFonts w:cs="Arial"/>
          <w:i/>
          <w:sz w:val="20"/>
          <w:szCs w:val="20"/>
        </w:rPr>
      </w:pPr>
      <w:r w:rsidRPr="00A257F7">
        <w:rPr>
          <w:rFonts w:cs="Arial"/>
          <w:i/>
          <w:sz w:val="20"/>
          <w:szCs w:val="20"/>
        </w:rPr>
        <w:t>∆Watts/unit:</w:t>
      </w:r>
    </w:p>
    <w:p w:rsidR="00A257F7" w:rsidRPr="00A257F7" w:rsidRDefault="00A257F7" w:rsidP="00A257F7">
      <w:pPr>
        <w:rPr>
          <w:rFonts w:cs="Arial"/>
          <w:i/>
          <w:sz w:val="20"/>
          <w:szCs w:val="20"/>
        </w:rPr>
      </w:pPr>
    </w:p>
    <w:p w:rsidR="00A257F7" w:rsidRPr="00A257F7" w:rsidRDefault="00A257F7" w:rsidP="00A257F7">
      <w:pPr>
        <w:rPr>
          <w:rFonts w:cs="Arial"/>
          <w:sz w:val="20"/>
          <w:szCs w:val="20"/>
        </w:rPr>
      </w:pPr>
      <w:r w:rsidRPr="00A257F7">
        <w:rPr>
          <w:rFonts w:cs="Arial"/>
          <w:sz w:val="20"/>
          <w:szCs w:val="20"/>
        </w:rPr>
        <w:t>The difference in watts per unit is simply the difference between the electric power draw of the base unit and the electric power draw of the energy-efficient unit.</w:t>
      </w:r>
    </w:p>
    <w:p w:rsidR="00A257F7" w:rsidRPr="00A257F7" w:rsidRDefault="00A257F7" w:rsidP="00A257F7">
      <w:pPr>
        <w:ind w:left="720"/>
        <w:rPr>
          <w:rFonts w:cs="Arial"/>
          <w:i/>
          <w:sz w:val="20"/>
          <w:szCs w:val="20"/>
        </w:rPr>
      </w:pPr>
    </w:p>
    <w:p w:rsidR="00A257F7" w:rsidRPr="00A257F7" w:rsidRDefault="00A257F7" w:rsidP="00A257F7">
      <w:pPr>
        <w:ind w:left="720"/>
        <w:rPr>
          <w:rFonts w:cs="Arial"/>
          <w:i/>
          <w:sz w:val="20"/>
          <w:szCs w:val="20"/>
        </w:rPr>
      </w:pPr>
      <w:r w:rsidRPr="00A257F7">
        <w:rPr>
          <w:rFonts w:cs="Arial"/>
          <w:i/>
          <w:sz w:val="20"/>
          <w:szCs w:val="20"/>
          <w:u w:val="single"/>
        </w:rPr>
        <w:t>∆Watts/unit</w:t>
      </w:r>
      <w:r w:rsidRPr="00A257F7">
        <w:rPr>
          <w:rFonts w:cs="Arial"/>
          <w:i/>
          <w:sz w:val="20"/>
          <w:szCs w:val="20"/>
        </w:rPr>
        <w:tab/>
        <w:t>= (Base Watts/unit) - ( Energy-Efficient Measure Watts/Unit)</w:t>
      </w:r>
    </w:p>
    <w:p w:rsidR="00A257F7" w:rsidRPr="00A257F7" w:rsidRDefault="00A257F7" w:rsidP="00A257F7">
      <w:pPr>
        <w:rPr>
          <w:rFonts w:cs="Arial"/>
          <w:sz w:val="20"/>
          <w:szCs w:val="20"/>
        </w:rPr>
      </w:pPr>
    </w:p>
    <w:p w:rsidR="00A257F7" w:rsidRPr="00A257F7" w:rsidRDefault="000F453B" w:rsidP="00A257F7">
      <w:pPr>
        <w:keepNext/>
        <w:rPr>
          <w:rFonts w:cs="Arial"/>
          <w:sz w:val="20"/>
          <w:szCs w:val="20"/>
        </w:rPr>
      </w:pPr>
      <w:r>
        <w:rPr>
          <w:rFonts w:cs="Arial"/>
          <w:sz w:val="20"/>
          <w:szCs w:val="20"/>
        </w:rPr>
        <w:t xml:space="preserve">L0262 assumes </w:t>
      </w:r>
      <w:r w:rsidR="00A257F7" w:rsidRPr="00A257F7">
        <w:rPr>
          <w:rFonts w:cs="Arial"/>
          <w:sz w:val="20"/>
          <w:szCs w:val="20"/>
        </w:rPr>
        <w:t xml:space="preserve">a </w:t>
      </w:r>
      <w:r>
        <w:rPr>
          <w:rFonts w:cs="Arial"/>
          <w:sz w:val="20"/>
          <w:szCs w:val="20"/>
        </w:rPr>
        <w:t xml:space="preserve">baseline </w:t>
      </w:r>
      <w:r w:rsidR="00A257F7" w:rsidRPr="00A257F7">
        <w:rPr>
          <w:rFonts w:cs="Arial"/>
          <w:sz w:val="20"/>
          <w:szCs w:val="20"/>
        </w:rPr>
        <w:t>fixture wattage of 1</w:t>
      </w:r>
      <w:r w:rsidR="00A93E12">
        <w:rPr>
          <w:rFonts w:cs="Arial"/>
          <w:sz w:val="20"/>
          <w:szCs w:val="20"/>
        </w:rPr>
        <w:t>2</w:t>
      </w:r>
      <w:r w:rsidR="00A257F7" w:rsidRPr="00A257F7">
        <w:rPr>
          <w:rFonts w:cs="Arial"/>
          <w:sz w:val="20"/>
          <w:szCs w:val="20"/>
        </w:rPr>
        <w:t xml:space="preserve">0 W. The measure fixture wattage is </w:t>
      </w:r>
      <w:r>
        <w:rPr>
          <w:rFonts w:cs="Arial"/>
          <w:sz w:val="20"/>
          <w:szCs w:val="20"/>
        </w:rPr>
        <w:t>70</w:t>
      </w:r>
      <w:r w:rsidR="00A257F7" w:rsidRPr="00A257F7">
        <w:rPr>
          <w:rFonts w:cs="Arial"/>
          <w:sz w:val="20"/>
          <w:szCs w:val="20"/>
        </w:rPr>
        <w:t>. For this example, the delta Wattage is:</w:t>
      </w:r>
    </w:p>
    <w:p w:rsidR="00A257F7" w:rsidRPr="00A257F7" w:rsidRDefault="00A257F7" w:rsidP="00A257F7">
      <w:pPr>
        <w:keepNext/>
        <w:rPr>
          <w:rFonts w:cs="Arial"/>
          <w:sz w:val="20"/>
          <w:szCs w:val="20"/>
        </w:rPr>
      </w:pPr>
    </w:p>
    <w:p w:rsidR="00A257F7" w:rsidRPr="00A257F7" w:rsidRDefault="000F453B" w:rsidP="00A257F7">
      <w:pPr>
        <w:ind w:left="720"/>
        <w:jc w:val="center"/>
        <w:rPr>
          <w:rFonts w:cs="Arial"/>
          <w:i/>
          <w:sz w:val="20"/>
          <w:szCs w:val="20"/>
        </w:rPr>
      </w:pPr>
      <w:r>
        <w:rPr>
          <w:rFonts w:cs="Arial"/>
          <w:i/>
          <w:sz w:val="20"/>
          <w:szCs w:val="20"/>
        </w:rPr>
        <w:t>∆Watts/unit = 1</w:t>
      </w:r>
      <w:r w:rsidR="00A93E12">
        <w:rPr>
          <w:rFonts w:cs="Arial"/>
          <w:i/>
          <w:sz w:val="20"/>
          <w:szCs w:val="20"/>
        </w:rPr>
        <w:t>2</w:t>
      </w:r>
      <w:r>
        <w:rPr>
          <w:rFonts w:cs="Arial"/>
          <w:i/>
          <w:sz w:val="20"/>
          <w:szCs w:val="20"/>
        </w:rPr>
        <w:t xml:space="preserve">0 – 70 = </w:t>
      </w:r>
      <w:r w:rsidR="00A93E12">
        <w:rPr>
          <w:rFonts w:cs="Arial"/>
          <w:i/>
          <w:sz w:val="20"/>
          <w:szCs w:val="20"/>
        </w:rPr>
        <w:t>5</w:t>
      </w:r>
      <w:r w:rsidR="00A257F7" w:rsidRPr="00A257F7">
        <w:rPr>
          <w:rFonts w:cs="Arial"/>
          <w:i/>
          <w:sz w:val="20"/>
          <w:szCs w:val="20"/>
        </w:rPr>
        <w:t>0 Watts</w:t>
      </w:r>
    </w:p>
    <w:p w:rsidR="00A257F7" w:rsidRPr="00A257F7" w:rsidRDefault="00A257F7" w:rsidP="00A257F7">
      <w:pPr>
        <w:rPr>
          <w:rFonts w:cs="Arial"/>
          <w:sz w:val="20"/>
          <w:szCs w:val="20"/>
        </w:rPr>
      </w:pPr>
    </w:p>
    <w:p w:rsidR="00A257F7" w:rsidRPr="00A257F7" w:rsidRDefault="00A257F7" w:rsidP="00A257F7">
      <w:pPr>
        <w:rPr>
          <w:rFonts w:cs="Arial"/>
          <w:i/>
          <w:sz w:val="20"/>
          <w:szCs w:val="20"/>
        </w:rPr>
      </w:pPr>
    </w:p>
    <w:p w:rsidR="00A257F7" w:rsidRPr="00A257F7" w:rsidRDefault="00A257F7" w:rsidP="00A257F7">
      <w:pPr>
        <w:rPr>
          <w:rFonts w:cs="Arial"/>
          <w:i/>
          <w:sz w:val="20"/>
          <w:szCs w:val="20"/>
        </w:rPr>
      </w:pPr>
      <w:r w:rsidRPr="00A257F7">
        <w:rPr>
          <w:rFonts w:cs="Arial"/>
          <w:i/>
          <w:sz w:val="20"/>
          <w:szCs w:val="20"/>
        </w:rPr>
        <w:t>Annual Electric Savings:</w:t>
      </w:r>
    </w:p>
    <w:p w:rsidR="00A257F7" w:rsidRPr="00A257F7" w:rsidRDefault="00A257F7" w:rsidP="00A257F7">
      <w:pPr>
        <w:rPr>
          <w:rFonts w:cs="Arial"/>
          <w:sz w:val="20"/>
          <w:szCs w:val="20"/>
        </w:rPr>
      </w:pPr>
      <w:r w:rsidRPr="00A257F7">
        <w:rPr>
          <w:rFonts w:cs="Arial"/>
          <w:sz w:val="20"/>
          <w:szCs w:val="20"/>
        </w:rPr>
        <w:t xml:space="preserve">To calculate the annual electric savings from the measure, we multiply the ∆Watts/unit by the annual hours of operation: </w:t>
      </w:r>
    </w:p>
    <w:p w:rsidR="00A257F7" w:rsidRPr="00A257F7" w:rsidRDefault="00A257F7" w:rsidP="00A257F7">
      <w:pPr>
        <w:ind w:left="720"/>
        <w:rPr>
          <w:rFonts w:cs="Arial"/>
          <w:i/>
          <w:sz w:val="20"/>
          <w:szCs w:val="20"/>
        </w:rPr>
      </w:pPr>
      <w:r w:rsidRPr="00A257F7">
        <w:rPr>
          <w:rFonts w:cs="Arial"/>
          <w:i/>
          <w:sz w:val="20"/>
          <w:szCs w:val="20"/>
        </w:rPr>
        <w:t xml:space="preserve">Energy Savings [kWh/Unit] </w:t>
      </w:r>
      <w:r w:rsidRPr="00A257F7">
        <w:rPr>
          <w:rFonts w:cs="Arial"/>
          <w:i/>
          <w:sz w:val="20"/>
          <w:szCs w:val="20"/>
        </w:rPr>
        <w:tab/>
        <w:t xml:space="preserve">= </w:t>
      </w:r>
      <w:r w:rsidRPr="00A257F7">
        <w:rPr>
          <w:rFonts w:cs="Arial"/>
          <w:i/>
          <w:sz w:val="20"/>
          <w:szCs w:val="20"/>
          <w:u w:val="single"/>
        </w:rPr>
        <w:t>(∆Watts/unit) x (hours/day)x(days/year)</w:t>
      </w:r>
    </w:p>
    <w:p w:rsidR="00A257F7" w:rsidRPr="00A257F7" w:rsidRDefault="00A257F7" w:rsidP="00A257F7">
      <w:pPr>
        <w:ind w:left="720"/>
        <w:rPr>
          <w:rFonts w:cs="Arial"/>
          <w:i/>
          <w:sz w:val="20"/>
          <w:szCs w:val="20"/>
        </w:rPr>
      </w:pPr>
      <w:r w:rsidRPr="00A257F7">
        <w:rPr>
          <w:rFonts w:cs="Arial"/>
          <w:i/>
          <w:sz w:val="20"/>
          <w:szCs w:val="20"/>
        </w:rPr>
        <w:tab/>
      </w:r>
      <w:r w:rsidRPr="00A257F7">
        <w:rPr>
          <w:rFonts w:cs="Arial"/>
          <w:i/>
          <w:sz w:val="20"/>
          <w:szCs w:val="20"/>
        </w:rPr>
        <w:tab/>
      </w:r>
      <w:r w:rsidRPr="00A257F7">
        <w:rPr>
          <w:rFonts w:cs="Arial"/>
          <w:i/>
          <w:sz w:val="20"/>
          <w:szCs w:val="20"/>
        </w:rPr>
        <w:tab/>
      </w:r>
      <w:r w:rsidRPr="00A257F7">
        <w:rPr>
          <w:rFonts w:cs="Arial"/>
          <w:i/>
          <w:sz w:val="20"/>
          <w:szCs w:val="20"/>
        </w:rPr>
        <w:tab/>
        <w:t xml:space="preserve">                1,000 Watts / kW</w:t>
      </w:r>
    </w:p>
    <w:p w:rsidR="00A257F7" w:rsidRPr="00A257F7" w:rsidRDefault="00A257F7" w:rsidP="00A257F7">
      <w:pPr>
        <w:rPr>
          <w:rFonts w:cs="Arial"/>
          <w:sz w:val="20"/>
          <w:szCs w:val="20"/>
        </w:rPr>
      </w:pPr>
    </w:p>
    <w:p w:rsidR="00A257F7" w:rsidRPr="00A257F7" w:rsidRDefault="00A257F7" w:rsidP="00A257F7">
      <w:pPr>
        <w:rPr>
          <w:rFonts w:cs="Arial"/>
          <w:sz w:val="20"/>
          <w:szCs w:val="20"/>
        </w:rPr>
      </w:pPr>
      <w:r w:rsidRPr="00A257F7">
        <w:rPr>
          <w:rFonts w:cs="Arial"/>
          <w:sz w:val="20"/>
          <w:szCs w:val="20"/>
        </w:rPr>
        <w:t xml:space="preserve">For the </w:t>
      </w:r>
      <w:r w:rsidR="00A93E12">
        <w:rPr>
          <w:rFonts w:cs="Arial"/>
          <w:sz w:val="20"/>
          <w:szCs w:val="20"/>
        </w:rPr>
        <w:t>70</w:t>
      </w:r>
      <w:r w:rsidRPr="00A257F7">
        <w:rPr>
          <w:rFonts w:cs="Arial"/>
          <w:sz w:val="20"/>
          <w:szCs w:val="20"/>
        </w:rPr>
        <w:t xml:space="preserve"> Watt fixture example, the savings are</w:t>
      </w:r>
    </w:p>
    <w:p w:rsidR="00A257F7" w:rsidRPr="00A257F7" w:rsidRDefault="00A257F7" w:rsidP="00A257F7">
      <w:pPr>
        <w:ind w:left="720" w:firstLine="720"/>
        <w:rPr>
          <w:rFonts w:cs="Arial"/>
          <w:i/>
          <w:sz w:val="20"/>
          <w:szCs w:val="20"/>
          <w:u w:val="single"/>
        </w:rPr>
      </w:pPr>
      <w:r w:rsidRPr="00A257F7">
        <w:rPr>
          <w:rFonts w:cs="Arial"/>
          <w:i/>
          <w:sz w:val="20"/>
          <w:szCs w:val="20"/>
        </w:rPr>
        <w:t xml:space="preserve">Energy Savings </w:t>
      </w:r>
      <w:r w:rsidRPr="00A257F7">
        <w:rPr>
          <w:rFonts w:cs="Arial"/>
          <w:i/>
          <w:sz w:val="20"/>
          <w:szCs w:val="20"/>
        </w:rPr>
        <w:tab/>
        <w:t xml:space="preserve">= </w:t>
      </w:r>
      <w:r w:rsidR="00A93E12">
        <w:rPr>
          <w:rFonts w:cs="Arial"/>
          <w:i/>
          <w:sz w:val="20"/>
          <w:szCs w:val="20"/>
          <w:u w:val="single"/>
        </w:rPr>
        <w:t>5</w:t>
      </w:r>
      <w:r w:rsidR="000F453B">
        <w:rPr>
          <w:rFonts w:cs="Arial"/>
          <w:i/>
          <w:sz w:val="20"/>
          <w:szCs w:val="20"/>
          <w:u w:val="single"/>
        </w:rPr>
        <w:t>0</w:t>
      </w:r>
      <w:r w:rsidRPr="00A257F7">
        <w:rPr>
          <w:rFonts w:cs="Arial"/>
          <w:i/>
          <w:sz w:val="20"/>
          <w:szCs w:val="20"/>
          <w:u w:val="single"/>
        </w:rPr>
        <w:t>W * 4100 hours/year</w:t>
      </w:r>
    </w:p>
    <w:p w:rsidR="00A257F7" w:rsidRPr="00A257F7" w:rsidRDefault="00A257F7" w:rsidP="00A257F7">
      <w:pPr>
        <w:ind w:left="720"/>
        <w:rPr>
          <w:rFonts w:cs="Arial"/>
          <w:i/>
          <w:sz w:val="20"/>
          <w:szCs w:val="20"/>
        </w:rPr>
      </w:pPr>
      <w:r w:rsidRPr="00A257F7">
        <w:rPr>
          <w:rFonts w:cs="Arial"/>
          <w:i/>
          <w:sz w:val="20"/>
          <w:szCs w:val="20"/>
        </w:rPr>
        <w:tab/>
      </w:r>
      <w:r w:rsidRPr="00A257F7">
        <w:rPr>
          <w:rFonts w:cs="Arial"/>
          <w:i/>
          <w:sz w:val="20"/>
          <w:szCs w:val="20"/>
        </w:rPr>
        <w:tab/>
      </w:r>
      <w:r w:rsidRPr="00A257F7">
        <w:rPr>
          <w:rFonts w:cs="Arial"/>
          <w:i/>
          <w:sz w:val="20"/>
          <w:szCs w:val="20"/>
        </w:rPr>
        <w:tab/>
      </w:r>
      <w:r w:rsidRPr="00A257F7">
        <w:rPr>
          <w:rFonts w:cs="Arial"/>
          <w:i/>
          <w:sz w:val="20"/>
          <w:szCs w:val="20"/>
        </w:rPr>
        <w:tab/>
      </w:r>
      <w:r w:rsidR="00A93E12">
        <w:rPr>
          <w:rFonts w:cs="Arial"/>
          <w:i/>
          <w:sz w:val="20"/>
          <w:szCs w:val="20"/>
        </w:rPr>
        <w:t xml:space="preserve">       </w:t>
      </w:r>
      <w:r w:rsidRPr="00A257F7">
        <w:rPr>
          <w:rFonts w:cs="Arial"/>
          <w:i/>
          <w:sz w:val="20"/>
          <w:szCs w:val="20"/>
        </w:rPr>
        <w:t>1000W/kW</w:t>
      </w:r>
    </w:p>
    <w:p w:rsidR="00A257F7" w:rsidRDefault="000F453B" w:rsidP="000F453B">
      <w:pPr>
        <w:ind w:left="720"/>
        <w:rPr>
          <w:rFonts w:cs="Arial"/>
          <w:i/>
          <w:sz w:val="20"/>
          <w:szCs w:val="20"/>
        </w:rPr>
      </w:pPr>
      <w:r>
        <w:rPr>
          <w:rFonts w:cs="Arial"/>
          <w:i/>
          <w:sz w:val="20"/>
          <w:szCs w:val="20"/>
        </w:rPr>
        <w:tab/>
      </w:r>
      <w:r>
        <w:rPr>
          <w:rFonts w:cs="Arial"/>
          <w:i/>
          <w:sz w:val="20"/>
          <w:szCs w:val="20"/>
        </w:rPr>
        <w:tab/>
      </w:r>
      <w:r>
        <w:rPr>
          <w:rFonts w:cs="Arial"/>
          <w:i/>
          <w:sz w:val="20"/>
          <w:szCs w:val="20"/>
        </w:rPr>
        <w:tab/>
      </w:r>
      <w:r>
        <w:rPr>
          <w:rFonts w:cs="Arial"/>
          <w:i/>
          <w:sz w:val="20"/>
          <w:szCs w:val="20"/>
        </w:rPr>
        <w:tab/>
        <w:t xml:space="preserve">= </w:t>
      </w:r>
      <w:r w:rsidR="00A93E12">
        <w:rPr>
          <w:rFonts w:cs="Arial"/>
          <w:i/>
          <w:sz w:val="20"/>
          <w:szCs w:val="20"/>
        </w:rPr>
        <w:t>205</w:t>
      </w:r>
      <w:r w:rsidR="00A257F7" w:rsidRPr="00A257F7">
        <w:rPr>
          <w:rFonts w:cs="Arial"/>
          <w:i/>
          <w:sz w:val="20"/>
          <w:szCs w:val="20"/>
        </w:rPr>
        <w:t xml:space="preserve"> kWh/year</w:t>
      </w:r>
    </w:p>
    <w:p w:rsidR="000F453B" w:rsidRPr="000F453B" w:rsidRDefault="000F453B" w:rsidP="000F453B">
      <w:pPr>
        <w:ind w:left="720"/>
        <w:rPr>
          <w:rFonts w:cs="Arial"/>
          <w:i/>
          <w:sz w:val="20"/>
          <w:szCs w:val="20"/>
        </w:rPr>
      </w:pPr>
    </w:p>
    <w:p w:rsidR="00C069A2" w:rsidRDefault="0030550A" w:rsidP="002E0043">
      <w:pPr>
        <w:pStyle w:val="Heading2"/>
        <w:keepNext w:val="0"/>
      </w:pPr>
      <w:bookmarkStart w:id="83" w:name="_Toc438561239"/>
      <w:r>
        <w:t>2.2. Demand R</w:t>
      </w:r>
      <w:r w:rsidR="00C069A2">
        <w:t>eduction Estimation Methodologies</w:t>
      </w:r>
      <w:bookmarkEnd w:id="80"/>
      <w:bookmarkEnd w:id="81"/>
      <w:bookmarkEnd w:id="82"/>
      <w:bookmarkEnd w:id="83"/>
    </w:p>
    <w:p w:rsidR="00A257F7" w:rsidRPr="00A93E12" w:rsidRDefault="00A257F7" w:rsidP="00A257F7">
      <w:pPr>
        <w:rPr>
          <w:sz w:val="20"/>
          <w:szCs w:val="20"/>
        </w:rPr>
      </w:pPr>
      <w:bookmarkStart w:id="84" w:name="_Toc304800213"/>
      <w:bookmarkStart w:id="85" w:name="_Toc324318367"/>
      <w:bookmarkStart w:id="86" w:name="_Toc324340496"/>
      <w:r w:rsidRPr="00A257F7">
        <w:rPr>
          <w:sz w:val="20"/>
          <w:szCs w:val="20"/>
        </w:rPr>
        <w:t>As mentioned in Section 2.1, there are no demand savings associated with this exterior lighting measure, because its hours of operation are outside of the peak.</w:t>
      </w:r>
    </w:p>
    <w:p w:rsidR="007878B9" w:rsidRPr="00BF0332" w:rsidRDefault="00276ED1" w:rsidP="00BF0332">
      <w:pPr>
        <w:pStyle w:val="Heading2"/>
      </w:pPr>
      <w:bookmarkStart w:id="87" w:name="_Toc438561240"/>
      <w:r w:rsidRPr="00BF0332">
        <w:t xml:space="preserve">2.3. </w:t>
      </w:r>
      <w:r w:rsidR="007878B9" w:rsidRPr="00BF0332">
        <w:t>Gas Energy Savings Estimation Methodologies</w:t>
      </w:r>
      <w:bookmarkEnd w:id="84"/>
      <w:bookmarkEnd w:id="85"/>
      <w:bookmarkEnd w:id="86"/>
      <w:bookmarkEnd w:id="87"/>
    </w:p>
    <w:p w:rsidR="00A257F7" w:rsidRPr="00A257F7" w:rsidRDefault="00A257F7" w:rsidP="00A257F7">
      <w:pPr>
        <w:rPr>
          <w:i/>
          <w:sz w:val="20"/>
        </w:rPr>
      </w:pPr>
      <w:r w:rsidRPr="00A257F7">
        <w:rPr>
          <w:sz w:val="20"/>
        </w:rPr>
        <w:t>There</w:t>
      </w:r>
      <w:r w:rsidR="00A93E12">
        <w:rPr>
          <w:sz w:val="20"/>
        </w:rPr>
        <w:t xml:space="preserve"> </w:t>
      </w:r>
      <w:r w:rsidRPr="00A257F7">
        <w:rPr>
          <w:sz w:val="20"/>
        </w:rPr>
        <w:t>are no gas energy savings associated with this exterior lighting measure.</w:t>
      </w:r>
    </w:p>
    <w:p w:rsidR="009A5CE8" w:rsidRPr="00CF3FF0" w:rsidRDefault="009A5CE8" w:rsidP="009A5CE8">
      <w:pPr>
        <w:rPr>
          <w:rFonts w:cs="Arial"/>
          <w:b/>
          <w:color w:val="FF0000"/>
          <w:sz w:val="20"/>
          <w:szCs w:val="20"/>
        </w:rPr>
      </w:pPr>
    </w:p>
    <w:p w:rsidR="00A1012C" w:rsidRDefault="00A1012C">
      <w:pPr>
        <w:rPr>
          <w:rFonts w:cs="Arial"/>
          <w:b/>
          <w:bCs/>
          <w:i/>
          <w:kern w:val="32"/>
          <w:sz w:val="28"/>
          <w:szCs w:val="28"/>
        </w:rPr>
      </w:pPr>
      <w:bookmarkStart w:id="88" w:name="_Toc304800214"/>
      <w:bookmarkStart w:id="89" w:name="_Toc324318368"/>
      <w:bookmarkStart w:id="90" w:name="_Toc324340497"/>
      <w:r>
        <w:rPr>
          <w:i/>
          <w:sz w:val="28"/>
          <w:szCs w:val="28"/>
        </w:rPr>
        <w:br w:type="page"/>
      </w:r>
    </w:p>
    <w:p w:rsidR="00B7164C" w:rsidRPr="007A4D97" w:rsidRDefault="00C069A2" w:rsidP="00D20486">
      <w:pPr>
        <w:pStyle w:val="Heading1"/>
        <w:rPr>
          <w:i/>
          <w:sz w:val="28"/>
          <w:szCs w:val="28"/>
        </w:rPr>
      </w:pPr>
      <w:bookmarkStart w:id="91" w:name="_Toc438561241"/>
      <w:r w:rsidRPr="007A4D97">
        <w:rPr>
          <w:i/>
          <w:sz w:val="28"/>
          <w:szCs w:val="28"/>
        </w:rPr>
        <w:lastRenderedPageBreak/>
        <w:t>Section 3</w:t>
      </w:r>
      <w:r w:rsidR="003129E8" w:rsidRPr="007A4D97">
        <w:rPr>
          <w:i/>
          <w:sz w:val="28"/>
          <w:szCs w:val="28"/>
        </w:rPr>
        <w:t>.</w:t>
      </w:r>
      <w:r w:rsidRPr="007A4D97">
        <w:rPr>
          <w:i/>
          <w:sz w:val="28"/>
          <w:szCs w:val="28"/>
        </w:rPr>
        <w:t xml:space="preserve"> Load Shapes</w:t>
      </w:r>
      <w:bookmarkEnd w:id="88"/>
      <w:bookmarkEnd w:id="89"/>
      <w:bookmarkEnd w:id="90"/>
      <w:bookmarkEnd w:id="91"/>
      <w:r w:rsidR="00844B27" w:rsidRPr="007A4D97">
        <w:rPr>
          <w:i/>
          <w:sz w:val="28"/>
          <w:szCs w:val="28"/>
        </w:rPr>
        <w:t xml:space="preserve"> </w:t>
      </w:r>
    </w:p>
    <w:p w:rsidR="00A257F7" w:rsidRDefault="00A257F7" w:rsidP="00A257F7">
      <w:pPr>
        <w:autoSpaceDE w:val="0"/>
        <w:autoSpaceDN w:val="0"/>
        <w:adjustRightInd w:val="0"/>
      </w:pPr>
      <w:r w:rsidRPr="00A257F7">
        <w:rPr>
          <w:sz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8840FA" w:rsidRPr="009943A0" w:rsidRDefault="008840FA" w:rsidP="00423B48">
      <w:pPr>
        <w:pStyle w:val="Reminders"/>
        <w:rPr>
          <w:rFonts w:ascii="Arial" w:hAnsi="Arial" w:cs="Arial"/>
          <w:color w:val="auto"/>
          <w:sz w:val="20"/>
          <w:szCs w:val="20"/>
        </w:rPr>
      </w:pPr>
    </w:p>
    <w:p w:rsidR="00B7164C" w:rsidRPr="007A4D97" w:rsidRDefault="00BF0332" w:rsidP="0087599D">
      <w:pPr>
        <w:pStyle w:val="Heading2"/>
      </w:pPr>
      <w:bookmarkStart w:id="92" w:name="_Toc173742996"/>
      <w:bookmarkStart w:id="93" w:name="_Toc304800215"/>
      <w:bookmarkStart w:id="94" w:name="_Toc324318369"/>
      <w:bookmarkStart w:id="95" w:name="_Toc324340498"/>
      <w:bookmarkStart w:id="96" w:name="_Toc438561242"/>
      <w:r w:rsidRPr="007A4D97">
        <w:t>3.1 Base Case</w:t>
      </w:r>
      <w:r w:rsidR="00B7164C" w:rsidRPr="007A4D97">
        <w:t xml:space="preserve"> Load Shapes</w:t>
      </w:r>
      <w:bookmarkEnd w:id="92"/>
      <w:bookmarkEnd w:id="93"/>
      <w:bookmarkEnd w:id="94"/>
      <w:bookmarkEnd w:id="95"/>
      <w:bookmarkEnd w:id="96"/>
    </w:p>
    <w:p w:rsidR="008840FA" w:rsidRPr="007A4D97" w:rsidRDefault="007764A4" w:rsidP="00B7164C">
      <w:pPr>
        <w:rPr>
          <w:rFonts w:cs="Arial"/>
          <w:sz w:val="20"/>
          <w:szCs w:val="20"/>
        </w:rPr>
      </w:pPr>
      <w:bookmarkStart w:id="97" w:name="_Toc173742997"/>
      <w:r w:rsidRPr="007764A4">
        <w:rPr>
          <w:sz w:val="20"/>
        </w:rPr>
        <w:t>The base case load shape would be expected to follow a typical nonresidential exterior lighting end use load shape.</w:t>
      </w:r>
    </w:p>
    <w:p w:rsidR="00B7164C" w:rsidRPr="007A4D97" w:rsidRDefault="00B7164C" w:rsidP="00D20486">
      <w:pPr>
        <w:pStyle w:val="Heading2"/>
        <w:keepNext w:val="0"/>
      </w:pPr>
      <w:bookmarkStart w:id="98" w:name="_Toc304800216"/>
      <w:bookmarkStart w:id="99" w:name="_Toc324318370"/>
      <w:bookmarkStart w:id="100" w:name="_Toc324340499"/>
      <w:bookmarkStart w:id="101" w:name="_Toc438561243"/>
      <w:r w:rsidRPr="007A4D97">
        <w:t>3.2 Measure Load Shapes</w:t>
      </w:r>
      <w:bookmarkEnd w:id="97"/>
      <w:bookmarkEnd w:id="98"/>
      <w:bookmarkEnd w:id="99"/>
      <w:bookmarkEnd w:id="100"/>
      <w:bookmarkEnd w:id="101"/>
    </w:p>
    <w:p w:rsidR="007764A4" w:rsidRPr="0099630A" w:rsidRDefault="007764A4" w:rsidP="0099630A">
      <w:pPr>
        <w:rPr>
          <w:sz w:val="20"/>
          <w:szCs w:val="20"/>
        </w:rPr>
      </w:pPr>
      <w:bookmarkStart w:id="102" w:name="_Toc304800217"/>
      <w:bookmarkStart w:id="103" w:name="_Toc324318371"/>
      <w:bookmarkStart w:id="104" w:name="_Toc324340500"/>
      <w:r w:rsidRPr="0099630A">
        <w:rPr>
          <w:sz w:val="20"/>
          <w:szCs w:val="20"/>
        </w:rPr>
        <w:t xml:space="preserve">For purposes of the net benefits estimates in the E3 calculator, what is required is the load shape that ideally represents the </w:t>
      </w:r>
      <w:r w:rsidRPr="0099630A">
        <w:rPr>
          <w:i/>
          <w:sz w:val="20"/>
          <w:szCs w:val="20"/>
        </w:rPr>
        <w:t>difference</w:t>
      </w:r>
      <w:r w:rsidRPr="0099630A">
        <w:rPr>
          <w:sz w:val="20"/>
          <w:szCs w:val="20"/>
        </w:rPr>
        <w:t xml:space="preserve"> between the base equipment and the installed energy efficiency measure.  This </w:t>
      </w:r>
      <w:r w:rsidRPr="0099630A">
        <w:rPr>
          <w:i/>
          <w:sz w:val="20"/>
          <w:szCs w:val="20"/>
        </w:rPr>
        <w:t>difference</w:t>
      </w:r>
      <w:r w:rsidRPr="0099630A">
        <w:rPr>
          <w:sz w:val="20"/>
          <w:szCs w:val="20"/>
        </w:rPr>
        <w:t xml:space="preserve"> load profile is what is called the Measure Load Shape and would be the preferred load shape for use in the net benefits calculations.  </w:t>
      </w:r>
    </w:p>
    <w:p w:rsidR="0099630A" w:rsidRDefault="0099630A" w:rsidP="0099630A">
      <w:pPr>
        <w:rPr>
          <w:sz w:val="20"/>
          <w:szCs w:val="20"/>
        </w:rPr>
      </w:pPr>
    </w:p>
    <w:p w:rsidR="007764A4" w:rsidRPr="0099630A" w:rsidRDefault="007764A4" w:rsidP="0099630A">
      <w:pPr>
        <w:rPr>
          <w:sz w:val="20"/>
          <w:szCs w:val="20"/>
        </w:rPr>
      </w:pPr>
      <w:r w:rsidRPr="0099630A">
        <w:rPr>
          <w:sz w:val="20"/>
          <w:szCs w:val="20"/>
        </w:rPr>
        <w:t>The measure load shape for this measure is determined by the E3 calculator based on the applicable nonresidential market sector and the exterior lighting end-use.</w:t>
      </w:r>
    </w:p>
    <w:p w:rsidR="00D126AD" w:rsidRPr="00D126AD" w:rsidRDefault="00D126AD" w:rsidP="00D126AD"/>
    <w:p w:rsidR="00D126AD" w:rsidRDefault="00D126AD" w:rsidP="00D126AD">
      <w:pPr>
        <w:pStyle w:val="Caption"/>
        <w:keepNext/>
        <w:jc w:val="center"/>
      </w:pPr>
      <w:bookmarkStart w:id="105" w:name="_Toc438561255"/>
      <w:r>
        <w:t xml:space="preserve">Table </w:t>
      </w:r>
      <w:fldSimple w:instr=" SEQ Table \* ARABIC ">
        <w:r w:rsidR="00B05720">
          <w:rPr>
            <w:noProof/>
          </w:rPr>
          <w:t>7</w:t>
        </w:r>
      </w:fldSimple>
      <w:r>
        <w:t xml:space="preserve"> Building Types and Load Shapes</w:t>
      </w:r>
      <w:bookmarkEnd w:id="105"/>
    </w:p>
    <w:tbl>
      <w:tblPr>
        <w:tblStyle w:val="TableGrid1"/>
        <w:tblW w:w="5000" w:type="pct"/>
        <w:tblLook w:val="01E0" w:firstRow="1" w:lastRow="1" w:firstColumn="1" w:lastColumn="1" w:noHBand="0" w:noVBand="0"/>
      </w:tblPr>
      <w:tblGrid>
        <w:gridCol w:w="3229"/>
        <w:gridCol w:w="3407"/>
        <w:gridCol w:w="2940"/>
      </w:tblGrid>
      <w:tr w:rsidR="00D126AD" w:rsidRPr="00D126AD" w:rsidTr="0060169C">
        <w:tc>
          <w:tcPr>
            <w:tcW w:w="1686" w:type="pct"/>
            <w:shd w:val="clear" w:color="auto" w:fill="D9D9D9" w:themeFill="background1" w:themeFillShade="D9"/>
          </w:tcPr>
          <w:p w:rsidR="00D126AD" w:rsidRPr="00D126AD" w:rsidRDefault="00D126AD" w:rsidP="0060169C">
            <w:pPr>
              <w:rPr>
                <w:rFonts w:cstheme="minorHAnsi"/>
                <w:b/>
                <w:sz w:val="20"/>
                <w:szCs w:val="20"/>
                <w:highlight w:val="yellow"/>
              </w:rPr>
            </w:pPr>
            <w:r w:rsidRPr="00D126AD">
              <w:rPr>
                <w:rFonts w:cstheme="minorHAnsi"/>
                <w:b/>
                <w:sz w:val="20"/>
                <w:szCs w:val="20"/>
              </w:rPr>
              <w:t>Building Type</w:t>
            </w:r>
          </w:p>
        </w:tc>
        <w:tc>
          <w:tcPr>
            <w:tcW w:w="1779" w:type="pct"/>
            <w:shd w:val="clear" w:color="auto" w:fill="D9D9D9" w:themeFill="background1" w:themeFillShade="D9"/>
          </w:tcPr>
          <w:p w:rsidR="00D126AD" w:rsidRPr="00D126AD" w:rsidRDefault="00D126AD" w:rsidP="0060169C">
            <w:pPr>
              <w:rPr>
                <w:rFonts w:cstheme="minorHAnsi"/>
                <w:b/>
                <w:sz w:val="20"/>
                <w:szCs w:val="20"/>
              </w:rPr>
            </w:pPr>
            <w:r w:rsidRPr="00D126AD">
              <w:rPr>
                <w:rFonts w:cstheme="minorHAnsi"/>
                <w:b/>
                <w:sz w:val="20"/>
                <w:szCs w:val="20"/>
              </w:rPr>
              <w:t>Load Shape</w:t>
            </w:r>
          </w:p>
        </w:tc>
        <w:tc>
          <w:tcPr>
            <w:tcW w:w="1535" w:type="pct"/>
            <w:shd w:val="clear" w:color="auto" w:fill="D9D9D9" w:themeFill="background1" w:themeFillShade="D9"/>
          </w:tcPr>
          <w:p w:rsidR="00D126AD" w:rsidRPr="00D126AD" w:rsidRDefault="00D126AD" w:rsidP="0060169C">
            <w:pPr>
              <w:rPr>
                <w:rFonts w:cstheme="minorHAnsi"/>
                <w:b/>
                <w:sz w:val="20"/>
                <w:szCs w:val="20"/>
                <w:highlight w:val="yellow"/>
              </w:rPr>
            </w:pPr>
            <w:r w:rsidRPr="00D126AD">
              <w:rPr>
                <w:rFonts w:cstheme="minorHAnsi"/>
                <w:b/>
                <w:sz w:val="20"/>
                <w:szCs w:val="20"/>
              </w:rPr>
              <w:t>E3 Alternate Building Type</w:t>
            </w:r>
          </w:p>
        </w:tc>
      </w:tr>
      <w:tr w:rsidR="00D126AD" w:rsidRPr="00D126AD" w:rsidTr="0060169C">
        <w:tc>
          <w:tcPr>
            <w:tcW w:w="1686" w:type="pct"/>
          </w:tcPr>
          <w:p w:rsidR="00D126AD" w:rsidRPr="00D126AD" w:rsidRDefault="00D126AD" w:rsidP="0060169C">
            <w:pPr>
              <w:rPr>
                <w:rFonts w:cstheme="minorHAnsi"/>
                <w:sz w:val="20"/>
                <w:szCs w:val="20"/>
              </w:rPr>
            </w:pPr>
            <w:r>
              <w:rPr>
                <w:rFonts w:cstheme="minorHAnsi"/>
                <w:sz w:val="20"/>
                <w:szCs w:val="20"/>
              </w:rPr>
              <w:t>Exterior - Commercial</w:t>
            </w:r>
          </w:p>
        </w:tc>
        <w:tc>
          <w:tcPr>
            <w:tcW w:w="1779" w:type="pct"/>
          </w:tcPr>
          <w:p w:rsidR="00D126AD" w:rsidRPr="00D126AD" w:rsidRDefault="00D126AD" w:rsidP="0060169C">
            <w:pPr>
              <w:rPr>
                <w:rFonts w:cstheme="minorHAnsi"/>
                <w:sz w:val="20"/>
                <w:szCs w:val="20"/>
              </w:rPr>
            </w:pPr>
            <w:r w:rsidRPr="00D126AD">
              <w:rPr>
                <w:rFonts w:cstheme="minorHAnsi"/>
                <w:sz w:val="20"/>
                <w:szCs w:val="20"/>
              </w:rPr>
              <w:t>PGE:2 = Commercial Outdoor Lighting</w:t>
            </w:r>
          </w:p>
        </w:tc>
        <w:tc>
          <w:tcPr>
            <w:tcW w:w="1535" w:type="pct"/>
          </w:tcPr>
          <w:p w:rsidR="00D126AD" w:rsidRPr="00D126AD" w:rsidRDefault="00D126AD" w:rsidP="0060169C">
            <w:pPr>
              <w:rPr>
                <w:rFonts w:cstheme="minorHAnsi"/>
                <w:sz w:val="20"/>
                <w:szCs w:val="20"/>
              </w:rPr>
            </w:pPr>
            <w:r w:rsidRPr="00D126AD">
              <w:rPr>
                <w:rFonts w:cstheme="minorHAnsi"/>
                <w:sz w:val="20"/>
                <w:szCs w:val="20"/>
              </w:rPr>
              <w:t>COMMERCIAL</w:t>
            </w:r>
          </w:p>
        </w:tc>
      </w:tr>
    </w:tbl>
    <w:p w:rsidR="00A93E12" w:rsidRDefault="00A93E12">
      <w:pPr>
        <w:rPr>
          <w:rFonts w:cs="Arial"/>
          <w:b/>
          <w:bCs/>
          <w:kern w:val="32"/>
          <w:sz w:val="32"/>
          <w:szCs w:val="32"/>
        </w:rPr>
      </w:pPr>
      <w:r>
        <w:br w:type="page"/>
      </w:r>
    </w:p>
    <w:p w:rsidR="00B16BE4" w:rsidRDefault="00C069A2" w:rsidP="007764A4">
      <w:pPr>
        <w:pStyle w:val="Heading1"/>
        <w:keepNext w:val="0"/>
      </w:pPr>
      <w:bookmarkStart w:id="106" w:name="_Toc438561244"/>
      <w:r>
        <w:lastRenderedPageBreak/>
        <w:t>Section 4</w:t>
      </w:r>
      <w:r w:rsidR="003129E8">
        <w:t>.</w:t>
      </w:r>
      <w:r>
        <w:t xml:space="preserve"> Base Case &amp; Measure Costs</w:t>
      </w:r>
      <w:bookmarkEnd w:id="102"/>
      <w:bookmarkEnd w:id="103"/>
      <w:bookmarkEnd w:id="104"/>
      <w:bookmarkEnd w:id="106"/>
    </w:p>
    <w:p w:rsidR="00E81678" w:rsidRPr="00E81678" w:rsidRDefault="004F1450" w:rsidP="00E81678">
      <w:pPr>
        <w:rPr>
          <w:sz w:val="20"/>
        </w:rPr>
      </w:pPr>
      <w:bookmarkStart w:id="107" w:name="_Toc304800218"/>
      <w:bookmarkStart w:id="108" w:name="_Toc324318372"/>
      <w:bookmarkStart w:id="109" w:name="_Toc324340501"/>
      <w:r>
        <w:rPr>
          <w:sz w:val="20"/>
        </w:rPr>
        <w:t>A joint effort was made between SCE and PG&amp;E to update base case and measure costs for DEER 2016 affected measures.  The same methodology was used to update costs.  Please refer to the cost spreadsheet for detailed information.</w:t>
      </w:r>
    </w:p>
    <w:p w:rsidR="001B242B" w:rsidRPr="00F55847" w:rsidRDefault="00C069A2" w:rsidP="00E81678">
      <w:pPr>
        <w:pStyle w:val="Heading2"/>
        <w:keepNext w:val="0"/>
      </w:pPr>
      <w:bookmarkStart w:id="110" w:name="_Toc438561245"/>
      <w:r>
        <w:t>4.1 Base Case</w:t>
      </w:r>
      <w:r w:rsidR="00C221D5">
        <w:t>(</w:t>
      </w:r>
      <w:r>
        <w:t>s</w:t>
      </w:r>
      <w:r w:rsidR="00C221D5">
        <w:t>)</w:t>
      </w:r>
      <w:r>
        <w:t xml:space="preserve"> Costs</w:t>
      </w:r>
      <w:bookmarkEnd w:id="107"/>
      <w:bookmarkEnd w:id="108"/>
      <w:bookmarkEnd w:id="109"/>
      <w:bookmarkEnd w:id="110"/>
    </w:p>
    <w:p w:rsidR="00E81678" w:rsidRDefault="00E81678" w:rsidP="00E81678">
      <w:pPr>
        <w:rPr>
          <w:rFonts w:cs="Arial"/>
          <w:sz w:val="20"/>
          <w:szCs w:val="20"/>
        </w:rPr>
      </w:pPr>
      <w:bookmarkStart w:id="111" w:name="_Toc304800219"/>
      <w:bookmarkStart w:id="112" w:name="_Toc324318373"/>
      <w:bookmarkStart w:id="113" w:name="_Toc324340502"/>
      <w:r w:rsidRPr="00E81678">
        <w:rPr>
          <w:rFonts w:cs="Arial"/>
          <w:sz w:val="20"/>
          <w:szCs w:val="20"/>
        </w:rPr>
        <w:t>Base Case Costs were calculated using an</w:t>
      </w:r>
      <w:r w:rsidR="004F1450">
        <w:rPr>
          <w:rFonts w:cs="Arial"/>
          <w:sz w:val="20"/>
          <w:szCs w:val="20"/>
        </w:rPr>
        <w:t xml:space="preserve"> equation created from data points collected from multiple online retailers</w:t>
      </w:r>
      <w:r w:rsidR="00583393">
        <w:rPr>
          <w:rFonts w:cs="Arial"/>
          <w:sz w:val="20"/>
          <w:szCs w:val="20"/>
        </w:rPr>
        <w:t xml:space="preserve">. </w:t>
      </w:r>
    </w:p>
    <w:p w:rsidR="00583393" w:rsidRPr="00E81678" w:rsidRDefault="00583393" w:rsidP="00E81678">
      <w:pPr>
        <w:rPr>
          <w:rFonts w:cs="Arial"/>
          <w:sz w:val="20"/>
          <w:szCs w:val="20"/>
        </w:rPr>
      </w:pPr>
    </w:p>
    <w:p w:rsidR="00E81678" w:rsidRPr="00E81678" w:rsidRDefault="00E81678" w:rsidP="00E81678">
      <w:pPr>
        <w:rPr>
          <w:rFonts w:cs="Arial"/>
          <w:sz w:val="20"/>
          <w:szCs w:val="20"/>
        </w:rPr>
      </w:pPr>
      <w:r w:rsidRPr="00E81678">
        <w:rPr>
          <w:rFonts w:cs="Arial"/>
          <w:sz w:val="20"/>
          <w:szCs w:val="20"/>
        </w:rPr>
        <w:t xml:space="preserve">The labor cost for these measures </w:t>
      </w:r>
      <w:r w:rsidR="00583393">
        <w:rPr>
          <w:rFonts w:cs="Arial"/>
          <w:sz w:val="20"/>
          <w:szCs w:val="20"/>
        </w:rPr>
        <w:t>are</w:t>
      </w:r>
      <w:r w:rsidRPr="00E81678">
        <w:rPr>
          <w:rFonts w:cs="Arial"/>
          <w:sz w:val="20"/>
          <w:szCs w:val="20"/>
        </w:rPr>
        <w:t xml:space="preserve"> $</w:t>
      </w:r>
      <w:r w:rsidR="00583393">
        <w:rPr>
          <w:rFonts w:cs="Arial"/>
          <w:sz w:val="20"/>
          <w:szCs w:val="20"/>
        </w:rPr>
        <w:t>187.14, per WO017</w:t>
      </w:r>
      <w:r w:rsidR="00583393">
        <w:rPr>
          <w:rStyle w:val="EndnoteReference"/>
          <w:rFonts w:cs="Arial"/>
          <w:sz w:val="20"/>
          <w:szCs w:val="20"/>
        </w:rPr>
        <w:endnoteReference w:id="10"/>
      </w:r>
      <w:r w:rsidR="00583393">
        <w:rPr>
          <w:rFonts w:cs="Arial"/>
          <w:sz w:val="20"/>
          <w:szCs w:val="20"/>
        </w:rPr>
        <w:t xml:space="preserve">.  </w:t>
      </w:r>
      <w:r w:rsidRPr="00E81678">
        <w:rPr>
          <w:rFonts w:cs="Arial"/>
          <w:sz w:val="20"/>
          <w:szCs w:val="20"/>
        </w:rPr>
        <w:t xml:space="preserve">It was assumed that the labor hours required to retrofit indoor fixtures are approximately the same as retrofitting outdoor fixtures. </w:t>
      </w:r>
    </w:p>
    <w:p w:rsidR="00C069A2" w:rsidRPr="0060169C" w:rsidRDefault="00663A00" w:rsidP="002E0043">
      <w:pPr>
        <w:pStyle w:val="Heading2"/>
        <w:keepNext w:val="0"/>
      </w:pPr>
      <w:bookmarkStart w:id="114" w:name="_Toc438561246"/>
      <w:r w:rsidRPr="0060169C">
        <w:t>4.2 Meas</w:t>
      </w:r>
      <w:r w:rsidR="00C069A2" w:rsidRPr="0060169C">
        <w:t xml:space="preserve">ure </w:t>
      </w:r>
      <w:r w:rsidR="00930877" w:rsidRPr="0060169C">
        <w:t xml:space="preserve">Case </w:t>
      </w:r>
      <w:r w:rsidR="00C069A2" w:rsidRPr="0060169C">
        <w:t>Costs</w:t>
      </w:r>
      <w:bookmarkEnd w:id="111"/>
      <w:bookmarkEnd w:id="112"/>
      <w:bookmarkEnd w:id="113"/>
      <w:bookmarkEnd w:id="114"/>
      <w:r w:rsidR="00930877" w:rsidRPr="0060169C">
        <w:t xml:space="preserve"> </w:t>
      </w:r>
    </w:p>
    <w:p w:rsidR="00B05720" w:rsidRPr="00583393" w:rsidRDefault="00E81678" w:rsidP="00E81678">
      <w:pPr>
        <w:rPr>
          <w:rFonts w:cs="Arial"/>
          <w:sz w:val="20"/>
          <w:szCs w:val="20"/>
        </w:rPr>
      </w:pPr>
      <w:bookmarkStart w:id="115" w:name="_Toc304800220"/>
      <w:bookmarkStart w:id="116" w:name="_Toc324318374"/>
      <w:bookmarkStart w:id="117" w:name="_Toc324340503"/>
      <w:r w:rsidRPr="00E81678">
        <w:rPr>
          <w:rFonts w:cs="Arial"/>
          <w:sz w:val="20"/>
          <w:szCs w:val="20"/>
        </w:rPr>
        <w:t>The Measure Costs were taken from multiple online retailers</w:t>
      </w:r>
      <w:r>
        <w:rPr>
          <w:rFonts w:cs="Arial"/>
          <w:sz w:val="20"/>
          <w:szCs w:val="20"/>
        </w:rPr>
        <w:t xml:space="preserve"> </w:t>
      </w:r>
      <w:r w:rsidRPr="00E81678">
        <w:rPr>
          <w:rFonts w:cs="Arial"/>
          <w:sz w:val="20"/>
          <w:szCs w:val="20"/>
        </w:rPr>
        <w:t xml:space="preserve">and </w:t>
      </w:r>
      <w:r w:rsidR="00583393">
        <w:rPr>
          <w:rFonts w:cs="Arial"/>
          <w:sz w:val="20"/>
          <w:szCs w:val="20"/>
        </w:rPr>
        <w:t>calculated using an equation created from data points collected from multiple online retailers.</w:t>
      </w:r>
    </w:p>
    <w:p w:rsidR="002F3610" w:rsidRDefault="0030550A" w:rsidP="00B05720">
      <w:pPr>
        <w:pStyle w:val="Heading2"/>
        <w:keepNext w:val="0"/>
      </w:pPr>
      <w:bookmarkStart w:id="118" w:name="_Toc438561247"/>
      <w:r w:rsidRPr="0060169C">
        <w:t>4.3 Incremental &amp; Full Measure Costs</w:t>
      </w:r>
      <w:bookmarkStart w:id="119" w:name="_Toc304800221"/>
      <w:bookmarkEnd w:id="115"/>
      <w:bookmarkEnd w:id="116"/>
      <w:bookmarkEnd w:id="117"/>
      <w:bookmarkEnd w:id="118"/>
    </w:p>
    <w:p w:rsidR="00B05720" w:rsidRDefault="00B05720" w:rsidP="00B05720">
      <w:pPr>
        <w:pStyle w:val="Caption"/>
        <w:keepNext/>
        <w:jc w:val="center"/>
      </w:pPr>
    </w:p>
    <w:p w:rsidR="00B05720" w:rsidRDefault="00B05720" w:rsidP="00B05720">
      <w:pPr>
        <w:pStyle w:val="Caption"/>
        <w:keepNext/>
        <w:jc w:val="center"/>
      </w:pPr>
      <w:bookmarkStart w:id="120" w:name="_Toc438561256"/>
      <w:r>
        <w:t xml:space="preserve">Table </w:t>
      </w:r>
      <w:fldSimple w:instr=" SEQ Table \* ARABIC ">
        <w:r w:rsidR="00583393">
          <w:rPr>
            <w:noProof/>
          </w:rPr>
          <w:t>8</w:t>
        </w:r>
      </w:fldSimple>
      <w:r>
        <w:t xml:space="preserve"> Full and Incremental Measure Cost Equations</w:t>
      </w:r>
      <w:bookmarkEnd w:id="120"/>
    </w:p>
    <w:tbl>
      <w:tblPr>
        <w:tblStyle w:val="TableGrid1"/>
        <w:tblW w:w="5000" w:type="pct"/>
        <w:tblLook w:val="01E0" w:firstRow="1" w:lastRow="1" w:firstColumn="1" w:lastColumn="1" w:noHBand="0" w:noVBand="0"/>
      </w:tblPr>
      <w:tblGrid>
        <w:gridCol w:w="1286"/>
        <w:gridCol w:w="2764"/>
        <w:gridCol w:w="2674"/>
        <w:gridCol w:w="2852"/>
      </w:tblGrid>
      <w:tr w:rsidR="00B05720" w:rsidRPr="00B05720" w:rsidTr="00B05720">
        <w:tc>
          <w:tcPr>
            <w:tcW w:w="671" w:type="pct"/>
            <w:vMerge w:val="restart"/>
            <w:shd w:val="clear" w:color="auto" w:fill="D9D9D9" w:themeFill="background1" w:themeFillShade="D9"/>
          </w:tcPr>
          <w:p w:rsidR="00B05720" w:rsidRPr="00B05720" w:rsidRDefault="00B05720" w:rsidP="00B05720">
            <w:pPr>
              <w:rPr>
                <w:rFonts w:cstheme="minorHAnsi"/>
                <w:b/>
                <w:sz w:val="20"/>
                <w:szCs w:val="20"/>
                <w:highlight w:val="yellow"/>
              </w:rPr>
            </w:pPr>
            <w:r w:rsidRPr="00B05720">
              <w:rPr>
                <w:rFonts w:cstheme="minorHAnsi"/>
                <w:b/>
                <w:sz w:val="20"/>
                <w:szCs w:val="20"/>
              </w:rPr>
              <w:t>Installation Type</w:t>
            </w:r>
          </w:p>
        </w:tc>
        <w:tc>
          <w:tcPr>
            <w:tcW w:w="1443" w:type="pct"/>
            <w:vMerge w:val="restart"/>
            <w:shd w:val="clear" w:color="auto" w:fill="D9D9D9" w:themeFill="background1" w:themeFillShade="D9"/>
          </w:tcPr>
          <w:p w:rsidR="00B05720" w:rsidRPr="00B05720" w:rsidRDefault="00B05720" w:rsidP="00B05720">
            <w:pPr>
              <w:rPr>
                <w:rFonts w:cstheme="minorHAnsi"/>
                <w:b/>
                <w:sz w:val="20"/>
                <w:szCs w:val="20"/>
              </w:rPr>
            </w:pPr>
            <w:r w:rsidRPr="00B05720">
              <w:rPr>
                <w:rFonts w:cstheme="minorHAnsi"/>
                <w:b/>
                <w:sz w:val="20"/>
                <w:szCs w:val="20"/>
              </w:rPr>
              <w:t>Incremental Measure Cost</w:t>
            </w:r>
          </w:p>
        </w:tc>
        <w:tc>
          <w:tcPr>
            <w:tcW w:w="2885" w:type="pct"/>
            <w:gridSpan w:val="2"/>
            <w:shd w:val="clear" w:color="auto" w:fill="D9D9D9" w:themeFill="background1" w:themeFillShade="D9"/>
          </w:tcPr>
          <w:p w:rsidR="00B05720" w:rsidRPr="00B05720" w:rsidRDefault="00B05720" w:rsidP="00B05720">
            <w:pPr>
              <w:rPr>
                <w:rFonts w:cstheme="minorHAnsi"/>
                <w:b/>
                <w:sz w:val="20"/>
                <w:szCs w:val="20"/>
                <w:highlight w:val="yellow"/>
              </w:rPr>
            </w:pPr>
            <w:r w:rsidRPr="00B05720">
              <w:rPr>
                <w:rFonts w:cstheme="minorHAnsi"/>
                <w:b/>
                <w:sz w:val="20"/>
                <w:szCs w:val="20"/>
              </w:rPr>
              <w:t>Full Measure Cost</w:t>
            </w:r>
          </w:p>
        </w:tc>
      </w:tr>
      <w:tr w:rsidR="00B05720" w:rsidRPr="00B05720" w:rsidTr="00B05720">
        <w:tc>
          <w:tcPr>
            <w:tcW w:w="671" w:type="pct"/>
            <w:vMerge/>
            <w:shd w:val="clear" w:color="auto" w:fill="D9D9D9" w:themeFill="background1" w:themeFillShade="D9"/>
          </w:tcPr>
          <w:p w:rsidR="00B05720" w:rsidRPr="00B05720" w:rsidRDefault="00B05720" w:rsidP="00B05720">
            <w:pPr>
              <w:rPr>
                <w:rFonts w:cstheme="minorHAnsi"/>
                <w:b/>
                <w:sz w:val="20"/>
                <w:szCs w:val="20"/>
              </w:rPr>
            </w:pPr>
          </w:p>
        </w:tc>
        <w:tc>
          <w:tcPr>
            <w:tcW w:w="1443" w:type="pct"/>
            <w:vMerge/>
            <w:shd w:val="clear" w:color="auto" w:fill="D9D9D9" w:themeFill="background1" w:themeFillShade="D9"/>
          </w:tcPr>
          <w:p w:rsidR="00B05720" w:rsidRPr="00B05720" w:rsidRDefault="00B05720" w:rsidP="00B05720">
            <w:pPr>
              <w:rPr>
                <w:rFonts w:cstheme="minorHAnsi"/>
                <w:b/>
                <w:sz w:val="20"/>
                <w:szCs w:val="20"/>
              </w:rPr>
            </w:pPr>
          </w:p>
        </w:tc>
        <w:tc>
          <w:tcPr>
            <w:tcW w:w="1396" w:type="pct"/>
            <w:shd w:val="clear" w:color="auto" w:fill="F2F2F2" w:themeFill="background1" w:themeFillShade="F2"/>
          </w:tcPr>
          <w:p w:rsidR="00B05720" w:rsidRPr="00B05720" w:rsidRDefault="00B05720" w:rsidP="00B05720">
            <w:pPr>
              <w:rPr>
                <w:rFonts w:cstheme="minorHAnsi"/>
                <w:b/>
                <w:sz w:val="20"/>
                <w:szCs w:val="20"/>
              </w:rPr>
            </w:pPr>
            <w:r w:rsidRPr="00B05720">
              <w:rPr>
                <w:rFonts w:cstheme="minorHAnsi"/>
                <w:b/>
                <w:sz w:val="20"/>
                <w:szCs w:val="20"/>
              </w:rPr>
              <w:t>1</w:t>
            </w:r>
            <w:r w:rsidRPr="00B05720">
              <w:rPr>
                <w:rFonts w:cstheme="minorHAnsi"/>
                <w:b/>
                <w:sz w:val="20"/>
                <w:szCs w:val="20"/>
                <w:vertAlign w:val="superscript"/>
              </w:rPr>
              <w:t>st</w:t>
            </w:r>
            <w:r w:rsidRPr="00B05720">
              <w:rPr>
                <w:rFonts w:cstheme="minorHAnsi"/>
                <w:b/>
                <w:sz w:val="20"/>
                <w:szCs w:val="20"/>
              </w:rPr>
              <w:t xml:space="preserve"> Baseline</w:t>
            </w:r>
          </w:p>
        </w:tc>
        <w:tc>
          <w:tcPr>
            <w:tcW w:w="1489" w:type="pct"/>
            <w:shd w:val="clear" w:color="auto" w:fill="F2F2F2" w:themeFill="background1" w:themeFillShade="F2"/>
          </w:tcPr>
          <w:p w:rsidR="00B05720" w:rsidRPr="00B05720" w:rsidRDefault="00B05720" w:rsidP="00B05720">
            <w:pPr>
              <w:rPr>
                <w:rFonts w:cstheme="minorHAnsi"/>
                <w:b/>
                <w:sz w:val="20"/>
                <w:szCs w:val="20"/>
              </w:rPr>
            </w:pPr>
            <w:r w:rsidRPr="00B05720">
              <w:rPr>
                <w:rFonts w:cstheme="minorHAnsi"/>
                <w:b/>
                <w:sz w:val="20"/>
                <w:szCs w:val="20"/>
              </w:rPr>
              <w:t>2</w:t>
            </w:r>
            <w:r w:rsidRPr="00B05720">
              <w:rPr>
                <w:rFonts w:cstheme="minorHAnsi"/>
                <w:b/>
                <w:sz w:val="20"/>
                <w:szCs w:val="20"/>
                <w:vertAlign w:val="superscript"/>
              </w:rPr>
              <w:t>nd</w:t>
            </w:r>
            <w:r w:rsidRPr="00B05720">
              <w:rPr>
                <w:rFonts w:cstheme="minorHAnsi"/>
                <w:b/>
                <w:sz w:val="20"/>
                <w:szCs w:val="20"/>
              </w:rPr>
              <w:t xml:space="preserve"> Baseline</w:t>
            </w:r>
          </w:p>
        </w:tc>
      </w:tr>
      <w:tr w:rsidR="00B05720" w:rsidRPr="00B05720" w:rsidTr="00B05720">
        <w:tc>
          <w:tcPr>
            <w:tcW w:w="671" w:type="pct"/>
          </w:tcPr>
          <w:p w:rsidR="00B05720" w:rsidRPr="00B05720" w:rsidRDefault="00B05720" w:rsidP="00B05720">
            <w:pPr>
              <w:rPr>
                <w:rFonts w:cstheme="minorHAnsi"/>
                <w:sz w:val="20"/>
                <w:szCs w:val="20"/>
              </w:rPr>
            </w:pPr>
            <w:r w:rsidRPr="00B05720">
              <w:rPr>
                <w:rFonts w:cstheme="minorHAnsi"/>
                <w:sz w:val="20"/>
                <w:szCs w:val="20"/>
              </w:rPr>
              <w:t>ROB</w:t>
            </w:r>
          </w:p>
        </w:tc>
        <w:tc>
          <w:tcPr>
            <w:tcW w:w="1443" w:type="pct"/>
            <w:vMerge w:val="restart"/>
          </w:tcPr>
          <w:p w:rsidR="00B05720" w:rsidRPr="00B05720" w:rsidRDefault="00B05720" w:rsidP="00B05720">
            <w:pPr>
              <w:rPr>
                <w:rFonts w:cstheme="minorHAnsi"/>
                <w:sz w:val="20"/>
                <w:szCs w:val="20"/>
              </w:rPr>
            </w:pPr>
            <w:r w:rsidRPr="00B05720">
              <w:rPr>
                <w:rFonts w:cstheme="minorHAnsi"/>
                <w:sz w:val="20"/>
                <w:szCs w:val="20"/>
              </w:rPr>
              <w:t>(MEC + MLC) – (BEC + BLC)</w:t>
            </w:r>
          </w:p>
        </w:tc>
        <w:tc>
          <w:tcPr>
            <w:tcW w:w="1396" w:type="pct"/>
            <w:vMerge w:val="restart"/>
          </w:tcPr>
          <w:p w:rsidR="00B05720" w:rsidRPr="00B05720" w:rsidRDefault="00B05720" w:rsidP="00B05720">
            <w:pPr>
              <w:rPr>
                <w:rFonts w:cstheme="minorHAnsi"/>
                <w:sz w:val="20"/>
                <w:szCs w:val="20"/>
              </w:rPr>
            </w:pPr>
            <w:r w:rsidRPr="00B05720">
              <w:rPr>
                <w:rFonts w:cstheme="minorHAnsi"/>
                <w:sz w:val="20"/>
                <w:szCs w:val="20"/>
              </w:rPr>
              <w:t>(MEC + MLC) – (BEC + BLC)</w:t>
            </w:r>
          </w:p>
        </w:tc>
        <w:tc>
          <w:tcPr>
            <w:tcW w:w="1489" w:type="pct"/>
            <w:vMerge w:val="restart"/>
          </w:tcPr>
          <w:p w:rsidR="00B05720" w:rsidRPr="00B05720" w:rsidRDefault="00B05720" w:rsidP="00B05720">
            <w:pPr>
              <w:rPr>
                <w:rFonts w:cstheme="minorHAnsi"/>
                <w:sz w:val="20"/>
                <w:szCs w:val="20"/>
              </w:rPr>
            </w:pPr>
            <w:r w:rsidRPr="00B05720">
              <w:rPr>
                <w:rFonts w:cstheme="minorHAnsi"/>
                <w:sz w:val="20"/>
                <w:szCs w:val="20"/>
              </w:rPr>
              <w:t>N/A</w:t>
            </w:r>
          </w:p>
        </w:tc>
      </w:tr>
      <w:tr w:rsidR="00B05720" w:rsidRPr="00B05720" w:rsidTr="00B05720">
        <w:tc>
          <w:tcPr>
            <w:tcW w:w="671" w:type="pct"/>
          </w:tcPr>
          <w:p w:rsidR="00B05720" w:rsidRPr="00B05720" w:rsidRDefault="00B05720" w:rsidP="00B05720">
            <w:pPr>
              <w:rPr>
                <w:rFonts w:cstheme="minorHAnsi"/>
                <w:sz w:val="20"/>
                <w:szCs w:val="20"/>
              </w:rPr>
            </w:pPr>
            <w:r w:rsidRPr="00B05720">
              <w:rPr>
                <w:rFonts w:cstheme="minorHAnsi"/>
                <w:sz w:val="20"/>
                <w:szCs w:val="20"/>
              </w:rPr>
              <w:t>NEW/NC</w:t>
            </w:r>
          </w:p>
        </w:tc>
        <w:tc>
          <w:tcPr>
            <w:tcW w:w="1443" w:type="pct"/>
            <w:vMerge/>
          </w:tcPr>
          <w:p w:rsidR="00B05720" w:rsidRPr="00B05720" w:rsidRDefault="00B05720" w:rsidP="00B05720">
            <w:pPr>
              <w:rPr>
                <w:rFonts w:cstheme="minorHAnsi"/>
                <w:sz w:val="20"/>
                <w:szCs w:val="20"/>
              </w:rPr>
            </w:pPr>
          </w:p>
        </w:tc>
        <w:tc>
          <w:tcPr>
            <w:tcW w:w="1396" w:type="pct"/>
            <w:vMerge/>
          </w:tcPr>
          <w:p w:rsidR="00B05720" w:rsidRPr="00B05720" w:rsidRDefault="00B05720" w:rsidP="00B05720">
            <w:pPr>
              <w:rPr>
                <w:rFonts w:cstheme="minorHAnsi"/>
                <w:sz w:val="20"/>
                <w:szCs w:val="20"/>
              </w:rPr>
            </w:pPr>
          </w:p>
        </w:tc>
        <w:tc>
          <w:tcPr>
            <w:tcW w:w="1489" w:type="pct"/>
            <w:vMerge/>
          </w:tcPr>
          <w:p w:rsidR="00B05720" w:rsidRPr="00B05720" w:rsidRDefault="00B05720" w:rsidP="00B05720">
            <w:pPr>
              <w:rPr>
                <w:rFonts w:cstheme="minorHAnsi"/>
                <w:sz w:val="20"/>
                <w:szCs w:val="20"/>
              </w:rPr>
            </w:pPr>
          </w:p>
        </w:tc>
      </w:tr>
      <w:tr w:rsidR="00B05720" w:rsidRPr="00B05720" w:rsidTr="00B05720">
        <w:tc>
          <w:tcPr>
            <w:tcW w:w="671" w:type="pct"/>
          </w:tcPr>
          <w:p w:rsidR="00B05720" w:rsidRPr="00B05720" w:rsidRDefault="00B05720" w:rsidP="00B05720">
            <w:pPr>
              <w:rPr>
                <w:rFonts w:cstheme="minorHAnsi"/>
                <w:sz w:val="20"/>
                <w:szCs w:val="20"/>
              </w:rPr>
            </w:pPr>
            <w:r w:rsidRPr="00B05720">
              <w:rPr>
                <w:rFonts w:cstheme="minorHAnsi"/>
                <w:sz w:val="20"/>
                <w:szCs w:val="20"/>
              </w:rPr>
              <w:t>RET/ER</w:t>
            </w:r>
          </w:p>
        </w:tc>
        <w:tc>
          <w:tcPr>
            <w:tcW w:w="1443" w:type="pct"/>
          </w:tcPr>
          <w:p w:rsidR="00B05720" w:rsidRPr="00B05720" w:rsidRDefault="00B05720" w:rsidP="00B05720">
            <w:pPr>
              <w:rPr>
                <w:rFonts w:cstheme="minorHAnsi"/>
                <w:sz w:val="20"/>
                <w:szCs w:val="20"/>
              </w:rPr>
            </w:pPr>
            <w:r w:rsidRPr="00B05720">
              <w:rPr>
                <w:rFonts w:cstheme="minorHAnsi"/>
                <w:sz w:val="20"/>
                <w:szCs w:val="20"/>
              </w:rPr>
              <w:t>(MEC + MLC) – (BEC + BLC)</w:t>
            </w:r>
          </w:p>
        </w:tc>
        <w:tc>
          <w:tcPr>
            <w:tcW w:w="1396" w:type="pct"/>
          </w:tcPr>
          <w:p w:rsidR="00B05720" w:rsidRPr="00B05720" w:rsidRDefault="00B05720" w:rsidP="00B05720">
            <w:pPr>
              <w:rPr>
                <w:rFonts w:cstheme="minorHAnsi"/>
                <w:sz w:val="20"/>
                <w:szCs w:val="20"/>
              </w:rPr>
            </w:pPr>
            <w:r w:rsidRPr="00B05720">
              <w:rPr>
                <w:rFonts w:cstheme="minorHAnsi"/>
                <w:sz w:val="20"/>
                <w:szCs w:val="20"/>
              </w:rPr>
              <w:t>MEC + MLC</w:t>
            </w:r>
          </w:p>
        </w:tc>
        <w:tc>
          <w:tcPr>
            <w:tcW w:w="1489" w:type="pct"/>
          </w:tcPr>
          <w:p w:rsidR="00B05720" w:rsidRPr="00B05720" w:rsidRDefault="00B05720" w:rsidP="00B05720">
            <w:pPr>
              <w:rPr>
                <w:rFonts w:cstheme="minorHAnsi"/>
                <w:sz w:val="20"/>
                <w:szCs w:val="20"/>
              </w:rPr>
            </w:pPr>
            <w:r w:rsidRPr="00B05720">
              <w:rPr>
                <w:rFonts w:cstheme="minorHAnsi"/>
                <w:sz w:val="20"/>
                <w:szCs w:val="20"/>
              </w:rPr>
              <w:t>(MEC + MLC) – (BEC + BLC)</w:t>
            </w:r>
          </w:p>
        </w:tc>
      </w:tr>
      <w:tr w:rsidR="00B05720" w:rsidRPr="00B05720" w:rsidTr="00B05720">
        <w:tc>
          <w:tcPr>
            <w:tcW w:w="671" w:type="pct"/>
          </w:tcPr>
          <w:p w:rsidR="00B05720" w:rsidRPr="00B05720" w:rsidRDefault="00B05720" w:rsidP="00B05720">
            <w:pPr>
              <w:rPr>
                <w:rFonts w:cstheme="minorHAnsi"/>
                <w:sz w:val="20"/>
                <w:szCs w:val="20"/>
              </w:rPr>
            </w:pPr>
            <w:r w:rsidRPr="00B05720">
              <w:rPr>
                <w:rFonts w:cstheme="minorHAnsi"/>
                <w:sz w:val="20"/>
                <w:szCs w:val="20"/>
              </w:rPr>
              <w:t>REF</w:t>
            </w:r>
          </w:p>
        </w:tc>
        <w:tc>
          <w:tcPr>
            <w:tcW w:w="1443" w:type="pct"/>
          </w:tcPr>
          <w:p w:rsidR="00B05720" w:rsidRPr="00B05720" w:rsidRDefault="00B05720" w:rsidP="00B05720">
            <w:pPr>
              <w:rPr>
                <w:rFonts w:cstheme="minorHAnsi"/>
                <w:sz w:val="20"/>
                <w:szCs w:val="20"/>
              </w:rPr>
            </w:pPr>
            <w:r w:rsidRPr="00B05720">
              <w:rPr>
                <w:rFonts w:cstheme="minorHAnsi"/>
                <w:sz w:val="20"/>
                <w:szCs w:val="20"/>
              </w:rPr>
              <w:t>(MEC + MLC) – (BEC + BLC)</w:t>
            </w:r>
          </w:p>
        </w:tc>
        <w:tc>
          <w:tcPr>
            <w:tcW w:w="1396" w:type="pct"/>
          </w:tcPr>
          <w:p w:rsidR="00B05720" w:rsidRPr="00B05720" w:rsidRDefault="00B05720" w:rsidP="00B05720">
            <w:pPr>
              <w:rPr>
                <w:rFonts w:cstheme="minorHAnsi"/>
                <w:sz w:val="20"/>
                <w:szCs w:val="20"/>
              </w:rPr>
            </w:pPr>
            <w:r w:rsidRPr="00B05720">
              <w:rPr>
                <w:rFonts w:cstheme="minorHAnsi"/>
                <w:sz w:val="20"/>
                <w:szCs w:val="20"/>
              </w:rPr>
              <w:t>MEC + MLC</w:t>
            </w:r>
          </w:p>
        </w:tc>
        <w:tc>
          <w:tcPr>
            <w:tcW w:w="1489" w:type="pct"/>
          </w:tcPr>
          <w:p w:rsidR="00B05720" w:rsidRPr="00B05720" w:rsidRDefault="00B05720" w:rsidP="00B05720">
            <w:pPr>
              <w:rPr>
                <w:rFonts w:cstheme="minorHAnsi"/>
                <w:sz w:val="20"/>
                <w:szCs w:val="20"/>
              </w:rPr>
            </w:pPr>
            <w:r w:rsidRPr="00B05720">
              <w:rPr>
                <w:rFonts w:cstheme="minorHAnsi"/>
                <w:sz w:val="20"/>
                <w:szCs w:val="20"/>
              </w:rPr>
              <w:t>N/A</w:t>
            </w:r>
          </w:p>
        </w:tc>
      </w:tr>
      <w:tr w:rsidR="00B05720" w:rsidRPr="00B05720" w:rsidTr="00B05720">
        <w:tc>
          <w:tcPr>
            <w:tcW w:w="671" w:type="pct"/>
          </w:tcPr>
          <w:p w:rsidR="00B05720" w:rsidRPr="00B05720" w:rsidRDefault="00B05720" w:rsidP="00B05720">
            <w:pPr>
              <w:rPr>
                <w:rFonts w:cstheme="minorHAnsi"/>
                <w:sz w:val="20"/>
                <w:szCs w:val="20"/>
              </w:rPr>
            </w:pPr>
            <w:r w:rsidRPr="00B05720">
              <w:rPr>
                <w:rFonts w:cstheme="minorHAnsi"/>
                <w:sz w:val="20"/>
                <w:szCs w:val="20"/>
              </w:rPr>
              <w:t>REA</w:t>
            </w:r>
          </w:p>
        </w:tc>
        <w:tc>
          <w:tcPr>
            <w:tcW w:w="1443" w:type="pct"/>
          </w:tcPr>
          <w:p w:rsidR="00B05720" w:rsidRPr="00B05720" w:rsidRDefault="00B05720" w:rsidP="00B05720">
            <w:pPr>
              <w:rPr>
                <w:rFonts w:cstheme="minorHAnsi"/>
                <w:sz w:val="20"/>
                <w:szCs w:val="20"/>
              </w:rPr>
            </w:pPr>
            <w:r w:rsidRPr="00B05720">
              <w:rPr>
                <w:rFonts w:cstheme="minorHAnsi"/>
                <w:sz w:val="20"/>
                <w:szCs w:val="20"/>
              </w:rPr>
              <w:t>MEC + MLC</w:t>
            </w:r>
          </w:p>
        </w:tc>
        <w:tc>
          <w:tcPr>
            <w:tcW w:w="1396" w:type="pct"/>
          </w:tcPr>
          <w:p w:rsidR="00B05720" w:rsidRPr="00B05720" w:rsidRDefault="00B05720" w:rsidP="00B05720">
            <w:pPr>
              <w:rPr>
                <w:rFonts w:cstheme="minorHAnsi"/>
                <w:sz w:val="20"/>
                <w:szCs w:val="20"/>
              </w:rPr>
            </w:pPr>
            <w:r w:rsidRPr="00B05720">
              <w:rPr>
                <w:rFonts w:cstheme="minorHAnsi"/>
                <w:sz w:val="20"/>
                <w:szCs w:val="20"/>
              </w:rPr>
              <w:t>MEC + MLC</w:t>
            </w:r>
          </w:p>
        </w:tc>
        <w:tc>
          <w:tcPr>
            <w:tcW w:w="1489" w:type="pct"/>
          </w:tcPr>
          <w:p w:rsidR="00B05720" w:rsidRPr="00B05720" w:rsidRDefault="00B05720" w:rsidP="00B05720">
            <w:pPr>
              <w:rPr>
                <w:rFonts w:cstheme="minorHAnsi"/>
                <w:sz w:val="20"/>
                <w:szCs w:val="20"/>
              </w:rPr>
            </w:pPr>
            <w:r w:rsidRPr="00B05720">
              <w:rPr>
                <w:rFonts w:cstheme="minorHAnsi"/>
                <w:sz w:val="20"/>
                <w:szCs w:val="20"/>
              </w:rPr>
              <w:t>N/A</w:t>
            </w:r>
          </w:p>
        </w:tc>
      </w:tr>
    </w:tbl>
    <w:p w:rsidR="00B05720" w:rsidRPr="00920905" w:rsidRDefault="00B05720" w:rsidP="00B05720">
      <w:pPr>
        <w:rPr>
          <w:sz w:val="20"/>
          <w:szCs w:val="20"/>
        </w:rPr>
      </w:pPr>
      <w:bookmarkStart w:id="121" w:name="_MON_1382719630"/>
      <w:bookmarkStart w:id="122" w:name="_Toc324340506"/>
      <w:bookmarkStart w:id="123" w:name="_Toc324318377"/>
      <w:bookmarkStart w:id="124" w:name="_Toc324340404"/>
      <w:bookmarkEnd w:id="121"/>
      <w:r w:rsidRPr="00920905">
        <w:rPr>
          <w:sz w:val="20"/>
          <w:szCs w:val="20"/>
        </w:rPr>
        <w:t>MEC = Measure Equipment Cost; MLC = Measure Labor Cost</w:t>
      </w:r>
    </w:p>
    <w:p w:rsidR="00B05720" w:rsidRPr="00920905" w:rsidRDefault="00B05720" w:rsidP="00B05720">
      <w:pPr>
        <w:rPr>
          <w:sz w:val="20"/>
          <w:szCs w:val="20"/>
        </w:rPr>
      </w:pPr>
      <w:r w:rsidRPr="00920905">
        <w:rPr>
          <w:sz w:val="20"/>
          <w:szCs w:val="20"/>
        </w:rPr>
        <w:t>BEC = Base Case Equipment Cost; BLC = Base Case Labor Cost</w:t>
      </w:r>
    </w:p>
    <w:p w:rsidR="00B05720" w:rsidRPr="00B05720" w:rsidRDefault="00B05720" w:rsidP="00B05720">
      <w:pPr>
        <w:rPr>
          <w:sz w:val="20"/>
        </w:rPr>
      </w:pPr>
    </w:p>
    <w:p w:rsidR="00B05720" w:rsidRPr="00A00CA8" w:rsidRDefault="00B05720" w:rsidP="00A00CA8">
      <w:pPr>
        <w:rPr>
          <w:rFonts w:cstheme="minorHAnsi"/>
          <w:i/>
          <w:sz w:val="20"/>
          <w:szCs w:val="22"/>
        </w:rPr>
      </w:pPr>
      <w:r w:rsidRPr="00B05720">
        <w:rPr>
          <w:sz w:val="20"/>
        </w:rPr>
        <w:t xml:space="preserve">Incremental Measure Cost is the premium cost to install an energy efficient measure over a standard efficiency measure or code baseline measure.  For ROB, the IMC is the same value as GMC. The incremental cost is only used to help determine program incentives.  </w:t>
      </w:r>
      <w:r w:rsidRPr="00B05720">
        <w:rPr>
          <w:rFonts w:cstheme="minorHAnsi"/>
          <w:sz w:val="20"/>
          <w:szCs w:val="22"/>
        </w:rPr>
        <w:t>In the case of ROB, the equipment being replaced is assumed to have failed in place or is past its useful life. The customer is faced with either purchasing standard efficiency or code baseline equipment versus energy efficient equipment.  Therefore</w:t>
      </w:r>
      <w:r w:rsidRPr="00B05720">
        <w:rPr>
          <w:sz w:val="20"/>
        </w:rPr>
        <w:t xml:space="preserve">, gross measure cost (GMC) means the cost premium required to install the energy efficient measure over a less efficient piece of equipment. </w:t>
      </w:r>
    </w:p>
    <w:p w:rsidR="009168A1" w:rsidRPr="000966CC" w:rsidRDefault="00915CE6" w:rsidP="00207CD9">
      <w:pPr>
        <w:pStyle w:val="Heading1"/>
      </w:pPr>
      <w:r w:rsidRPr="00B05720">
        <w:rPr>
          <w:sz w:val="28"/>
        </w:rPr>
        <w:br w:type="page"/>
      </w:r>
      <w:bookmarkStart w:id="125" w:name="_Toc324318383"/>
      <w:bookmarkStart w:id="126" w:name="_Toc324340513"/>
      <w:bookmarkStart w:id="127" w:name="_Toc304800222"/>
      <w:bookmarkStart w:id="128" w:name="_Toc438561248"/>
      <w:bookmarkEnd w:id="119"/>
      <w:bookmarkEnd w:id="122"/>
      <w:bookmarkEnd w:id="123"/>
      <w:bookmarkEnd w:id="124"/>
      <w:r w:rsidR="000966CC">
        <w:lastRenderedPageBreak/>
        <w:t>References</w:t>
      </w:r>
      <w:bookmarkEnd w:id="125"/>
      <w:bookmarkEnd w:id="126"/>
      <w:bookmarkEnd w:id="128"/>
      <w:r w:rsidR="00844B27">
        <w:t xml:space="preserve"> </w:t>
      </w:r>
      <w:bookmarkEnd w:id="127"/>
    </w:p>
    <w:sectPr w:rsidR="009168A1" w:rsidRPr="000966CC" w:rsidSect="00934BB2">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393" w:rsidRDefault="00583393">
      <w:r>
        <w:separator/>
      </w:r>
    </w:p>
    <w:p w:rsidR="00583393" w:rsidRDefault="00583393"/>
  </w:endnote>
  <w:endnote w:type="continuationSeparator" w:id="0">
    <w:p w:rsidR="00583393" w:rsidRDefault="00583393">
      <w:r>
        <w:continuationSeparator/>
      </w:r>
    </w:p>
    <w:p w:rsidR="00583393" w:rsidRDefault="00583393"/>
  </w:endnote>
  <w:endnote w:id="1">
    <w:p w:rsidR="00583393" w:rsidRDefault="00583393" w:rsidP="002767EF">
      <w:pPr>
        <w:autoSpaceDE w:val="0"/>
        <w:autoSpaceDN w:val="0"/>
        <w:adjustRightInd w:val="0"/>
        <w:rPr>
          <w:rFonts w:ascii="TimesNewRomanPSMT" w:hAnsi="TimesNewRomanPSMT" w:cs="TimesNewRomanPSMT"/>
          <w:sz w:val="20"/>
          <w:szCs w:val="20"/>
        </w:rPr>
      </w:pPr>
      <w:r w:rsidRPr="00EB0D6C">
        <w:rPr>
          <w:rStyle w:val="EndnoteReference"/>
          <w:sz w:val="20"/>
          <w:szCs w:val="20"/>
        </w:rPr>
        <w:endnoteRef/>
      </w:r>
      <w:r w:rsidRPr="00EB0D6C">
        <w:rPr>
          <w:sz w:val="20"/>
          <w:szCs w:val="20"/>
        </w:rPr>
        <w:t xml:space="preserve"> Philips </w:t>
      </w:r>
      <w:r>
        <w:rPr>
          <w:sz w:val="20"/>
          <w:szCs w:val="20"/>
        </w:rPr>
        <w:t>“</w:t>
      </w:r>
      <w:r w:rsidRPr="00EB0D6C">
        <w:rPr>
          <w:sz w:val="20"/>
          <w:szCs w:val="20"/>
        </w:rPr>
        <w:t xml:space="preserve">QL Induction Lighting Systems </w:t>
      </w:r>
      <w:r w:rsidRPr="00EB0D6C">
        <w:rPr>
          <w:color w:val="000000"/>
          <w:sz w:val="20"/>
          <w:szCs w:val="20"/>
        </w:rPr>
        <w:t>Information for Original Equipment Manufacturers, July 2007</w:t>
      </w:r>
      <w:r>
        <w:rPr>
          <w:color w:val="000000"/>
          <w:sz w:val="20"/>
          <w:szCs w:val="20"/>
        </w:rPr>
        <w:t xml:space="preserve">” </w:t>
      </w:r>
      <w:r>
        <w:rPr>
          <w:rFonts w:ascii="TimesNewRomanPSMT" w:hAnsi="TimesNewRomanPSMT" w:cs="TimesNewRomanPSMT"/>
          <w:sz w:val="20"/>
          <w:szCs w:val="20"/>
        </w:rPr>
        <w:t>October 2006, Philips Lighting B.V.</w:t>
      </w:r>
    </w:p>
    <w:p w:rsidR="00583393" w:rsidRDefault="00583393" w:rsidP="002767EF">
      <w:pPr>
        <w:autoSpaceDE w:val="0"/>
        <w:autoSpaceDN w:val="0"/>
        <w:adjustRightInd w:val="0"/>
      </w:pPr>
      <w:r>
        <w:rPr>
          <w:rFonts w:ascii="GillSans" w:hAnsi="GillSans" w:cs="GillSans"/>
          <w:color w:val="FFFFFF"/>
          <w:sz w:val="14"/>
          <w:szCs w:val="14"/>
        </w:rPr>
        <w:t>Photo courtesy</w:t>
      </w:r>
    </w:p>
  </w:endnote>
  <w:endnote w:id="2">
    <w:p w:rsidR="00583393" w:rsidRDefault="00583393" w:rsidP="00044DD1">
      <w:pPr>
        <w:pStyle w:val="EndnoteText"/>
      </w:pPr>
      <w:r>
        <w:rPr>
          <w:rStyle w:val="EndnoteReference"/>
        </w:rPr>
        <w:endnoteRef/>
      </w:r>
      <w:r>
        <w:t xml:space="preserve"> United States Patent Office, “High Frequency Electrodeless Fluorescent Lamp Assembly” US Patent 3,521,120, granted July 21, 1970.</w:t>
      </w:r>
    </w:p>
    <w:p w:rsidR="00583393" w:rsidRDefault="00583393" w:rsidP="00044DD1">
      <w:pPr>
        <w:pStyle w:val="EndnoteText"/>
      </w:pPr>
    </w:p>
  </w:endnote>
  <w:endnote w:id="3">
    <w:p w:rsidR="00583393" w:rsidRDefault="00583393">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4">
    <w:p w:rsidR="00583393" w:rsidRDefault="00583393" w:rsidP="0004253C">
      <w:pPr>
        <w:pStyle w:val="EndnoteText"/>
      </w:pPr>
    </w:p>
    <w:p w:rsidR="00583393" w:rsidRDefault="00583393" w:rsidP="0004253C">
      <w:pPr>
        <w:pStyle w:val="EndnoteText"/>
      </w:pPr>
      <w:r>
        <w:rPr>
          <w:rStyle w:val="EndnoteReference"/>
        </w:rPr>
        <w:endnoteRef/>
      </w:r>
      <w:r>
        <w:t xml:space="preserve"> </w:t>
      </w:r>
      <w:r>
        <w:rPr>
          <w:i/>
        </w:rPr>
        <w:t>Electric Schedule LS-2</w:t>
      </w:r>
      <w:r>
        <w:t>. Customer-Owned Street and Highway Lighting. Pacific Gas and Electric Company. April 2, 2008.</w:t>
      </w:r>
    </w:p>
    <w:p w:rsidR="00583393" w:rsidRDefault="00583393" w:rsidP="0004253C">
      <w:pPr>
        <w:pStyle w:val="EndnoteText"/>
      </w:pPr>
    </w:p>
  </w:endnote>
  <w:endnote w:id="5">
    <w:p w:rsidR="00583393" w:rsidRPr="005B1976" w:rsidRDefault="00583393" w:rsidP="004511CE">
      <w:pPr>
        <w:pStyle w:val="EndnoteText"/>
        <w:ind w:left="120" w:hanging="120"/>
      </w:pPr>
      <w:r w:rsidRPr="007F5AED">
        <w:rPr>
          <w:rStyle w:val="EndnoteReference"/>
        </w:rPr>
        <w:endnoteRef/>
      </w:r>
      <w:r w:rsidRPr="005B1976">
        <w:t xml:space="preserve"> </w:t>
      </w:r>
      <w:r>
        <w:t>California Energy Commission, Title 20, California Appliance Efficiency Regulations, p.160, Section 1605.1(n)(2), July 2015.</w:t>
      </w:r>
    </w:p>
  </w:endnote>
  <w:endnote w:id="6">
    <w:p w:rsidR="00583393" w:rsidRDefault="00583393" w:rsidP="004511CE">
      <w:pPr>
        <w:pStyle w:val="EndnoteText"/>
        <w:ind w:left="120" w:hanging="120"/>
      </w:pPr>
    </w:p>
    <w:p w:rsidR="00583393" w:rsidRDefault="00583393" w:rsidP="004511CE">
      <w:pPr>
        <w:pStyle w:val="EndnoteText"/>
        <w:ind w:left="120" w:hanging="120"/>
      </w:pPr>
      <w:r>
        <w:rPr>
          <w:rStyle w:val="EndnoteReference"/>
        </w:rPr>
        <w:endnoteRef/>
      </w:r>
      <w:r>
        <w:t xml:space="preserve"> California Energy Commission, Title 24, California Code of Regulations, p. 226, Table 150.0-B, Minimum Requirements for  Other Light Sources to Qualify as High Efficacy, May 2012.</w:t>
      </w:r>
    </w:p>
  </w:endnote>
  <w:endnote w:id="7">
    <w:p w:rsidR="00583393" w:rsidRDefault="00583393" w:rsidP="004511CE">
      <w:pPr>
        <w:pStyle w:val="EndnoteText"/>
      </w:pPr>
    </w:p>
    <w:p w:rsidR="00583393" w:rsidRDefault="00583393" w:rsidP="004511CE">
      <w:pPr>
        <w:pStyle w:val="EndnoteText"/>
      </w:pPr>
      <w:r>
        <w:rPr>
          <w:rStyle w:val="EndnoteReference"/>
        </w:rPr>
        <w:endnoteRef/>
      </w:r>
      <w:r>
        <w:t xml:space="preserve"> </w:t>
      </w:r>
      <w:r w:rsidRPr="005B1976">
        <w:t>Federal Standard, 21CFR CH1 §1040.30, Edition 4-1-02, page 644</w:t>
      </w:r>
    </w:p>
  </w:endnote>
  <w:endnote w:id="8">
    <w:p w:rsidR="00583393" w:rsidRDefault="00583393">
      <w:pPr>
        <w:pStyle w:val="EndnoteText"/>
      </w:pPr>
    </w:p>
    <w:p w:rsidR="00583393" w:rsidRDefault="00583393">
      <w:pPr>
        <w:pStyle w:val="EndnoteText"/>
      </w:pPr>
      <w:r w:rsidRPr="00C80E3F">
        <w:rPr>
          <w:rStyle w:val="EndnoteReference"/>
          <w:rFonts w:cs="Arial"/>
        </w:rPr>
        <w:endnoteRef/>
      </w:r>
      <w:r>
        <w:t xml:space="preserve"> Southern California Edison Design and Engineering Services, “Induction Lighting Demonstration and Survey for Car Dealerships Exterior Display Lighting,” March 3, 2008.</w:t>
      </w:r>
    </w:p>
    <w:p w:rsidR="00583393" w:rsidRDefault="00583393">
      <w:pPr>
        <w:pStyle w:val="EndnoteText"/>
      </w:pPr>
    </w:p>
  </w:endnote>
  <w:endnote w:id="9">
    <w:p w:rsidR="00583393" w:rsidRDefault="00583393" w:rsidP="009E12CF">
      <w:pPr>
        <w:pStyle w:val="EndnoteText"/>
        <w:rPr>
          <w:color w:val="1A1A1A"/>
        </w:rPr>
      </w:pPr>
      <w:r w:rsidRPr="00C80E3F">
        <w:rPr>
          <w:rStyle w:val="EndnoteReference"/>
          <w:rFonts w:cs="Arial"/>
        </w:rPr>
        <w:endnoteRef/>
      </w:r>
      <w:r>
        <w:t xml:space="preserve"> </w:t>
      </w:r>
      <w:smartTag w:uri="urn:schemas-microsoft-com:office:smarttags" w:element="place">
        <w:smartTag w:uri="urn:schemas-microsoft-com:office:smarttags" w:element="PlaceName">
          <w:r w:rsidRPr="00F119A0">
            <w:t>California</w:t>
          </w:r>
        </w:smartTag>
        <w:r w:rsidRPr="00F119A0">
          <w:t xml:space="preserve"> </w:t>
        </w:r>
        <w:smartTag w:uri="urn:schemas-microsoft-com:office:smarttags" w:element="PlaceName">
          <w:r w:rsidRPr="00F119A0">
            <w:t>Lighting</w:t>
          </w:r>
        </w:smartTag>
        <w:r w:rsidRPr="00F119A0">
          <w:t xml:space="preserve"> </w:t>
        </w:r>
        <w:smartTag w:uri="urn:schemas-microsoft-com:office:smarttags" w:element="PlaceName">
          <w:r w:rsidRPr="00F119A0">
            <w:t>Technology</w:t>
          </w:r>
        </w:smartTag>
        <w:r w:rsidRPr="00F119A0">
          <w:t xml:space="preserve"> </w:t>
        </w:r>
        <w:smartTag w:uri="urn:schemas-microsoft-com:office:smarttags" w:element="PlaceType">
          <w:r w:rsidRPr="00F119A0">
            <w:t>Center</w:t>
          </w:r>
        </w:smartTag>
      </w:smartTag>
      <w:r w:rsidRPr="00F119A0">
        <w:t xml:space="preserve">, “PIER Solutions for Parking Lots and Garages,” funded by </w:t>
      </w:r>
      <w:r w:rsidRPr="00F119A0">
        <w:rPr>
          <w:color w:val="1A1A1A"/>
        </w:rPr>
        <w:t>The California Energy Commission’s Public Interest Energy Research (PIER) Program</w:t>
      </w:r>
    </w:p>
    <w:p w:rsidR="00583393" w:rsidRDefault="00583393" w:rsidP="009E12CF">
      <w:pPr>
        <w:pStyle w:val="EndnoteText"/>
      </w:pPr>
    </w:p>
  </w:endnote>
  <w:endnote w:id="10">
    <w:p w:rsidR="00583393" w:rsidRDefault="00583393">
      <w:pPr>
        <w:pStyle w:val="EndnoteText"/>
      </w:pPr>
      <w:r>
        <w:rPr>
          <w:rStyle w:val="EndnoteReference"/>
        </w:rPr>
        <w:endnoteRef/>
      </w:r>
      <w:r>
        <w:t xml:space="preserve"> 2010-2012 WO017 Ex Ante Measure Cost Study Final Report.  Submitted by:  Itron, Inc.  May 27, 2014.  Table 4-6. Page 4-12. </w:t>
      </w:r>
      <w:r w:rsidRPr="00583393">
        <w:rPr>
          <w:i/>
        </w:rPr>
        <w:t>HID to T5 Fixtures high bay, lift accessible.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93" w:rsidRDefault="0058339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83393" w:rsidRDefault="005833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93" w:rsidRPr="00846195" w:rsidRDefault="0058339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w:t>
    </w:r>
    <w:r w:rsidRPr="00846195">
      <w:rPr>
        <w:rStyle w:val="PageNumber"/>
        <w:b/>
        <w:sz w:val="20"/>
        <w:szCs w:val="20"/>
      </w:rPr>
      <w:fldChar w:fldCharType="end"/>
    </w:r>
  </w:p>
  <w:p w:rsidR="00583393" w:rsidRDefault="00583393"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583393" w:rsidRDefault="00583393" w:rsidP="00D7047A">
    <w:pPr>
      <w:pStyle w:val="Footer"/>
      <w:rPr>
        <w:b/>
        <w:sz w:val="20"/>
        <w:szCs w:val="20"/>
      </w:rPr>
    </w:pPr>
    <w:r>
      <w:rPr>
        <w:b/>
        <w:sz w:val="20"/>
        <w:szCs w:val="20"/>
      </w:rPr>
      <w:t>Pacific Gas &amp; Electric Company</w:t>
    </w:r>
  </w:p>
  <w:p w:rsidR="00583393" w:rsidRPr="00844B27" w:rsidRDefault="00583393"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93" w:rsidRPr="005B1BE0" w:rsidRDefault="00583393" w:rsidP="00274A7E">
    <w:pPr>
      <w:pStyle w:val="Footer"/>
      <w:jc w:val="right"/>
      <w:rPr>
        <w:rFonts w:cs="Arial"/>
        <w:sz w:val="24"/>
      </w:rPr>
    </w:pPr>
    <w:r>
      <w:rPr>
        <w:rFonts w:cs="Arial"/>
        <w:sz w:val="24"/>
      </w:rPr>
      <w:t>1/1/2016</w:t>
    </w:r>
  </w:p>
  <w:p w:rsidR="00583393" w:rsidRDefault="0058339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93" w:rsidRDefault="0058339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83393" w:rsidRDefault="0058339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93" w:rsidRPr="00A73FD8" w:rsidRDefault="00583393" w:rsidP="001A6D00">
    <w:pPr>
      <w:pStyle w:val="Footer"/>
      <w:pBdr>
        <w:top w:val="single" w:sz="4" w:space="1" w:color="auto"/>
      </w:pBdr>
      <w:tabs>
        <w:tab w:val="clear" w:pos="4320"/>
        <w:tab w:val="clear" w:pos="8640"/>
      </w:tabs>
      <w:rPr>
        <w:b/>
        <w:sz w:val="20"/>
        <w:szCs w:val="20"/>
      </w:rPr>
    </w:pPr>
    <w:r>
      <w:rPr>
        <w:b/>
        <w:sz w:val="20"/>
        <w:szCs w:val="20"/>
      </w:rPr>
      <w:t>PGECOLTG158</w:t>
    </w:r>
    <w:r w:rsidRPr="00A73FD8">
      <w:rPr>
        <w:b/>
        <w:sz w:val="20"/>
        <w:szCs w:val="20"/>
      </w:rPr>
      <w:t xml:space="preserve">, Revision </w:t>
    </w:r>
    <w:r>
      <w:rPr>
        <w:b/>
        <w:sz w:val="20"/>
        <w:szCs w:val="20"/>
      </w:rPr>
      <w:t xml:space="preserve">5                                    </w:t>
    </w:r>
    <w:sdt>
      <w:sdtPr>
        <w:id w:val="-125781921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E7776">
          <w:rPr>
            <w:noProof/>
          </w:rPr>
          <w:t>iv</w:t>
        </w:r>
        <w:r>
          <w:rPr>
            <w:noProof/>
          </w:rPr>
          <w:fldChar w:fldCharType="end"/>
        </w:r>
      </w:sdtContent>
    </w:sdt>
    <w:r>
      <w:rPr>
        <w:b/>
        <w:sz w:val="20"/>
        <w:szCs w:val="20"/>
      </w:rPr>
      <w:t xml:space="preserve">                                                                   1/1/2016</w:t>
    </w:r>
  </w:p>
  <w:p w:rsidR="00583393" w:rsidRPr="00A73FD8" w:rsidRDefault="00583393" w:rsidP="00D7047A">
    <w:pPr>
      <w:pStyle w:val="Footer"/>
      <w:rPr>
        <w:b/>
        <w:sz w:val="20"/>
        <w:szCs w:val="20"/>
      </w:rPr>
    </w:pPr>
    <w:r w:rsidRPr="00A73FD8">
      <w:rPr>
        <w:b/>
        <w:sz w:val="20"/>
        <w:szCs w:val="20"/>
      </w:rPr>
      <w:t>Pacific Gas &amp; Electric Company</w:t>
    </w:r>
  </w:p>
  <w:p w:rsidR="00583393" w:rsidRDefault="00583393" w:rsidP="00C747DF">
    <w:pPr>
      <w:pStyle w:val="Footer"/>
      <w:tabs>
        <w:tab w:val="clear" w:pos="4320"/>
        <w:tab w:val="clear" w:pos="8640"/>
        <w:tab w:val="right" w:pos="9360"/>
      </w:tabs>
      <w:rPr>
        <w:b/>
        <w:color w:val="0000FF"/>
        <w:sz w:val="20"/>
        <w:szCs w:val="20"/>
      </w:rPr>
    </w:pPr>
    <w:r>
      <w:rPr>
        <w:b/>
        <w:sz w:val="20"/>
        <w:szCs w:val="20"/>
      </w:rPr>
      <w:t>PGECOLTG158 R5 Exterior Induction Fixtures.docx</w:t>
    </w:r>
    <w:r>
      <w:rPr>
        <w:b/>
        <w:color w:val="0000FF"/>
        <w:sz w:val="20"/>
        <w:szCs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93" w:rsidRPr="002E0E3F" w:rsidRDefault="00583393" w:rsidP="00D7047A">
    <w:pPr>
      <w:pStyle w:val="Footer"/>
      <w:jc w:val="right"/>
      <w:rPr>
        <w:rFonts w:cs="Arial"/>
        <w:b/>
        <w:sz w:val="36"/>
        <w:szCs w:val="36"/>
      </w:rPr>
    </w:pPr>
    <w:r>
      <w:rPr>
        <w:rFonts w:cs="Arial"/>
        <w:b/>
        <w:sz w:val="36"/>
        <w:szCs w:val="36"/>
      </w:rPr>
      <w:t>Date of Last Revision</w:t>
    </w:r>
  </w:p>
  <w:p w:rsidR="00583393" w:rsidRDefault="005833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393" w:rsidRDefault="00583393">
      <w:r>
        <w:separator/>
      </w:r>
    </w:p>
    <w:p w:rsidR="00583393" w:rsidRDefault="00583393"/>
  </w:footnote>
  <w:footnote w:type="continuationSeparator" w:id="0">
    <w:p w:rsidR="00583393" w:rsidRDefault="00583393">
      <w:r>
        <w:continuationSeparator/>
      </w:r>
    </w:p>
    <w:p w:rsidR="00583393" w:rsidRDefault="005833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93" w:rsidRDefault="003E7776">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93" w:rsidRDefault="00583393" w:rsidP="001A573F">
    <w:pPr>
      <w:pStyle w:val="Header"/>
      <w:jc w:val="right"/>
    </w:pPr>
  </w:p>
  <w:p w:rsidR="00583393" w:rsidRDefault="00583393"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93" w:rsidRDefault="0058339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93" w:rsidRPr="00E07796" w:rsidRDefault="00583393" w:rsidP="00E0779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393" w:rsidRDefault="005833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abstractNum w:abstractNumId="17">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127"/>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05A1"/>
    <w:rsid w:val="0004253C"/>
    <w:rsid w:val="00044570"/>
    <w:rsid w:val="00044DD1"/>
    <w:rsid w:val="00045127"/>
    <w:rsid w:val="0005397C"/>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32DF"/>
    <w:rsid w:val="000C5B2D"/>
    <w:rsid w:val="000C6D7B"/>
    <w:rsid w:val="000D06E2"/>
    <w:rsid w:val="000D17B9"/>
    <w:rsid w:val="000E132D"/>
    <w:rsid w:val="000E22C9"/>
    <w:rsid w:val="000E31B5"/>
    <w:rsid w:val="000E4563"/>
    <w:rsid w:val="000F0069"/>
    <w:rsid w:val="000F11DD"/>
    <w:rsid w:val="000F453B"/>
    <w:rsid w:val="00113464"/>
    <w:rsid w:val="00115EB1"/>
    <w:rsid w:val="001178BE"/>
    <w:rsid w:val="0012176A"/>
    <w:rsid w:val="00121A22"/>
    <w:rsid w:val="001248A3"/>
    <w:rsid w:val="00124F32"/>
    <w:rsid w:val="001263F9"/>
    <w:rsid w:val="00126483"/>
    <w:rsid w:val="00126A4E"/>
    <w:rsid w:val="00127CC8"/>
    <w:rsid w:val="0013046A"/>
    <w:rsid w:val="0013080C"/>
    <w:rsid w:val="0013087E"/>
    <w:rsid w:val="00133198"/>
    <w:rsid w:val="00133C60"/>
    <w:rsid w:val="00136D56"/>
    <w:rsid w:val="00146434"/>
    <w:rsid w:val="001465B1"/>
    <w:rsid w:val="00150EC7"/>
    <w:rsid w:val="00155EF5"/>
    <w:rsid w:val="00162011"/>
    <w:rsid w:val="00164FB8"/>
    <w:rsid w:val="00167F2B"/>
    <w:rsid w:val="0017179F"/>
    <w:rsid w:val="00172149"/>
    <w:rsid w:val="00175673"/>
    <w:rsid w:val="00176431"/>
    <w:rsid w:val="00183C8E"/>
    <w:rsid w:val="00192B77"/>
    <w:rsid w:val="001946B1"/>
    <w:rsid w:val="00194E14"/>
    <w:rsid w:val="0019648A"/>
    <w:rsid w:val="001965AF"/>
    <w:rsid w:val="00196D7C"/>
    <w:rsid w:val="00197A23"/>
    <w:rsid w:val="001A20C9"/>
    <w:rsid w:val="001A3026"/>
    <w:rsid w:val="001A3A19"/>
    <w:rsid w:val="001A4516"/>
    <w:rsid w:val="001A491F"/>
    <w:rsid w:val="001A550C"/>
    <w:rsid w:val="001A573F"/>
    <w:rsid w:val="001A64C6"/>
    <w:rsid w:val="001A6D00"/>
    <w:rsid w:val="001A7081"/>
    <w:rsid w:val="001A70AD"/>
    <w:rsid w:val="001A73E3"/>
    <w:rsid w:val="001B04D4"/>
    <w:rsid w:val="001B238D"/>
    <w:rsid w:val="001B242B"/>
    <w:rsid w:val="001B4ACB"/>
    <w:rsid w:val="001B57AD"/>
    <w:rsid w:val="001B5E15"/>
    <w:rsid w:val="001B75E6"/>
    <w:rsid w:val="001B792D"/>
    <w:rsid w:val="001C0CB0"/>
    <w:rsid w:val="001C2942"/>
    <w:rsid w:val="001C63A2"/>
    <w:rsid w:val="001D11CE"/>
    <w:rsid w:val="001D16C2"/>
    <w:rsid w:val="001D3F48"/>
    <w:rsid w:val="001D483C"/>
    <w:rsid w:val="001E4C31"/>
    <w:rsid w:val="001E795C"/>
    <w:rsid w:val="001E7CA0"/>
    <w:rsid w:val="001F4083"/>
    <w:rsid w:val="001F60D5"/>
    <w:rsid w:val="001F627F"/>
    <w:rsid w:val="001F7023"/>
    <w:rsid w:val="00200174"/>
    <w:rsid w:val="00203149"/>
    <w:rsid w:val="00204CFD"/>
    <w:rsid w:val="00204E89"/>
    <w:rsid w:val="00207CD9"/>
    <w:rsid w:val="00211BAC"/>
    <w:rsid w:val="002154B2"/>
    <w:rsid w:val="002170D6"/>
    <w:rsid w:val="002203EA"/>
    <w:rsid w:val="0022055B"/>
    <w:rsid w:val="0022067C"/>
    <w:rsid w:val="002207C3"/>
    <w:rsid w:val="002225FF"/>
    <w:rsid w:val="0022428B"/>
    <w:rsid w:val="002257FA"/>
    <w:rsid w:val="00227EBE"/>
    <w:rsid w:val="002335AA"/>
    <w:rsid w:val="00235694"/>
    <w:rsid w:val="0024233E"/>
    <w:rsid w:val="00243BAC"/>
    <w:rsid w:val="00244BD6"/>
    <w:rsid w:val="00245A56"/>
    <w:rsid w:val="002466F4"/>
    <w:rsid w:val="00251E83"/>
    <w:rsid w:val="00252352"/>
    <w:rsid w:val="00255067"/>
    <w:rsid w:val="0025725A"/>
    <w:rsid w:val="0025738E"/>
    <w:rsid w:val="0025741F"/>
    <w:rsid w:val="00257989"/>
    <w:rsid w:val="0026031F"/>
    <w:rsid w:val="002628B9"/>
    <w:rsid w:val="00262C30"/>
    <w:rsid w:val="00264B03"/>
    <w:rsid w:val="002705A8"/>
    <w:rsid w:val="0027474D"/>
    <w:rsid w:val="00274A7E"/>
    <w:rsid w:val="002767EF"/>
    <w:rsid w:val="00276918"/>
    <w:rsid w:val="00276ED1"/>
    <w:rsid w:val="002775AB"/>
    <w:rsid w:val="0027792C"/>
    <w:rsid w:val="00282CC4"/>
    <w:rsid w:val="00283CA0"/>
    <w:rsid w:val="00284FF5"/>
    <w:rsid w:val="00285AF5"/>
    <w:rsid w:val="0028709C"/>
    <w:rsid w:val="00291D75"/>
    <w:rsid w:val="00295B67"/>
    <w:rsid w:val="002A2C2E"/>
    <w:rsid w:val="002A4B6C"/>
    <w:rsid w:val="002A669E"/>
    <w:rsid w:val="002A6C14"/>
    <w:rsid w:val="002B0ECF"/>
    <w:rsid w:val="002B2DF1"/>
    <w:rsid w:val="002B4FEF"/>
    <w:rsid w:val="002C12FA"/>
    <w:rsid w:val="002C21F9"/>
    <w:rsid w:val="002C26EB"/>
    <w:rsid w:val="002C321E"/>
    <w:rsid w:val="002C42E0"/>
    <w:rsid w:val="002C4F1C"/>
    <w:rsid w:val="002C518C"/>
    <w:rsid w:val="002C7B46"/>
    <w:rsid w:val="002D0F51"/>
    <w:rsid w:val="002D27DC"/>
    <w:rsid w:val="002D4621"/>
    <w:rsid w:val="002E0043"/>
    <w:rsid w:val="002E0FCA"/>
    <w:rsid w:val="002E40A2"/>
    <w:rsid w:val="002E47B4"/>
    <w:rsid w:val="002E4B46"/>
    <w:rsid w:val="002E5671"/>
    <w:rsid w:val="002E6162"/>
    <w:rsid w:val="002F105C"/>
    <w:rsid w:val="002F2D19"/>
    <w:rsid w:val="002F3610"/>
    <w:rsid w:val="002F3FE5"/>
    <w:rsid w:val="002F4E8C"/>
    <w:rsid w:val="003004C6"/>
    <w:rsid w:val="0030080B"/>
    <w:rsid w:val="0030114D"/>
    <w:rsid w:val="00302B74"/>
    <w:rsid w:val="003030CB"/>
    <w:rsid w:val="003032B7"/>
    <w:rsid w:val="0030550A"/>
    <w:rsid w:val="003129E8"/>
    <w:rsid w:val="00312DA9"/>
    <w:rsid w:val="00315AB7"/>
    <w:rsid w:val="00324AFE"/>
    <w:rsid w:val="00324D0F"/>
    <w:rsid w:val="003259CD"/>
    <w:rsid w:val="0032657A"/>
    <w:rsid w:val="00333E01"/>
    <w:rsid w:val="00335017"/>
    <w:rsid w:val="003408A4"/>
    <w:rsid w:val="00340DAD"/>
    <w:rsid w:val="00340DC8"/>
    <w:rsid w:val="00345971"/>
    <w:rsid w:val="00345DE6"/>
    <w:rsid w:val="0034647B"/>
    <w:rsid w:val="00347B06"/>
    <w:rsid w:val="00350382"/>
    <w:rsid w:val="00353DC2"/>
    <w:rsid w:val="003541A6"/>
    <w:rsid w:val="00361277"/>
    <w:rsid w:val="00362067"/>
    <w:rsid w:val="00374640"/>
    <w:rsid w:val="00377407"/>
    <w:rsid w:val="0038391A"/>
    <w:rsid w:val="00392B5E"/>
    <w:rsid w:val="00392C05"/>
    <w:rsid w:val="00393618"/>
    <w:rsid w:val="00393D41"/>
    <w:rsid w:val="00395845"/>
    <w:rsid w:val="00396CAF"/>
    <w:rsid w:val="003A1B51"/>
    <w:rsid w:val="003A38DB"/>
    <w:rsid w:val="003A648E"/>
    <w:rsid w:val="003A66D0"/>
    <w:rsid w:val="003A7230"/>
    <w:rsid w:val="003B384E"/>
    <w:rsid w:val="003B51DE"/>
    <w:rsid w:val="003B6B5B"/>
    <w:rsid w:val="003C0018"/>
    <w:rsid w:val="003C095E"/>
    <w:rsid w:val="003C27C4"/>
    <w:rsid w:val="003C3A3C"/>
    <w:rsid w:val="003C48C5"/>
    <w:rsid w:val="003C5980"/>
    <w:rsid w:val="003C6DFA"/>
    <w:rsid w:val="003D00E1"/>
    <w:rsid w:val="003D04BC"/>
    <w:rsid w:val="003D298F"/>
    <w:rsid w:val="003D36AD"/>
    <w:rsid w:val="003D3F36"/>
    <w:rsid w:val="003D5191"/>
    <w:rsid w:val="003D60B8"/>
    <w:rsid w:val="003E15A5"/>
    <w:rsid w:val="003E24CE"/>
    <w:rsid w:val="003E3441"/>
    <w:rsid w:val="003E3941"/>
    <w:rsid w:val="003E540D"/>
    <w:rsid w:val="003E7422"/>
    <w:rsid w:val="003E7776"/>
    <w:rsid w:val="003E7CF9"/>
    <w:rsid w:val="003E7D3D"/>
    <w:rsid w:val="003E7E0A"/>
    <w:rsid w:val="003F0CBE"/>
    <w:rsid w:val="003F3179"/>
    <w:rsid w:val="003F3DED"/>
    <w:rsid w:val="003F51B5"/>
    <w:rsid w:val="003F57BD"/>
    <w:rsid w:val="003F5B70"/>
    <w:rsid w:val="004018B3"/>
    <w:rsid w:val="0040323C"/>
    <w:rsid w:val="00403FBE"/>
    <w:rsid w:val="00406EDD"/>
    <w:rsid w:val="004078BB"/>
    <w:rsid w:val="00412FB7"/>
    <w:rsid w:val="0041339D"/>
    <w:rsid w:val="0041365D"/>
    <w:rsid w:val="00415754"/>
    <w:rsid w:val="004162E3"/>
    <w:rsid w:val="00421ED8"/>
    <w:rsid w:val="0042297B"/>
    <w:rsid w:val="00422F19"/>
    <w:rsid w:val="00423B48"/>
    <w:rsid w:val="00425FE9"/>
    <w:rsid w:val="00427131"/>
    <w:rsid w:val="00427D2A"/>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11CE"/>
    <w:rsid w:val="00453878"/>
    <w:rsid w:val="00453CE7"/>
    <w:rsid w:val="004551F3"/>
    <w:rsid w:val="00455856"/>
    <w:rsid w:val="004563F1"/>
    <w:rsid w:val="004602EC"/>
    <w:rsid w:val="004617A6"/>
    <w:rsid w:val="00462C57"/>
    <w:rsid w:val="00462DFE"/>
    <w:rsid w:val="0046535F"/>
    <w:rsid w:val="00467FE9"/>
    <w:rsid w:val="00474025"/>
    <w:rsid w:val="0048008C"/>
    <w:rsid w:val="004809C9"/>
    <w:rsid w:val="00480BAD"/>
    <w:rsid w:val="00480C7E"/>
    <w:rsid w:val="00481EE4"/>
    <w:rsid w:val="00481F63"/>
    <w:rsid w:val="00486CF9"/>
    <w:rsid w:val="00487A47"/>
    <w:rsid w:val="00487D95"/>
    <w:rsid w:val="00492048"/>
    <w:rsid w:val="00493C4B"/>
    <w:rsid w:val="004959B4"/>
    <w:rsid w:val="004967A2"/>
    <w:rsid w:val="00497068"/>
    <w:rsid w:val="00497CD3"/>
    <w:rsid w:val="004A2084"/>
    <w:rsid w:val="004A2D46"/>
    <w:rsid w:val="004A3A35"/>
    <w:rsid w:val="004A6FCA"/>
    <w:rsid w:val="004B0F48"/>
    <w:rsid w:val="004B2CFB"/>
    <w:rsid w:val="004B4489"/>
    <w:rsid w:val="004C1351"/>
    <w:rsid w:val="004C4E2A"/>
    <w:rsid w:val="004C56D1"/>
    <w:rsid w:val="004D2C76"/>
    <w:rsid w:val="004D58D5"/>
    <w:rsid w:val="004D71AF"/>
    <w:rsid w:val="004D7301"/>
    <w:rsid w:val="004E2777"/>
    <w:rsid w:val="004F1450"/>
    <w:rsid w:val="004F1DB8"/>
    <w:rsid w:val="004F21BC"/>
    <w:rsid w:val="004F3EDB"/>
    <w:rsid w:val="004F55EC"/>
    <w:rsid w:val="004F61DD"/>
    <w:rsid w:val="00502569"/>
    <w:rsid w:val="00506204"/>
    <w:rsid w:val="005071BC"/>
    <w:rsid w:val="00511171"/>
    <w:rsid w:val="005136CC"/>
    <w:rsid w:val="00513858"/>
    <w:rsid w:val="00514B37"/>
    <w:rsid w:val="00514EEC"/>
    <w:rsid w:val="00516CAB"/>
    <w:rsid w:val="00521874"/>
    <w:rsid w:val="00521920"/>
    <w:rsid w:val="005246B1"/>
    <w:rsid w:val="00530B04"/>
    <w:rsid w:val="00534386"/>
    <w:rsid w:val="005355FC"/>
    <w:rsid w:val="0053683E"/>
    <w:rsid w:val="00537B0D"/>
    <w:rsid w:val="005403E8"/>
    <w:rsid w:val="00542990"/>
    <w:rsid w:val="00542A98"/>
    <w:rsid w:val="00544873"/>
    <w:rsid w:val="005453C5"/>
    <w:rsid w:val="0054599C"/>
    <w:rsid w:val="00545A84"/>
    <w:rsid w:val="00551EF3"/>
    <w:rsid w:val="00554084"/>
    <w:rsid w:val="00557E24"/>
    <w:rsid w:val="00557F28"/>
    <w:rsid w:val="00560593"/>
    <w:rsid w:val="0056163A"/>
    <w:rsid w:val="00562217"/>
    <w:rsid w:val="00563BE5"/>
    <w:rsid w:val="00567397"/>
    <w:rsid w:val="00574FBD"/>
    <w:rsid w:val="005773BB"/>
    <w:rsid w:val="00583393"/>
    <w:rsid w:val="00585C83"/>
    <w:rsid w:val="00586604"/>
    <w:rsid w:val="00587DDD"/>
    <w:rsid w:val="00591FDD"/>
    <w:rsid w:val="0059502F"/>
    <w:rsid w:val="005A1F9D"/>
    <w:rsid w:val="005A2657"/>
    <w:rsid w:val="005A3798"/>
    <w:rsid w:val="005A67E5"/>
    <w:rsid w:val="005A68AD"/>
    <w:rsid w:val="005A7302"/>
    <w:rsid w:val="005B00A6"/>
    <w:rsid w:val="005B1BE0"/>
    <w:rsid w:val="005C2844"/>
    <w:rsid w:val="005C711F"/>
    <w:rsid w:val="005C7F3F"/>
    <w:rsid w:val="005D6266"/>
    <w:rsid w:val="005D7524"/>
    <w:rsid w:val="005E2187"/>
    <w:rsid w:val="005E4FE9"/>
    <w:rsid w:val="005F19E0"/>
    <w:rsid w:val="005F1F10"/>
    <w:rsid w:val="005F3E96"/>
    <w:rsid w:val="005F57B5"/>
    <w:rsid w:val="005F7AA1"/>
    <w:rsid w:val="0060169C"/>
    <w:rsid w:val="00604FAE"/>
    <w:rsid w:val="00607605"/>
    <w:rsid w:val="0061001E"/>
    <w:rsid w:val="00610B3C"/>
    <w:rsid w:val="00610FC6"/>
    <w:rsid w:val="006136CA"/>
    <w:rsid w:val="00622319"/>
    <w:rsid w:val="00623394"/>
    <w:rsid w:val="00623BA1"/>
    <w:rsid w:val="0062416A"/>
    <w:rsid w:val="00625FB3"/>
    <w:rsid w:val="00626129"/>
    <w:rsid w:val="00632A52"/>
    <w:rsid w:val="00633A9C"/>
    <w:rsid w:val="00634414"/>
    <w:rsid w:val="00636012"/>
    <w:rsid w:val="00636987"/>
    <w:rsid w:val="0064025D"/>
    <w:rsid w:val="00640A56"/>
    <w:rsid w:val="00640BB6"/>
    <w:rsid w:val="00642FCD"/>
    <w:rsid w:val="006433B2"/>
    <w:rsid w:val="00644D17"/>
    <w:rsid w:val="00645027"/>
    <w:rsid w:val="0064609B"/>
    <w:rsid w:val="0065120D"/>
    <w:rsid w:val="00651887"/>
    <w:rsid w:val="00652DD9"/>
    <w:rsid w:val="006559C8"/>
    <w:rsid w:val="00657405"/>
    <w:rsid w:val="006605C2"/>
    <w:rsid w:val="00661864"/>
    <w:rsid w:val="00663A00"/>
    <w:rsid w:val="00664FA6"/>
    <w:rsid w:val="0066632E"/>
    <w:rsid w:val="00671943"/>
    <w:rsid w:val="00673682"/>
    <w:rsid w:val="00673ED7"/>
    <w:rsid w:val="006825D1"/>
    <w:rsid w:val="006832A4"/>
    <w:rsid w:val="006846E9"/>
    <w:rsid w:val="0068715F"/>
    <w:rsid w:val="006872DB"/>
    <w:rsid w:val="00693E53"/>
    <w:rsid w:val="00695ED2"/>
    <w:rsid w:val="006968B4"/>
    <w:rsid w:val="006A1022"/>
    <w:rsid w:val="006A1A83"/>
    <w:rsid w:val="006A2C4B"/>
    <w:rsid w:val="006A541C"/>
    <w:rsid w:val="006A55D2"/>
    <w:rsid w:val="006B42B8"/>
    <w:rsid w:val="006B4563"/>
    <w:rsid w:val="006B4DC2"/>
    <w:rsid w:val="006B6104"/>
    <w:rsid w:val="006B763D"/>
    <w:rsid w:val="006B7EDD"/>
    <w:rsid w:val="006C351C"/>
    <w:rsid w:val="006C44B4"/>
    <w:rsid w:val="006D0365"/>
    <w:rsid w:val="006D2068"/>
    <w:rsid w:val="006D3725"/>
    <w:rsid w:val="006D4AE1"/>
    <w:rsid w:val="006D52D8"/>
    <w:rsid w:val="006D5AAB"/>
    <w:rsid w:val="006D7E8A"/>
    <w:rsid w:val="006E0111"/>
    <w:rsid w:val="006E3C13"/>
    <w:rsid w:val="006E5CB6"/>
    <w:rsid w:val="006F0139"/>
    <w:rsid w:val="006F214B"/>
    <w:rsid w:val="006F28C7"/>
    <w:rsid w:val="007001DD"/>
    <w:rsid w:val="0070443C"/>
    <w:rsid w:val="00711CA1"/>
    <w:rsid w:val="00712407"/>
    <w:rsid w:val="00712477"/>
    <w:rsid w:val="00721A54"/>
    <w:rsid w:val="00721C75"/>
    <w:rsid w:val="007228DB"/>
    <w:rsid w:val="00723862"/>
    <w:rsid w:val="00727ECC"/>
    <w:rsid w:val="00731859"/>
    <w:rsid w:val="00733275"/>
    <w:rsid w:val="00733B4F"/>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2FF4"/>
    <w:rsid w:val="007652CE"/>
    <w:rsid w:val="00765936"/>
    <w:rsid w:val="00766BF6"/>
    <w:rsid w:val="0077416A"/>
    <w:rsid w:val="007764A4"/>
    <w:rsid w:val="0077706D"/>
    <w:rsid w:val="00781316"/>
    <w:rsid w:val="007821CF"/>
    <w:rsid w:val="00783DAC"/>
    <w:rsid w:val="00784500"/>
    <w:rsid w:val="00785112"/>
    <w:rsid w:val="00786700"/>
    <w:rsid w:val="007878B9"/>
    <w:rsid w:val="00790C15"/>
    <w:rsid w:val="007931BC"/>
    <w:rsid w:val="00793646"/>
    <w:rsid w:val="0079521E"/>
    <w:rsid w:val="00796071"/>
    <w:rsid w:val="007A0C2E"/>
    <w:rsid w:val="007A1510"/>
    <w:rsid w:val="007A4D97"/>
    <w:rsid w:val="007A7549"/>
    <w:rsid w:val="007A768C"/>
    <w:rsid w:val="007B2CAC"/>
    <w:rsid w:val="007B2E26"/>
    <w:rsid w:val="007B44FB"/>
    <w:rsid w:val="007C0E38"/>
    <w:rsid w:val="007C18E3"/>
    <w:rsid w:val="007C4E08"/>
    <w:rsid w:val="007C6A59"/>
    <w:rsid w:val="007D0411"/>
    <w:rsid w:val="007D2F4C"/>
    <w:rsid w:val="007D3DFF"/>
    <w:rsid w:val="007D3F38"/>
    <w:rsid w:val="007D4DB8"/>
    <w:rsid w:val="007E2197"/>
    <w:rsid w:val="007E3304"/>
    <w:rsid w:val="007E3D87"/>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37019"/>
    <w:rsid w:val="00843799"/>
    <w:rsid w:val="00844106"/>
    <w:rsid w:val="00844B27"/>
    <w:rsid w:val="00844D29"/>
    <w:rsid w:val="00846195"/>
    <w:rsid w:val="00846FA0"/>
    <w:rsid w:val="008479B6"/>
    <w:rsid w:val="00847F51"/>
    <w:rsid w:val="00851ABA"/>
    <w:rsid w:val="00853B76"/>
    <w:rsid w:val="0086002F"/>
    <w:rsid w:val="00861DD1"/>
    <w:rsid w:val="00863F9D"/>
    <w:rsid w:val="008645F9"/>
    <w:rsid w:val="0086628A"/>
    <w:rsid w:val="00871279"/>
    <w:rsid w:val="00872913"/>
    <w:rsid w:val="00873B01"/>
    <w:rsid w:val="00873F82"/>
    <w:rsid w:val="0087599D"/>
    <w:rsid w:val="00880CA5"/>
    <w:rsid w:val="008817B1"/>
    <w:rsid w:val="008834BB"/>
    <w:rsid w:val="00883F6A"/>
    <w:rsid w:val="008840FA"/>
    <w:rsid w:val="008846D2"/>
    <w:rsid w:val="00884E6F"/>
    <w:rsid w:val="00885DAF"/>
    <w:rsid w:val="00890F95"/>
    <w:rsid w:val="0089311A"/>
    <w:rsid w:val="008946C3"/>
    <w:rsid w:val="008948E0"/>
    <w:rsid w:val="0089528C"/>
    <w:rsid w:val="008A1884"/>
    <w:rsid w:val="008A6467"/>
    <w:rsid w:val="008B034D"/>
    <w:rsid w:val="008B0BBC"/>
    <w:rsid w:val="008B11AB"/>
    <w:rsid w:val="008B1BAF"/>
    <w:rsid w:val="008B4153"/>
    <w:rsid w:val="008B5356"/>
    <w:rsid w:val="008B7927"/>
    <w:rsid w:val="008C5AF3"/>
    <w:rsid w:val="008C6AD1"/>
    <w:rsid w:val="008C71B5"/>
    <w:rsid w:val="008D564C"/>
    <w:rsid w:val="008E431F"/>
    <w:rsid w:val="008E5E12"/>
    <w:rsid w:val="008F0D2A"/>
    <w:rsid w:val="008F12D4"/>
    <w:rsid w:val="008F17A0"/>
    <w:rsid w:val="008F23EF"/>
    <w:rsid w:val="008F386F"/>
    <w:rsid w:val="008F48E1"/>
    <w:rsid w:val="008F5BD0"/>
    <w:rsid w:val="009003FE"/>
    <w:rsid w:val="00903C95"/>
    <w:rsid w:val="009046D4"/>
    <w:rsid w:val="00905C2F"/>
    <w:rsid w:val="0091058D"/>
    <w:rsid w:val="00913858"/>
    <w:rsid w:val="00913A0F"/>
    <w:rsid w:val="00914959"/>
    <w:rsid w:val="00915CE6"/>
    <w:rsid w:val="00916468"/>
    <w:rsid w:val="009168A1"/>
    <w:rsid w:val="00924681"/>
    <w:rsid w:val="0092622E"/>
    <w:rsid w:val="00930877"/>
    <w:rsid w:val="00933501"/>
    <w:rsid w:val="00934BB2"/>
    <w:rsid w:val="00945CB0"/>
    <w:rsid w:val="009474AA"/>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43A0"/>
    <w:rsid w:val="009953BC"/>
    <w:rsid w:val="0099630A"/>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18C"/>
    <w:rsid w:val="009C5CA7"/>
    <w:rsid w:val="009C5E0C"/>
    <w:rsid w:val="009D03F8"/>
    <w:rsid w:val="009D1DF4"/>
    <w:rsid w:val="009D7A24"/>
    <w:rsid w:val="009E00E4"/>
    <w:rsid w:val="009E0D20"/>
    <w:rsid w:val="009E0F6B"/>
    <w:rsid w:val="009E12CF"/>
    <w:rsid w:val="009E1C9E"/>
    <w:rsid w:val="009E23B7"/>
    <w:rsid w:val="009E27D7"/>
    <w:rsid w:val="009E2964"/>
    <w:rsid w:val="009E5D18"/>
    <w:rsid w:val="009E7DCD"/>
    <w:rsid w:val="009F55F9"/>
    <w:rsid w:val="009F5CC0"/>
    <w:rsid w:val="009F6F8B"/>
    <w:rsid w:val="009F7164"/>
    <w:rsid w:val="00A00CA8"/>
    <w:rsid w:val="00A01631"/>
    <w:rsid w:val="00A02943"/>
    <w:rsid w:val="00A02F0A"/>
    <w:rsid w:val="00A1012C"/>
    <w:rsid w:val="00A1074D"/>
    <w:rsid w:val="00A127DD"/>
    <w:rsid w:val="00A14E6C"/>
    <w:rsid w:val="00A167EC"/>
    <w:rsid w:val="00A172E6"/>
    <w:rsid w:val="00A24434"/>
    <w:rsid w:val="00A24C8D"/>
    <w:rsid w:val="00A257F7"/>
    <w:rsid w:val="00A26F15"/>
    <w:rsid w:val="00A30E37"/>
    <w:rsid w:val="00A35CF8"/>
    <w:rsid w:val="00A360E7"/>
    <w:rsid w:val="00A400FB"/>
    <w:rsid w:val="00A443D1"/>
    <w:rsid w:val="00A456B3"/>
    <w:rsid w:val="00A47BFE"/>
    <w:rsid w:val="00A5087E"/>
    <w:rsid w:val="00A51808"/>
    <w:rsid w:val="00A51D78"/>
    <w:rsid w:val="00A51EA8"/>
    <w:rsid w:val="00A53EF0"/>
    <w:rsid w:val="00A549C3"/>
    <w:rsid w:val="00A55DD1"/>
    <w:rsid w:val="00A561A8"/>
    <w:rsid w:val="00A562A6"/>
    <w:rsid w:val="00A614C3"/>
    <w:rsid w:val="00A646B3"/>
    <w:rsid w:val="00A7007B"/>
    <w:rsid w:val="00A71623"/>
    <w:rsid w:val="00A71F50"/>
    <w:rsid w:val="00A73FD8"/>
    <w:rsid w:val="00A77CF2"/>
    <w:rsid w:val="00A81CF8"/>
    <w:rsid w:val="00A84B87"/>
    <w:rsid w:val="00A84D4B"/>
    <w:rsid w:val="00A8592D"/>
    <w:rsid w:val="00A90D08"/>
    <w:rsid w:val="00A93E12"/>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3979"/>
    <w:rsid w:val="00AF4CA9"/>
    <w:rsid w:val="00AF5B52"/>
    <w:rsid w:val="00AF66BD"/>
    <w:rsid w:val="00B008BF"/>
    <w:rsid w:val="00B05720"/>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565D"/>
    <w:rsid w:val="00B56303"/>
    <w:rsid w:val="00B64F62"/>
    <w:rsid w:val="00B66898"/>
    <w:rsid w:val="00B7164C"/>
    <w:rsid w:val="00B74832"/>
    <w:rsid w:val="00B74917"/>
    <w:rsid w:val="00B7688C"/>
    <w:rsid w:val="00B807AB"/>
    <w:rsid w:val="00B80F53"/>
    <w:rsid w:val="00B82E26"/>
    <w:rsid w:val="00B95FBC"/>
    <w:rsid w:val="00B96920"/>
    <w:rsid w:val="00B97C44"/>
    <w:rsid w:val="00BA05AE"/>
    <w:rsid w:val="00BA2FA3"/>
    <w:rsid w:val="00BA6418"/>
    <w:rsid w:val="00BA7D18"/>
    <w:rsid w:val="00BB3A8F"/>
    <w:rsid w:val="00BC19F6"/>
    <w:rsid w:val="00BC248E"/>
    <w:rsid w:val="00BC2A83"/>
    <w:rsid w:val="00BD02D0"/>
    <w:rsid w:val="00BD0361"/>
    <w:rsid w:val="00BD0D15"/>
    <w:rsid w:val="00BD5425"/>
    <w:rsid w:val="00BE5E74"/>
    <w:rsid w:val="00BF0332"/>
    <w:rsid w:val="00BF5FCC"/>
    <w:rsid w:val="00C00FA2"/>
    <w:rsid w:val="00C04A0D"/>
    <w:rsid w:val="00C069A2"/>
    <w:rsid w:val="00C069EC"/>
    <w:rsid w:val="00C17416"/>
    <w:rsid w:val="00C1748F"/>
    <w:rsid w:val="00C221D5"/>
    <w:rsid w:val="00C2280A"/>
    <w:rsid w:val="00C2607F"/>
    <w:rsid w:val="00C2652B"/>
    <w:rsid w:val="00C274E0"/>
    <w:rsid w:val="00C30598"/>
    <w:rsid w:val="00C346C7"/>
    <w:rsid w:val="00C373FB"/>
    <w:rsid w:val="00C41E61"/>
    <w:rsid w:val="00C45C85"/>
    <w:rsid w:val="00C515CA"/>
    <w:rsid w:val="00C533E6"/>
    <w:rsid w:val="00C56730"/>
    <w:rsid w:val="00C6024F"/>
    <w:rsid w:val="00C60CE3"/>
    <w:rsid w:val="00C63D95"/>
    <w:rsid w:val="00C64B94"/>
    <w:rsid w:val="00C70E78"/>
    <w:rsid w:val="00C739BF"/>
    <w:rsid w:val="00C747DF"/>
    <w:rsid w:val="00C74F44"/>
    <w:rsid w:val="00C768C1"/>
    <w:rsid w:val="00C76C24"/>
    <w:rsid w:val="00C7740D"/>
    <w:rsid w:val="00C80E3F"/>
    <w:rsid w:val="00C82F88"/>
    <w:rsid w:val="00C8318B"/>
    <w:rsid w:val="00C87539"/>
    <w:rsid w:val="00C90663"/>
    <w:rsid w:val="00C93DCA"/>
    <w:rsid w:val="00CA071B"/>
    <w:rsid w:val="00CA5466"/>
    <w:rsid w:val="00CA591D"/>
    <w:rsid w:val="00CA734B"/>
    <w:rsid w:val="00CA7610"/>
    <w:rsid w:val="00CB0475"/>
    <w:rsid w:val="00CB2C4F"/>
    <w:rsid w:val="00CB3583"/>
    <w:rsid w:val="00CB3CA0"/>
    <w:rsid w:val="00CB6A8C"/>
    <w:rsid w:val="00CB7B37"/>
    <w:rsid w:val="00CC33D8"/>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CF7051"/>
    <w:rsid w:val="00D04D3D"/>
    <w:rsid w:val="00D11B02"/>
    <w:rsid w:val="00D1202C"/>
    <w:rsid w:val="00D12617"/>
    <w:rsid w:val="00D126AD"/>
    <w:rsid w:val="00D16DDF"/>
    <w:rsid w:val="00D16E24"/>
    <w:rsid w:val="00D20486"/>
    <w:rsid w:val="00D228D8"/>
    <w:rsid w:val="00D31439"/>
    <w:rsid w:val="00D33677"/>
    <w:rsid w:val="00D34934"/>
    <w:rsid w:val="00D373EC"/>
    <w:rsid w:val="00D4180D"/>
    <w:rsid w:val="00D42875"/>
    <w:rsid w:val="00D42B44"/>
    <w:rsid w:val="00D44A14"/>
    <w:rsid w:val="00D44FBA"/>
    <w:rsid w:val="00D47738"/>
    <w:rsid w:val="00D51A9B"/>
    <w:rsid w:val="00D51D95"/>
    <w:rsid w:val="00D53EC6"/>
    <w:rsid w:val="00D55A00"/>
    <w:rsid w:val="00D56F77"/>
    <w:rsid w:val="00D57913"/>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962DE"/>
    <w:rsid w:val="00DA3163"/>
    <w:rsid w:val="00DA554C"/>
    <w:rsid w:val="00DA5F07"/>
    <w:rsid w:val="00DB42FB"/>
    <w:rsid w:val="00DB7AEE"/>
    <w:rsid w:val="00DC39C4"/>
    <w:rsid w:val="00DC4019"/>
    <w:rsid w:val="00DC4568"/>
    <w:rsid w:val="00DD0941"/>
    <w:rsid w:val="00DD1C47"/>
    <w:rsid w:val="00DD6B5E"/>
    <w:rsid w:val="00DE21B1"/>
    <w:rsid w:val="00DE2956"/>
    <w:rsid w:val="00DE3ABF"/>
    <w:rsid w:val="00DE4BF6"/>
    <w:rsid w:val="00DE69D0"/>
    <w:rsid w:val="00DE7070"/>
    <w:rsid w:val="00DE77A3"/>
    <w:rsid w:val="00DF02F6"/>
    <w:rsid w:val="00DF21B8"/>
    <w:rsid w:val="00DF31EE"/>
    <w:rsid w:val="00DF3395"/>
    <w:rsid w:val="00DF7681"/>
    <w:rsid w:val="00E02D36"/>
    <w:rsid w:val="00E03431"/>
    <w:rsid w:val="00E04E43"/>
    <w:rsid w:val="00E05E74"/>
    <w:rsid w:val="00E07796"/>
    <w:rsid w:val="00E079A3"/>
    <w:rsid w:val="00E149CE"/>
    <w:rsid w:val="00E16AC4"/>
    <w:rsid w:val="00E17C58"/>
    <w:rsid w:val="00E2178D"/>
    <w:rsid w:val="00E23958"/>
    <w:rsid w:val="00E23AD4"/>
    <w:rsid w:val="00E23BEC"/>
    <w:rsid w:val="00E23EC3"/>
    <w:rsid w:val="00E24E4D"/>
    <w:rsid w:val="00E2618B"/>
    <w:rsid w:val="00E267F1"/>
    <w:rsid w:val="00E3096F"/>
    <w:rsid w:val="00E34E73"/>
    <w:rsid w:val="00E375C8"/>
    <w:rsid w:val="00E423E0"/>
    <w:rsid w:val="00E4302B"/>
    <w:rsid w:val="00E528AF"/>
    <w:rsid w:val="00E52A03"/>
    <w:rsid w:val="00E53131"/>
    <w:rsid w:val="00E5518E"/>
    <w:rsid w:val="00E56222"/>
    <w:rsid w:val="00E566D8"/>
    <w:rsid w:val="00E57743"/>
    <w:rsid w:val="00E577C9"/>
    <w:rsid w:val="00E57A97"/>
    <w:rsid w:val="00E61F72"/>
    <w:rsid w:val="00E62C06"/>
    <w:rsid w:val="00E62DD3"/>
    <w:rsid w:val="00E66D8F"/>
    <w:rsid w:val="00E6742D"/>
    <w:rsid w:val="00E71707"/>
    <w:rsid w:val="00E71EF1"/>
    <w:rsid w:val="00E731C6"/>
    <w:rsid w:val="00E73E69"/>
    <w:rsid w:val="00E740C4"/>
    <w:rsid w:val="00E74686"/>
    <w:rsid w:val="00E74750"/>
    <w:rsid w:val="00E76686"/>
    <w:rsid w:val="00E80520"/>
    <w:rsid w:val="00E81678"/>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3A53"/>
    <w:rsid w:val="00EA4E02"/>
    <w:rsid w:val="00EA5D91"/>
    <w:rsid w:val="00EA6276"/>
    <w:rsid w:val="00EB048C"/>
    <w:rsid w:val="00EB2C67"/>
    <w:rsid w:val="00EB367C"/>
    <w:rsid w:val="00EB43BA"/>
    <w:rsid w:val="00EB4429"/>
    <w:rsid w:val="00EB46D0"/>
    <w:rsid w:val="00EB4700"/>
    <w:rsid w:val="00EB7F72"/>
    <w:rsid w:val="00EC0468"/>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0587E"/>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396C"/>
    <w:rsid w:val="00F55847"/>
    <w:rsid w:val="00F57142"/>
    <w:rsid w:val="00F5756D"/>
    <w:rsid w:val="00F6002E"/>
    <w:rsid w:val="00F630A2"/>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PlainText">
    <w:name w:val="Plain Text"/>
    <w:basedOn w:val="Normal"/>
    <w:link w:val="PlainTextChar"/>
    <w:uiPriority w:val="99"/>
    <w:unhideWhenUsed/>
    <w:rsid w:val="0026031F"/>
    <w:rPr>
      <w:rFonts w:ascii="Calibri" w:eastAsia="Calibri" w:hAnsi="Calibri" w:cs="Consolas"/>
      <w:szCs w:val="21"/>
    </w:rPr>
  </w:style>
  <w:style w:type="character" w:customStyle="1" w:styleId="PlainTextChar">
    <w:name w:val="Plain Text Char"/>
    <w:basedOn w:val="DefaultParagraphFont"/>
    <w:link w:val="PlainText"/>
    <w:uiPriority w:val="99"/>
    <w:rsid w:val="0026031F"/>
    <w:rPr>
      <w:rFonts w:ascii="Calibri" w:eastAsia="Calibri" w:hAnsi="Calibri" w:cs="Consolas"/>
      <w:sz w:val="22"/>
      <w:szCs w:val="21"/>
    </w:rPr>
  </w:style>
  <w:style w:type="paragraph" w:styleId="HTMLPreformatted">
    <w:name w:val="HTML Preformatted"/>
    <w:basedOn w:val="Normal"/>
    <w:link w:val="HTMLPreformattedChar"/>
    <w:uiPriority w:val="99"/>
    <w:unhideWhenUsed/>
    <w:rsid w:val="00451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511CE"/>
    <w:rPr>
      <w:rFonts w:ascii="Courier New" w:hAnsi="Courier New" w:cs="Courier New"/>
    </w:rPr>
  </w:style>
  <w:style w:type="table" w:customStyle="1" w:styleId="TableGrid1">
    <w:name w:val="Table Grid1"/>
    <w:basedOn w:val="TableNormal"/>
    <w:next w:val="TableGrid"/>
    <w:rsid w:val="00673ED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81678"/>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PlainText">
    <w:name w:val="Plain Text"/>
    <w:basedOn w:val="Normal"/>
    <w:link w:val="PlainTextChar"/>
    <w:uiPriority w:val="99"/>
    <w:unhideWhenUsed/>
    <w:rsid w:val="0026031F"/>
    <w:rPr>
      <w:rFonts w:ascii="Calibri" w:eastAsia="Calibri" w:hAnsi="Calibri" w:cs="Consolas"/>
      <w:szCs w:val="21"/>
    </w:rPr>
  </w:style>
  <w:style w:type="character" w:customStyle="1" w:styleId="PlainTextChar">
    <w:name w:val="Plain Text Char"/>
    <w:basedOn w:val="DefaultParagraphFont"/>
    <w:link w:val="PlainText"/>
    <w:uiPriority w:val="99"/>
    <w:rsid w:val="0026031F"/>
    <w:rPr>
      <w:rFonts w:ascii="Calibri" w:eastAsia="Calibri" w:hAnsi="Calibri" w:cs="Consolas"/>
      <w:sz w:val="22"/>
      <w:szCs w:val="21"/>
    </w:rPr>
  </w:style>
  <w:style w:type="paragraph" w:styleId="HTMLPreformatted">
    <w:name w:val="HTML Preformatted"/>
    <w:basedOn w:val="Normal"/>
    <w:link w:val="HTMLPreformattedChar"/>
    <w:uiPriority w:val="99"/>
    <w:unhideWhenUsed/>
    <w:rsid w:val="00451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4511CE"/>
    <w:rPr>
      <w:rFonts w:ascii="Courier New" w:hAnsi="Courier New" w:cs="Courier New"/>
    </w:rPr>
  </w:style>
  <w:style w:type="table" w:customStyle="1" w:styleId="TableGrid1">
    <w:name w:val="Table Grid1"/>
    <w:basedOn w:val="TableNormal"/>
    <w:next w:val="TableGrid"/>
    <w:rsid w:val="00673ED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81678"/>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deeresources.co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pge.com/led" TargetMode="External"/><Relationship Id="rId28"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3.png"/><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94DA4F-730E-49E1-8CE2-5EEFDBD5CB06}"/>
</file>

<file path=customXml/itemProps2.xml><?xml version="1.0" encoding="utf-8"?>
<ds:datastoreItem xmlns:ds="http://schemas.openxmlformats.org/officeDocument/2006/customXml" ds:itemID="{0D280A6B-5D68-411B-8FF7-88DFD64A4E4A}"/>
</file>

<file path=customXml/itemProps3.xml><?xml version="1.0" encoding="utf-8"?>
<ds:datastoreItem xmlns:ds="http://schemas.openxmlformats.org/officeDocument/2006/customXml" ds:itemID="{90AC4E56-104E-4524-9907-9F647E8A4177}"/>
</file>

<file path=customXml/itemProps4.xml><?xml version="1.0" encoding="utf-8"?>
<ds:datastoreItem xmlns:ds="http://schemas.openxmlformats.org/officeDocument/2006/customXml" ds:itemID="{DAFE9086-E282-4037-9926-C5DA3DA0A8BD}"/>
</file>

<file path=docProps/app.xml><?xml version="1.0" encoding="utf-8"?>
<Properties xmlns="http://schemas.openxmlformats.org/officeDocument/2006/extended-properties" xmlns:vt="http://schemas.openxmlformats.org/officeDocument/2006/docPropsVTypes">
  <Template>SCE Work Paper Template - Final.dot</Template>
  <TotalTime>477</TotalTime>
  <Pages>14</Pages>
  <Words>3158</Words>
  <Characters>19872</Characters>
  <Application>Microsoft Office Word</Application>
  <DocSecurity>0</DocSecurity>
  <Lines>165</Lines>
  <Paragraphs>45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22985</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Wan, Linda</cp:lastModifiedBy>
  <cp:revision>28</cp:revision>
  <cp:lastPrinted>2011-11-17T02:58:00Z</cp:lastPrinted>
  <dcterms:created xsi:type="dcterms:W3CDTF">2015-10-19T03:24:00Z</dcterms:created>
  <dcterms:modified xsi:type="dcterms:W3CDTF">2015-12-22T23:25:00Z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