
<file path=[Content_Types].xml><?xml version="1.0" encoding="utf-8"?>
<Types xmlns="http://schemas.openxmlformats.org/package/2006/content-types">
  <Default Extension="png" ContentType="image/png"/>
  <Default Extension="bin" ContentType="application/vnd.openxmlformats-officedocument.oleObject"/>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Override PartName="/word/commentsExtended.xml" ContentType="application/vnd.openxmlformats-officedocument.wordprocessingml.commentsExtended+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9DBDA02" w14:textId="77777777" w:rsidR="003E6DF6" w:rsidRDefault="5B621C54" w:rsidP="5B621C54">
      <w:pPr>
        <w:ind w:left="2160"/>
        <w:rPr>
          <w:rFonts w:ascii="Arial" w:hAnsi="Arial" w:cs="Arial"/>
          <w:b/>
          <w:bCs/>
          <w:sz w:val="40"/>
          <w:szCs w:val="40"/>
        </w:rPr>
      </w:pPr>
      <w:bookmarkStart w:id="0" w:name="_Toc153189646"/>
      <w:r w:rsidRPr="5B621C54">
        <w:rPr>
          <w:rFonts w:ascii="Arial" w:hAnsi="Arial" w:cs="Arial"/>
          <w:b/>
          <w:bCs/>
          <w:sz w:val="40"/>
          <w:szCs w:val="40"/>
        </w:rPr>
        <w:t xml:space="preserve">           Work Paper PGECOLTG151 </w:t>
      </w:r>
      <w:bookmarkEnd w:id="0"/>
    </w:p>
    <w:p w14:paraId="32477351" w14:textId="4AD12DD8" w:rsidR="000B0167" w:rsidRPr="003E6DF6" w:rsidRDefault="5B621C54" w:rsidP="5B621C54">
      <w:pPr>
        <w:rPr>
          <w:rFonts w:ascii="Arial" w:hAnsi="Arial" w:cs="Arial"/>
          <w:b/>
          <w:bCs/>
          <w:sz w:val="40"/>
          <w:szCs w:val="40"/>
        </w:rPr>
      </w:pPr>
      <w:r w:rsidRPr="5B621C54">
        <w:rPr>
          <w:rFonts w:ascii="Arial" w:hAnsi="Arial" w:cs="Arial"/>
          <w:b/>
          <w:bCs/>
          <w:sz w:val="40"/>
          <w:szCs w:val="40"/>
        </w:rPr>
        <w:t xml:space="preserve">            LED Outdoor</w:t>
      </w:r>
      <w:r w:rsidR="006F2178">
        <w:rPr>
          <w:rFonts w:ascii="Arial" w:hAnsi="Arial" w:cs="Arial"/>
          <w:b/>
          <w:bCs/>
          <w:sz w:val="40"/>
          <w:szCs w:val="40"/>
        </w:rPr>
        <w:t xml:space="preserve"> Parking Garage</w:t>
      </w:r>
      <w:r w:rsidRPr="5B621C54">
        <w:rPr>
          <w:rFonts w:ascii="Arial" w:hAnsi="Arial" w:cs="Arial"/>
          <w:b/>
          <w:bCs/>
          <w:sz w:val="40"/>
          <w:szCs w:val="40"/>
        </w:rPr>
        <w:t xml:space="preserve"> Lighting</w:t>
      </w:r>
    </w:p>
    <w:p w14:paraId="7A1FB62D" w14:textId="77777777" w:rsidR="000B0167" w:rsidRPr="008A1DA4" w:rsidRDefault="5B621C54" w:rsidP="5B621C54">
      <w:pPr>
        <w:ind w:left="5040" w:firstLine="720"/>
        <w:jc w:val="right"/>
        <w:rPr>
          <w:rFonts w:ascii="Arial" w:hAnsi="Arial" w:cs="Arial"/>
          <w:b/>
          <w:bCs/>
          <w:sz w:val="48"/>
          <w:szCs w:val="48"/>
        </w:rPr>
      </w:pPr>
      <w:bookmarkStart w:id="1" w:name="_Toc153189647"/>
      <w:r w:rsidRPr="5B621C54">
        <w:rPr>
          <w:rFonts w:ascii="Arial" w:hAnsi="Arial" w:cs="Arial"/>
          <w:b/>
          <w:bCs/>
          <w:sz w:val="40"/>
          <w:szCs w:val="40"/>
        </w:rPr>
        <w:t xml:space="preserve">    Revision </w:t>
      </w:r>
      <w:bookmarkEnd w:id="1"/>
      <w:r w:rsidR="002D515B">
        <w:rPr>
          <w:rFonts w:ascii="Arial" w:hAnsi="Arial" w:cs="Arial"/>
          <w:b/>
          <w:bCs/>
          <w:sz w:val="40"/>
          <w:szCs w:val="40"/>
        </w:rPr>
        <w:t>9</w:t>
      </w:r>
    </w:p>
    <w:p w14:paraId="2D9CCEB1" w14:textId="77777777" w:rsidR="000B0167" w:rsidRPr="008A1DA4" w:rsidRDefault="000B0167" w:rsidP="007100F8"/>
    <w:p w14:paraId="73B216F8" w14:textId="77777777" w:rsidR="000B0167" w:rsidRPr="008A1DA4" w:rsidRDefault="000B0167" w:rsidP="007100F8">
      <w:pPr>
        <w:pBdr>
          <w:bottom w:val="single" w:sz="4" w:space="1" w:color="auto"/>
        </w:pBdr>
        <w:rPr>
          <w:rFonts w:ascii="Arial" w:hAnsi="Arial" w:cs="Arial"/>
          <w:b/>
          <w:sz w:val="36"/>
          <w:szCs w:val="36"/>
        </w:rPr>
      </w:pPr>
    </w:p>
    <w:p w14:paraId="1E9939B0" w14:textId="77777777" w:rsidR="006F2178" w:rsidRDefault="006F2178" w:rsidP="5B621C54">
      <w:pPr>
        <w:pBdr>
          <w:bottom w:val="single" w:sz="4" w:space="1" w:color="auto"/>
        </w:pBdr>
        <w:rPr>
          <w:rFonts w:ascii="Arial" w:hAnsi="Arial" w:cs="Arial"/>
          <w:b/>
          <w:bCs/>
          <w:sz w:val="32"/>
          <w:szCs w:val="32"/>
        </w:rPr>
      </w:pPr>
    </w:p>
    <w:p w14:paraId="12280A8D" w14:textId="77777777" w:rsidR="000B0167" w:rsidRPr="006F2178" w:rsidRDefault="5B621C54" w:rsidP="5B621C54">
      <w:pPr>
        <w:pBdr>
          <w:bottom w:val="single" w:sz="4" w:space="1" w:color="auto"/>
        </w:pBdr>
        <w:rPr>
          <w:rFonts w:ascii="Arial" w:hAnsi="Arial" w:cs="Arial"/>
          <w:b/>
          <w:bCs/>
          <w:sz w:val="32"/>
          <w:szCs w:val="32"/>
        </w:rPr>
      </w:pPr>
      <w:r w:rsidRPr="006F2178">
        <w:rPr>
          <w:rFonts w:ascii="Arial" w:hAnsi="Arial" w:cs="Arial"/>
          <w:b/>
          <w:bCs/>
          <w:sz w:val="32"/>
          <w:szCs w:val="32"/>
        </w:rPr>
        <w:t>Pacific Gas &amp; Electric Company</w:t>
      </w:r>
    </w:p>
    <w:p w14:paraId="46A3D5B2" w14:textId="77777777" w:rsidR="000B0167" w:rsidRPr="008A1DA4" w:rsidRDefault="000B0167" w:rsidP="007100F8"/>
    <w:p w14:paraId="1649D85F" w14:textId="77777777" w:rsidR="000B0167" w:rsidRPr="008A1DA4" w:rsidRDefault="000B0167" w:rsidP="007100F8">
      <w:pPr>
        <w:ind w:right="-720"/>
        <w:rPr>
          <w:rFonts w:ascii="Arial" w:hAnsi="Arial" w:cs="Arial"/>
          <w:b/>
          <w:sz w:val="72"/>
          <w:szCs w:val="72"/>
        </w:rPr>
      </w:pPr>
    </w:p>
    <w:p w14:paraId="29FE6BA9" w14:textId="77777777" w:rsidR="000B0167" w:rsidRPr="008A1DA4" w:rsidRDefault="000B0167" w:rsidP="007100F8">
      <w:pPr>
        <w:ind w:right="-720"/>
        <w:rPr>
          <w:rFonts w:ascii="Arial" w:hAnsi="Arial" w:cs="Arial"/>
          <w:b/>
          <w:sz w:val="72"/>
          <w:szCs w:val="72"/>
        </w:rPr>
      </w:pPr>
    </w:p>
    <w:p w14:paraId="2075003F" w14:textId="2DBD8F44" w:rsidR="000B0167" w:rsidRPr="006F2178" w:rsidRDefault="5B621C54" w:rsidP="5B621C54">
      <w:pPr>
        <w:ind w:right="-720"/>
        <w:rPr>
          <w:rFonts w:ascii="Arial" w:hAnsi="Arial" w:cs="Arial"/>
          <w:b/>
          <w:bCs/>
          <w:sz w:val="60"/>
          <w:szCs w:val="60"/>
        </w:rPr>
      </w:pPr>
      <w:r w:rsidRPr="006F2178">
        <w:rPr>
          <w:rFonts w:ascii="Arial" w:hAnsi="Arial" w:cs="Arial"/>
          <w:b/>
          <w:bCs/>
          <w:sz w:val="60"/>
          <w:szCs w:val="60"/>
        </w:rPr>
        <w:t xml:space="preserve">LED Outdoor </w:t>
      </w:r>
      <w:r w:rsidR="006F2178" w:rsidRPr="006F2178">
        <w:rPr>
          <w:rFonts w:ascii="Arial" w:hAnsi="Arial" w:cs="Arial"/>
          <w:b/>
          <w:bCs/>
          <w:sz w:val="60"/>
          <w:szCs w:val="60"/>
        </w:rPr>
        <w:t>Parking Garage</w:t>
      </w:r>
      <w:r w:rsidRPr="006F2178">
        <w:rPr>
          <w:rFonts w:ascii="Arial" w:hAnsi="Arial" w:cs="Arial"/>
          <w:b/>
          <w:bCs/>
          <w:sz w:val="60"/>
          <w:szCs w:val="60"/>
          <w:highlight w:val="cyan"/>
        </w:rPr>
        <w:t xml:space="preserve"> </w:t>
      </w:r>
    </w:p>
    <w:p w14:paraId="43974029" w14:textId="77777777" w:rsidR="00A47FE3" w:rsidRPr="00AD5C42" w:rsidRDefault="5B621C54" w:rsidP="006A69BF">
      <w:pPr>
        <w:spacing w:before="60"/>
        <w:ind w:right="-720"/>
        <w:rPr>
          <w:rFonts w:ascii="Arial" w:hAnsi="Arial" w:cs="Arial"/>
          <w:b/>
          <w:bCs/>
          <w:sz w:val="26"/>
          <w:szCs w:val="26"/>
        </w:rPr>
        <w:sectPr w:rsidR="00A47FE3" w:rsidRPr="00AD5C42" w:rsidSect="00A343AA">
          <w:headerReference w:type="even" r:id="rId12"/>
          <w:headerReference w:type="default" r:id="rId13"/>
          <w:footerReference w:type="even" r:id="rId14"/>
          <w:footerReference w:type="default" r:id="rId15"/>
          <w:footerReference w:type="first" r:id="rId16"/>
          <w:endnotePr>
            <w:numFmt w:val="decimal"/>
          </w:endnotePr>
          <w:pgSz w:w="12240" w:h="15840" w:code="1"/>
          <w:pgMar w:top="1440" w:right="1800" w:bottom="1440" w:left="1800" w:header="720" w:footer="720" w:gutter="0"/>
          <w:pgNumType w:fmt="lowerRoman"/>
          <w:cols w:space="720"/>
          <w:titlePg/>
          <w:docGrid w:linePitch="360"/>
        </w:sectPr>
      </w:pPr>
      <w:r w:rsidRPr="00AD5C42">
        <w:rPr>
          <w:rFonts w:ascii="Arial" w:hAnsi="Arial" w:cs="Arial"/>
          <w:b/>
          <w:bCs/>
          <w:sz w:val="26"/>
          <w:szCs w:val="26"/>
        </w:rPr>
        <w:t xml:space="preserve">Measure Codes: </w:t>
      </w:r>
      <w:r w:rsidRPr="00AD5C42">
        <w:rPr>
          <w:rFonts w:ascii="Arial" w:hAnsi="Arial" w:cs="Arial"/>
          <w:b/>
          <w:bCs/>
          <w:color w:val="000000" w:themeColor="text1"/>
          <w:sz w:val="26"/>
          <w:szCs w:val="26"/>
        </w:rPr>
        <w:t>LT</w:t>
      </w:r>
      <w:r w:rsidR="00F16025" w:rsidRPr="00AD5C42">
        <w:rPr>
          <w:rFonts w:ascii="Arial" w:hAnsi="Arial" w:cs="Arial"/>
          <w:b/>
          <w:bCs/>
          <w:color w:val="000000" w:themeColor="text1"/>
          <w:sz w:val="26"/>
          <w:szCs w:val="26"/>
        </w:rPr>
        <w:t>480 – LT487</w:t>
      </w:r>
    </w:p>
    <w:p w14:paraId="1C85457B" w14:textId="77777777" w:rsidR="00A47FE3" w:rsidRPr="008A1DA4" w:rsidRDefault="5B621C54" w:rsidP="00B502A3">
      <w:pPr>
        <w:pStyle w:val="Heading1"/>
        <w:spacing w:before="120"/>
      </w:pPr>
      <w:bookmarkStart w:id="2" w:name="_Toc511134178"/>
      <w:bookmarkStart w:id="3" w:name="_Toc2803187"/>
      <w:r>
        <w:lastRenderedPageBreak/>
        <w:t>At-A-Glance Summary</w:t>
      </w:r>
      <w:bookmarkEnd w:id="2"/>
      <w:bookmarkEnd w:id="3"/>
    </w:p>
    <w:tbl>
      <w:tblPr>
        <w:tblW w:w="97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88"/>
        <w:gridCol w:w="5850"/>
      </w:tblGrid>
      <w:tr w:rsidR="00A47FE3" w:rsidRPr="008A1DA4" w14:paraId="2B928786" w14:textId="77777777" w:rsidTr="00760732">
        <w:trPr>
          <w:trHeight w:val="465"/>
        </w:trPr>
        <w:tc>
          <w:tcPr>
            <w:tcW w:w="3888" w:type="dxa"/>
            <w:shd w:val="clear" w:color="auto" w:fill="FFFFFF" w:themeFill="background1"/>
          </w:tcPr>
          <w:p w14:paraId="3FC73854" w14:textId="77777777" w:rsidR="00A47FE3" w:rsidRPr="008A6BFB" w:rsidRDefault="5B621C54" w:rsidP="5B621C54">
            <w:pPr>
              <w:rPr>
                <w:b/>
                <w:bCs/>
                <w:sz w:val="22"/>
                <w:szCs w:val="22"/>
              </w:rPr>
            </w:pPr>
            <w:r w:rsidRPr="008A6BFB">
              <w:rPr>
                <w:b/>
                <w:bCs/>
                <w:sz w:val="22"/>
                <w:szCs w:val="22"/>
              </w:rPr>
              <w:t>Applicable Measure Codes:</w:t>
            </w:r>
          </w:p>
        </w:tc>
        <w:tc>
          <w:tcPr>
            <w:tcW w:w="5850" w:type="dxa"/>
            <w:shd w:val="clear" w:color="auto" w:fill="FFFFFF" w:themeFill="background1"/>
          </w:tcPr>
          <w:p w14:paraId="58C8D4A4" w14:textId="77777777" w:rsidR="00A47FE3" w:rsidRPr="00AD5C42" w:rsidRDefault="00AD5C42" w:rsidP="000B6724">
            <w:pPr>
              <w:rPr>
                <w:sz w:val="20"/>
                <w:szCs w:val="20"/>
              </w:rPr>
            </w:pPr>
            <w:r>
              <w:rPr>
                <w:sz w:val="20"/>
                <w:szCs w:val="20"/>
              </w:rPr>
              <w:t>LT480 to LT487</w:t>
            </w:r>
          </w:p>
        </w:tc>
      </w:tr>
      <w:tr w:rsidR="00A47FE3" w:rsidRPr="008A1DA4" w14:paraId="64C67681" w14:textId="77777777" w:rsidTr="00760732">
        <w:trPr>
          <w:trHeight w:val="503"/>
        </w:trPr>
        <w:tc>
          <w:tcPr>
            <w:tcW w:w="3888" w:type="dxa"/>
            <w:shd w:val="clear" w:color="auto" w:fill="FFFFFF" w:themeFill="background1"/>
          </w:tcPr>
          <w:p w14:paraId="2F65E165" w14:textId="77777777" w:rsidR="00A47FE3" w:rsidRPr="008A6BFB" w:rsidRDefault="5B621C54" w:rsidP="5B621C54">
            <w:pPr>
              <w:rPr>
                <w:b/>
                <w:bCs/>
                <w:sz w:val="22"/>
                <w:szCs w:val="22"/>
              </w:rPr>
            </w:pPr>
            <w:r w:rsidRPr="008A6BFB">
              <w:rPr>
                <w:b/>
                <w:bCs/>
                <w:sz w:val="22"/>
                <w:szCs w:val="22"/>
              </w:rPr>
              <w:t xml:space="preserve">Measure Description: </w:t>
            </w:r>
          </w:p>
        </w:tc>
        <w:tc>
          <w:tcPr>
            <w:tcW w:w="5850" w:type="dxa"/>
            <w:shd w:val="clear" w:color="auto" w:fill="FFFFFF" w:themeFill="background1"/>
          </w:tcPr>
          <w:p w14:paraId="72849EA1" w14:textId="77777777" w:rsidR="00A47FE3" w:rsidRPr="008A1DA4" w:rsidRDefault="5B621C54" w:rsidP="00AF0CCA">
            <w:pPr>
              <w:rPr>
                <w:sz w:val="20"/>
                <w:szCs w:val="20"/>
              </w:rPr>
            </w:pPr>
            <w:r w:rsidRPr="5B621C54">
              <w:rPr>
                <w:sz w:val="20"/>
                <w:szCs w:val="20"/>
              </w:rPr>
              <w:t xml:space="preserve">LED </w:t>
            </w:r>
            <w:r w:rsidR="00870594">
              <w:rPr>
                <w:sz w:val="20"/>
                <w:szCs w:val="20"/>
              </w:rPr>
              <w:t xml:space="preserve">parking garage </w:t>
            </w:r>
            <w:r w:rsidRPr="5B621C54">
              <w:rPr>
                <w:sz w:val="20"/>
                <w:szCs w:val="20"/>
              </w:rPr>
              <w:t xml:space="preserve">luminaires </w:t>
            </w:r>
            <w:r w:rsidR="00870594">
              <w:rPr>
                <w:sz w:val="20"/>
                <w:szCs w:val="20"/>
              </w:rPr>
              <w:t xml:space="preserve">and kits greater than 120 lm/W </w:t>
            </w:r>
            <w:r w:rsidRPr="5B621C54">
              <w:rPr>
                <w:sz w:val="20"/>
                <w:szCs w:val="20"/>
              </w:rPr>
              <w:t>(DLC v4.</w:t>
            </w:r>
            <w:r w:rsidR="00870594">
              <w:rPr>
                <w:sz w:val="20"/>
                <w:szCs w:val="20"/>
              </w:rPr>
              <w:t>4</w:t>
            </w:r>
            <w:r w:rsidR="00870594" w:rsidRPr="5B621C54">
              <w:rPr>
                <w:sz w:val="20"/>
                <w:szCs w:val="20"/>
              </w:rPr>
              <w:t xml:space="preserve"> </w:t>
            </w:r>
            <w:r w:rsidRPr="5B621C54">
              <w:rPr>
                <w:sz w:val="20"/>
                <w:szCs w:val="20"/>
              </w:rPr>
              <w:t>Premium Classification)</w:t>
            </w:r>
          </w:p>
        </w:tc>
      </w:tr>
      <w:tr w:rsidR="00A47FE3" w:rsidRPr="008A1DA4" w14:paraId="5D0DE326" w14:textId="77777777" w:rsidTr="00760732">
        <w:trPr>
          <w:trHeight w:val="465"/>
        </w:trPr>
        <w:tc>
          <w:tcPr>
            <w:tcW w:w="3888" w:type="dxa"/>
            <w:shd w:val="clear" w:color="auto" w:fill="FFFFFF" w:themeFill="background1"/>
          </w:tcPr>
          <w:p w14:paraId="2CBD21FC" w14:textId="77777777" w:rsidR="00A47FE3" w:rsidRPr="008A6BFB" w:rsidRDefault="5B621C54" w:rsidP="5B621C54">
            <w:pPr>
              <w:rPr>
                <w:b/>
                <w:bCs/>
                <w:sz w:val="22"/>
                <w:szCs w:val="22"/>
              </w:rPr>
            </w:pPr>
            <w:r w:rsidRPr="008A6BFB">
              <w:rPr>
                <w:b/>
                <w:bCs/>
                <w:sz w:val="22"/>
                <w:szCs w:val="22"/>
              </w:rPr>
              <w:t xml:space="preserve">Energy Impact Common Units: </w:t>
            </w:r>
          </w:p>
        </w:tc>
        <w:tc>
          <w:tcPr>
            <w:tcW w:w="5850" w:type="dxa"/>
            <w:shd w:val="clear" w:color="auto" w:fill="FFFFFF" w:themeFill="background1"/>
          </w:tcPr>
          <w:p w14:paraId="6ECD8255" w14:textId="77777777" w:rsidR="00A47FE3" w:rsidRPr="008A1DA4" w:rsidRDefault="5B621C54" w:rsidP="007100F8">
            <w:pPr>
              <w:rPr>
                <w:sz w:val="20"/>
                <w:szCs w:val="20"/>
              </w:rPr>
            </w:pPr>
            <w:r w:rsidRPr="5B621C54">
              <w:rPr>
                <w:sz w:val="20"/>
                <w:szCs w:val="20"/>
              </w:rPr>
              <w:t xml:space="preserve">Per fixture. </w:t>
            </w:r>
          </w:p>
        </w:tc>
      </w:tr>
      <w:tr w:rsidR="00A47FE3" w:rsidRPr="008A1DA4" w14:paraId="33C58AF7" w14:textId="77777777" w:rsidTr="00760732">
        <w:trPr>
          <w:trHeight w:val="530"/>
        </w:trPr>
        <w:tc>
          <w:tcPr>
            <w:tcW w:w="3888" w:type="dxa"/>
            <w:shd w:val="clear" w:color="auto" w:fill="FFFFFF" w:themeFill="background1"/>
          </w:tcPr>
          <w:p w14:paraId="78D014C6" w14:textId="77777777" w:rsidR="00A47FE3" w:rsidRPr="008A6BFB" w:rsidRDefault="5B621C54" w:rsidP="5B621C54">
            <w:pPr>
              <w:rPr>
                <w:b/>
                <w:bCs/>
                <w:sz w:val="22"/>
                <w:szCs w:val="22"/>
              </w:rPr>
            </w:pPr>
            <w:r w:rsidRPr="008A6BFB">
              <w:rPr>
                <w:b/>
                <w:bCs/>
                <w:sz w:val="22"/>
                <w:szCs w:val="22"/>
              </w:rPr>
              <w:t>Base Case Description:</w:t>
            </w:r>
          </w:p>
        </w:tc>
        <w:tc>
          <w:tcPr>
            <w:tcW w:w="5850" w:type="dxa"/>
            <w:shd w:val="clear" w:color="auto" w:fill="FFFFFF" w:themeFill="background1"/>
          </w:tcPr>
          <w:p w14:paraId="61B9E651" w14:textId="77777777" w:rsidR="00A47FE3" w:rsidRPr="008A1DA4" w:rsidRDefault="5B621C54" w:rsidP="00B51548">
            <w:pPr>
              <w:rPr>
                <w:sz w:val="20"/>
                <w:szCs w:val="20"/>
              </w:rPr>
            </w:pPr>
            <w:r w:rsidRPr="5B621C54">
              <w:rPr>
                <w:sz w:val="20"/>
                <w:szCs w:val="20"/>
              </w:rPr>
              <w:t xml:space="preserve">Parking Garage:  </w:t>
            </w:r>
            <w:r w:rsidR="00870594">
              <w:rPr>
                <w:sz w:val="20"/>
                <w:szCs w:val="20"/>
              </w:rPr>
              <w:t>3</w:t>
            </w:r>
            <w:r w:rsidRPr="5B621C54">
              <w:rPr>
                <w:sz w:val="20"/>
                <w:szCs w:val="20"/>
              </w:rPr>
              <w:t>0% LED</w:t>
            </w:r>
            <w:r w:rsidR="00870594">
              <w:rPr>
                <w:sz w:val="20"/>
                <w:szCs w:val="20"/>
              </w:rPr>
              <w:t xml:space="preserve"> fixture, 30% </w:t>
            </w:r>
            <w:r w:rsidR="009F41B7">
              <w:rPr>
                <w:sz w:val="20"/>
                <w:szCs w:val="20"/>
              </w:rPr>
              <w:t>linear LED replacement lamp (</w:t>
            </w:r>
            <w:r w:rsidR="00870594">
              <w:rPr>
                <w:sz w:val="20"/>
                <w:szCs w:val="20"/>
              </w:rPr>
              <w:t>TLED</w:t>
            </w:r>
            <w:r w:rsidR="009F41B7">
              <w:rPr>
                <w:sz w:val="20"/>
                <w:szCs w:val="20"/>
              </w:rPr>
              <w:t>)</w:t>
            </w:r>
            <w:r w:rsidRPr="5B621C54">
              <w:rPr>
                <w:sz w:val="20"/>
                <w:szCs w:val="20"/>
              </w:rPr>
              <w:t xml:space="preserve">, 20% </w:t>
            </w:r>
            <w:r w:rsidR="00A83EAF">
              <w:rPr>
                <w:sz w:val="20"/>
                <w:szCs w:val="20"/>
              </w:rPr>
              <w:t xml:space="preserve">Linear </w:t>
            </w:r>
            <w:r w:rsidRPr="5B621C54">
              <w:rPr>
                <w:sz w:val="20"/>
                <w:szCs w:val="20"/>
              </w:rPr>
              <w:t>Fluorescent, 20% M</w:t>
            </w:r>
            <w:r w:rsidR="00A83EAF">
              <w:rPr>
                <w:sz w:val="20"/>
                <w:szCs w:val="20"/>
              </w:rPr>
              <w:t xml:space="preserve">etal </w:t>
            </w:r>
            <w:r w:rsidRPr="5B621C54">
              <w:rPr>
                <w:sz w:val="20"/>
                <w:szCs w:val="20"/>
              </w:rPr>
              <w:t>H</w:t>
            </w:r>
            <w:r w:rsidR="00A83EAF">
              <w:rPr>
                <w:sz w:val="20"/>
                <w:szCs w:val="20"/>
              </w:rPr>
              <w:t>alide (MH)</w:t>
            </w:r>
          </w:p>
        </w:tc>
      </w:tr>
      <w:tr w:rsidR="00760732" w:rsidRPr="008A1DA4" w14:paraId="2F9FFFBD" w14:textId="77777777" w:rsidTr="00760732">
        <w:trPr>
          <w:trHeight w:val="530"/>
        </w:trPr>
        <w:tc>
          <w:tcPr>
            <w:tcW w:w="3888" w:type="dxa"/>
            <w:shd w:val="clear" w:color="auto" w:fill="FFFFFF" w:themeFill="background1"/>
          </w:tcPr>
          <w:p w14:paraId="3C7101E5" w14:textId="77777777" w:rsidR="00760732" w:rsidRPr="008A6BFB" w:rsidRDefault="00760732" w:rsidP="5B621C54">
            <w:pPr>
              <w:rPr>
                <w:b/>
                <w:bCs/>
                <w:sz w:val="22"/>
                <w:szCs w:val="22"/>
              </w:rPr>
            </w:pPr>
            <w:r w:rsidRPr="008A6BFB">
              <w:rPr>
                <w:b/>
                <w:bCs/>
                <w:sz w:val="22"/>
                <w:szCs w:val="22"/>
              </w:rPr>
              <w:t xml:space="preserve">Base Case Energy Consumption: </w:t>
            </w:r>
          </w:p>
        </w:tc>
        <w:tc>
          <w:tcPr>
            <w:tcW w:w="5850" w:type="dxa"/>
            <w:shd w:val="clear" w:color="auto" w:fill="FFFFFF" w:themeFill="background1"/>
          </w:tcPr>
          <w:p w14:paraId="41346DF7" w14:textId="77777777" w:rsidR="00760732" w:rsidRDefault="00760732" w:rsidP="00215747">
            <w:pPr>
              <w:rPr>
                <w:sz w:val="20"/>
                <w:szCs w:val="20"/>
              </w:rPr>
            </w:pPr>
            <w:r w:rsidRPr="5B621C54">
              <w:rPr>
                <w:sz w:val="20"/>
                <w:szCs w:val="20"/>
              </w:rPr>
              <w:t>Refer to PG&amp;E Calculations</w:t>
            </w:r>
          </w:p>
          <w:p w14:paraId="19B0D31F" w14:textId="136B7C1E" w:rsidR="00760732" w:rsidRPr="008A1DA4" w:rsidRDefault="00760732" w:rsidP="00631EB1">
            <w:pPr>
              <w:rPr>
                <w:sz w:val="20"/>
                <w:szCs w:val="20"/>
              </w:rPr>
            </w:pPr>
            <w:r>
              <w:rPr>
                <w:sz w:val="20"/>
                <w:szCs w:val="20"/>
              </w:rPr>
              <w:t>“P</w:t>
            </w:r>
            <w:r w:rsidRPr="00631EB1">
              <w:rPr>
                <w:sz w:val="20"/>
                <w:szCs w:val="20"/>
              </w:rPr>
              <w:t xml:space="preserve">GECOLTG151 R9 LED Outdoor </w:t>
            </w:r>
            <w:proofErr w:type="spellStart"/>
            <w:r w:rsidRPr="00631EB1">
              <w:rPr>
                <w:sz w:val="20"/>
                <w:szCs w:val="20"/>
              </w:rPr>
              <w:t>Ltg</w:t>
            </w:r>
            <w:proofErr w:type="spellEnd"/>
            <w:r w:rsidRPr="00631EB1">
              <w:rPr>
                <w:sz w:val="20"/>
                <w:szCs w:val="20"/>
              </w:rPr>
              <w:t xml:space="preserve"> Calc</w:t>
            </w:r>
            <w:r>
              <w:rPr>
                <w:sz w:val="20"/>
                <w:szCs w:val="20"/>
              </w:rPr>
              <w:t>_Mar2019.xlsx”</w:t>
            </w:r>
            <w:r w:rsidRPr="00631EB1">
              <w:rPr>
                <w:sz w:val="20"/>
                <w:szCs w:val="20"/>
              </w:rPr>
              <w:t xml:space="preserve"> </w:t>
            </w:r>
          </w:p>
        </w:tc>
      </w:tr>
      <w:tr w:rsidR="00760732" w:rsidRPr="008A1DA4" w14:paraId="6FF922FF" w14:textId="77777777" w:rsidTr="00760732">
        <w:trPr>
          <w:trHeight w:val="512"/>
        </w:trPr>
        <w:tc>
          <w:tcPr>
            <w:tcW w:w="3888" w:type="dxa"/>
            <w:shd w:val="clear" w:color="auto" w:fill="FFFFFF" w:themeFill="background1"/>
          </w:tcPr>
          <w:p w14:paraId="2822C755" w14:textId="77777777" w:rsidR="00760732" w:rsidRPr="008A6BFB" w:rsidRDefault="00760732" w:rsidP="5B621C54">
            <w:pPr>
              <w:rPr>
                <w:b/>
                <w:bCs/>
                <w:sz w:val="22"/>
                <w:szCs w:val="22"/>
              </w:rPr>
            </w:pPr>
            <w:r w:rsidRPr="008A6BFB">
              <w:rPr>
                <w:b/>
                <w:bCs/>
                <w:sz w:val="22"/>
                <w:szCs w:val="22"/>
              </w:rPr>
              <w:t>Measure Energy Consumption:</w:t>
            </w:r>
          </w:p>
        </w:tc>
        <w:tc>
          <w:tcPr>
            <w:tcW w:w="5850" w:type="dxa"/>
            <w:shd w:val="clear" w:color="auto" w:fill="FFFFFF" w:themeFill="background1"/>
          </w:tcPr>
          <w:p w14:paraId="1D070B6B" w14:textId="77777777" w:rsidR="00760732" w:rsidRDefault="00760732" w:rsidP="00215747">
            <w:pPr>
              <w:rPr>
                <w:sz w:val="20"/>
                <w:szCs w:val="20"/>
              </w:rPr>
            </w:pPr>
            <w:r w:rsidRPr="5B621C54">
              <w:rPr>
                <w:sz w:val="20"/>
                <w:szCs w:val="20"/>
              </w:rPr>
              <w:t>Refer to PG&amp;E Calculations</w:t>
            </w:r>
          </w:p>
          <w:p w14:paraId="68DFE24A" w14:textId="324DCB75" w:rsidR="00760732" w:rsidRPr="008A1DA4" w:rsidRDefault="00760732" w:rsidP="00BB0CF8">
            <w:pPr>
              <w:rPr>
                <w:sz w:val="20"/>
                <w:szCs w:val="20"/>
              </w:rPr>
            </w:pPr>
            <w:r>
              <w:rPr>
                <w:sz w:val="20"/>
                <w:szCs w:val="20"/>
              </w:rPr>
              <w:t>“P</w:t>
            </w:r>
            <w:r w:rsidRPr="00631EB1">
              <w:rPr>
                <w:sz w:val="20"/>
                <w:szCs w:val="20"/>
              </w:rPr>
              <w:t xml:space="preserve">GECOLTG151 R9 LED Outdoor </w:t>
            </w:r>
            <w:proofErr w:type="spellStart"/>
            <w:r w:rsidRPr="00631EB1">
              <w:rPr>
                <w:sz w:val="20"/>
                <w:szCs w:val="20"/>
              </w:rPr>
              <w:t>Ltg</w:t>
            </w:r>
            <w:proofErr w:type="spellEnd"/>
            <w:r w:rsidRPr="00631EB1">
              <w:rPr>
                <w:sz w:val="20"/>
                <w:szCs w:val="20"/>
              </w:rPr>
              <w:t xml:space="preserve"> Calc</w:t>
            </w:r>
            <w:r>
              <w:rPr>
                <w:sz w:val="20"/>
                <w:szCs w:val="20"/>
              </w:rPr>
              <w:t>_Mar2019.xlsx”</w:t>
            </w:r>
          </w:p>
        </w:tc>
      </w:tr>
      <w:tr w:rsidR="00760732" w:rsidRPr="008A1DA4" w14:paraId="09B3E613" w14:textId="77777777" w:rsidTr="00760732">
        <w:trPr>
          <w:trHeight w:val="465"/>
        </w:trPr>
        <w:tc>
          <w:tcPr>
            <w:tcW w:w="3888" w:type="dxa"/>
            <w:shd w:val="clear" w:color="auto" w:fill="FFFFFF" w:themeFill="background1"/>
          </w:tcPr>
          <w:p w14:paraId="43C082FA" w14:textId="77777777" w:rsidR="00760732" w:rsidRPr="008A6BFB" w:rsidRDefault="00760732" w:rsidP="5B621C54">
            <w:pPr>
              <w:rPr>
                <w:b/>
                <w:bCs/>
                <w:sz w:val="22"/>
                <w:szCs w:val="22"/>
              </w:rPr>
            </w:pPr>
            <w:r w:rsidRPr="008A6BFB">
              <w:rPr>
                <w:b/>
                <w:bCs/>
                <w:sz w:val="22"/>
                <w:szCs w:val="22"/>
              </w:rPr>
              <w:t>Energy Savings (Base Case – Measure)</w:t>
            </w:r>
          </w:p>
        </w:tc>
        <w:tc>
          <w:tcPr>
            <w:tcW w:w="5850" w:type="dxa"/>
            <w:shd w:val="clear" w:color="auto" w:fill="FFFFFF" w:themeFill="background1"/>
          </w:tcPr>
          <w:p w14:paraId="59B7493E" w14:textId="77777777" w:rsidR="00760732" w:rsidRDefault="00760732" w:rsidP="00215747">
            <w:pPr>
              <w:rPr>
                <w:sz w:val="20"/>
                <w:szCs w:val="20"/>
              </w:rPr>
            </w:pPr>
            <w:r w:rsidRPr="5B621C54">
              <w:rPr>
                <w:sz w:val="20"/>
                <w:szCs w:val="20"/>
              </w:rPr>
              <w:t>Refer to PG&amp;E Calculations</w:t>
            </w:r>
          </w:p>
          <w:p w14:paraId="45813AA7" w14:textId="6781C7EE" w:rsidR="00760732" w:rsidRPr="008A1DA4" w:rsidRDefault="00760732" w:rsidP="00BB0CF8">
            <w:pPr>
              <w:rPr>
                <w:sz w:val="20"/>
                <w:szCs w:val="20"/>
              </w:rPr>
            </w:pPr>
            <w:r>
              <w:rPr>
                <w:sz w:val="20"/>
                <w:szCs w:val="20"/>
              </w:rPr>
              <w:t>“P</w:t>
            </w:r>
            <w:r w:rsidRPr="00631EB1">
              <w:rPr>
                <w:sz w:val="20"/>
                <w:szCs w:val="20"/>
              </w:rPr>
              <w:t xml:space="preserve">GECOLTG151 R9 LED Outdoor </w:t>
            </w:r>
            <w:proofErr w:type="spellStart"/>
            <w:r w:rsidRPr="00631EB1">
              <w:rPr>
                <w:sz w:val="20"/>
                <w:szCs w:val="20"/>
              </w:rPr>
              <w:t>Ltg</w:t>
            </w:r>
            <w:proofErr w:type="spellEnd"/>
            <w:r w:rsidRPr="00631EB1">
              <w:rPr>
                <w:sz w:val="20"/>
                <w:szCs w:val="20"/>
              </w:rPr>
              <w:t xml:space="preserve"> Calc</w:t>
            </w:r>
            <w:r>
              <w:rPr>
                <w:sz w:val="20"/>
                <w:szCs w:val="20"/>
              </w:rPr>
              <w:t>_Mar2019.xlsx”</w:t>
            </w:r>
          </w:p>
        </w:tc>
      </w:tr>
      <w:tr w:rsidR="00760732" w:rsidRPr="008A1DA4" w14:paraId="71D0867A" w14:textId="77777777" w:rsidTr="00760732">
        <w:trPr>
          <w:trHeight w:val="465"/>
        </w:trPr>
        <w:tc>
          <w:tcPr>
            <w:tcW w:w="3888" w:type="dxa"/>
            <w:shd w:val="clear" w:color="auto" w:fill="FFFFFF" w:themeFill="background1"/>
          </w:tcPr>
          <w:p w14:paraId="558E0C5E" w14:textId="77777777" w:rsidR="00760732" w:rsidRPr="008A6BFB" w:rsidRDefault="00760732" w:rsidP="5B621C54">
            <w:pPr>
              <w:rPr>
                <w:b/>
                <w:bCs/>
                <w:sz w:val="22"/>
                <w:szCs w:val="22"/>
              </w:rPr>
            </w:pPr>
            <w:r w:rsidRPr="008A6BFB">
              <w:rPr>
                <w:b/>
                <w:bCs/>
                <w:sz w:val="22"/>
                <w:szCs w:val="22"/>
              </w:rPr>
              <w:t xml:space="preserve">Costs Common Units: </w:t>
            </w:r>
          </w:p>
        </w:tc>
        <w:tc>
          <w:tcPr>
            <w:tcW w:w="5850" w:type="dxa"/>
            <w:shd w:val="clear" w:color="auto" w:fill="FFFFFF" w:themeFill="background1"/>
          </w:tcPr>
          <w:p w14:paraId="457D4518" w14:textId="4247F349" w:rsidR="00760732" w:rsidRPr="008A1DA4" w:rsidRDefault="00760732" w:rsidP="007100F8">
            <w:pPr>
              <w:rPr>
                <w:sz w:val="20"/>
                <w:szCs w:val="20"/>
              </w:rPr>
            </w:pPr>
            <w:r w:rsidRPr="5B621C54">
              <w:rPr>
                <w:sz w:val="20"/>
                <w:szCs w:val="20"/>
              </w:rPr>
              <w:t xml:space="preserve">$ per </w:t>
            </w:r>
            <w:r>
              <w:rPr>
                <w:sz w:val="20"/>
                <w:szCs w:val="20"/>
              </w:rPr>
              <w:t>lumen</w:t>
            </w:r>
          </w:p>
        </w:tc>
      </w:tr>
      <w:tr w:rsidR="00760732" w:rsidRPr="008A1DA4" w14:paraId="211545F3" w14:textId="77777777" w:rsidTr="00760732">
        <w:trPr>
          <w:trHeight w:val="737"/>
        </w:trPr>
        <w:tc>
          <w:tcPr>
            <w:tcW w:w="3888" w:type="dxa"/>
            <w:shd w:val="clear" w:color="auto" w:fill="FFFFFF" w:themeFill="background1"/>
          </w:tcPr>
          <w:p w14:paraId="67C3F193" w14:textId="77777777" w:rsidR="00760732" w:rsidRPr="008A6BFB" w:rsidRDefault="00760732" w:rsidP="5B621C54">
            <w:pPr>
              <w:rPr>
                <w:b/>
                <w:bCs/>
                <w:sz w:val="22"/>
                <w:szCs w:val="22"/>
              </w:rPr>
            </w:pPr>
            <w:r w:rsidRPr="008A6BFB">
              <w:rPr>
                <w:b/>
                <w:bCs/>
                <w:sz w:val="22"/>
                <w:szCs w:val="22"/>
              </w:rPr>
              <w:t>Base Case Equipment Cost ($/unit):</w:t>
            </w:r>
          </w:p>
        </w:tc>
        <w:tc>
          <w:tcPr>
            <w:tcW w:w="5850" w:type="dxa"/>
            <w:shd w:val="clear" w:color="auto" w:fill="FFFFFF" w:themeFill="background1"/>
          </w:tcPr>
          <w:p w14:paraId="6ECE1D0B" w14:textId="77777777" w:rsidR="00760732" w:rsidRPr="008A1DA4" w:rsidRDefault="00760732" w:rsidP="00215747">
            <w:pPr>
              <w:rPr>
                <w:sz w:val="20"/>
                <w:szCs w:val="20"/>
              </w:rPr>
            </w:pPr>
            <w:r w:rsidRPr="5B621C54">
              <w:rPr>
                <w:sz w:val="20"/>
                <w:szCs w:val="20"/>
              </w:rPr>
              <w:t>Varies</w:t>
            </w:r>
          </w:p>
          <w:p w14:paraId="743D17D1" w14:textId="77777777" w:rsidR="00760732" w:rsidRDefault="00760732" w:rsidP="00215747">
            <w:pPr>
              <w:rPr>
                <w:sz w:val="20"/>
                <w:szCs w:val="20"/>
              </w:rPr>
            </w:pPr>
            <w:r>
              <w:rPr>
                <w:sz w:val="20"/>
                <w:szCs w:val="20"/>
              </w:rPr>
              <w:t>Refer to: “</w:t>
            </w:r>
            <w:r w:rsidRPr="007757C0">
              <w:rPr>
                <w:sz w:val="20"/>
                <w:szCs w:val="20"/>
              </w:rPr>
              <w:t>Copy of TLED Cost Data_FEB2019</w:t>
            </w:r>
            <w:r>
              <w:rPr>
                <w:sz w:val="20"/>
                <w:szCs w:val="20"/>
              </w:rPr>
              <w:t>.xlsx” and</w:t>
            </w:r>
          </w:p>
          <w:p w14:paraId="02A578BB" w14:textId="66C7B19F" w:rsidR="00760732" w:rsidRPr="008A1DA4" w:rsidRDefault="00760732" w:rsidP="00BB0CF8">
            <w:pPr>
              <w:rPr>
                <w:sz w:val="20"/>
                <w:szCs w:val="20"/>
              </w:rPr>
            </w:pPr>
            <w:r>
              <w:rPr>
                <w:sz w:val="20"/>
                <w:szCs w:val="20"/>
              </w:rPr>
              <w:t>“P</w:t>
            </w:r>
            <w:r w:rsidRPr="00631EB1">
              <w:rPr>
                <w:sz w:val="20"/>
                <w:szCs w:val="20"/>
              </w:rPr>
              <w:t xml:space="preserve">GECOLTG151 R9 LED Outdoor </w:t>
            </w:r>
            <w:proofErr w:type="spellStart"/>
            <w:r w:rsidRPr="00631EB1">
              <w:rPr>
                <w:sz w:val="20"/>
                <w:szCs w:val="20"/>
              </w:rPr>
              <w:t>Ltg</w:t>
            </w:r>
            <w:proofErr w:type="spellEnd"/>
            <w:r w:rsidRPr="00631EB1">
              <w:rPr>
                <w:sz w:val="20"/>
                <w:szCs w:val="20"/>
              </w:rPr>
              <w:t xml:space="preserve"> Calc</w:t>
            </w:r>
            <w:r>
              <w:rPr>
                <w:sz w:val="20"/>
                <w:szCs w:val="20"/>
              </w:rPr>
              <w:t>_Mar2019.xlsx”</w:t>
            </w:r>
          </w:p>
        </w:tc>
      </w:tr>
      <w:tr w:rsidR="00760732" w:rsidRPr="008A1DA4" w14:paraId="53AB6084" w14:textId="77777777" w:rsidTr="00760732">
        <w:trPr>
          <w:trHeight w:val="755"/>
        </w:trPr>
        <w:tc>
          <w:tcPr>
            <w:tcW w:w="3888" w:type="dxa"/>
            <w:shd w:val="clear" w:color="auto" w:fill="FFFFFF" w:themeFill="background1"/>
          </w:tcPr>
          <w:p w14:paraId="48292E9B" w14:textId="77777777" w:rsidR="00760732" w:rsidRPr="008A6BFB" w:rsidRDefault="00760732" w:rsidP="5B621C54">
            <w:pPr>
              <w:rPr>
                <w:b/>
                <w:bCs/>
                <w:sz w:val="22"/>
                <w:szCs w:val="22"/>
              </w:rPr>
            </w:pPr>
            <w:r w:rsidRPr="008A6BFB">
              <w:rPr>
                <w:b/>
                <w:bCs/>
                <w:sz w:val="22"/>
                <w:szCs w:val="22"/>
              </w:rPr>
              <w:t xml:space="preserve">Measure Equipment Cost ($/unit): </w:t>
            </w:r>
          </w:p>
        </w:tc>
        <w:tc>
          <w:tcPr>
            <w:tcW w:w="5850" w:type="dxa"/>
            <w:shd w:val="clear" w:color="auto" w:fill="FFFFFF" w:themeFill="background1"/>
          </w:tcPr>
          <w:p w14:paraId="1C8F8A19" w14:textId="77777777" w:rsidR="00760732" w:rsidRDefault="00760732" w:rsidP="00215747">
            <w:pPr>
              <w:rPr>
                <w:sz w:val="20"/>
                <w:szCs w:val="20"/>
              </w:rPr>
            </w:pPr>
            <w:r w:rsidRPr="5B621C54">
              <w:rPr>
                <w:sz w:val="20"/>
                <w:szCs w:val="20"/>
              </w:rPr>
              <w:t>Varies</w:t>
            </w:r>
          </w:p>
          <w:p w14:paraId="49B19B4D" w14:textId="77777777" w:rsidR="00760732" w:rsidRDefault="00760732" w:rsidP="00215747">
            <w:pPr>
              <w:rPr>
                <w:sz w:val="20"/>
                <w:szCs w:val="20"/>
              </w:rPr>
            </w:pPr>
            <w:r w:rsidRPr="5B621C54">
              <w:rPr>
                <w:sz w:val="20"/>
                <w:szCs w:val="20"/>
              </w:rPr>
              <w:t xml:space="preserve">Source:  PG&amp;E </w:t>
            </w:r>
            <w:r>
              <w:rPr>
                <w:sz w:val="20"/>
                <w:szCs w:val="20"/>
              </w:rPr>
              <w:t>Program Data and online pricing</w:t>
            </w:r>
          </w:p>
          <w:p w14:paraId="386D498C" w14:textId="3D9FB7FB" w:rsidR="00760732" w:rsidRPr="008A1DA4" w:rsidRDefault="00760732" w:rsidP="00BB0CF8">
            <w:pPr>
              <w:rPr>
                <w:sz w:val="20"/>
                <w:szCs w:val="20"/>
              </w:rPr>
            </w:pPr>
            <w:r>
              <w:rPr>
                <w:sz w:val="20"/>
                <w:szCs w:val="20"/>
              </w:rPr>
              <w:t>Refer to “P</w:t>
            </w:r>
            <w:r w:rsidRPr="00631EB1">
              <w:rPr>
                <w:sz w:val="20"/>
                <w:szCs w:val="20"/>
              </w:rPr>
              <w:t xml:space="preserve">GECOLTG151 R9 LED Outdoor </w:t>
            </w:r>
            <w:proofErr w:type="spellStart"/>
            <w:r w:rsidRPr="00631EB1">
              <w:rPr>
                <w:sz w:val="20"/>
                <w:szCs w:val="20"/>
              </w:rPr>
              <w:t>Ltg</w:t>
            </w:r>
            <w:proofErr w:type="spellEnd"/>
            <w:r w:rsidRPr="00631EB1">
              <w:rPr>
                <w:sz w:val="20"/>
                <w:szCs w:val="20"/>
              </w:rPr>
              <w:t xml:space="preserve"> Calc</w:t>
            </w:r>
            <w:r>
              <w:rPr>
                <w:sz w:val="20"/>
                <w:szCs w:val="20"/>
              </w:rPr>
              <w:t>_Mar2019.xlsx”</w:t>
            </w:r>
          </w:p>
        </w:tc>
      </w:tr>
      <w:tr w:rsidR="00760732" w:rsidRPr="008A1DA4" w14:paraId="4FE13C34" w14:textId="77777777" w:rsidTr="00760732">
        <w:trPr>
          <w:trHeight w:val="800"/>
        </w:trPr>
        <w:tc>
          <w:tcPr>
            <w:tcW w:w="3888" w:type="dxa"/>
            <w:shd w:val="clear" w:color="auto" w:fill="FFFFFF" w:themeFill="background1"/>
          </w:tcPr>
          <w:p w14:paraId="70A28DEE" w14:textId="77777777" w:rsidR="00760732" w:rsidRPr="008A6BFB" w:rsidRDefault="00760732" w:rsidP="5B621C54">
            <w:pPr>
              <w:rPr>
                <w:b/>
                <w:bCs/>
                <w:sz w:val="22"/>
                <w:szCs w:val="22"/>
              </w:rPr>
            </w:pPr>
            <w:r w:rsidRPr="008A6BFB">
              <w:rPr>
                <w:b/>
                <w:bCs/>
                <w:sz w:val="22"/>
                <w:szCs w:val="22"/>
              </w:rPr>
              <w:t xml:space="preserve">Measure Incremental Cost ($/unit): </w:t>
            </w:r>
          </w:p>
        </w:tc>
        <w:tc>
          <w:tcPr>
            <w:tcW w:w="5850" w:type="dxa"/>
            <w:shd w:val="clear" w:color="auto" w:fill="FFFFFF" w:themeFill="background1"/>
          </w:tcPr>
          <w:p w14:paraId="51660CA4" w14:textId="77777777" w:rsidR="00760732" w:rsidRPr="008A1DA4" w:rsidRDefault="00760732" w:rsidP="00215747">
            <w:pPr>
              <w:rPr>
                <w:sz w:val="20"/>
                <w:szCs w:val="20"/>
              </w:rPr>
            </w:pPr>
            <w:r w:rsidRPr="5B621C54">
              <w:rPr>
                <w:sz w:val="20"/>
                <w:szCs w:val="20"/>
              </w:rPr>
              <w:t>Varies</w:t>
            </w:r>
          </w:p>
          <w:p w14:paraId="52FFD7A7" w14:textId="77777777" w:rsidR="00760732" w:rsidRDefault="00760732" w:rsidP="00215747">
            <w:pPr>
              <w:rPr>
                <w:sz w:val="20"/>
                <w:szCs w:val="20"/>
              </w:rPr>
            </w:pPr>
            <w:r w:rsidRPr="5B621C54">
              <w:rPr>
                <w:sz w:val="20"/>
                <w:szCs w:val="20"/>
              </w:rPr>
              <w:t xml:space="preserve">Source:  PG&amp;E </w:t>
            </w:r>
            <w:r>
              <w:rPr>
                <w:sz w:val="20"/>
                <w:szCs w:val="20"/>
              </w:rPr>
              <w:t>Program Data and online pricing</w:t>
            </w:r>
          </w:p>
          <w:p w14:paraId="135C1D6B" w14:textId="3C0106F9" w:rsidR="00760732" w:rsidRPr="008A1DA4" w:rsidRDefault="00760732" w:rsidP="00BB0CF8">
            <w:pPr>
              <w:rPr>
                <w:sz w:val="20"/>
                <w:szCs w:val="20"/>
              </w:rPr>
            </w:pPr>
            <w:r>
              <w:rPr>
                <w:sz w:val="20"/>
                <w:szCs w:val="20"/>
              </w:rPr>
              <w:t>Refer to “P</w:t>
            </w:r>
            <w:r w:rsidRPr="00631EB1">
              <w:rPr>
                <w:sz w:val="20"/>
                <w:szCs w:val="20"/>
              </w:rPr>
              <w:t xml:space="preserve">GECOLTG151 R9 LED Outdoor </w:t>
            </w:r>
            <w:proofErr w:type="spellStart"/>
            <w:r w:rsidRPr="00631EB1">
              <w:rPr>
                <w:sz w:val="20"/>
                <w:szCs w:val="20"/>
              </w:rPr>
              <w:t>Ltg</w:t>
            </w:r>
            <w:proofErr w:type="spellEnd"/>
            <w:r w:rsidRPr="00631EB1">
              <w:rPr>
                <w:sz w:val="20"/>
                <w:szCs w:val="20"/>
              </w:rPr>
              <w:t xml:space="preserve"> Calc</w:t>
            </w:r>
            <w:r>
              <w:rPr>
                <w:sz w:val="20"/>
                <w:szCs w:val="20"/>
              </w:rPr>
              <w:t>_Mar2019.xlsx”</w:t>
            </w:r>
          </w:p>
        </w:tc>
      </w:tr>
      <w:tr w:rsidR="00A47FE3" w:rsidRPr="008A1DA4" w14:paraId="7A98A1CF" w14:textId="77777777" w:rsidTr="00760732">
        <w:trPr>
          <w:trHeight w:val="465"/>
        </w:trPr>
        <w:tc>
          <w:tcPr>
            <w:tcW w:w="3888" w:type="dxa"/>
            <w:shd w:val="clear" w:color="auto" w:fill="FFFFFF" w:themeFill="background1"/>
          </w:tcPr>
          <w:p w14:paraId="0ECF88C9" w14:textId="77777777" w:rsidR="00A47FE3" w:rsidRPr="008A6BFB" w:rsidRDefault="5B621C54" w:rsidP="5B621C54">
            <w:pPr>
              <w:rPr>
                <w:b/>
                <w:bCs/>
                <w:sz w:val="22"/>
                <w:szCs w:val="22"/>
              </w:rPr>
            </w:pPr>
            <w:r w:rsidRPr="008A6BFB">
              <w:rPr>
                <w:b/>
                <w:bCs/>
                <w:sz w:val="22"/>
                <w:szCs w:val="22"/>
              </w:rPr>
              <w:t xml:space="preserve">Effective Useful Life (years): </w:t>
            </w:r>
          </w:p>
        </w:tc>
        <w:tc>
          <w:tcPr>
            <w:tcW w:w="5850" w:type="dxa"/>
            <w:shd w:val="clear" w:color="auto" w:fill="FFFFFF" w:themeFill="background1"/>
          </w:tcPr>
          <w:p w14:paraId="4ABF3E17" w14:textId="77777777" w:rsidR="00135A5A" w:rsidRPr="00987686" w:rsidRDefault="5B621C54" w:rsidP="007100F8">
            <w:pPr>
              <w:rPr>
                <w:sz w:val="20"/>
                <w:szCs w:val="20"/>
              </w:rPr>
            </w:pPr>
            <w:r w:rsidRPr="00987686">
              <w:rPr>
                <w:sz w:val="20"/>
                <w:szCs w:val="20"/>
              </w:rPr>
              <w:t>12 years, OLtg-Com-LED-50000hr</w:t>
            </w:r>
          </w:p>
          <w:p w14:paraId="25BDE59A" w14:textId="77777777" w:rsidR="000B0167" w:rsidRPr="00987686" w:rsidRDefault="5B621C54" w:rsidP="007100F8">
            <w:pPr>
              <w:rPr>
                <w:sz w:val="20"/>
                <w:szCs w:val="20"/>
              </w:rPr>
            </w:pPr>
            <w:r w:rsidRPr="00987686">
              <w:rPr>
                <w:sz w:val="20"/>
                <w:szCs w:val="20"/>
              </w:rPr>
              <w:t>LED Fixture – Outdoor - Commercial</w:t>
            </w:r>
          </w:p>
          <w:p w14:paraId="011E1858" w14:textId="54FBCD59" w:rsidR="00A47FE3" w:rsidRPr="00AD43F8" w:rsidRDefault="5B621C54" w:rsidP="004B5A17">
            <w:pPr>
              <w:spacing w:after="120"/>
              <w:rPr>
                <w:color w:val="FF0000"/>
                <w:sz w:val="20"/>
                <w:szCs w:val="20"/>
              </w:rPr>
            </w:pPr>
            <w:r w:rsidRPr="00987686">
              <w:rPr>
                <w:sz w:val="20"/>
                <w:szCs w:val="20"/>
              </w:rPr>
              <w:t xml:space="preserve">Source:  </w:t>
            </w:r>
            <w:r w:rsidR="004B5A17" w:rsidRPr="00987686">
              <w:rPr>
                <w:sz w:val="20"/>
                <w:szCs w:val="20"/>
              </w:rPr>
              <w:t>DEER201</w:t>
            </w:r>
            <w:r w:rsidR="004B5A17">
              <w:rPr>
                <w:sz w:val="20"/>
                <w:szCs w:val="20"/>
              </w:rPr>
              <w:t>6</w:t>
            </w:r>
          </w:p>
        </w:tc>
      </w:tr>
      <w:tr w:rsidR="00193108" w:rsidRPr="008A1DA4" w14:paraId="6CBFB42F" w14:textId="77777777" w:rsidTr="00760732">
        <w:trPr>
          <w:trHeight w:val="458"/>
        </w:trPr>
        <w:tc>
          <w:tcPr>
            <w:tcW w:w="3888" w:type="dxa"/>
            <w:shd w:val="clear" w:color="auto" w:fill="FFFFFF" w:themeFill="background1"/>
          </w:tcPr>
          <w:p w14:paraId="4C848B18" w14:textId="77777777" w:rsidR="00193108" w:rsidRPr="008A6BFB" w:rsidRDefault="5B621C54" w:rsidP="008A6F0C">
            <w:pPr>
              <w:rPr>
                <w:b/>
                <w:bCs/>
                <w:sz w:val="22"/>
                <w:szCs w:val="22"/>
              </w:rPr>
            </w:pPr>
            <w:r w:rsidRPr="008A6BFB">
              <w:rPr>
                <w:b/>
                <w:bCs/>
                <w:sz w:val="22"/>
                <w:szCs w:val="22"/>
              </w:rPr>
              <w:t>Measure Application Type:</w:t>
            </w:r>
          </w:p>
        </w:tc>
        <w:tc>
          <w:tcPr>
            <w:tcW w:w="5850" w:type="dxa"/>
            <w:shd w:val="clear" w:color="auto" w:fill="FFFFFF" w:themeFill="background1"/>
          </w:tcPr>
          <w:p w14:paraId="13D8F7B4" w14:textId="77777777" w:rsidR="00193108" w:rsidRPr="00E91816" w:rsidRDefault="00F928B4" w:rsidP="00BB0CF8">
            <w:pPr>
              <w:rPr>
                <w:sz w:val="20"/>
                <w:szCs w:val="20"/>
              </w:rPr>
            </w:pPr>
            <w:r>
              <w:rPr>
                <w:sz w:val="20"/>
                <w:szCs w:val="20"/>
              </w:rPr>
              <w:t>NR (Normal Replacement)</w:t>
            </w:r>
          </w:p>
          <w:p w14:paraId="05A38205" w14:textId="77777777" w:rsidR="009F0024" w:rsidRPr="00E91816" w:rsidRDefault="009F0024" w:rsidP="00BB0CF8"/>
        </w:tc>
      </w:tr>
      <w:tr w:rsidR="00A47FE3" w:rsidRPr="008A1DA4" w14:paraId="1CC42FA9" w14:textId="77777777" w:rsidTr="00760732">
        <w:trPr>
          <w:trHeight w:val="575"/>
        </w:trPr>
        <w:tc>
          <w:tcPr>
            <w:tcW w:w="3888" w:type="dxa"/>
            <w:shd w:val="clear" w:color="auto" w:fill="auto"/>
          </w:tcPr>
          <w:p w14:paraId="11705C06" w14:textId="77777777" w:rsidR="00A47FE3" w:rsidRPr="008A6BFB" w:rsidRDefault="5B621C54" w:rsidP="5B621C54">
            <w:pPr>
              <w:rPr>
                <w:b/>
                <w:bCs/>
                <w:sz w:val="22"/>
                <w:szCs w:val="22"/>
              </w:rPr>
            </w:pPr>
            <w:r w:rsidRPr="008A6BFB">
              <w:rPr>
                <w:b/>
                <w:bCs/>
                <w:sz w:val="22"/>
                <w:szCs w:val="22"/>
              </w:rPr>
              <w:t xml:space="preserve">Net-to-Gross Ratios: </w:t>
            </w:r>
          </w:p>
        </w:tc>
        <w:tc>
          <w:tcPr>
            <w:tcW w:w="5850" w:type="dxa"/>
            <w:shd w:val="clear" w:color="auto" w:fill="auto"/>
          </w:tcPr>
          <w:p w14:paraId="1E8709DB" w14:textId="77777777" w:rsidR="00A05DE3" w:rsidRDefault="00ED7507" w:rsidP="00A05DE3">
            <w:pPr>
              <w:rPr>
                <w:sz w:val="20"/>
                <w:szCs w:val="20"/>
              </w:rPr>
            </w:pPr>
            <w:r>
              <w:rPr>
                <w:sz w:val="20"/>
                <w:szCs w:val="20"/>
              </w:rPr>
              <w:t>NTG = 0.91</w:t>
            </w:r>
            <w:r w:rsidR="5B621C54" w:rsidRPr="00C11361">
              <w:rPr>
                <w:sz w:val="20"/>
                <w:szCs w:val="20"/>
              </w:rPr>
              <w:t xml:space="preserve"> </w:t>
            </w:r>
            <w:r w:rsidR="00B51548">
              <w:rPr>
                <w:sz w:val="20"/>
                <w:szCs w:val="20"/>
              </w:rPr>
              <w:t xml:space="preserve">per </w:t>
            </w:r>
            <w:r w:rsidR="00A05DE3">
              <w:rPr>
                <w:sz w:val="20"/>
                <w:szCs w:val="20"/>
              </w:rPr>
              <w:t>D</w:t>
            </w:r>
            <w:r w:rsidR="00A05DE3" w:rsidRPr="00ED7507">
              <w:rPr>
                <w:sz w:val="20"/>
                <w:szCs w:val="20"/>
              </w:rPr>
              <w:t>isposition “2018OutdoorLightingPhase1-7May2018-Final”</w:t>
            </w:r>
          </w:p>
          <w:p w14:paraId="3D91C876" w14:textId="77777777" w:rsidR="0014654E" w:rsidRPr="00C11361" w:rsidRDefault="0014654E" w:rsidP="00A05DE3">
            <w:pPr>
              <w:rPr>
                <w:sz w:val="20"/>
                <w:szCs w:val="20"/>
              </w:rPr>
            </w:pPr>
          </w:p>
        </w:tc>
      </w:tr>
      <w:tr w:rsidR="00A47FE3" w:rsidRPr="008A1DA4" w14:paraId="317557C3" w14:textId="77777777" w:rsidTr="00760732">
        <w:trPr>
          <w:trHeight w:val="465"/>
        </w:trPr>
        <w:tc>
          <w:tcPr>
            <w:tcW w:w="3888" w:type="dxa"/>
            <w:shd w:val="clear" w:color="auto" w:fill="FFFFFF" w:themeFill="background1"/>
          </w:tcPr>
          <w:p w14:paraId="2D65233D" w14:textId="77777777" w:rsidR="00A47FE3" w:rsidRPr="008A6BFB" w:rsidRDefault="5B621C54" w:rsidP="5B621C54">
            <w:pPr>
              <w:rPr>
                <w:b/>
                <w:bCs/>
                <w:sz w:val="22"/>
                <w:szCs w:val="22"/>
              </w:rPr>
            </w:pPr>
            <w:r w:rsidRPr="008A6BFB">
              <w:rPr>
                <w:b/>
                <w:bCs/>
                <w:sz w:val="22"/>
                <w:szCs w:val="22"/>
              </w:rPr>
              <w:t>Important Comments:</w:t>
            </w:r>
          </w:p>
        </w:tc>
        <w:tc>
          <w:tcPr>
            <w:tcW w:w="5850" w:type="dxa"/>
            <w:shd w:val="clear" w:color="auto" w:fill="auto"/>
          </w:tcPr>
          <w:p w14:paraId="1C05A185" w14:textId="77777777" w:rsidR="00A47FE3" w:rsidRDefault="5B621C54" w:rsidP="000912A2">
            <w:pPr>
              <w:spacing w:before="60"/>
              <w:rPr>
                <w:sz w:val="20"/>
                <w:szCs w:val="20"/>
              </w:rPr>
            </w:pPr>
            <w:r w:rsidRPr="00C04A0A">
              <w:rPr>
                <w:sz w:val="20"/>
                <w:szCs w:val="20"/>
              </w:rPr>
              <w:t xml:space="preserve">Revision </w:t>
            </w:r>
            <w:r w:rsidR="00C04A0A" w:rsidRPr="00C04A0A">
              <w:rPr>
                <w:sz w:val="20"/>
                <w:szCs w:val="20"/>
              </w:rPr>
              <w:t>9</w:t>
            </w:r>
            <w:r w:rsidRPr="00C04A0A">
              <w:rPr>
                <w:sz w:val="20"/>
                <w:szCs w:val="20"/>
              </w:rPr>
              <w:t xml:space="preserve"> </w:t>
            </w:r>
            <w:r w:rsidR="00C04A0A">
              <w:rPr>
                <w:sz w:val="20"/>
                <w:szCs w:val="20"/>
              </w:rPr>
              <w:t xml:space="preserve">has parking garage measures only with </w:t>
            </w:r>
            <w:r w:rsidR="00A83EAF">
              <w:rPr>
                <w:sz w:val="20"/>
                <w:szCs w:val="20"/>
              </w:rPr>
              <w:t xml:space="preserve">the </w:t>
            </w:r>
            <w:r w:rsidR="00C04A0A">
              <w:rPr>
                <w:sz w:val="20"/>
                <w:szCs w:val="20"/>
              </w:rPr>
              <w:t>following revisions:</w:t>
            </w:r>
          </w:p>
          <w:p w14:paraId="1F12344D" w14:textId="77777777" w:rsidR="00C04A0A" w:rsidRDefault="00F860BB" w:rsidP="00C04A0A">
            <w:pPr>
              <w:rPr>
                <w:sz w:val="20"/>
                <w:szCs w:val="20"/>
              </w:rPr>
            </w:pPr>
            <w:r>
              <w:rPr>
                <w:sz w:val="20"/>
                <w:szCs w:val="20"/>
              </w:rPr>
              <w:t>a). Added TLED in the baseline</w:t>
            </w:r>
          </w:p>
          <w:p w14:paraId="186D1E4E" w14:textId="77777777" w:rsidR="00C04A0A" w:rsidRDefault="00C04A0A" w:rsidP="00C04A0A">
            <w:pPr>
              <w:rPr>
                <w:sz w:val="20"/>
                <w:szCs w:val="20"/>
              </w:rPr>
            </w:pPr>
            <w:r>
              <w:rPr>
                <w:sz w:val="20"/>
                <w:szCs w:val="20"/>
              </w:rPr>
              <w:t xml:space="preserve">b). Switched wattage bin structure </w:t>
            </w:r>
            <w:r w:rsidR="00F860BB">
              <w:rPr>
                <w:sz w:val="20"/>
                <w:szCs w:val="20"/>
              </w:rPr>
              <w:t>to lumen bin structure</w:t>
            </w:r>
          </w:p>
          <w:p w14:paraId="2D304FE2" w14:textId="77777777" w:rsidR="00F860BB" w:rsidRPr="00C04A0A" w:rsidRDefault="00F860BB" w:rsidP="000912A2">
            <w:pPr>
              <w:spacing w:after="60"/>
              <w:rPr>
                <w:sz w:val="20"/>
                <w:szCs w:val="20"/>
              </w:rPr>
            </w:pPr>
            <w:r>
              <w:rPr>
                <w:sz w:val="20"/>
                <w:szCs w:val="20"/>
              </w:rPr>
              <w:t>c). Updated cost</w:t>
            </w:r>
          </w:p>
        </w:tc>
      </w:tr>
      <w:tr w:rsidR="00B51548" w:rsidRPr="008A1DA4" w14:paraId="2D57667A" w14:textId="77777777" w:rsidTr="00760732">
        <w:trPr>
          <w:trHeight w:val="1025"/>
        </w:trPr>
        <w:tc>
          <w:tcPr>
            <w:tcW w:w="3888" w:type="dxa"/>
            <w:shd w:val="clear" w:color="auto" w:fill="FFFFFF" w:themeFill="background1"/>
          </w:tcPr>
          <w:p w14:paraId="7DB49254" w14:textId="60B1ED3E" w:rsidR="00B51548" w:rsidRPr="008A6BFB" w:rsidRDefault="00B51548" w:rsidP="5B621C54">
            <w:pPr>
              <w:rPr>
                <w:b/>
                <w:bCs/>
                <w:sz w:val="22"/>
                <w:szCs w:val="22"/>
              </w:rPr>
            </w:pPr>
            <w:r w:rsidRPr="008A6BFB">
              <w:rPr>
                <w:b/>
                <w:bCs/>
                <w:sz w:val="22"/>
                <w:szCs w:val="22"/>
              </w:rPr>
              <w:t>Note</w:t>
            </w:r>
            <w:r w:rsidR="006F2178" w:rsidRPr="008A6BFB">
              <w:rPr>
                <w:b/>
                <w:bCs/>
                <w:sz w:val="22"/>
                <w:szCs w:val="22"/>
              </w:rPr>
              <w:t xml:space="preserve"> 1</w:t>
            </w:r>
            <w:r w:rsidRPr="008A6BFB">
              <w:rPr>
                <w:b/>
                <w:bCs/>
                <w:sz w:val="22"/>
                <w:szCs w:val="22"/>
              </w:rPr>
              <w:t>:</w:t>
            </w:r>
          </w:p>
        </w:tc>
        <w:tc>
          <w:tcPr>
            <w:tcW w:w="5850" w:type="dxa"/>
            <w:shd w:val="clear" w:color="auto" w:fill="auto"/>
          </w:tcPr>
          <w:p w14:paraId="135E8D17" w14:textId="77777777" w:rsidR="00B51548" w:rsidRPr="00C04A0A" w:rsidRDefault="00C11694" w:rsidP="00C92E05">
            <w:pPr>
              <w:spacing w:before="60"/>
              <w:rPr>
                <w:sz w:val="20"/>
                <w:szCs w:val="20"/>
              </w:rPr>
            </w:pPr>
            <w:r>
              <w:rPr>
                <w:color w:val="0070C0"/>
                <w:sz w:val="20"/>
                <w:szCs w:val="20"/>
              </w:rPr>
              <w:t>In the</w:t>
            </w:r>
            <w:r w:rsidR="00B51548" w:rsidRPr="00420BA8">
              <w:rPr>
                <w:color w:val="0070C0"/>
                <w:sz w:val="20"/>
                <w:szCs w:val="20"/>
              </w:rPr>
              <w:t xml:space="preserve"> ED Report</w:t>
            </w:r>
            <w:r>
              <w:rPr>
                <w:color w:val="0070C0"/>
                <w:sz w:val="20"/>
                <w:szCs w:val="20"/>
              </w:rPr>
              <w:t xml:space="preserve"> (Excel spre</w:t>
            </w:r>
            <w:r w:rsidR="009F2E56">
              <w:rPr>
                <w:color w:val="0070C0"/>
                <w:sz w:val="20"/>
                <w:szCs w:val="20"/>
              </w:rPr>
              <w:t>ads</w:t>
            </w:r>
            <w:r>
              <w:rPr>
                <w:color w:val="0070C0"/>
                <w:sz w:val="20"/>
                <w:szCs w:val="20"/>
              </w:rPr>
              <w:t>heet)</w:t>
            </w:r>
            <w:r w:rsidR="00B51548" w:rsidRPr="00420BA8">
              <w:rPr>
                <w:color w:val="0070C0"/>
                <w:sz w:val="20"/>
                <w:szCs w:val="20"/>
              </w:rPr>
              <w:t xml:space="preserve"> the MAT is showing ROB because PG&amp;E’s system is still in the process of </w:t>
            </w:r>
            <w:r w:rsidR="00B51548">
              <w:rPr>
                <w:color w:val="0070C0"/>
                <w:sz w:val="20"/>
                <w:szCs w:val="20"/>
              </w:rPr>
              <w:t>adopting the</w:t>
            </w:r>
            <w:r w:rsidR="00B51548" w:rsidRPr="00420BA8">
              <w:rPr>
                <w:color w:val="0070C0"/>
                <w:sz w:val="20"/>
                <w:szCs w:val="20"/>
              </w:rPr>
              <w:t xml:space="preserve"> new MAT</w:t>
            </w:r>
            <w:r w:rsidR="00B51548">
              <w:rPr>
                <w:color w:val="0070C0"/>
                <w:sz w:val="20"/>
                <w:szCs w:val="20"/>
              </w:rPr>
              <w:t>s</w:t>
            </w:r>
            <w:r w:rsidR="00B51548" w:rsidRPr="00420BA8">
              <w:rPr>
                <w:color w:val="0070C0"/>
                <w:sz w:val="20"/>
                <w:szCs w:val="20"/>
              </w:rPr>
              <w:t xml:space="preserve">. PG&amp;E will revise </w:t>
            </w:r>
            <w:r w:rsidR="00C92E05">
              <w:rPr>
                <w:color w:val="0070C0"/>
                <w:sz w:val="20"/>
                <w:szCs w:val="20"/>
              </w:rPr>
              <w:t>ROB</w:t>
            </w:r>
            <w:r w:rsidR="00B51548" w:rsidRPr="00420BA8">
              <w:rPr>
                <w:color w:val="0070C0"/>
                <w:sz w:val="20"/>
                <w:szCs w:val="20"/>
              </w:rPr>
              <w:t xml:space="preserve"> to NR</w:t>
            </w:r>
            <w:r w:rsidR="00AC4577">
              <w:rPr>
                <w:color w:val="0070C0"/>
                <w:sz w:val="20"/>
                <w:szCs w:val="20"/>
              </w:rPr>
              <w:t xml:space="preserve"> at a later time</w:t>
            </w:r>
            <w:r w:rsidR="00B51548" w:rsidRPr="00420BA8">
              <w:rPr>
                <w:color w:val="0070C0"/>
                <w:sz w:val="20"/>
                <w:szCs w:val="20"/>
              </w:rPr>
              <w:t xml:space="preserve"> when the system is read</w:t>
            </w:r>
            <w:r w:rsidR="00AC4577">
              <w:rPr>
                <w:color w:val="0070C0"/>
                <w:sz w:val="20"/>
                <w:szCs w:val="20"/>
              </w:rPr>
              <w:t>y.</w:t>
            </w:r>
          </w:p>
        </w:tc>
      </w:tr>
      <w:tr w:rsidR="006F2178" w:rsidRPr="008A1DA4" w14:paraId="360A5D37" w14:textId="77777777" w:rsidTr="00760732">
        <w:trPr>
          <w:trHeight w:val="728"/>
        </w:trPr>
        <w:tc>
          <w:tcPr>
            <w:tcW w:w="3888" w:type="dxa"/>
            <w:shd w:val="clear" w:color="auto" w:fill="FFFFFF" w:themeFill="background1"/>
          </w:tcPr>
          <w:p w14:paraId="0355E3DF" w14:textId="46A6CFD0" w:rsidR="006F2178" w:rsidRPr="008A6BFB" w:rsidRDefault="006F2178" w:rsidP="5B621C54">
            <w:pPr>
              <w:rPr>
                <w:b/>
                <w:bCs/>
                <w:sz w:val="22"/>
                <w:szCs w:val="22"/>
              </w:rPr>
            </w:pPr>
            <w:r w:rsidRPr="008A6BFB">
              <w:rPr>
                <w:b/>
                <w:bCs/>
                <w:sz w:val="22"/>
                <w:szCs w:val="22"/>
              </w:rPr>
              <w:t>Note 2:</w:t>
            </w:r>
          </w:p>
        </w:tc>
        <w:tc>
          <w:tcPr>
            <w:tcW w:w="5850" w:type="dxa"/>
            <w:shd w:val="clear" w:color="auto" w:fill="auto"/>
          </w:tcPr>
          <w:p w14:paraId="11138CB9" w14:textId="6A672CC2" w:rsidR="006F2178" w:rsidRDefault="006F2178" w:rsidP="006F2178">
            <w:pPr>
              <w:spacing w:before="60"/>
              <w:rPr>
                <w:color w:val="0070C0"/>
                <w:sz w:val="20"/>
                <w:szCs w:val="20"/>
              </w:rPr>
            </w:pPr>
            <w:r>
              <w:rPr>
                <w:color w:val="0070C0"/>
                <w:sz w:val="20"/>
                <w:szCs w:val="20"/>
              </w:rPr>
              <w:t>Changing the Revision 9 workpaper (WP) title to “</w:t>
            </w:r>
            <w:r w:rsidRPr="006F2178">
              <w:rPr>
                <w:color w:val="0070C0"/>
                <w:sz w:val="20"/>
                <w:szCs w:val="20"/>
              </w:rPr>
              <w:t>LED Outdoor Parking Garage Lighting” but keeping the same WP number.</w:t>
            </w:r>
          </w:p>
        </w:tc>
      </w:tr>
    </w:tbl>
    <w:p w14:paraId="0D0315DD" w14:textId="77777777" w:rsidR="00A47FE3" w:rsidRPr="008A1DA4" w:rsidRDefault="00A47FE3" w:rsidP="007100F8">
      <w:pPr>
        <w:rPr>
          <w:rFonts w:ascii="Arial" w:hAnsi="Arial" w:cs="Arial"/>
          <w:b/>
          <w:sz w:val="20"/>
          <w:szCs w:val="20"/>
        </w:rPr>
        <w:sectPr w:rsidR="00A47FE3" w:rsidRPr="008A1DA4" w:rsidSect="00A343AA">
          <w:headerReference w:type="even" r:id="rId17"/>
          <w:headerReference w:type="default" r:id="rId18"/>
          <w:footerReference w:type="even" r:id="rId19"/>
          <w:footerReference w:type="default" r:id="rId20"/>
          <w:headerReference w:type="first" r:id="rId21"/>
          <w:footerReference w:type="first" r:id="rId22"/>
          <w:endnotePr>
            <w:numFmt w:val="decimal"/>
          </w:endnotePr>
          <w:pgSz w:w="12240" w:h="15840"/>
          <w:pgMar w:top="1440" w:right="1440" w:bottom="1440" w:left="1440" w:header="720" w:footer="720" w:gutter="0"/>
          <w:pgNumType w:fmt="lowerRoman"/>
          <w:cols w:space="720"/>
          <w:docGrid w:linePitch="360"/>
        </w:sectPr>
      </w:pPr>
    </w:p>
    <w:p w14:paraId="4A6A73F6" w14:textId="77777777" w:rsidR="000B0167" w:rsidRPr="008A1DA4" w:rsidRDefault="5B621C54" w:rsidP="006B18B6">
      <w:pPr>
        <w:pStyle w:val="Heading1"/>
        <w:spacing w:before="0" w:after="120"/>
      </w:pPr>
      <w:bookmarkStart w:id="4" w:name="_Toc511134179"/>
      <w:bookmarkStart w:id="5" w:name="_Toc2803188"/>
      <w:r>
        <w:lastRenderedPageBreak/>
        <w:t>Document Revision History</w:t>
      </w:r>
      <w:bookmarkEnd w:id="4"/>
      <w:bookmarkEnd w:id="5"/>
    </w:p>
    <w:tbl>
      <w:tblPr>
        <w:tblW w:w="0" w:type="auto"/>
        <w:tblInd w:w="108" w:type="dxa"/>
        <w:tblBorders>
          <w:insideH w:val="single" w:sz="18" w:space="0" w:color="FFFFFF"/>
          <w:insideV w:val="single" w:sz="18" w:space="0" w:color="FFFFFF"/>
        </w:tblBorders>
        <w:tblLayout w:type="fixed"/>
        <w:tblLook w:val="01E0" w:firstRow="1" w:lastRow="1" w:firstColumn="1" w:lastColumn="1" w:noHBand="0" w:noVBand="0"/>
      </w:tblPr>
      <w:tblGrid>
        <w:gridCol w:w="1241"/>
        <w:gridCol w:w="1336"/>
        <w:gridCol w:w="4713"/>
        <w:gridCol w:w="2033"/>
      </w:tblGrid>
      <w:tr w:rsidR="00AD7A78" w:rsidRPr="00ED7507" w14:paraId="6663FFEC" w14:textId="77777777" w:rsidTr="006A69BF">
        <w:trPr>
          <w:trHeight w:val="266"/>
        </w:trPr>
        <w:tc>
          <w:tcPr>
            <w:tcW w:w="1241" w:type="dxa"/>
            <w:shd w:val="clear" w:color="auto" w:fill="auto"/>
          </w:tcPr>
          <w:p w14:paraId="70EF7271" w14:textId="77777777" w:rsidR="00AD7A78" w:rsidRPr="00ED7507" w:rsidRDefault="5B621C54" w:rsidP="5B621C54">
            <w:pPr>
              <w:rPr>
                <w:b/>
                <w:bCs/>
                <w:sz w:val="20"/>
                <w:szCs w:val="20"/>
              </w:rPr>
            </w:pPr>
            <w:r w:rsidRPr="00ED7507">
              <w:rPr>
                <w:b/>
                <w:bCs/>
                <w:sz w:val="20"/>
                <w:szCs w:val="20"/>
              </w:rPr>
              <w:t>Revision #</w:t>
            </w:r>
          </w:p>
        </w:tc>
        <w:tc>
          <w:tcPr>
            <w:tcW w:w="1336" w:type="dxa"/>
            <w:shd w:val="clear" w:color="auto" w:fill="auto"/>
          </w:tcPr>
          <w:p w14:paraId="2D063D3B" w14:textId="77777777" w:rsidR="00AD7A78" w:rsidRPr="00ED7507" w:rsidRDefault="5B621C54" w:rsidP="5B621C54">
            <w:pPr>
              <w:rPr>
                <w:b/>
                <w:bCs/>
                <w:sz w:val="20"/>
                <w:szCs w:val="20"/>
              </w:rPr>
            </w:pPr>
            <w:r w:rsidRPr="00ED7507">
              <w:rPr>
                <w:b/>
                <w:bCs/>
                <w:sz w:val="20"/>
                <w:szCs w:val="20"/>
              </w:rPr>
              <w:t>Date</w:t>
            </w:r>
          </w:p>
        </w:tc>
        <w:tc>
          <w:tcPr>
            <w:tcW w:w="4713" w:type="dxa"/>
            <w:shd w:val="clear" w:color="auto" w:fill="auto"/>
          </w:tcPr>
          <w:p w14:paraId="6367D4BA" w14:textId="77777777" w:rsidR="00AD7A78" w:rsidRPr="00ED7507" w:rsidRDefault="5B621C54" w:rsidP="5B621C54">
            <w:pPr>
              <w:rPr>
                <w:b/>
                <w:bCs/>
                <w:sz w:val="20"/>
                <w:szCs w:val="20"/>
              </w:rPr>
            </w:pPr>
            <w:r w:rsidRPr="00ED7507">
              <w:rPr>
                <w:b/>
                <w:bCs/>
                <w:sz w:val="20"/>
                <w:szCs w:val="20"/>
              </w:rPr>
              <w:t>Description</w:t>
            </w:r>
          </w:p>
        </w:tc>
        <w:tc>
          <w:tcPr>
            <w:tcW w:w="2033" w:type="dxa"/>
            <w:shd w:val="clear" w:color="auto" w:fill="auto"/>
          </w:tcPr>
          <w:p w14:paraId="2158CAAD" w14:textId="77777777" w:rsidR="00AD7A78" w:rsidRPr="00ED7507" w:rsidRDefault="5B621C54" w:rsidP="007100F8">
            <w:pPr>
              <w:rPr>
                <w:b/>
                <w:bCs/>
                <w:sz w:val="20"/>
                <w:szCs w:val="20"/>
              </w:rPr>
            </w:pPr>
            <w:r w:rsidRPr="00ED7507">
              <w:rPr>
                <w:b/>
                <w:bCs/>
                <w:sz w:val="20"/>
                <w:szCs w:val="20"/>
              </w:rPr>
              <w:t>Author (Company)</w:t>
            </w:r>
          </w:p>
        </w:tc>
      </w:tr>
      <w:tr w:rsidR="00A47FE3" w:rsidRPr="00ED7507" w14:paraId="6401AD68" w14:textId="77777777" w:rsidTr="006A69BF">
        <w:trPr>
          <w:trHeight w:val="446"/>
        </w:trPr>
        <w:tc>
          <w:tcPr>
            <w:tcW w:w="1241" w:type="dxa"/>
            <w:shd w:val="clear" w:color="auto" w:fill="C0C0C0"/>
          </w:tcPr>
          <w:p w14:paraId="255DFFF7" w14:textId="77777777" w:rsidR="00A47FE3" w:rsidRPr="00ED7507" w:rsidRDefault="5B621C54" w:rsidP="007100F8">
            <w:pPr>
              <w:rPr>
                <w:sz w:val="20"/>
                <w:szCs w:val="20"/>
              </w:rPr>
            </w:pPr>
            <w:r w:rsidRPr="00ED7507">
              <w:rPr>
                <w:sz w:val="20"/>
                <w:szCs w:val="20"/>
              </w:rPr>
              <w:t>Revision 0</w:t>
            </w:r>
          </w:p>
        </w:tc>
        <w:tc>
          <w:tcPr>
            <w:tcW w:w="1336" w:type="dxa"/>
            <w:shd w:val="clear" w:color="auto" w:fill="C0C0C0"/>
          </w:tcPr>
          <w:p w14:paraId="22316A8B" w14:textId="77777777" w:rsidR="00A47FE3" w:rsidRPr="00ED7507" w:rsidRDefault="5B621C54" w:rsidP="007100F8">
            <w:pPr>
              <w:rPr>
                <w:sz w:val="20"/>
                <w:szCs w:val="20"/>
              </w:rPr>
            </w:pPr>
            <w:r w:rsidRPr="00ED7507">
              <w:rPr>
                <w:sz w:val="20"/>
                <w:szCs w:val="20"/>
              </w:rPr>
              <w:t>11/19/08</w:t>
            </w:r>
          </w:p>
        </w:tc>
        <w:tc>
          <w:tcPr>
            <w:tcW w:w="4713" w:type="dxa"/>
            <w:shd w:val="clear" w:color="auto" w:fill="C0C0C0"/>
          </w:tcPr>
          <w:p w14:paraId="5CD118BB" w14:textId="77777777" w:rsidR="00A47FE3" w:rsidRPr="00ED7507" w:rsidRDefault="5B621C54" w:rsidP="007100F8">
            <w:pPr>
              <w:rPr>
                <w:sz w:val="20"/>
                <w:szCs w:val="20"/>
              </w:rPr>
            </w:pPr>
            <w:r w:rsidRPr="00ED7507">
              <w:rPr>
                <w:sz w:val="20"/>
                <w:szCs w:val="20"/>
              </w:rPr>
              <w:t>Original work paper</w:t>
            </w:r>
          </w:p>
        </w:tc>
        <w:tc>
          <w:tcPr>
            <w:tcW w:w="2033" w:type="dxa"/>
            <w:shd w:val="clear" w:color="auto" w:fill="C0C0C0"/>
          </w:tcPr>
          <w:p w14:paraId="5CAEADA6" w14:textId="77777777" w:rsidR="000B0167" w:rsidRPr="00ED7507" w:rsidRDefault="5B621C54" w:rsidP="5B621C54">
            <w:pPr>
              <w:rPr>
                <w:sz w:val="20"/>
                <w:szCs w:val="20"/>
              </w:rPr>
            </w:pPr>
            <w:r w:rsidRPr="00ED7507">
              <w:rPr>
                <w:sz w:val="20"/>
                <w:szCs w:val="20"/>
              </w:rPr>
              <w:t>Marc Theobald (EES)</w:t>
            </w:r>
          </w:p>
          <w:p w14:paraId="3448B2D7" w14:textId="77777777" w:rsidR="00A47FE3" w:rsidRPr="00ED7507" w:rsidRDefault="5B621C54" w:rsidP="5B621C54">
            <w:pPr>
              <w:rPr>
                <w:sz w:val="20"/>
                <w:szCs w:val="20"/>
              </w:rPr>
            </w:pPr>
            <w:r w:rsidRPr="00ED7507">
              <w:rPr>
                <w:sz w:val="20"/>
                <w:szCs w:val="20"/>
              </w:rPr>
              <w:t xml:space="preserve">Jack Howells (EES) </w:t>
            </w:r>
          </w:p>
        </w:tc>
      </w:tr>
      <w:tr w:rsidR="00A47FE3" w:rsidRPr="00ED7507" w14:paraId="0BF9F833" w14:textId="77777777" w:rsidTr="006A69BF">
        <w:trPr>
          <w:trHeight w:val="369"/>
        </w:trPr>
        <w:tc>
          <w:tcPr>
            <w:tcW w:w="1241" w:type="dxa"/>
            <w:shd w:val="clear" w:color="auto" w:fill="EAEAEA"/>
          </w:tcPr>
          <w:p w14:paraId="2F665DAD" w14:textId="77777777" w:rsidR="00A47FE3" w:rsidRPr="00ED7507" w:rsidRDefault="5B621C54" w:rsidP="007100F8">
            <w:pPr>
              <w:rPr>
                <w:sz w:val="20"/>
                <w:szCs w:val="20"/>
              </w:rPr>
            </w:pPr>
            <w:r w:rsidRPr="00ED7507">
              <w:rPr>
                <w:sz w:val="20"/>
                <w:szCs w:val="20"/>
              </w:rPr>
              <w:t>Revision 1</w:t>
            </w:r>
          </w:p>
        </w:tc>
        <w:tc>
          <w:tcPr>
            <w:tcW w:w="1336" w:type="dxa"/>
            <w:shd w:val="clear" w:color="auto" w:fill="EAEAEA"/>
          </w:tcPr>
          <w:p w14:paraId="05248919" w14:textId="77777777" w:rsidR="00A47FE3" w:rsidRPr="00ED7507" w:rsidRDefault="5B621C54" w:rsidP="007100F8">
            <w:pPr>
              <w:rPr>
                <w:sz w:val="20"/>
                <w:szCs w:val="20"/>
              </w:rPr>
            </w:pPr>
            <w:r w:rsidRPr="00ED7507">
              <w:rPr>
                <w:sz w:val="20"/>
                <w:szCs w:val="20"/>
              </w:rPr>
              <w:t>03/20/09</w:t>
            </w:r>
          </w:p>
        </w:tc>
        <w:tc>
          <w:tcPr>
            <w:tcW w:w="4713" w:type="dxa"/>
            <w:shd w:val="clear" w:color="auto" w:fill="EAEAEA"/>
          </w:tcPr>
          <w:p w14:paraId="65AC2FFD" w14:textId="77777777" w:rsidR="00A47FE3" w:rsidRPr="00ED7507" w:rsidRDefault="5B621C54" w:rsidP="007100F8">
            <w:pPr>
              <w:rPr>
                <w:sz w:val="20"/>
                <w:szCs w:val="20"/>
              </w:rPr>
            </w:pPr>
            <w:r w:rsidRPr="00ED7507">
              <w:rPr>
                <w:sz w:val="20"/>
                <w:szCs w:val="20"/>
              </w:rPr>
              <w:t>PGECOLTG151 R1</w:t>
            </w:r>
          </w:p>
        </w:tc>
        <w:tc>
          <w:tcPr>
            <w:tcW w:w="2033" w:type="dxa"/>
            <w:shd w:val="clear" w:color="auto" w:fill="EAEAEA"/>
          </w:tcPr>
          <w:p w14:paraId="19B9E7B0" w14:textId="77777777" w:rsidR="00A47FE3" w:rsidRPr="00ED7507" w:rsidRDefault="5B621C54" w:rsidP="5B621C54">
            <w:pPr>
              <w:rPr>
                <w:sz w:val="20"/>
                <w:szCs w:val="20"/>
              </w:rPr>
            </w:pPr>
            <w:r w:rsidRPr="00ED7507">
              <w:rPr>
                <w:sz w:val="20"/>
                <w:szCs w:val="20"/>
              </w:rPr>
              <w:t>Jim Wyatt (PG&amp;E)</w:t>
            </w:r>
          </w:p>
        </w:tc>
      </w:tr>
      <w:tr w:rsidR="00A47FE3" w:rsidRPr="00ED7507" w14:paraId="678983D9" w14:textId="77777777" w:rsidTr="006A69BF">
        <w:trPr>
          <w:trHeight w:val="446"/>
        </w:trPr>
        <w:tc>
          <w:tcPr>
            <w:tcW w:w="1241" w:type="dxa"/>
            <w:shd w:val="clear" w:color="auto" w:fill="C0C0C0"/>
          </w:tcPr>
          <w:p w14:paraId="0FB364EB" w14:textId="77777777" w:rsidR="00A47FE3" w:rsidRPr="00ED7507" w:rsidRDefault="5B621C54" w:rsidP="007100F8">
            <w:pPr>
              <w:rPr>
                <w:sz w:val="20"/>
                <w:szCs w:val="20"/>
              </w:rPr>
            </w:pPr>
            <w:r w:rsidRPr="00ED7507">
              <w:rPr>
                <w:sz w:val="20"/>
                <w:szCs w:val="20"/>
              </w:rPr>
              <w:t>Revision 2</w:t>
            </w:r>
          </w:p>
        </w:tc>
        <w:tc>
          <w:tcPr>
            <w:tcW w:w="1336" w:type="dxa"/>
            <w:shd w:val="clear" w:color="auto" w:fill="C0C0C0"/>
          </w:tcPr>
          <w:p w14:paraId="70333B2C" w14:textId="77777777" w:rsidR="00A47FE3" w:rsidRPr="00ED7507" w:rsidRDefault="5B621C54" w:rsidP="007100F8">
            <w:pPr>
              <w:rPr>
                <w:sz w:val="20"/>
                <w:szCs w:val="20"/>
              </w:rPr>
            </w:pPr>
            <w:r w:rsidRPr="00ED7507">
              <w:rPr>
                <w:sz w:val="20"/>
                <w:szCs w:val="20"/>
              </w:rPr>
              <w:t>01/15/2010</w:t>
            </w:r>
          </w:p>
        </w:tc>
        <w:tc>
          <w:tcPr>
            <w:tcW w:w="4713" w:type="dxa"/>
            <w:shd w:val="clear" w:color="auto" w:fill="C0C0C0"/>
          </w:tcPr>
          <w:p w14:paraId="787202D6" w14:textId="77777777" w:rsidR="00A47FE3" w:rsidRPr="00ED7507" w:rsidRDefault="5B621C54" w:rsidP="007100F8">
            <w:pPr>
              <w:rPr>
                <w:sz w:val="20"/>
                <w:szCs w:val="20"/>
              </w:rPr>
            </w:pPr>
            <w:r w:rsidRPr="00ED7507">
              <w:rPr>
                <w:sz w:val="20"/>
                <w:szCs w:val="20"/>
              </w:rPr>
              <w:t>PGECOLTG151 R2</w:t>
            </w:r>
          </w:p>
        </w:tc>
        <w:tc>
          <w:tcPr>
            <w:tcW w:w="2033" w:type="dxa"/>
            <w:shd w:val="clear" w:color="auto" w:fill="C0C0C0"/>
          </w:tcPr>
          <w:p w14:paraId="48E3D5AF" w14:textId="77777777" w:rsidR="00A47FE3" w:rsidRPr="00ED7507" w:rsidRDefault="5B621C54" w:rsidP="5B621C54">
            <w:pPr>
              <w:rPr>
                <w:sz w:val="20"/>
                <w:szCs w:val="20"/>
              </w:rPr>
            </w:pPr>
            <w:r w:rsidRPr="00ED7507">
              <w:rPr>
                <w:sz w:val="20"/>
                <w:szCs w:val="20"/>
              </w:rPr>
              <w:t>Jim Wyatt (PG&amp;E)</w:t>
            </w:r>
          </w:p>
        </w:tc>
      </w:tr>
      <w:tr w:rsidR="00A47FE3" w:rsidRPr="00ED7507" w14:paraId="58C09656" w14:textId="77777777" w:rsidTr="006A69BF">
        <w:trPr>
          <w:trHeight w:val="446"/>
        </w:trPr>
        <w:tc>
          <w:tcPr>
            <w:tcW w:w="1241" w:type="dxa"/>
            <w:shd w:val="clear" w:color="auto" w:fill="EAEAEA"/>
          </w:tcPr>
          <w:p w14:paraId="2193FD8A" w14:textId="77777777" w:rsidR="00A47FE3" w:rsidRPr="00ED7507" w:rsidRDefault="5B621C54" w:rsidP="007100F8">
            <w:pPr>
              <w:rPr>
                <w:sz w:val="20"/>
                <w:szCs w:val="20"/>
              </w:rPr>
            </w:pPr>
            <w:r w:rsidRPr="00ED7507">
              <w:rPr>
                <w:sz w:val="20"/>
                <w:szCs w:val="20"/>
              </w:rPr>
              <w:t>Revision 3</w:t>
            </w:r>
          </w:p>
        </w:tc>
        <w:tc>
          <w:tcPr>
            <w:tcW w:w="1336" w:type="dxa"/>
            <w:shd w:val="clear" w:color="auto" w:fill="EAEAEA"/>
          </w:tcPr>
          <w:p w14:paraId="45726B94" w14:textId="77777777" w:rsidR="00A47FE3" w:rsidRPr="00ED7507" w:rsidRDefault="5B621C54" w:rsidP="007100F8">
            <w:pPr>
              <w:rPr>
                <w:sz w:val="20"/>
                <w:szCs w:val="20"/>
              </w:rPr>
            </w:pPr>
            <w:r w:rsidRPr="00ED7507">
              <w:rPr>
                <w:sz w:val="20"/>
                <w:szCs w:val="20"/>
              </w:rPr>
              <w:t>06/15/2012</w:t>
            </w:r>
          </w:p>
        </w:tc>
        <w:tc>
          <w:tcPr>
            <w:tcW w:w="4713" w:type="dxa"/>
            <w:shd w:val="clear" w:color="auto" w:fill="EAEAEA"/>
          </w:tcPr>
          <w:p w14:paraId="5195DB71" w14:textId="77777777" w:rsidR="00A47FE3" w:rsidRPr="00ED7507" w:rsidRDefault="5B621C54" w:rsidP="008A1DA4">
            <w:pPr>
              <w:rPr>
                <w:sz w:val="20"/>
                <w:szCs w:val="20"/>
              </w:rPr>
            </w:pPr>
            <w:r w:rsidRPr="00ED7507">
              <w:rPr>
                <w:sz w:val="20"/>
                <w:szCs w:val="20"/>
              </w:rPr>
              <w:t>PGECOLTG151 R3</w:t>
            </w:r>
          </w:p>
        </w:tc>
        <w:tc>
          <w:tcPr>
            <w:tcW w:w="2033" w:type="dxa"/>
            <w:shd w:val="clear" w:color="auto" w:fill="EAEAEA"/>
          </w:tcPr>
          <w:p w14:paraId="7D104D3F" w14:textId="77777777" w:rsidR="00A47FE3" w:rsidRPr="00ED7507" w:rsidRDefault="5B621C54" w:rsidP="5B621C54">
            <w:pPr>
              <w:rPr>
                <w:sz w:val="20"/>
                <w:szCs w:val="20"/>
              </w:rPr>
            </w:pPr>
            <w:r w:rsidRPr="00ED7507">
              <w:rPr>
                <w:sz w:val="20"/>
                <w:szCs w:val="20"/>
              </w:rPr>
              <w:t>John Rossi (EES)</w:t>
            </w:r>
          </w:p>
          <w:p w14:paraId="757069DC" w14:textId="77777777" w:rsidR="006D7F88" w:rsidRPr="00ED7507" w:rsidRDefault="5B621C54" w:rsidP="5B621C54">
            <w:pPr>
              <w:rPr>
                <w:sz w:val="20"/>
                <w:szCs w:val="20"/>
              </w:rPr>
            </w:pPr>
            <w:r w:rsidRPr="00ED7507">
              <w:rPr>
                <w:sz w:val="20"/>
                <w:szCs w:val="20"/>
              </w:rPr>
              <w:t>Jay Martin (EES)</w:t>
            </w:r>
          </w:p>
          <w:p w14:paraId="749A266A" w14:textId="77777777" w:rsidR="009C2AFF" w:rsidRPr="00ED7507" w:rsidRDefault="5B621C54" w:rsidP="5B621C54">
            <w:pPr>
              <w:rPr>
                <w:sz w:val="20"/>
                <w:szCs w:val="20"/>
              </w:rPr>
            </w:pPr>
            <w:r w:rsidRPr="00ED7507">
              <w:rPr>
                <w:sz w:val="20"/>
                <w:szCs w:val="20"/>
              </w:rPr>
              <w:t>Jim Wyatt (PG&amp;E)</w:t>
            </w:r>
          </w:p>
        </w:tc>
      </w:tr>
      <w:tr w:rsidR="00A47FE3" w:rsidRPr="00ED7507" w14:paraId="6C0F804B" w14:textId="77777777" w:rsidTr="006A69BF">
        <w:trPr>
          <w:trHeight w:val="446"/>
        </w:trPr>
        <w:tc>
          <w:tcPr>
            <w:tcW w:w="1241" w:type="dxa"/>
            <w:shd w:val="clear" w:color="auto" w:fill="C0C0C0"/>
          </w:tcPr>
          <w:p w14:paraId="6F543562" w14:textId="77777777" w:rsidR="00A47FE3" w:rsidRPr="00ED7507" w:rsidRDefault="5B621C54">
            <w:pPr>
              <w:rPr>
                <w:sz w:val="20"/>
                <w:szCs w:val="20"/>
              </w:rPr>
            </w:pPr>
            <w:r w:rsidRPr="00ED7507">
              <w:rPr>
                <w:sz w:val="20"/>
                <w:szCs w:val="20"/>
              </w:rPr>
              <w:t>Revision 3</w:t>
            </w:r>
          </w:p>
        </w:tc>
        <w:tc>
          <w:tcPr>
            <w:tcW w:w="1336" w:type="dxa"/>
            <w:shd w:val="clear" w:color="auto" w:fill="C0C0C0"/>
          </w:tcPr>
          <w:p w14:paraId="0C90F022" w14:textId="77777777" w:rsidR="00A47FE3" w:rsidRPr="00ED7507" w:rsidRDefault="5B621C54">
            <w:pPr>
              <w:rPr>
                <w:sz w:val="20"/>
                <w:szCs w:val="20"/>
              </w:rPr>
            </w:pPr>
            <w:r w:rsidRPr="00ED7507">
              <w:rPr>
                <w:sz w:val="20"/>
                <w:szCs w:val="20"/>
              </w:rPr>
              <w:t>8/29/12</w:t>
            </w:r>
          </w:p>
        </w:tc>
        <w:tc>
          <w:tcPr>
            <w:tcW w:w="4713" w:type="dxa"/>
            <w:shd w:val="clear" w:color="auto" w:fill="C0C0C0"/>
          </w:tcPr>
          <w:p w14:paraId="2F5901D3" w14:textId="77777777" w:rsidR="00A47FE3" w:rsidRPr="00ED7507" w:rsidRDefault="5B621C54">
            <w:pPr>
              <w:rPr>
                <w:sz w:val="20"/>
                <w:szCs w:val="20"/>
              </w:rPr>
            </w:pPr>
            <w:r w:rsidRPr="00ED7507">
              <w:rPr>
                <w:sz w:val="20"/>
                <w:szCs w:val="20"/>
              </w:rPr>
              <w:t>For Building type changed COM to ANY, For Vintage AV is changed to ANY and For Climate Zone All is changed to ANY (Since this measure is for Exterior Lighting)</w:t>
            </w:r>
          </w:p>
        </w:tc>
        <w:tc>
          <w:tcPr>
            <w:tcW w:w="2033" w:type="dxa"/>
            <w:shd w:val="clear" w:color="auto" w:fill="C0C0C0"/>
          </w:tcPr>
          <w:p w14:paraId="04A7BB58" w14:textId="77777777" w:rsidR="00A47FE3" w:rsidRPr="00ED7507" w:rsidRDefault="5B621C54">
            <w:pPr>
              <w:rPr>
                <w:sz w:val="20"/>
                <w:szCs w:val="20"/>
              </w:rPr>
            </w:pPr>
            <w:r w:rsidRPr="00ED7507">
              <w:rPr>
                <w:sz w:val="20"/>
                <w:szCs w:val="20"/>
              </w:rPr>
              <w:t>Alina Zohrabian (PG&amp;E)</w:t>
            </w:r>
          </w:p>
          <w:p w14:paraId="31CAE195" w14:textId="77777777" w:rsidR="001B4957" w:rsidRPr="00ED7507" w:rsidRDefault="001B4957">
            <w:pPr>
              <w:rPr>
                <w:sz w:val="20"/>
                <w:szCs w:val="20"/>
              </w:rPr>
            </w:pPr>
          </w:p>
          <w:p w14:paraId="4F3CD6F6" w14:textId="77777777" w:rsidR="001B4957" w:rsidRPr="00ED7507" w:rsidRDefault="001B4957">
            <w:pPr>
              <w:rPr>
                <w:sz w:val="20"/>
                <w:szCs w:val="20"/>
              </w:rPr>
            </w:pPr>
          </w:p>
        </w:tc>
      </w:tr>
      <w:tr w:rsidR="001740FC" w:rsidRPr="00ED7507" w14:paraId="427BB1A1" w14:textId="77777777" w:rsidTr="006A69BF">
        <w:trPr>
          <w:trHeight w:val="446"/>
        </w:trPr>
        <w:tc>
          <w:tcPr>
            <w:tcW w:w="1241" w:type="dxa"/>
            <w:shd w:val="clear" w:color="auto" w:fill="EAEAEA"/>
          </w:tcPr>
          <w:p w14:paraId="29B9B0CA" w14:textId="77777777" w:rsidR="001740FC" w:rsidRPr="00ED7507" w:rsidRDefault="5B621C54" w:rsidP="001740FC">
            <w:pPr>
              <w:rPr>
                <w:sz w:val="20"/>
                <w:szCs w:val="20"/>
              </w:rPr>
            </w:pPr>
            <w:bookmarkStart w:id="6" w:name="_Toc186621650"/>
            <w:r w:rsidRPr="00ED7507">
              <w:rPr>
                <w:sz w:val="20"/>
                <w:szCs w:val="20"/>
              </w:rPr>
              <w:t>Revision 4</w:t>
            </w:r>
          </w:p>
        </w:tc>
        <w:tc>
          <w:tcPr>
            <w:tcW w:w="1336" w:type="dxa"/>
            <w:shd w:val="clear" w:color="auto" w:fill="EAEAEA"/>
          </w:tcPr>
          <w:p w14:paraId="53BFEC74" w14:textId="77777777" w:rsidR="001740FC" w:rsidRPr="00ED7507" w:rsidRDefault="5B621C54" w:rsidP="001740FC">
            <w:pPr>
              <w:rPr>
                <w:sz w:val="20"/>
                <w:szCs w:val="20"/>
              </w:rPr>
            </w:pPr>
            <w:r w:rsidRPr="00ED7507">
              <w:rPr>
                <w:sz w:val="20"/>
                <w:szCs w:val="20"/>
              </w:rPr>
              <w:t>05/22/2014</w:t>
            </w:r>
          </w:p>
        </w:tc>
        <w:tc>
          <w:tcPr>
            <w:tcW w:w="4713" w:type="dxa"/>
            <w:shd w:val="clear" w:color="auto" w:fill="EAEAEA"/>
          </w:tcPr>
          <w:p w14:paraId="04DF0B64" w14:textId="77777777" w:rsidR="001740FC" w:rsidRPr="00ED7507" w:rsidRDefault="5B621C54" w:rsidP="007B7EF9">
            <w:pPr>
              <w:rPr>
                <w:sz w:val="20"/>
                <w:szCs w:val="20"/>
              </w:rPr>
            </w:pPr>
            <w:r w:rsidRPr="00ED7507">
              <w:rPr>
                <w:sz w:val="20"/>
                <w:szCs w:val="20"/>
              </w:rPr>
              <w:t>Added DI values and applied the 2014 IE and Hours from DEER (posted 2/20/14). For updated savings values, see file PGECOLTG151 R4.xlsx.</w:t>
            </w:r>
          </w:p>
        </w:tc>
        <w:tc>
          <w:tcPr>
            <w:tcW w:w="2033" w:type="dxa"/>
            <w:shd w:val="clear" w:color="auto" w:fill="EAEAEA"/>
          </w:tcPr>
          <w:p w14:paraId="7BC4A85B" w14:textId="77777777" w:rsidR="001740FC" w:rsidRPr="00ED7507" w:rsidRDefault="5B621C54" w:rsidP="5B621C54">
            <w:pPr>
              <w:rPr>
                <w:sz w:val="20"/>
                <w:szCs w:val="20"/>
              </w:rPr>
            </w:pPr>
            <w:r w:rsidRPr="00ED7507">
              <w:rPr>
                <w:sz w:val="20"/>
                <w:szCs w:val="20"/>
              </w:rPr>
              <w:t>Tai Voong (PG&amp;E)</w:t>
            </w:r>
          </w:p>
        </w:tc>
      </w:tr>
      <w:tr w:rsidR="00D56DC3" w:rsidRPr="00ED7507" w14:paraId="301CED15" w14:textId="77777777" w:rsidTr="006A69BF">
        <w:trPr>
          <w:trHeight w:val="446"/>
        </w:trPr>
        <w:tc>
          <w:tcPr>
            <w:tcW w:w="1241" w:type="dxa"/>
            <w:tcBorders>
              <w:bottom w:val="single" w:sz="18" w:space="0" w:color="FFFFFF" w:themeColor="background1"/>
            </w:tcBorders>
            <w:shd w:val="clear" w:color="auto" w:fill="BFBFBF" w:themeFill="background1" w:themeFillShade="BF"/>
          </w:tcPr>
          <w:p w14:paraId="1E5A5005" w14:textId="77777777" w:rsidR="00D56DC3" w:rsidRPr="00ED7507" w:rsidRDefault="5B621C54" w:rsidP="001740FC">
            <w:pPr>
              <w:rPr>
                <w:sz w:val="20"/>
                <w:szCs w:val="20"/>
              </w:rPr>
            </w:pPr>
            <w:r w:rsidRPr="00ED7507">
              <w:rPr>
                <w:sz w:val="20"/>
                <w:szCs w:val="20"/>
              </w:rPr>
              <w:t>Revision 5</w:t>
            </w:r>
          </w:p>
        </w:tc>
        <w:tc>
          <w:tcPr>
            <w:tcW w:w="1336" w:type="dxa"/>
            <w:tcBorders>
              <w:bottom w:val="single" w:sz="18" w:space="0" w:color="FFFFFF" w:themeColor="background1"/>
            </w:tcBorders>
            <w:shd w:val="clear" w:color="auto" w:fill="BFBFBF" w:themeFill="background1" w:themeFillShade="BF"/>
          </w:tcPr>
          <w:p w14:paraId="09BCA430" w14:textId="77777777" w:rsidR="00D56DC3" w:rsidRPr="00ED7507" w:rsidRDefault="5B621C54" w:rsidP="001740FC">
            <w:pPr>
              <w:rPr>
                <w:sz w:val="20"/>
                <w:szCs w:val="20"/>
              </w:rPr>
            </w:pPr>
            <w:r w:rsidRPr="00ED7507">
              <w:rPr>
                <w:sz w:val="20"/>
                <w:szCs w:val="20"/>
              </w:rPr>
              <w:t>1/1/2016</w:t>
            </w:r>
          </w:p>
        </w:tc>
        <w:tc>
          <w:tcPr>
            <w:tcW w:w="4713" w:type="dxa"/>
            <w:tcBorders>
              <w:bottom w:val="single" w:sz="18" w:space="0" w:color="FFFFFF" w:themeColor="background1"/>
            </w:tcBorders>
            <w:shd w:val="clear" w:color="auto" w:fill="BFBFBF" w:themeFill="background1" w:themeFillShade="BF"/>
          </w:tcPr>
          <w:p w14:paraId="24F38D25" w14:textId="77777777" w:rsidR="00D56DC3" w:rsidRPr="00ED7507" w:rsidRDefault="5B621C54" w:rsidP="007B7EF9">
            <w:pPr>
              <w:rPr>
                <w:sz w:val="20"/>
                <w:szCs w:val="20"/>
              </w:rPr>
            </w:pPr>
            <w:r w:rsidRPr="00ED7507">
              <w:rPr>
                <w:sz w:val="20"/>
                <w:szCs w:val="20"/>
              </w:rPr>
              <w:t>Added NC for measure application type.  Updated NTG values &amp; EUL ID per DEER 2016.  Updated base case costs and measure costs.</w:t>
            </w:r>
          </w:p>
        </w:tc>
        <w:tc>
          <w:tcPr>
            <w:tcW w:w="2033" w:type="dxa"/>
            <w:tcBorders>
              <w:bottom w:val="single" w:sz="18" w:space="0" w:color="FFFFFF" w:themeColor="background1"/>
            </w:tcBorders>
            <w:shd w:val="clear" w:color="auto" w:fill="BFBFBF" w:themeFill="background1" w:themeFillShade="BF"/>
          </w:tcPr>
          <w:p w14:paraId="2E7A97C3" w14:textId="77777777" w:rsidR="00D56DC3" w:rsidRPr="00ED7507" w:rsidRDefault="5B621C54" w:rsidP="006B18B6">
            <w:pPr>
              <w:rPr>
                <w:sz w:val="20"/>
                <w:szCs w:val="20"/>
              </w:rPr>
            </w:pPr>
            <w:r w:rsidRPr="00ED7507">
              <w:rPr>
                <w:sz w:val="20"/>
                <w:szCs w:val="20"/>
              </w:rPr>
              <w:t>Linda Wan (PG&amp;E) Alina Zohrabian (PG&amp;E)</w:t>
            </w:r>
          </w:p>
        </w:tc>
      </w:tr>
      <w:tr w:rsidR="008F3B67" w:rsidRPr="00ED7507" w14:paraId="1DC1AFD7" w14:textId="77777777" w:rsidTr="006A69BF">
        <w:trPr>
          <w:trHeight w:val="446"/>
        </w:trPr>
        <w:tc>
          <w:tcPr>
            <w:tcW w:w="1241" w:type="dxa"/>
            <w:shd w:val="clear" w:color="auto" w:fill="EAEAEA"/>
          </w:tcPr>
          <w:p w14:paraId="60BFFEEA" w14:textId="77777777" w:rsidR="008F3B67" w:rsidRPr="00ED7507" w:rsidRDefault="5B621C54" w:rsidP="008A6F0C">
            <w:pPr>
              <w:rPr>
                <w:sz w:val="20"/>
                <w:szCs w:val="20"/>
              </w:rPr>
            </w:pPr>
            <w:r w:rsidRPr="00ED7507">
              <w:rPr>
                <w:sz w:val="20"/>
                <w:szCs w:val="20"/>
              </w:rPr>
              <w:t>Revision 6</w:t>
            </w:r>
          </w:p>
        </w:tc>
        <w:tc>
          <w:tcPr>
            <w:tcW w:w="1336" w:type="dxa"/>
            <w:shd w:val="clear" w:color="auto" w:fill="EAEAEA"/>
          </w:tcPr>
          <w:p w14:paraId="40A3515E" w14:textId="77777777" w:rsidR="008F3B67" w:rsidRPr="00ED7507" w:rsidRDefault="5B621C54" w:rsidP="008A6F0C">
            <w:pPr>
              <w:rPr>
                <w:sz w:val="20"/>
                <w:szCs w:val="20"/>
              </w:rPr>
            </w:pPr>
            <w:r w:rsidRPr="00ED7507">
              <w:rPr>
                <w:sz w:val="20"/>
                <w:szCs w:val="20"/>
              </w:rPr>
              <w:t>7/26/2016</w:t>
            </w:r>
          </w:p>
        </w:tc>
        <w:tc>
          <w:tcPr>
            <w:tcW w:w="4713" w:type="dxa"/>
            <w:shd w:val="clear" w:color="auto" w:fill="EAEAEA"/>
          </w:tcPr>
          <w:p w14:paraId="54754E60" w14:textId="77777777" w:rsidR="008F3B67" w:rsidRPr="00ED7507" w:rsidRDefault="5B621C54" w:rsidP="008A6F0C">
            <w:pPr>
              <w:rPr>
                <w:sz w:val="20"/>
                <w:szCs w:val="20"/>
              </w:rPr>
            </w:pPr>
            <w:r w:rsidRPr="00ED7507">
              <w:rPr>
                <w:sz w:val="20"/>
                <w:szCs w:val="20"/>
              </w:rPr>
              <w:t>New measure codes LT067-LT073 to comply with leased street lamps requiring incentives refer to Advice Letter 4661-E. Retired LT016-LT017 because there is no uptake.  Updated DI costs.</w:t>
            </w:r>
          </w:p>
        </w:tc>
        <w:tc>
          <w:tcPr>
            <w:tcW w:w="2033" w:type="dxa"/>
            <w:shd w:val="clear" w:color="auto" w:fill="EAEAEA"/>
          </w:tcPr>
          <w:p w14:paraId="334CA0CD" w14:textId="77777777" w:rsidR="008F3B67" w:rsidRPr="00ED7507" w:rsidRDefault="5B621C54" w:rsidP="5B621C54">
            <w:pPr>
              <w:rPr>
                <w:sz w:val="20"/>
                <w:szCs w:val="20"/>
              </w:rPr>
            </w:pPr>
            <w:r w:rsidRPr="00ED7507">
              <w:rPr>
                <w:sz w:val="20"/>
                <w:szCs w:val="20"/>
              </w:rPr>
              <w:t>Henry Liu (PG&amp;E)</w:t>
            </w:r>
          </w:p>
        </w:tc>
      </w:tr>
      <w:tr w:rsidR="00A81537" w:rsidRPr="00ED7507" w14:paraId="7A81AD08" w14:textId="77777777" w:rsidTr="006A69BF">
        <w:trPr>
          <w:trHeight w:val="446"/>
        </w:trPr>
        <w:tc>
          <w:tcPr>
            <w:tcW w:w="1241" w:type="dxa"/>
            <w:tcBorders>
              <w:top w:val="single" w:sz="18" w:space="0" w:color="FFFFFF" w:themeColor="background1"/>
            </w:tcBorders>
            <w:shd w:val="clear" w:color="auto" w:fill="BFBFBF" w:themeFill="background1" w:themeFillShade="BF"/>
          </w:tcPr>
          <w:p w14:paraId="2A839D01" w14:textId="77777777" w:rsidR="00A81537" w:rsidRPr="00ED7507" w:rsidRDefault="5B621C54" w:rsidP="008A6F0C">
            <w:pPr>
              <w:rPr>
                <w:sz w:val="20"/>
                <w:szCs w:val="20"/>
              </w:rPr>
            </w:pPr>
            <w:r w:rsidRPr="00ED7507">
              <w:rPr>
                <w:sz w:val="20"/>
                <w:szCs w:val="20"/>
              </w:rPr>
              <w:t>Revision 7</w:t>
            </w:r>
          </w:p>
        </w:tc>
        <w:tc>
          <w:tcPr>
            <w:tcW w:w="1336" w:type="dxa"/>
            <w:tcBorders>
              <w:top w:val="single" w:sz="18" w:space="0" w:color="FFFFFF" w:themeColor="background1"/>
            </w:tcBorders>
            <w:shd w:val="clear" w:color="auto" w:fill="BFBFBF" w:themeFill="background1" w:themeFillShade="BF"/>
          </w:tcPr>
          <w:p w14:paraId="162AF74C" w14:textId="77777777" w:rsidR="00A81537" w:rsidRPr="00ED7507" w:rsidRDefault="5B621C54" w:rsidP="008A6F0C">
            <w:pPr>
              <w:rPr>
                <w:sz w:val="20"/>
                <w:szCs w:val="20"/>
              </w:rPr>
            </w:pPr>
            <w:r w:rsidRPr="00ED7507">
              <w:rPr>
                <w:sz w:val="20"/>
                <w:szCs w:val="20"/>
              </w:rPr>
              <w:t>12/14/2016</w:t>
            </w:r>
          </w:p>
        </w:tc>
        <w:tc>
          <w:tcPr>
            <w:tcW w:w="4713" w:type="dxa"/>
            <w:tcBorders>
              <w:top w:val="single" w:sz="18" w:space="0" w:color="FFFFFF" w:themeColor="background1"/>
            </w:tcBorders>
            <w:shd w:val="clear" w:color="auto" w:fill="BFBFBF" w:themeFill="background1" w:themeFillShade="BF"/>
          </w:tcPr>
          <w:p w14:paraId="095DE07A" w14:textId="77777777" w:rsidR="008C4413" w:rsidRPr="00ED7507" w:rsidRDefault="5B621C54" w:rsidP="00865334">
            <w:pPr>
              <w:rPr>
                <w:sz w:val="20"/>
                <w:szCs w:val="20"/>
              </w:rPr>
            </w:pPr>
            <w:r w:rsidRPr="00ED7507">
              <w:rPr>
                <w:sz w:val="20"/>
                <w:szCs w:val="20"/>
              </w:rPr>
              <w:t>-Changing measure application type from ROB and NC to ROBNC.</w:t>
            </w:r>
          </w:p>
        </w:tc>
        <w:tc>
          <w:tcPr>
            <w:tcW w:w="2033" w:type="dxa"/>
            <w:tcBorders>
              <w:top w:val="single" w:sz="18" w:space="0" w:color="FFFFFF" w:themeColor="background1"/>
            </w:tcBorders>
            <w:shd w:val="clear" w:color="auto" w:fill="BFBFBF" w:themeFill="background1" w:themeFillShade="BF"/>
          </w:tcPr>
          <w:p w14:paraId="71794ED5" w14:textId="77777777" w:rsidR="006B18B6" w:rsidRDefault="5B621C54" w:rsidP="006B18B6">
            <w:pPr>
              <w:rPr>
                <w:sz w:val="20"/>
                <w:szCs w:val="20"/>
              </w:rPr>
            </w:pPr>
            <w:r w:rsidRPr="00ED7507">
              <w:rPr>
                <w:sz w:val="20"/>
                <w:szCs w:val="20"/>
              </w:rPr>
              <w:t>Henry Liu (PG&amp;E)</w:t>
            </w:r>
            <w:r w:rsidR="006B18B6">
              <w:rPr>
                <w:sz w:val="20"/>
                <w:szCs w:val="20"/>
              </w:rPr>
              <w:t xml:space="preserve"> </w:t>
            </w:r>
            <w:r w:rsidRPr="00ED7507">
              <w:rPr>
                <w:sz w:val="20"/>
                <w:szCs w:val="20"/>
              </w:rPr>
              <w:t>Mini Damodaran (PG&amp;E)</w:t>
            </w:r>
          </w:p>
          <w:p w14:paraId="55D22927" w14:textId="77777777" w:rsidR="00A81537" w:rsidRPr="00ED7507" w:rsidRDefault="5B621C54" w:rsidP="006B18B6">
            <w:pPr>
              <w:rPr>
                <w:sz w:val="20"/>
                <w:szCs w:val="20"/>
              </w:rPr>
            </w:pPr>
            <w:r w:rsidRPr="00ED7507">
              <w:rPr>
                <w:sz w:val="20"/>
                <w:szCs w:val="20"/>
              </w:rPr>
              <w:t>Alina Zohrabian (PG&amp;E)</w:t>
            </w:r>
          </w:p>
        </w:tc>
      </w:tr>
      <w:tr w:rsidR="00DB76E2" w:rsidRPr="00ED7507" w14:paraId="530B14DA" w14:textId="77777777" w:rsidTr="006A69BF">
        <w:trPr>
          <w:trHeight w:val="446"/>
        </w:trPr>
        <w:tc>
          <w:tcPr>
            <w:tcW w:w="1241" w:type="dxa"/>
            <w:tcBorders>
              <w:bottom w:val="single" w:sz="18" w:space="0" w:color="FFFFFF" w:themeColor="background1"/>
            </w:tcBorders>
            <w:shd w:val="clear" w:color="auto" w:fill="EAEAEA"/>
          </w:tcPr>
          <w:p w14:paraId="5BD81360" w14:textId="77777777" w:rsidR="00DB76E2" w:rsidRPr="00ED7507" w:rsidRDefault="5B621C54" w:rsidP="00DB76E2">
            <w:pPr>
              <w:rPr>
                <w:sz w:val="20"/>
                <w:szCs w:val="20"/>
              </w:rPr>
            </w:pPr>
            <w:r w:rsidRPr="00ED7507">
              <w:rPr>
                <w:sz w:val="20"/>
                <w:szCs w:val="20"/>
              </w:rPr>
              <w:t>Revision 8</w:t>
            </w:r>
          </w:p>
        </w:tc>
        <w:tc>
          <w:tcPr>
            <w:tcW w:w="1336" w:type="dxa"/>
            <w:tcBorders>
              <w:bottom w:val="single" w:sz="18" w:space="0" w:color="FFFFFF" w:themeColor="background1"/>
            </w:tcBorders>
            <w:shd w:val="clear" w:color="auto" w:fill="EAEAEA"/>
          </w:tcPr>
          <w:p w14:paraId="0B6C334D" w14:textId="77777777" w:rsidR="00DB76E2" w:rsidRPr="00ED7507" w:rsidRDefault="5B621C54" w:rsidP="00DB76E2">
            <w:pPr>
              <w:rPr>
                <w:sz w:val="20"/>
                <w:szCs w:val="20"/>
              </w:rPr>
            </w:pPr>
            <w:r w:rsidRPr="00ED7507">
              <w:rPr>
                <w:sz w:val="20"/>
                <w:szCs w:val="20"/>
              </w:rPr>
              <w:t>1/1/2018</w:t>
            </w:r>
          </w:p>
        </w:tc>
        <w:tc>
          <w:tcPr>
            <w:tcW w:w="4713" w:type="dxa"/>
            <w:tcBorders>
              <w:bottom w:val="single" w:sz="18" w:space="0" w:color="FFFFFF" w:themeColor="background1"/>
            </w:tcBorders>
            <w:shd w:val="clear" w:color="auto" w:fill="EAEAEA"/>
          </w:tcPr>
          <w:p w14:paraId="50F8DA40" w14:textId="77777777" w:rsidR="00DB76E2" w:rsidRPr="00ED7507" w:rsidRDefault="5B621C54" w:rsidP="00F809A2">
            <w:pPr>
              <w:rPr>
                <w:sz w:val="20"/>
                <w:szCs w:val="20"/>
              </w:rPr>
            </w:pPr>
            <w:r w:rsidRPr="00ED7507">
              <w:rPr>
                <w:sz w:val="20"/>
                <w:szCs w:val="20"/>
              </w:rPr>
              <w:t>Updates based on DLC version 4.2 and proposed new baseline percentage mix pending ISP study; Retiring the old measure structure (LT007 – LT015, LT18-LT024, LT067-LT073) and adding new measure codes LT282-LT324</w:t>
            </w:r>
            <w:r w:rsidRPr="00ED7507">
              <w:rPr>
                <w:color w:val="FF0000"/>
                <w:sz w:val="20"/>
                <w:szCs w:val="20"/>
              </w:rPr>
              <w:t xml:space="preserve"> </w:t>
            </w:r>
            <w:r w:rsidRPr="00ED7507">
              <w:rPr>
                <w:sz w:val="20"/>
                <w:szCs w:val="20"/>
              </w:rPr>
              <w:t xml:space="preserve">effective 1/1/2018 that follow closely to DLC version 4.2 primary uses </w:t>
            </w:r>
          </w:p>
        </w:tc>
        <w:tc>
          <w:tcPr>
            <w:tcW w:w="2033" w:type="dxa"/>
            <w:tcBorders>
              <w:bottom w:val="single" w:sz="18" w:space="0" w:color="FFFFFF" w:themeColor="background1"/>
            </w:tcBorders>
            <w:shd w:val="clear" w:color="auto" w:fill="EAEAEA"/>
          </w:tcPr>
          <w:p w14:paraId="75D9BBD0" w14:textId="77777777" w:rsidR="00C92E05" w:rsidRDefault="5B621C54" w:rsidP="00C92E05">
            <w:pPr>
              <w:rPr>
                <w:sz w:val="20"/>
                <w:szCs w:val="20"/>
              </w:rPr>
            </w:pPr>
            <w:r w:rsidRPr="00ED7507">
              <w:rPr>
                <w:sz w:val="20"/>
                <w:szCs w:val="20"/>
              </w:rPr>
              <w:t>Greg Barker (Energy Solutions)</w:t>
            </w:r>
          </w:p>
          <w:p w14:paraId="3D07105A" w14:textId="77777777" w:rsidR="00DB76E2" w:rsidRPr="00ED7507" w:rsidRDefault="5B621C54" w:rsidP="00C92E05">
            <w:pPr>
              <w:rPr>
                <w:sz w:val="20"/>
                <w:szCs w:val="20"/>
              </w:rPr>
            </w:pPr>
            <w:r w:rsidRPr="00ED7507">
              <w:rPr>
                <w:sz w:val="20"/>
                <w:szCs w:val="20"/>
              </w:rPr>
              <w:t>Mini Damodaran (PG&amp;E)</w:t>
            </w:r>
          </w:p>
        </w:tc>
      </w:tr>
      <w:tr w:rsidR="00F95B53" w:rsidRPr="00ED7507" w14:paraId="7B3FC035" w14:textId="77777777" w:rsidTr="00C502FB">
        <w:trPr>
          <w:trHeight w:val="3240"/>
        </w:trPr>
        <w:tc>
          <w:tcPr>
            <w:tcW w:w="1241" w:type="dxa"/>
            <w:tcBorders>
              <w:top w:val="single" w:sz="18" w:space="0" w:color="FFFFFF" w:themeColor="background1"/>
              <w:bottom w:val="single" w:sz="18" w:space="0" w:color="FFFFFF" w:themeColor="background1"/>
            </w:tcBorders>
            <w:shd w:val="clear" w:color="auto" w:fill="BFBFBF" w:themeFill="background1" w:themeFillShade="BF"/>
          </w:tcPr>
          <w:p w14:paraId="6B2BC5F6" w14:textId="77777777" w:rsidR="00342DBA" w:rsidRPr="00ED7507" w:rsidRDefault="5B621C54" w:rsidP="00D37D80">
            <w:pPr>
              <w:rPr>
                <w:sz w:val="20"/>
                <w:szCs w:val="20"/>
              </w:rPr>
            </w:pPr>
            <w:r w:rsidRPr="00ED7507">
              <w:rPr>
                <w:sz w:val="20"/>
                <w:szCs w:val="20"/>
              </w:rPr>
              <w:t>Revision 8</w:t>
            </w:r>
          </w:p>
        </w:tc>
        <w:tc>
          <w:tcPr>
            <w:tcW w:w="1336" w:type="dxa"/>
            <w:tcBorders>
              <w:top w:val="single" w:sz="18" w:space="0" w:color="FFFFFF" w:themeColor="background1"/>
              <w:bottom w:val="single" w:sz="18" w:space="0" w:color="FFFFFF" w:themeColor="background1"/>
            </w:tcBorders>
            <w:shd w:val="clear" w:color="auto" w:fill="BFBFBF" w:themeFill="background1" w:themeFillShade="BF"/>
          </w:tcPr>
          <w:p w14:paraId="0956553F" w14:textId="77777777" w:rsidR="00342DBA" w:rsidRPr="00ED7507" w:rsidRDefault="004E498B" w:rsidP="00DB76E2">
            <w:pPr>
              <w:rPr>
                <w:sz w:val="20"/>
                <w:szCs w:val="20"/>
              </w:rPr>
            </w:pPr>
            <w:r w:rsidRPr="00ED7507">
              <w:rPr>
                <w:sz w:val="20"/>
                <w:szCs w:val="20"/>
              </w:rPr>
              <w:t>4/11</w:t>
            </w:r>
            <w:r w:rsidR="5B621C54" w:rsidRPr="00ED7507">
              <w:rPr>
                <w:sz w:val="20"/>
                <w:szCs w:val="20"/>
              </w:rPr>
              <w:t>/2018</w:t>
            </w:r>
          </w:p>
          <w:p w14:paraId="5011147F" w14:textId="77777777" w:rsidR="00ED7507" w:rsidRPr="00ED7507" w:rsidRDefault="00ED7507" w:rsidP="00DB76E2">
            <w:pPr>
              <w:rPr>
                <w:sz w:val="20"/>
                <w:szCs w:val="20"/>
              </w:rPr>
            </w:pPr>
          </w:p>
          <w:p w14:paraId="3A4C3855" w14:textId="77777777" w:rsidR="00ED7507" w:rsidRPr="00ED7507" w:rsidRDefault="00ED7507" w:rsidP="00DB76E2">
            <w:pPr>
              <w:rPr>
                <w:sz w:val="20"/>
                <w:szCs w:val="20"/>
              </w:rPr>
            </w:pPr>
          </w:p>
          <w:p w14:paraId="1919F9CF" w14:textId="77777777" w:rsidR="00ED7507" w:rsidRPr="00ED7507" w:rsidRDefault="00ED7507" w:rsidP="00DB76E2">
            <w:pPr>
              <w:rPr>
                <w:sz w:val="20"/>
                <w:szCs w:val="20"/>
              </w:rPr>
            </w:pPr>
          </w:p>
          <w:p w14:paraId="14914761" w14:textId="77777777" w:rsidR="00ED7507" w:rsidRPr="00ED7507" w:rsidRDefault="00ED7507" w:rsidP="00DB76E2">
            <w:pPr>
              <w:rPr>
                <w:sz w:val="20"/>
                <w:szCs w:val="20"/>
              </w:rPr>
            </w:pPr>
          </w:p>
          <w:p w14:paraId="246C0B2A" w14:textId="77777777" w:rsidR="00ED7507" w:rsidRPr="00ED7507" w:rsidRDefault="00ED7507" w:rsidP="00DB76E2">
            <w:pPr>
              <w:rPr>
                <w:sz w:val="20"/>
                <w:szCs w:val="20"/>
              </w:rPr>
            </w:pPr>
          </w:p>
          <w:p w14:paraId="5FF50334" w14:textId="77777777" w:rsidR="00ED7507" w:rsidRPr="00ED7507" w:rsidRDefault="00ED7507" w:rsidP="00DB76E2">
            <w:pPr>
              <w:rPr>
                <w:sz w:val="20"/>
                <w:szCs w:val="20"/>
              </w:rPr>
            </w:pPr>
          </w:p>
          <w:p w14:paraId="5588BD87" w14:textId="77777777" w:rsidR="00ED7507" w:rsidRPr="00ED7507" w:rsidRDefault="00ED7507" w:rsidP="00DB76E2">
            <w:pPr>
              <w:rPr>
                <w:sz w:val="20"/>
                <w:szCs w:val="20"/>
              </w:rPr>
            </w:pPr>
          </w:p>
          <w:p w14:paraId="79DBC380" w14:textId="77777777" w:rsidR="00ED7507" w:rsidRPr="00ED7507" w:rsidRDefault="00ED7507" w:rsidP="00DB76E2">
            <w:pPr>
              <w:rPr>
                <w:sz w:val="20"/>
                <w:szCs w:val="20"/>
              </w:rPr>
            </w:pPr>
          </w:p>
          <w:p w14:paraId="7EE7EF12" w14:textId="77777777" w:rsidR="00ED7507" w:rsidRPr="00ED7507" w:rsidRDefault="00ED7507" w:rsidP="00DB76E2">
            <w:pPr>
              <w:rPr>
                <w:sz w:val="20"/>
                <w:szCs w:val="20"/>
              </w:rPr>
            </w:pPr>
          </w:p>
          <w:p w14:paraId="22CB8332" w14:textId="77777777" w:rsidR="00ED7507" w:rsidRPr="00ED7507" w:rsidRDefault="00ED7507" w:rsidP="006B18B6">
            <w:pPr>
              <w:spacing w:before="120"/>
              <w:rPr>
                <w:sz w:val="20"/>
                <w:szCs w:val="20"/>
              </w:rPr>
            </w:pPr>
            <w:r w:rsidRPr="00ED7507">
              <w:rPr>
                <w:sz w:val="20"/>
                <w:szCs w:val="20"/>
              </w:rPr>
              <w:t>5/14/2018</w:t>
            </w:r>
          </w:p>
        </w:tc>
        <w:tc>
          <w:tcPr>
            <w:tcW w:w="4713" w:type="dxa"/>
            <w:tcBorders>
              <w:top w:val="single" w:sz="18" w:space="0" w:color="FFFFFF" w:themeColor="background1"/>
              <w:bottom w:val="single" w:sz="18" w:space="0" w:color="FFFFFF" w:themeColor="background1"/>
            </w:tcBorders>
            <w:shd w:val="clear" w:color="auto" w:fill="BFBFBF" w:themeFill="background1" w:themeFillShade="BF"/>
          </w:tcPr>
          <w:p w14:paraId="7474E02A" w14:textId="77777777" w:rsidR="00CC41FE" w:rsidRPr="00ED7507" w:rsidRDefault="5B621C54" w:rsidP="00CC41FE">
            <w:pPr>
              <w:rPr>
                <w:sz w:val="20"/>
                <w:szCs w:val="20"/>
              </w:rPr>
            </w:pPr>
            <w:r w:rsidRPr="00ED7507">
              <w:rPr>
                <w:sz w:val="20"/>
                <w:szCs w:val="20"/>
              </w:rPr>
              <w:t>-Updated baseline technology mix per disposition “2018OutdoorLighting-1March2018” as follows:</w:t>
            </w:r>
          </w:p>
          <w:p w14:paraId="42C8A4A4" w14:textId="77777777" w:rsidR="00CC41FE" w:rsidRPr="00ED7507" w:rsidRDefault="5B621C54" w:rsidP="00CC41FE">
            <w:pPr>
              <w:rPr>
                <w:sz w:val="20"/>
                <w:szCs w:val="20"/>
              </w:rPr>
            </w:pPr>
            <w:r w:rsidRPr="00ED7507">
              <w:rPr>
                <w:sz w:val="20"/>
                <w:szCs w:val="20"/>
              </w:rPr>
              <w:t>Street light, Roadway/Area, Wall-mounted and Canopy – 100% LED</w:t>
            </w:r>
          </w:p>
          <w:p w14:paraId="26610B4F" w14:textId="77777777" w:rsidR="00342DBA" w:rsidRPr="00ED7507" w:rsidRDefault="5B621C54" w:rsidP="00707617">
            <w:pPr>
              <w:rPr>
                <w:sz w:val="20"/>
                <w:szCs w:val="20"/>
              </w:rPr>
            </w:pPr>
            <w:r w:rsidRPr="00ED7507">
              <w:rPr>
                <w:sz w:val="20"/>
                <w:szCs w:val="20"/>
              </w:rPr>
              <w:t>Parking Garage - 60% LED, 20% metal halide, and 20% linear fluorescent</w:t>
            </w:r>
          </w:p>
          <w:p w14:paraId="73FBA678" w14:textId="77777777" w:rsidR="00E91816" w:rsidRPr="00ED7507" w:rsidRDefault="5B621C54" w:rsidP="00E91816">
            <w:pPr>
              <w:rPr>
                <w:sz w:val="20"/>
                <w:szCs w:val="20"/>
              </w:rPr>
            </w:pPr>
            <w:r w:rsidRPr="00ED7507">
              <w:rPr>
                <w:sz w:val="20"/>
                <w:szCs w:val="20"/>
              </w:rPr>
              <w:t>- Measure codes LT282-LT324</w:t>
            </w:r>
            <w:r w:rsidRPr="00ED7507">
              <w:rPr>
                <w:color w:val="FF0000"/>
                <w:sz w:val="20"/>
                <w:szCs w:val="20"/>
              </w:rPr>
              <w:t xml:space="preserve"> </w:t>
            </w:r>
            <w:r w:rsidRPr="00ED7507">
              <w:rPr>
                <w:sz w:val="20"/>
                <w:szCs w:val="20"/>
              </w:rPr>
              <w:t>effective 1/1/2018 to follow DLC version 4.</w:t>
            </w:r>
            <w:r w:rsidR="004E498B" w:rsidRPr="00ED7507">
              <w:rPr>
                <w:sz w:val="20"/>
                <w:szCs w:val="20"/>
              </w:rPr>
              <w:t>3</w:t>
            </w:r>
            <w:r w:rsidRPr="00ED7507">
              <w:rPr>
                <w:sz w:val="20"/>
                <w:szCs w:val="20"/>
              </w:rPr>
              <w:t xml:space="preserve"> primary uses</w:t>
            </w:r>
          </w:p>
          <w:p w14:paraId="182E4275" w14:textId="77777777" w:rsidR="005D311E" w:rsidRPr="00ED7507" w:rsidRDefault="005D311E" w:rsidP="00E91816">
            <w:pPr>
              <w:rPr>
                <w:sz w:val="20"/>
                <w:szCs w:val="20"/>
              </w:rPr>
            </w:pPr>
            <w:r w:rsidRPr="00ED7507">
              <w:rPr>
                <w:sz w:val="20"/>
                <w:szCs w:val="20"/>
              </w:rPr>
              <w:t>- Cost is a temporary placeholder that uses IMC as a percentage of the rebate amount</w:t>
            </w:r>
          </w:p>
          <w:p w14:paraId="41B83588" w14:textId="77777777" w:rsidR="00ED7507" w:rsidRDefault="00ED7507" w:rsidP="00C502FB">
            <w:pPr>
              <w:spacing w:before="120"/>
              <w:rPr>
                <w:sz w:val="20"/>
                <w:szCs w:val="20"/>
              </w:rPr>
            </w:pPr>
            <w:r w:rsidRPr="00ED7507">
              <w:rPr>
                <w:sz w:val="20"/>
                <w:szCs w:val="20"/>
              </w:rPr>
              <w:t>-Updated NTG to 0.91 as per disposition “2018OutdoorLightingPhase1-7May2018-Final”</w:t>
            </w:r>
          </w:p>
          <w:p w14:paraId="52EA70A1" w14:textId="77777777" w:rsidR="00C10D2A" w:rsidRDefault="00C10D2A" w:rsidP="00E91816">
            <w:pPr>
              <w:rPr>
                <w:sz w:val="20"/>
                <w:szCs w:val="20"/>
              </w:rPr>
            </w:pPr>
            <w:r>
              <w:rPr>
                <w:sz w:val="20"/>
                <w:szCs w:val="20"/>
              </w:rPr>
              <w:t xml:space="preserve">-Updated </w:t>
            </w:r>
            <w:r w:rsidR="00B22C6A">
              <w:rPr>
                <w:sz w:val="20"/>
                <w:szCs w:val="20"/>
              </w:rPr>
              <w:t>Measure IDs and Cost I</w:t>
            </w:r>
            <w:r w:rsidR="003E7453">
              <w:rPr>
                <w:sz w:val="20"/>
                <w:szCs w:val="20"/>
              </w:rPr>
              <w:t>D</w:t>
            </w:r>
            <w:r w:rsidR="00B22C6A">
              <w:rPr>
                <w:sz w:val="20"/>
                <w:szCs w:val="20"/>
              </w:rPr>
              <w:t>s</w:t>
            </w:r>
          </w:p>
          <w:p w14:paraId="06EFC29C" w14:textId="77777777" w:rsidR="006B18B6" w:rsidRPr="00ED7507" w:rsidRDefault="006B18B6" w:rsidP="00E91816">
            <w:pPr>
              <w:rPr>
                <w:sz w:val="20"/>
                <w:szCs w:val="20"/>
              </w:rPr>
            </w:pPr>
          </w:p>
        </w:tc>
        <w:tc>
          <w:tcPr>
            <w:tcW w:w="2033" w:type="dxa"/>
            <w:tcBorders>
              <w:top w:val="single" w:sz="18" w:space="0" w:color="FFFFFF" w:themeColor="background1"/>
              <w:bottom w:val="single" w:sz="18" w:space="0" w:color="FFFFFF" w:themeColor="background1"/>
            </w:tcBorders>
            <w:shd w:val="clear" w:color="auto" w:fill="BFBFBF" w:themeFill="background1" w:themeFillShade="BF"/>
          </w:tcPr>
          <w:p w14:paraId="37098049" w14:textId="77777777" w:rsidR="006B18B6" w:rsidRDefault="5B621C54" w:rsidP="5B621C54">
            <w:pPr>
              <w:rPr>
                <w:sz w:val="20"/>
                <w:szCs w:val="20"/>
              </w:rPr>
            </w:pPr>
            <w:r w:rsidRPr="00ED7507">
              <w:rPr>
                <w:sz w:val="20"/>
                <w:szCs w:val="20"/>
              </w:rPr>
              <w:t>Greg Barker (Energy Solutions)</w:t>
            </w:r>
          </w:p>
          <w:p w14:paraId="028B5168" w14:textId="77777777" w:rsidR="006B18B6" w:rsidRDefault="5B621C54" w:rsidP="5B621C54">
            <w:pPr>
              <w:rPr>
                <w:sz w:val="20"/>
                <w:szCs w:val="20"/>
              </w:rPr>
            </w:pPr>
            <w:r w:rsidRPr="00ED7507">
              <w:rPr>
                <w:sz w:val="20"/>
                <w:szCs w:val="20"/>
              </w:rPr>
              <w:t>Mini Damodaran (PG&amp;E)</w:t>
            </w:r>
          </w:p>
          <w:p w14:paraId="35BEB0F0" w14:textId="77777777" w:rsidR="00342DBA" w:rsidRPr="00ED7507" w:rsidRDefault="5B621C54" w:rsidP="5B621C54">
            <w:pPr>
              <w:rPr>
                <w:sz w:val="20"/>
                <w:szCs w:val="20"/>
              </w:rPr>
            </w:pPr>
            <w:r w:rsidRPr="00ED7507">
              <w:rPr>
                <w:sz w:val="20"/>
                <w:szCs w:val="20"/>
              </w:rPr>
              <w:t>Linda Wan (PG&amp;E)</w:t>
            </w:r>
            <w:r w:rsidR="005D311E" w:rsidRPr="00ED7507">
              <w:rPr>
                <w:sz w:val="20"/>
                <w:szCs w:val="20"/>
              </w:rPr>
              <w:t xml:space="preserve"> James Liu (PG&amp;E)</w:t>
            </w:r>
          </w:p>
          <w:p w14:paraId="6F96BCD5" w14:textId="77777777" w:rsidR="00ED7507" w:rsidRPr="00ED7507" w:rsidRDefault="00ED7507" w:rsidP="5B621C54">
            <w:pPr>
              <w:rPr>
                <w:sz w:val="20"/>
                <w:szCs w:val="20"/>
              </w:rPr>
            </w:pPr>
          </w:p>
          <w:p w14:paraId="04D71977" w14:textId="77777777" w:rsidR="00ED7507" w:rsidRPr="00ED7507" w:rsidRDefault="00ED7507" w:rsidP="5B621C54">
            <w:pPr>
              <w:rPr>
                <w:sz w:val="20"/>
                <w:szCs w:val="20"/>
              </w:rPr>
            </w:pPr>
          </w:p>
          <w:p w14:paraId="4AF894DD" w14:textId="77777777" w:rsidR="00ED7507" w:rsidRPr="00ED7507" w:rsidRDefault="00ED7507" w:rsidP="5B621C54">
            <w:pPr>
              <w:rPr>
                <w:sz w:val="20"/>
                <w:szCs w:val="20"/>
              </w:rPr>
            </w:pPr>
          </w:p>
          <w:p w14:paraId="3D73C9B0" w14:textId="77777777" w:rsidR="00ED7507" w:rsidRPr="00ED7507" w:rsidRDefault="00ED7507" w:rsidP="5B621C54">
            <w:pPr>
              <w:rPr>
                <w:sz w:val="20"/>
                <w:szCs w:val="20"/>
              </w:rPr>
            </w:pPr>
          </w:p>
          <w:p w14:paraId="1E0D31E4" w14:textId="77777777" w:rsidR="00ED7507" w:rsidRPr="00ED7507" w:rsidRDefault="00ED7507" w:rsidP="006B18B6">
            <w:pPr>
              <w:spacing w:before="120"/>
              <w:rPr>
                <w:sz w:val="20"/>
                <w:szCs w:val="20"/>
              </w:rPr>
            </w:pPr>
            <w:r w:rsidRPr="00ED7507">
              <w:rPr>
                <w:sz w:val="20"/>
                <w:szCs w:val="20"/>
              </w:rPr>
              <w:t>Mini Damodaran (PG&amp;E)</w:t>
            </w:r>
          </w:p>
        </w:tc>
      </w:tr>
      <w:tr w:rsidR="002D515B" w:rsidRPr="004D2C30" w14:paraId="42014532" w14:textId="77777777" w:rsidTr="006A69BF">
        <w:trPr>
          <w:trHeight w:val="446"/>
        </w:trPr>
        <w:tc>
          <w:tcPr>
            <w:tcW w:w="1241" w:type="dxa"/>
            <w:tcBorders>
              <w:top w:val="single" w:sz="18" w:space="0" w:color="FFFFFF" w:themeColor="background1"/>
              <w:bottom w:val="nil"/>
            </w:tcBorders>
            <w:shd w:val="clear" w:color="auto" w:fill="BFBFBF" w:themeFill="background1" w:themeFillShade="BF"/>
          </w:tcPr>
          <w:p w14:paraId="57BD9CED" w14:textId="77777777" w:rsidR="002D515B" w:rsidRPr="00ED7507" w:rsidRDefault="002D515B" w:rsidP="006B18B6">
            <w:pPr>
              <w:spacing w:before="120" w:after="120"/>
              <w:rPr>
                <w:sz w:val="20"/>
                <w:szCs w:val="20"/>
              </w:rPr>
            </w:pPr>
            <w:r>
              <w:rPr>
                <w:sz w:val="20"/>
                <w:szCs w:val="20"/>
              </w:rPr>
              <w:lastRenderedPageBreak/>
              <w:t>Revision 9</w:t>
            </w:r>
          </w:p>
        </w:tc>
        <w:tc>
          <w:tcPr>
            <w:tcW w:w="1336" w:type="dxa"/>
            <w:tcBorders>
              <w:top w:val="single" w:sz="18" w:space="0" w:color="FFFFFF" w:themeColor="background1"/>
              <w:bottom w:val="nil"/>
            </w:tcBorders>
            <w:shd w:val="clear" w:color="auto" w:fill="BFBFBF" w:themeFill="background1" w:themeFillShade="BF"/>
          </w:tcPr>
          <w:p w14:paraId="3755EDAC" w14:textId="77777777" w:rsidR="002D515B" w:rsidRDefault="002D515B" w:rsidP="006B18B6">
            <w:pPr>
              <w:spacing w:before="120" w:after="120"/>
              <w:rPr>
                <w:sz w:val="20"/>
                <w:szCs w:val="20"/>
              </w:rPr>
            </w:pPr>
            <w:r>
              <w:rPr>
                <w:sz w:val="20"/>
                <w:szCs w:val="20"/>
              </w:rPr>
              <w:t>12/10/2018</w:t>
            </w:r>
          </w:p>
          <w:p w14:paraId="768BAC95" w14:textId="77777777" w:rsidR="003B5644" w:rsidRDefault="003B5644" w:rsidP="006B18B6">
            <w:pPr>
              <w:spacing w:before="120" w:after="120"/>
              <w:rPr>
                <w:sz w:val="20"/>
                <w:szCs w:val="20"/>
              </w:rPr>
            </w:pPr>
          </w:p>
          <w:p w14:paraId="6768CCCF" w14:textId="77777777" w:rsidR="003B5644" w:rsidRDefault="003B5644" w:rsidP="006B18B6">
            <w:pPr>
              <w:spacing w:before="120" w:after="120"/>
              <w:rPr>
                <w:sz w:val="20"/>
                <w:szCs w:val="20"/>
              </w:rPr>
            </w:pPr>
          </w:p>
          <w:p w14:paraId="3A8604A1" w14:textId="77777777" w:rsidR="003B5644" w:rsidRDefault="003B5644" w:rsidP="006B18B6">
            <w:pPr>
              <w:spacing w:before="120" w:after="120"/>
              <w:rPr>
                <w:sz w:val="20"/>
                <w:szCs w:val="20"/>
              </w:rPr>
            </w:pPr>
          </w:p>
          <w:p w14:paraId="426C6FC0" w14:textId="77777777" w:rsidR="003B5644" w:rsidRDefault="003B5644" w:rsidP="006B18B6">
            <w:pPr>
              <w:spacing w:before="120" w:after="120"/>
              <w:rPr>
                <w:sz w:val="20"/>
                <w:szCs w:val="20"/>
              </w:rPr>
            </w:pPr>
          </w:p>
          <w:p w14:paraId="5507FBBB" w14:textId="77777777" w:rsidR="003B5644" w:rsidRDefault="003B5644" w:rsidP="006B18B6">
            <w:pPr>
              <w:spacing w:before="120" w:after="120"/>
              <w:rPr>
                <w:sz w:val="20"/>
                <w:szCs w:val="20"/>
              </w:rPr>
            </w:pPr>
          </w:p>
          <w:p w14:paraId="2EB72AEF" w14:textId="77777777" w:rsidR="0014530F" w:rsidRDefault="0014530F" w:rsidP="0014530F">
            <w:pPr>
              <w:rPr>
                <w:sz w:val="20"/>
                <w:szCs w:val="20"/>
              </w:rPr>
            </w:pPr>
          </w:p>
          <w:p w14:paraId="203A0AB0" w14:textId="2E510CC0" w:rsidR="003B5644" w:rsidRPr="00ED7507" w:rsidRDefault="003B5644" w:rsidP="0014530F">
            <w:pPr>
              <w:rPr>
                <w:sz w:val="20"/>
                <w:szCs w:val="20"/>
              </w:rPr>
            </w:pPr>
            <w:r w:rsidRPr="00236184">
              <w:rPr>
                <w:sz w:val="20"/>
                <w:szCs w:val="20"/>
              </w:rPr>
              <w:t>3/1/2019</w:t>
            </w:r>
          </w:p>
        </w:tc>
        <w:tc>
          <w:tcPr>
            <w:tcW w:w="4713" w:type="dxa"/>
            <w:tcBorders>
              <w:top w:val="single" w:sz="18" w:space="0" w:color="FFFFFF" w:themeColor="background1"/>
              <w:bottom w:val="nil"/>
            </w:tcBorders>
            <w:shd w:val="clear" w:color="auto" w:fill="BFBFBF" w:themeFill="background1" w:themeFillShade="BF"/>
          </w:tcPr>
          <w:p w14:paraId="7746D48C" w14:textId="77777777" w:rsidR="002D515B" w:rsidRDefault="00C04A0A" w:rsidP="008F1743">
            <w:pPr>
              <w:spacing w:before="120" w:after="120"/>
              <w:rPr>
                <w:sz w:val="20"/>
                <w:szCs w:val="20"/>
              </w:rPr>
            </w:pPr>
            <w:r>
              <w:rPr>
                <w:sz w:val="20"/>
                <w:szCs w:val="20"/>
              </w:rPr>
              <w:t>Added TLED in the baseline and up</w:t>
            </w:r>
            <w:r w:rsidR="002D515B">
              <w:rPr>
                <w:sz w:val="20"/>
                <w:szCs w:val="20"/>
              </w:rPr>
              <w:t>date</w:t>
            </w:r>
            <w:r w:rsidR="006A69BF">
              <w:rPr>
                <w:sz w:val="20"/>
                <w:szCs w:val="20"/>
              </w:rPr>
              <w:t>d</w:t>
            </w:r>
            <w:r w:rsidR="002D515B">
              <w:rPr>
                <w:sz w:val="20"/>
                <w:szCs w:val="20"/>
              </w:rPr>
              <w:t xml:space="preserve"> cost for </w:t>
            </w:r>
            <w:r w:rsidR="006A69BF">
              <w:rPr>
                <w:sz w:val="20"/>
                <w:szCs w:val="20"/>
              </w:rPr>
              <w:t>p</w:t>
            </w:r>
            <w:r w:rsidR="002D515B">
              <w:rPr>
                <w:sz w:val="20"/>
                <w:szCs w:val="20"/>
              </w:rPr>
              <w:t xml:space="preserve">arking </w:t>
            </w:r>
            <w:r w:rsidR="006A69BF">
              <w:rPr>
                <w:sz w:val="20"/>
                <w:szCs w:val="20"/>
              </w:rPr>
              <w:t>g</w:t>
            </w:r>
            <w:r w:rsidR="002D515B">
              <w:rPr>
                <w:sz w:val="20"/>
                <w:szCs w:val="20"/>
              </w:rPr>
              <w:t>arage</w:t>
            </w:r>
            <w:r w:rsidR="006A69BF">
              <w:rPr>
                <w:sz w:val="20"/>
                <w:szCs w:val="20"/>
              </w:rPr>
              <w:t xml:space="preserve"> only</w:t>
            </w:r>
            <w:r w:rsidR="002D515B">
              <w:rPr>
                <w:sz w:val="20"/>
                <w:szCs w:val="20"/>
              </w:rPr>
              <w:t>, and sunset all other outdoor lighting measures.</w:t>
            </w:r>
            <w:r w:rsidR="006A69BF">
              <w:rPr>
                <w:sz w:val="20"/>
                <w:szCs w:val="20"/>
              </w:rPr>
              <w:t xml:space="preserve"> </w:t>
            </w:r>
            <w:r w:rsidR="002D515B">
              <w:rPr>
                <w:sz w:val="20"/>
                <w:szCs w:val="20"/>
              </w:rPr>
              <w:t>Switch</w:t>
            </w:r>
            <w:r w:rsidR="006A69BF">
              <w:rPr>
                <w:sz w:val="20"/>
                <w:szCs w:val="20"/>
              </w:rPr>
              <w:t>ed</w:t>
            </w:r>
            <w:r w:rsidR="002D515B">
              <w:rPr>
                <w:sz w:val="20"/>
                <w:szCs w:val="20"/>
              </w:rPr>
              <w:t xml:space="preserve"> wattage bin structure to lumen bin structure.</w:t>
            </w:r>
            <w:r w:rsidR="00320BCC">
              <w:rPr>
                <w:sz w:val="20"/>
                <w:szCs w:val="20"/>
              </w:rPr>
              <w:t xml:space="preserve"> Updated to Measure Codes LT480-LT487</w:t>
            </w:r>
            <w:r w:rsidR="008F1743">
              <w:rPr>
                <w:sz w:val="20"/>
                <w:szCs w:val="20"/>
              </w:rPr>
              <w:t>. Removed NC MAT. Measures effective 4/1/2019.</w:t>
            </w:r>
          </w:p>
          <w:p w14:paraId="444572E7" w14:textId="77777777" w:rsidR="006F2178" w:rsidRDefault="006F2178" w:rsidP="006F2178">
            <w:pPr>
              <w:spacing w:before="120" w:after="120"/>
              <w:rPr>
                <w:sz w:val="20"/>
                <w:szCs w:val="20"/>
              </w:rPr>
            </w:pPr>
            <w:r>
              <w:rPr>
                <w:sz w:val="20"/>
                <w:szCs w:val="20"/>
              </w:rPr>
              <w:t>Changing the WP title to “LED Outdoor Parking Garage Lighting” but keeping the same WP number.</w:t>
            </w:r>
          </w:p>
          <w:p w14:paraId="18AD871C" w14:textId="77777777" w:rsidR="00A87C64" w:rsidRDefault="00A87C64" w:rsidP="003B5644">
            <w:pPr>
              <w:rPr>
                <w:sz w:val="20"/>
                <w:szCs w:val="20"/>
              </w:rPr>
            </w:pPr>
          </w:p>
          <w:p w14:paraId="68BBD05F" w14:textId="7065C77D" w:rsidR="003B5644" w:rsidRPr="00236184" w:rsidRDefault="003B5644" w:rsidP="003B5644">
            <w:pPr>
              <w:rPr>
                <w:sz w:val="20"/>
                <w:szCs w:val="20"/>
              </w:rPr>
            </w:pPr>
            <w:r w:rsidRPr="00236184">
              <w:rPr>
                <w:sz w:val="20"/>
                <w:szCs w:val="20"/>
              </w:rPr>
              <w:t xml:space="preserve">Revised TLED </w:t>
            </w:r>
            <w:r w:rsidR="009B509C">
              <w:rPr>
                <w:sz w:val="20"/>
                <w:szCs w:val="20"/>
              </w:rPr>
              <w:t xml:space="preserve">lamp </w:t>
            </w:r>
            <w:r w:rsidRPr="00236184">
              <w:rPr>
                <w:sz w:val="20"/>
                <w:szCs w:val="20"/>
              </w:rPr>
              <w:t xml:space="preserve">efficacy </w:t>
            </w:r>
            <w:proofErr w:type="gramStart"/>
            <w:r w:rsidRPr="00236184">
              <w:rPr>
                <w:sz w:val="20"/>
                <w:szCs w:val="20"/>
              </w:rPr>
              <w:t>to 111 lm/W</w:t>
            </w:r>
            <w:r w:rsidR="00A35905" w:rsidRPr="00236184">
              <w:rPr>
                <w:sz w:val="20"/>
                <w:szCs w:val="20"/>
              </w:rPr>
              <w:t>,</w:t>
            </w:r>
            <w:proofErr w:type="gramEnd"/>
            <w:r w:rsidR="00A35905" w:rsidRPr="00236184">
              <w:rPr>
                <w:sz w:val="20"/>
                <w:szCs w:val="20"/>
              </w:rPr>
              <w:t xml:space="preserve"> results in TLED fixture efficacy of 85.2 lm/W.</w:t>
            </w:r>
          </w:p>
          <w:p w14:paraId="1168EC43" w14:textId="5DADCE69" w:rsidR="003B5644" w:rsidRPr="00236184" w:rsidRDefault="003B5644" w:rsidP="003B5644">
            <w:pPr>
              <w:rPr>
                <w:sz w:val="20"/>
                <w:szCs w:val="20"/>
              </w:rPr>
            </w:pPr>
            <w:r w:rsidRPr="00236184">
              <w:rPr>
                <w:sz w:val="20"/>
                <w:szCs w:val="20"/>
              </w:rPr>
              <w:t>Revised TLED cost from $0.0042/lm to $0.0036/lm.</w:t>
            </w:r>
          </w:p>
          <w:p w14:paraId="6DB8CC90" w14:textId="4DAE2949" w:rsidR="003B5644" w:rsidRPr="00ED7507" w:rsidRDefault="003B5644" w:rsidP="003B5644">
            <w:pPr>
              <w:rPr>
                <w:sz w:val="20"/>
                <w:szCs w:val="20"/>
              </w:rPr>
            </w:pPr>
          </w:p>
        </w:tc>
        <w:tc>
          <w:tcPr>
            <w:tcW w:w="2033" w:type="dxa"/>
            <w:tcBorders>
              <w:top w:val="single" w:sz="18" w:space="0" w:color="FFFFFF" w:themeColor="background1"/>
              <w:bottom w:val="nil"/>
            </w:tcBorders>
            <w:shd w:val="clear" w:color="auto" w:fill="BFBFBF" w:themeFill="background1" w:themeFillShade="BF"/>
          </w:tcPr>
          <w:p w14:paraId="658CAD37" w14:textId="77777777" w:rsidR="002D515B" w:rsidRDefault="002D515B" w:rsidP="006B18B6">
            <w:pPr>
              <w:spacing w:before="120" w:after="60"/>
              <w:rPr>
                <w:sz w:val="20"/>
                <w:szCs w:val="20"/>
              </w:rPr>
            </w:pPr>
            <w:r w:rsidRPr="00ED7507">
              <w:rPr>
                <w:sz w:val="20"/>
                <w:szCs w:val="20"/>
              </w:rPr>
              <w:t>Greg Barker (Energy Solutions)</w:t>
            </w:r>
          </w:p>
          <w:p w14:paraId="1F323F2E" w14:textId="77777777" w:rsidR="002D515B" w:rsidRDefault="002D515B" w:rsidP="006B18B6">
            <w:pPr>
              <w:spacing w:before="120" w:after="120"/>
              <w:rPr>
                <w:sz w:val="20"/>
                <w:szCs w:val="20"/>
              </w:rPr>
            </w:pPr>
            <w:r>
              <w:rPr>
                <w:sz w:val="20"/>
                <w:szCs w:val="20"/>
              </w:rPr>
              <w:t>Randy Kwok</w:t>
            </w:r>
            <w:r w:rsidRPr="00ED7507">
              <w:rPr>
                <w:sz w:val="20"/>
                <w:szCs w:val="20"/>
              </w:rPr>
              <w:t>(PG&amp;E)</w:t>
            </w:r>
          </w:p>
          <w:p w14:paraId="65AE95A2" w14:textId="77777777" w:rsidR="0014530F" w:rsidRDefault="0014530F" w:rsidP="006B18B6">
            <w:pPr>
              <w:spacing w:before="120" w:after="120"/>
              <w:rPr>
                <w:sz w:val="20"/>
                <w:szCs w:val="20"/>
              </w:rPr>
            </w:pPr>
          </w:p>
          <w:p w14:paraId="75AF6474" w14:textId="77777777" w:rsidR="0014530F" w:rsidRDefault="0014530F" w:rsidP="006B18B6">
            <w:pPr>
              <w:spacing w:before="120" w:after="120"/>
              <w:rPr>
                <w:sz w:val="20"/>
                <w:szCs w:val="20"/>
              </w:rPr>
            </w:pPr>
          </w:p>
          <w:p w14:paraId="779DBB1C" w14:textId="77777777" w:rsidR="0014530F" w:rsidRDefault="0014530F" w:rsidP="006B18B6">
            <w:pPr>
              <w:spacing w:before="120" w:after="120"/>
              <w:rPr>
                <w:sz w:val="20"/>
                <w:szCs w:val="20"/>
              </w:rPr>
            </w:pPr>
          </w:p>
          <w:p w14:paraId="0F52884E" w14:textId="77777777" w:rsidR="0014530F" w:rsidRDefault="0014530F" w:rsidP="006B18B6">
            <w:pPr>
              <w:spacing w:before="120" w:after="120"/>
              <w:rPr>
                <w:sz w:val="20"/>
                <w:szCs w:val="20"/>
              </w:rPr>
            </w:pPr>
          </w:p>
          <w:p w14:paraId="60DE0F63" w14:textId="64ADB8F7" w:rsidR="0014530F" w:rsidRPr="00ED7507" w:rsidRDefault="0014530F" w:rsidP="006B18B6">
            <w:pPr>
              <w:spacing w:before="120" w:after="120"/>
              <w:rPr>
                <w:sz w:val="20"/>
                <w:szCs w:val="20"/>
              </w:rPr>
            </w:pPr>
            <w:r>
              <w:rPr>
                <w:sz w:val="20"/>
                <w:szCs w:val="20"/>
              </w:rPr>
              <w:t>Randy Kwok</w:t>
            </w:r>
            <w:r w:rsidRPr="00ED7507">
              <w:rPr>
                <w:sz w:val="20"/>
                <w:szCs w:val="20"/>
              </w:rPr>
              <w:t>(PG&amp;E)</w:t>
            </w:r>
          </w:p>
        </w:tc>
      </w:tr>
    </w:tbl>
    <w:p w14:paraId="45C86F26" w14:textId="0835C23A" w:rsidR="000B0167" w:rsidRPr="008A1DA4" w:rsidRDefault="00A47FE3" w:rsidP="006A69BF">
      <w:pPr>
        <w:pStyle w:val="Heading1"/>
        <w:spacing w:before="120"/>
      </w:pPr>
      <w:r>
        <w:br w:type="page"/>
      </w:r>
      <w:bookmarkStart w:id="7" w:name="_Toc511134180"/>
      <w:bookmarkStart w:id="8" w:name="_Toc2803189"/>
      <w:r w:rsidR="5B621C54">
        <w:lastRenderedPageBreak/>
        <w:t>Table of Contents</w:t>
      </w:r>
      <w:bookmarkEnd w:id="6"/>
      <w:bookmarkEnd w:id="7"/>
      <w:bookmarkEnd w:id="8"/>
    </w:p>
    <w:p w14:paraId="6704029C" w14:textId="77777777" w:rsidR="006E5AA0" w:rsidRDefault="00A47FE3">
      <w:pPr>
        <w:pStyle w:val="TOC1"/>
        <w:rPr>
          <w:rFonts w:asciiTheme="minorHAnsi" w:eastAsiaTheme="minorEastAsia" w:hAnsiTheme="minorHAnsi" w:cstheme="minorBidi"/>
          <w:bCs w:val="0"/>
          <w:sz w:val="22"/>
          <w:szCs w:val="22"/>
        </w:rPr>
      </w:pPr>
      <w:r w:rsidRPr="5B621C54">
        <w:rPr>
          <w:noProof w:val="0"/>
        </w:rPr>
        <w:fldChar w:fldCharType="begin"/>
      </w:r>
      <w:r w:rsidRPr="001E474C">
        <w:rPr>
          <w:noProof w:val="0"/>
        </w:rPr>
        <w:instrText xml:space="preserve"> TOC \o "1-3" \h \z \u </w:instrText>
      </w:r>
      <w:r w:rsidRPr="5B621C54">
        <w:rPr>
          <w:noProof w:val="0"/>
        </w:rPr>
        <w:fldChar w:fldCharType="separate"/>
      </w:r>
      <w:hyperlink w:anchor="_Toc2803187" w:history="1">
        <w:r w:rsidR="006E5AA0" w:rsidRPr="00554349">
          <w:rPr>
            <w:rStyle w:val="Hyperlink"/>
          </w:rPr>
          <w:t>At-A-Glance Summary</w:t>
        </w:r>
        <w:r w:rsidR="006E5AA0">
          <w:rPr>
            <w:webHidden/>
          </w:rPr>
          <w:tab/>
        </w:r>
        <w:r w:rsidR="006E5AA0">
          <w:rPr>
            <w:webHidden/>
          </w:rPr>
          <w:fldChar w:fldCharType="begin"/>
        </w:r>
        <w:r w:rsidR="006E5AA0">
          <w:rPr>
            <w:webHidden/>
          </w:rPr>
          <w:instrText xml:space="preserve"> PAGEREF _Toc2803187 \h </w:instrText>
        </w:r>
        <w:r w:rsidR="006E5AA0">
          <w:rPr>
            <w:webHidden/>
          </w:rPr>
        </w:r>
        <w:r w:rsidR="006E5AA0">
          <w:rPr>
            <w:webHidden/>
          </w:rPr>
          <w:fldChar w:fldCharType="separate"/>
        </w:r>
        <w:r w:rsidR="006E5AA0">
          <w:rPr>
            <w:webHidden/>
          </w:rPr>
          <w:t>ii</w:t>
        </w:r>
        <w:r w:rsidR="006E5AA0">
          <w:rPr>
            <w:webHidden/>
          </w:rPr>
          <w:fldChar w:fldCharType="end"/>
        </w:r>
      </w:hyperlink>
    </w:p>
    <w:p w14:paraId="1FE50F56" w14:textId="77777777" w:rsidR="006E5AA0" w:rsidRDefault="00EF785F">
      <w:pPr>
        <w:pStyle w:val="TOC1"/>
        <w:rPr>
          <w:rFonts w:asciiTheme="minorHAnsi" w:eastAsiaTheme="minorEastAsia" w:hAnsiTheme="minorHAnsi" w:cstheme="minorBidi"/>
          <w:bCs w:val="0"/>
          <w:sz w:val="22"/>
          <w:szCs w:val="22"/>
        </w:rPr>
      </w:pPr>
      <w:hyperlink w:anchor="_Toc2803188" w:history="1">
        <w:r w:rsidR="006E5AA0" w:rsidRPr="00554349">
          <w:rPr>
            <w:rStyle w:val="Hyperlink"/>
          </w:rPr>
          <w:t>Document Revision History</w:t>
        </w:r>
        <w:r w:rsidR="006E5AA0">
          <w:rPr>
            <w:webHidden/>
          </w:rPr>
          <w:tab/>
        </w:r>
        <w:r w:rsidR="006E5AA0">
          <w:rPr>
            <w:webHidden/>
          </w:rPr>
          <w:fldChar w:fldCharType="begin"/>
        </w:r>
        <w:r w:rsidR="006E5AA0">
          <w:rPr>
            <w:webHidden/>
          </w:rPr>
          <w:instrText xml:space="preserve"> PAGEREF _Toc2803188 \h </w:instrText>
        </w:r>
        <w:r w:rsidR="006E5AA0">
          <w:rPr>
            <w:webHidden/>
          </w:rPr>
        </w:r>
        <w:r w:rsidR="006E5AA0">
          <w:rPr>
            <w:webHidden/>
          </w:rPr>
          <w:fldChar w:fldCharType="separate"/>
        </w:r>
        <w:r w:rsidR="006E5AA0">
          <w:rPr>
            <w:webHidden/>
          </w:rPr>
          <w:t>iii</w:t>
        </w:r>
        <w:r w:rsidR="006E5AA0">
          <w:rPr>
            <w:webHidden/>
          </w:rPr>
          <w:fldChar w:fldCharType="end"/>
        </w:r>
      </w:hyperlink>
    </w:p>
    <w:p w14:paraId="318A28F7" w14:textId="77777777" w:rsidR="006E5AA0" w:rsidRDefault="00EF785F">
      <w:pPr>
        <w:pStyle w:val="TOC1"/>
        <w:rPr>
          <w:rFonts w:asciiTheme="minorHAnsi" w:eastAsiaTheme="minorEastAsia" w:hAnsiTheme="minorHAnsi" w:cstheme="minorBidi"/>
          <w:bCs w:val="0"/>
          <w:sz w:val="22"/>
          <w:szCs w:val="22"/>
        </w:rPr>
      </w:pPr>
      <w:hyperlink w:anchor="_Toc2803189" w:history="1">
        <w:r w:rsidR="006E5AA0" w:rsidRPr="00554349">
          <w:rPr>
            <w:rStyle w:val="Hyperlink"/>
          </w:rPr>
          <w:t>Table of Contents</w:t>
        </w:r>
        <w:r w:rsidR="006E5AA0">
          <w:rPr>
            <w:webHidden/>
          </w:rPr>
          <w:tab/>
        </w:r>
        <w:r w:rsidR="006E5AA0">
          <w:rPr>
            <w:webHidden/>
          </w:rPr>
          <w:fldChar w:fldCharType="begin"/>
        </w:r>
        <w:r w:rsidR="006E5AA0">
          <w:rPr>
            <w:webHidden/>
          </w:rPr>
          <w:instrText xml:space="preserve"> PAGEREF _Toc2803189 \h </w:instrText>
        </w:r>
        <w:r w:rsidR="006E5AA0">
          <w:rPr>
            <w:webHidden/>
          </w:rPr>
        </w:r>
        <w:r w:rsidR="006E5AA0">
          <w:rPr>
            <w:webHidden/>
          </w:rPr>
          <w:fldChar w:fldCharType="separate"/>
        </w:r>
        <w:r w:rsidR="006E5AA0">
          <w:rPr>
            <w:webHidden/>
          </w:rPr>
          <w:t>v</w:t>
        </w:r>
        <w:r w:rsidR="006E5AA0">
          <w:rPr>
            <w:webHidden/>
          </w:rPr>
          <w:fldChar w:fldCharType="end"/>
        </w:r>
      </w:hyperlink>
    </w:p>
    <w:p w14:paraId="1C525397" w14:textId="77777777" w:rsidR="006E5AA0" w:rsidRDefault="00EF785F">
      <w:pPr>
        <w:pStyle w:val="TOC1"/>
        <w:rPr>
          <w:rFonts w:asciiTheme="minorHAnsi" w:eastAsiaTheme="minorEastAsia" w:hAnsiTheme="minorHAnsi" w:cstheme="minorBidi"/>
          <w:bCs w:val="0"/>
          <w:sz w:val="22"/>
          <w:szCs w:val="22"/>
        </w:rPr>
      </w:pPr>
      <w:hyperlink w:anchor="_Toc2803190" w:history="1">
        <w:r w:rsidR="006E5AA0" w:rsidRPr="00554349">
          <w:rPr>
            <w:rStyle w:val="Hyperlink"/>
          </w:rPr>
          <w:t>List of Tables</w:t>
        </w:r>
        <w:r w:rsidR="006E5AA0">
          <w:rPr>
            <w:webHidden/>
          </w:rPr>
          <w:tab/>
        </w:r>
        <w:r w:rsidR="006E5AA0">
          <w:rPr>
            <w:webHidden/>
          </w:rPr>
          <w:fldChar w:fldCharType="begin"/>
        </w:r>
        <w:r w:rsidR="006E5AA0">
          <w:rPr>
            <w:webHidden/>
          </w:rPr>
          <w:instrText xml:space="preserve"> PAGEREF _Toc2803190 \h </w:instrText>
        </w:r>
        <w:r w:rsidR="006E5AA0">
          <w:rPr>
            <w:webHidden/>
          </w:rPr>
        </w:r>
        <w:r w:rsidR="006E5AA0">
          <w:rPr>
            <w:webHidden/>
          </w:rPr>
          <w:fldChar w:fldCharType="separate"/>
        </w:r>
        <w:r w:rsidR="006E5AA0">
          <w:rPr>
            <w:webHidden/>
          </w:rPr>
          <w:t>vi</w:t>
        </w:r>
        <w:r w:rsidR="006E5AA0">
          <w:rPr>
            <w:webHidden/>
          </w:rPr>
          <w:fldChar w:fldCharType="end"/>
        </w:r>
      </w:hyperlink>
    </w:p>
    <w:p w14:paraId="1D5D82C0" w14:textId="77777777" w:rsidR="006E5AA0" w:rsidRDefault="00EF785F">
      <w:pPr>
        <w:pStyle w:val="TOC1"/>
        <w:rPr>
          <w:rFonts w:asciiTheme="minorHAnsi" w:eastAsiaTheme="minorEastAsia" w:hAnsiTheme="minorHAnsi" w:cstheme="minorBidi"/>
          <w:bCs w:val="0"/>
          <w:sz w:val="22"/>
          <w:szCs w:val="22"/>
        </w:rPr>
      </w:pPr>
      <w:hyperlink w:anchor="_Toc2803191" w:history="1">
        <w:r w:rsidR="006E5AA0" w:rsidRPr="00554349">
          <w:rPr>
            <w:rStyle w:val="Hyperlink"/>
          </w:rPr>
          <w:t>List of Figures</w:t>
        </w:r>
        <w:r w:rsidR="006E5AA0">
          <w:rPr>
            <w:webHidden/>
          </w:rPr>
          <w:tab/>
        </w:r>
        <w:r w:rsidR="006E5AA0">
          <w:rPr>
            <w:webHidden/>
          </w:rPr>
          <w:fldChar w:fldCharType="begin"/>
        </w:r>
        <w:r w:rsidR="006E5AA0">
          <w:rPr>
            <w:webHidden/>
          </w:rPr>
          <w:instrText xml:space="preserve"> PAGEREF _Toc2803191 \h </w:instrText>
        </w:r>
        <w:r w:rsidR="006E5AA0">
          <w:rPr>
            <w:webHidden/>
          </w:rPr>
        </w:r>
        <w:r w:rsidR="006E5AA0">
          <w:rPr>
            <w:webHidden/>
          </w:rPr>
          <w:fldChar w:fldCharType="separate"/>
        </w:r>
        <w:r w:rsidR="006E5AA0">
          <w:rPr>
            <w:webHidden/>
          </w:rPr>
          <w:t>vi</w:t>
        </w:r>
        <w:r w:rsidR="006E5AA0">
          <w:rPr>
            <w:webHidden/>
          </w:rPr>
          <w:fldChar w:fldCharType="end"/>
        </w:r>
      </w:hyperlink>
    </w:p>
    <w:p w14:paraId="276DD0C0" w14:textId="77777777" w:rsidR="006E5AA0" w:rsidRDefault="00EF785F">
      <w:pPr>
        <w:pStyle w:val="TOC1"/>
        <w:rPr>
          <w:rFonts w:asciiTheme="minorHAnsi" w:eastAsiaTheme="minorEastAsia" w:hAnsiTheme="minorHAnsi" w:cstheme="minorBidi"/>
          <w:bCs w:val="0"/>
          <w:sz w:val="22"/>
          <w:szCs w:val="22"/>
        </w:rPr>
      </w:pPr>
      <w:hyperlink w:anchor="_Toc2803192" w:history="1">
        <w:r w:rsidR="006E5AA0" w:rsidRPr="00554349">
          <w:rPr>
            <w:rStyle w:val="Hyperlink"/>
          </w:rPr>
          <w:t>Section 1. General Measure &amp; Baseline Data</w:t>
        </w:r>
        <w:r w:rsidR="006E5AA0">
          <w:rPr>
            <w:webHidden/>
          </w:rPr>
          <w:tab/>
        </w:r>
        <w:r w:rsidR="006E5AA0">
          <w:rPr>
            <w:webHidden/>
          </w:rPr>
          <w:fldChar w:fldCharType="begin"/>
        </w:r>
        <w:r w:rsidR="006E5AA0">
          <w:rPr>
            <w:webHidden/>
          </w:rPr>
          <w:instrText xml:space="preserve"> PAGEREF _Toc2803192 \h </w:instrText>
        </w:r>
        <w:r w:rsidR="006E5AA0">
          <w:rPr>
            <w:webHidden/>
          </w:rPr>
        </w:r>
        <w:r w:rsidR="006E5AA0">
          <w:rPr>
            <w:webHidden/>
          </w:rPr>
          <w:fldChar w:fldCharType="separate"/>
        </w:r>
        <w:r w:rsidR="006E5AA0">
          <w:rPr>
            <w:webHidden/>
          </w:rPr>
          <w:t>1</w:t>
        </w:r>
        <w:r w:rsidR="006E5AA0">
          <w:rPr>
            <w:webHidden/>
          </w:rPr>
          <w:fldChar w:fldCharType="end"/>
        </w:r>
      </w:hyperlink>
    </w:p>
    <w:p w14:paraId="3AEE16CA" w14:textId="77777777" w:rsidR="006E5AA0" w:rsidRDefault="00EF785F">
      <w:pPr>
        <w:pStyle w:val="TOC2"/>
        <w:tabs>
          <w:tab w:val="right" w:leader="dot" w:pos="9350"/>
        </w:tabs>
        <w:rPr>
          <w:rFonts w:asciiTheme="minorHAnsi" w:eastAsiaTheme="minorEastAsia" w:hAnsiTheme="minorHAnsi" w:cstheme="minorBidi"/>
          <w:noProof/>
          <w:sz w:val="22"/>
          <w:szCs w:val="22"/>
        </w:rPr>
      </w:pPr>
      <w:hyperlink w:anchor="_Toc2803193" w:history="1">
        <w:r w:rsidR="006E5AA0" w:rsidRPr="00554349">
          <w:rPr>
            <w:rStyle w:val="Hyperlink"/>
            <w:noProof/>
          </w:rPr>
          <w:t>1.1 Measure Description &amp; Background</w:t>
        </w:r>
        <w:r w:rsidR="006E5AA0">
          <w:rPr>
            <w:noProof/>
            <w:webHidden/>
          </w:rPr>
          <w:tab/>
        </w:r>
        <w:r w:rsidR="006E5AA0">
          <w:rPr>
            <w:noProof/>
            <w:webHidden/>
          </w:rPr>
          <w:fldChar w:fldCharType="begin"/>
        </w:r>
        <w:r w:rsidR="006E5AA0">
          <w:rPr>
            <w:noProof/>
            <w:webHidden/>
          </w:rPr>
          <w:instrText xml:space="preserve"> PAGEREF _Toc2803193 \h </w:instrText>
        </w:r>
        <w:r w:rsidR="006E5AA0">
          <w:rPr>
            <w:noProof/>
            <w:webHidden/>
          </w:rPr>
        </w:r>
        <w:r w:rsidR="006E5AA0">
          <w:rPr>
            <w:noProof/>
            <w:webHidden/>
          </w:rPr>
          <w:fldChar w:fldCharType="separate"/>
        </w:r>
        <w:r w:rsidR="006E5AA0">
          <w:rPr>
            <w:noProof/>
            <w:webHidden/>
          </w:rPr>
          <w:t>1</w:t>
        </w:r>
        <w:r w:rsidR="006E5AA0">
          <w:rPr>
            <w:noProof/>
            <w:webHidden/>
          </w:rPr>
          <w:fldChar w:fldCharType="end"/>
        </w:r>
      </w:hyperlink>
    </w:p>
    <w:p w14:paraId="5AED1055" w14:textId="77777777" w:rsidR="006E5AA0" w:rsidRDefault="00EF785F">
      <w:pPr>
        <w:pStyle w:val="TOC2"/>
        <w:tabs>
          <w:tab w:val="right" w:leader="dot" w:pos="9350"/>
        </w:tabs>
        <w:rPr>
          <w:rFonts w:asciiTheme="minorHAnsi" w:eastAsiaTheme="minorEastAsia" w:hAnsiTheme="minorHAnsi" w:cstheme="minorBidi"/>
          <w:noProof/>
          <w:sz w:val="22"/>
          <w:szCs w:val="22"/>
        </w:rPr>
      </w:pPr>
      <w:hyperlink w:anchor="_Toc2803194" w:history="1">
        <w:r w:rsidR="006E5AA0" w:rsidRPr="00554349">
          <w:rPr>
            <w:rStyle w:val="Hyperlink"/>
            <w:noProof/>
          </w:rPr>
          <w:t>1.2 Technical Description</w:t>
        </w:r>
        <w:r w:rsidR="006E5AA0">
          <w:rPr>
            <w:noProof/>
            <w:webHidden/>
          </w:rPr>
          <w:tab/>
        </w:r>
        <w:r w:rsidR="006E5AA0">
          <w:rPr>
            <w:noProof/>
            <w:webHidden/>
          </w:rPr>
          <w:fldChar w:fldCharType="begin"/>
        </w:r>
        <w:r w:rsidR="006E5AA0">
          <w:rPr>
            <w:noProof/>
            <w:webHidden/>
          </w:rPr>
          <w:instrText xml:space="preserve"> PAGEREF _Toc2803194 \h </w:instrText>
        </w:r>
        <w:r w:rsidR="006E5AA0">
          <w:rPr>
            <w:noProof/>
            <w:webHidden/>
          </w:rPr>
        </w:r>
        <w:r w:rsidR="006E5AA0">
          <w:rPr>
            <w:noProof/>
            <w:webHidden/>
          </w:rPr>
          <w:fldChar w:fldCharType="separate"/>
        </w:r>
        <w:r w:rsidR="006E5AA0">
          <w:rPr>
            <w:noProof/>
            <w:webHidden/>
          </w:rPr>
          <w:t>4</w:t>
        </w:r>
        <w:r w:rsidR="006E5AA0">
          <w:rPr>
            <w:noProof/>
            <w:webHidden/>
          </w:rPr>
          <w:fldChar w:fldCharType="end"/>
        </w:r>
      </w:hyperlink>
    </w:p>
    <w:p w14:paraId="53987B9F" w14:textId="77777777" w:rsidR="006E5AA0" w:rsidRDefault="00EF785F">
      <w:pPr>
        <w:pStyle w:val="TOC2"/>
        <w:tabs>
          <w:tab w:val="right" w:leader="dot" w:pos="9350"/>
        </w:tabs>
        <w:rPr>
          <w:rFonts w:asciiTheme="minorHAnsi" w:eastAsiaTheme="minorEastAsia" w:hAnsiTheme="minorHAnsi" w:cstheme="minorBidi"/>
          <w:noProof/>
          <w:sz w:val="22"/>
          <w:szCs w:val="22"/>
        </w:rPr>
      </w:pPr>
      <w:hyperlink w:anchor="_Toc2803195" w:history="1">
        <w:r w:rsidR="006E5AA0" w:rsidRPr="00554349">
          <w:rPr>
            <w:rStyle w:val="Hyperlink"/>
            <w:noProof/>
          </w:rPr>
          <w:t>1.3 Installation Types and Delivery Mechanisms</w:t>
        </w:r>
        <w:r w:rsidR="006E5AA0">
          <w:rPr>
            <w:noProof/>
            <w:webHidden/>
          </w:rPr>
          <w:tab/>
        </w:r>
        <w:r w:rsidR="006E5AA0">
          <w:rPr>
            <w:noProof/>
            <w:webHidden/>
          </w:rPr>
          <w:fldChar w:fldCharType="begin"/>
        </w:r>
        <w:r w:rsidR="006E5AA0">
          <w:rPr>
            <w:noProof/>
            <w:webHidden/>
          </w:rPr>
          <w:instrText xml:space="preserve"> PAGEREF _Toc2803195 \h </w:instrText>
        </w:r>
        <w:r w:rsidR="006E5AA0">
          <w:rPr>
            <w:noProof/>
            <w:webHidden/>
          </w:rPr>
        </w:r>
        <w:r w:rsidR="006E5AA0">
          <w:rPr>
            <w:noProof/>
            <w:webHidden/>
          </w:rPr>
          <w:fldChar w:fldCharType="separate"/>
        </w:r>
        <w:r w:rsidR="006E5AA0">
          <w:rPr>
            <w:noProof/>
            <w:webHidden/>
          </w:rPr>
          <w:t>4</w:t>
        </w:r>
        <w:r w:rsidR="006E5AA0">
          <w:rPr>
            <w:noProof/>
            <w:webHidden/>
          </w:rPr>
          <w:fldChar w:fldCharType="end"/>
        </w:r>
      </w:hyperlink>
    </w:p>
    <w:p w14:paraId="1BCB6E70" w14:textId="77777777" w:rsidR="006E5AA0" w:rsidRDefault="00EF785F">
      <w:pPr>
        <w:pStyle w:val="TOC2"/>
        <w:tabs>
          <w:tab w:val="right" w:leader="dot" w:pos="9350"/>
        </w:tabs>
        <w:rPr>
          <w:rFonts w:asciiTheme="minorHAnsi" w:eastAsiaTheme="minorEastAsia" w:hAnsiTheme="minorHAnsi" w:cstheme="minorBidi"/>
          <w:noProof/>
          <w:sz w:val="22"/>
          <w:szCs w:val="22"/>
        </w:rPr>
      </w:pPr>
      <w:hyperlink w:anchor="_Toc2803196" w:history="1">
        <w:r w:rsidR="006E5AA0" w:rsidRPr="00554349">
          <w:rPr>
            <w:rStyle w:val="Hyperlink"/>
            <w:noProof/>
          </w:rPr>
          <w:t>1.4 Product Base Case and Measure Case Data</w:t>
        </w:r>
        <w:r w:rsidR="006E5AA0">
          <w:rPr>
            <w:noProof/>
            <w:webHidden/>
          </w:rPr>
          <w:tab/>
        </w:r>
        <w:r w:rsidR="006E5AA0">
          <w:rPr>
            <w:noProof/>
            <w:webHidden/>
          </w:rPr>
          <w:fldChar w:fldCharType="begin"/>
        </w:r>
        <w:r w:rsidR="006E5AA0">
          <w:rPr>
            <w:noProof/>
            <w:webHidden/>
          </w:rPr>
          <w:instrText xml:space="preserve"> PAGEREF _Toc2803196 \h </w:instrText>
        </w:r>
        <w:r w:rsidR="006E5AA0">
          <w:rPr>
            <w:noProof/>
            <w:webHidden/>
          </w:rPr>
        </w:r>
        <w:r w:rsidR="006E5AA0">
          <w:rPr>
            <w:noProof/>
            <w:webHidden/>
          </w:rPr>
          <w:fldChar w:fldCharType="separate"/>
        </w:r>
        <w:r w:rsidR="006E5AA0">
          <w:rPr>
            <w:noProof/>
            <w:webHidden/>
          </w:rPr>
          <w:t>4</w:t>
        </w:r>
        <w:r w:rsidR="006E5AA0">
          <w:rPr>
            <w:noProof/>
            <w:webHidden/>
          </w:rPr>
          <w:fldChar w:fldCharType="end"/>
        </w:r>
      </w:hyperlink>
    </w:p>
    <w:p w14:paraId="665872D6" w14:textId="77777777" w:rsidR="006E5AA0" w:rsidRDefault="00EF785F">
      <w:pPr>
        <w:pStyle w:val="TOC3"/>
        <w:tabs>
          <w:tab w:val="right" w:leader="dot" w:pos="9350"/>
        </w:tabs>
        <w:rPr>
          <w:rFonts w:asciiTheme="minorHAnsi" w:eastAsiaTheme="minorEastAsia" w:hAnsiTheme="minorHAnsi" w:cstheme="minorBidi"/>
          <w:noProof/>
          <w:sz w:val="22"/>
          <w:szCs w:val="22"/>
        </w:rPr>
      </w:pPr>
      <w:hyperlink w:anchor="_Toc2803197" w:history="1">
        <w:r w:rsidR="006E5AA0" w:rsidRPr="00554349">
          <w:rPr>
            <w:rStyle w:val="Hyperlink"/>
            <w:noProof/>
          </w:rPr>
          <w:t>1.4.1 DEER Data</w:t>
        </w:r>
        <w:r w:rsidR="006E5AA0">
          <w:rPr>
            <w:noProof/>
            <w:webHidden/>
          </w:rPr>
          <w:tab/>
        </w:r>
        <w:r w:rsidR="006E5AA0">
          <w:rPr>
            <w:noProof/>
            <w:webHidden/>
          </w:rPr>
          <w:fldChar w:fldCharType="begin"/>
        </w:r>
        <w:r w:rsidR="006E5AA0">
          <w:rPr>
            <w:noProof/>
            <w:webHidden/>
          </w:rPr>
          <w:instrText xml:space="preserve"> PAGEREF _Toc2803197 \h </w:instrText>
        </w:r>
        <w:r w:rsidR="006E5AA0">
          <w:rPr>
            <w:noProof/>
            <w:webHidden/>
          </w:rPr>
        </w:r>
        <w:r w:rsidR="006E5AA0">
          <w:rPr>
            <w:noProof/>
            <w:webHidden/>
          </w:rPr>
          <w:fldChar w:fldCharType="separate"/>
        </w:r>
        <w:r w:rsidR="006E5AA0">
          <w:rPr>
            <w:noProof/>
            <w:webHidden/>
          </w:rPr>
          <w:t>4</w:t>
        </w:r>
        <w:r w:rsidR="006E5AA0">
          <w:rPr>
            <w:noProof/>
            <w:webHidden/>
          </w:rPr>
          <w:fldChar w:fldCharType="end"/>
        </w:r>
      </w:hyperlink>
    </w:p>
    <w:p w14:paraId="6A3A65C3" w14:textId="77777777" w:rsidR="006E5AA0" w:rsidRDefault="00EF785F">
      <w:pPr>
        <w:pStyle w:val="TOC3"/>
        <w:tabs>
          <w:tab w:val="right" w:leader="dot" w:pos="9350"/>
        </w:tabs>
        <w:rPr>
          <w:rFonts w:asciiTheme="minorHAnsi" w:eastAsiaTheme="minorEastAsia" w:hAnsiTheme="minorHAnsi" w:cstheme="minorBidi"/>
          <w:noProof/>
          <w:sz w:val="22"/>
          <w:szCs w:val="22"/>
        </w:rPr>
      </w:pPr>
      <w:hyperlink w:anchor="_Toc2803198" w:history="1">
        <w:r w:rsidR="006E5AA0" w:rsidRPr="00554349">
          <w:rPr>
            <w:rStyle w:val="Hyperlink"/>
            <w:noProof/>
          </w:rPr>
          <w:t>1.4.2 Codes &amp; Standards Requirements</w:t>
        </w:r>
        <w:r w:rsidR="006E5AA0">
          <w:rPr>
            <w:noProof/>
            <w:webHidden/>
          </w:rPr>
          <w:tab/>
        </w:r>
        <w:r w:rsidR="006E5AA0">
          <w:rPr>
            <w:noProof/>
            <w:webHidden/>
          </w:rPr>
          <w:fldChar w:fldCharType="begin"/>
        </w:r>
        <w:r w:rsidR="006E5AA0">
          <w:rPr>
            <w:noProof/>
            <w:webHidden/>
          </w:rPr>
          <w:instrText xml:space="preserve"> PAGEREF _Toc2803198 \h </w:instrText>
        </w:r>
        <w:r w:rsidR="006E5AA0">
          <w:rPr>
            <w:noProof/>
            <w:webHidden/>
          </w:rPr>
        </w:r>
        <w:r w:rsidR="006E5AA0">
          <w:rPr>
            <w:noProof/>
            <w:webHidden/>
          </w:rPr>
          <w:fldChar w:fldCharType="separate"/>
        </w:r>
        <w:r w:rsidR="006E5AA0">
          <w:rPr>
            <w:noProof/>
            <w:webHidden/>
          </w:rPr>
          <w:t>6</w:t>
        </w:r>
        <w:r w:rsidR="006E5AA0">
          <w:rPr>
            <w:noProof/>
            <w:webHidden/>
          </w:rPr>
          <w:fldChar w:fldCharType="end"/>
        </w:r>
      </w:hyperlink>
    </w:p>
    <w:p w14:paraId="5D5EEADD" w14:textId="77777777" w:rsidR="006E5AA0" w:rsidRDefault="00EF785F">
      <w:pPr>
        <w:pStyle w:val="TOC2"/>
        <w:tabs>
          <w:tab w:val="right" w:leader="dot" w:pos="9350"/>
        </w:tabs>
        <w:rPr>
          <w:rFonts w:asciiTheme="minorHAnsi" w:eastAsiaTheme="minorEastAsia" w:hAnsiTheme="minorHAnsi" w:cstheme="minorBidi"/>
          <w:noProof/>
          <w:sz w:val="22"/>
          <w:szCs w:val="22"/>
        </w:rPr>
      </w:pPr>
      <w:hyperlink w:anchor="_Toc2803199" w:history="1">
        <w:r w:rsidR="006E5AA0" w:rsidRPr="00554349">
          <w:rPr>
            <w:rStyle w:val="Hyperlink"/>
            <w:noProof/>
          </w:rPr>
          <w:t>1.5 EM&amp;V, Market Potential, and Other Studies – Base Case and Measure Case Information</w:t>
        </w:r>
        <w:r w:rsidR="006E5AA0">
          <w:rPr>
            <w:noProof/>
            <w:webHidden/>
          </w:rPr>
          <w:tab/>
        </w:r>
        <w:r w:rsidR="006E5AA0">
          <w:rPr>
            <w:noProof/>
            <w:webHidden/>
          </w:rPr>
          <w:fldChar w:fldCharType="begin"/>
        </w:r>
        <w:r w:rsidR="006E5AA0">
          <w:rPr>
            <w:noProof/>
            <w:webHidden/>
          </w:rPr>
          <w:instrText xml:space="preserve"> PAGEREF _Toc2803199 \h </w:instrText>
        </w:r>
        <w:r w:rsidR="006E5AA0">
          <w:rPr>
            <w:noProof/>
            <w:webHidden/>
          </w:rPr>
        </w:r>
        <w:r w:rsidR="006E5AA0">
          <w:rPr>
            <w:noProof/>
            <w:webHidden/>
          </w:rPr>
          <w:fldChar w:fldCharType="separate"/>
        </w:r>
        <w:r w:rsidR="006E5AA0">
          <w:rPr>
            <w:noProof/>
            <w:webHidden/>
          </w:rPr>
          <w:t>7</w:t>
        </w:r>
        <w:r w:rsidR="006E5AA0">
          <w:rPr>
            <w:noProof/>
            <w:webHidden/>
          </w:rPr>
          <w:fldChar w:fldCharType="end"/>
        </w:r>
      </w:hyperlink>
    </w:p>
    <w:p w14:paraId="1D65183F" w14:textId="77777777" w:rsidR="006E5AA0" w:rsidRDefault="00EF785F">
      <w:pPr>
        <w:pStyle w:val="TOC3"/>
        <w:tabs>
          <w:tab w:val="right" w:leader="dot" w:pos="9350"/>
        </w:tabs>
        <w:rPr>
          <w:rFonts w:asciiTheme="minorHAnsi" w:eastAsiaTheme="minorEastAsia" w:hAnsiTheme="minorHAnsi" w:cstheme="minorBidi"/>
          <w:noProof/>
          <w:sz w:val="22"/>
          <w:szCs w:val="22"/>
        </w:rPr>
      </w:pPr>
      <w:hyperlink w:anchor="_Toc2803200" w:history="1">
        <w:r w:rsidR="006E5AA0" w:rsidRPr="00554349">
          <w:rPr>
            <w:rStyle w:val="Hyperlink"/>
            <w:noProof/>
          </w:rPr>
          <w:t>1.5.1 TLED Baseline</w:t>
        </w:r>
        <w:r w:rsidR="006E5AA0">
          <w:rPr>
            <w:noProof/>
            <w:webHidden/>
          </w:rPr>
          <w:tab/>
        </w:r>
        <w:r w:rsidR="006E5AA0">
          <w:rPr>
            <w:noProof/>
            <w:webHidden/>
          </w:rPr>
          <w:fldChar w:fldCharType="begin"/>
        </w:r>
        <w:r w:rsidR="006E5AA0">
          <w:rPr>
            <w:noProof/>
            <w:webHidden/>
          </w:rPr>
          <w:instrText xml:space="preserve"> PAGEREF _Toc2803200 \h </w:instrText>
        </w:r>
        <w:r w:rsidR="006E5AA0">
          <w:rPr>
            <w:noProof/>
            <w:webHidden/>
          </w:rPr>
        </w:r>
        <w:r w:rsidR="006E5AA0">
          <w:rPr>
            <w:noProof/>
            <w:webHidden/>
          </w:rPr>
          <w:fldChar w:fldCharType="separate"/>
        </w:r>
        <w:r w:rsidR="006E5AA0">
          <w:rPr>
            <w:noProof/>
            <w:webHidden/>
          </w:rPr>
          <w:t>7</w:t>
        </w:r>
        <w:r w:rsidR="006E5AA0">
          <w:rPr>
            <w:noProof/>
            <w:webHidden/>
          </w:rPr>
          <w:fldChar w:fldCharType="end"/>
        </w:r>
      </w:hyperlink>
    </w:p>
    <w:p w14:paraId="4A5FFB4F" w14:textId="77777777" w:rsidR="006E5AA0" w:rsidRDefault="00EF785F">
      <w:pPr>
        <w:pStyle w:val="TOC3"/>
        <w:tabs>
          <w:tab w:val="right" w:leader="dot" w:pos="9350"/>
        </w:tabs>
        <w:rPr>
          <w:rFonts w:asciiTheme="minorHAnsi" w:eastAsiaTheme="minorEastAsia" w:hAnsiTheme="minorHAnsi" w:cstheme="minorBidi"/>
          <w:noProof/>
          <w:sz w:val="22"/>
          <w:szCs w:val="22"/>
        </w:rPr>
      </w:pPr>
      <w:hyperlink w:anchor="_Toc2803201" w:history="1">
        <w:r w:rsidR="006E5AA0" w:rsidRPr="00554349">
          <w:rPr>
            <w:rStyle w:val="Hyperlink"/>
            <w:noProof/>
          </w:rPr>
          <w:t>1.5.2 CALiPER Snapshot Report June 17, 2016:</w:t>
        </w:r>
        <w:r w:rsidR="006E5AA0">
          <w:rPr>
            <w:noProof/>
            <w:webHidden/>
          </w:rPr>
          <w:tab/>
        </w:r>
        <w:r w:rsidR="006E5AA0">
          <w:rPr>
            <w:noProof/>
            <w:webHidden/>
          </w:rPr>
          <w:fldChar w:fldCharType="begin"/>
        </w:r>
        <w:r w:rsidR="006E5AA0">
          <w:rPr>
            <w:noProof/>
            <w:webHidden/>
          </w:rPr>
          <w:instrText xml:space="preserve"> PAGEREF _Toc2803201 \h </w:instrText>
        </w:r>
        <w:r w:rsidR="006E5AA0">
          <w:rPr>
            <w:noProof/>
            <w:webHidden/>
          </w:rPr>
        </w:r>
        <w:r w:rsidR="006E5AA0">
          <w:rPr>
            <w:noProof/>
            <w:webHidden/>
          </w:rPr>
          <w:fldChar w:fldCharType="separate"/>
        </w:r>
        <w:r w:rsidR="006E5AA0">
          <w:rPr>
            <w:noProof/>
            <w:webHidden/>
          </w:rPr>
          <w:t>8</w:t>
        </w:r>
        <w:r w:rsidR="006E5AA0">
          <w:rPr>
            <w:noProof/>
            <w:webHidden/>
          </w:rPr>
          <w:fldChar w:fldCharType="end"/>
        </w:r>
      </w:hyperlink>
    </w:p>
    <w:p w14:paraId="5F38D80B" w14:textId="77777777" w:rsidR="006E5AA0" w:rsidRDefault="00EF785F">
      <w:pPr>
        <w:pStyle w:val="TOC3"/>
        <w:tabs>
          <w:tab w:val="right" w:leader="dot" w:pos="9350"/>
        </w:tabs>
        <w:rPr>
          <w:rFonts w:asciiTheme="minorHAnsi" w:eastAsiaTheme="minorEastAsia" w:hAnsiTheme="minorHAnsi" w:cstheme="minorBidi"/>
          <w:noProof/>
          <w:sz w:val="22"/>
          <w:szCs w:val="22"/>
        </w:rPr>
      </w:pPr>
      <w:hyperlink w:anchor="_Toc2803202" w:history="1">
        <w:r w:rsidR="006E5AA0" w:rsidRPr="00554349">
          <w:rPr>
            <w:rStyle w:val="Hyperlink"/>
            <w:noProof/>
          </w:rPr>
          <w:t>1.5.3 Lighting Dispositions and DEER Resolutions</w:t>
        </w:r>
        <w:r w:rsidR="006E5AA0">
          <w:rPr>
            <w:noProof/>
            <w:webHidden/>
          </w:rPr>
          <w:tab/>
        </w:r>
        <w:r w:rsidR="006E5AA0">
          <w:rPr>
            <w:noProof/>
            <w:webHidden/>
          </w:rPr>
          <w:fldChar w:fldCharType="begin"/>
        </w:r>
        <w:r w:rsidR="006E5AA0">
          <w:rPr>
            <w:noProof/>
            <w:webHidden/>
          </w:rPr>
          <w:instrText xml:space="preserve"> PAGEREF _Toc2803202 \h </w:instrText>
        </w:r>
        <w:r w:rsidR="006E5AA0">
          <w:rPr>
            <w:noProof/>
            <w:webHidden/>
          </w:rPr>
        </w:r>
        <w:r w:rsidR="006E5AA0">
          <w:rPr>
            <w:noProof/>
            <w:webHidden/>
          </w:rPr>
          <w:fldChar w:fldCharType="separate"/>
        </w:r>
        <w:r w:rsidR="006E5AA0">
          <w:rPr>
            <w:noProof/>
            <w:webHidden/>
          </w:rPr>
          <w:t>9</w:t>
        </w:r>
        <w:r w:rsidR="006E5AA0">
          <w:rPr>
            <w:noProof/>
            <w:webHidden/>
          </w:rPr>
          <w:fldChar w:fldCharType="end"/>
        </w:r>
      </w:hyperlink>
    </w:p>
    <w:p w14:paraId="22C50FBD" w14:textId="77777777" w:rsidR="006E5AA0" w:rsidRDefault="00EF785F">
      <w:pPr>
        <w:pStyle w:val="TOC3"/>
        <w:tabs>
          <w:tab w:val="right" w:leader="dot" w:pos="9350"/>
        </w:tabs>
        <w:rPr>
          <w:rFonts w:asciiTheme="minorHAnsi" w:eastAsiaTheme="minorEastAsia" w:hAnsiTheme="minorHAnsi" w:cstheme="minorBidi"/>
          <w:noProof/>
          <w:sz w:val="22"/>
          <w:szCs w:val="22"/>
        </w:rPr>
      </w:pPr>
      <w:hyperlink w:anchor="_Toc2803203" w:history="1">
        <w:r w:rsidR="006E5AA0" w:rsidRPr="00554349">
          <w:rPr>
            <w:rStyle w:val="Hyperlink"/>
            <w:noProof/>
          </w:rPr>
          <w:t>1.5.4 California LED Pricing Analysis, Navigant 2018</w:t>
        </w:r>
        <w:r w:rsidR="006E5AA0">
          <w:rPr>
            <w:noProof/>
            <w:webHidden/>
          </w:rPr>
          <w:tab/>
        </w:r>
        <w:r w:rsidR="006E5AA0">
          <w:rPr>
            <w:noProof/>
            <w:webHidden/>
          </w:rPr>
          <w:fldChar w:fldCharType="begin"/>
        </w:r>
        <w:r w:rsidR="006E5AA0">
          <w:rPr>
            <w:noProof/>
            <w:webHidden/>
          </w:rPr>
          <w:instrText xml:space="preserve"> PAGEREF _Toc2803203 \h </w:instrText>
        </w:r>
        <w:r w:rsidR="006E5AA0">
          <w:rPr>
            <w:noProof/>
            <w:webHidden/>
          </w:rPr>
        </w:r>
        <w:r w:rsidR="006E5AA0">
          <w:rPr>
            <w:noProof/>
            <w:webHidden/>
          </w:rPr>
          <w:fldChar w:fldCharType="separate"/>
        </w:r>
        <w:r w:rsidR="006E5AA0">
          <w:rPr>
            <w:noProof/>
            <w:webHidden/>
          </w:rPr>
          <w:t>10</w:t>
        </w:r>
        <w:r w:rsidR="006E5AA0">
          <w:rPr>
            <w:noProof/>
            <w:webHidden/>
          </w:rPr>
          <w:fldChar w:fldCharType="end"/>
        </w:r>
      </w:hyperlink>
    </w:p>
    <w:p w14:paraId="7CF99528" w14:textId="77777777" w:rsidR="006E5AA0" w:rsidRDefault="00EF785F">
      <w:pPr>
        <w:pStyle w:val="TOC3"/>
        <w:tabs>
          <w:tab w:val="right" w:leader="dot" w:pos="9350"/>
        </w:tabs>
        <w:rPr>
          <w:rFonts w:asciiTheme="minorHAnsi" w:eastAsiaTheme="minorEastAsia" w:hAnsiTheme="minorHAnsi" w:cstheme="minorBidi"/>
          <w:noProof/>
          <w:sz w:val="22"/>
          <w:szCs w:val="22"/>
        </w:rPr>
      </w:pPr>
      <w:hyperlink w:anchor="_Toc2803204" w:history="1">
        <w:r w:rsidR="006E5AA0" w:rsidRPr="00554349">
          <w:rPr>
            <w:rStyle w:val="Hyperlink"/>
            <w:noProof/>
          </w:rPr>
          <w:t>1.5.5 LED Workpaper Update Study, Navigant 2015</w:t>
        </w:r>
        <w:r w:rsidR="006E5AA0">
          <w:rPr>
            <w:noProof/>
            <w:webHidden/>
          </w:rPr>
          <w:tab/>
        </w:r>
        <w:r w:rsidR="006E5AA0">
          <w:rPr>
            <w:noProof/>
            <w:webHidden/>
          </w:rPr>
          <w:fldChar w:fldCharType="begin"/>
        </w:r>
        <w:r w:rsidR="006E5AA0">
          <w:rPr>
            <w:noProof/>
            <w:webHidden/>
          </w:rPr>
          <w:instrText xml:space="preserve"> PAGEREF _Toc2803204 \h </w:instrText>
        </w:r>
        <w:r w:rsidR="006E5AA0">
          <w:rPr>
            <w:noProof/>
            <w:webHidden/>
          </w:rPr>
        </w:r>
        <w:r w:rsidR="006E5AA0">
          <w:rPr>
            <w:noProof/>
            <w:webHidden/>
          </w:rPr>
          <w:fldChar w:fldCharType="separate"/>
        </w:r>
        <w:r w:rsidR="006E5AA0">
          <w:rPr>
            <w:noProof/>
            <w:webHidden/>
          </w:rPr>
          <w:t>12</w:t>
        </w:r>
        <w:r w:rsidR="006E5AA0">
          <w:rPr>
            <w:noProof/>
            <w:webHidden/>
          </w:rPr>
          <w:fldChar w:fldCharType="end"/>
        </w:r>
      </w:hyperlink>
    </w:p>
    <w:p w14:paraId="0DDC1506" w14:textId="77777777" w:rsidR="006E5AA0" w:rsidRDefault="00EF785F">
      <w:pPr>
        <w:pStyle w:val="TOC3"/>
        <w:tabs>
          <w:tab w:val="right" w:leader="dot" w:pos="9350"/>
        </w:tabs>
        <w:rPr>
          <w:rFonts w:asciiTheme="minorHAnsi" w:eastAsiaTheme="minorEastAsia" w:hAnsiTheme="minorHAnsi" w:cstheme="minorBidi"/>
          <w:noProof/>
          <w:sz w:val="22"/>
          <w:szCs w:val="22"/>
        </w:rPr>
      </w:pPr>
      <w:hyperlink w:anchor="_Toc2803205" w:history="1">
        <w:r w:rsidR="006E5AA0" w:rsidRPr="00554349">
          <w:rPr>
            <w:rStyle w:val="Hyperlink"/>
            <w:noProof/>
          </w:rPr>
          <w:t>1.5.6 Exterior Lighting Standard Practice Baseline and Workpaper Support, TRC Energy Services</w:t>
        </w:r>
        <w:r w:rsidR="006E5AA0">
          <w:rPr>
            <w:noProof/>
            <w:webHidden/>
          </w:rPr>
          <w:tab/>
        </w:r>
        <w:r w:rsidR="006E5AA0">
          <w:rPr>
            <w:noProof/>
            <w:webHidden/>
          </w:rPr>
          <w:fldChar w:fldCharType="begin"/>
        </w:r>
        <w:r w:rsidR="006E5AA0">
          <w:rPr>
            <w:noProof/>
            <w:webHidden/>
          </w:rPr>
          <w:instrText xml:space="preserve"> PAGEREF _Toc2803205 \h </w:instrText>
        </w:r>
        <w:r w:rsidR="006E5AA0">
          <w:rPr>
            <w:noProof/>
            <w:webHidden/>
          </w:rPr>
        </w:r>
        <w:r w:rsidR="006E5AA0">
          <w:rPr>
            <w:noProof/>
            <w:webHidden/>
          </w:rPr>
          <w:fldChar w:fldCharType="separate"/>
        </w:r>
        <w:r w:rsidR="006E5AA0">
          <w:rPr>
            <w:noProof/>
            <w:webHidden/>
          </w:rPr>
          <w:t>14</w:t>
        </w:r>
        <w:r w:rsidR="006E5AA0">
          <w:rPr>
            <w:noProof/>
            <w:webHidden/>
          </w:rPr>
          <w:fldChar w:fldCharType="end"/>
        </w:r>
      </w:hyperlink>
    </w:p>
    <w:p w14:paraId="4F1F3376" w14:textId="77777777" w:rsidR="006E5AA0" w:rsidRDefault="00EF785F">
      <w:pPr>
        <w:pStyle w:val="TOC3"/>
        <w:tabs>
          <w:tab w:val="right" w:leader="dot" w:pos="9350"/>
        </w:tabs>
        <w:rPr>
          <w:rFonts w:asciiTheme="minorHAnsi" w:eastAsiaTheme="minorEastAsia" w:hAnsiTheme="minorHAnsi" w:cstheme="minorBidi"/>
          <w:noProof/>
          <w:sz w:val="22"/>
          <w:szCs w:val="22"/>
        </w:rPr>
      </w:pPr>
      <w:hyperlink w:anchor="_Toc2803206" w:history="1">
        <w:r w:rsidR="006E5AA0" w:rsidRPr="00554349">
          <w:rPr>
            <w:rStyle w:val="Hyperlink"/>
            <w:noProof/>
          </w:rPr>
          <w:t>1.5.7 LED Non-Residential Lighting Market Characterization, Navigant – In Progress Update</w:t>
        </w:r>
        <w:r w:rsidR="006E5AA0">
          <w:rPr>
            <w:noProof/>
            <w:webHidden/>
          </w:rPr>
          <w:tab/>
        </w:r>
        <w:r w:rsidR="006E5AA0">
          <w:rPr>
            <w:noProof/>
            <w:webHidden/>
          </w:rPr>
          <w:fldChar w:fldCharType="begin"/>
        </w:r>
        <w:r w:rsidR="006E5AA0">
          <w:rPr>
            <w:noProof/>
            <w:webHidden/>
          </w:rPr>
          <w:instrText xml:space="preserve"> PAGEREF _Toc2803206 \h </w:instrText>
        </w:r>
        <w:r w:rsidR="006E5AA0">
          <w:rPr>
            <w:noProof/>
            <w:webHidden/>
          </w:rPr>
        </w:r>
        <w:r w:rsidR="006E5AA0">
          <w:rPr>
            <w:noProof/>
            <w:webHidden/>
          </w:rPr>
          <w:fldChar w:fldCharType="separate"/>
        </w:r>
        <w:r w:rsidR="006E5AA0">
          <w:rPr>
            <w:noProof/>
            <w:webHidden/>
          </w:rPr>
          <w:t>14</w:t>
        </w:r>
        <w:r w:rsidR="006E5AA0">
          <w:rPr>
            <w:noProof/>
            <w:webHidden/>
          </w:rPr>
          <w:fldChar w:fldCharType="end"/>
        </w:r>
      </w:hyperlink>
    </w:p>
    <w:p w14:paraId="7B061D1D" w14:textId="77777777" w:rsidR="006E5AA0" w:rsidRDefault="00EF785F">
      <w:pPr>
        <w:pStyle w:val="TOC2"/>
        <w:tabs>
          <w:tab w:val="right" w:leader="dot" w:pos="9350"/>
        </w:tabs>
        <w:rPr>
          <w:rFonts w:asciiTheme="minorHAnsi" w:eastAsiaTheme="minorEastAsia" w:hAnsiTheme="minorHAnsi" w:cstheme="minorBidi"/>
          <w:noProof/>
          <w:sz w:val="22"/>
          <w:szCs w:val="22"/>
        </w:rPr>
      </w:pPr>
      <w:hyperlink w:anchor="_Toc2803207" w:history="1">
        <w:r w:rsidR="006E5AA0" w:rsidRPr="00554349">
          <w:rPr>
            <w:rStyle w:val="Hyperlink"/>
            <w:noProof/>
          </w:rPr>
          <w:t>1.6 Data Quality and Future Data Needs</w:t>
        </w:r>
        <w:r w:rsidR="006E5AA0">
          <w:rPr>
            <w:noProof/>
            <w:webHidden/>
          </w:rPr>
          <w:tab/>
        </w:r>
        <w:r w:rsidR="006E5AA0">
          <w:rPr>
            <w:noProof/>
            <w:webHidden/>
          </w:rPr>
          <w:fldChar w:fldCharType="begin"/>
        </w:r>
        <w:r w:rsidR="006E5AA0">
          <w:rPr>
            <w:noProof/>
            <w:webHidden/>
          </w:rPr>
          <w:instrText xml:space="preserve"> PAGEREF _Toc2803207 \h </w:instrText>
        </w:r>
        <w:r w:rsidR="006E5AA0">
          <w:rPr>
            <w:noProof/>
            <w:webHidden/>
          </w:rPr>
        </w:r>
        <w:r w:rsidR="006E5AA0">
          <w:rPr>
            <w:noProof/>
            <w:webHidden/>
          </w:rPr>
          <w:fldChar w:fldCharType="separate"/>
        </w:r>
        <w:r w:rsidR="006E5AA0">
          <w:rPr>
            <w:noProof/>
            <w:webHidden/>
          </w:rPr>
          <w:t>15</w:t>
        </w:r>
        <w:r w:rsidR="006E5AA0">
          <w:rPr>
            <w:noProof/>
            <w:webHidden/>
          </w:rPr>
          <w:fldChar w:fldCharType="end"/>
        </w:r>
      </w:hyperlink>
    </w:p>
    <w:p w14:paraId="3497ED47" w14:textId="77777777" w:rsidR="006E5AA0" w:rsidRDefault="00EF785F">
      <w:pPr>
        <w:pStyle w:val="TOC3"/>
        <w:tabs>
          <w:tab w:val="right" w:leader="dot" w:pos="9350"/>
        </w:tabs>
        <w:rPr>
          <w:rFonts w:asciiTheme="minorHAnsi" w:eastAsiaTheme="minorEastAsia" w:hAnsiTheme="minorHAnsi" w:cstheme="minorBidi"/>
          <w:noProof/>
          <w:sz w:val="22"/>
          <w:szCs w:val="22"/>
        </w:rPr>
      </w:pPr>
      <w:hyperlink w:anchor="_Toc2803208" w:history="1">
        <w:r w:rsidR="006E5AA0" w:rsidRPr="00554349">
          <w:rPr>
            <w:rStyle w:val="Hyperlink"/>
            <w:noProof/>
          </w:rPr>
          <w:t>1.6.1 Inclusion of Early Retirement (ER)/Accelerated Replacement (AR) Measure Application Type</w:t>
        </w:r>
        <w:r w:rsidR="006E5AA0">
          <w:rPr>
            <w:noProof/>
            <w:webHidden/>
          </w:rPr>
          <w:tab/>
        </w:r>
        <w:r w:rsidR="006E5AA0">
          <w:rPr>
            <w:noProof/>
            <w:webHidden/>
          </w:rPr>
          <w:fldChar w:fldCharType="begin"/>
        </w:r>
        <w:r w:rsidR="006E5AA0">
          <w:rPr>
            <w:noProof/>
            <w:webHidden/>
          </w:rPr>
          <w:instrText xml:space="preserve"> PAGEREF _Toc2803208 \h </w:instrText>
        </w:r>
        <w:r w:rsidR="006E5AA0">
          <w:rPr>
            <w:noProof/>
            <w:webHidden/>
          </w:rPr>
        </w:r>
        <w:r w:rsidR="006E5AA0">
          <w:rPr>
            <w:noProof/>
            <w:webHidden/>
          </w:rPr>
          <w:fldChar w:fldCharType="separate"/>
        </w:r>
        <w:r w:rsidR="006E5AA0">
          <w:rPr>
            <w:noProof/>
            <w:webHidden/>
          </w:rPr>
          <w:t>15</w:t>
        </w:r>
        <w:r w:rsidR="006E5AA0">
          <w:rPr>
            <w:noProof/>
            <w:webHidden/>
          </w:rPr>
          <w:fldChar w:fldCharType="end"/>
        </w:r>
      </w:hyperlink>
    </w:p>
    <w:p w14:paraId="43768D7E" w14:textId="77777777" w:rsidR="006E5AA0" w:rsidRDefault="00EF785F">
      <w:pPr>
        <w:pStyle w:val="TOC3"/>
        <w:tabs>
          <w:tab w:val="right" w:leader="dot" w:pos="9350"/>
        </w:tabs>
        <w:rPr>
          <w:rFonts w:asciiTheme="minorHAnsi" w:eastAsiaTheme="minorEastAsia" w:hAnsiTheme="minorHAnsi" w:cstheme="minorBidi"/>
          <w:noProof/>
          <w:sz w:val="22"/>
          <w:szCs w:val="22"/>
        </w:rPr>
      </w:pPr>
      <w:hyperlink w:anchor="_Toc2803209" w:history="1">
        <w:r w:rsidR="006E5AA0" w:rsidRPr="00554349">
          <w:rPr>
            <w:rStyle w:val="Hyperlink"/>
            <w:noProof/>
          </w:rPr>
          <w:t>1.6.2 Product ID Collection Process</w:t>
        </w:r>
        <w:r w:rsidR="006E5AA0">
          <w:rPr>
            <w:noProof/>
            <w:webHidden/>
          </w:rPr>
          <w:tab/>
        </w:r>
        <w:r w:rsidR="006E5AA0">
          <w:rPr>
            <w:noProof/>
            <w:webHidden/>
          </w:rPr>
          <w:fldChar w:fldCharType="begin"/>
        </w:r>
        <w:r w:rsidR="006E5AA0">
          <w:rPr>
            <w:noProof/>
            <w:webHidden/>
          </w:rPr>
          <w:instrText xml:space="preserve"> PAGEREF _Toc2803209 \h </w:instrText>
        </w:r>
        <w:r w:rsidR="006E5AA0">
          <w:rPr>
            <w:noProof/>
            <w:webHidden/>
          </w:rPr>
        </w:r>
        <w:r w:rsidR="006E5AA0">
          <w:rPr>
            <w:noProof/>
            <w:webHidden/>
          </w:rPr>
          <w:fldChar w:fldCharType="separate"/>
        </w:r>
        <w:r w:rsidR="006E5AA0">
          <w:rPr>
            <w:noProof/>
            <w:webHidden/>
          </w:rPr>
          <w:t>15</w:t>
        </w:r>
        <w:r w:rsidR="006E5AA0">
          <w:rPr>
            <w:noProof/>
            <w:webHidden/>
          </w:rPr>
          <w:fldChar w:fldCharType="end"/>
        </w:r>
      </w:hyperlink>
    </w:p>
    <w:p w14:paraId="361EE64D" w14:textId="77777777" w:rsidR="006E5AA0" w:rsidRDefault="00EF785F">
      <w:pPr>
        <w:pStyle w:val="TOC3"/>
        <w:tabs>
          <w:tab w:val="right" w:leader="dot" w:pos="9350"/>
        </w:tabs>
        <w:rPr>
          <w:rFonts w:asciiTheme="minorHAnsi" w:eastAsiaTheme="minorEastAsia" w:hAnsiTheme="minorHAnsi" w:cstheme="minorBidi"/>
          <w:noProof/>
          <w:sz w:val="22"/>
          <w:szCs w:val="22"/>
        </w:rPr>
      </w:pPr>
      <w:hyperlink w:anchor="_Toc2803210" w:history="1">
        <w:r w:rsidR="006E5AA0" w:rsidRPr="00554349">
          <w:rPr>
            <w:rStyle w:val="Hyperlink"/>
            <w:noProof/>
          </w:rPr>
          <w:t>1.6.3 LightingFacts LED Database</w:t>
        </w:r>
        <w:r w:rsidR="006E5AA0">
          <w:rPr>
            <w:noProof/>
            <w:webHidden/>
          </w:rPr>
          <w:tab/>
        </w:r>
        <w:r w:rsidR="006E5AA0">
          <w:rPr>
            <w:noProof/>
            <w:webHidden/>
          </w:rPr>
          <w:fldChar w:fldCharType="begin"/>
        </w:r>
        <w:r w:rsidR="006E5AA0">
          <w:rPr>
            <w:noProof/>
            <w:webHidden/>
          </w:rPr>
          <w:instrText xml:space="preserve"> PAGEREF _Toc2803210 \h </w:instrText>
        </w:r>
        <w:r w:rsidR="006E5AA0">
          <w:rPr>
            <w:noProof/>
            <w:webHidden/>
          </w:rPr>
        </w:r>
        <w:r w:rsidR="006E5AA0">
          <w:rPr>
            <w:noProof/>
            <w:webHidden/>
          </w:rPr>
          <w:fldChar w:fldCharType="separate"/>
        </w:r>
        <w:r w:rsidR="006E5AA0">
          <w:rPr>
            <w:noProof/>
            <w:webHidden/>
          </w:rPr>
          <w:t>16</w:t>
        </w:r>
        <w:r w:rsidR="006E5AA0">
          <w:rPr>
            <w:noProof/>
            <w:webHidden/>
          </w:rPr>
          <w:fldChar w:fldCharType="end"/>
        </w:r>
      </w:hyperlink>
    </w:p>
    <w:p w14:paraId="5A75F568" w14:textId="77777777" w:rsidR="006E5AA0" w:rsidRDefault="00EF785F">
      <w:pPr>
        <w:pStyle w:val="TOC3"/>
        <w:tabs>
          <w:tab w:val="right" w:leader="dot" w:pos="9350"/>
        </w:tabs>
        <w:rPr>
          <w:rFonts w:asciiTheme="minorHAnsi" w:eastAsiaTheme="minorEastAsia" w:hAnsiTheme="minorHAnsi" w:cstheme="minorBidi"/>
          <w:noProof/>
          <w:sz w:val="22"/>
          <w:szCs w:val="22"/>
        </w:rPr>
      </w:pPr>
      <w:hyperlink w:anchor="_Toc2803211" w:history="1">
        <w:r w:rsidR="006E5AA0" w:rsidRPr="00554349">
          <w:rPr>
            <w:rStyle w:val="Hyperlink"/>
            <w:noProof/>
          </w:rPr>
          <w:t>1.6.4 Cost Data</w:t>
        </w:r>
        <w:r w:rsidR="006E5AA0">
          <w:rPr>
            <w:noProof/>
            <w:webHidden/>
          </w:rPr>
          <w:tab/>
        </w:r>
        <w:r w:rsidR="006E5AA0">
          <w:rPr>
            <w:noProof/>
            <w:webHidden/>
          </w:rPr>
          <w:fldChar w:fldCharType="begin"/>
        </w:r>
        <w:r w:rsidR="006E5AA0">
          <w:rPr>
            <w:noProof/>
            <w:webHidden/>
          </w:rPr>
          <w:instrText xml:space="preserve"> PAGEREF _Toc2803211 \h </w:instrText>
        </w:r>
        <w:r w:rsidR="006E5AA0">
          <w:rPr>
            <w:noProof/>
            <w:webHidden/>
          </w:rPr>
        </w:r>
        <w:r w:rsidR="006E5AA0">
          <w:rPr>
            <w:noProof/>
            <w:webHidden/>
          </w:rPr>
          <w:fldChar w:fldCharType="separate"/>
        </w:r>
        <w:r w:rsidR="006E5AA0">
          <w:rPr>
            <w:noProof/>
            <w:webHidden/>
          </w:rPr>
          <w:t>16</w:t>
        </w:r>
        <w:r w:rsidR="006E5AA0">
          <w:rPr>
            <w:noProof/>
            <w:webHidden/>
          </w:rPr>
          <w:fldChar w:fldCharType="end"/>
        </w:r>
      </w:hyperlink>
    </w:p>
    <w:p w14:paraId="7A548406" w14:textId="77777777" w:rsidR="006E5AA0" w:rsidRDefault="00EF785F">
      <w:pPr>
        <w:pStyle w:val="TOC1"/>
        <w:rPr>
          <w:rFonts w:asciiTheme="minorHAnsi" w:eastAsiaTheme="minorEastAsia" w:hAnsiTheme="minorHAnsi" w:cstheme="minorBidi"/>
          <w:bCs w:val="0"/>
          <w:sz w:val="22"/>
          <w:szCs w:val="22"/>
        </w:rPr>
      </w:pPr>
      <w:hyperlink w:anchor="_Toc2803212" w:history="1">
        <w:r w:rsidR="006E5AA0" w:rsidRPr="00554349">
          <w:rPr>
            <w:rStyle w:val="Hyperlink"/>
          </w:rPr>
          <w:t>Section 2. Calculation Methods</w:t>
        </w:r>
        <w:r w:rsidR="006E5AA0">
          <w:rPr>
            <w:webHidden/>
          </w:rPr>
          <w:tab/>
        </w:r>
        <w:r w:rsidR="006E5AA0">
          <w:rPr>
            <w:webHidden/>
          </w:rPr>
          <w:fldChar w:fldCharType="begin"/>
        </w:r>
        <w:r w:rsidR="006E5AA0">
          <w:rPr>
            <w:webHidden/>
          </w:rPr>
          <w:instrText xml:space="preserve"> PAGEREF _Toc2803212 \h </w:instrText>
        </w:r>
        <w:r w:rsidR="006E5AA0">
          <w:rPr>
            <w:webHidden/>
          </w:rPr>
        </w:r>
        <w:r w:rsidR="006E5AA0">
          <w:rPr>
            <w:webHidden/>
          </w:rPr>
          <w:fldChar w:fldCharType="separate"/>
        </w:r>
        <w:r w:rsidR="006E5AA0">
          <w:rPr>
            <w:webHidden/>
          </w:rPr>
          <w:t>17</w:t>
        </w:r>
        <w:r w:rsidR="006E5AA0">
          <w:rPr>
            <w:webHidden/>
          </w:rPr>
          <w:fldChar w:fldCharType="end"/>
        </w:r>
      </w:hyperlink>
    </w:p>
    <w:p w14:paraId="1759D3F1" w14:textId="77777777" w:rsidR="006E5AA0" w:rsidRDefault="00EF785F">
      <w:pPr>
        <w:pStyle w:val="TOC2"/>
        <w:tabs>
          <w:tab w:val="right" w:leader="dot" w:pos="9350"/>
        </w:tabs>
        <w:rPr>
          <w:rFonts w:asciiTheme="minorHAnsi" w:eastAsiaTheme="minorEastAsia" w:hAnsiTheme="minorHAnsi" w:cstheme="minorBidi"/>
          <w:noProof/>
          <w:sz w:val="22"/>
          <w:szCs w:val="22"/>
        </w:rPr>
      </w:pPr>
      <w:hyperlink w:anchor="_Toc2803213" w:history="1">
        <w:r w:rsidR="006E5AA0" w:rsidRPr="00554349">
          <w:rPr>
            <w:rStyle w:val="Hyperlink"/>
            <w:noProof/>
          </w:rPr>
          <w:t>2.1 Electric Energy Savings Estimation Methodologies</w:t>
        </w:r>
        <w:r w:rsidR="006E5AA0">
          <w:rPr>
            <w:noProof/>
            <w:webHidden/>
          </w:rPr>
          <w:tab/>
        </w:r>
        <w:r w:rsidR="006E5AA0">
          <w:rPr>
            <w:noProof/>
            <w:webHidden/>
          </w:rPr>
          <w:fldChar w:fldCharType="begin"/>
        </w:r>
        <w:r w:rsidR="006E5AA0">
          <w:rPr>
            <w:noProof/>
            <w:webHidden/>
          </w:rPr>
          <w:instrText xml:space="preserve"> PAGEREF _Toc2803213 \h </w:instrText>
        </w:r>
        <w:r w:rsidR="006E5AA0">
          <w:rPr>
            <w:noProof/>
            <w:webHidden/>
          </w:rPr>
        </w:r>
        <w:r w:rsidR="006E5AA0">
          <w:rPr>
            <w:noProof/>
            <w:webHidden/>
          </w:rPr>
          <w:fldChar w:fldCharType="separate"/>
        </w:r>
        <w:r w:rsidR="006E5AA0">
          <w:rPr>
            <w:noProof/>
            <w:webHidden/>
          </w:rPr>
          <w:t>23</w:t>
        </w:r>
        <w:r w:rsidR="006E5AA0">
          <w:rPr>
            <w:noProof/>
            <w:webHidden/>
          </w:rPr>
          <w:fldChar w:fldCharType="end"/>
        </w:r>
      </w:hyperlink>
    </w:p>
    <w:p w14:paraId="6C247E78" w14:textId="77777777" w:rsidR="006E5AA0" w:rsidRDefault="00EF785F">
      <w:pPr>
        <w:pStyle w:val="TOC2"/>
        <w:tabs>
          <w:tab w:val="right" w:leader="dot" w:pos="9350"/>
        </w:tabs>
        <w:rPr>
          <w:rFonts w:asciiTheme="minorHAnsi" w:eastAsiaTheme="minorEastAsia" w:hAnsiTheme="minorHAnsi" w:cstheme="minorBidi"/>
          <w:noProof/>
          <w:sz w:val="22"/>
          <w:szCs w:val="22"/>
        </w:rPr>
      </w:pPr>
      <w:hyperlink w:anchor="_Toc2803214" w:history="1">
        <w:r w:rsidR="006E5AA0" w:rsidRPr="00554349">
          <w:rPr>
            <w:rStyle w:val="Hyperlink"/>
            <w:noProof/>
          </w:rPr>
          <w:t>2.2 Demand Reduction Estimation Methodologies</w:t>
        </w:r>
        <w:r w:rsidR="006E5AA0">
          <w:rPr>
            <w:noProof/>
            <w:webHidden/>
          </w:rPr>
          <w:tab/>
        </w:r>
        <w:r w:rsidR="006E5AA0">
          <w:rPr>
            <w:noProof/>
            <w:webHidden/>
          </w:rPr>
          <w:fldChar w:fldCharType="begin"/>
        </w:r>
        <w:r w:rsidR="006E5AA0">
          <w:rPr>
            <w:noProof/>
            <w:webHidden/>
          </w:rPr>
          <w:instrText xml:space="preserve"> PAGEREF _Toc2803214 \h </w:instrText>
        </w:r>
        <w:r w:rsidR="006E5AA0">
          <w:rPr>
            <w:noProof/>
            <w:webHidden/>
          </w:rPr>
        </w:r>
        <w:r w:rsidR="006E5AA0">
          <w:rPr>
            <w:noProof/>
            <w:webHidden/>
          </w:rPr>
          <w:fldChar w:fldCharType="separate"/>
        </w:r>
        <w:r w:rsidR="006E5AA0">
          <w:rPr>
            <w:noProof/>
            <w:webHidden/>
          </w:rPr>
          <w:t>23</w:t>
        </w:r>
        <w:r w:rsidR="006E5AA0">
          <w:rPr>
            <w:noProof/>
            <w:webHidden/>
          </w:rPr>
          <w:fldChar w:fldCharType="end"/>
        </w:r>
      </w:hyperlink>
    </w:p>
    <w:p w14:paraId="4F14AB18" w14:textId="77777777" w:rsidR="006E5AA0" w:rsidRDefault="00EF785F">
      <w:pPr>
        <w:pStyle w:val="TOC2"/>
        <w:tabs>
          <w:tab w:val="right" w:leader="dot" w:pos="9350"/>
        </w:tabs>
        <w:rPr>
          <w:rFonts w:asciiTheme="minorHAnsi" w:eastAsiaTheme="minorEastAsia" w:hAnsiTheme="minorHAnsi" w:cstheme="minorBidi"/>
          <w:noProof/>
          <w:sz w:val="22"/>
          <w:szCs w:val="22"/>
        </w:rPr>
      </w:pPr>
      <w:hyperlink w:anchor="_Toc2803215" w:history="1">
        <w:r w:rsidR="006E5AA0" w:rsidRPr="00554349">
          <w:rPr>
            <w:rStyle w:val="Hyperlink"/>
            <w:noProof/>
          </w:rPr>
          <w:t>2.3 Gas Energy Savings Estimation Methodologies</w:t>
        </w:r>
        <w:r w:rsidR="006E5AA0">
          <w:rPr>
            <w:noProof/>
            <w:webHidden/>
          </w:rPr>
          <w:tab/>
        </w:r>
        <w:r w:rsidR="006E5AA0">
          <w:rPr>
            <w:noProof/>
            <w:webHidden/>
          </w:rPr>
          <w:fldChar w:fldCharType="begin"/>
        </w:r>
        <w:r w:rsidR="006E5AA0">
          <w:rPr>
            <w:noProof/>
            <w:webHidden/>
          </w:rPr>
          <w:instrText xml:space="preserve"> PAGEREF _Toc2803215 \h </w:instrText>
        </w:r>
        <w:r w:rsidR="006E5AA0">
          <w:rPr>
            <w:noProof/>
            <w:webHidden/>
          </w:rPr>
        </w:r>
        <w:r w:rsidR="006E5AA0">
          <w:rPr>
            <w:noProof/>
            <w:webHidden/>
          </w:rPr>
          <w:fldChar w:fldCharType="separate"/>
        </w:r>
        <w:r w:rsidR="006E5AA0">
          <w:rPr>
            <w:noProof/>
            <w:webHidden/>
          </w:rPr>
          <w:t>23</w:t>
        </w:r>
        <w:r w:rsidR="006E5AA0">
          <w:rPr>
            <w:noProof/>
            <w:webHidden/>
          </w:rPr>
          <w:fldChar w:fldCharType="end"/>
        </w:r>
      </w:hyperlink>
    </w:p>
    <w:p w14:paraId="66F487F7" w14:textId="77777777" w:rsidR="006E5AA0" w:rsidRDefault="00EF785F">
      <w:pPr>
        <w:pStyle w:val="TOC1"/>
        <w:rPr>
          <w:rFonts w:asciiTheme="minorHAnsi" w:eastAsiaTheme="minorEastAsia" w:hAnsiTheme="minorHAnsi" w:cstheme="minorBidi"/>
          <w:bCs w:val="0"/>
          <w:sz w:val="22"/>
          <w:szCs w:val="22"/>
        </w:rPr>
      </w:pPr>
      <w:hyperlink w:anchor="_Toc2803216" w:history="1">
        <w:r w:rsidR="006E5AA0" w:rsidRPr="00554349">
          <w:rPr>
            <w:rStyle w:val="Hyperlink"/>
          </w:rPr>
          <w:t>Section 3. Load Shapes</w:t>
        </w:r>
        <w:r w:rsidR="006E5AA0">
          <w:rPr>
            <w:webHidden/>
          </w:rPr>
          <w:tab/>
        </w:r>
        <w:r w:rsidR="006E5AA0">
          <w:rPr>
            <w:webHidden/>
          </w:rPr>
          <w:fldChar w:fldCharType="begin"/>
        </w:r>
        <w:r w:rsidR="006E5AA0">
          <w:rPr>
            <w:webHidden/>
          </w:rPr>
          <w:instrText xml:space="preserve"> PAGEREF _Toc2803216 \h </w:instrText>
        </w:r>
        <w:r w:rsidR="006E5AA0">
          <w:rPr>
            <w:webHidden/>
          </w:rPr>
        </w:r>
        <w:r w:rsidR="006E5AA0">
          <w:rPr>
            <w:webHidden/>
          </w:rPr>
          <w:fldChar w:fldCharType="separate"/>
        </w:r>
        <w:r w:rsidR="006E5AA0">
          <w:rPr>
            <w:webHidden/>
          </w:rPr>
          <w:t>23</w:t>
        </w:r>
        <w:r w:rsidR="006E5AA0">
          <w:rPr>
            <w:webHidden/>
          </w:rPr>
          <w:fldChar w:fldCharType="end"/>
        </w:r>
      </w:hyperlink>
    </w:p>
    <w:p w14:paraId="4E10FD2D" w14:textId="77777777" w:rsidR="006E5AA0" w:rsidRDefault="00EF785F">
      <w:pPr>
        <w:pStyle w:val="TOC2"/>
        <w:tabs>
          <w:tab w:val="right" w:leader="dot" w:pos="9350"/>
        </w:tabs>
        <w:rPr>
          <w:rFonts w:asciiTheme="minorHAnsi" w:eastAsiaTheme="minorEastAsia" w:hAnsiTheme="minorHAnsi" w:cstheme="minorBidi"/>
          <w:noProof/>
          <w:sz w:val="22"/>
          <w:szCs w:val="22"/>
        </w:rPr>
      </w:pPr>
      <w:hyperlink w:anchor="_Toc2803217" w:history="1">
        <w:r w:rsidR="006E5AA0" w:rsidRPr="00554349">
          <w:rPr>
            <w:rStyle w:val="Hyperlink"/>
            <w:noProof/>
          </w:rPr>
          <w:t>3.1 Base Case Load Shapes</w:t>
        </w:r>
        <w:r w:rsidR="006E5AA0">
          <w:rPr>
            <w:noProof/>
            <w:webHidden/>
          </w:rPr>
          <w:tab/>
        </w:r>
        <w:r w:rsidR="006E5AA0">
          <w:rPr>
            <w:noProof/>
            <w:webHidden/>
          </w:rPr>
          <w:fldChar w:fldCharType="begin"/>
        </w:r>
        <w:r w:rsidR="006E5AA0">
          <w:rPr>
            <w:noProof/>
            <w:webHidden/>
          </w:rPr>
          <w:instrText xml:space="preserve"> PAGEREF _Toc2803217 \h </w:instrText>
        </w:r>
        <w:r w:rsidR="006E5AA0">
          <w:rPr>
            <w:noProof/>
            <w:webHidden/>
          </w:rPr>
        </w:r>
        <w:r w:rsidR="006E5AA0">
          <w:rPr>
            <w:noProof/>
            <w:webHidden/>
          </w:rPr>
          <w:fldChar w:fldCharType="separate"/>
        </w:r>
        <w:r w:rsidR="006E5AA0">
          <w:rPr>
            <w:noProof/>
            <w:webHidden/>
          </w:rPr>
          <w:t>24</w:t>
        </w:r>
        <w:r w:rsidR="006E5AA0">
          <w:rPr>
            <w:noProof/>
            <w:webHidden/>
          </w:rPr>
          <w:fldChar w:fldCharType="end"/>
        </w:r>
      </w:hyperlink>
    </w:p>
    <w:p w14:paraId="7CCD7725" w14:textId="77777777" w:rsidR="006E5AA0" w:rsidRDefault="00EF785F">
      <w:pPr>
        <w:pStyle w:val="TOC2"/>
        <w:tabs>
          <w:tab w:val="right" w:leader="dot" w:pos="9350"/>
        </w:tabs>
        <w:rPr>
          <w:rFonts w:asciiTheme="minorHAnsi" w:eastAsiaTheme="minorEastAsia" w:hAnsiTheme="minorHAnsi" w:cstheme="minorBidi"/>
          <w:noProof/>
          <w:sz w:val="22"/>
          <w:szCs w:val="22"/>
        </w:rPr>
      </w:pPr>
      <w:hyperlink w:anchor="_Toc2803218" w:history="1">
        <w:r w:rsidR="006E5AA0" w:rsidRPr="00554349">
          <w:rPr>
            <w:rStyle w:val="Hyperlink"/>
            <w:noProof/>
          </w:rPr>
          <w:t>3.2 Measure Load Shapes</w:t>
        </w:r>
        <w:r w:rsidR="006E5AA0">
          <w:rPr>
            <w:noProof/>
            <w:webHidden/>
          </w:rPr>
          <w:tab/>
        </w:r>
        <w:r w:rsidR="006E5AA0">
          <w:rPr>
            <w:noProof/>
            <w:webHidden/>
          </w:rPr>
          <w:fldChar w:fldCharType="begin"/>
        </w:r>
        <w:r w:rsidR="006E5AA0">
          <w:rPr>
            <w:noProof/>
            <w:webHidden/>
          </w:rPr>
          <w:instrText xml:space="preserve"> PAGEREF _Toc2803218 \h </w:instrText>
        </w:r>
        <w:r w:rsidR="006E5AA0">
          <w:rPr>
            <w:noProof/>
            <w:webHidden/>
          </w:rPr>
        </w:r>
        <w:r w:rsidR="006E5AA0">
          <w:rPr>
            <w:noProof/>
            <w:webHidden/>
          </w:rPr>
          <w:fldChar w:fldCharType="separate"/>
        </w:r>
        <w:r w:rsidR="006E5AA0">
          <w:rPr>
            <w:noProof/>
            <w:webHidden/>
          </w:rPr>
          <w:t>24</w:t>
        </w:r>
        <w:r w:rsidR="006E5AA0">
          <w:rPr>
            <w:noProof/>
            <w:webHidden/>
          </w:rPr>
          <w:fldChar w:fldCharType="end"/>
        </w:r>
      </w:hyperlink>
    </w:p>
    <w:p w14:paraId="7160B170" w14:textId="77777777" w:rsidR="006E5AA0" w:rsidRDefault="00EF785F">
      <w:pPr>
        <w:pStyle w:val="TOC1"/>
        <w:rPr>
          <w:rFonts w:asciiTheme="minorHAnsi" w:eastAsiaTheme="minorEastAsia" w:hAnsiTheme="minorHAnsi" w:cstheme="minorBidi"/>
          <w:bCs w:val="0"/>
          <w:sz w:val="22"/>
          <w:szCs w:val="22"/>
        </w:rPr>
      </w:pPr>
      <w:hyperlink w:anchor="_Toc2803219" w:history="1">
        <w:r w:rsidR="006E5AA0" w:rsidRPr="00554349">
          <w:rPr>
            <w:rStyle w:val="Hyperlink"/>
          </w:rPr>
          <w:t>Section 4. Base Case &amp; Measure Costs</w:t>
        </w:r>
        <w:r w:rsidR="006E5AA0">
          <w:rPr>
            <w:webHidden/>
          </w:rPr>
          <w:tab/>
        </w:r>
        <w:r w:rsidR="006E5AA0">
          <w:rPr>
            <w:webHidden/>
          </w:rPr>
          <w:fldChar w:fldCharType="begin"/>
        </w:r>
        <w:r w:rsidR="006E5AA0">
          <w:rPr>
            <w:webHidden/>
          </w:rPr>
          <w:instrText xml:space="preserve"> PAGEREF _Toc2803219 \h </w:instrText>
        </w:r>
        <w:r w:rsidR="006E5AA0">
          <w:rPr>
            <w:webHidden/>
          </w:rPr>
        </w:r>
        <w:r w:rsidR="006E5AA0">
          <w:rPr>
            <w:webHidden/>
          </w:rPr>
          <w:fldChar w:fldCharType="separate"/>
        </w:r>
        <w:r w:rsidR="006E5AA0">
          <w:rPr>
            <w:webHidden/>
          </w:rPr>
          <w:t>24</w:t>
        </w:r>
        <w:r w:rsidR="006E5AA0">
          <w:rPr>
            <w:webHidden/>
          </w:rPr>
          <w:fldChar w:fldCharType="end"/>
        </w:r>
      </w:hyperlink>
    </w:p>
    <w:p w14:paraId="2583FE37" w14:textId="77777777" w:rsidR="006E5AA0" w:rsidRDefault="00EF785F">
      <w:pPr>
        <w:pStyle w:val="TOC2"/>
        <w:tabs>
          <w:tab w:val="right" w:leader="dot" w:pos="9350"/>
        </w:tabs>
        <w:rPr>
          <w:rFonts w:asciiTheme="minorHAnsi" w:eastAsiaTheme="minorEastAsia" w:hAnsiTheme="minorHAnsi" w:cstheme="minorBidi"/>
          <w:noProof/>
          <w:sz w:val="22"/>
          <w:szCs w:val="22"/>
        </w:rPr>
      </w:pPr>
      <w:hyperlink w:anchor="_Toc2803220" w:history="1">
        <w:r w:rsidR="006E5AA0" w:rsidRPr="00554349">
          <w:rPr>
            <w:rStyle w:val="Hyperlink"/>
            <w:noProof/>
          </w:rPr>
          <w:t>4.1 Base Case(s) Costs</w:t>
        </w:r>
        <w:r w:rsidR="006E5AA0">
          <w:rPr>
            <w:noProof/>
            <w:webHidden/>
          </w:rPr>
          <w:tab/>
        </w:r>
        <w:r w:rsidR="006E5AA0">
          <w:rPr>
            <w:noProof/>
            <w:webHidden/>
          </w:rPr>
          <w:fldChar w:fldCharType="begin"/>
        </w:r>
        <w:r w:rsidR="006E5AA0">
          <w:rPr>
            <w:noProof/>
            <w:webHidden/>
          </w:rPr>
          <w:instrText xml:space="preserve"> PAGEREF _Toc2803220 \h </w:instrText>
        </w:r>
        <w:r w:rsidR="006E5AA0">
          <w:rPr>
            <w:noProof/>
            <w:webHidden/>
          </w:rPr>
        </w:r>
        <w:r w:rsidR="006E5AA0">
          <w:rPr>
            <w:noProof/>
            <w:webHidden/>
          </w:rPr>
          <w:fldChar w:fldCharType="separate"/>
        </w:r>
        <w:r w:rsidR="006E5AA0">
          <w:rPr>
            <w:noProof/>
            <w:webHidden/>
          </w:rPr>
          <w:t>24</w:t>
        </w:r>
        <w:r w:rsidR="006E5AA0">
          <w:rPr>
            <w:noProof/>
            <w:webHidden/>
          </w:rPr>
          <w:fldChar w:fldCharType="end"/>
        </w:r>
      </w:hyperlink>
    </w:p>
    <w:p w14:paraId="53BC4671" w14:textId="77777777" w:rsidR="006E5AA0" w:rsidRDefault="00EF785F">
      <w:pPr>
        <w:pStyle w:val="TOC2"/>
        <w:tabs>
          <w:tab w:val="right" w:leader="dot" w:pos="9350"/>
        </w:tabs>
        <w:rPr>
          <w:rFonts w:asciiTheme="minorHAnsi" w:eastAsiaTheme="minorEastAsia" w:hAnsiTheme="minorHAnsi" w:cstheme="minorBidi"/>
          <w:noProof/>
          <w:sz w:val="22"/>
          <w:szCs w:val="22"/>
        </w:rPr>
      </w:pPr>
      <w:hyperlink w:anchor="_Toc2803221" w:history="1">
        <w:r w:rsidR="006E5AA0" w:rsidRPr="00554349">
          <w:rPr>
            <w:rStyle w:val="Hyperlink"/>
            <w:noProof/>
          </w:rPr>
          <w:t>4.2 Measure Case Costs</w:t>
        </w:r>
        <w:r w:rsidR="006E5AA0">
          <w:rPr>
            <w:noProof/>
            <w:webHidden/>
          </w:rPr>
          <w:tab/>
        </w:r>
        <w:r w:rsidR="006E5AA0">
          <w:rPr>
            <w:noProof/>
            <w:webHidden/>
          </w:rPr>
          <w:fldChar w:fldCharType="begin"/>
        </w:r>
        <w:r w:rsidR="006E5AA0">
          <w:rPr>
            <w:noProof/>
            <w:webHidden/>
          </w:rPr>
          <w:instrText xml:space="preserve"> PAGEREF _Toc2803221 \h </w:instrText>
        </w:r>
        <w:r w:rsidR="006E5AA0">
          <w:rPr>
            <w:noProof/>
            <w:webHidden/>
          </w:rPr>
        </w:r>
        <w:r w:rsidR="006E5AA0">
          <w:rPr>
            <w:noProof/>
            <w:webHidden/>
          </w:rPr>
          <w:fldChar w:fldCharType="separate"/>
        </w:r>
        <w:r w:rsidR="006E5AA0">
          <w:rPr>
            <w:noProof/>
            <w:webHidden/>
          </w:rPr>
          <w:t>25</w:t>
        </w:r>
        <w:r w:rsidR="006E5AA0">
          <w:rPr>
            <w:noProof/>
            <w:webHidden/>
          </w:rPr>
          <w:fldChar w:fldCharType="end"/>
        </w:r>
      </w:hyperlink>
    </w:p>
    <w:p w14:paraId="78E73B4F" w14:textId="77777777" w:rsidR="006E5AA0" w:rsidRDefault="00EF785F">
      <w:pPr>
        <w:pStyle w:val="TOC2"/>
        <w:tabs>
          <w:tab w:val="right" w:leader="dot" w:pos="9350"/>
        </w:tabs>
        <w:rPr>
          <w:rFonts w:asciiTheme="minorHAnsi" w:eastAsiaTheme="minorEastAsia" w:hAnsiTheme="minorHAnsi" w:cstheme="minorBidi"/>
          <w:noProof/>
          <w:sz w:val="22"/>
          <w:szCs w:val="22"/>
        </w:rPr>
      </w:pPr>
      <w:hyperlink w:anchor="_Toc2803222" w:history="1">
        <w:r w:rsidR="006E5AA0" w:rsidRPr="00554349">
          <w:rPr>
            <w:rStyle w:val="Hyperlink"/>
            <w:noProof/>
          </w:rPr>
          <w:t>4.3 Incremental &amp; Full Measure Costs</w:t>
        </w:r>
        <w:r w:rsidR="006E5AA0">
          <w:rPr>
            <w:noProof/>
            <w:webHidden/>
          </w:rPr>
          <w:tab/>
        </w:r>
        <w:r w:rsidR="006E5AA0">
          <w:rPr>
            <w:noProof/>
            <w:webHidden/>
          </w:rPr>
          <w:fldChar w:fldCharType="begin"/>
        </w:r>
        <w:r w:rsidR="006E5AA0">
          <w:rPr>
            <w:noProof/>
            <w:webHidden/>
          </w:rPr>
          <w:instrText xml:space="preserve"> PAGEREF _Toc2803222 \h </w:instrText>
        </w:r>
        <w:r w:rsidR="006E5AA0">
          <w:rPr>
            <w:noProof/>
            <w:webHidden/>
          </w:rPr>
        </w:r>
        <w:r w:rsidR="006E5AA0">
          <w:rPr>
            <w:noProof/>
            <w:webHidden/>
          </w:rPr>
          <w:fldChar w:fldCharType="separate"/>
        </w:r>
        <w:r w:rsidR="006E5AA0">
          <w:rPr>
            <w:noProof/>
            <w:webHidden/>
          </w:rPr>
          <w:t>25</w:t>
        </w:r>
        <w:r w:rsidR="006E5AA0">
          <w:rPr>
            <w:noProof/>
            <w:webHidden/>
          </w:rPr>
          <w:fldChar w:fldCharType="end"/>
        </w:r>
      </w:hyperlink>
    </w:p>
    <w:p w14:paraId="59DB32DE" w14:textId="77777777" w:rsidR="006E5AA0" w:rsidRDefault="00EF785F">
      <w:pPr>
        <w:pStyle w:val="TOC1"/>
        <w:rPr>
          <w:rFonts w:asciiTheme="minorHAnsi" w:eastAsiaTheme="minorEastAsia" w:hAnsiTheme="minorHAnsi" w:cstheme="minorBidi"/>
          <w:bCs w:val="0"/>
          <w:sz w:val="22"/>
          <w:szCs w:val="22"/>
        </w:rPr>
      </w:pPr>
      <w:hyperlink w:anchor="_Toc2803223" w:history="1">
        <w:r w:rsidR="006E5AA0" w:rsidRPr="00554349">
          <w:rPr>
            <w:rStyle w:val="Hyperlink"/>
          </w:rPr>
          <w:t>Attachments</w:t>
        </w:r>
        <w:r w:rsidR="006E5AA0">
          <w:rPr>
            <w:webHidden/>
          </w:rPr>
          <w:tab/>
        </w:r>
        <w:r w:rsidR="006E5AA0">
          <w:rPr>
            <w:webHidden/>
          </w:rPr>
          <w:fldChar w:fldCharType="begin"/>
        </w:r>
        <w:r w:rsidR="006E5AA0">
          <w:rPr>
            <w:webHidden/>
          </w:rPr>
          <w:instrText xml:space="preserve"> PAGEREF _Toc2803223 \h </w:instrText>
        </w:r>
        <w:r w:rsidR="006E5AA0">
          <w:rPr>
            <w:webHidden/>
          </w:rPr>
        </w:r>
        <w:r w:rsidR="006E5AA0">
          <w:rPr>
            <w:webHidden/>
          </w:rPr>
          <w:fldChar w:fldCharType="separate"/>
        </w:r>
        <w:r w:rsidR="006E5AA0">
          <w:rPr>
            <w:webHidden/>
          </w:rPr>
          <w:t>27</w:t>
        </w:r>
        <w:r w:rsidR="006E5AA0">
          <w:rPr>
            <w:webHidden/>
          </w:rPr>
          <w:fldChar w:fldCharType="end"/>
        </w:r>
      </w:hyperlink>
    </w:p>
    <w:p w14:paraId="493B6183" w14:textId="77777777" w:rsidR="006E5AA0" w:rsidRDefault="00EF785F">
      <w:pPr>
        <w:pStyle w:val="TOC1"/>
        <w:rPr>
          <w:rFonts w:asciiTheme="minorHAnsi" w:eastAsiaTheme="minorEastAsia" w:hAnsiTheme="minorHAnsi" w:cstheme="minorBidi"/>
          <w:bCs w:val="0"/>
          <w:sz w:val="22"/>
          <w:szCs w:val="22"/>
        </w:rPr>
      </w:pPr>
      <w:hyperlink w:anchor="_Toc2803224" w:history="1">
        <w:r w:rsidR="006E5AA0" w:rsidRPr="00554349">
          <w:rPr>
            <w:rStyle w:val="Hyperlink"/>
          </w:rPr>
          <w:t>References</w:t>
        </w:r>
        <w:r w:rsidR="006E5AA0">
          <w:rPr>
            <w:webHidden/>
          </w:rPr>
          <w:tab/>
        </w:r>
        <w:r w:rsidR="006E5AA0">
          <w:rPr>
            <w:webHidden/>
          </w:rPr>
          <w:fldChar w:fldCharType="begin"/>
        </w:r>
        <w:r w:rsidR="006E5AA0">
          <w:rPr>
            <w:webHidden/>
          </w:rPr>
          <w:instrText xml:space="preserve"> PAGEREF _Toc2803224 \h </w:instrText>
        </w:r>
        <w:r w:rsidR="006E5AA0">
          <w:rPr>
            <w:webHidden/>
          </w:rPr>
        </w:r>
        <w:r w:rsidR="006E5AA0">
          <w:rPr>
            <w:webHidden/>
          </w:rPr>
          <w:fldChar w:fldCharType="separate"/>
        </w:r>
        <w:r w:rsidR="006E5AA0">
          <w:rPr>
            <w:webHidden/>
          </w:rPr>
          <w:t>28</w:t>
        </w:r>
        <w:r w:rsidR="006E5AA0">
          <w:rPr>
            <w:webHidden/>
          </w:rPr>
          <w:fldChar w:fldCharType="end"/>
        </w:r>
      </w:hyperlink>
    </w:p>
    <w:p w14:paraId="17E769A1" w14:textId="77777777" w:rsidR="004D2C30" w:rsidRDefault="00A47FE3" w:rsidP="00D967BC">
      <w:pPr>
        <w:pStyle w:val="TOC1"/>
      </w:pPr>
      <w:r w:rsidRPr="5B621C54">
        <w:fldChar w:fldCharType="end"/>
      </w:r>
      <w:bookmarkStart w:id="9" w:name="_Toc172205729"/>
      <w:bookmarkStart w:id="10" w:name="_Toc511134181"/>
    </w:p>
    <w:p w14:paraId="23CBF6CB" w14:textId="77777777" w:rsidR="004D2C30" w:rsidRDefault="004D2C30">
      <w:pPr>
        <w:rPr>
          <w:rFonts w:ascii="Arial" w:hAnsi="Arial" w:cs="Arial"/>
          <w:b/>
          <w:bCs/>
          <w:kern w:val="32"/>
          <w:sz w:val="32"/>
          <w:szCs w:val="32"/>
        </w:rPr>
      </w:pPr>
      <w:r>
        <w:br w:type="page"/>
      </w:r>
    </w:p>
    <w:p w14:paraId="62C79127" w14:textId="77777777" w:rsidR="000B0167" w:rsidRPr="008A1DA4" w:rsidRDefault="00A47FE3" w:rsidP="006A69BF">
      <w:pPr>
        <w:pStyle w:val="Heading1"/>
        <w:spacing w:before="120"/>
      </w:pPr>
      <w:bookmarkStart w:id="11" w:name="_Toc2803190"/>
      <w:r w:rsidRPr="008A1DA4">
        <w:lastRenderedPageBreak/>
        <w:t>List of Tables</w:t>
      </w:r>
      <w:bookmarkEnd w:id="9"/>
      <w:bookmarkEnd w:id="10"/>
      <w:bookmarkEnd w:id="11"/>
    </w:p>
    <w:p w14:paraId="0E5928E6" w14:textId="77777777" w:rsidR="006E5AA0" w:rsidRDefault="00A47FE3">
      <w:pPr>
        <w:pStyle w:val="TableofFigures"/>
        <w:tabs>
          <w:tab w:val="right" w:leader="dot" w:pos="9350"/>
        </w:tabs>
        <w:rPr>
          <w:rFonts w:asciiTheme="minorHAnsi" w:eastAsiaTheme="minorEastAsia" w:hAnsiTheme="minorHAnsi" w:cstheme="minorBidi"/>
          <w:noProof/>
          <w:sz w:val="22"/>
          <w:szCs w:val="22"/>
        </w:rPr>
      </w:pPr>
      <w:r w:rsidRPr="008A1DA4">
        <w:fldChar w:fldCharType="begin"/>
      </w:r>
      <w:r w:rsidRPr="008A1DA4">
        <w:instrText xml:space="preserve"> TOC \h \z \c "Table" </w:instrText>
      </w:r>
      <w:r w:rsidRPr="008A1DA4">
        <w:fldChar w:fldCharType="separate"/>
      </w:r>
      <w:hyperlink w:anchor="_Toc2803225" w:history="1">
        <w:r w:rsidR="006E5AA0" w:rsidRPr="008D6FDC">
          <w:rPr>
            <w:rStyle w:val="Hyperlink"/>
            <w:noProof/>
          </w:rPr>
          <w:t>Table 1: Measure Codes and Descriptions</w:t>
        </w:r>
        <w:r w:rsidR="006E5AA0">
          <w:rPr>
            <w:noProof/>
            <w:webHidden/>
          </w:rPr>
          <w:tab/>
        </w:r>
        <w:r w:rsidR="006E5AA0">
          <w:rPr>
            <w:noProof/>
            <w:webHidden/>
          </w:rPr>
          <w:fldChar w:fldCharType="begin"/>
        </w:r>
        <w:r w:rsidR="006E5AA0">
          <w:rPr>
            <w:noProof/>
            <w:webHidden/>
          </w:rPr>
          <w:instrText xml:space="preserve"> PAGEREF _Toc2803225 \h </w:instrText>
        </w:r>
        <w:r w:rsidR="006E5AA0">
          <w:rPr>
            <w:noProof/>
            <w:webHidden/>
          </w:rPr>
        </w:r>
        <w:r w:rsidR="006E5AA0">
          <w:rPr>
            <w:noProof/>
            <w:webHidden/>
          </w:rPr>
          <w:fldChar w:fldCharType="separate"/>
        </w:r>
        <w:r w:rsidR="006E5AA0">
          <w:rPr>
            <w:noProof/>
            <w:webHidden/>
          </w:rPr>
          <w:t>3</w:t>
        </w:r>
        <w:r w:rsidR="006E5AA0">
          <w:rPr>
            <w:noProof/>
            <w:webHidden/>
          </w:rPr>
          <w:fldChar w:fldCharType="end"/>
        </w:r>
      </w:hyperlink>
    </w:p>
    <w:p w14:paraId="0D82B5E2" w14:textId="77777777" w:rsidR="006E5AA0" w:rsidRDefault="00EF785F">
      <w:pPr>
        <w:pStyle w:val="TableofFigures"/>
        <w:tabs>
          <w:tab w:val="right" w:leader="dot" w:pos="9350"/>
        </w:tabs>
        <w:rPr>
          <w:rFonts w:asciiTheme="minorHAnsi" w:eastAsiaTheme="minorEastAsia" w:hAnsiTheme="minorHAnsi" w:cstheme="minorBidi"/>
          <w:noProof/>
          <w:sz w:val="22"/>
          <w:szCs w:val="22"/>
        </w:rPr>
      </w:pPr>
      <w:hyperlink w:anchor="_Toc2803226" w:history="1">
        <w:r w:rsidR="006E5AA0" w:rsidRPr="008D6FDC">
          <w:rPr>
            <w:rStyle w:val="Hyperlink"/>
            <w:noProof/>
          </w:rPr>
          <w:t>Table 2:</w:t>
        </w:r>
        <w:r w:rsidR="006E5AA0" w:rsidRPr="008D6FDC">
          <w:rPr>
            <w:rStyle w:val="Hyperlink"/>
            <w:rFonts w:ascii="Calibri" w:hAnsi="Calibri" w:cs="Calibri"/>
            <w:noProof/>
          </w:rPr>
          <w:t xml:space="preserve"> </w:t>
        </w:r>
        <w:r w:rsidR="006E5AA0" w:rsidRPr="008D6FDC">
          <w:rPr>
            <w:rStyle w:val="Hyperlink"/>
            <w:rFonts w:cs="Arial"/>
            <w:noProof/>
          </w:rPr>
          <w:t>Measure Application Type</w:t>
        </w:r>
        <w:r w:rsidR="006E5AA0">
          <w:rPr>
            <w:noProof/>
            <w:webHidden/>
          </w:rPr>
          <w:tab/>
        </w:r>
        <w:r w:rsidR="006E5AA0">
          <w:rPr>
            <w:noProof/>
            <w:webHidden/>
          </w:rPr>
          <w:fldChar w:fldCharType="begin"/>
        </w:r>
        <w:r w:rsidR="006E5AA0">
          <w:rPr>
            <w:noProof/>
            <w:webHidden/>
          </w:rPr>
          <w:instrText xml:space="preserve"> PAGEREF _Toc2803226 \h </w:instrText>
        </w:r>
        <w:r w:rsidR="006E5AA0">
          <w:rPr>
            <w:noProof/>
            <w:webHidden/>
          </w:rPr>
        </w:r>
        <w:r w:rsidR="006E5AA0">
          <w:rPr>
            <w:noProof/>
            <w:webHidden/>
          </w:rPr>
          <w:fldChar w:fldCharType="separate"/>
        </w:r>
        <w:r w:rsidR="006E5AA0">
          <w:rPr>
            <w:noProof/>
            <w:webHidden/>
          </w:rPr>
          <w:t>4</w:t>
        </w:r>
        <w:r w:rsidR="006E5AA0">
          <w:rPr>
            <w:noProof/>
            <w:webHidden/>
          </w:rPr>
          <w:fldChar w:fldCharType="end"/>
        </w:r>
      </w:hyperlink>
    </w:p>
    <w:p w14:paraId="6A8846A9" w14:textId="77777777" w:rsidR="006E5AA0" w:rsidRDefault="00EF785F">
      <w:pPr>
        <w:pStyle w:val="TableofFigures"/>
        <w:tabs>
          <w:tab w:val="right" w:leader="dot" w:pos="9350"/>
        </w:tabs>
        <w:rPr>
          <w:rFonts w:asciiTheme="minorHAnsi" w:eastAsiaTheme="minorEastAsia" w:hAnsiTheme="minorHAnsi" w:cstheme="minorBidi"/>
          <w:noProof/>
          <w:sz w:val="22"/>
          <w:szCs w:val="22"/>
        </w:rPr>
      </w:pPr>
      <w:hyperlink w:anchor="_Toc2803227" w:history="1">
        <w:r w:rsidR="006E5AA0" w:rsidRPr="008D6FDC">
          <w:rPr>
            <w:rStyle w:val="Hyperlink"/>
            <w:noProof/>
          </w:rPr>
          <w:t>Table 3: Delivery Method and Applicable Building Types</w:t>
        </w:r>
        <w:r w:rsidR="006E5AA0">
          <w:rPr>
            <w:noProof/>
            <w:webHidden/>
          </w:rPr>
          <w:tab/>
        </w:r>
        <w:r w:rsidR="006E5AA0">
          <w:rPr>
            <w:noProof/>
            <w:webHidden/>
          </w:rPr>
          <w:fldChar w:fldCharType="begin"/>
        </w:r>
        <w:r w:rsidR="006E5AA0">
          <w:rPr>
            <w:noProof/>
            <w:webHidden/>
          </w:rPr>
          <w:instrText xml:space="preserve"> PAGEREF _Toc2803227 \h </w:instrText>
        </w:r>
        <w:r w:rsidR="006E5AA0">
          <w:rPr>
            <w:noProof/>
            <w:webHidden/>
          </w:rPr>
        </w:r>
        <w:r w:rsidR="006E5AA0">
          <w:rPr>
            <w:noProof/>
            <w:webHidden/>
          </w:rPr>
          <w:fldChar w:fldCharType="separate"/>
        </w:r>
        <w:r w:rsidR="006E5AA0">
          <w:rPr>
            <w:noProof/>
            <w:webHidden/>
          </w:rPr>
          <w:t>4</w:t>
        </w:r>
        <w:r w:rsidR="006E5AA0">
          <w:rPr>
            <w:noProof/>
            <w:webHidden/>
          </w:rPr>
          <w:fldChar w:fldCharType="end"/>
        </w:r>
      </w:hyperlink>
    </w:p>
    <w:p w14:paraId="090BBE01" w14:textId="77777777" w:rsidR="006E5AA0" w:rsidRDefault="00EF785F">
      <w:pPr>
        <w:pStyle w:val="TableofFigures"/>
        <w:tabs>
          <w:tab w:val="right" w:leader="dot" w:pos="9350"/>
        </w:tabs>
        <w:rPr>
          <w:rFonts w:asciiTheme="minorHAnsi" w:eastAsiaTheme="minorEastAsia" w:hAnsiTheme="minorHAnsi" w:cstheme="minorBidi"/>
          <w:noProof/>
          <w:sz w:val="22"/>
          <w:szCs w:val="22"/>
        </w:rPr>
      </w:pPr>
      <w:hyperlink w:anchor="_Toc2803228" w:history="1">
        <w:r w:rsidR="006E5AA0" w:rsidRPr="008D6FDC">
          <w:rPr>
            <w:rStyle w:val="Hyperlink"/>
            <w:noProof/>
          </w:rPr>
          <w:t>Table 4: DEER Difference Summary</w:t>
        </w:r>
        <w:r w:rsidR="006E5AA0">
          <w:rPr>
            <w:noProof/>
            <w:webHidden/>
          </w:rPr>
          <w:tab/>
        </w:r>
        <w:r w:rsidR="006E5AA0">
          <w:rPr>
            <w:noProof/>
            <w:webHidden/>
          </w:rPr>
          <w:fldChar w:fldCharType="begin"/>
        </w:r>
        <w:r w:rsidR="006E5AA0">
          <w:rPr>
            <w:noProof/>
            <w:webHidden/>
          </w:rPr>
          <w:instrText xml:space="preserve"> PAGEREF _Toc2803228 \h </w:instrText>
        </w:r>
        <w:r w:rsidR="006E5AA0">
          <w:rPr>
            <w:noProof/>
            <w:webHidden/>
          </w:rPr>
        </w:r>
        <w:r w:rsidR="006E5AA0">
          <w:rPr>
            <w:noProof/>
            <w:webHidden/>
          </w:rPr>
          <w:fldChar w:fldCharType="separate"/>
        </w:r>
        <w:r w:rsidR="006E5AA0">
          <w:rPr>
            <w:noProof/>
            <w:webHidden/>
          </w:rPr>
          <w:t>4</w:t>
        </w:r>
        <w:r w:rsidR="006E5AA0">
          <w:rPr>
            <w:noProof/>
            <w:webHidden/>
          </w:rPr>
          <w:fldChar w:fldCharType="end"/>
        </w:r>
      </w:hyperlink>
    </w:p>
    <w:p w14:paraId="2284E277" w14:textId="77777777" w:rsidR="006E5AA0" w:rsidRDefault="00EF785F">
      <w:pPr>
        <w:pStyle w:val="TableofFigures"/>
        <w:tabs>
          <w:tab w:val="right" w:leader="dot" w:pos="9350"/>
        </w:tabs>
        <w:rPr>
          <w:rFonts w:asciiTheme="minorHAnsi" w:eastAsiaTheme="minorEastAsia" w:hAnsiTheme="minorHAnsi" w:cstheme="minorBidi"/>
          <w:noProof/>
          <w:sz w:val="22"/>
          <w:szCs w:val="22"/>
        </w:rPr>
      </w:pPr>
      <w:hyperlink w:anchor="_Toc2803229" w:history="1">
        <w:r w:rsidR="006E5AA0" w:rsidRPr="008D6FDC">
          <w:rPr>
            <w:rStyle w:val="Hyperlink"/>
            <w:rFonts w:cs="Arial"/>
            <w:noProof/>
          </w:rPr>
          <w:t>Table 5: DEER Net-to-Gross Ratios</w:t>
        </w:r>
        <w:r w:rsidR="006E5AA0">
          <w:rPr>
            <w:noProof/>
            <w:webHidden/>
          </w:rPr>
          <w:tab/>
        </w:r>
        <w:r w:rsidR="006E5AA0">
          <w:rPr>
            <w:noProof/>
            <w:webHidden/>
          </w:rPr>
          <w:fldChar w:fldCharType="begin"/>
        </w:r>
        <w:r w:rsidR="006E5AA0">
          <w:rPr>
            <w:noProof/>
            <w:webHidden/>
          </w:rPr>
          <w:instrText xml:space="preserve"> PAGEREF _Toc2803229 \h </w:instrText>
        </w:r>
        <w:r w:rsidR="006E5AA0">
          <w:rPr>
            <w:noProof/>
            <w:webHidden/>
          </w:rPr>
        </w:r>
        <w:r w:rsidR="006E5AA0">
          <w:rPr>
            <w:noProof/>
            <w:webHidden/>
          </w:rPr>
          <w:fldChar w:fldCharType="separate"/>
        </w:r>
        <w:r w:rsidR="006E5AA0">
          <w:rPr>
            <w:noProof/>
            <w:webHidden/>
          </w:rPr>
          <w:t>6</w:t>
        </w:r>
        <w:r w:rsidR="006E5AA0">
          <w:rPr>
            <w:noProof/>
            <w:webHidden/>
          </w:rPr>
          <w:fldChar w:fldCharType="end"/>
        </w:r>
      </w:hyperlink>
    </w:p>
    <w:p w14:paraId="5EF0A840" w14:textId="77777777" w:rsidR="006E5AA0" w:rsidRDefault="00EF785F">
      <w:pPr>
        <w:pStyle w:val="TableofFigures"/>
        <w:tabs>
          <w:tab w:val="right" w:leader="dot" w:pos="9350"/>
        </w:tabs>
        <w:rPr>
          <w:rFonts w:asciiTheme="minorHAnsi" w:eastAsiaTheme="minorEastAsia" w:hAnsiTheme="minorHAnsi" w:cstheme="minorBidi"/>
          <w:noProof/>
          <w:sz w:val="22"/>
          <w:szCs w:val="22"/>
        </w:rPr>
      </w:pPr>
      <w:hyperlink w:anchor="_Toc2803230" w:history="1">
        <w:r w:rsidR="006E5AA0" w:rsidRPr="008D6FDC">
          <w:rPr>
            <w:rStyle w:val="Hyperlink"/>
            <w:noProof/>
          </w:rPr>
          <w:t>Table 6: Installation Rate</w:t>
        </w:r>
        <w:r w:rsidR="006E5AA0">
          <w:rPr>
            <w:noProof/>
            <w:webHidden/>
          </w:rPr>
          <w:tab/>
        </w:r>
        <w:r w:rsidR="006E5AA0">
          <w:rPr>
            <w:noProof/>
            <w:webHidden/>
          </w:rPr>
          <w:fldChar w:fldCharType="begin"/>
        </w:r>
        <w:r w:rsidR="006E5AA0">
          <w:rPr>
            <w:noProof/>
            <w:webHidden/>
          </w:rPr>
          <w:instrText xml:space="preserve"> PAGEREF _Toc2803230 \h </w:instrText>
        </w:r>
        <w:r w:rsidR="006E5AA0">
          <w:rPr>
            <w:noProof/>
            <w:webHidden/>
          </w:rPr>
        </w:r>
        <w:r w:rsidR="006E5AA0">
          <w:rPr>
            <w:noProof/>
            <w:webHidden/>
          </w:rPr>
          <w:fldChar w:fldCharType="separate"/>
        </w:r>
        <w:r w:rsidR="006E5AA0">
          <w:rPr>
            <w:noProof/>
            <w:webHidden/>
          </w:rPr>
          <w:t>6</w:t>
        </w:r>
        <w:r w:rsidR="006E5AA0">
          <w:rPr>
            <w:noProof/>
            <w:webHidden/>
          </w:rPr>
          <w:fldChar w:fldCharType="end"/>
        </w:r>
      </w:hyperlink>
    </w:p>
    <w:p w14:paraId="517381DB" w14:textId="77777777" w:rsidR="006E5AA0" w:rsidRDefault="00EF785F">
      <w:pPr>
        <w:pStyle w:val="TableofFigures"/>
        <w:tabs>
          <w:tab w:val="right" w:leader="dot" w:pos="9350"/>
        </w:tabs>
        <w:rPr>
          <w:rFonts w:asciiTheme="minorHAnsi" w:eastAsiaTheme="minorEastAsia" w:hAnsiTheme="minorHAnsi" w:cstheme="minorBidi"/>
          <w:noProof/>
          <w:sz w:val="22"/>
          <w:szCs w:val="22"/>
        </w:rPr>
      </w:pPr>
      <w:hyperlink w:anchor="_Toc2803231" w:history="1">
        <w:r w:rsidR="006E5AA0" w:rsidRPr="008D6FDC">
          <w:rPr>
            <w:rStyle w:val="Hyperlink"/>
            <w:noProof/>
          </w:rPr>
          <w:t>Table 7: Effective Useful Life</w:t>
        </w:r>
        <w:r w:rsidR="006E5AA0">
          <w:rPr>
            <w:noProof/>
            <w:webHidden/>
          </w:rPr>
          <w:tab/>
        </w:r>
        <w:r w:rsidR="006E5AA0">
          <w:rPr>
            <w:noProof/>
            <w:webHidden/>
          </w:rPr>
          <w:fldChar w:fldCharType="begin"/>
        </w:r>
        <w:r w:rsidR="006E5AA0">
          <w:rPr>
            <w:noProof/>
            <w:webHidden/>
          </w:rPr>
          <w:instrText xml:space="preserve"> PAGEREF _Toc2803231 \h </w:instrText>
        </w:r>
        <w:r w:rsidR="006E5AA0">
          <w:rPr>
            <w:noProof/>
            <w:webHidden/>
          </w:rPr>
        </w:r>
        <w:r w:rsidR="006E5AA0">
          <w:rPr>
            <w:noProof/>
            <w:webHidden/>
          </w:rPr>
          <w:fldChar w:fldCharType="separate"/>
        </w:r>
        <w:r w:rsidR="006E5AA0">
          <w:rPr>
            <w:noProof/>
            <w:webHidden/>
          </w:rPr>
          <w:t>6</w:t>
        </w:r>
        <w:r w:rsidR="006E5AA0">
          <w:rPr>
            <w:noProof/>
            <w:webHidden/>
          </w:rPr>
          <w:fldChar w:fldCharType="end"/>
        </w:r>
      </w:hyperlink>
    </w:p>
    <w:p w14:paraId="574989E5" w14:textId="77777777" w:rsidR="006E5AA0" w:rsidRDefault="00EF785F">
      <w:pPr>
        <w:pStyle w:val="TableofFigures"/>
        <w:tabs>
          <w:tab w:val="right" w:leader="dot" w:pos="9350"/>
        </w:tabs>
        <w:rPr>
          <w:rFonts w:asciiTheme="minorHAnsi" w:eastAsiaTheme="minorEastAsia" w:hAnsiTheme="minorHAnsi" w:cstheme="minorBidi"/>
          <w:noProof/>
          <w:sz w:val="22"/>
          <w:szCs w:val="22"/>
        </w:rPr>
      </w:pPr>
      <w:hyperlink w:anchor="_Toc2803232" w:history="1">
        <w:r w:rsidR="006E5AA0" w:rsidRPr="008D6FDC">
          <w:rPr>
            <w:rStyle w:val="Hyperlink"/>
            <w:noProof/>
          </w:rPr>
          <w:t>Table 8: Base Case Technology Mix</w:t>
        </w:r>
        <w:r w:rsidR="006E5AA0">
          <w:rPr>
            <w:noProof/>
            <w:webHidden/>
          </w:rPr>
          <w:tab/>
        </w:r>
        <w:r w:rsidR="006E5AA0">
          <w:rPr>
            <w:noProof/>
            <w:webHidden/>
          </w:rPr>
          <w:fldChar w:fldCharType="begin"/>
        </w:r>
        <w:r w:rsidR="006E5AA0">
          <w:rPr>
            <w:noProof/>
            <w:webHidden/>
          </w:rPr>
          <w:instrText xml:space="preserve"> PAGEREF _Toc2803232 \h </w:instrText>
        </w:r>
        <w:r w:rsidR="006E5AA0">
          <w:rPr>
            <w:noProof/>
            <w:webHidden/>
          </w:rPr>
        </w:r>
        <w:r w:rsidR="006E5AA0">
          <w:rPr>
            <w:noProof/>
            <w:webHidden/>
          </w:rPr>
          <w:fldChar w:fldCharType="separate"/>
        </w:r>
        <w:r w:rsidR="006E5AA0">
          <w:rPr>
            <w:noProof/>
            <w:webHidden/>
          </w:rPr>
          <w:t>7</w:t>
        </w:r>
        <w:r w:rsidR="006E5AA0">
          <w:rPr>
            <w:noProof/>
            <w:webHidden/>
          </w:rPr>
          <w:fldChar w:fldCharType="end"/>
        </w:r>
      </w:hyperlink>
    </w:p>
    <w:p w14:paraId="3B3C0024" w14:textId="77777777" w:rsidR="006E5AA0" w:rsidRDefault="00EF785F">
      <w:pPr>
        <w:pStyle w:val="TableofFigures"/>
        <w:tabs>
          <w:tab w:val="right" w:leader="dot" w:pos="9350"/>
        </w:tabs>
        <w:rPr>
          <w:rFonts w:asciiTheme="minorHAnsi" w:eastAsiaTheme="minorEastAsia" w:hAnsiTheme="minorHAnsi" w:cstheme="minorBidi"/>
          <w:noProof/>
          <w:sz w:val="22"/>
          <w:szCs w:val="22"/>
        </w:rPr>
      </w:pPr>
      <w:hyperlink w:anchor="_Toc2803233" w:history="1">
        <w:r w:rsidR="006E5AA0" w:rsidRPr="008D6FDC">
          <w:rPr>
            <w:rStyle w:val="Hyperlink"/>
            <w:noProof/>
          </w:rPr>
          <w:t>Table 9: Lighting Facts 25th Percentile for Parking Garage luminaires by lumen bin</w:t>
        </w:r>
        <w:r w:rsidR="006E5AA0">
          <w:rPr>
            <w:noProof/>
            <w:webHidden/>
          </w:rPr>
          <w:tab/>
        </w:r>
        <w:r w:rsidR="006E5AA0">
          <w:rPr>
            <w:noProof/>
            <w:webHidden/>
          </w:rPr>
          <w:fldChar w:fldCharType="begin"/>
        </w:r>
        <w:r w:rsidR="006E5AA0">
          <w:rPr>
            <w:noProof/>
            <w:webHidden/>
          </w:rPr>
          <w:instrText xml:space="preserve"> PAGEREF _Toc2803233 \h </w:instrText>
        </w:r>
        <w:r w:rsidR="006E5AA0">
          <w:rPr>
            <w:noProof/>
            <w:webHidden/>
          </w:rPr>
        </w:r>
        <w:r w:rsidR="006E5AA0">
          <w:rPr>
            <w:noProof/>
            <w:webHidden/>
          </w:rPr>
          <w:fldChar w:fldCharType="separate"/>
        </w:r>
        <w:r w:rsidR="006E5AA0">
          <w:rPr>
            <w:noProof/>
            <w:webHidden/>
          </w:rPr>
          <w:t>17</w:t>
        </w:r>
        <w:r w:rsidR="006E5AA0">
          <w:rPr>
            <w:noProof/>
            <w:webHidden/>
          </w:rPr>
          <w:fldChar w:fldCharType="end"/>
        </w:r>
      </w:hyperlink>
    </w:p>
    <w:p w14:paraId="07DE38C7" w14:textId="77777777" w:rsidR="006E5AA0" w:rsidRDefault="00EF785F">
      <w:pPr>
        <w:pStyle w:val="TableofFigures"/>
        <w:tabs>
          <w:tab w:val="right" w:leader="dot" w:pos="9350"/>
        </w:tabs>
        <w:rPr>
          <w:rFonts w:asciiTheme="minorHAnsi" w:eastAsiaTheme="minorEastAsia" w:hAnsiTheme="minorHAnsi" w:cstheme="minorBidi"/>
          <w:noProof/>
          <w:sz w:val="22"/>
          <w:szCs w:val="22"/>
        </w:rPr>
      </w:pPr>
      <w:hyperlink w:anchor="_Toc2803234" w:history="1">
        <w:r w:rsidR="006E5AA0" w:rsidRPr="008D6FDC">
          <w:rPr>
            <w:rStyle w:val="Hyperlink"/>
            <w:noProof/>
          </w:rPr>
          <w:t>Table 11: Lumen Maintenance Assumptions by Source Type</w:t>
        </w:r>
        <w:r w:rsidR="006E5AA0">
          <w:rPr>
            <w:noProof/>
            <w:webHidden/>
          </w:rPr>
          <w:tab/>
        </w:r>
        <w:r w:rsidR="006E5AA0">
          <w:rPr>
            <w:noProof/>
            <w:webHidden/>
          </w:rPr>
          <w:fldChar w:fldCharType="begin"/>
        </w:r>
        <w:r w:rsidR="006E5AA0">
          <w:rPr>
            <w:noProof/>
            <w:webHidden/>
          </w:rPr>
          <w:instrText xml:space="preserve"> PAGEREF _Toc2803234 \h </w:instrText>
        </w:r>
        <w:r w:rsidR="006E5AA0">
          <w:rPr>
            <w:noProof/>
            <w:webHidden/>
          </w:rPr>
        </w:r>
        <w:r w:rsidR="006E5AA0">
          <w:rPr>
            <w:noProof/>
            <w:webHidden/>
          </w:rPr>
          <w:fldChar w:fldCharType="separate"/>
        </w:r>
        <w:r w:rsidR="006E5AA0">
          <w:rPr>
            <w:noProof/>
            <w:webHidden/>
          </w:rPr>
          <w:t>18</w:t>
        </w:r>
        <w:r w:rsidR="006E5AA0">
          <w:rPr>
            <w:noProof/>
            <w:webHidden/>
          </w:rPr>
          <w:fldChar w:fldCharType="end"/>
        </w:r>
      </w:hyperlink>
    </w:p>
    <w:p w14:paraId="7334D9A5" w14:textId="77777777" w:rsidR="006E5AA0" w:rsidRDefault="00EF785F">
      <w:pPr>
        <w:pStyle w:val="TableofFigures"/>
        <w:tabs>
          <w:tab w:val="right" w:leader="dot" w:pos="9350"/>
        </w:tabs>
        <w:rPr>
          <w:rFonts w:asciiTheme="minorHAnsi" w:eastAsiaTheme="minorEastAsia" w:hAnsiTheme="minorHAnsi" w:cstheme="minorBidi"/>
          <w:noProof/>
          <w:sz w:val="22"/>
          <w:szCs w:val="22"/>
        </w:rPr>
      </w:pPr>
      <w:hyperlink w:anchor="_Toc2803235" w:history="1">
        <w:r w:rsidR="006E5AA0" w:rsidRPr="008D6FDC">
          <w:rPr>
            <w:rStyle w:val="Hyperlink"/>
            <w:noProof/>
          </w:rPr>
          <w:t>Table 12: DLC v 4.4 and Zonal Lumens Distribution Requirements</w:t>
        </w:r>
        <w:r w:rsidR="006E5AA0">
          <w:rPr>
            <w:noProof/>
            <w:webHidden/>
          </w:rPr>
          <w:tab/>
        </w:r>
        <w:r w:rsidR="006E5AA0">
          <w:rPr>
            <w:noProof/>
            <w:webHidden/>
          </w:rPr>
          <w:fldChar w:fldCharType="begin"/>
        </w:r>
        <w:r w:rsidR="006E5AA0">
          <w:rPr>
            <w:noProof/>
            <w:webHidden/>
          </w:rPr>
          <w:instrText xml:space="preserve"> PAGEREF _Toc2803235 \h </w:instrText>
        </w:r>
        <w:r w:rsidR="006E5AA0">
          <w:rPr>
            <w:noProof/>
            <w:webHidden/>
          </w:rPr>
        </w:r>
        <w:r w:rsidR="006E5AA0">
          <w:rPr>
            <w:noProof/>
            <w:webHidden/>
          </w:rPr>
          <w:fldChar w:fldCharType="separate"/>
        </w:r>
        <w:r w:rsidR="006E5AA0">
          <w:rPr>
            <w:noProof/>
            <w:webHidden/>
          </w:rPr>
          <w:t>19</w:t>
        </w:r>
        <w:r w:rsidR="006E5AA0">
          <w:rPr>
            <w:noProof/>
            <w:webHidden/>
          </w:rPr>
          <w:fldChar w:fldCharType="end"/>
        </w:r>
      </w:hyperlink>
    </w:p>
    <w:p w14:paraId="4D8E875A" w14:textId="77777777" w:rsidR="006E5AA0" w:rsidRDefault="00EF785F">
      <w:pPr>
        <w:pStyle w:val="TableofFigures"/>
        <w:tabs>
          <w:tab w:val="right" w:leader="dot" w:pos="9350"/>
        </w:tabs>
        <w:rPr>
          <w:rFonts w:asciiTheme="minorHAnsi" w:eastAsiaTheme="minorEastAsia" w:hAnsiTheme="minorHAnsi" w:cstheme="minorBidi"/>
          <w:noProof/>
          <w:sz w:val="22"/>
          <w:szCs w:val="22"/>
        </w:rPr>
      </w:pPr>
      <w:hyperlink w:anchor="_Toc2803236" w:history="1">
        <w:r w:rsidR="006E5AA0" w:rsidRPr="008D6FDC">
          <w:rPr>
            <w:rStyle w:val="Hyperlink"/>
            <w:noProof/>
          </w:rPr>
          <w:t>Table 13: Wattage Bin Method (Previous)</w:t>
        </w:r>
        <w:r w:rsidR="006E5AA0">
          <w:rPr>
            <w:noProof/>
            <w:webHidden/>
          </w:rPr>
          <w:tab/>
        </w:r>
        <w:r w:rsidR="006E5AA0">
          <w:rPr>
            <w:noProof/>
            <w:webHidden/>
          </w:rPr>
          <w:fldChar w:fldCharType="begin"/>
        </w:r>
        <w:r w:rsidR="006E5AA0">
          <w:rPr>
            <w:noProof/>
            <w:webHidden/>
          </w:rPr>
          <w:instrText xml:space="preserve"> PAGEREF _Toc2803236 \h </w:instrText>
        </w:r>
        <w:r w:rsidR="006E5AA0">
          <w:rPr>
            <w:noProof/>
            <w:webHidden/>
          </w:rPr>
        </w:r>
        <w:r w:rsidR="006E5AA0">
          <w:rPr>
            <w:noProof/>
            <w:webHidden/>
          </w:rPr>
          <w:fldChar w:fldCharType="separate"/>
        </w:r>
        <w:r w:rsidR="006E5AA0">
          <w:rPr>
            <w:noProof/>
            <w:webHidden/>
          </w:rPr>
          <w:t>20</w:t>
        </w:r>
        <w:r w:rsidR="006E5AA0">
          <w:rPr>
            <w:noProof/>
            <w:webHidden/>
          </w:rPr>
          <w:fldChar w:fldCharType="end"/>
        </w:r>
      </w:hyperlink>
    </w:p>
    <w:p w14:paraId="6FEB5DA3" w14:textId="77777777" w:rsidR="006E5AA0" w:rsidRDefault="00EF785F">
      <w:pPr>
        <w:pStyle w:val="TableofFigures"/>
        <w:tabs>
          <w:tab w:val="right" w:leader="dot" w:pos="9350"/>
        </w:tabs>
        <w:rPr>
          <w:rFonts w:asciiTheme="minorHAnsi" w:eastAsiaTheme="minorEastAsia" w:hAnsiTheme="minorHAnsi" w:cstheme="minorBidi"/>
          <w:noProof/>
          <w:sz w:val="22"/>
          <w:szCs w:val="22"/>
        </w:rPr>
      </w:pPr>
      <w:hyperlink w:anchor="_Toc2803237" w:history="1">
        <w:r w:rsidR="006E5AA0" w:rsidRPr="008D6FDC">
          <w:rPr>
            <w:rStyle w:val="Hyperlink"/>
            <w:noProof/>
          </w:rPr>
          <w:t>Table 14: Lumen Bin Method (New with this revision)</w:t>
        </w:r>
        <w:r w:rsidR="006E5AA0">
          <w:rPr>
            <w:noProof/>
            <w:webHidden/>
          </w:rPr>
          <w:tab/>
        </w:r>
        <w:r w:rsidR="006E5AA0">
          <w:rPr>
            <w:noProof/>
            <w:webHidden/>
          </w:rPr>
          <w:fldChar w:fldCharType="begin"/>
        </w:r>
        <w:r w:rsidR="006E5AA0">
          <w:rPr>
            <w:noProof/>
            <w:webHidden/>
          </w:rPr>
          <w:instrText xml:space="preserve"> PAGEREF _Toc2803237 \h </w:instrText>
        </w:r>
        <w:r w:rsidR="006E5AA0">
          <w:rPr>
            <w:noProof/>
            <w:webHidden/>
          </w:rPr>
        </w:r>
        <w:r w:rsidR="006E5AA0">
          <w:rPr>
            <w:noProof/>
            <w:webHidden/>
          </w:rPr>
          <w:fldChar w:fldCharType="separate"/>
        </w:r>
        <w:r w:rsidR="006E5AA0">
          <w:rPr>
            <w:noProof/>
            <w:webHidden/>
          </w:rPr>
          <w:t>21</w:t>
        </w:r>
        <w:r w:rsidR="006E5AA0">
          <w:rPr>
            <w:noProof/>
            <w:webHidden/>
          </w:rPr>
          <w:fldChar w:fldCharType="end"/>
        </w:r>
      </w:hyperlink>
    </w:p>
    <w:p w14:paraId="33741D2B" w14:textId="77777777" w:rsidR="006E5AA0" w:rsidRDefault="00EF785F">
      <w:pPr>
        <w:pStyle w:val="TableofFigures"/>
        <w:tabs>
          <w:tab w:val="right" w:leader="dot" w:pos="9350"/>
        </w:tabs>
        <w:rPr>
          <w:rFonts w:asciiTheme="minorHAnsi" w:eastAsiaTheme="minorEastAsia" w:hAnsiTheme="minorHAnsi" w:cstheme="minorBidi"/>
          <w:noProof/>
          <w:sz w:val="22"/>
          <w:szCs w:val="22"/>
        </w:rPr>
      </w:pPr>
      <w:hyperlink w:anchor="_Toc2803238" w:history="1">
        <w:r w:rsidR="006E5AA0" w:rsidRPr="008D6FDC">
          <w:rPr>
            <w:rStyle w:val="Hyperlink"/>
            <w:noProof/>
          </w:rPr>
          <w:t>Table 15: Light Output Factors for Garage fixtures</w:t>
        </w:r>
        <w:r w:rsidR="006E5AA0">
          <w:rPr>
            <w:noProof/>
            <w:webHidden/>
          </w:rPr>
          <w:tab/>
        </w:r>
        <w:r w:rsidR="006E5AA0">
          <w:rPr>
            <w:noProof/>
            <w:webHidden/>
          </w:rPr>
          <w:fldChar w:fldCharType="begin"/>
        </w:r>
        <w:r w:rsidR="006E5AA0">
          <w:rPr>
            <w:noProof/>
            <w:webHidden/>
          </w:rPr>
          <w:instrText xml:space="preserve"> PAGEREF _Toc2803238 \h </w:instrText>
        </w:r>
        <w:r w:rsidR="006E5AA0">
          <w:rPr>
            <w:noProof/>
            <w:webHidden/>
          </w:rPr>
        </w:r>
        <w:r w:rsidR="006E5AA0">
          <w:rPr>
            <w:noProof/>
            <w:webHidden/>
          </w:rPr>
          <w:fldChar w:fldCharType="separate"/>
        </w:r>
        <w:r w:rsidR="006E5AA0">
          <w:rPr>
            <w:noProof/>
            <w:webHidden/>
          </w:rPr>
          <w:t>21</w:t>
        </w:r>
        <w:r w:rsidR="006E5AA0">
          <w:rPr>
            <w:noProof/>
            <w:webHidden/>
          </w:rPr>
          <w:fldChar w:fldCharType="end"/>
        </w:r>
      </w:hyperlink>
    </w:p>
    <w:p w14:paraId="088FC421" w14:textId="77777777" w:rsidR="006E5AA0" w:rsidRDefault="00EF785F">
      <w:pPr>
        <w:pStyle w:val="TableofFigures"/>
        <w:tabs>
          <w:tab w:val="right" w:leader="dot" w:pos="9350"/>
        </w:tabs>
        <w:rPr>
          <w:rFonts w:asciiTheme="minorHAnsi" w:eastAsiaTheme="minorEastAsia" w:hAnsiTheme="minorHAnsi" w:cstheme="minorBidi"/>
          <w:noProof/>
          <w:sz w:val="22"/>
          <w:szCs w:val="22"/>
        </w:rPr>
      </w:pPr>
      <w:hyperlink w:anchor="_Toc2803239" w:history="1">
        <w:r w:rsidR="006E5AA0" w:rsidRPr="008D6FDC">
          <w:rPr>
            <w:rStyle w:val="Hyperlink"/>
            <w:noProof/>
          </w:rPr>
          <w:t>Table 16: Calculated Lumens</w:t>
        </w:r>
        <w:r w:rsidR="006E5AA0">
          <w:rPr>
            <w:noProof/>
            <w:webHidden/>
          </w:rPr>
          <w:tab/>
        </w:r>
        <w:r w:rsidR="006E5AA0">
          <w:rPr>
            <w:noProof/>
            <w:webHidden/>
          </w:rPr>
          <w:fldChar w:fldCharType="begin"/>
        </w:r>
        <w:r w:rsidR="006E5AA0">
          <w:rPr>
            <w:noProof/>
            <w:webHidden/>
          </w:rPr>
          <w:instrText xml:space="preserve"> PAGEREF _Toc2803239 \h </w:instrText>
        </w:r>
        <w:r w:rsidR="006E5AA0">
          <w:rPr>
            <w:noProof/>
            <w:webHidden/>
          </w:rPr>
        </w:r>
        <w:r w:rsidR="006E5AA0">
          <w:rPr>
            <w:noProof/>
            <w:webHidden/>
          </w:rPr>
          <w:fldChar w:fldCharType="separate"/>
        </w:r>
        <w:r w:rsidR="006E5AA0">
          <w:rPr>
            <w:noProof/>
            <w:webHidden/>
          </w:rPr>
          <w:t>22</w:t>
        </w:r>
        <w:r w:rsidR="006E5AA0">
          <w:rPr>
            <w:noProof/>
            <w:webHidden/>
          </w:rPr>
          <w:fldChar w:fldCharType="end"/>
        </w:r>
      </w:hyperlink>
    </w:p>
    <w:p w14:paraId="0E63E0BC" w14:textId="77777777" w:rsidR="006E5AA0" w:rsidRDefault="00EF785F">
      <w:pPr>
        <w:pStyle w:val="TableofFigures"/>
        <w:tabs>
          <w:tab w:val="right" w:leader="dot" w:pos="9350"/>
        </w:tabs>
        <w:rPr>
          <w:rFonts w:asciiTheme="minorHAnsi" w:eastAsiaTheme="minorEastAsia" w:hAnsiTheme="minorHAnsi" w:cstheme="minorBidi"/>
          <w:noProof/>
          <w:sz w:val="22"/>
          <w:szCs w:val="22"/>
        </w:rPr>
      </w:pPr>
      <w:hyperlink w:anchor="_Toc2803240" w:history="1">
        <w:r w:rsidR="006E5AA0" w:rsidRPr="008D6FDC">
          <w:rPr>
            <w:rStyle w:val="Hyperlink"/>
            <w:noProof/>
          </w:rPr>
          <w:t>Table 17: Measure Performance Actual vs. Deemed</w:t>
        </w:r>
        <w:r w:rsidR="006E5AA0">
          <w:rPr>
            <w:noProof/>
            <w:webHidden/>
          </w:rPr>
          <w:tab/>
        </w:r>
        <w:r w:rsidR="006E5AA0">
          <w:rPr>
            <w:noProof/>
            <w:webHidden/>
          </w:rPr>
          <w:fldChar w:fldCharType="begin"/>
        </w:r>
        <w:r w:rsidR="006E5AA0">
          <w:rPr>
            <w:noProof/>
            <w:webHidden/>
          </w:rPr>
          <w:instrText xml:space="preserve"> PAGEREF _Toc2803240 \h </w:instrText>
        </w:r>
        <w:r w:rsidR="006E5AA0">
          <w:rPr>
            <w:noProof/>
            <w:webHidden/>
          </w:rPr>
        </w:r>
        <w:r w:rsidR="006E5AA0">
          <w:rPr>
            <w:noProof/>
            <w:webHidden/>
          </w:rPr>
          <w:fldChar w:fldCharType="separate"/>
        </w:r>
        <w:r w:rsidR="006E5AA0">
          <w:rPr>
            <w:noProof/>
            <w:webHidden/>
          </w:rPr>
          <w:t>22</w:t>
        </w:r>
        <w:r w:rsidR="006E5AA0">
          <w:rPr>
            <w:noProof/>
            <w:webHidden/>
          </w:rPr>
          <w:fldChar w:fldCharType="end"/>
        </w:r>
      </w:hyperlink>
    </w:p>
    <w:p w14:paraId="28B14F5C" w14:textId="77777777" w:rsidR="006E5AA0" w:rsidRDefault="00EF785F">
      <w:pPr>
        <w:pStyle w:val="TableofFigures"/>
        <w:tabs>
          <w:tab w:val="right" w:leader="dot" w:pos="9350"/>
        </w:tabs>
        <w:rPr>
          <w:rFonts w:asciiTheme="minorHAnsi" w:eastAsiaTheme="minorEastAsia" w:hAnsiTheme="minorHAnsi" w:cstheme="minorBidi"/>
          <w:noProof/>
          <w:sz w:val="22"/>
          <w:szCs w:val="22"/>
        </w:rPr>
      </w:pPr>
      <w:hyperlink w:anchor="_Toc2803241" w:history="1">
        <w:r w:rsidR="006E5AA0" w:rsidRPr="008D6FDC">
          <w:rPr>
            <w:rStyle w:val="Hyperlink"/>
            <w:noProof/>
          </w:rPr>
          <w:t>Table 18: Delta Watts for 8000 lm Garage Fixture</w:t>
        </w:r>
        <w:r w:rsidR="006E5AA0">
          <w:rPr>
            <w:noProof/>
            <w:webHidden/>
          </w:rPr>
          <w:tab/>
        </w:r>
        <w:r w:rsidR="006E5AA0">
          <w:rPr>
            <w:noProof/>
            <w:webHidden/>
          </w:rPr>
          <w:fldChar w:fldCharType="begin"/>
        </w:r>
        <w:r w:rsidR="006E5AA0">
          <w:rPr>
            <w:noProof/>
            <w:webHidden/>
          </w:rPr>
          <w:instrText xml:space="preserve"> PAGEREF _Toc2803241 \h </w:instrText>
        </w:r>
        <w:r w:rsidR="006E5AA0">
          <w:rPr>
            <w:noProof/>
            <w:webHidden/>
          </w:rPr>
        </w:r>
        <w:r w:rsidR="006E5AA0">
          <w:rPr>
            <w:noProof/>
            <w:webHidden/>
          </w:rPr>
          <w:fldChar w:fldCharType="separate"/>
        </w:r>
        <w:r w:rsidR="006E5AA0">
          <w:rPr>
            <w:noProof/>
            <w:webHidden/>
          </w:rPr>
          <w:t>22</w:t>
        </w:r>
        <w:r w:rsidR="006E5AA0">
          <w:rPr>
            <w:noProof/>
            <w:webHidden/>
          </w:rPr>
          <w:fldChar w:fldCharType="end"/>
        </w:r>
      </w:hyperlink>
    </w:p>
    <w:p w14:paraId="353E45B4" w14:textId="77777777" w:rsidR="006E5AA0" w:rsidRDefault="00EF785F">
      <w:pPr>
        <w:pStyle w:val="TableofFigures"/>
        <w:tabs>
          <w:tab w:val="right" w:leader="dot" w:pos="9350"/>
        </w:tabs>
        <w:rPr>
          <w:rFonts w:asciiTheme="minorHAnsi" w:eastAsiaTheme="minorEastAsia" w:hAnsiTheme="minorHAnsi" w:cstheme="minorBidi"/>
          <w:noProof/>
          <w:sz w:val="22"/>
          <w:szCs w:val="22"/>
        </w:rPr>
      </w:pPr>
      <w:hyperlink w:anchor="_Toc2803242" w:history="1">
        <w:r w:rsidR="006E5AA0" w:rsidRPr="008D6FDC">
          <w:rPr>
            <w:rStyle w:val="Hyperlink"/>
            <w:noProof/>
          </w:rPr>
          <w:t>Table 19: Building Type and Load Shape</w:t>
        </w:r>
        <w:r w:rsidR="006E5AA0">
          <w:rPr>
            <w:noProof/>
            <w:webHidden/>
          </w:rPr>
          <w:tab/>
        </w:r>
        <w:r w:rsidR="006E5AA0">
          <w:rPr>
            <w:noProof/>
            <w:webHidden/>
          </w:rPr>
          <w:fldChar w:fldCharType="begin"/>
        </w:r>
        <w:r w:rsidR="006E5AA0">
          <w:rPr>
            <w:noProof/>
            <w:webHidden/>
          </w:rPr>
          <w:instrText xml:space="preserve"> PAGEREF _Toc2803242 \h </w:instrText>
        </w:r>
        <w:r w:rsidR="006E5AA0">
          <w:rPr>
            <w:noProof/>
            <w:webHidden/>
          </w:rPr>
        </w:r>
        <w:r w:rsidR="006E5AA0">
          <w:rPr>
            <w:noProof/>
            <w:webHidden/>
          </w:rPr>
          <w:fldChar w:fldCharType="separate"/>
        </w:r>
        <w:r w:rsidR="006E5AA0">
          <w:rPr>
            <w:noProof/>
            <w:webHidden/>
          </w:rPr>
          <w:t>24</w:t>
        </w:r>
        <w:r w:rsidR="006E5AA0">
          <w:rPr>
            <w:noProof/>
            <w:webHidden/>
          </w:rPr>
          <w:fldChar w:fldCharType="end"/>
        </w:r>
      </w:hyperlink>
    </w:p>
    <w:p w14:paraId="3104D698" w14:textId="77777777" w:rsidR="006E5AA0" w:rsidRDefault="00EF785F">
      <w:pPr>
        <w:pStyle w:val="TableofFigures"/>
        <w:tabs>
          <w:tab w:val="right" w:leader="dot" w:pos="9350"/>
        </w:tabs>
        <w:rPr>
          <w:rFonts w:asciiTheme="minorHAnsi" w:eastAsiaTheme="minorEastAsia" w:hAnsiTheme="minorHAnsi" w:cstheme="minorBidi"/>
          <w:noProof/>
          <w:sz w:val="22"/>
          <w:szCs w:val="22"/>
        </w:rPr>
      </w:pPr>
      <w:hyperlink w:anchor="_Toc2803243" w:history="1">
        <w:r w:rsidR="006E5AA0" w:rsidRPr="008D6FDC">
          <w:rPr>
            <w:rStyle w:val="Hyperlink"/>
            <w:noProof/>
          </w:rPr>
          <w:t>Table 20: Base case blend, including Watts and efficacy for 8000 lm Garage Fixture</w:t>
        </w:r>
        <w:r w:rsidR="006E5AA0">
          <w:rPr>
            <w:noProof/>
            <w:webHidden/>
          </w:rPr>
          <w:tab/>
        </w:r>
        <w:r w:rsidR="006E5AA0">
          <w:rPr>
            <w:noProof/>
            <w:webHidden/>
          </w:rPr>
          <w:fldChar w:fldCharType="begin"/>
        </w:r>
        <w:r w:rsidR="006E5AA0">
          <w:rPr>
            <w:noProof/>
            <w:webHidden/>
          </w:rPr>
          <w:instrText xml:space="preserve"> PAGEREF _Toc2803243 \h </w:instrText>
        </w:r>
        <w:r w:rsidR="006E5AA0">
          <w:rPr>
            <w:noProof/>
            <w:webHidden/>
          </w:rPr>
        </w:r>
        <w:r w:rsidR="006E5AA0">
          <w:rPr>
            <w:noProof/>
            <w:webHidden/>
          </w:rPr>
          <w:fldChar w:fldCharType="separate"/>
        </w:r>
        <w:r w:rsidR="006E5AA0">
          <w:rPr>
            <w:noProof/>
            <w:webHidden/>
          </w:rPr>
          <w:t>25</w:t>
        </w:r>
        <w:r w:rsidR="006E5AA0">
          <w:rPr>
            <w:noProof/>
            <w:webHidden/>
          </w:rPr>
          <w:fldChar w:fldCharType="end"/>
        </w:r>
      </w:hyperlink>
    </w:p>
    <w:p w14:paraId="21A954A5" w14:textId="77777777" w:rsidR="006E5AA0" w:rsidRDefault="00EF785F">
      <w:pPr>
        <w:pStyle w:val="TableofFigures"/>
        <w:tabs>
          <w:tab w:val="right" w:leader="dot" w:pos="9350"/>
        </w:tabs>
        <w:rPr>
          <w:rFonts w:asciiTheme="minorHAnsi" w:eastAsiaTheme="minorEastAsia" w:hAnsiTheme="minorHAnsi" w:cstheme="minorBidi"/>
          <w:noProof/>
          <w:sz w:val="22"/>
          <w:szCs w:val="22"/>
        </w:rPr>
      </w:pPr>
      <w:hyperlink w:anchor="_Toc2803244" w:history="1">
        <w:r w:rsidR="006E5AA0" w:rsidRPr="008D6FDC">
          <w:rPr>
            <w:rStyle w:val="Hyperlink"/>
            <w:noProof/>
          </w:rPr>
          <w:t>Table 21: Full and Incremental Measure Cost Equations</w:t>
        </w:r>
        <w:r w:rsidR="006E5AA0">
          <w:rPr>
            <w:noProof/>
            <w:webHidden/>
          </w:rPr>
          <w:tab/>
        </w:r>
        <w:r w:rsidR="006E5AA0">
          <w:rPr>
            <w:noProof/>
            <w:webHidden/>
          </w:rPr>
          <w:fldChar w:fldCharType="begin"/>
        </w:r>
        <w:r w:rsidR="006E5AA0">
          <w:rPr>
            <w:noProof/>
            <w:webHidden/>
          </w:rPr>
          <w:instrText xml:space="preserve"> PAGEREF _Toc2803244 \h </w:instrText>
        </w:r>
        <w:r w:rsidR="006E5AA0">
          <w:rPr>
            <w:noProof/>
            <w:webHidden/>
          </w:rPr>
        </w:r>
        <w:r w:rsidR="006E5AA0">
          <w:rPr>
            <w:noProof/>
            <w:webHidden/>
          </w:rPr>
          <w:fldChar w:fldCharType="separate"/>
        </w:r>
        <w:r w:rsidR="006E5AA0">
          <w:rPr>
            <w:noProof/>
            <w:webHidden/>
          </w:rPr>
          <w:t>25</w:t>
        </w:r>
        <w:r w:rsidR="006E5AA0">
          <w:rPr>
            <w:noProof/>
            <w:webHidden/>
          </w:rPr>
          <w:fldChar w:fldCharType="end"/>
        </w:r>
      </w:hyperlink>
    </w:p>
    <w:p w14:paraId="6D898735" w14:textId="77777777" w:rsidR="000B0167" w:rsidRPr="008A1DA4" w:rsidRDefault="00A47FE3" w:rsidP="007672D5">
      <w:pPr>
        <w:spacing w:line="264" w:lineRule="auto"/>
      </w:pPr>
      <w:r w:rsidRPr="008A1DA4">
        <w:fldChar w:fldCharType="end"/>
      </w:r>
      <w:r w:rsidRPr="008A1DA4">
        <w:t xml:space="preserve"> </w:t>
      </w:r>
    </w:p>
    <w:p w14:paraId="5014E394" w14:textId="77777777" w:rsidR="00C21199" w:rsidRDefault="00C21199" w:rsidP="00A725CB">
      <w:bookmarkStart w:id="12" w:name="_Toc174179832"/>
      <w:bookmarkStart w:id="13" w:name="_Toc174181292"/>
      <w:bookmarkStart w:id="14" w:name="_Toc511134182"/>
    </w:p>
    <w:p w14:paraId="4C6B9130" w14:textId="77777777" w:rsidR="000B0167" w:rsidRPr="008A1DA4" w:rsidRDefault="5B621C54" w:rsidP="006E5AA0">
      <w:pPr>
        <w:pStyle w:val="Heading1"/>
        <w:spacing w:before="120" w:after="120"/>
      </w:pPr>
      <w:bookmarkStart w:id="15" w:name="_Toc2803191"/>
      <w:r>
        <w:t>List of Figures</w:t>
      </w:r>
      <w:bookmarkEnd w:id="12"/>
      <w:bookmarkEnd w:id="13"/>
      <w:bookmarkEnd w:id="14"/>
      <w:bookmarkEnd w:id="15"/>
    </w:p>
    <w:p w14:paraId="0E2A9633" w14:textId="77777777" w:rsidR="006E5AA0" w:rsidRDefault="00A47FE3">
      <w:pPr>
        <w:pStyle w:val="TableofFigures"/>
        <w:tabs>
          <w:tab w:val="right" w:leader="dot" w:pos="9350"/>
        </w:tabs>
        <w:rPr>
          <w:rFonts w:asciiTheme="minorHAnsi" w:eastAsiaTheme="minorEastAsia" w:hAnsiTheme="minorHAnsi" w:cstheme="minorBidi"/>
          <w:noProof/>
          <w:sz w:val="22"/>
          <w:szCs w:val="22"/>
        </w:rPr>
      </w:pPr>
      <w:r w:rsidRPr="008A1DA4">
        <w:fldChar w:fldCharType="begin"/>
      </w:r>
      <w:r w:rsidRPr="008A1DA4">
        <w:instrText xml:space="preserve"> TOC \h \z \c "Figure" </w:instrText>
      </w:r>
      <w:r w:rsidRPr="008A1DA4">
        <w:fldChar w:fldCharType="separate"/>
      </w:r>
      <w:hyperlink w:anchor="_Toc2803245" w:history="1">
        <w:r w:rsidR="006E5AA0" w:rsidRPr="00AD78E4">
          <w:rPr>
            <w:rStyle w:val="Hyperlink"/>
            <w:noProof/>
          </w:rPr>
          <w:t>Figure 1: Web-based LED Price and Efficacy Data for Recessed Troffer/Panel 2’ x 4’ (Source: California LED Pricing Analysis, Navigant, January 2018)</w:t>
        </w:r>
        <w:r w:rsidR="006E5AA0">
          <w:rPr>
            <w:noProof/>
            <w:webHidden/>
          </w:rPr>
          <w:tab/>
        </w:r>
        <w:r w:rsidR="006E5AA0">
          <w:rPr>
            <w:noProof/>
            <w:webHidden/>
          </w:rPr>
          <w:fldChar w:fldCharType="begin"/>
        </w:r>
        <w:r w:rsidR="006E5AA0">
          <w:rPr>
            <w:noProof/>
            <w:webHidden/>
          </w:rPr>
          <w:instrText xml:space="preserve"> PAGEREF _Toc2803245 \h </w:instrText>
        </w:r>
        <w:r w:rsidR="006E5AA0">
          <w:rPr>
            <w:noProof/>
            <w:webHidden/>
          </w:rPr>
        </w:r>
        <w:r w:rsidR="006E5AA0">
          <w:rPr>
            <w:noProof/>
            <w:webHidden/>
          </w:rPr>
          <w:fldChar w:fldCharType="separate"/>
        </w:r>
        <w:r w:rsidR="006E5AA0">
          <w:rPr>
            <w:noProof/>
            <w:webHidden/>
          </w:rPr>
          <w:t>11</w:t>
        </w:r>
        <w:r w:rsidR="006E5AA0">
          <w:rPr>
            <w:noProof/>
            <w:webHidden/>
          </w:rPr>
          <w:fldChar w:fldCharType="end"/>
        </w:r>
      </w:hyperlink>
    </w:p>
    <w:p w14:paraId="12D0D8DA" w14:textId="77777777" w:rsidR="006E5AA0" w:rsidRDefault="00EF785F" w:rsidP="006E5AA0">
      <w:pPr>
        <w:pStyle w:val="TableofFigures"/>
        <w:tabs>
          <w:tab w:val="right" w:leader="dot" w:pos="9350"/>
        </w:tabs>
        <w:spacing w:before="120"/>
        <w:rPr>
          <w:rFonts w:asciiTheme="minorHAnsi" w:eastAsiaTheme="minorEastAsia" w:hAnsiTheme="minorHAnsi" w:cstheme="minorBidi"/>
          <w:noProof/>
          <w:sz w:val="22"/>
          <w:szCs w:val="22"/>
        </w:rPr>
      </w:pPr>
      <w:hyperlink w:anchor="_Toc2803246" w:history="1">
        <w:r w:rsidR="006E5AA0" w:rsidRPr="00AD78E4">
          <w:rPr>
            <w:rStyle w:val="Hyperlink"/>
            <w:noProof/>
          </w:rPr>
          <w:t>Figure 2: Willingness to replace equipment with LEDs before end of useful life, relative to other replacements (Source: California LED Workpaper Update Study, Navigant, August 2015)</w:t>
        </w:r>
        <w:r w:rsidR="006E5AA0">
          <w:rPr>
            <w:noProof/>
            <w:webHidden/>
          </w:rPr>
          <w:tab/>
        </w:r>
        <w:r w:rsidR="006E5AA0">
          <w:rPr>
            <w:noProof/>
            <w:webHidden/>
          </w:rPr>
          <w:fldChar w:fldCharType="begin"/>
        </w:r>
        <w:r w:rsidR="006E5AA0">
          <w:rPr>
            <w:noProof/>
            <w:webHidden/>
          </w:rPr>
          <w:instrText xml:space="preserve"> PAGEREF _Toc2803246 \h </w:instrText>
        </w:r>
        <w:r w:rsidR="006E5AA0">
          <w:rPr>
            <w:noProof/>
            <w:webHidden/>
          </w:rPr>
        </w:r>
        <w:r w:rsidR="006E5AA0">
          <w:rPr>
            <w:noProof/>
            <w:webHidden/>
          </w:rPr>
          <w:fldChar w:fldCharType="separate"/>
        </w:r>
        <w:r w:rsidR="006E5AA0">
          <w:rPr>
            <w:noProof/>
            <w:webHidden/>
          </w:rPr>
          <w:t>14</w:t>
        </w:r>
        <w:r w:rsidR="006E5AA0">
          <w:rPr>
            <w:noProof/>
            <w:webHidden/>
          </w:rPr>
          <w:fldChar w:fldCharType="end"/>
        </w:r>
      </w:hyperlink>
    </w:p>
    <w:p w14:paraId="1EDE7EEA" w14:textId="77777777" w:rsidR="00A47FE3" w:rsidRPr="008A1DA4" w:rsidRDefault="00A47FE3" w:rsidP="007100F8">
      <w:pPr>
        <w:sectPr w:rsidR="00A47FE3" w:rsidRPr="008A1DA4" w:rsidSect="00A343AA">
          <w:endnotePr>
            <w:numFmt w:val="decimal"/>
          </w:endnotePr>
          <w:pgSz w:w="12240" w:h="15840"/>
          <w:pgMar w:top="1440" w:right="1440" w:bottom="1440" w:left="1440" w:header="720" w:footer="720" w:gutter="0"/>
          <w:pgNumType w:fmt="lowerRoman"/>
          <w:cols w:space="720"/>
          <w:docGrid w:linePitch="360"/>
        </w:sectPr>
      </w:pPr>
      <w:r w:rsidRPr="008A1DA4">
        <w:fldChar w:fldCharType="end"/>
      </w:r>
    </w:p>
    <w:p w14:paraId="58B7ABC0" w14:textId="77777777" w:rsidR="00FC7309" w:rsidRDefault="5B621C54" w:rsidP="00BE49CE">
      <w:pPr>
        <w:pStyle w:val="Heading1"/>
        <w:spacing w:before="120"/>
      </w:pPr>
      <w:bookmarkStart w:id="16" w:name="_Toc511134183"/>
      <w:bookmarkStart w:id="17" w:name="_Toc2803192"/>
      <w:bookmarkStart w:id="18" w:name="_Toc172205732"/>
      <w:proofErr w:type="gramStart"/>
      <w:r>
        <w:lastRenderedPageBreak/>
        <w:t>Section 1.</w:t>
      </w:r>
      <w:proofErr w:type="gramEnd"/>
      <w:r>
        <w:t xml:space="preserve"> General Measure &amp; Baseline Data</w:t>
      </w:r>
      <w:bookmarkEnd w:id="16"/>
      <w:bookmarkEnd w:id="17"/>
    </w:p>
    <w:p w14:paraId="1944CF4D" w14:textId="77777777" w:rsidR="000B0167" w:rsidRDefault="5B621C54" w:rsidP="00605C5F">
      <w:pPr>
        <w:pStyle w:val="Heading2"/>
        <w:spacing w:after="0"/>
      </w:pPr>
      <w:bookmarkStart w:id="19" w:name="_Toc511134184"/>
      <w:bookmarkStart w:id="20" w:name="_Toc2803193"/>
      <w:bookmarkEnd w:id="18"/>
      <w:r>
        <w:t>1.1 Measure Description &amp; Background</w:t>
      </w:r>
      <w:bookmarkEnd w:id="19"/>
      <w:bookmarkEnd w:id="20"/>
    </w:p>
    <w:p w14:paraId="7FD17BAF" w14:textId="77777777" w:rsidR="00C21199" w:rsidRDefault="00C21199" w:rsidP="003D40BF">
      <w:pPr>
        <w:jc w:val="both"/>
      </w:pPr>
    </w:p>
    <w:p w14:paraId="2282EA0D" w14:textId="2279FE1A" w:rsidR="003D40BF" w:rsidRPr="00261D91" w:rsidRDefault="003D40BF" w:rsidP="003D40BF">
      <w:pPr>
        <w:jc w:val="both"/>
      </w:pPr>
      <w:r>
        <w:t xml:space="preserve">In 2017, the IOUs received dispositions on outdoor LED lighting which directed an update to the baselines used for outdoor LED lighting </w:t>
      </w:r>
      <w:proofErr w:type="spellStart"/>
      <w:r>
        <w:t>workpapers</w:t>
      </w:r>
      <w:proofErr w:type="spellEnd"/>
      <w:r>
        <w:t xml:space="preserve">. </w:t>
      </w:r>
      <w:r w:rsidR="00100D82">
        <w:t xml:space="preserve">Southern California Edison (SCE) </w:t>
      </w:r>
      <w:r w:rsidR="00827F36">
        <w:t xml:space="preserve">was </w:t>
      </w:r>
      <w:r w:rsidR="00100D82">
        <w:t xml:space="preserve">the lead on this effort and </w:t>
      </w:r>
      <w:r w:rsidR="00827F36">
        <w:t>collaborated</w:t>
      </w:r>
      <w:r w:rsidR="00100D82">
        <w:t xml:space="preserve"> with </w:t>
      </w:r>
      <w:r w:rsidR="00A26902">
        <w:t xml:space="preserve">the </w:t>
      </w:r>
      <w:r w:rsidR="00100D82">
        <w:t>other IOUs</w:t>
      </w:r>
      <w:r>
        <w:t xml:space="preserve"> to conduct a Standard Practice </w:t>
      </w:r>
      <w:r w:rsidR="00BD3DC3">
        <w:t xml:space="preserve">(SP) </w:t>
      </w:r>
      <w:r>
        <w:t>Baseline and Workpaper Update Study on outdoor lighting</w:t>
      </w:r>
      <w:r w:rsidR="00100D82">
        <w:t xml:space="preserve">. The Study </w:t>
      </w:r>
      <w:r w:rsidR="006F012B">
        <w:t>has</w:t>
      </w:r>
      <w:r w:rsidR="00100D82">
        <w:t xml:space="preserve">, in December </w:t>
      </w:r>
      <w:r w:rsidR="00827F36">
        <w:t>2018</w:t>
      </w:r>
      <w:r w:rsidR="00100D82">
        <w:t>,</w:t>
      </w:r>
      <w:r w:rsidR="006F012B">
        <w:t xml:space="preserve"> reported preliminary findings </w:t>
      </w:r>
      <w:r w:rsidR="009F41B7">
        <w:t>that</w:t>
      </w:r>
      <w:r w:rsidR="006F012B">
        <w:t xml:space="preserve"> are under review</w:t>
      </w:r>
      <w:r>
        <w:t xml:space="preserve">. </w:t>
      </w:r>
      <w:r w:rsidR="00827F36">
        <w:t>The final report is expected to be complete</w:t>
      </w:r>
      <w:r w:rsidR="00DA12F6">
        <w:t>d</w:t>
      </w:r>
      <w:r w:rsidR="00827F36">
        <w:t xml:space="preserve"> by the end of December 2018.</w:t>
      </w:r>
      <w:r>
        <w:t xml:space="preserve"> </w:t>
      </w:r>
    </w:p>
    <w:p w14:paraId="1359C9C5" w14:textId="77777777" w:rsidR="007B29A9" w:rsidRDefault="007B29A9" w:rsidP="007B29A9">
      <w:pPr>
        <w:jc w:val="both"/>
      </w:pPr>
    </w:p>
    <w:p w14:paraId="769E4442" w14:textId="2EAE00DE" w:rsidR="00BA1C37" w:rsidRDefault="007B29A9" w:rsidP="00BA1C37">
      <w:r>
        <w:t xml:space="preserve">PG&amp;E </w:t>
      </w:r>
      <w:r w:rsidR="000A150F">
        <w:t xml:space="preserve">submitted PGECOLTG151 Revision 8 in November 2017 </w:t>
      </w:r>
      <w:r w:rsidR="00BA1C37">
        <w:t xml:space="preserve">as an interim solution to be used until the Standard Practice Baseline Study </w:t>
      </w:r>
      <w:r w:rsidR="00827F36">
        <w:t>has been</w:t>
      </w:r>
      <w:r w:rsidR="00BA1C37">
        <w:t xml:space="preserve"> completed </w:t>
      </w:r>
      <w:r w:rsidR="000A150F">
        <w:t xml:space="preserve">and </w:t>
      </w:r>
      <w:r>
        <w:t xml:space="preserve">was issued </w:t>
      </w:r>
      <w:r w:rsidR="00BA1C37">
        <w:t xml:space="preserve">a </w:t>
      </w:r>
      <w:r>
        <w:t xml:space="preserve">2018 Outdoor Lighting Phase 1 Disposition (filename:  2018OutdoorLighting-1March2018.pdf) </w:t>
      </w:r>
      <w:r w:rsidR="00BA1C37">
        <w:t>on</w:t>
      </w:r>
      <w:r>
        <w:t xml:space="preserve"> March 1, 2018</w:t>
      </w:r>
      <w:r w:rsidR="00BA1C37">
        <w:t xml:space="preserve">. This disposition directed PG&amp;E to </w:t>
      </w:r>
      <w:r w:rsidR="00745276">
        <w:t>perform the following:</w:t>
      </w:r>
    </w:p>
    <w:p w14:paraId="30AD92EF" w14:textId="77777777" w:rsidR="00BA1C37" w:rsidRDefault="00BA1C37" w:rsidP="00BA1C37">
      <w:pPr>
        <w:pStyle w:val="ListParagraph"/>
        <w:numPr>
          <w:ilvl w:val="0"/>
          <w:numId w:val="18"/>
        </w:numPr>
      </w:pPr>
      <w:r>
        <w:t xml:space="preserve">Revise the baseline technology mix; </w:t>
      </w:r>
    </w:p>
    <w:p w14:paraId="0DEAB784" w14:textId="77777777" w:rsidR="00BA1C37" w:rsidRDefault="00BA1C37" w:rsidP="00BA1C37">
      <w:pPr>
        <w:pStyle w:val="ListParagraph"/>
        <w:numPr>
          <w:ilvl w:val="0"/>
          <w:numId w:val="18"/>
        </w:numPr>
      </w:pPr>
      <w:r>
        <w:t xml:space="preserve">Revise the baseline LED efficacies, perform additional cost research; and </w:t>
      </w:r>
    </w:p>
    <w:p w14:paraId="008EEA85" w14:textId="77777777" w:rsidR="00BA1C37" w:rsidRDefault="00BA1C37" w:rsidP="00BA1C37">
      <w:pPr>
        <w:pStyle w:val="ListParagraph"/>
        <w:numPr>
          <w:ilvl w:val="0"/>
          <w:numId w:val="18"/>
        </w:numPr>
      </w:pPr>
      <w:r>
        <w:t xml:space="preserve">Re-analyze cost data. </w:t>
      </w:r>
    </w:p>
    <w:p w14:paraId="05C7A033" w14:textId="77777777" w:rsidR="00BA1C37" w:rsidRDefault="00BA1C37" w:rsidP="00BA1C37">
      <w:pPr>
        <w:pStyle w:val="ListParagraph"/>
      </w:pPr>
    </w:p>
    <w:p w14:paraId="56597AA0" w14:textId="142C6E72" w:rsidR="00AE0EED" w:rsidRDefault="007404C2" w:rsidP="00BA1C37">
      <w:pPr>
        <w:pStyle w:val="ListParagraph"/>
        <w:ind w:left="0"/>
      </w:pPr>
      <w:r>
        <w:t>Through</w:t>
      </w:r>
      <w:r w:rsidR="00AE0EED">
        <w:t xml:space="preserve"> cost research</w:t>
      </w:r>
      <w:r>
        <w:t xml:space="preserve"> conducted via program data review and web scraping using existing measure</w:t>
      </w:r>
      <w:r w:rsidR="00B857D7">
        <w:t xml:space="preserve"> wattage</w:t>
      </w:r>
      <w:r>
        <w:t xml:space="preserve"> bins, </w:t>
      </w:r>
      <w:r w:rsidR="00AE0EED">
        <w:t xml:space="preserve">negative incremental </w:t>
      </w:r>
      <w:r>
        <w:t xml:space="preserve">measure </w:t>
      </w:r>
      <w:r w:rsidR="00AE0EED">
        <w:t>cost</w:t>
      </w:r>
      <w:r>
        <w:t>s</w:t>
      </w:r>
      <w:r w:rsidR="00AE0EED">
        <w:t xml:space="preserve"> (IMC)</w:t>
      </w:r>
      <w:r>
        <w:t xml:space="preserve"> were observed</w:t>
      </w:r>
      <w:r w:rsidR="00AE0EED">
        <w:t xml:space="preserve">.  </w:t>
      </w:r>
      <w:r w:rsidR="00E06254">
        <w:t xml:space="preserve">The Commission Staff </w:t>
      </w:r>
      <w:r>
        <w:t xml:space="preserve">(CS) </w:t>
      </w:r>
      <w:r w:rsidR="00E06254">
        <w:t>expressed that they did not want PG&amp;E to eliminate measure</w:t>
      </w:r>
      <w:r w:rsidR="0015697E">
        <w:t>s</w:t>
      </w:r>
      <w:r w:rsidR="00E06254">
        <w:t xml:space="preserve"> or categories solely due to the cost issue recognizing the market barriers to LED fixture adoption still exist.  CS therefore directed PG&amp;E to work with the EAR team to resolve these issues. Multiple meetings were then conducted between the EAR team and PG&amp;E from March to April to try to resolve the negative IMC issue. In late April, the EAR team accepted PG&amp;E’s proposal of setting IMC at 110% of the rebate values as an interim solution to the issue. On May 7, 2018, Commission staff issued the disposition for PGECOLTG151 approving the interim solutions</w:t>
      </w:r>
      <w:r w:rsidR="00D4457F">
        <w:t xml:space="preserve"> until 12/31/2018</w:t>
      </w:r>
      <w:r w:rsidR="00E06254">
        <w:t xml:space="preserve">, with direction for PG&amp;E to continue with cost research for inclusion in the next revision to the workpaper. </w:t>
      </w:r>
      <w:r w:rsidR="00D4457F">
        <w:t xml:space="preserve">On 10/11/2018 CPUC issued Resolution E-4952 extended the interim solution savings through 2019, but not the </w:t>
      </w:r>
      <w:r>
        <w:t>measure costs</w:t>
      </w:r>
      <w:r w:rsidR="00D4457F">
        <w:t xml:space="preserve">.  </w:t>
      </w:r>
      <w:r w:rsidR="00E06254">
        <w:t xml:space="preserve">PG&amp;E’s recent research conducted </w:t>
      </w:r>
      <w:r w:rsidR="00827F36">
        <w:t>through</w:t>
      </w:r>
      <w:r w:rsidR="00E06254">
        <w:t xml:space="preserve"> TRC in</w:t>
      </w:r>
      <w:r w:rsidR="00E06254" w:rsidRPr="0CA95D4C">
        <w:t xml:space="preserve"> </w:t>
      </w:r>
      <w:r w:rsidR="00E06254">
        <w:t xml:space="preserve">September/October </w:t>
      </w:r>
      <w:r w:rsidR="00827F36">
        <w:t xml:space="preserve">showed </w:t>
      </w:r>
      <w:r w:rsidR="00E06254">
        <w:t xml:space="preserve">the </w:t>
      </w:r>
      <w:r w:rsidR="0015697E">
        <w:t>same</w:t>
      </w:r>
      <w:r w:rsidR="00E06254">
        <w:t xml:space="preserve"> negative IMC issue</w:t>
      </w:r>
      <w:r w:rsidR="00827F36">
        <w:t xml:space="preserve"> between LED fixtures of varying efficacies</w:t>
      </w:r>
      <w:r w:rsidR="00E06254">
        <w:t>.</w:t>
      </w:r>
      <w:r w:rsidR="00A03437">
        <w:t xml:space="preserve"> </w:t>
      </w:r>
    </w:p>
    <w:p w14:paraId="41C23701" w14:textId="77777777" w:rsidR="00C21199" w:rsidRDefault="00C21199" w:rsidP="00BA1C37">
      <w:pPr>
        <w:pStyle w:val="ListParagraph"/>
        <w:ind w:left="0"/>
      </w:pPr>
    </w:p>
    <w:p w14:paraId="13C873A3" w14:textId="2D2E9431" w:rsidR="004F2927" w:rsidRDefault="00827F36" w:rsidP="004F2927">
      <w:pPr>
        <w:pStyle w:val="ListParagraph"/>
        <w:ind w:left="0"/>
      </w:pPr>
      <w:r>
        <w:t>Upon ad</w:t>
      </w:r>
      <w:r w:rsidR="004F2927">
        <w:t>ditional research into previously completed</w:t>
      </w:r>
      <w:r>
        <w:t xml:space="preserve"> </w:t>
      </w:r>
      <w:r w:rsidR="004F2927">
        <w:t xml:space="preserve">CA market studies and from the preliminary findings of the Exterior Lighting SP Baseline Study conducted by TRC, it became evident that customers are facing multiple scenarios when choosing to upgrade their lighting. </w:t>
      </w:r>
      <w:r w:rsidR="005B35D9">
        <w:t xml:space="preserve">Customers who intend to upgrade their existing </w:t>
      </w:r>
      <w:r w:rsidR="004F2927">
        <w:t xml:space="preserve">parking </w:t>
      </w:r>
      <w:r w:rsidR="005B35D9">
        <w:t xml:space="preserve">garage lighting from non-LED technologies to LED technology are faced with the </w:t>
      </w:r>
      <w:r w:rsidR="004F2927">
        <w:t xml:space="preserve">following </w:t>
      </w:r>
      <w:r w:rsidR="005B35D9">
        <w:t>two scenarios: a full LED luminaire fixture/retrofit kit replacement or upgrading to tubular LED lamps (</w:t>
      </w:r>
      <w:r w:rsidR="004954BE">
        <w:t>TLED)</w:t>
      </w:r>
      <w:r w:rsidR="005B35D9">
        <w:t>. Cost-sensitive customers may choose the less expensive TLED option</w:t>
      </w:r>
      <w:r w:rsidR="004954BE">
        <w:t xml:space="preserve"> over the full fixture upgrade</w:t>
      </w:r>
      <w:r w:rsidR="007404C2">
        <w:t xml:space="preserve"> to achieve similar levels of service and energy savings</w:t>
      </w:r>
      <w:r w:rsidR="004954BE">
        <w:t xml:space="preserve">.  </w:t>
      </w:r>
      <w:r w:rsidR="004954BE" w:rsidRPr="00BC196E">
        <w:t>Evidence from</w:t>
      </w:r>
      <w:r w:rsidR="004954BE">
        <w:t xml:space="preserve"> </w:t>
      </w:r>
      <w:r w:rsidR="004954BE" w:rsidRPr="00CE5371">
        <w:t xml:space="preserve">SCE &amp; PG&amp;E </w:t>
      </w:r>
      <w:r w:rsidR="004954BE">
        <w:t>participation data</w:t>
      </w:r>
      <w:r w:rsidR="004954BE" w:rsidRPr="00CE5371">
        <w:t xml:space="preserve">, </w:t>
      </w:r>
      <w:r w:rsidR="004954BE">
        <w:t>NEMA</w:t>
      </w:r>
      <w:r w:rsidR="007404C2">
        <w:t xml:space="preserve"> (</w:t>
      </w:r>
      <w:r w:rsidR="007404C2">
        <w:rPr>
          <w:rFonts w:cs="Arial"/>
        </w:rPr>
        <w:t xml:space="preserve">National Electrical Manufacturers Association) </w:t>
      </w:r>
      <w:r w:rsidR="004954BE" w:rsidRPr="00BC196E">
        <w:t>national sales data</w:t>
      </w:r>
      <w:r w:rsidR="008106B1">
        <w:rPr>
          <w:rStyle w:val="EndnoteReference"/>
        </w:rPr>
        <w:endnoteReference w:id="2"/>
      </w:r>
      <w:r w:rsidR="004954BE">
        <w:t>,</w:t>
      </w:r>
      <w:r w:rsidR="004954BE" w:rsidRPr="00CE5371">
        <w:t xml:space="preserve"> input from local distribution channels, and the California LED Pricing Analysis Study</w:t>
      </w:r>
      <w:r w:rsidR="00C2089A">
        <w:rPr>
          <w:rStyle w:val="EndnoteReference"/>
        </w:rPr>
        <w:endnoteReference w:id="3"/>
      </w:r>
      <w:r w:rsidR="004954BE" w:rsidRPr="00CE5371">
        <w:t xml:space="preserve"> by Navigant all </w:t>
      </w:r>
      <w:r w:rsidR="004F2927">
        <w:t xml:space="preserve">have </w:t>
      </w:r>
      <w:r w:rsidR="004954BE" w:rsidRPr="00CE5371">
        <w:t>suggest</w:t>
      </w:r>
      <w:r w:rsidR="00662714">
        <w:t>ed</w:t>
      </w:r>
      <w:r w:rsidR="004954BE" w:rsidRPr="00CE5371">
        <w:t xml:space="preserve"> that TLED</w:t>
      </w:r>
      <w:r w:rsidR="007404C2">
        <w:t>s</w:t>
      </w:r>
      <w:r w:rsidR="004954BE" w:rsidRPr="00CE5371">
        <w:t xml:space="preserve"> are a </w:t>
      </w:r>
      <w:r w:rsidR="004954BE">
        <w:t>viable retrofit</w:t>
      </w:r>
      <w:r w:rsidR="004954BE" w:rsidRPr="00CE5371">
        <w:t xml:space="preserve"> alternative to </w:t>
      </w:r>
      <w:r w:rsidR="004954BE">
        <w:t>full fixture replacements</w:t>
      </w:r>
      <w:r w:rsidR="00662714">
        <w:t xml:space="preserve">. </w:t>
      </w:r>
      <w:r w:rsidR="00A03437">
        <w:t xml:space="preserve">All other outdoor lighting measures </w:t>
      </w:r>
      <w:r w:rsidR="00FE1327">
        <w:t xml:space="preserve">besides parking garage measures </w:t>
      </w:r>
      <w:r w:rsidR="00A03437">
        <w:t xml:space="preserve">have been sunset in revision R9 of this workpaper </w:t>
      </w:r>
      <w:r w:rsidR="00FE1327">
        <w:t xml:space="preserve">as TLEDs are not applicable to </w:t>
      </w:r>
      <w:r w:rsidR="00FE1327">
        <w:lastRenderedPageBreak/>
        <w:t xml:space="preserve">their baseline and the negative IMC challenge persists in a normal replacement scenario. </w:t>
      </w:r>
      <w:r w:rsidR="005B35D9">
        <w:t>PG&amp;E</w:t>
      </w:r>
      <w:r w:rsidR="004F2927">
        <w:t xml:space="preserve"> has</w:t>
      </w:r>
      <w:r w:rsidR="005B35D9">
        <w:t xml:space="preserve"> </w:t>
      </w:r>
      <w:r w:rsidR="00662714">
        <w:t xml:space="preserve">thus incorporated TLEDs in the baseline mix for </w:t>
      </w:r>
      <w:r w:rsidR="004F2927">
        <w:t xml:space="preserve">parking </w:t>
      </w:r>
      <w:r w:rsidR="00662714">
        <w:t>garage lighting in this workpaper revision</w:t>
      </w:r>
      <w:r w:rsidR="005B35D9">
        <w:t>.</w:t>
      </w:r>
    </w:p>
    <w:p w14:paraId="6EF7E634" w14:textId="77777777" w:rsidR="00FE1327" w:rsidRDefault="00FE1327" w:rsidP="004F2927">
      <w:pPr>
        <w:pStyle w:val="ListParagraph"/>
        <w:ind w:left="0"/>
      </w:pPr>
    </w:p>
    <w:p w14:paraId="09381BD3" w14:textId="5AEF50B2" w:rsidR="00FE1327" w:rsidRPr="00FE1327" w:rsidRDefault="00FE1327" w:rsidP="00FE1327">
      <w:pPr>
        <w:pStyle w:val="ListParagraph"/>
        <w:ind w:left="0"/>
      </w:pPr>
      <w:r w:rsidRPr="00FE1327">
        <w:t>In addition, Revision 9 of this workpaper transitions the measure structure from wattage bins to lumen bins, with the intention to focus consumer purchasing choices on desired or equivalent levels of service.</w:t>
      </w:r>
    </w:p>
    <w:p w14:paraId="417DC500" w14:textId="77777777" w:rsidR="0066694F" w:rsidRDefault="0066694F" w:rsidP="0066694F">
      <w:pPr>
        <w:rPr>
          <w:b/>
        </w:rPr>
      </w:pPr>
    </w:p>
    <w:p w14:paraId="086C657B" w14:textId="056A17D4" w:rsidR="0066694F" w:rsidRDefault="0066694F" w:rsidP="0066694F">
      <w:r>
        <w:t>PG&amp;E has provided TLED cost and efficacy data collected in 2018 for th</w:t>
      </w:r>
      <w:r w:rsidR="00DB5BEE">
        <w:t>is</w:t>
      </w:r>
      <w:r>
        <w:t xml:space="preserve"> initial R9 workpaper update. Subsequently PG&amp;E conducted additional online web</w:t>
      </w:r>
      <w:r w:rsidR="002A47A6">
        <w:t>-</w:t>
      </w:r>
      <w:r>
        <w:t>scraping on TLED cost and efficacy in February 2019 per CPUC ex-ante team’s recommendation. Based on the new data the average TLED cost and efficacy level were revised accordingly. See section</w:t>
      </w:r>
      <w:r w:rsidR="005B05CD">
        <w:t xml:space="preserve">s 2 and </w:t>
      </w:r>
      <w:r>
        <w:t>4.1 below for details of the revision.</w:t>
      </w:r>
    </w:p>
    <w:p w14:paraId="4B9CCD22" w14:textId="77777777" w:rsidR="00BE6007" w:rsidRPr="006F355E" w:rsidRDefault="00BE6007" w:rsidP="00BE6007">
      <w:pPr>
        <w:pStyle w:val="ListParagraph"/>
        <w:ind w:left="0"/>
        <w:rPr>
          <w:color w:val="0070C0"/>
        </w:rPr>
      </w:pPr>
    </w:p>
    <w:p w14:paraId="57613B4E" w14:textId="77777777" w:rsidR="000F7CE9" w:rsidRPr="000F7CE9" w:rsidRDefault="000F7CE9" w:rsidP="000F7CE9">
      <w:pPr>
        <w:rPr>
          <w:b/>
          <w:bCs/>
          <w:i/>
          <w:iCs/>
        </w:rPr>
      </w:pPr>
      <w:r w:rsidRPr="000F7CE9">
        <w:rPr>
          <w:b/>
          <w:bCs/>
          <w:i/>
          <w:iCs/>
        </w:rPr>
        <w:t xml:space="preserve">Catalog Description </w:t>
      </w:r>
    </w:p>
    <w:p w14:paraId="482D1499" w14:textId="23CCDDEA" w:rsidR="000F7CE9" w:rsidRPr="000F7CE9" w:rsidRDefault="000F7CE9" w:rsidP="00236184">
      <w:pPr>
        <w:widowControl w:val="0"/>
        <w:autoSpaceDE w:val="0"/>
        <w:autoSpaceDN w:val="0"/>
        <w:adjustRightInd w:val="0"/>
        <w:rPr>
          <w:color w:val="000000"/>
        </w:rPr>
      </w:pPr>
      <w:r w:rsidRPr="000F7CE9">
        <w:rPr>
          <w:color w:val="000000"/>
        </w:rPr>
        <w:t>LED Outdoor Area Lighting</w:t>
      </w:r>
      <w:r w:rsidR="002A47A6">
        <w:rPr>
          <w:color w:val="000000"/>
        </w:rPr>
        <w:t xml:space="preserve"> – Parking Garage</w:t>
      </w:r>
      <w:r w:rsidRPr="000F7CE9">
        <w:rPr>
          <w:color w:val="000000"/>
        </w:rPr>
        <w:t xml:space="preserve"> </w:t>
      </w:r>
    </w:p>
    <w:p w14:paraId="2FC5E6A1" w14:textId="77777777" w:rsidR="00236184" w:rsidRDefault="00236184" w:rsidP="00236184">
      <w:pPr>
        <w:widowControl w:val="0"/>
        <w:autoSpaceDE w:val="0"/>
        <w:autoSpaceDN w:val="0"/>
        <w:adjustRightInd w:val="0"/>
        <w:rPr>
          <w:b/>
          <w:color w:val="000000"/>
        </w:rPr>
      </w:pPr>
    </w:p>
    <w:p w14:paraId="047C15B1" w14:textId="77777777" w:rsidR="000F7CE9" w:rsidRPr="000F7CE9" w:rsidRDefault="000F7CE9" w:rsidP="00236184">
      <w:pPr>
        <w:widowControl w:val="0"/>
        <w:autoSpaceDE w:val="0"/>
        <w:autoSpaceDN w:val="0"/>
        <w:adjustRightInd w:val="0"/>
        <w:rPr>
          <w:b/>
          <w:color w:val="000000"/>
        </w:rPr>
      </w:pPr>
      <w:r w:rsidRPr="000F7CE9">
        <w:rPr>
          <w:b/>
          <w:color w:val="000000"/>
        </w:rPr>
        <w:t>Requirements:</w:t>
      </w:r>
    </w:p>
    <w:p w14:paraId="0D2030A7" w14:textId="1929170F" w:rsidR="000F7CE9" w:rsidRPr="000F7CE9" w:rsidRDefault="000F7CE9" w:rsidP="00482501">
      <w:pPr>
        <w:spacing w:before="120" w:after="60"/>
      </w:pPr>
      <w:r w:rsidRPr="000F7CE9">
        <w:t xml:space="preserve">Only LED fixtures or </w:t>
      </w:r>
      <w:r w:rsidR="00DA12F6">
        <w:t xml:space="preserve">LED </w:t>
      </w:r>
      <w:r w:rsidRPr="000F7CE9">
        <w:t xml:space="preserve">retrofit kits on the list of prequalified LED fixtures available in the following </w:t>
      </w:r>
      <w:proofErr w:type="spellStart"/>
      <w:r w:rsidR="009B509C">
        <w:t>DesignLights</w:t>
      </w:r>
      <w:proofErr w:type="spellEnd"/>
      <w:r w:rsidR="009B509C">
        <w:t xml:space="preserve"> Consortium (</w:t>
      </w:r>
      <w:r w:rsidRPr="000F7CE9">
        <w:t>DLC</w:t>
      </w:r>
      <w:r w:rsidR="009B509C">
        <w:t>)</w:t>
      </w:r>
      <w:r w:rsidRPr="000F7CE9">
        <w:t xml:space="preserve"> product category qualify for th</w:t>
      </w:r>
      <w:r w:rsidR="009B509C">
        <w:t>ese measures</w:t>
      </w:r>
      <w:r w:rsidRPr="000F7CE9">
        <w:t xml:space="preserve">: </w:t>
      </w:r>
    </w:p>
    <w:p w14:paraId="578E9803" w14:textId="1B042FEE" w:rsidR="000F7CE9" w:rsidRPr="000F7CE9" w:rsidRDefault="000F7CE9" w:rsidP="000F7CE9">
      <w:pPr>
        <w:pStyle w:val="ListParagraph"/>
        <w:numPr>
          <w:ilvl w:val="0"/>
          <w:numId w:val="29"/>
        </w:numPr>
      </w:pPr>
      <w:r w:rsidRPr="002A47A6">
        <w:rPr>
          <w:b/>
        </w:rPr>
        <w:t>Parking Garage Luminaires</w:t>
      </w:r>
      <w:r w:rsidRPr="000F7CE9">
        <w:t xml:space="preserve"> (fixtures and retrofit kits) </w:t>
      </w:r>
    </w:p>
    <w:p w14:paraId="163C986C" w14:textId="77777777" w:rsidR="000F7CE9" w:rsidRPr="000F7CE9" w:rsidRDefault="000F7CE9" w:rsidP="00236184">
      <w:pPr>
        <w:pStyle w:val="ListParagraph"/>
        <w:spacing w:line="120" w:lineRule="auto"/>
      </w:pPr>
    </w:p>
    <w:p w14:paraId="036629F0" w14:textId="77777777" w:rsidR="000F7CE9" w:rsidRPr="000F7CE9" w:rsidRDefault="000F7CE9" w:rsidP="000F7CE9">
      <w:pPr>
        <w:widowControl w:val="0"/>
        <w:numPr>
          <w:ilvl w:val="0"/>
          <w:numId w:val="27"/>
        </w:numPr>
        <w:autoSpaceDE w:val="0"/>
        <w:autoSpaceDN w:val="0"/>
        <w:adjustRightInd w:val="0"/>
        <w:spacing w:line="360" w:lineRule="auto"/>
        <w:rPr>
          <w:color w:val="000000"/>
        </w:rPr>
      </w:pPr>
      <w:r w:rsidRPr="000F7CE9">
        <w:rPr>
          <w:color w:val="000000"/>
        </w:rPr>
        <w:t>Must replace a lumen equivalent lamp/fixture of higher wattage. (Please refer to Table 1)</w:t>
      </w:r>
    </w:p>
    <w:p w14:paraId="5B860520" w14:textId="40B1C23B" w:rsidR="009B509C" w:rsidRPr="000F7CE9" w:rsidRDefault="009B509C" w:rsidP="009B509C">
      <w:pPr>
        <w:widowControl w:val="0"/>
        <w:numPr>
          <w:ilvl w:val="0"/>
          <w:numId w:val="27"/>
        </w:numPr>
        <w:autoSpaceDE w:val="0"/>
        <w:autoSpaceDN w:val="0"/>
        <w:adjustRightInd w:val="0"/>
        <w:spacing w:line="360" w:lineRule="auto"/>
        <w:rPr>
          <w:color w:val="000000"/>
        </w:rPr>
      </w:pPr>
      <w:r w:rsidRPr="000F7CE9">
        <w:rPr>
          <w:color w:val="000000"/>
        </w:rPr>
        <w:t>Must be on t</w:t>
      </w:r>
      <w:r>
        <w:rPr>
          <w:color w:val="000000"/>
        </w:rPr>
        <w:t>he DLC</w:t>
      </w:r>
      <w:r w:rsidRPr="000F7CE9">
        <w:rPr>
          <w:color w:val="000000"/>
        </w:rPr>
        <w:t xml:space="preserve"> qualified product list (QPL)</w:t>
      </w:r>
      <w:r w:rsidRPr="000F7CE9">
        <w:rPr>
          <w:rStyle w:val="EndnoteReference"/>
          <w:color w:val="000000"/>
        </w:rPr>
        <w:endnoteReference w:id="4"/>
      </w:r>
    </w:p>
    <w:p w14:paraId="66070FB6" w14:textId="77777777" w:rsidR="000F7CE9" w:rsidRPr="000F7CE9" w:rsidRDefault="000F7CE9" w:rsidP="000F7CE9">
      <w:pPr>
        <w:widowControl w:val="0"/>
        <w:autoSpaceDE w:val="0"/>
        <w:autoSpaceDN w:val="0"/>
        <w:adjustRightInd w:val="0"/>
        <w:spacing w:line="360" w:lineRule="auto"/>
        <w:rPr>
          <w:b/>
        </w:rPr>
      </w:pPr>
      <w:r w:rsidRPr="000F7CE9">
        <w:rPr>
          <w:b/>
        </w:rPr>
        <w:t xml:space="preserve">Exclusions: </w:t>
      </w:r>
    </w:p>
    <w:p w14:paraId="37F2986D" w14:textId="42AFE97E" w:rsidR="000F7CE9" w:rsidRDefault="000F7CE9" w:rsidP="002A47A6">
      <w:pPr>
        <w:widowControl w:val="0"/>
        <w:numPr>
          <w:ilvl w:val="0"/>
          <w:numId w:val="27"/>
        </w:numPr>
        <w:autoSpaceDE w:val="0"/>
        <w:autoSpaceDN w:val="0"/>
        <w:adjustRightInd w:val="0"/>
        <w:rPr>
          <w:color w:val="000000"/>
        </w:rPr>
      </w:pPr>
      <w:r w:rsidRPr="000F7CE9">
        <w:rPr>
          <w:color w:val="000000"/>
        </w:rPr>
        <w:t xml:space="preserve">Fixtures listed under specialty primary use designations on the DLC do not qualify for the </w:t>
      </w:r>
      <w:r w:rsidR="002A47A6">
        <w:rPr>
          <w:color w:val="000000"/>
        </w:rPr>
        <w:tab/>
      </w:r>
      <w:r w:rsidR="002A354F">
        <w:rPr>
          <w:color w:val="000000"/>
        </w:rPr>
        <w:t>measures</w:t>
      </w:r>
      <w:r w:rsidRPr="000F7CE9">
        <w:rPr>
          <w:color w:val="000000"/>
        </w:rPr>
        <w:t>.</w:t>
      </w:r>
    </w:p>
    <w:p w14:paraId="12524BA6" w14:textId="3CD89E0C" w:rsidR="000F7CE9" w:rsidRPr="000F7CE9" w:rsidRDefault="000F7CE9" w:rsidP="00482501">
      <w:pPr>
        <w:widowControl w:val="0"/>
        <w:numPr>
          <w:ilvl w:val="0"/>
          <w:numId w:val="27"/>
        </w:numPr>
        <w:autoSpaceDE w:val="0"/>
        <w:autoSpaceDN w:val="0"/>
        <w:adjustRightInd w:val="0"/>
        <w:spacing w:before="120"/>
        <w:rPr>
          <w:color w:val="000000"/>
        </w:rPr>
      </w:pPr>
      <w:r w:rsidRPr="000F7CE9">
        <w:rPr>
          <w:color w:val="000000"/>
        </w:rPr>
        <w:t>No other Exterior Primary Use Designation</w:t>
      </w:r>
      <w:r w:rsidR="002A354F">
        <w:rPr>
          <w:color w:val="000000"/>
        </w:rPr>
        <w:t>s</w:t>
      </w:r>
      <w:r w:rsidRPr="000F7CE9">
        <w:rPr>
          <w:color w:val="000000"/>
        </w:rPr>
        <w:t xml:space="preserve"> qualif</w:t>
      </w:r>
      <w:r w:rsidR="002A354F">
        <w:rPr>
          <w:color w:val="000000"/>
        </w:rPr>
        <w:t>y</w:t>
      </w:r>
      <w:r w:rsidRPr="000F7CE9">
        <w:rPr>
          <w:color w:val="000000"/>
        </w:rPr>
        <w:t xml:space="preserve"> for th</w:t>
      </w:r>
      <w:r w:rsidR="002A47A6">
        <w:rPr>
          <w:color w:val="000000"/>
        </w:rPr>
        <w:t>e rebate</w:t>
      </w:r>
    </w:p>
    <w:p w14:paraId="7C2942DB" w14:textId="10FEC336" w:rsidR="000F7CE9" w:rsidRPr="000F7CE9" w:rsidRDefault="000F7CE9" w:rsidP="00482501">
      <w:pPr>
        <w:widowControl w:val="0"/>
        <w:numPr>
          <w:ilvl w:val="0"/>
          <w:numId w:val="27"/>
        </w:numPr>
        <w:autoSpaceDE w:val="0"/>
        <w:autoSpaceDN w:val="0"/>
        <w:adjustRightInd w:val="0"/>
        <w:spacing w:before="120"/>
        <w:rPr>
          <w:color w:val="000000"/>
        </w:rPr>
      </w:pPr>
      <w:r w:rsidRPr="000F7CE9">
        <w:t xml:space="preserve">Street lighting applications for Pole/Arm-mounted Area and Roadway luminaires do not </w:t>
      </w:r>
      <w:r w:rsidR="00AA0A75">
        <w:tab/>
      </w:r>
      <w:r w:rsidRPr="000F7CE9">
        <w:t xml:space="preserve">qualify for these </w:t>
      </w:r>
      <w:r w:rsidR="002A354F">
        <w:t>measures</w:t>
      </w:r>
      <w:r w:rsidRPr="000F7CE9">
        <w:t xml:space="preserve">. Please check with PG&amp;E’s Government and Community </w:t>
      </w:r>
      <w:r w:rsidR="002A47A6">
        <w:tab/>
      </w:r>
      <w:r w:rsidRPr="000F7CE9">
        <w:t>Partnership team for LED street light rebates.</w:t>
      </w:r>
    </w:p>
    <w:p w14:paraId="75156D91" w14:textId="52194830" w:rsidR="000F7CE9" w:rsidRPr="000F7CE9" w:rsidRDefault="000F7CE9" w:rsidP="002A47A6">
      <w:pPr>
        <w:widowControl w:val="0"/>
        <w:numPr>
          <w:ilvl w:val="0"/>
          <w:numId w:val="27"/>
        </w:numPr>
        <w:autoSpaceDE w:val="0"/>
        <w:autoSpaceDN w:val="0"/>
        <w:adjustRightInd w:val="0"/>
        <w:spacing w:before="120" w:line="360" w:lineRule="auto"/>
        <w:rPr>
          <w:color w:val="000000"/>
        </w:rPr>
      </w:pPr>
      <w:r w:rsidRPr="000F7CE9">
        <w:t>Self-ballasted, screw-based or pin-based lamps do not qualify.</w:t>
      </w:r>
    </w:p>
    <w:p w14:paraId="3A6B8A96" w14:textId="509F394C" w:rsidR="000F7CE9" w:rsidRPr="000F7CE9" w:rsidRDefault="000F7CE9" w:rsidP="002A47A6">
      <w:pPr>
        <w:widowControl w:val="0"/>
        <w:numPr>
          <w:ilvl w:val="0"/>
          <w:numId w:val="27"/>
        </w:numPr>
        <w:autoSpaceDE w:val="0"/>
        <w:autoSpaceDN w:val="0"/>
        <w:adjustRightInd w:val="0"/>
        <w:spacing w:line="360" w:lineRule="auto"/>
        <w:rPr>
          <w:color w:val="000000"/>
        </w:rPr>
      </w:pPr>
      <w:r w:rsidRPr="000F7CE9">
        <w:t>Interior installations do not qualify for this rebate.</w:t>
      </w:r>
    </w:p>
    <w:p w14:paraId="7D6B612F" w14:textId="43059A96" w:rsidR="000F7CE9" w:rsidRPr="000F7CE9" w:rsidRDefault="000F7CE9" w:rsidP="002A47A6">
      <w:pPr>
        <w:widowControl w:val="0"/>
        <w:numPr>
          <w:ilvl w:val="0"/>
          <w:numId w:val="27"/>
        </w:numPr>
        <w:autoSpaceDE w:val="0"/>
        <w:autoSpaceDN w:val="0"/>
        <w:adjustRightInd w:val="0"/>
        <w:spacing w:line="360" w:lineRule="auto"/>
        <w:rPr>
          <w:color w:val="000000"/>
        </w:rPr>
      </w:pPr>
      <w:r w:rsidRPr="000F7CE9">
        <w:t>Horticultural installations do not qualify for this rebate.</w:t>
      </w:r>
    </w:p>
    <w:p w14:paraId="1B7C45A8" w14:textId="0C74657E" w:rsidR="000F7CE9" w:rsidRPr="00CC3ABC" w:rsidRDefault="000F7CE9" w:rsidP="002A47A6">
      <w:pPr>
        <w:widowControl w:val="0"/>
        <w:numPr>
          <w:ilvl w:val="0"/>
          <w:numId w:val="27"/>
        </w:numPr>
        <w:autoSpaceDE w:val="0"/>
        <w:autoSpaceDN w:val="0"/>
        <w:adjustRightInd w:val="0"/>
        <w:rPr>
          <w:rFonts w:ascii="Arial" w:hAnsi="Arial" w:cs="Arial"/>
          <w:color w:val="000000"/>
          <w:sz w:val="20"/>
        </w:rPr>
      </w:pPr>
      <w:r w:rsidRPr="000F7CE9">
        <w:rPr>
          <w:color w:val="000000"/>
        </w:rPr>
        <w:t xml:space="preserve">Must meet the minimum efficacy and </w:t>
      </w:r>
      <w:r w:rsidR="002A354F">
        <w:rPr>
          <w:color w:val="000000"/>
        </w:rPr>
        <w:t>lumen</w:t>
      </w:r>
      <w:r w:rsidR="002A354F" w:rsidRPr="000F7CE9">
        <w:rPr>
          <w:color w:val="000000"/>
        </w:rPr>
        <w:t xml:space="preserve"> </w:t>
      </w:r>
      <w:r w:rsidRPr="000F7CE9">
        <w:rPr>
          <w:color w:val="000000"/>
        </w:rPr>
        <w:t>range</w:t>
      </w:r>
      <w:r w:rsidR="002A354F">
        <w:rPr>
          <w:color w:val="000000"/>
        </w:rPr>
        <w:t>s</w:t>
      </w:r>
      <w:r w:rsidRPr="000F7CE9">
        <w:rPr>
          <w:color w:val="000000"/>
        </w:rPr>
        <w:t xml:space="preserve"> listed for the appropriate measure codes in </w:t>
      </w:r>
      <w:r w:rsidR="002A47A6">
        <w:rPr>
          <w:color w:val="000000"/>
        </w:rPr>
        <w:tab/>
      </w:r>
      <w:r w:rsidRPr="000F7CE9">
        <w:rPr>
          <w:color w:val="000000"/>
        </w:rPr>
        <w:t>Table 1.</w:t>
      </w:r>
    </w:p>
    <w:p w14:paraId="62B8EFCB" w14:textId="77777777" w:rsidR="002A47A6" w:rsidRDefault="002A47A6" w:rsidP="00382113">
      <w:pPr>
        <w:pStyle w:val="ListParagraph"/>
        <w:spacing w:after="120"/>
        <w:ind w:left="0"/>
      </w:pPr>
    </w:p>
    <w:p w14:paraId="6BD42C4A" w14:textId="77777777" w:rsidR="002A47A6" w:rsidRDefault="002A47A6" w:rsidP="00382113">
      <w:pPr>
        <w:pStyle w:val="ListParagraph"/>
        <w:spacing w:after="120"/>
        <w:ind w:left="0"/>
      </w:pPr>
    </w:p>
    <w:p w14:paraId="45B40227" w14:textId="77777777" w:rsidR="002A47A6" w:rsidRDefault="002A47A6" w:rsidP="00382113">
      <w:pPr>
        <w:pStyle w:val="ListParagraph"/>
        <w:spacing w:after="120"/>
        <w:ind w:left="0"/>
      </w:pPr>
    </w:p>
    <w:p w14:paraId="5220CDDF" w14:textId="77777777" w:rsidR="002A47A6" w:rsidRDefault="002A47A6" w:rsidP="00382113">
      <w:pPr>
        <w:pStyle w:val="ListParagraph"/>
        <w:spacing w:after="120"/>
        <w:ind w:left="0"/>
      </w:pPr>
    </w:p>
    <w:p w14:paraId="25C361F8" w14:textId="77777777" w:rsidR="002A47A6" w:rsidRDefault="002A47A6" w:rsidP="00382113">
      <w:pPr>
        <w:pStyle w:val="ListParagraph"/>
        <w:spacing w:after="120"/>
        <w:ind w:left="0"/>
      </w:pPr>
    </w:p>
    <w:p w14:paraId="0C08DE67" w14:textId="77777777" w:rsidR="0009289A" w:rsidRDefault="5B621C54" w:rsidP="00382113">
      <w:pPr>
        <w:pStyle w:val="ListParagraph"/>
        <w:spacing w:after="120"/>
        <w:ind w:left="0"/>
      </w:pPr>
      <w:r>
        <w:t>The following table includes PG&amp;E’s measure codes and measure descriptions:</w:t>
      </w:r>
    </w:p>
    <w:p w14:paraId="43D3D968" w14:textId="2F239D2F" w:rsidR="00D56DC3" w:rsidRPr="00261D91" w:rsidRDefault="00D56DC3" w:rsidP="5B621C54">
      <w:pPr>
        <w:pStyle w:val="Caption"/>
        <w:keepNext/>
        <w:jc w:val="center"/>
        <w:rPr>
          <w:sz w:val="22"/>
          <w:szCs w:val="22"/>
        </w:rPr>
      </w:pPr>
      <w:bookmarkStart w:id="21" w:name="_Toc511134157"/>
      <w:bookmarkStart w:id="22" w:name="_Toc2803225"/>
      <w:r w:rsidRPr="00085E4F">
        <w:rPr>
          <w:szCs w:val="22"/>
        </w:rPr>
        <w:lastRenderedPageBreak/>
        <w:t xml:space="preserve">Table </w:t>
      </w:r>
      <w:r w:rsidR="00491759" w:rsidRPr="00085E4F">
        <w:rPr>
          <w:szCs w:val="22"/>
        </w:rPr>
        <w:fldChar w:fldCharType="begin"/>
      </w:r>
      <w:r w:rsidR="00491759" w:rsidRPr="00085E4F">
        <w:rPr>
          <w:szCs w:val="22"/>
        </w:rPr>
        <w:instrText xml:space="preserve"> SEQ Table \* ARABIC </w:instrText>
      </w:r>
      <w:r w:rsidR="00491759" w:rsidRPr="00085E4F">
        <w:rPr>
          <w:szCs w:val="22"/>
        </w:rPr>
        <w:fldChar w:fldCharType="separate"/>
      </w:r>
      <w:r w:rsidR="00491759" w:rsidRPr="00085E4F">
        <w:rPr>
          <w:noProof/>
          <w:szCs w:val="22"/>
        </w:rPr>
        <w:t>1</w:t>
      </w:r>
      <w:r w:rsidR="00491759" w:rsidRPr="00085E4F">
        <w:rPr>
          <w:szCs w:val="22"/>
        </w:rPr>
        <w:fldChar w:fldCharType="end"/>
      </w:r>
      <w:r w:rsidR="00085E4F" w:rsidRPr="00085E4F">
        <w:rPr>
          <w:szCs w:val="22"/>
        </w:rPr>
        <w:t>:</w:t>
      </w:r>
      <w:r w:rsidRPr="00085E4F">
        <w:rPr>
          <w:szCs w:val="22"/>
        </w:rPr>
        <w:t xml:space="preserve"> Measure Codes and Descriptions</w:t>
      </w:r>
      <w:bookmarkEnd w:id="21"/>
      <w:bookmarkEnd w:id="22"/>
    </w:p>
    <w:tbl>
      <w:tblPr>
        <w:tblStyle w:val="TableGrid1"/>
        <w:tblW w:w="4528" w:type="pct"/>
        <w:tblInd w:w="108" w:type="dxa"/>
        <w:tblLayout w:type="fixed"/>
        <w:tblLook w:val="04A0" w:firstRow="1" w:lastRow="0" w:firstColumn="1" w:lastColumn="0" w:noHBand="0" w:noVBand="1"/>
      </w:tblPr>
      <w:tblGrid>
        <w:gridCol w:w="1620"/>
        <w:gridCol w:w="7378"/>
      </w:tblGrid>
      <w:tr w:rsidR="00AF0CCA" w:rsidRPr="00707381" w14:paraId="65860778" w14:textId="77777777" w:rsidTr="00F16025">
        <w:trPr>
          <w:trHeight w:val="305"/>
        </w:trPr>
        <w:tc>
          <w:tcPr>
            <w:tcW w:w="900" w:type="pct"/>
            <w:vAlign w:val="center"/>
            <w:hideMark/>
          </w:tcPr>
          <w:p w14:paraId="314830EA" w14:textId="77777777" w:rsidR="00AF0CCA" w:rsidRPr="00085E4F" w:rsidRDefault="5B621C54" w:rsidP="5B621C54">
            <w:pPr>
              <w:jc w:val="center"/>
              <w:rPr>
                <w:rFonts w:ascii="Times New Roman" w:eastAsiaTheme="minorEastAsia" w:hAnsi="Times New Roman"/>
                <w:b/>
                <w:bCs/>
                <w:sz w:val="20"/>
                <w:szCs w:val="20"/>
              </w:rPr>
            </w:pPr>
            <w:r w:rsidRPr="00085E4F">
              <w:rPr>
                <w:rFonts w:ascii="Times New Roman" w:hAnsi="Times New Roman"/>
                <w:b/>
                <w:bCs/>
                <w:sz w:val="20"/>
                <w:szCs w:val="20"/>
              </w:rPr>
              <w:t>Measure Code</w:t>
            </w:r>
          </w:p>
        </w:tc>
        <w:tc>
          <w:tcPr>
            <w:tcW w:w="4100" w:type="pct"/>
            <w:vAlign w:val="center"/>
            <w:hideMark/>
          </w:tcPr>
          <w:p w14:paraId="39895B72" w14:textId="77777777" w:rsidR="00AF0CCA" w:rsidRPr="00085E4F" w:rsidRDefault="5B621C54" w:rsidP="5B621C54">
            <w:pPr>
              <w:rPr>
                <w:rFonts w:ascii="Times New Roman" w:eastAsiaTheme="minorEastAsia" w:hAnsi="Times New Roman"/>
                <w:b/>
                <w:bCs/>
                <w:sz w:val="20"/>
                <w:szCs w:val="20"/>
              </w:rPr>
            </w:pPr>
            <w:r w:rsidRPr="00085E4F">
              <w:rPr>
                <w:rFonts w:ascii="Times New Roman" w:hAnsi="Times New Roman"/>
                <w:b/>
                <w:bCs/>
                <w:sz w:val="20"/>
                <w:szCs w:val="20"/>
              </w:rPr>
              <w:t>Measure Name</w:t>
            </w:r>
          </w:p>
        </w:tc>
      </w:tr>
      <w:tr w:rsidR="00870594" w:rsidRPr="00707381" w14:paraId="31AB83D0" w14:textId="77777777" w:rsidTr="00F16025">
        <w:trPr>
          <w:trHeight w:val="300"/>
        </w:trPr>
        <w:tc>
          <w:tcPr>
            <w:tcW w:w="900" w:type="pct"/>
            <w:noWrap/>
            <w:vAlign w:val="center"/>
          </w:tcPr>
          <w:p w14:paraId="61D96560" w14:textId="77777777" w:rsidR="00870594" w:rsidRPr="00085E4F" w:rsidRDefault="00F16025" w:rsidP="00F16025">
            <w:pPr>
              <w:spacing w:before="60" w:after="60"/>
              <w:jc w:val="center"/>
              <w:rPr>
                <w:rFonts w:ascii="Times New Roman" w:eastAsiaTheme="minorEastAsia" w:hAnsi="Times New Roman"/>
                <w:sz w:val="20"/>
                <w:szCs w:val="20"/>
              </w:rPr>
            </w:pPr>
            <w:r w:rsidRPr="00085E4F">
              <w:rPr>
                <w:rFonts w:ascii="Times New Roman" w:eastAsiaTheme="minorEastAsia" w:hAnsi="Times New Roman"/>
                <w:sz w:val="20"/>
                <w:szCs w:val="20"/>
              </w:rPr>
              <w:t>LT480</w:t>
            </w:r>
          </w:p>
        </w:tc>
        <w:tc>
          <w:tcPr>
            <w:tcW w:w="4100" w:type="pct"/>
            <w:noWrap/>
            <w:vAlign w:val="bottom"/>
          </w:tcPr>
          <w:p w14:paraId="6C130B75" w14:textId="77777777" w:rsidR="00870594" w:rsidRPr="00085E4F" w:rsidRDefault="00F16025" w:rsidP="00F16025">
            <w:pPr>
              <w:spacing w:before="60" w:after="60"/>
              <w:rPr>
                <w:rFonts w:ascii="Times New Roman" w:eastAsiaTheme="minorEastAsia" w:hAnsi="Times New Roman"/>
                <w:sz w:val="20"/>
                <w:szCs w:val="20"/>
              </w:rPr>
            </w:pPr>
            <w:r w:rsidRPr="00085E4F">
              <w:rPr>
                <w:rFonts w:ascii="Times New Roman" w:eastAsiaTheme="minorEastAsia" w:hAnsi="Times New Roman"/>
                <w:sz w:val="20"/>
                <w:szCs w:val="20"/>
              </w:rPr>
              <w:t>LED Parking Garage Luminaire rated from 1800 to 2300 lumens and &gt;= 120 LPW</w:t>
            </w:r>
          </w:p>
        </w:tc>
      </w:tr>
      <w:tr w:rsidR="00870594" w:rsidRPr="00707381" w14:paraId="6981697B" w14:textId="77777777" w:rsidTr="00F16025">
        <w:trPr>
          <w:trHeight w:val="300"/>
        </w:trPr>
        <w:tc>
          <w:tcPr>
            <w:tcW w:w="900" w:type="pct"/>
            <w:noWrap/>
            <w:vAlign w:val="center"/>
          </w:tcPr>
          <w:p w14:paraId="1BEC833A" w14:textId="77777777" w:rsidR="00870594" w:rsidRPr="00085E4F" w:rsidRDefault="00F16025" w:rsidP="00F16025">
            <w:pPr>
              <w:spacing w:before="60" w:after="60"/>
              <w:jc w:val="center"/>
              <w:rPr>
                <w:rFonts w:ascii="Times New Roman" w:eastAsiaTheme="minorEastAsia" w:hAnsi="Times New Roman"/>
                <w:sz w:val="20"/>
                <w:szCs w:val="20"/>
              </w:rPr>
            </w:pPr>
            <w:r w:rsidRPr="00085E4F">
              <w:rPr>
                <w:rFonts w:ascii="Times New Roman" w:eastAsiaTheme="minorEastAsia" w:hAnsi="Times New Roman"/>
                <w:sz w:val="20"/>
                <w:szCs w:val="20"/>
              </w:rPr>
              <w:t>LT481</w:t>
            </w:r>
          </w:p>
        </w:tc>
        <w:tc>
          <w:tcPr>
            <w:tcW w:w="4100" w:type="pct"/>
            <w:noWrap/>
            <w:vAlign w:val="bottom"/>
          </w:tcPr>
          <w:p w14:paraId="5B73188B" w14:textId="77777777" w:rsidR="00870594" w:rsidRPr="00085E4F" w:rsidRDefault="00F16025" w:rsidP="00F16025">
            <w:pPr>
              <w:spacing w:before="60" w:after="60"/>
              <w:rPr>
                <w:rFonts w:ascii="Times New Roman" w:eastAsiaTheme="minorEastAsia" w:hAnsi="Times New Roman"/>
                <w:sz w:val="20"/>
                <w:szCs w:val="20"/>
              </w:rPr>
            </w:pPr>
            <w:r w:rsidRPr="00085E4F">
              <w:rPr>
                <w:rFonts w:ascii="Times New Roman" w:eastAsiaTheme="minorEastAsia" w:hAnsi="Times New Roman"/>
                <w:sz w:val="20"/>
                <w:szCs w:val="20"/>
              </w:rPr>
              <w:t>LED Parking Garage Luminaire rated &gt; 2300 to 2900 lumens and &gt;= 120 LPW</w:t>
            </w:r>
          </w:p>
        </w:tc>
      </w:tr>
      <w:tr w:rsidR="00870594" w:rsidRPr="00707381" w14:paraId="690E93CB" w14:textId="77777777" w:rsidTr="00F16025">
        <w:trPr>
          <w:trHeight w:val="300"/>
        </w:trPr>
        <w:tc>
          <w:tcPr>
            <w:tcW w:w="900" w:type="pct"/>
            <w:noWrap/>
            <w:vAlign w:val="center"/>
          </w:tcPr>
          <w:p w14:paraId="24B87D7C" w14:textId="77777777" w:rsidR="00870594" w:rsidRPr="00085E4F" w:rsidRDefault="00F16025" w:rsidP="00F16025">
            <w:pPr>
              <w:spacing w:before="60" w:after="60"/>
              <w:jc w:val="center"/>
              <w:rPr>
                <w:rFonts w:ascii="Times New Roman" w:eastAsiaTheme="minorEastAsia" w:hAnsi="Times New Roman"/>
                <w:sz w:val="20"/>
                <w:szCs w:val="20"/>
              </w:rPr>
            </w:pPr>
            <w:r w:rsidRPr="00085E4F">
              <w:rPr>
                <w:rFonts w:ascii="Times New Roman" w:eastAsiaTheme="minorEastAsia" w:hAnsi="Times New Roman"/>
                <w:sz w:val="20"/>
                <w:szCs w:val="20"/>
              </w:rPr>
              <w:t>LT482</w:t>
            </w:r>
          </w:p>
        </w:tc>
        <w:tc>
          <w:tcPr>
            <w:tcW w:w="4100" w:type="pct"/>
            <w:noWrap/>
            <w:vAlign w:val="bottom"/>
          </w:tcPr>
          <w:p w14:paraId="54B2C3CE" w14:textId="77777777" w:rsidR="00870594" w:rsidRPr="00085E4F" w:rsidRDefault="00F16025" w:rsidP="00F16025">
            <w:pPr>
              <w:spacing w:before="60" w:after="60"/>
              <w:rPr>
                <w:rFonts w:ascii="Times New Roman" w:eastAsiaTheme="minorEastAsia" w:hAnsi="Times New Roman"/>
                <w:sz w:val="20"/>
                <w:szCs w:val="20"/>
              </w:rPr>
            </w:pPr>
            <w:r w:rsidRPr="00085E4F">
              <w:rPr>
                <w:rFonts w:ascii="Times New Roman" w:eastAsiaTheme="minorEastAsia" w:hAnsi="Times New Roman"/>
                <w:sz w:val="20"/>
                <w:szCs w:val="20"/>
              </w:rPr>
              <w:t>LED Parking Garage Luminaire rated &gt; 2900 to 3600 lumens and &gt;= 120 LPW</w:t>
            </w:r>
          </w:p>
        </w:tc>
      </w:tr>
      <w:tr w:rsidR="00870594" w:rsidRPr="00707381" w14:paraId="00B16D23" w14:textId="77777777" w:rsidTr="00F16025">
        <w:trPr>
          <w:trHeight w:val="300"/>
        </w:trPr>
        <w:tc>
          <w:tcPr>
            <w:tcW w:w="900" w:type="pct"/>
            <w:noWrap/>
            <w:vAlign w:val="center"/>
          </w:tcPr>
          <w:p w14:paraId="6F48CA67" w14:textId="77777777" w:rsidR="00870594" w:rsidRPr="00085E4F" w:rsidRDefault="00F16025" w:rsidP="00F16025">
            <w:pPr>
              <w:spacing w:before="60" w:after="60"/>
              <w:jc w:val="center"/>
              <w:rPr>
                <w:rFonts w:ascii="Times New Roman" w:eastAsiaTheme="minorEastAsia" w:hAnsi="Times New Roman"/>
                <w:sz w:val="20"/>
                <w:szCs w:val="20"/>
              </w:rPr>
            </w:pPr>
            <w:r w:rsidRPr="00085E4F">
              <w:rPr>
                <w:rFonts w:ascii="Times New Roman" w:eastAsiaTheme="minorEastAsia" w:hAnsi="Times New Roman"/>
                <w:sz w:val="20"/>
                <w:szCs w:val="20"/>
              </w:rPr>
              <w:t>LT483</w:t>
            </w:r>
          </w:p>
        </w:tc>
        <w:tc>
          <w:tcPr>
            <w:tcW w:w="4100" w:type="pct"/>
            <w:noWrap/>
            <w:vAlign w:val="bottom"/>
          </w:tcPr>
          <w:p w14:paraId="5689D4B1" w14:textId="77777777" w:rsidR="00870594" w:rsidRPr="00085E4F" w:rsidRDefault="00F16025" w:rsidP="00F16025">
            <w:pPr>
              <w:spacing w:before="60" w:after="60"/>
              <w:rPr>
                <w:rFonts w:ascii="Times New Roman" w:eastAsiaTheme="minorEastAsia" w:hAnsi="Times New Roman"/>
                <w:sz w:val="20"/>
                <w:szCs w:val="20"/>
              </w:rPr>
            </w:pPr>
            <w:r w:rsidRPr="00085E4F">
              <w:rPr>
                <w:rFonts w:ascii="Times New Roman" w:eastAsiaTheme="minorEastAsia" w:hAnsi="Times New Roman"/>
                <w:sz w:val="20"/>
                <w:szCs w:val="20"/>
              </w:rPr>
              <w:t>LED Parking Garage Luminaire rated &gt; 3600 to 4500 lumens and &gt;= 120 LPW</w:t>
            </w:r>
          </w:p>
        </w:tc>
      </w:tr>
      <w:tr w:rsidR="00870594" w:rsidRPr="00707381" w14:paraId="3551F423" w14:textId="77777777" w:rsidTr="00F16025">
        <w:trPr>
          <w:trHeight w:val="300"/>
        </w:trPr>
        <w:tc>
          <w:tcPr>
            <w:tcW w:w="900" w:type="pct"/>
            <w:noWrap/>
            <w:vAlign w:val="center"/>
          </w:tcPr>
          <w:p w14:paraId="31B47B3B" w14:textId="77777777" w:rsidR="00870594" w:rsidRPr="00085E4F" w:rsidRDefault="00F16025" w:rsidP="00F16025">
            <w:pPr>
              <w:spacing w:before="60" w:after="60"/>
              <w:jc w:val="center"/>
              <w:rPr>
                <w:rFonts w:ascii="Times New Roman" w:eastAsiaTheme="minorEastAsia" w:hAnsi="Times New Roman"/>
                <w:sz w:val="20"/>
                <w:szCs w:val="20"/>
              </w:rPr>
            </w:pPr>
            <w:r w:rsidRPr="00085E4F">
              <w:rPr>
                <w:rFonts w:ascii="Times New Roman" w:eastAsiaTheme="minorEastAsia" w:hAnsi="Times New Roman"/>
                <w:sz w:val="20"/>
                <w:szCs w:val="20"/>
              </w:rPr>
              <w:t>LT484</w:t>
            </w:r>
          </w:p>
        </w:tc>
        <w:tc>
          <w:tcPr>
            <w:tcW w:w="4100" w:type="pct"/>
            <w:noWrap/>
            <w:vAlign w:val="bottom"/>
          </w:tcPr>
          <w:p w14:paraId="73E86404" w14:textId="77777777" w:rsidR="00870594" w:rsidRPr="00085E4F" w:rsidRDefault="00F16025" w:rsidP="00F16025">
            <w:pPr>
              <w:spacing w:before="60" w:after="60"/>
              <w:rPr>
                <w:rFonts w:ascii="Times New Roman" w:eastAsiaTheme="minorEastAsia" w:hAnsi="Times New Roman"/>
                <w:sz w:val="20"/>
                <w:szCs w:val="20"/>
              </w:rPr>
            </w:pPr>
            <w:r w:rsidRPr="00085E4F">
              <w:rPr>
                <w:rFonts w:ascii="Times New Roman" w:eastAsiaTheme="minorEastAsia" w:hAnsi="Times New Roman"/>
                <w:sz w:val="20"/>
                <w:szCs w:val="20"/>
              </w:rPr>
              <w:t>LED Parking Garage Luminaire rated &gt; 4500 to 5600 lumens and &gt;= 120 LPW</w:t>
            </w:r>
          </w:p>
        </w:tc>
      </w:tr>
      <w:tr w:rsidR="00870594" w:rsidRPr="00707381" w14:paraId="38566E5E" w14:textId="77777777" w:rsidTr="00F16025">
        <w:trPr>
          <w:trHeight w:val="300"/>
        </w:trPr>
        <w:tc>
          <w:tcPr>
            <w:tcW w:w="900" w:type="pct"/>
            <w:noWrap/>
            <w:vAlign w:val="center"/>
          </w:tcPr>
          <w:p w14:paraId="240FBC8E" w14:textId="77777777" w:rsidR="00870594" w:rsidRPr="00085E4F" w:rsidRDefault="00F16025" w:rsidP="00F16025">
            <w:pPr>
              <w:spacing w:before="60" w:after="60"/>
              <w:jc w:val="center"/>
              <w:rPr>
                <w:rFonts w:ascii="Times New Roman" w:eastAsiaTheme="minorEastAsia" w:hAnsi="Times New Roman"/>
                <w:sz w:val="20"/>
                <w:szCs w:val="20"/>
              </w:rPr>
            </w:pPr>
            <w:r w:rsidRPr="00085E4F">
              <w:rPr>
                <w:rFonts w:ascii="Times New Roman" w:eastAsiaTheme="minorEastAsia" w:hAnsi="Times New Roman"/>
                <w:sz w:val="20"/>
                <w:szCs w:val="20"/>
              </w:rPr>
              <w:t>LT485</w:t>
            </w:r>
          </w:p>
        </w:tc>
        <w:tc>
          <w:tcPr>
            <w:tcW w:w="4100" w:type="pct"/>
            <w:noWrap/>
            <w:vAlign w:val="bottom"/>
          </w:tcPr>
          <w:p w14:paraId="0AC16543" w14:textId="77777777" w:rsidR="00870594" w:rsidRPr="00085E4F" w:rsidRDefault="00F16025" w:rsidP="00F16025">
            <w:pPr>
              <w:spacing w:before="60" w:after="60"/>
              <w:rPr>
                <w:rFonts w:ascii="Times New Roman" w:eastAsiaTheme="minorEastAsia" w:hAnsi="Times New Roman"/>
                <w:sz w:val="20"/>
                <w:szCs w:val="20"/>
              </w:rPr>
            </w:pPr>
            <w:r w:rsidRPr="00085E4F">
              <w:rPr>
                <w:rFonts w:ascii="Times New Roman" w:eastAsiaTheme="minorEastAsia" w:hAnsi="Times New Roman"/>
                <w:sz w:val="20"/>
                <w:szCs w:val="20"/>
              </w:rPr>
              <w:t>LED Parking Garage Luminaire rated &gt; 5600 to 7000 lumens and &gt;= 120 LPW</w:t>
            </w:r>
          </w:p>
        </w:tc>
      </w:tr>
      <w:tr w:rsidR="00870594" w:rsidRPr="00707381" w14:paraId="04E9CC78" w14:textId="77777777" w:rsidTr="00F16025">
        <w:trPr>
          <w:trHeight w:val="300"/>
        </w:trPr>
        <w:tc>
          <w:tcPr>
            <w:tcW w:w="900" w:type="pct"/>
            <w:noWrap/>
            <w:vAlign w:val="center"/>
          </w:tcPr>
          <w:p w14:paraId="66D4DA5F" w14:textId="77777777" w:rsidR="00870594" w:rsidRPr="00085E4F" w:rsidRDefault="00F16025" w:rsidP="00F16025">
            <w:pPr>
              <w:spacing w:before="60" w:after="60"/>
              <w:jc w:val="center"/>
              <w:rPr>
                <w:rFonts w:ascii="Times New Roman" w:eastAsiaTheme="minorEastAsia" w:hAnsi="Times New Roman"/>
                <w:sz w:val="20"/>
                <w:szCs w:val="20"/>
              </w:rPr>
            </w:pPr>
            <w:r w:rsidRPr="00085E4F">
              <w:rPr>
                <w:rFonts w:ascii="Times New Roman" w:eastAsiaTheme="minorEastAsia" w:hAnsi="Times New Roman"/>
                <w:sz w:val="20"/>
                <w:szCs w:val="20"/>
              </w:rPr>
              <w:t>LT486</w:t>
            </w:r>
          </w:p>
        </w:tc>
        <w:tc>
          <w:tcPr>
            <w:tcW w:w="4100" w:type="pct"/>
            <w:noWrap/>
            <w:vAlign w:val="bottom"/>
          </w:tcPr>
          <w:p w14:paraId="0ECA60A1" w14:textId="77777777" w:rsidR="00870594" w:rsidRPr="00085E4F" w:rsidRDefault="00F16025" w:rsidP="00F16025">
            <w:pPr>
              <w:spacing w:before="60" w:after="60"/>
              <w:rPr>
                <w:rFonts w:ascii="Times New Roman" w:eastAsiaTheme="minorEastAsia" w:hAnsi="Times New Roman"/>
                <w:sz w:val="20"/>
                <w:szCs w:val="20"/>
              </w:rPr>
            </w:pPr>
            <w:r w:rsidRPr="00085E4F">
              <w:rPr>
                <w:rFonts w:ascii="Times New Roman" w:eastAsiaTheme="minorEastAsia" w:hAnsi="Times New Roman"/>
                <w:sz w:val="20"/>
                <w:szCs w:val="20"/>
              </w:rPr>
              <w:t>LED Parking Garage Luminaire rated &gt; 7000 to 8800 lumens and &gt;= 120 LPW</w:t>
            </w:r>
          </w:p>
        </w:tc>
      </w:tr>
      <w:tr w:rsidR="00870594" w:rsidRPr="00707381" w14:paraId="226629BB" w14:textId="77777777" w:rsidTr="00F16025">
        <w:trPr>
          <w:trHeight w:val="300"/>
        </w:trPr>
        <w:tc>
          <w:tcPr>
            <w:tcW w:w="900" w:type="pct"/>
            <w:noWrap/>
            <w:vAlign w:val="center"/>
          </w:tcPr>
          <w:p w14:paraId="1855D21E" w14:textId="77777777" w:rsidR="00870594" w:rsidRPr="00085E4F" w:rsidRDefault="00F16025" w:rsidP="00F16025">
            <w:pPr>
              <w:spacing w:before="60" w:after="60"/>
              <w:jc w:val="center"/>
              <w:rPr>
                <w:rFonts w:ascii="Times New Roman" w:eastAsiaTheme="minorEastAsia" w:hAnsi="Times New Roman"/>
                <w:sz w:val="20"/>
                <w:szCs w:val="20"/>
              </w:rPr>
            </w:pPr>
            <w:r w:rsidRPr="00085E4F">
              <w:rPr>
                <w:rFonts w:ascii="Times New Roman" w:eastAsiaTheme="minorEastAsia" w:hAnsi="Times New Roman"/>
                <w:sz w:val="20"/>
                <w:szCs w:val="20"/>
              </w:rPr>
              <w:t>LT487</w:t>
            </w:r>
          </w:p>
        </w:tc>
        <w:tc>
          <w:tcPr>
            <w:tcW w:w="4100" w:type="pct"/>
            <w:noWrap/>
            <w:vAlign w:val="bottom"/>
          </w:tcPr>
          <w:p w14:paraId="2F6A770E" w14:textId="77777777" w:rsidR="00870594" w:rsidRPr="00085E4F" w:rsidRDefault="00F16025" w:rsidP="00F16025">
            <w:pPr>
              <w:spacing w:before="60" w:after="60"/>
              <w:rPr>
                <w:rFonts w:ascii="Times New Roman" w:eastAsiaTheme="minorEastAsia" w:hAnsi="Times New Roman"/>
                <w:sz w:val="20"/>
                <w:szCs w:val="20"/>
              </w:rPr>
            </w:pPr>
            <w:r w:rsidRPr="00085E4F">
              <w:rPr>
                <w:rFonts w:ascii="Times New Roman" w:eastAsiaTheme="minorEastAsia" w:hAnsi="Times New Roman"/>
                <w:sz w:val="20"/>
                <w:szCs w:val="20"/>
              </w:rPr>
              <w:t>LED Parking Garage Luminaire rated &gt; 8800 to 11000 lumens and &gt;= 120 LPW</w:t>
            </w:r>
          </w:p>
        </w:tc>
      </w:tr>
    </w:tbl>
    <w:p w14:paraId="445BB603" w14:textId="77777777" w:rsidR="00A10AAA" w:rsidRDefault="00A10AAA">
      <w:pPr>
        <w:rPr>
          <w:rFonts w:ascii="Arial" w:hAnsi="Arial" w:cs="Arial"/>
          <w:b/>
          <w:i/>
        </w:rPr>
      </w:pPr>
    </w:p>
    <w:p w14:paraId="0D626B15" w14:textId="77777777" w:rsidR="006E3403" w:rsidRPr="00AF0CCA" w:rsidRDefault="5B621C54" w:rsidP="00605C5F">
      <w:pPr>
        <w:spacing w:before="120" w:after="60"/>
        <w:rPr>
          <w:rFonts w:ascii="Arial" w:hAnsi="Arial" w:cs="Arial"/>
          <w:b/>
          <w:bCs/>
          <w:i/>
          <w:iCs/>
        </w:rPr>
      </w:pPr>
      <w:r w:rsidRPr="5B621C54">
        <w:rPr>
          <w:rFonts w:ascii="Arial" w:hAnsi="Arial" w:cs="Arial"/>
          <w:b/>
          <w:bCs/>
          <w:i/>
          <w:iCs/>
        </w:rPr>
        <w:t>Program Restrictions and Guidelines</w:t>
      </w:r>
      <w:r w:rsidR="003B1B49">
        <w:rPr>
          <w:rFonts w:ascii="Arial" w:hAnsi="Arial" w:cs="Arial"/>
          <w:b/>
          <w:bCs/>
          <w:i/>
          <w:iCs/>
        </w:rPr>
        <w:t xml:space="preserve"> </w:t>
      </w:r>
    </w:p>
    <w:p w14:paraId="4B2B0B86" w14:textId="5A4C6B52" w:rsidR="00164DDF" w:rsidRPr="00085E4F" w:rsidRDefault="5B621C54" w:rsidP="00085E4F">
      <w:r w:rsidRPr="00027749">
        <w:t xml:space="preserve">To </w:t>
      </w:r>
      <w:r w:rsidRPr="00085E4F">
        <w:t xml:space="preserve">qualify for </w:t>
      </w:r>
      <w:r w:rsidR="002A354F">
        <w:t>these measures</w:t>
      </w:r>
      <w:r w:rsidRPr="00085E4F">
        <w:t>, the following requirements must be met:</w:t>
      </w:r>
    </w:p>
    <w:p w14:paraId="4D65E2A7" w14:textId="7317D8D4" w:rsidR="00A27D37" w:rsidRPr="00085E4F" w:rsidRDefault="00D554A5" w:rsidP="000E6322">
      <w:pPr>
        <w:pStyle w:val="ListParagraph"/>
        <w:numPr>
          <w:ilvl w:val="0"/>
          <w:numId w:val="13"/>
        </w:numPr>
      </w:pPr>
      <w:r w:rsidRPr="00085E4F">
        <w:t xml:space="preserve">Luminaires must be </w:t>
      </w:r>
      <w:r w:rsidR="00A27D37" w:rsidRPr="00085E4F">
        <w:t>classified and listed under the Outdoor Category with a Primary Use Designation of either Parking Garage Luminaires or Retrofit Kits for Parking Garage Luminaires</w:t>
      </w:r>
    </w:p>
    <w:p w14:paraId="58B50BBD" w14:textId="249ECD98" w:rsidR="004F2927" w:rsidRPr="00085E4F" w:rsidRDefault="004F2927" w:rsidP="000E6322">
      <w:pPr>
        <w:pStyle w:val="ListParagraph"/>
        <w:numPr>
          <w:ilvl w:val="0"/>
          <w:numId w:val="13"/>
        </w:numPr>
      </w:pPr>
      <w:r w:rsidRPr="00085E4F">
        <w:t>Luminaires must</w:t>
      </w:r>
      <w:r w:rsidR="002A354F">
        <w:t xml:space="preserve"> meet</w:t>
      </w:r>
      <w:r w:rsidRPr="00085E4F">
        <w:t xml:space="preserve"> the DLC</w:t>
      </w:r>
      <w:r w:rsidR="009828F1">
        <w:t xml:space="preserve"> </w:t>
      </w:r>
      <w:r w:rsidR="002A354F">
        <w:t xml:space="preserve">Technical Requirements </w:t>
      </w:r>
      <w:r w:rsidR="000C1186">
        <w:t>version</w:t>
      </w:r>
      <w:r w:rsidRPr="00085E4F">
        <w:t xml:space="preserve"> </w:t>
      </w:r>
      <w:r w:rsidR="002A354F">
        <w:t xml:space="preserve">in effect at the time of installation, and be </w:t>
      </w:r>
      <w:r w:rsidRPr="00085E4F">
        <w:t xml:space="preserve"> 120 lumens per watt or higher</w:t>
      </w:r>
    </w:p>
    <w:p w14:paraId="34904128" w14:textId="77777777" w:rsidR="00685105" w:rsidRPr="00085E4F" w:rsidRDefault="71903359" w:rsidP="71903359">
      <w:pPr>
        <w:numPr>
          <w:ilvl w:val="0"/>
          <w:numId w:val="1"/>
        </w:numPr>
        <w:rPr>
          <w:i/>
          <w:iCs/>
        </w:rPr>
      </w:pPr>
      <w:r w:rsidRPr="00085E4F">
        <w:rPr>
          <w:rFonts w:ascii="TimesNewRomanPSMT" w:hAnsi="TimesNewRomanPSMT" w:cs="TimesNewRomanPSMT"/>
        </w:rPr>
        <w:t>A product cut sheet and installation instructions must be provided.</w:t>
      </w:r>
    </w:p>
    <w:p w14:paraId="1D2059CD" w14:textId="77777777" w:rsidR="008F5120" w:rsidRDefault="008F5120" w:rsidP="5B621C54">
      <w:pPr>
        <w:rPr>
          <w:rFonts w:ascii="Arial" w:hAnsi="Arial" w:cs="Arial"/>
          <w:b/>
          <w:bCs/>
          <w:i/>
          <w:iCs/>
        </w:rPr>
      </w:pPr>
    </w:p>
    <w:p w14:paraId="7D21BEC6" w14:textId="77777777" w:rsidR="006E3403" w:rsidRPr="0025567A" w:rsidRDefault="5B621C54" w:rsidP="5B621C54">
      <w:pPr>
        <w:rPr>
          <w:rFonts w:ascii="Arial" w:hAnsi="Arial" w:cs="Arial"/>
          <w:b/>
          <w:bCs/>
          <w:i/>
          <w:iCs/>
        </w:rPr>
      </w:pPr>
      <w:r w:rsidRPr="5B621C54">
        <w:rPr>
          <w:rFonts w:ascii="Arial" w:hAnsi="Arial" w:cs="Arial"/>
          <w:b/>
          <w:bCs/>
          <w:i/>
          <w:iCs/>
        </w:rPr>
        <w:t>Terms and Conditions</w:t>
      </w:r>
    </w:p>
    <w:p w14:paraId="12A09FB4" w14:textId="77777777" w:rsidR="006E3403" w:rsidRPr="0025567A" w:rsidRDefault="5B621C54" w:rsidP="00D56DC3">
      <w:r>
        <w:t>The customer must be a PG&amp;E electrical customer served under a commercial/industrial rate schedule.</w:t>
      </w:r>
    </w:p>
    <w:p w14:paraId="371B73EA" w14:textId="77777777" w:rsidR="006E3403" w:rsidRPr="0025567A" w:rsidRDefault="006E3403" w:rsidP="00D56DC3">
      <w:pPr>
        <w:rPr>
          <w:rFonts w:ascii="Arial" w:hAnsi="Arial" w:cs="Arial"/>
          <w:b/>
          <w:i/>
        </w:rPr>
      </w:pPr>
    </w:p>
    <w:p w14:paraId="333AA256" w14:textId="77777777" w:rsidR="006E3403" w:rsidRPr="0025567A" w:rsidRDefault="5B621C54" w:rsidP="00605C5F">
      <w:pPr>
        <w:spacing w:before="60"/>
        <w:rPr>
          <w:rFonts w:ascii="Arial" w:hAnsi="Arial" w:cs="Arial"/>
          <w:b/>
          <w:bCs/>
          <w:i/>
          <w:iCs/>
        </w:rPr>
      </w:pPr>
      <w:r w:rsidRPr="5B621C54">
        <w:rPr>
          <w:rFonts w:ascii="Arial" w:hAnsi="Arial" w:cs="Arial"/>
          <w:b/>
          <w:bCs/>
          <w:i/>
          <w:iCs/>
        </w:rPr>
        <w:t xml:space="preserve">Market Applicability </w:t>
      </w:r>
    </w:p>
    <w:p w14:paraId="6B729E46" w14:textId="77777777" w:rsidR="00313A1D" w:rsidRPr="00474B71" w:rsidRDefault="5B621C54" w:rsidP="0009289A">
      <w:r>
        <w:t xml:space="preserve">  These measures are offered via </w:t>
      </w:r>
      <w:r w:rsidR="006F012B">
        <w:t xml:space="preserve">Midstream, </w:t>
      </w:r>
      <w:r>
        <w:t xml:space="preserve">Downstream and Direct Install delivery types.  </w:t>
      </w:r>
    </w:p>
    <w:p w14:paraId="2357D3FF" w14:textId="77777777" w:rsidR="00382113" w:rsidRDefault="00382113" w:rsidP="00382113">
      <w:pPr>
        <w:pStyle w:val="Heading2"/>
        <w:spacing w:before="0"/>
      </w:pPr>
      <w:bookmarkStart w:id="23" w:name="_Toc511134185"/>
    </w:p>
    <w:p w14:paraId="1493D753" w14:textId="77777777" w:rsidR="00382113" w:rsidRDefault="00382113">
      <w:pPr>
        <w:rPr>
          <w:rFonts w:ascii="Arial" w:hAnsi="Arial" w:cs="Arial"/>
          <w:b/>
          <w:bCs/>
          <w:i/>
          <w:iCs/>
          <w:sz w:val="28"/>
          <w:szCs w:val="28"/>
        </w:rPr>
      </w:pPr>
      <w:r>
        <w:br w:type="page"/>
      </w:r>
    </w:p>
    <w:p w14:paraId="272EC5E3" w14:textId="7B6CB620" w:rsidR="006E3403" w:rsidRPr="0076543F" w:rsidRDefault="5B621C54" w:rsidP="00382113">
      <w:pPr>
        <w:pStyle w:val="Heading2"/>
        <w:spacing w:before="0"/>
      </w:pPr>
      <w:bookmarkStart w:id="24" w:name="_Toc2803194"/>
      <w:r>
        <w:lastRenderedPageBreak/>
        <w:t>1.</w:t>
      </w:r>
      <w:r w:rsidR="005B0952">
        <w:t>2</w:t>
      </w:r>
      <w:r>
        <w:t xml:space="preserve"> Technical Description</w:t>
      </w:r>
      <w:bookmarkEnd w:id="23"/>
      <w:bookmarkEnd w:id="24"/>
      <w:r w:rsidR="00D4457F">
        <w:t xml:space="preserve"> </w:t>
      </w:r>
    </w:p>
    <w:p w14:paraId="486A6304" w14:textId="77777777" w:rsidR="00375E1F" w:rsidRDefault="00737AB6" w:rsidP="00AE3C38">
      <w:pPr>
        <w:ind w:right="900"/>
        <w:rPr>
          <w:i/>
        </w:rPr>
      </w:pPr>
      <w:r>
        <w:t xml:space="preserve">LED </w:t>
      </w:r>
      <w:r w:rsidR="009D56DE">
        <w:t>products</w:t>
      </w:r>
      <w:r>
        <w:t xml:space="preserve"> </w:t>
      </w:r>
      <w:r w:rsidR="009D56DE">
        <w:t>are</w:t>
      </w:r>
      <w:r>
        <w:t xml:space="preserve"> able to outperform discharge-lamp technologies across Outdoor lighting. The demanding photometric requirements of garage lighting, where fixtures must spread light as widely as possible from low overhead height, is well-suited for </w:t>
      </w:r>
      <w:r w:rsidRPr="00737AB6">
        <w:t xml:space="preserve">the improved </w:t>
      </w:r>
      <w:r>
        <w:t xml:space="preserve">optical control of LED products. </w:t>
      </w:r>
    </w:p>
    <w:p w14:paraId="34656A38" w14:textId="77777777" w:rsidR="00CF487C" w:rsidRDefault="00CF487C" w:rsidP="00EC1CF6">
      <w:pPr>
        <w:keepLines/>
      </w:pPr>
    </w:p>
    <w:p w14:paraId="31A8B10C" w14:textId="7CC173A9" w:rsidR="000C5B86" w:rsidRPr="003946E3" w:rsidRDefault="5B621C54" w:rsidP="00CF487C">
      <w:pPr>
        <w:pStyle w:val="Heading2"/>
        <w:keepNext w:val="0"/>
        <w:spacing w:before="0"/>
      </w:pPr>
      <w:bookmarkStart w:id="25" w:name="_Toc511134186"/>
      <w:bookmarkStart w:id="26" w:name="_Toc2803195"/>
      <w:bookmarkStart w:id="27" w:name="_Toc304800203"/>
      <w:bookmarkStart w:id="28" w:name="_Toc324318339"/>
      <w:bookmarkStart w:id="29" w:name="_Toc324340483"/>
      <w:bookmarkStart w:id="30" w:name="_Toc387655330"/>
      <w:r>
        <w:t>1.</w:t>
      </w:r>
      <w:r w:rsidR="005B0952">
        <w:t>3</w:t>
      </w:r>
      <w:r>
        <w:t xml:space="preserve"> Installation Types and Delivery Mechanisms</w:t>
      </w:r>
      <w:bookmarkEnd w:id="25"/>
      <w:bookmarkEnd w:id="26"/>
      <w:r>
        <w:t xml:space="preserve"> </w:t>
      </w:r>
      <w:bookmarkEnd w:id="27"/>
      <w:bookmarkEnd w:id="28"/>
      <w:bookmarkEnd w:id="29"/>
      <w:bookmarkEnd w:id="30"/>
    </w:p>
    <w:p w14:paraId="2F9CF6DF" w14:textId="77777777" w:rsidR="008A6F0C" w:rsidRPr="00784500" w:rsidRDefault="5B621C54" w:rsidP="008A6F0C">
      <w:pPr>
        <w:rPr>
          <w:rFonts w:cs="Arial"/>
          <w:sz w:val="20"/>
          <w:szCs w:val="20"/>
        </w:rPr>
      </w:pPr>
      <w:r>
        <w:t>The Database for Energy Efficiency Resources (DEER) developed by the California Public Utilities Commission defines the measure application type as shown in the table below.</w:t>
      </w:r>
    </w:p>
    <w:p w14:paraId="33B796DD" w14:textId="77777777" w:rsidR="000C5B86" w:rsidRPr="00F65942" w:rsidRDefault="000C5B86" w:rsidP="000C5B86">
      <w:pPr>
        <w:rPr>
          <w:i/>
        </w:rPr>
      </w:pPr>
    </w:p>
    <w:p w14:paraId="25236B90" w14:textId="44EDA99F" w:rsidR="000C5B86" w:rsidRPr="007F3A40" w:rsidRDefault="000C5B86" w:rsidP="5B621C54">
      <w:pPr>
        <w:pStyle w:val="Caption"/>
        <w:keepNext/>
        <w:jc w:val="center"/>
        <w:rPr>
          <w:rFonts w:ascii="Calibri" w:hAnsi="Calibri" w:cs="Calibri"/>
        </w:rPr>
      </w:pPr>
      <w:bookmarkStart w:id="31" w:name="_Toc387822963"/>
      <w:bookmarkStart w:id="32" w:name="_Toc511134160"/>
      <w:bookmarkStart w:id="33" w:name="_Toc2803226"/>
      <w:r w:rsidRPr="5B621C54">
        <w:t xml:space="preserve">Table </w:t>
      </w:r>
      <w:fldSimple w:instr=" SEQ Table \* ARABIC ">
        <w:r w:rsidR="00491759">
          <w:rPr>
            <w:noProof/>
          </w:rPr>
          <w:t>2</w:t>
        </w:r>
      </w:fldSimple>
      <w:r w:rsidR="00085E4F">
        <w:t>:</w:t>
      </w:r>
      <w:bookmarkStart w:id="34" w:name="RANGE!B222"/>
      <w:r w:rsidRPr="5B621C54">
        <w:rPr>
          <w:rFonts w:ascii="Calibri" w:hAnsi="Calibri" w:cs="Calibri"/>
        </w:rPr>
        <w:t xml:space="preserve"> </w:t>
      </w:r>
      <w:r w:rsidRPr="5B621C54">
        <w:rPr>
          <w:rFonts w:cs="Arial"/>
        </w:rPr>
        <w:t>Measure Application Type</w:t>
      </w:r>
      <w:bookmarkEnd w:id="34"/>
      <w:r w:rsidRPr="5B621C54">
        <w:rPr>
          <w:rStyle w:val="EndnoteReference"/>
          <w:rFonts w:cs="Arial"/>
        </w:rPr>
        <w:endnoteReference w:id="5"/>
      </w:r>
      <w:bookmarkEnd w:id="31"/>
      <w:bookmarkEnd w:id="32"/>
      <w:bookmarkEnd w:id="33"/>
    </w:p>
    <w:tbl>
      <w:tblPr>
        <w:tblW w:w="91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
        <w:gridCol w:w="2610"/>
        <w:gridCol w:w="5664"/>
      </w:tblGrid>
      <w:tr w:rsidR="008A6F0C" w:rsidRPr="007F3A40" w14:paraId="6437FFCB" w14:textId="77777777" w:rsidTr="00820549">
        <w:trPr>
          <w:trHeight w:val="315"/>
        </w:trPr>
        <w:tc>
          <w:tcPr>
            <w:tcW w:w="906" w:type="dxa"/>
            <w:shd w:val="clear" w:color="auto" w:fill="D9D9D9" w:themeFill="background1" w:themeFillShade="D9"/>
            <w:noWrap/>
            <w:vAlign w:val="bottom"/>
            <w:hideMark/>
          </w:tcPr>
          <w:p w14:paraId="5AE22D88" w14:textId="77777777" w:rsidR="008A6F0C" w:rsidRPr="007F3A40" w:rsidRDefault="5B621C54" w:rsidP="5B621C54">
            <w:pPr>
              <w:keepNext/>
              <w:rPr>
                <w:b/>
                <w:bCs/>
                <w:color w:val="000000"/>
                <w:sz w:val="20"/>
                <w:szCs w:val="20"/>
              </w:rPr>
            </w:pPr>
            <w:r w:rsidRPr="5B621C54">
              <w:rPr>
                <w:b/>
                <w:bCs/>
                <w:color w:val="000000" w:themeColor="text1"/>
                <w:sz w:val="20"/>
                <w:szCs w:val="20"/>
              </w:rPr>
              <w:t>Code</w:t>
            </w:r>
          </w:p>
        </w:tc>
        <w:tc>
          <w:tcPr>
            <w:tcW w:w="2610" w:type="dxa"/>
            <w:shd w:val="clear" w:color="auto" w:fill="D9D9D9" w:themeFill="background1" w:themeFillShade="D9"/>
            <w:noWrap/>
            <w:vAlign w:val="bottom"/>
            <w:hideMark/>
          </w:tcPr>
          <w:p w14:paraId="31F9996B" w14:textId="77777777" w:rsidR="008A6F0C" w:rsidRPr="007F3A40" w:rsidRDefault="5B621C54" w:rsidP="5B621C54">
            <w:pPr>
              <w:keepNext/>
              <w:rPr>
                <w:b/>
                <w:bCs/>
                <w:color w:val="000000"/>
                <w:sz w:val="20"/>
                <w:szCs w:val="20"/>
              </w:rPr>
            </w:pPr>
            <w:r w:rsidRPr="5B621C54">
              <w:rPr>
                <w:b/>
                <w:bCs/>
                <w:color w:val="000000" w:themeColor="text1"/>
                <w:sz w:val="20"/>
                <w:szCs w:val="20"/>
              </w:rPr>
              <w:t>Description</w:t>
            </w:r>
          </w:p>
        </w:tc>
        <w:tc>
          <w:tcPr>
            <w:tcW w:w="5664" w:type="dxa"/>
            <w:shd w:val="clear" w:color="auto" w:fill="D9D9D9" w:themeFill="background1" w:themeFillShade="D9"/>
            <w:noWrap/>
            <w:vAlign w:val="bottom"/>
            <w:hideMark/>
          </w:tcPr>
          <w:p w14:paraId="4F7F5DA2" w14:textId="77777777" w:rsidR="008A6F0C" w:rsidRPr="007F3A40" w:rsidRDefault="5B621C54" w:rsidP="5B621C54">
            <w:pPr>
              <w:keepNext/>
              <w:rPr>
                <w:b/>
                <w:bCs/>
                <w:color w:val="000000"/>
                <w:sz w:val="20"/>
                <w:szCs w:val="20"/>
              </w:rPr>
            </w:pPr>
            <w:r w:rsidRPr="5B621C54">
              <w:rPr>
                <w:b/>
                <w:bCs/>
                <w:color w:val="000000" w:themeColor="text1"/>
                <w:sz w:val="20"/>
                <w:szCs w:val="20"/>
              </w:rPr>
              <w:t>Comment</w:t>
            </w:r>
          </w:p>
        </w:tc>
      </w:tr>
      <w:tr w:rsidR="008A6F0C" w:rsidRPr="007F3A40" w14:paraId="3AF87D0E" w14:textId="77777777" w:rsidTr="00820549">
        <w:trPr>
          <w:trHeight w:val="600"/>
        </w:trPr>
        <w:tc>
          <w:tcPr>
            <w:tcW w:w="906" w:type="dxa"/>
            <w:shd w:val="clear" w:color="auto" w:fill="auto"/>
            <w:noWrap/>
            <w:vAlign w:val="center"/>
            <w:hideMark/>
          </w:tcPr>
          <w:p w14:paraId="535CF6D2" w14:textId="77777777" w:rsidR="008A6F0C" w:rsidRPr="002B5B33" w:rsidRDefault="00D4457F" w:rsidP="008A6F0C">
            <w:pPr>
              <w:keepNext/>
              <w:rPr>
                <w:sz w:val="20"/>
                <w:szCs w:val="20"/>
              </w:rPr>
            </w:pPr>
            <w:r>
              <w:rPr>
                <w:sz w:val="20"/>
                <w:szCs w:val="20"/>
              </w:rPr>
              <w:t>NR</w:t>
            </w:r>
          </w:p>
        </w:tc>
        <w:tc>
          <w:tcPr>
            <w:tcW w:w="2610" w:type="dxa"/>
            <w:shd w:val="clear" w:color="auto" w:fill="auto"/>
            <w:noWrap/>
            <w:vAlign w:val="center"/>
            <w:hideMark/>
          </w:tcPr>
          <w:p w14:paraId="3075BB98" w14:textId="77777777" w:rsidR="008A6F0C" w:rsidRPr="007F3A40" w:rsidRDefault="00D4457F" w:rsidP="008A6F0C">
            <w:pPr>
              <w:keepNext/>
              <w:rPr>
                <w:sz w:val="20"/>
                <w:szCs w:val="20"/>
              </w:rPr>
            </w:pPr>
            <w:r>
              <w:rPr>
                <w:sz w:val="20"/>
                <w:szCs w:val="20"/>
              </w:rPr>
              <w:t>Normal Replacement</w:t>
            </w:r>
          </w:p>
        </w:tc>
        <w:tc>
          <w:tcPr>
            <w:tcW w:w="5664" w:type="dxa"/>
            <w:shd w:val="clear" w:color="auto" w:fill="auto"/>
            <w:vAlign w:val="center"/>
            <w:hideMark/>
          </w:tcPr>
          <w:p w14:paraId="2FAA7FE0" w14:textId="77777777" w:rsidR="008A6F0C" w:rsidRPr="007F3A40" w:rsidRDefault="5B621C54" w:rsidP="5B621C54">
            <w:pPr>
              <w:keepNext/>
              <w:rPr>
                <w:i/>
                <w:iCs/>
                <w:sz w:val="20"/>
                <w:szCs w:val="20"/>
              </w:rPr>
            </w:pPr>
            <w:r w:rsidRPr="5B621C54">
              <w:rPr>
                <w:i/>
                <w:iCs/>
                <w:sz w:val="20"/>
                <w:szCs w:val="20"/>
              </w:rPr>
              <w:t>Measure technology applied instead of Code/Standard technology at the time of replacement, Single baseline (above code), incremental or full costs</w:t>
            </w:r>
          </w:p>
        </w:tc>
      </w:tr>
    </w:tbl>
    <w:p w14:paraId="69E26344" w14:textId="77777777" w:rsidR="005366C6" w:rsidRPr="0060486E" w:rsidRDefault="005366C6" w:rsidP="000C5B86"/>
    <w:p w14:paraId="2D071819" w14:textId="77777777" w:rsidR="00944776" w:rsidRDefault="5B621C54" w:rsidP="00944776">
      <w:r>
        <w:t>The measure application type in this workpaper is identified as NR or “Normal Replacement.”</w:t>
      </w:r>
    </w:p>
    <w:p w14:paraId="04343C3F" w14:textId="77777777" w:rsidR="00D57B51" w:rsidRDefault="00D57B51" w:rsidP="00944776"/>
    <w:p w14:paraId="62F7E319" w14:textId="052631DD" w:rsidR="00D57B51" w:rsidRDefault="5B621C54" w:rsidP="00944776">
      <w:r>
        <w:t>The workpaper supports Programs with downstream</w:t>
      </w:r>
      <w:r w:rsidR="00301161">
        <w:t xml:space="preserve"> and</w:t>
      </w:r>
      <w:r>
        <w:t xml:space="preserve"> direct install delivery channels with </w:t>
      </w:r>
      <w:r w:rsidR="006F012B">
        <w:t>normal replacement</w:t>
      </w:r>
      <w:r>
        <w:t xml:space="preserve"> application types.</w:t>
      </w:r>
      <w:r w:rsidR="00301161">
        <w:t xml:space="preserve"> There are potential plans for a midstream expansion in the future.</w:t>
      </w:r>
    </w:p>
    <w:p w14:paraId="5AD02859" w14:textId="77777777" w:rsidR="00D57B51" w:rsidRDefault="00D57B51" w:rsidP="00944776"/>
    <w:p w14:paraId="7EA8B83E" w14:textId="6C9120E9" w:rsidR="00D57B51" w:rsidRDefault="00D57B51" w:rsidP="00D57B51">
      <w:pPr>
        <w:pStyle w:val="Caption"/>
        <w:keepNext/>
        <w:jc w:val="center"/>
      </w:pPr>
      <w:bookmarkStart w:id="35" w:name="_Toc511134161"/>
      <w:bookmarkStart w:id="36" w:name="_Toc2803227"/>
      <w:r>
        <w:t xml:space="preserve">Table </w:t>
      </w:r>
      <w:fldSimple w:instr=" SEQ Table \* ARABIC ">
        <w:r w:rsidR="00491759">
          <w:rPr>
            <w:noProof/>
          </w:rPr>
          <w:t>3</w:t>
        </w:r>
      </w:fldSimple>
      <w:r w:rsidR="00085E4F">
        <w:t>:</w:t>
      </w:r>
      <w:r>
        <w:t xml:space="preserve"> Delivery Method and Applicable Building Types</w:t>
      </w:r>
      <w:bookmarkEnd w:id="35"/>
      <w:bookmarkEnd w:id="36"/>
    </w:p>
    <w:tbl>
      <w:tblPr>
        <w:tblStyle w:val="TableGrid"/>
        <w:tblW w:w="0" w:type="auto"/>
        <w:jc w:val="center"/>
        <w:tblLook w:val="04A0" w:firstRow="1" w:lastRow="0" w:firstColumn="1" w:lastColumn="0" w:noHBand="0" w:noVBand="1"/>
      </w:tblPr>
      <w:tblGrid>
        <w:gridCol w:w="2718"/>
        <w:gridCol w:w="3294"/>
        <w:gridCol w:w="2880"/>
      </w:tblGrid>
      <w:tr w:rsidR="00D57B51" w:rsidRPr="00D57B51" w14:paraId="1A939FE2" w14:textId="77777777" w:rsidTr="00820549">
        <w:trPr>
          <w:jc w:val="center"/>
        </w:trPr>
        <w:tc>
          <w:tcPr>
            <w:tcW w:w="2718" w:type="dxa"/>
            <w:shd w:val="clear" w:color="auto" w:fill="D9D9D9" w:themeFill="background1" w:themeFillShade="D9"/>
            <w:vAlign w:val="center"/>
          </w:tcPr>
          <w:p w14:paraId="29B12187" w14:textId="77777777" w:rsidR="00D57B51" w:rsidRPr="00D57B51" w:rsidRDefault="5B621C54" w:rsidP="5B621C54">
            <w:pPr>
              <w:rPr>
                <w:b/>
                <w:bCs/>
                <w:sz w:val="20"/>
                <w:szCs w:val="20"/>
              </w:rPr>
            </w:pPr>
            <w:r w:rsidRPr="5B621C54">
              <w:rPr>
                <w:b/>
                <w:bCs/>
                <w:sz w:val="20"/>
                <w:szCs w:val="20"/>
              </w:rPr>
              <w:t>Delivery Type</w:t>
            </w:r>
          </w:p>
        </w:tc>
        <w:tc>
          <w:tcPr>
            <w:tcW w:w="3294" w:type="dxa"/>
            <w:shd w:val="clear" w:color="auto" w:fill="D9D9D9" w:themeFill="background1" w:themeFillShade="D9"/>
            <w:vAlign w:val="center"/>
          </w:tcPr>
          <w:p w14:paraId="0B600D64" w14:textId="77777777" w:rsidR="00D57B51" w:rsidRPr="00D57B51" w:rsidRDefault="5B621C54" w:rsidP="5B621C54">
            <w:pPr>
              <w:rPr>
                <w:b/>
                <w:bCs/>
                <w:sz w:val="20"/>
                <w:szCs w:val="20"/>
              </w:rPr>
            </w:pPr>
            <w:r w:rsidRPr="5B621C54">
              <w:rPr>
                <w:b/>
                <w:bCs/>
                <w:sz w:val="20"/>
                <w:szCs w:val="20"/>
              </w:rPr>
              <w:t>Applicable Building Types</w:t>
            </w:r>
          </w:p>
        </w:tc>
        <w:tc>
          <w:tcPr>
            <w:tcW w:w="2880" w:type="dxa"/>
            <w:shd w:val="clear" w:color="auto" w:fill="D9D9D9" w:themeFill="background1" w:themeFillShade="D9"/>
            <w:vAlign w:val="center"/>
          </w:tcPr>
          <w:p w14:paraId="7EEE6488" w14:textId="77777777" w:rsidR="00D57B51" w:rsidRPr="00D57B51" w:rsidRDefault="5B621C54" w:rsidP="5B621C54">
            <w:pPr>
              <w:rPr>
                <w:b/>
                <w:bCs/>
                <w:sz w:val="20"/>
                <w:szCs w:val="20"/>
              </w:rPr>
            </w:pPr>
            <w:r w:rsidRPr="5B621C54">
              <w:rPr>
                <w:b/>
                <w:bCs/>
                <w:sz w:val="20"/>
                <w:szCs w:val="20"/>
              </w:rPr>
              <w:t>Application Type</w:t>
            </w:r>
          </w:p>
        </w:tc>
      </w:tr>
      <w:tr w:rsidR="00D57B51" w:rsidRPr="00D57B51" w14:paraId="6395AE40" w14:textId="77777777" w:rsidTr="00820549">
        <w:trPr>
          <w:jc w:val="center"/>
        </w:trPr>
        <w:tc>
          <w:tcPr>
            <w:tcW w:w="2718" w:type="dxa"/>
            <w:vAlign w:val="center"/>
          </w:tcPr>
          <w:p w14:paraId="2C6958ED" w14:textId="77777777" w:rsidR="00D57B51" w:rsidRPr="002B5B33" w:rsidRDefault="00B857D7" w:rsidP="00D554A5">
            <w:pPr>
              <w:spacing w:before="60" w:after="60"/>
              <w:rPr>
                <w:sz w:val="20"/>
                <w:szCs w:val="20"/>
              </w:rPr>
            </w:pPr>
            <w:r>
              <w:rPr>
                <w:sz w:val="20"/>
                <w:szCs w:val="20"/>
              </w:rPr>
              <w:t xml:space="preserve">Midstream, </w:t>
            </w:r>
            <w:r w:rsidR="5B621C54" w:rsidRPr="5B621C54">
              <w:rPr>
                <w:sz w:val="20"/>
                <w:szCs w:val="20"/>
              </w:rPr>
              <w:t>Downstream &amp; Direct Install</w:t>
            </w:r>
          </w:p>
        </w:tc>
        <w:tc>
          <w:tcPr>
            <w:tcW w:w="3294" w:type="dxa"/>
            <w:vAlign w:val="center"/>
          </w:tcPr>
          <w:p w14:paraId="60853BEF" w14:textId="77777777" w:rsidR="00D57B51" w:rsidRPr="002B5B33" w:rsidRDefault="5B621C54" w:rsidP="00D554A5">
            <w:pPr>
              <w:spacing w:before="60" w:after="60"/>
              <w:rPr>
                <w:sz w:val="20"/>
                <w:szCs w:val="20"/>
              </w:rPr>
            </w:pPr>
            <w:r w:rsidRPr="5B621C54">
              <w:rPr>
                <w:sz w:val="20"/>
                <w:szCs w:val="20"/>
              </w:rPr>
              <w:t>DEER Building Types</w:t>
            </w:r>
          </w:p>
        </w:tc>
        <w:tc>
          <w:tcPr>
            <w:tcW w:w="2880" w:type="dxa"/>
            <w:vAlign w:val="center"/>
          </w:tcPr>
          <w:p w14:paraId="725936BC" w14:textId="77777777" w:rsidR="00D57B51" w:rsidRPr="002B5B33" w:rsidRDefault="006F012B" w:rsidP="00D554A5">
            <w:pPr>
              <w:spacing w:before="60" w:after="60"/>
              <w:rPr>
                <w:sz w:val="20"/>
                <w:szCs w:val="20"/>
              </w:rPr>
            </w:pPr>
            <w:r>
              <w:rPr>
                <w:sz w:val="20"/>
                <w:szCs w:val="20"/>
              </w:rPr>
              <w:t>NR</w:t>
            </w:r>
            <w:r w:rsidR="00B857D7">
              <w:rPr>
                <w:sz w:val="20"/>
                <w:szCs w:val="20"/>
              </w:rPr>
              <w:t xml:space="preserve"> (Normal Replacement)</w:t>
            </w:r>
          </w:p>
        </w:tc>
      </w:tr>
    </w:tbl>
    <w:p w14:paraId="004AB315" w14:textId="77777777" w:rsidR="00D57B51" w:rsidRDefault="00D57B51" w:rsidP="00944776"/>
    <w:p w14:paraId="4CC4DA56" w14:textId="3A771967" w:rsidR="000C5B86" w:rsidRDefault="5B621C54" w:rsidP="00CF487C">
      <w:pPr>
        <w:pStyle w:val="Heading2"/>
        <w:spacing w:before="0"/>
      </w:pPr>
      <w:bookmarkStart w:id="37" w:name="_Toc304800204"/>
      <w:bookmarkStart w:id="38" w:name="_Toc324318340"/>
      <w:bookmarkStart w:id="39" w:name="_Toc324340484"/>
      <w:bookmarkStart w:id="40" w:name="_Toc387655331"/>
      <w:bookmarkStart w:id="41" w:name="_Toc511134187"/>
      <w:bookmarkStart w:id="42" w:name="_Toc2803196"/>
      <w:r>
        <w:t>1.</w:t>
      </w:r>
      <w:r w:rsidR="005B0952">
        <w:t>4</w:t>
      </w:r>
      <w:r>
        <w:t xml:space="preserve"> Product Base Case and Measure Case Data</w:t>
      </w:r>
      <w:bookmarkEnd w:id="37"/>
      <w:bookmarkEnd w:id="38"/>
      <w:bookmarkEnd w:id="39"/>
      <w:bookmarkEnd w:id="40"/>
      <w:bookmarkEnd w:id="41"/>
      <w:bookmarkEnd w:id="42"/>
    </w:p>
    <w:p w14:paraId="25539FF6" w14:textId="4391492A" w:rsidR="00A03437" w:rsidRPr="00A03437" w:rsidRDefault="00FE1327" w:rsidP="00A03437">
      <w:r>
        <w:t>This revision R9 of the workpaper only contains outdoor LED lighting measures for parking garage fixtures and retrofit kits.</w:t>
      </w:r>
    </w:p>
    <w:p w14:paraId="36F8E771" w14:textId="21C38BD1" w:rsidR="000C5B86" w:rsidRPr="008903DA" w:rsidRDefault="5B621C54" w:rsidP="00372AE2">
      <w:pPr>
        <w:pStyle w:val="Heading3"/>
      </w:pPr>
      <w:bookmarkStart w:id="43" w:name="_Toc511134188"/>
      <w:bookmarkStart w:id="44" w:name="_Toc2803197"/>
      <w:r>
        <w:t>1.</w:t>
      </w:r>
      <w:r w:rsidR="005B0952">
        <w:t>4</w:t>
      </w:r>
      <w:r>
        <w:t>.1 DEER Data</w:t>
      </w:r>
      <w:bookmarkEnd w:id="43"/>
      <w:bookmarkEnd w:id="44"/>
    </w:p>
    <w:p w14:paraId="05D3A5E2" w14:textId="4E6B9F35" w:rsidR="002F40D7" w:rsidRDefault="002F40D7" w:rsidP="00382113">
      <w:pPr>
        <w:pStyle w:val="Caption"/>
        <w:keepNext/>
        <w:spacing w:before="120"/>
      </w:pPr>
      <w:bookmarkStart w:id="45" w:name="_Toc511134162"/>
      <w:bookmarkStart w:id="46" w:name="_Toc2803228"/>
      <w:r>
        <w:t xml:space="preserve">Table </w:t>
      </w:r>
      <w:fldSimple w:instr=" SEQ Table \* ARABIC ">
        <w:r w:rsidR="00491759">
          <w:rPr>
            <w:noProof/>
          </w:rPr>
          <w:t>4</w:t>
        </w:r>
      </w:fldSimple>
      <w:r w:rsidR="00085E4F">
        <w:t>:</w:t>
      </w:r>
      <w:r>
        <w:t xml:space="preserve"> DEER Difference Summary</w:t>
      </w:r>
      <w:bookmarkEnd w:id="45"/>
      <w:bookmarkEnd w:id="46"/>
    </w:p>
    <w:tbl>
      <w:tblPr>
        <w:tblStyle w:val="TableGrid1"/>
        <w:tblW w:w="4761" w:type="pct"/>
        <w:tblCellMar>
          <w:left w:w="115" w:type="dxa"/>
          <w:right w:w="115" w:type="dxa"/>
        </w:tblCellMar>
        <w:tblLook w:val="04A0" w:firstRow="1" w:lastRow="0" w:firstColumn="1" w:lastColumn="0" w:noHBand="0" w:noVBand="1"/>
      </w:tblPr>
      <w:tblGrid>
        <w:gridCol w:w="3354"/>
        <w:gridCol w:w="6120"/>
      </w:tblGrid>
      <w:tr w:rsidR="002F40D7" w:rsidRPr="00500C4E" w14:paraId="64074922" w14:textId="77777777" w:rsidTr="00820549">
        <w:trPr>
          <w:trHeight w:val="20"/>
        </w:trPr>
        <w:tc>
          <w:tcPr>
            <w:tcW w:w="1770" w:type="pct"/>
            <w:shd w:val="clear" w:color="auto" w:fill="D9D9D9" w:themeFill="background1" w:themeFillShade="D9"/>
          </w:tcPr>
          <w:p w14:paraId="238F7BB0" w14:textId="77777777" w:rsidR="002F40D7" w:rsidRPr="00085E4F" w:rsidRDefault="5B621C54" w:rsidP="00382113">
            <w:pPr>
              <w:tabs>
                <w:tab w:val="right" w:pos="2957"/>
              </w:tabs>
              <w:spacing w:before="20" w:after="20"/>
              <w:rPr>
                <w:rFonts w:ascii="Times New Roman" w:hAnsi="Times New Roman"/>
                <w:b/>
                <w:bCs/>
                <w:sz w:val="20"/>
              </w:rPr>
            </w:pPr>
            <w:r w:rsidRPr="00085E4F">
              <w:rPr>
                <w:rFonts w:ascii="Times New Roman" w:hAnsi="Times New Roman"/>
                <w:b/>
                <w:bCs/>
                <w:sz w:val="20"/>
              </w:rPr>
              <w:t>DEER Item</w:t>
            </w:r>
          </w:p>
        </w:tc>
        <w:tc>
          <w:tcPr>
            <w:tcW w:w="3230" w:type="pct"/>
            <w:shd w:val="clear" w:color="auto" w:fill="D9D9D9" w:themeFill="background1" w:themeFillShade="D9"/>
          </w:tcPr>
          <w:p w14:paraId="5288C556" w14:textId="77777777" w:rsidR="002F40D7" w:rsidRPr="00085E4F" w:rsidRDefault="5B621C54" w:rsidP="00382113">
            <w:pPr>
              <w:spacing w:before="20" w:after="20"/>
              <w:rPr>
                <w:rFonts w:ascii="Times New Roman" w:hAnsi="Times New Roman"/>
                <w:b/>
                <w:bCs/>
                <w:sz w:val="20"/>
              </w:rPr>
            </w:pPr>
            <w:r w:rsidRPr="00085E4F">
              <w:rPr>
                <w:rFonts w:ascii="Times New Roman" w:hAnsi="Times New Roman"/>
                <w:b/>
                <w:bCs/>
                <w:sz w:val="20"/>
              </w:rPr>
              <w:t>Used for Workpaper?</w:t>
            </w:r>
          </w:p>
        </w:tc>
      </w:tr>
      <w:tr w:rsidR="002F40D7" w:rsidRPr="00500C4E" w14:paraId="7CF47CA0" w14:textId="77777777" w:rsidTr="00820549">
        <w:trPr>
          <w:trHeight w:val="20"/>
        </w:trPr>
        <w:tc>
          <w:tcPr>
            <w:tcW w:w="1770" w:type="pct"/>
          </w:tcPr>
          <w:p w14:paraId="068D95D7" w14:textId="77777777" w:rsidR="002F40D7" w:rsidRPr="00085E4F" w:rsidRDefault="5B621C54" w:rsidP="00382113">
            <w:pPr>
              <w:spacing w:before="20" w:after="20"/>
              <w:rPr>
                <w:rFonts w:ascii="Times New Roman" w:hAnsi="Times New Roman"/>
                <w:sz w:val="20"/>
              </w:rPr>
            </w:pPr>
            <w:r w:rsidRPr="00085E4F">
              <w:rPr>
                <w:rFonts w:ascii="Times New Roman" w:hAnsi="Times New Roman"/>
                <w:sz w:val="20"/>
              </w:rPr>
              <w:t>Modified DEER methodology</w:t>
            </w:r>
          </w:p>
        </w:tc>
        <w:tc>
          <w:tcPr>
            <w:tcW w:w="3230" w:type="pct"/>
          </w:tcPr>
          <w:p w14:paraId="00BA0F95" w14:textId="77777777" w:rsidR="002F40D7" w:rsidRPr="00085E4F" w:rsidRDefault="5B621C54" w:rsidP="00382113">
            <w:pPr>
              <w:spacing w:before="20" w:after="20"/>
              <w:rPr>
                <w:rFonts w:ascii="Times New Roman" w:hAnsi="Times New Roman"/>
                <w:b/>
                <w:bCs/>
                <w:sz w:val="20"/>
              </w:rPr>
            </w:pPr>
            <w:r w:rsidRPr="00085E4F">
              <w:rPr>
                <w:rFonts w:ascii="Times New Roman" w:hAnsi="Times New Roman"/>
                <w:sz w:val="20"/>
              </w:rPr>
              <w:t>Yes</w:t>
            </w:r>
          </w:p>
        </w:tc>
      </w:tr>
      <w:tr w:rsidR="002F40D7" w:rsidRPr="00500C4E" w14:paraId="7347BA0E" w14:textId="77777777" w:rsidTr="00820549">
        <w:trPr>
          <w:trHeight w:val="20"/>
        </w:trPr>
        <w:tc>
          <w:tcPr>
            <w:tcW w:w="1770" w:type="pct"/>
          </w:tcPr>
          <w:p w14:paraId="4A5DFA7D" w14:textId="77777777" w:rsidR="002F40D7" w:rsidRPr="00085E4F" w:rsidRDefault="5B621C54" w:rsidP="00382113">
            <w:pPr>
              <w:spacing w:before="20" w:after="20"/>
              <w:rPr>
                <w:rFonts w:ascii="Times New Roman" w:hAnsi="Times New Roman"/>
                <w:sz w:val="20"/>
              </w:rPr>
            </w:pPr>
            <w:r w:rsidRPr="00085E4F">
              <w:rPr>
                <w:rFonts w:ascii="Times New Roman" w:hAnsi="Times New Roman"/>
                <w:sz w:val="20"/>
              </w:rPr>
              <w:t>Scaled DEER measure</w:t>
            </w:r>
          </w:p>
        </w:tc>
        <w:tc>
          <w:tcPr>
            <w:tcW w:w="3230" w:type="pct"/>
          </w:tcPr>
          <w:p w14:paraId="125F763D" w14:textId="77777777" w:rsidR="002F40D7" w:rsidRPr="00085E4F" w:rsidRDefault="5B621C54" w:rsidP="00382113">
            <w:pPr>
              <w:spacing w:before="20" w:after="20"/>
              <w:rPr>
                <w:rFonts w:ascii="Times New Roman" w:hAnsi="Times New Roman"/>
                <w:sz w:val="20"/>
              </w:rPr>
            </w:pPr>
            <w:r w:rsidRPr="00085E4F">
              <w:rPr>
                <w:rFonts w:ascii="Times New Roman" w:hAnsi="Times New Roman"/>
                <w:sz w:val="20"/>
              </w:rPr>
              <w:t>No</w:t>
            </w:r>
          </w:p>
        </w:tc>
      </w:tr>
      <w:tr w:rsidR="002F40D7" w:rsidRPr="00500C4E" w14:paraId="386D7B9E" w14:textId="77777777" w:rsidTr="00820549">
        <w:trPr>
          <w:trHeight w:val="20"/>
        </w:trPr>
        <w:tc>
          <w:tcPr>
            <w:tcW w:w="1770" w:type="pct"/>
          </w:tcPr>
          <w:p w14:paraId="21B99842" w14:textId="77777777" w:rsidR="002F40D7" w:rsidRPr="00085E4F" w:rsidRDefault="5B621C54" w:rsidP="00382113">
            <w:pPr>
              <w:spacing w:before="20" w:after="20"/>
              <w:rPr>
                <w:rFonts w:ascii="Times New Roman" w:hAnsi="Times New Roman"/>
                <w:sz w:val="20"/>
              </w:rPr>
            </w:pPr>
            <w:r w:rsidRPr="00085E4F">
              <w:rPr>
                <w:rFonts w:ascii="Times New Roman" w:hAnsi="Times New Roman"/>
                <w:sz w:val="20"/>
              </w:rPr>
              <w:t>DEER Base Case</w:t>
            </w:r>
          </w:p>
        </w:tc>
        <w:tc>
          <w:tcPr>
            <w:tcW w:w="3230" w:type="pct"/>
          </w:tcPr>
          <w:p w14:paraId="6812E87A" w14:textId="77777777" w:rsidR="002F40D7" w:rsidRPr="00085E4F" w:rsidRDefault="5B621C54" w:rsidP="00382113">
            <w:pPr>
              <w:spacing w:before="20" w:after="20"/>
              <w:rPr>
                <w:rFonts w:ascii="Times New Roman" w:hAnsi="Times New Roman"/>
                <w:sz w:val="20"/>
              </w:rPr>
            </w:pPr>
            <w:r w:rsidRPr="00085E4F">
              <w:rPr>
                <w:rFonts w:ascii="Times New Roman" w:hAnsi="Times New Roman"/>
                <w:sz w:val="20"/>
              </w:rPr>
              <w:t>No</w:t>
            </w:r>
          </w:p>
        </w:tc>
      </w:tr>
      <w:tr w:rsidR="002F40D7" w:rsidRPr="00500C4E" w14:paraId="578055A5" w14:textId="77777777" w:rsidTr="00820549">
        <w:trPr>
          <w:trHeight w:val="20"/>
        </w:trPr>
        <w:tc>
          <w:tcPr>
            <w:tcW w:w="1770" w:type="pct"/>
          </w:tcPr>
          <w:p w14:paraId="5B2C3A6F" w14:textId="77777777" w:rsidR="002F40D7" w:rsidRPr="00085E4F" w:rsidRDefault="5B621C54" w:rsidP="00382113">
            <w:pPr>
              <w:spacing w:before="20" w:after="20"/>
              <w:rPr>
                <w:rFonts w:ascii="Times New Roman" w:hAnsi="Times New Roman"/>
                <w:sz w:val="20"/>
              </w:rPr>
            </w:pPr>
            <w:r w:rsidRPr="00085E4F">
              <w:rPr>
                <w:rFonts w:ascii="Times New Roman" w:hAnsi="Times New Roman"/>
                <w:sz w:val="20"/>
              </w:rPr>
              <w:t>DEER Measure Case</w:t>
            </w:r>
          </w:p>
        </w:tc>
        <w:tc>
          <w:tcPr>
            <w:tcW w:w="3230" w:type="pct"/>
          </w:tcPr>
          <w:p w14:paraId="4ACA8C97" w14:textId="77777777" w:rsidR="002F40D7" w:rsidRPr="00085E4F" w:rsidRDefault="5B621C54" w:rsidP="00382113">
            <w:pPr>
              <w:spacing w:before="20" w:after="20"/>
              <w:rPr>
                <w:rFonts w:ascii="Times New Roman" w:hAnsi="Times New Roman"/>
                <w:sz w:val="20"/>
              </w:rPr>
            </w:pPr>
            <w:r w:rsidRPr="00085E4F">
              <w:rPr>
                <w:rFonts w:ascii="Times New Roman" w:hAnsi="Times New Roman"/>
                <w:sz w:val="20"/>
              </w:rPr>
              <w:t>No</w:t>
            </w:r>
          </w:p>
        </w:tc>
      </w:tr>
      <w:tr w:rsidR="002F40D7" w:rsidRPr="00500C4E" w14:paraId="6DF39A4F" w14:textId="77777777" w:rsidTr="00820549">
        <w:trPr>
          <w:trHeight w:val="20"/>
        </w:trPr>
        <w:tc>
          <w:tcPr>
            <w:tcW w:w="1770" w:type="pct"/>
          </w:tcPr>
          <w:p w14:paraId="71627E25" w14:textId="77777777" w:rsidR="002F40D7" w:rsidRPr="00085E4F" w:rsidRDefault="5B621C54" w:rsidP="00382113">
            <w:pPr>
              <w:spacing w:before="20" w:after="20"/>
              <w:rPr>
                <w:rFonts w:ascii="Times New Roman" w:hAnsi="Times New Roman"/>
                <w:sz w:val="20"/>
              </w:rPr>
            </w:pPr>
            <w:r w:rsidRPr="00085E4F">
              <w:rPr>
                <w:rFonts w:ascii="Times New Roman" w:hAnsi="Times New Roman"/>
                <w:sz w:val="20"/>
              </w:rPr>
              <w:t>DEER Building Types</w:t>
            </w:r>
          </w:p>
        </w:tc>
        <w:tc>
          <w:tcPr>
            <w:tcW w:w="3230" w:type="pct"/>
          </w:tcPr>
          <w:p w14:paraId="6A8E3E29" w14:textId="77777777" w:rsidR="002F40D7" w:rsidRPr="00085E4F" w:rsidRDefault="5B621C54" w:rsidP="00382113">
            <w:pPr>
              <w:spacing w:before="20" w:after="20"/>
              <w:rPr>
                <w:rFonts w:ascii="Times New Roman" w:hAnsi="Times New Roman"/>
                <w:sz w:val="20"/>
              </w:rPr>
            </w:pPr>
            <w:r w:rsidRPr="00085E4F">
              <w:rPr>
                <w:rFonts w:ascii="Times New Roman" w:hAnsi="Times New Roman"/>
                <w:sz w:val="20"/>
              </w:rPr>
              <w:t>Yes</w:t>
            </w:r>
          </w:p>
        </w:tc>
      </w:tr>
      <w:tr w:rsidR="002F40D7" w:rsidRPr="00500C4E" w14:paraId="2875AD69" w14:textId="77777777" w:rsidTr="00820549">
        <w:trPr>
          <w:trHeight w:val="20"/>
        </w:trPr>
        <w:tc>
          <w:tcPr>
            <w:tcW w:w="1770" w:type="pct"/>
          </w:tcPr>
          <w:p w14:paraId="3573CCB9" w14:textId="77777777" w:rsidR="002F40D7" w:rsidRPr="00085E4F" w:rsidRDefault="5B621C54" w:rsidP="00382113">
            <w:pPr>
              <w:spacing w:before="20" w:after="20"/>
              <w:rPr>
                <w:rFonts w:ascii="Times New Roman" w:hAnsi="Times New Roman"/>
                <w:sz w:val="20"/>
              </w:rPr>
            </w:pPr>
            <w:r w:rsidRPr="00085E4F">
              <w:rPr>
                <w:rFonts w:ascii="Times New Roman" w:hAnsi="Times New Roman"/>
                <w:sz w:val="20"/>
              </w:rPr>
              <w:t>DEER Operating Hours</w:t>
            </w:r>
          </w:p>
        </w:tc>
        <w:tc>
          <w:tcPr>
            <w:tcW w:w="3230" w:type="pct"/>
          </w:tcPr>
          <w:p w14:paraId="3681B125" w14:textId="77777777" w:rsidR="002F40D7" w:rsidRPr="00085E4F" w:rsidRDefault="5B621C54" w:rsidP="00382113">
            <w:pPr>
              <w:spacing w:before="20" w:after="20"/>
              <w:rPr>
                <w:rFonts w:ascii="Times New Roman" w:hAnsi="Times New Roman"/>
                <w:sz w:val="20"/>
              </w:rPr>
            </w:pPr>
            <w:r w:rsidRPr="00085E4F">
              <w:rPr>
                <w:rFonts w:ascii="Times New Roman" w:hAnsi="Times New Roman"/>
                <w:sz w:val="20"/>
              </w:rPr>
              <w:t>Yes</w:t>
            </w:r>
          </w:p>
        </w:tc>
      </w:tr>
      <w:tr w:rsidR="002F40D7" w:rsidRPr="00500C4E" w14:paraId="0EB999D4" w14:textId="77777777" w:rsidTr="00820549">
        <w:trPr>
          <w:trHeight w:val="20"/>
        </w:trPr>
        <w:tc>
          <w:tcPr>
            <w:tcW w:w="1770" w:type="pct"/>
          </w:tcPr>
          <w:p w14:paraId="458A6E3C" w14:textId="77777777" w:rsidR="002F40D7" w:rsidRPr="00085E4F" w:rsidRDefault="5B621C54" w:rsidP="00382113">
            <w:pPr>
              <w:spacing w:before="20" w:after="20"/>
              <w:rPr>
                <w:rFonts w:ascii="Times New Roman" w:hAnsi="Times New Roman"/>
                <w:sz w:val="20"/>
              </w:rPr>
            </w:pPr>
            <w:r w:rsidRPr="00085E4F">
              <w:rPr>
                <w:rFonts w:ascii="Times New Roman" w:hAnsi="Times New Roman"/>
                <w:sz w:val="20"/>
              </w:rPr>
              <w:t xml:space="preserve">DEER </w:t>
            </w:r>
            <w:proofErr w:type="spellStart"/>
            <w:r w:rsidRPr="00085E4F">
              <w:rPr>
                <w:rFonts w:ascii="Times New Roman" w:hAnsi="Times New Roman"/>
                <w:sz w:val="20"/>
              </w:rPr>
              <w:t>eQUEST</w:t>
            </w:r>
            <w:proofErr w:type="spellEnd"/>
            <w:r w:rsidRPr="00085E4F">
              <w:rPr>
                <w:rFonts w:ascii="Times New Roman" w:hAnsi="Times New Roman"/>
                <w:sz w:val="20"/>
              </w:rPr>
              <w:t xml:space="preserve"> Prototypes</w:t>
            </w:r>
          </w:p>
        </w:tc>
        <w:tc>
          <w:tcPr>
            <w:tcW w:w="3230" w:type="pct"/>
          </w:tcPr>
          <w:p w14:paraId="6AB3CC82" w14:textId="77777777" w:rsidR="002F40D7" w:rsidRPr="00085E4F" w:rsidDel="00505CEC" w:rsidRDefault="5B621C54" w:rsidP="00382113">
            <w:pPr>
              <w:spacing w:before="20" w:after="20"/>
              <w:rPr>
                <w:rFonts w:ascii="Times New Roman" w:hAnsi="Times New Roman"/>
                <w:sz w:val="20"/>
              </w:rPr>
            </w:pPr>
            <w:r w:rsidRPr="00085E4F">
              <w:rPr>
                <w:rFonts w:ascii="Times New Roman" w:hAnsi="Times New Roman"/>
                <w:sz w:val="20"/>
              </w:rPr>
              <w:t>No</w:t>
            </w:r>
          </w:p>
        </w:tc>
      </w:tr>
      <w:tr w:rsidR="002F40D7" w:rsidRPr="00500C4E" w14:paraId="7F4F273C" w14:textId="77777777" w:rsidTr="00820549">
        <w:trPr>
          <w:trHeight w:val="20"/>
        </w:trPr>
        <w:tc>
          <w:tcPr>
            <w:tcW w:w="1770" w:type="pct"/>
          </w:tcPr>
          <w:p w14:paraId="014F2480" w14:textId="77777777" w:rsidR="002F40D7" w:rsidRPr="00085E4F" w:rsidRDefault="5B621C54" w:rsidP="00382113">
            <w:pPr>
              <w:spacing w:before="20" w:after="20"/>
              <w:rPr>
                <w:rFonts w:ascii="Times New Roman" w:hAnsi="Times New Roman"/>
                <w:sz w:val="20"/>
              </w:rPr>
            </w:pPr>
            <w:r w:rsidRPr="00085E4F">
              <w:rPr>
                <w:rFonts w:ascii="Times New Roman" w:hAnsi="Times New Roman"/>
                <w:sz w:val="20"/>
              </w:rPr>
              <w:t>DEER Version</w:t>
            </w:r>
          </w:p>
        </w:tc>
        <w:tc>
          <w:tcPr>
            <w:tcW w:w="3230" w:type="pct"/>
          </w:tcPr>
          <w:p w14:paraId="5437E4BE" w14:textId="77777777" w:rsidR="002F40D7" w:rsidRPr="00085E4F" w:rsidRDefault="5B621C54" w:rsidP="00382113">
            <w:pPr>
              <w:spacing w:before="20" w:after="20"/>
              <w:rPr>
                <w:rFonts w:ascii="Times New Roman" w:hAnsi="Times New Roman"/>
                <w:sz w:val="20"/>
              </w:rPr>
            </w:pPr>
            <w:r w:rsidRPr="00085E4F">
              <w:rPr>
                <w:rFonts w:ascii="Times New Roman" w:hAnsi="Times New Roman"/>
                <w:sz w:val="20"/>
              </w:rPr>
              <w:t>DEER 201</w:t>
            </w:r>
            <w:r w:rsidR="00D4457F" w:rsidRPr="00085E4F">
              <w:rPr>
                <w:rFonts w:ascii="Times New Roman" w:hAnsi="Times New Roman"/>
                <w:sz w:val="20"/>
              </w:rPr>
              <w:t>9</w:t>
            </w:r>
          </w:p>
        </w:tc>
      </w:tr>
      <w:tr w:rsidR="002F40D7" w:rsidRPr="00500C4E" w14:paraId="05CF8035" w14:textId="77777777" w:rsidTr="00820549">
        <w:trPr>
          <w:trHeight w:val="20"/>
        </w:trPr>
        <w:tc>
          <w:tcPr>
            <w:tcW w:w="1770" w:type="pct"/>
          </w:tcPr>
          <w:p w14:paraId="1AA128C7" w14:textId="77777777" w:rsidR="002F40D7" w:rsidRPr="00085E4F" w:rsidRDefault="5B621C54" w:rsidP="00382113">
            <w:pPr>
              <w:spacing w:before="20" w:after="20"/>
              <w:rPr>
                <w:rFonts w:ascii="Times New Roman" w:hAnsi="Times New Roman"/>
                <w:sz w:val="20"/>
              </w:rPr>
            </w:pPr>
            <w:r w:rsidRPr="00085E4F">
              <w:rPr>
                <w:rFonts w:ascii="Times New Roman" w:hAnsi="Times New Roman"/>
                <w:sz w:val="20"/>
              </w:rPr>
              <w:t>DEER Measure IDs Used</w:t>
            </w:r>
          </w:p>
        </w:tc>
        <w:tc>
          <w:tcPr>
            <w:tcW w:w="3230" w:type="pct"/>
          </w:tcPr>
          <w:p w14:paraId="33A61710" w14:textId="11C78DCC" w:rsidR="002F40D7" w:rsidRPr="00085E4F" w:rsidRDefault="00D4457F" w:rsidP="00382113">
            <w:pPr>
              <w:spacing w:before="20" w:after="20"/>
              <w:rPr>
                <w:rFonts w:ascii="Times New Roman" w:hAnsi="Times New Roman"/>
                <w:sz w:val="20"/>
              </w:rPr>
            </w:pPr>
            <w:r w:rsidRPr="00085E4F">
              <w:rPr>
                <w:rFonts w:ascii="Times New Roman" w:hAnsi="Times New Roman"/>
                <w:sz w:val="20"/>
              </w:rPr>
              <w:t>Propose new</w:t>
            </w:r>
          </w:p>
        </w:tc>
      </w:tr>
    </w:tbl>
    <w:p w14:paraId="047617FF" w14:textId="77777777" w:rsidR="002F40D7" w:rsidRPr="008A1DA4" w:rsidRDefault="002F40D7" w:rsidP="00FD3162">
      <w:pPr>
        <w:rPr>
          <w:i/>
        </w:rPr>
      </w:pPr>
    </w:p>
    <w:p w14:paraId="06B83BA3" w14:textId="77777777" w:rsidR="00382113" w:rsidRDefault="00382113" w:rsidP="00FD3162">
      <w:pPr>
        <w:rPr>
          <w:b/>
          <w:bCs/>
        </w:rPr>
      </w:pPr>
    </w:p>
    <w:p w14:paraId="64D47D55" w14:textId="77777777" w:rsidR="00382113" w:rsidRDefault="00382113" w:rsidP="00FD3162">
      <w:pPr>
        <w:rPr>
          <w:b/>
          <w:bCs/>
        </w:rPr>
      </w:pPr>
    </w:p>
    <w:p w14:paraId="41834197" w14:textId="77777777" w:rsidR="008C2D0C" w:rsidRDefault="5B621C54" w:rsidP="00FD3162">
      <w:r w:rsidRPr="5B621C54">
        <w:rPr>
          <w:b/>
          <w:bCs/>
        </w:rPr>
        <w:lastRenderedPageBreak/>
        <w:t>Hours of Operation</w:t>
      </w:r>
    </w:p>
    <w:p w14:paraId="63782149" w14:textId="77777777" w:rsidR="00367FB1" w:rsidRDefault="5B621C54" w:rsidP="009F1987">
      <w:pPr>
        <w:spacing w:before="120"/>
      </w:pPr>
      <w:r w:rsidRPr="5B621C54">
        <w:rPr>
          <w:b/>
          <w:bCs/>
        </w:rPr>
        <w:t>Parking garages:</w:t>
      </w:r>
      <w:r>
        <w:t xml:space="preserve"> </w:t>
      </w:r>
    </w:p>
    <w:p w14:paraId="12A1C8C9" w14:textId="77777777" w:rsidR="00E46582" w:rsidRDefault="5B621C54" w:rsidP="008A6053">
      <w:pPr>
        <w:spacing w:line="264" w:lineRule="auto"/>
      </w:pPr>
      <w:r>
        <w:t xml:space="preserve">Parking garages are assumed to be </w:t>
      </w:r>
      <w:r w:rsidR="00367FB1">
        <w:rPr>
          <w:b/>
          <w:bCs/>
        </w:rPr>
        <w:t xml:space="preserve">2767.5 </w:t>
      </w:r>
      <w:r>
        <w:t xml:space="preserve">hours of use.  This Equivalent Full-Load Hours (EFLH) is the average of the </w:t>
      </w:r>
      <w:r w:rsidR="00A33C08">
        <w:t>full power and lower-power usage at 35% power (the mid-point in the 20% to 50% range allowed) per CPUC’s disposition “</w:t>
      </w:r>
      <w:r w:rsidR="00A33C08" w:rsidRPr="00367FB1">
        <w:t>2017ExteriorLEDFixturesDisposition-1Mar2017-FINAL</w:t>
      </w:r>
      <w:r w:rsidR="00A33C08">
        <w:t xml:space="preserve">”.  </w:t>
      </w:r>
    </w:p>
    <w:p w14:paraId="63A083A2" w14:textId="77777777" w:rsidR="00E46582" w:rsidRPr="00460481" w:rsidRDefault="00E46582" w:rsidP="009F1987">
      <w:pPr>
        <w:spacing w:before="120"/>
        <w:rPr>
          <w:sz w:val="22"/>
          <w:szCs w:val="22"/>
        </w:rPr>
      </w:pPr>
      <w:r>
        <w:t xml:space="preserve">Operating hours with controls: </w:t>
      </w:r>
      <m:oMath>
        <m:f>
          <m:fPr>
            <m:ctrlPr>
              <w:rPr>
                <w:rFonts w:ascii="Cambria Math" w:hAnsi="Cambria Math"/>
                <w:i/>
                <w:sz w:val="22"/>
                <w:szCs w:val="22"/>
              </w:rPr>
            </m:ctrlPr>
          </m:fPr>
          <m:num>
            <m:r>
              <w:rPr>
                <w:rFonts w:ascii="Cambria Math" w:hAnsi="Cambria Math"/>
                <w:sz w:val="22"/>
                <w:szCs w:val="22"/>
              </w:rPr>
              <m:t>4100</m:t>
            </m:r>
          </m:num>
          <m:den>
            <m:r>
              <w:rPr>
                <w:rFonts w:ascii="Cambria Math" w:hAnsi="Cambria Math"/>
                <w:sz w:val="22"/>
                <w:szCs w:val="22"/>
              </w:rPr>
              <m:t>2</m:t>
            </m:r>
          </m:den>
        </m:f>
        <m:r>
          <w:rPr>
            <w:rFonts w:ascii="Cambria Math" w:hAnsi="Cambria Math"/>
            <w:sz w:val="22"/>
            <w:szCs w:val="22"/>
          </w:rPr>
          <m:t>+</m:t>
        </m:r>
        <m:f>
          <m:fPr>
            <m:ctrlPr>
              <w:rPr>
                <w:rFonts w:ascii="Cambria Math" w:hAnsi="Cambria Math"/>
                <w:i/>
                <w:sz w:val="22"/>
                <w:szCs w:val="22"/>
              </w:rPr>
            </m:ctrlPr>
          </m:fPr>
          <m:num>
            <m:r>
              <w:rPr>
                <w:rFonts w:ascii="Cambria Math" w:hAnsi="Cambria Math"/>
                <w:sz w:val="22"/>
                <w:szCs w:val="22"/>
              </w:rPr>
              <m:t>4100</m:t>
            </m:r>
          </m:num>
          <m:den>
            <m:r>
              <w:rPr>
                <w:rFonts w:ascii="Cambria Math" w:hAnsi="Cambria Math"/>
                <w:sz w:val="22"/>
                <w:szCs w:val="22"/>
              </w:rPr>
              <m:t>2</m:t>
            </m:r>
          </m:den>
        </m:f>
        <m:r>
          <w:rPr>
            <w:rFonts w:ascii="Cambria Math" w:hAnsi="Cambria Math"/>
            <w:sz w:val="22"/>
            <w:szCs w:val="22"/>
          </w:rPr>
          <m:t>*0.35</m:t>
        </m:r>
        <m:r>
          <m:rPr>
            <m:sty m:val="bi"/>
          </m:rPr>
          <w:rPr>
            <w:rFonts w:ascii="Cambria Math" w:hAnsi="Cambria Math"/>
            <w:sz w:val="22"/>
            <w:szCs w:val="22"/>
          </w:rPr>
          <m:t>=2767.5</m:t>
        </m:r>
      </m:oMath>
    </w:p>
    <w:p w14:paraId="1FE6DC08" w14:textId="77777777" w:rsidR="006C79E2" w:rsidRDefault="006C79E2" w:rsidP="00FD3162"/>
    <w:p w14:paraId="27A80C8D" w14:textId="77777777" w:rsidR="002F40D7" w:rsidRDefault="009F1987" w:rsidP="5B621C54">
      <w:pPr>
        <w:rPr>
          <w:b/>
          <w:bCs/>
        </w:rPr>
      </w:pPr>
      <w:r>
        <w:rPr>
          <w:b/>
          <w:bCs/>
        </w:rPr>
        <w:t>Net-to-Gross Assumption</w:t>
      </w:r>
    </w:p>
    <w:p w14:paraId="74F642E7" w14:textId="77777777" w:rsidR="005366C6" w:rsidRDefault="5B621C54" w:rsidP="005366C6">
      <w:r>
        <w:t xml:space="preserve">The NTG value was </w:t>
      </w:r>
      <w:r w:rsidR="009F1987">
        <w:t xml:space="preserve">specified in the </w:t>
      </w:r>
      <w:r w:rsidR="00A05DE3">
        <w:t>Disposition</w:t>
      </w:r>
      <w:r w:rsidR="0062127A">
        <w:t xml:space="preserve"> “</w:t>
      </w:r>
      <w:r w:rsidR="0062127A" w:rsidRPr="0062127A">
        <w:t>2018OutdoorLightingPhase1-7May2018-Final</w:t>
      </w:r>
      <w:r w:rsidR="0062127A">
        <w:t>”</w:t>
      </w:r>
      <w:r>
        <w:t>.  The NTG value for the measures in this work paper is listed below:</w:t>
      </w:r>
    </w:p>
    <w:p w14:paraId="26719546" w14:textId="77777777" w:rsidR="00563E98" w:rsidRDefault="00563E98">
      <w:pPr>
        <w:rPr>
          <w:rFonts w:cs="Arial"/>
          <w:b/>
          <w:bCs/>
          <w:sz w:val="20"/>
          <w:szCs w:val="20"/>
        </w:rPr>
      </w:pPr>
    </w:p>
    <w:p w14:paraId="3712FE3F" w14:textId="77777777" w:rsidR="00A17F83" w:rsidRDefault="00A17F83">
      <w:pPr>
        <w:rPr>
          <w:rFonts w:cs="Arial"/>
          <w:b/>
          <w:bCs/>
          <w:sz w:val="20"/>
          <w:szCs w:val="20"/>
        </w:rPr>
      </w:pPr>
      <w:bookmarkStart w:id="47" w:name="_Toc511134163"/>
      <w:r>
        <w:rPr>
          <w:rFonts w:cs="Arial"/>
        </w:rPr>
        <w:br w:type="page"/>
      </w:r>
    </w:p>
    <w:p w14:paraId="6E7873EC" w14:textId="2F6454B9" w:rsidR="005366C6" w:rsidRPr="001874CF" w:rsidRDefault="005366C6" w:rsidP="005366C6">
      <w:pPr>
        <w:pStyle w:val="Caption"/>
        <w:keepNext/>
        <w:jc w:val="center"/>
        <w:rPr>
          <w:rFonts w:cs="Arial"/>
        </w:rPr>
      </w:pPr>
      <w:bookmarkStart w:id="48" w:name="_Toc2803229"/>
      <w:r w:rsidRPr="001874CF">
        <w:rPr>
          <w:rFonts w:cs="Arial"/>
        </w:rPr>
        <w:lastRenderedPageBreak/>
        <w:t xml:space="preserve">Table </w:t>
      </w:r>
      <w:r w:rsidR="00491759">
        <w:rPr>
          <w:rFonts w:cs="Arial"/>
        </w:rPr>
        <w:fldChar w:fldCharType="begin"/>
      </w:r>
      <w:r w:rsidR="00491759">
        <w:rPr>
          <w:rFonts w:cs="Arial"/>
        </w:rPr>
        <w:instrText xml:space="preserve"> SEQ Table \* ARABIC </w:instrText>
      </w:r>
      <w:r w:rsidR="00491759">
        <w:rPr>
          <w:rFonts w:cs="Arial"/>
        </w:rPr>
        <w:fldChar w:fldCharType="separate"/>
      </w:r>
      <w:r w:rsidR="00491759">
        <w:rPr>
          <w:rFonts w:cs="Arial"/>
          <w:noProof/>
        </w:rPr>
        <w:t>5</w:t>
      </w:r>
      <w:r w:rsidR="00491759">
        <w:rPr>
          <w:rFonts w:cs="Arial"/>
        </w:rPr>
        <w:fldChar w:fldCharType="end"/>
      </w:r>
      <w:r w:rsidR="00085E4F">
        <w:rPr>
          <w:rFonts w:cs="Arial"/>
        </w:rPr>
        <w:t>:</w:t>
      </w:r>
      <w:r w:rsidRPr="001874CF">
        <w:rPr>
          <w:rFonts w:cs="Arial"/>
        </w:rPr>
        <w:t xml:space="preserve"> DEER Net-to-Gross Ratios</w:t>
      </w:r>
      <w:bookmarkEnd w:id="47"/>
      <w:bookmarkEnd w:id="48"/>
    </w:p>
    <w:tbl>
      <w:tblPr>
        <w:tblStyle w:val="TableGrid1"/>
        <w:tblW w:w="5000" w:type="pct"/>
        <w:tblLayout w:type="fixed"/>
        <w:tblLook w:val="01E0" w:firstRow="1" w:lastRow="1" w:firstColumn="1" w:lastColumn="1" w:noHBand="0" w:noVBand="0"/>
      </w:tblPr>
      <w:tblGrid>
        <w:gridCol w:w="1609"/>
        <w:gridCol w:w="4016"/>
        <w:gridCol w:w="1027"/>
        <w:gridCol w:w="1214"/>
        <w:gridCol w:w="1214"/>
        <w:gridCol w:w="856"/>
      </w:tblGrid>
      <w:tr w:rsidR="002353D5" w:rsidRPr="001874CF" w14:paraId="44E2289A" w14:textId="77777777" w:rsidTr="5B621C54">
        <w:tc>
          <w:tcPr>
            <w:tcW w:w="809" w:type="pct"/>
            <w:shd w:val="clear" w:color="auto" w:fill="D9D9D9" w:themeFill="background1" w:themeFillShade="D9"/>
            <w:vAlign w:val="center"/>
          </w:tcPr>
          <w:p w14:paraId="1E04083E" w14:textId="77777777" w:rsidR="002353D5" w:rsidRPr="00085E4F" w:rsidRDefault="5B621C54" w:rsidP="5B621C54">
            <w:pPr>
              <w:jc w:val="center"/>
              <w:rPr>
                <w:rFonts w:ascii="Times New Roman" w:hAnsi="Times New Roman"/>
                <w:b/>
                <w:bCs/>
                <w:sz w:val="20"/>
                <w:szCs w:val="20"/>
              </w:rPr>
            </w:pPr>
            <w:r w:rsidRPr="00085E4F">
              <w:rPr>
                <w:rFonts w:ascii="Times New Roman" w:hAnsi="Times New Roman"/>
                <w:b/>
                <w:bCs/>
                <w:sz w:val="20"/>
                <w:szCs w:val="20"/>
              </w:rPr>
              <w:t>NTGR ID</w:t>
            </w:r>
          </w:p>
        </w:tc>
        <w:tc>
          <w:tcPr>
            <w:tcW w:w="2021" w:type="pct"/>
            <w:shd w:val="clear" w:color="auto" w:fill="D9D9D9" w:themeFill="background1" w:themeFillShade="D9"/>
            <w:vAlign w:val="center"/>
          </w:tcPr>
          <w:p w14:paraId="1BBCEE65" w14:textId="77777777" w:rsidR="002353D5" w:rsidRPr="00085E4F" w:rsidRDefault="5B621C54" w:rsidP="5B621C54">
            <w:pPr>
              <w:jc w:val="center"/>
              <w:rPr>
                <w:rFonts w:ascii="Times New Roman" w:hAnsi="Times New Roman"/>
                <w:b/>
                <w:bCs/>
                <w:sz w:val="20"/>
                <w:szCs w:val="20"/>
              </w:rPr>
            </w:pPr>
            <w:r w:rsidRPr="00085E4F">
              <w:rPr>
                <w:rFonts w:ascii="Times New Roman" w:hAnsi="Times New Roman"/>
                <w:b/>
                <w:bCs/>
                <w:sz w:val="20"/>
                <w:szCs w:val="20"/>
              </w:rPr>
              <w:t>Description</w:t>
            </w:r>
          </w:p>
        </w:tc>
        <w:tc>
          <w:tcPr>
            <w:tcW w:w="517" w:type="pct"/>
            <w:shd w:val="clear" w:color="auto" w:fill="D9D9D9" w:themeFill="background1" w:themeFillShade="D9"/>
            <w:vAlign w:val="center"/>
          </w:tcPr>
          <w:p w14:paraId="3A125130" w14:textId="77777777" w:rsidR="002353D5" w:rsidRPr="00085E4F" w:rsidRDefault="5B621C54" w:rsidP="5B621C54">
            <w:pPr>
              <w:jc w:val="center"/>
              <w:rPr>
                <w:rFonts w:ascii="Times New Roman" w:hAnsi="Times New Roman"/>
                <w:b/>
                <w:bCs/>
                <w:sz w:val="20"/>
                <w:szCs w:val="20"/>
              </w:rPr>
            </w:pPr>
            <w:r w:rsidRPr="00085E4F">
              <w:rPr>
                <w:rFonts w:ascii="Times New Roman" w:hAnsi="Times New Roman"/>
                <w:b/>
                <w:bCs/>
                <w:sz w:val="20"/>
                <w:szCs w:val="20"/>
              </w:rPr>
              <w:t>Sector</w:t>
            </w:r>
          </w:p>
        </w:tc>
        <w:tc>
          <w:tcPr>
            <w:tcW w:w="611" w:type="pct"/>
            <w:shd w:val="clear" w:color="auto" w:fill="D9D9D9" w:themeFill="background1" w:themeFillShade="D9"/>
            <w:vAlign w:val="center"/>
          </w:tcPr>
          <w:p w14:paraId="6BC176A0" w14:textId="77777777" w:rsidR="002353D5" w:rsidRPr="00085E4F" w:rsidRDefault="5B621C54" w:rsidP="5B621C54">
            <w:pPr>
              <w:jc w:val="center"/>
              <w:rPr>
                <w:rFonts w:ascii="Times New Roman" w:hAnsi="Times New Roman"/>
                <w:b/>
                <w:bCs/>
                <w:sz w:val="20"/>
                <w:szCs w:val="20"/>
              </w:rPr>
            </w:pPr>
            <w:proofErr w:type="spellStart"/>
            <w:r w:rsidRPr="00085E4F">
              <w:rPr>
                <w:rFonts w:ascii="Times New Roman" w:hAnsi="Times New Roman"/>
                <w:b/>
                <w:bCs/>
                <w:sz w:val="20"/>
                <w:szCs w:val="20"/>
              </w:rPr>
              <w:t>BldgType</w:t>
            </w:r>
            <w:proofErr w:type="spellEnd"/>
          </w:p>
        </w:tc>
        <w:tc>
          <w:tcPr>
            <w:tcW w:w="611" w:type="pct"/>
            <w:shd w:val="clear" w:color="auto" w:fill="D9D9D9" w:themeFill="background1" w:themeFillShade="D9"/>
            <w:vAlign w:val="center"/>
          </w:tcPr>
          <w:p w14:paraId="77F0D04F" w14:textId="77777777" w:rsidR="002353D5" w:rsidRPr="00085E4F" w:rsidRDefault="5B621C54" w:rsidP="5B621C54">
            <w:pPr>
              <w:jc w:val="center"/>
              <w:rPr>
                <w:rFonts w:ascii="Times New Roman" w:hAnsi="Times New Roman"/>
                <w:b/>
                <w:bCs/>
                <w:sz w:val="20"/>
                <w:szCs w:val="20"/>
              </w:rPr>
            </w:pPr>
            <w:r w:rsidRPr="00085E4F">
              <w:rPr>
                <w:rFonts w:ascii="Times New Roman" w:hAnsi="Times New Roman"/>
                <w:b/>
                <w:bCs/>
                <w:sz w:val="20"/>
                <w:szCs w:val="20"/>
              </w:rPr>
              <w:t>Delivery Method</w:t>
            </w:r>
          </w:p>
        </w:tc>
        <w:tc>
          <w:tcPr>
            <w:tcW w:w="432" w:type="pct"/>
            <w:shd w:val="clear" w:color="auto" w:fill="D9D9D9" w:themeFill="background1" w:themeFillShade="D9"/>
            <w:vAlign w:val="center"/>
          </w:tcPr>
          <w:p w14:paraId="6C744E06" w14:textId="77777777" w:rsidR="002353D5" w:rsidRPr="00085E4F" w:rsidRDefault="5B621C54" w:rsidP="5B621C54">
            <w:pPr>
              <w:jc w:val="center"/>
              <w:rPr>
                <w:rFonts w:ascii="Times New Roman" w:hAnsi="Times New Roman"/>
                <w:b/>
                <w:bCs/>
                <w:sz w:val="20"/>
                <w:szCs w:val="20"/>
              </w:rPr>
            </w:pPr>
            <w:r w:rsidRPr="00085E4F">
              <w:rPr>
                <w:rFonts w:ascii="Times New Roman" w:hAnsi="Times New Roman"/>
                <w:b/>
                <w:bCs/>
                <w:sz w:val="20"/>
                <w:szCs w:val="20"/>
              </w:rPr>
              <w:t>NTGR</w:t>
            </w:r>
          </w:p>
        </w:tc>
      </w:tr>
      <w:tr w:rsidR="002353D5" w:rsidRPr="002353D5" w14:paraId="470EABC5" w14:textId="77777777" w:rsidTr="5B621C54">
        <w:tc>
          <w:tcPr>
            <w:tcW w:w="809" w:type="pct"/>
            <w:vAlign w:val="center"/>
          </w:tcPr>
          <w:p w14:paraId="333C6F7E" w14:textId="77777777" w:rsidR="002353D5" w:rsidRPr="00085E4F" w:rsidRDefault="00360A51" w:rsidP="002353D5">
            <w:pPr>
              <w:jc w:val="center"/>
              <w:rPr>
                <w:rFonts w:ascii="Times New Roman" w:hAnsi="Times New Roman"/>
                <w:sz w:val="20"/>
                <w:szCs w:val="20"/>
              </w:rPr>
            </w:pPr>
            <w:r w:rsidRPr="00085E4F">
              <w:rPr>
                <w:rFonts w:ascii="Times New Roman" w:hAnsi="Times New Roman"/>
                <w:sz w:val="20"/>
                <w:szCs w:val="20"/>
              </w:rPr>
              <w:t>Com-Out-</w:t>
            </w:r>
            <w:proofErr w:type="spellStart"/>
            <w:r w:rsidRPr="00085E4F">
              <w:rPr>
                <w:rFonts w:ascii="Times New Roman" w:hAnsi="Times New Roman"/>
                <w:sz w:val="20"/>
                <w:szCs w:val="20"/>
              </w:rPr>
              <w:t>Ltg</w:t>
            </w:r>
            <w:proofErr w:type="spellEnd"/>
            <w:r w:rsidRPr="00085E4F">
              <w:rPr>
                <w:rFonts w:ascii="Times New Roman" w:hAnsi="Times New Roman"/>
                <w:sz w:val="20"/>
                <w:szCs w:val="20"/>
              </w:rPr>
              <w:t>-</w:t>
            </w:r>
            <w:proofErr w:type="spellStart"/>
            <w:r w:rsidRPr="00085E4F">
              <w:rPr>
                <w:rFonts w:ascii="Times New Roman" w:hAnsi="Times New Roman"/>
                <w:sz w:val="20"/>
                <w:szCs w:val="20"/>
              </w:rPr>
              <w:t>LEDFixt</w:t>
            </w:r>
            <w:proofErr w:type="spellEnd"/>
          </w:p>
        </w:tc>
        <w:tc>
          <w:tcPr>
            <w:tcW w:w="2021" w:type="pct"/>
            <w:vAlign w:val="center"/>
          </w:tcPr>
          <w:p w14:paraId="308DFC8E" w14:textId="62392E27" w:rsidR="002353D5" w:rsidRPr="00085E4F" w:rsidRDefault="00360A51" w:rsidP="009F1987">
            <w:pPr>
              <w:jc w:val="center"/>
              <w:rPr>
                <w:rFonts w:ascii="Times New Roman" w:hAnsi="Times New Roman"/>
                <w:sz w:val="20"/>
                <w:szCs w:val="20"/>
              </w:rPr>
            </w:pPr>
            <w:r w:rsidRPr="00085E4F">
              <w:rPr>
                <w:rFonts w:ascii="Times New Roman" w:hAnsi="Times New Roman"/>
                <w:sz w:val="20"/>
                <w:szCs w:val="20"/>
              </w:rPr>
              <w:t>Commercial</w:t>
            </w:r>
            <w:r w:rsidR="009F1987" w:rsidRPr="00085E4F">
              <w:rPr>
                <w:rFonts w:ascii="Times New Roman" w:hAnsi="Times New Roman"/>
                <w:sz w:val="20"/>
                <w:szCs w:val="20"/>
              </w:rPr>
              <w:t xml:space="preserve"> Exterior LED Fixtures, For NR </w:t>
            </w:r>
            <w:r w:rsidRPr="00085E4F">
              <w:rPr>
                <w:rFonts w:ascii="Times New Roman" w:hAnsi="Times New Roman"/>
                <w:sz w:val="20"/>
                <w:szCs w:val="20"/>
              </w:rPr>
              <w:t>and NC Measure Application Types only. Not applicable to ER or AR</w:t>
            </w:r>
          </w:p>
        </w:tc>
        <w:tc>
          <w:tcPr>
            <w:tcW w:w="517" w:type="pct"/>
            <w:vAlign w:val="center"/>
          </w:tcPr>
          <w:p w14:paraId="521EADE0" w14:textId="77777777" w:rsidR="002353D5" w:rsidRPr="00085E4F" w:rsidRDefault="5B621C54" w:rsidP="002353D5">
            <w:pPr>
              <w:jc w:val="center"/>
              <w:rPr>
                <w:rFonts w:ascii="Times New Roman" w:hAnsi="Times New Roman"/>
                <w:sz w:val="20"/>
                <w:szCs w:val="20"/>
              </w:rPr>
            </w:pPr>
            <w:r w:rsidRPr="00085E4F">
              <w:rPr>
                <w:rFonts w:ascii="Times New Roman" w:hAnsi="Times New Roman"/>
                <w:sz w:val="20"/>
                <w:szCs w:val="20"/>
              </w:rPr>
              <w:t>Com</w:t>
            </w:r>
          </w:p>
        </w:tc>
        <w:tc>
          <w:tcPr>
            <w:tcW w:w="611" w:type="pct"/>
            <w:vAlign w:val="center"/>
          </w:tcPr>
          <w:p w14:paraId="7E013F7D" w14:textId="77777777" w:rsidR="002353D5" w:rsidRPr="00085E4F" w:rsidRDefault="5B621C54" w:rsidP="002353D5">
            <w:pPr>
              <w:jc w:val="center"/>
              <w:rPr>
                <w:rFonts w:ascii="Times New Roman" w:hAnsi="Times New Roman"/>
                <w:sz w:val="20"/>
                <w:szCs w:val="20"/>
              </w:rPr>
            </w:pPr>
            <w:r w:rsidRPr="00085E4F">
              <w:rPr>
                <w:rFonts w:ascii="Times New Roman" w:hAnsi="Times New Roman"/>
                <w:sz w:val="20"/>
                <w:szCs w:val="20"/>
              </w:rPr>
              <w:t>Any</w:t>
            </w:r>
          </w:p>
        </w:tc>
        <w:tc>
          <w:tcPr>
            <w:tcW w:w="611" w:type="pct"/>
            <w:vAlign w:val="center"/>
          </w:tcPr>
          <w:p w14:paraId="10EDABCE" w14:textId="77777777" w:rsidR="002353D5" w:rsidRPr="00085E4F" w:rsidRDefault="5B621C54" w:rsidP="002353D5">
            <w:pPr>
              <w:jc w:val="center"/>
              <w:rPr>
                <w:rFonts w:ascii="Times New Roman" w:hAnsi="Times New Roman"/>
                <w:sz w:val="20"/>
                <w:szCs w:val="20"/>
              </w:rPr>
            </w:pPr>
            <w:r w:rsidRPr="00085E4F">
              <w:rPr>
                <w:rFonts w:ascii="Times New Roman" w:hAnsi="Times New Roman"/>
                <w:sz w:val="20"/>
                <w:szCs w:val="20"/>
              </w:rPr>
              <w:t>Any</w:t>
            </w:r>
          </w:p>
        </w:tc>
        <w:tc>
          <w:tcPr>
            <w:tcW w:w="432" w:type="pct"/>
            <w:vAlign w:val="center"/>
          </w:tcPr>
          <w:p w14:paraId="08E4A806" w14:textId="77777777" w:rsidR="002353D5" w:rsidRPr="00085E4F" w:rsidRDefault="5B621C54" w:rsidP="002353D5">
            <w:pPr>
              <w:jc w:val="center"/>
              <w:rPr>
                <w:rFonts w:ascii="Times New Roman" w:hAnsi="Times New Roman"/>
                <w:sz w:val="20"/>
                <w:szCs w:val="20"/>
              </w:rPr>
            </w:pPr>
            <w:r w:rsidRPr="00085E4F">
              <w:rPr>
                <w:rFonts w:ascii="Times New Roman" w:hAnsi="Times New Roman"/>
                <w:sz w:val="20"/>
                <w:szCs w:val="20"/>
              </w:rPr>
              <w:t>0.</w:t>
            </w:r>
            <w:r w:rsidR="00360A51" w:rsidRPr="00085E4F">
              <w:rPr>
                <w:rFonts w:ascii="Times New Roman" w:hAnsi="Times New Roman"/>
                <w:sz w:val="20"/>
                <w:szCs w:val="20"/>
              </w:rPr>
              <w:t>91</w:t>
            </w:r>
          </w:p>
        </w:tc>
      </w:tr>
    </w:tbl>
    <w:p w14:paraId="18E08A3F" w14:textId="77777777" w:rsidR="002F40D7" w:rsidRPr="002F40D7" w:rsidRDefault="002F40D7" w:rsidP="002F40D7">
      <w:pPr>
        <w:rPr>
          <w:rFonts w:cs="Arial"/>
          <w:szCs w:val="20"/>
        </w:rPr>
      </w:pPr>
    </w:p>
    <w:p w14:paraId="79245904" w14:textId="77777777" w:rsidR="00C4365A" w:rsidRDefault="5B621C54" w:rsidP="008F063C">
      <w:pPr>
        <w:spacing w:before="120"/>
      </w:pPr>
      <w:r w:rsidRPr="5B621C54">
        <w:rPr>
          <w:b/>
          <w:bCs/>
        </w:rPr>
        <w:t>Spillage Rate</w:t>
      </w:r>
    </w:p>
    <w:p w14:paraId="0277EF42" w14:textId="77777777" w:rsidR="00D863F6" w:rsidRDefault="5B621C54" w:rsidP="005366C6">
      <w:r>
        <w:t xml:space="preserve">Spillage rates are not tracked in </w:t>
      </w:r>
      <w:proofErr w:type="spellStart"/>
      <w:r>
        <w:t>workpapers</w:t>
      </w:r>
      <w:proofErr w:type="spellEnd"/>
      <w:r>
        <w:t>; they are tracked in an external document which will be supplied to the Commission Staff.</w:t>
      </w:r>
    </w:p>
    <w:p w14:paraId="4E2273BE" w14:textId="77777777" w:rsidR="00D863F6" w:rsidRDefault="00D863F6" w:rsidP="005366C6"/>
    <w:p w14:paraId="1ABF25C8" w14:textId="77777777" w:rsidR="00C4365A" w:rsidRDefault="5B621C54" w:rsidP="005366C6">
      <w:r w:rsidRPr="5B621C54">
        <w:rPr>
          <w:b/>
          <w:bCs/>
        </w:rPr>
        <w:t>Installation Rate</w:t>
      </w:r>
    </w:p>
    <w:p w14:paraId="32192766" w14:textId="77777777" w:rsidR="005366C6" w:rsidRDefault="5B621C54" w:rsidP="005366C6">
      <w:r>
        <w:t>The IR value was obtained using the DEER READI v2.4.7 tool.  The relevant IR value for the measures in this workpaper is in the table below:</w:t>
      </w:r>
    </w:p>
    <w:p w14:paraId="0A09414F" w14:textId="77777777" w:rsidR="00D863F6" w:rsidRPr="008A1DA4" w:rsidRDefault="00D863F6" w:rsidP="005366C6"/>
    <w:p w14:paraId="201B3198" w14:textId="46AC8142" w:rsidR="00D863F6" w:rsidRDefault="00D863F6" w:rsidP="00D863F6">
      <w:pPr>
        <w:pStyle w:val="Caption"/>
        <w:keepNext/>
        <w:jc w:val="center"/>
      </w:pPr>
      <w:bookmarkStart w:id="49" w:name="_Toc511134164"/>
      <w:bookmarkStart w:id="50" w:name="_Toc2803230"/>
      <w:r>
        <w:t xml:space="preserve">Table </w:t>
      </w:r>
      <w:fldSimple w:instr=" SEQ Table \* ARABIC ">
        <w:r w:rsidR="00491759">
          <w:rPr>
            <w:noProof/>
          </w:rPr>
          <w:t>6</w:t>
        </w:r>
      </w:fldSimple>
      <w:r w:rsidR="00085E4F">
        <w:t>:</w:t>
      </w:r>
      <w:r>
        <w:t xml:space="preserve"> Installation Rate</w:t>
      </w:r>
      <w:bookmarkEnd w:id="49"/>
      <w:bookmarkEnd w:id="50"/>
    </w:p>
    <w:tbl>
      <w:tblPr>
        <w:tblStyle w:val="TableGrid1"/>
        <w:tblW w:w="5000" w:type="pct"/>
        <w:tblLook w:val="01E0" w:firstRow="1" w:lastRow="1" w:firstColumn="1" w:lastColumn="1" w:noHBand="0" w:noVBand="0"/>
      </w:tblPr>
      <w:tblGrid>
        <w:gridCol w:w="1406"/>
        <w:gridCol w:w="2763"/>
        <w:gridCol w:w="1339"/>
        <w:gridCol w:w="1677"/>
        <w:gridCol w:w="1443"/>
        <w:gridCol w:w="1308"/>
      </w:tblGrid>
      <w:tr w:rsidR="00D863F6" w:rsidRPr="00D863F6" w14:paraId="6A442B68" w14:textId="77777777" w:rsidTr="5B621C54">
        <w:tc>
          <w:tcPr>
            <w:tcW w:w="707" w:type="pct"/>
            <w:shd w:val="clear" w:color="auto" w:fill="D9D9D9" w:themeFill="background1" w:themeFillShade="D9"/>
          </w:tcPr>
          <w:p w14:paraId="4E4A490B" w14:textId="77777777" w:rsidR="00D863F6" w:rsidRPr="00085E4F" w:rsidRDefault="5B621C54" w:rsidP="00D554A5">
            <w:pPr>
              <w:spacing w:before="60" w:after="60"/>
              <w:rPr>
                <w:rFonts w:ascii="Times New Roman" w:hAnsi="Times New Roman"/>
                <w:b/>
                <w:bCs/>
                <w:sz w:val="20"/>
                <w:szCs w:val="20"/>
              </w:rPr>
            </w:pPr>
            <w:r w:rsidRPr="00085E4F">
              <w:rPr>
                <w:rFonts w:ascii="Times New Roman" w:hAnsi="Times New Roman"/>
                <w:b/>
                <w:bCs/>
                <w:sz w:val="20"/>
                <w:szCs w:val="20"/>
              </w:rPr>
              <w:t>GSIA ID</w:t>
            </w:r>
          </w:p>
        </w:tc>
        <w:tc>
          <w:tcPr>
            <w:tcW w:w="1390" w:type="pct"/>
            <w:shd w:val="clear" w:color="auto" w:fill="D9D9D9" w:themeFill="background1" w:themeFillShade="D9"/>
          </w:tcPr>
          <w:p w14:paraId="12E10703" w14:textId="77777777" w:rsidR="00D863F6" w:rsidRPr="00085E4F" w:rsidRDefault="5B621C54" w:rsidP="00D554A5">
            <w:pPr>
              <w:spacing w:before="60" w:after="60"/>
              <w:rPr>
                <w:rFonts w:ascii="Times New Roman" w:hAnsi="Times New Roman"/>
                <w:b/>
                <w:bCs/>
                <w:sz w:val="20"/>
                <w:szCs w:val="20"/>
              </w:rPr>
            </w:pPr>
            <w:r w:rsidRPr="00085E4F">
              <w:rPr>
                <w:rFonts w:ascii="Times New Roman" w:hAnsi="Times New Roman"/>
                <w:b/>
                <w:bCs/>
                <w:sz w:val="20"/>
                <w:szCs w:val="20"/>
              </w:rPr>
              <w:t>Description</w:t>
            </w:r>
          </w:p>
        </w:tc>
        <w:tc>
          <w:tcPr>
            <w:tcW w:w="674" w:type="pct"/>
            <w:shd w:val="clear" w:color="auto" w:fill="D9D9D9" w:themeFill="background1" w:themeFillShade="D9"/>
          </w:tcPr>
          <w:p w14:paraId="5DD6B3A9" w14:textId="77777777" w:rsidR="00D863F6" w:rsidRPr="00085E4F" w:rsidRDefault="5B621C54" w:rsidP="00D554A5">
            <w:pPr>
              <w:spacing w:before="60" w:after="60"/>
              <w:rPr>
                <w:rFonts w:ascii="Times New Roman" w:hAnsi="Times New Roman"/>
                <w:b/>
                <w:bCs/>
                <w:sz w:val="20"/>
                <w:szCs w:val="20"/>
              </w:rPr>
            </w:pPr>
            <w:r w:rsidRPr="00085E4F">
              <w:rPr>
                <w:rFonts w:ascii="Times New Roman" w:hAnsi="Times New Roman"/>
                <w:b/>
                <w:bCs/>
                <w:sz w:val="20"/>
                <w:szCs w:val="20"/>
              </w:rPr>
              <w:t>Sector</w:t>
            </w:r>
          </w:p>
        </w:tc>
        <w:tc>
          <w:tcPr>
            <w:tcW w:w="844" w:type="pct"/>
            <w:shd w:val="clear" w:color="auto" w:fill="D9D9D9" w:themeFill="background1" w:themeFillShade="D9"/>
          </w:tcPr>
          <w:p w14:paraId="10B755BB" w14:textId="77777777" w:rsidR="00D863F6" w:rsidRPr="00085E4F" w:rsidRDefault="5B621C54" w:rsidP="00D554A5">
            <w:pPr>
              <w:spacing w:before="60" w:after="60"/>
              <w:rPr>
                <w:rFonts w:ascii="Times New Roman" w:hAnsi="Times New Roman"/>
                <w:b/>
                <w:bCs/>
                <w:sz w:val="20"/>
                <w:szCs w:val="20"/>
              </w:rPr>
            </w:pPr>
            <w:proofErr w:type="spellStart"/>
            <w:r w:rsidRPr="00085E4F">
              <w:rPr>
                <w:rFonts w:ascii="Times New Roman" w:hAnsi="Times New Roman"/>
                <w:b/>
                <w:bCs/>
                <w:sz w:val="20"/>
                <w:szCs w:val="20"/>
              </w:rPr>
              <w:t>BldgType</w:t>
            </w:r>
            <w:proofErr w:type="spellEnd"/>
          </w:p>
        </w:tc>
        <w:tc>
          <w:tcPr>
            <w:tcW w:w="726" w:type="pct"/>
            <w:shd w:val="clear" w:color="auto" w:fill="D9D9D9" w:themeFill="background1" w:themeFillShade="D9"/>
          </w:tcPr>
          <w:p w14:paraId="646099A8" w14:textId="77777777" w:rsidR="00D863F6" w:rsidRPr="00085E4F" w:rsidRDefault="5B621C54" w:rsidP="00D554A5">
            <w:pPr>
              <w:spacing w:before="60" w:after="60"/>
              <w:rPr>
                <w:rFonts w:ascii="Times New Roman" w:hAnsi="Times New Roman"/>
                <w:b/>
                <w:bCs/>
                <w:sz w:val="20"/>
                <w:szCs w:val="20"/>
              </w:rPr>
            </w:pPr>
            <w:proofErr w:type="spellStart"/>
            <w:r w:rsidRPr="00085E4F">
              <w:rPr>
                <w:rFonts w:ascii="Times New Roman" w:hAnsi="Times New Roman"/>
                <w:b/>
                <w:bCs/>
                <w:sz w:val="20"/>
                <w:szCs w:val="20"/>
              </w:rPr>
              <w:t>ProgDelivID</w:t>
            </w:r>
            <w:proofErr w:type="spellEnd"/>
          </w:p>
        </w:tc>
        <w:tc>
          <w:tcPr>
            <w:tcW w:w="658" w:type="pct"/>
            <w:shd w:val="clear" w:color="auto" w:fill="D9D9D9" w:themeFill="background1" w:themeFillShade="D9"/>
          </w:tcPr>
          <w:p w14:paraId="68F3C11C" w14:textId="77777777" w:rsidR="00D863F6" w:rsidRPr="00085E4F" w:rsidRDefault="5B621C54" w:rsidP="00D554A5">
            <w:pPr>
              <w:spacing w:before="60" w:after="60"/>
              <w:rPr>
                <w:rFonts w:ascii="Times New Roman" w:hAnsi="Times New Roman"/>
                <w:b/>
                <w:bCs/>
                <w:sz w:val="20"/>
                <w:szCs w:val="20"/>
              </w:rPr>
            </w:pPr>
            <w:proofErr w:type="spellStart"/>
            <w:r w:rsidRPr="00085E4F">
              <w:rPr>
                <w:rFonts w:ascii="Times New Roman" w:hAnsi="Times New Roman"/>
                <w:b/>
                <w:bCs/>
                <w:sz w:val="20"/>
                <w:szCs w:val="20"/>
              </w:rPr>
              <w:t>GSIAValue</w:t>
            </w:r>
            <w:proofErr w:type="spellEnd"/>
          </w:p>
        </w:tc>
      </w:tr>
      <w:tr w:rsidR="00D863F6" w:rsidRPr="00D863F6" w14:paraId="78A51543" w14:textId="77777777" w:rsidTr="5B621C54">
        <w:tc>
          <w:tcPr>
            <w:tcW w:w="707" w:type="pct"/>
          </w:tcPr>
          <w:p w14:paraId="5442259F" w14:textId="77777777" w:rsidR="00D863F6" w:rsidRPr="00085E4F" w:rsidRDefault="5B621C54" w:rsidP="00D554A5">
            <w:pPr>
              <w:spacing w:before="60" w:after="60"/>
              <w:rPr>
                <w:rFonts w:ascii="Times New Roman" w:hAnsi="Times New Roman"/>
                <w:sz w:val="20"/>
                <w:szCs w:val="20"/>
              </w:rPr>
            </w:pPr>
            <w:r w:rsidRPr="00085E4F">
              <w:rPr>
                <w:rFonts w:ascii="Times New Roman" w:hAnsi="Times New Roman"/>
                <w:sz w:val="20"/>
                <w:szCs w:val="20"/>
              </w:rPr>
              <w:t>Def-GSIA</w:t>
            </w:r>
          </w:p>
        </w:tc>
        <w:tc>
          <w:tcPr>
            <w:tcW w:w="1390" w:type="pct"/>
          </w:tcPr>
          <w:p w14:paraId="08AA33BC" w14:textId="77777777" w:rsidR="00D863F6" w:rsidRPr="00085E4F" w:rsidRDefault="5B621C54" w:rsidP="00D554A5">
            <w:pPr>
              <w:spacing w:before="60" w:after="60"/>
              <w:rPr>
                <w:rFonts w:ascii="Times New Roman" w:hAnsi="Times New Roman"/>
                <w:sz w:val="20"/>
                <w:szCs w:val="20"/>
              </w:rPr>
            </w:pPr>
            <w:r w:rsidRPr="00085E4F">
              <w:rPr>
                <w:rFonts w:ascii="Times New Roman" w:hAnsi="Times New Roman"/>
                <w:sz w:val="20"/>
                <w:szCs w:val="20"/>
              </w:rPr>
              <w:t>Default GSIA values</w:t>
            </w:r>
          </w:p>
        </w:tc>
        <w:tc>
          <w:tcPr>
            <w:tcW w:w="674" w:type="pct"/>
          </w:tcPr>
          <w:p w14:paraId="048F6727" w14:textId="77777777" w:rsidR="00D863F6" w:rsidRPr="00085E4F" w:rsidRDefault="5B621C54" w:rsidP="00D554A5">
            <w:pPr>
              <w:spacing w:before="60" w:after="60"/>
              <w:rPr>
                <w:rFonts w:ascii="Times New Roman" w:hAnsi="Times New Roman"/>
                <w:sz w:val="20"/>
                <w:szCs w:val="20"/>
              </w:rPr>
            </w:pPr>
            <w:r w:rsidRPr="00085E4F">
              <w:rPr>
                <w:rFonts w:ascii="Times New Roman" w:hAnsi="Times New Roman"/>
                <w:sz w:val="20"/>
                <w:szCs w:val="20"/>
              </w:rPr>
              <w:t>Any</w:t>
            </w:r>
          </w:p>
        </w:tc>
        <w:tc>
          <w:tcPr>
            <w:tcW w:w="844" w:type="pct"/>
          </w:tcPr>
          <w:p w14:paraId="0C74EAF5" w14:textId="77777777" w:rsidR="00D863F6" w:rsidRPr="00085E4F" w:rsidRDefault="5B621C54" w:rsidP="00D554A5">
            <w:pPr>
              <w:spacing w:before="60" w:after="60"/>
              <w:rPr>
                <w:rFonts w:ascii="Times New Roman" w:hAnsi="Times New Roman"/>
                <w:sz w:val="20"/>
                <w:szCs w:val="20"/>
              </w:rPr>
            </w:pPr>
            <w:r w:rsidRPr="00085E4F">
              <w:rPr>
                <w:rFonts w:ascii="Times New Roman" w:hAnsi="Times New Roman"/>
                <w:sz w:val="20"/>
                <w:szCs w:val="20"/>
              </w:rPr>
              <w:t>Any</w:t>
            </w:r>
          </w:p>
        </w:tc>
        <w:tc>
          <w:tcPr>
            <w:tcW w:w="726" w:type="pct"/>
          </w:tcPr>
          <w:p w14:paraId="7C667DC9" w14:textId="77777777" w:rsidR="00D863F6" w:rsidRPr="00085E4F" w:rsidRDefault="5B621C54" w:rsidP="00D554A5">
            <w:pPr>
              <w:spacing w:before="60" w:after="60"/>
              <w:rPr>
                <w:rFonts w:ascii="Times New Roman" w:hAnsi="Times New Roman"/>
                <w:sz w:val="20"/>
                <w:szCs w:val="20"/>
              </w:rPr>
            </w:pPr>
            <w:r w:rsidRPr="00085E4F">
              <w:rPr>
                <w:rFonts w:ascii="Times New Roman" w:hAnsi="Times New Roman"/>
                <w:sz w:val="20"/>
                <w:szCs w:val="20"/>
              </w:rPr>
              <w:t>Any</w:t>
            </w:r>
          </w:p>
        </w:tc>
        <w:tc>
          <w:tcPr>
            <w:tcW w:w="658" w:type="pct"/>
          </w:tcPr>
          <w:p w14:paraId="02F47E7C" w14:textId="77777777" w:rsidR="00D863F6" w:rsidRPr="00085E4F" w:rsidRDefault="5B621C54" w:rsidP="00D554A5">
            <w:pPr>
              <w:spacing w:before="60" w:after="60"/>
              <w:rPr>
                <w:rFonts w:ascii="Times New Roman" w:hAnsi="Times New Roman"/>
                <w:sz w:val="20"/>
                <w:szCs w:val="20"/>
              </w:rPr>
            </w:pPr>
            <w:r w:rsidRPr="00085E4F">
              <w:rPr>
                <w:rFonts w:ascii="Times New Roman" w:hAnsi="Times New Roman"/>
                <w:sz w:val="20"/>
                <w:szCs w:val="20"/>
              </w:rPr>
              <w:t>1</w:t>
            </w:r>
          </w:p>
        </w:tc>
      </w:tr>
    </w:tbl>
    <w:p w14:paraId="702DB0B6" w14:textId="77777777" w:rsidR="005366C6" w:rsidRPr="005366C6" w:rsidRDefault="005366C6" w:rsidP="005366C6">
      <w:pPr>
        <w:rPr>
          <w:rFonts w:cs="Arial"/>
        </w:rPr>
      </w:pPr>
    </w:p>
    <w:p w14:paraId="23E13353" w14:textId="77777777" w:rsidR="00C4365A" w:rsidRDefault="5B621C54" w:rsidP="5B621C54">
      <w:pPr>
        <w:rPr>
          <w:b/>
          <w:bCs/>
        </w:rPr>
      </w:pPr>
      <w:r w:rsidRPr="5B621C54">
        <w:rPr>
          <w:b/>
          <w:bCs/>
        </w:rPr>
        <w:t>Effective Useful Life/Remaining Useful Life</w:t>
      </w:r>
    </w:p>
    <w:p w14:paraId="117ABEB6" w14:textId="77777777" w:rsidR="00D863F6" w:rsidRDefault="5B621C54" w:rsidP="00D863F6">
      <w:r>
        <w:t>The EUL value was obtained using the DEER READI v2.4.7 tool.  The relevant EUL value for the measurers in this work paper is listed in the table below:</w:t>
      </w:r>
    </w:p>
    <w:p w14:paraId="2CF31181" w14:textId="77777777" w:rsidR="00D863F6" w:rsidRDefault="00D863F6" w:rsidP="00D863F6"/>
    <w:p w14:paraId="03F33CFC" w14:textId="62E79AD0" w:rsidR="00A05240" w:rsidRDefault="00A05240" w:rsidP="00A05240">
      <w:pPr>
        <w:pStyle w:val="Caption"/>
        <w:keepNext/>
        <w:jc w:val="center"/>
      </w:pPr>
      <w:bookmarkStart w:id="51" w:name="_Toc511134165"/>
      <w:bookmarkStart w:id="52" w:name="_Toc2803231"/>
      <w:r>
        <w:t xml:space="preserve">Table </w:t>
      </w:r>
      <w:fldSimple w:instr=" SEQ Table \* ARABIC ">
        <w:r w:rsidR="00491759">
          <w:rPr>
            <w:noProof/>
          </w:rPr>
          <w:t>7</w:t>
        </w:r>
      </w:fldSimple>
      <w:r w:rsidR="00085E4F">
        <w:t>:</w:t>
      </w:r>
      <w:r>
        <w:t xml:space="preserve"> Effective Useful Life</w:t>
      </w:r>
      <w:bookmarkEnd w:id="51"/>
      <w:bookmarkEnd w:id="52"/>
    </w:p>
    <w:tbl>
      <w:tblPr>
        <w:tblStyle w:val="TableGrid1"/>
        <w:tblW w:w="5000" w:type="pct"/>
        <w:tblLook w:val="04A0" w:firstRow="1" w:lastRow="0" w:firstColumn="1" w:lastColumn="0" w:noHBand="0" w:noVBand="1"/>
      </w:tblPr>
      <w:tblGrid>
        <w:gridCol w:w="1627"/>
        <w:gridCol w:w="3960"/>
        <w:gridCol w:w="928"/>
        <w:gridCol w:w="1391"/>
        <w:gridCol w:w="1019"/>
        <w:gridCol w:w="1011"/>
      </w:tblGrid>
      <w:tr w:rsidR="00C4365A" w:rsidRPr="00C4365A" w14:paraId="43B0ED1B" w14:textId="77777777" w:rsidTr="0096582E">
        <w:tc>
          <w:tcPr>
            <w:tcW w:w="818" w:type="pct"/>
            <w:shd w:val="clear" w:color="auto" w:fill="D9D9D9" w:themeFill="background1" w:themeFillShade="D9"/>
            <w:vAlign w:val="center"/>
          </w:tcPr>
          <w:p w14:paraId="25774F17" w14:textId="77777777" w:rsidR="00C4365A" w:rsidRPr="00085E4F" w:rsidRDefault="5B621C54" w:rsidP="5B621C54">
            <w:pPr>
              <w:jc w:val="center"/>
              <w:rPr>
                <w:rFonts w:ascii="Times New Roman" w:hAnsi="Times New Roman"/>
                <w:b/>
                <w:bCs/>
                <w:sz w:val="20"/>
                <w:szCs w:val="20"/>
              </w:rPr>
            </w:pPr>
            <w:r w:rsidRPr="00085E4F">
              <w:rPr>
                <w:rFonts w:ascii="Times New Roman" w:hAnsi="Times New Roman"/>
                <w:b/>
                <w:bCs/>
                <w:sz w:val="20"/>
                <w:szCs w:val="20"/>
              </w:rPr>
              <w:t>EUL ID</w:t>
            </w:r>
          </w:p>
        </w:tc>
        <w:tc>
          <w:tcPr>
            <w:tcW w:w="1993" w:type="pct"/>
            <w:shd w:val="clear" w:color="auto" w:fill="D9D9D9" w:themeFill="background1" w:themeFillShade="D9"/>
            <w:vAlign w:val="center"/>
          </w:tcPr>
          <w:p w14:paraId="6D21DA07" w14:textId="77777777" w:rsidR="00C4365A" w:rsidRPr="00085E4F" w:rsidRDefault="5B621C54" w:rsidP="5B621C54">
            <w:pPr>
              <w:jc w:val="center"/>
              <w:rPr>
                <w:rFonts w:ascii="Times New Roman" w:hAnsi="Times New Roman"/>
                <w:b/>
                <w:bCs/>
                <w:sz w:val="20"/>
                <w:szCs w:val="20"/>
              </w:rPr>
            </w:pPr>
            <w:r w:rsidRPr="00085E4F">
              <w:rPr>
                <w:rFonts w:ascii="Times New Roman" w:hAnsi="Times New Roman"/>
                <w:b/>
                <w:bCs/>
                <w:sz w:val="20"/>
                <w:szCs w:val="20"/>
              </w:rPr>
              <w:t>Description</w:t>
            </w:r>
          </w:p>
        </w:tc>
        <w:tc>
          <w:tcPr>
            <w:tcW w:w="467" w:type="pct"/>
            <w:shd w:val="clear" w:color="auto" w:fill="D9D9D9" w:themeFill="background1" w:themeFillShade="D9"/>
            <w:vAlign w:val="center"/>
          </w:tcPr>
          <w:p w14:paraId="46B632FB" w14:textId="77777777" w:rsidR="00C4365A" w:rsidRPr="00085E4F" w:rsidRDefault="5B621C54" w:rsidP="5B621C54">
            <w:pPr>
              <w:jc w:val="center"/>
              <w:rPr>
                <w:rFonts w:ascii="Times New Roman" w:hAnsi="Times New Roman"/>
                <w:b/>
                <w:bCs/>
                <w:sz w:val="20"/>
                <w:szCs w:val="20"/>
              </w:rPr>
            </w:pPr>
            <w:r w:rsidRPr="00085E4F">
              <w:rPr>
                <w:rFonts w:ascii="Times New Roman" w:hAnsi="Times New Roman"/>
                <w:b/>
                <w:bCs/>
                <w:sz w:val="20"/>
                <w:szCs w:val="20"/>
              </w:rPr>
              <w:t>Sector</w:t>
            </w:r>
          </w:p>
        </w:tc>
        <w:tc>
          <w:tcPr>
            <w:tcW w:w="700" w:type="pct"/>
            <w:shd w:val="clear" w:color="auto" w:fill="D9D9D9" w:themeFill="background1" w:themeFillShade="D9"/>
            <w:vAlign w:val="center"/>
          </w:tcPr>
          <w:p w14:paraId="56CEAB83" w14:textId="77777777" w:rsidR="00C4365A" w:rsidRPr="00085E4F" w:rsidRDefault="5B621C54" w:rsidP="5B621C54">
            <w:pPr>
              <w:jc w:val="center"/>
              <w:rPr>
                <w:rFonts w:ascii="Times New Roman" w:hAnsi="Times New Roman"/>
                <w:b/>
                <w:bCs/>
                <w:sz w:val="20"/>
                <w:szCs w:val="20"/>
              </w:rPr>
            </w:pPr>
            <w:proofErr w:type="spellStart"/>
            <w:r w:rsidRPr="00085E4F">
              <w:rPr>
                <w:rFonts w:ascii="Times New Roman" w:hAnsi="Times New Roman"/>
                <w:b/>
                <w:bCs/>
                <w:sz w:val="20"/>
                <w:szCs w:val="20"/>
              </w:rPr>
              <w:t>UseCategory</w:t>
            </w:r>
            <w:proofErr w:type="spellEnd"/>
          </w:p>
        </w:tc>
        <w:tc>
          <w:tcPr>
            <w:tcW w:w="513" w:type="pct"/>
            <w:shd w:val="clear" w:color="auto" w:fill="D9D9D9" w:themeFill="background1" w:themeFillShade="D9"/>
            <w:vAlign w:val="center"/>
          </w:tcPr>
          <w:p w14:paraId="5196A2BF" w14:textId="77777777" w:rsidR="00C4365A" w:rsidRPr="00085E4F" w:rsidRDefault="5B621C54" w:rsidP="5B621C54">
            <w:pPr>
              <w:jc w:val="center"/>
              <w:rPr>
                <w:rFonts w:ascii="Times New Roman" w:hAnsi="Times New Roman"/>
                <w:b/>
                <w:bCs/>
                <w:sz w:val="20"/>
                <w:szCs w:val="20"/>
              </w:rPr>
            </w:pPr>
            <w:r w:rsidRPr="00085E4F">
              <w:rPr>
                <w:rFonts w:ascii="Times New Roman" w:hAnsi="Times New Roman"/>
                <w:b/>
                <w:bCs/>
                <w:sz w:val="20"/>
                <w:szCs w:val="20"/>
              </w:rPr>
              <w:t>EUL (Years)</w:t>
            </w:r>
          </w:p>
        </w:tc>
        <w:tc>
          <w:tcPr>
            <w:tcW w:w="510" w:type="pct"/>
            <w:shd w:val="clear" w:color="auto" w:fill="D9D9D9" w:themeFill="background1" w:themeFillShade="D9"/>
          </w:tcPr>
          <w:p w14:paraId="1AEE5148" w14:textId="77777777" w:rsidR="00C4365A" w:rsidRPr="00085E4F" w:rsidRDefault="5B621C54" w:rsidP="5B621C54">
            <w:pPr>
              <w:jc w:val="center"/>
              <w:rPr>
                <w:rFonts w:ascii="Times New Roman" w:hAnsi="Times New Roman"/>
                <w:b/>
                <w:bCs/>
                <w:sz w:val="20"/>
                <w:szCs w:val="20"/>
              </w:rPr>
            </w:pPr>
            <w:r w:rsidRPr="00085E4F">
              <w:rPr>
                <w:rFonts w:ascii="Times New Roman" w:hAnsi="Times New Roman"/>
                <w:b/>
                <w:bCs/>
                <w:sz w:val="20"/>
                <w:szCs w:val="20"/>
              </w:rPr>
              <w:t>RUL (Years)</w:t>
            </w:r>
          </w:p>
        </w:tc>
      </w:tr>
      <w:tr w:rsidR="00882206" w:rsidRPr="00882206" w14:paraId="7D2263E4" w14:textId="77777777" w:rsidTr="0096582E">
        <w:trPr>
          <w:trHeight w:val="243"/>
        </w:trPr>
        <w:tc>
          <w:tcPr>
            <w:tcW w:w="818" w:type="pct"/>
            <w:vAlign w:val="center"/>
          </w:tcPr>
          <w:p w14:paraId="7584F641" w14:textId="77777777" w:rsidR="00C4365A" w:rsidRPr="00085E4F" w:rsidRDefault="5B621C54" w:rsidP="00C42F61">
            <w:pPr>
              <w:jc w:val="center"/>
              <w:rPr>
                <w:rFonts w:ascii="Times New Roman" w:hAnsi="Times New Roman"/>
                <w:sz w:val="20"/>
                <w:szCs w:val="20"/>
              </w:rPr>
            </w:pPr>
            <w:r w:rsidRPr="00085E4F">
              <w:rPr>
                <w:rFonts w:ascii="Times New Roman" w:hAnsi="Times New Roman"/>
                <w:sz w:val="20"/>
                <w:szCs w:val="20"/>
              </w:rPr>
              <w:t>OLtg-Com-LED-50000hr</w:t>
            </w:r>
          </w:p>
        </w:tc>
        <w:tc>
          <w:tcPr>
            <w:tcW w:w="1993" w:type="pct"/>
            <w:vAlign w:val="center"/>
          </w:tcPr>
          <w:p w14:paraId="08E80677" w14:textId="77777777" w:rsidR="00C4365A" w:rsidRPr="00085E4F" w:rsidRDefault="5B621C54" w:rsidP="00C42F61">
            <w:pPr>
              <w:jc w:val="center"/>
              <w:rPr>
                <w:rFonts w:ascii="Times New Roman" w:hAnsi="Times New Roman"/>
                <w:sz w:val="20"/>
                <w:szCs w:val="20"/>
              </w:rPr>
            </w:pPr>
            <w:r w:rsidRPr="00085E4F">
              <w:rPr>
                <w:rFonts w:ascii="Times New Roman" w:hAnsi="Times New Roman"/>
                <w:sz w:val="20"/>
                <w:szCs w:val="20"/>
              </w:rPr>
              <w:t>LED Fixture - Outdoor- Commercial</w:t>
            </w:r>
          </w:p>
        </w:tc>
        <w:tc>
          <w:tcPr>
            <w:tcW w:w="467" w:type="pct"/>
            <w:vAlign w:val="center"/>
          </w:tcPr>
          <w:p w14:paraId="484CB79B" w14:textId="77777777" w:rsidR="00C4365A" w:rsidRPr="00085E4F" w:rsidRDefault="5B621C54" w:rsidP="00C42F61">
            <w:pPr>
              <w:jc w:val="center"/>
              <w:rPr>
                <w:rFonts w:ascii="Times New Roman" w:hAnsi="Times New Roman"/>
                <w:sz w:val="20"/>
                <w:szCs w:val="20"/>
              </w:rPr>
            </w:pPr>
            <w:r w:rsidRPr="00085E4F">
              <w:rPr>
                <w:rFonts w:ascii="Times New Roman" w:hAnsi="Times New Roman"/>
                <w:sz w:val="20"/>
                <w:szCs w:val="20"/>
              </w:rPr>
              <w:t>Com</w:t>
            </w:r>
          </w:p>
        </w:tc>
        <w:tc>
          <w:tcPr>
            <w:tcW w:w="700" w:type="pct"/>
            <w:vAlign w:val="center"/>
          </w:tcPr>
          <w:p w14:paraId="422C8DE0" w14:textId="77777777" w:rsidR="00C4365A" w:rsidRPr="00085E4F" w:rsidRDefault="5B621C54" w:rsidP="00C42F61">
            <w:pPr>
              <w:jc w:val="center"/>
              <w:rPr>
                <w:rFonts w:ascii="Times New Roman" w:hAnsi="Times New Roman"/>
                <w:sz w:val="20"/>
                <w:szCs w:val="20"/>
              </w:rPr>
            </w:pPr>
            <w:r w:rsidRPr="00085E4F">
              <w:rPr>
                <w:rFonts w:ascii="Times New Roman" w:hAnsi="Times New Roman"/>
                <w:sz w:val="20"/>
                <w:szCs w:val="20"/>
              </w:rPr>
              <w:t>Lighting</w:t>
            </w:r>
          </w:p>
        </w:tc>
        <w:tc>
          <w:tcPr>
            <w:tcW w:w="513" w:type="pct"/>
            <w:vAlign w:val="center"/>
          </w:tcPr>
          <w:p w14:paraId="424B98AD" w14:textId="77777777" w:rsidR="00C4365A" w:rsidRPr="00085E4F" w:rsidRDefault="5B621C54" w:rsidP="00C42F61">
            <w:pPr>
              <w:jc w:val="center"/>
              <w:rPr>
                <w:rFonts w:ascii="Times New Roman" w:hAnsi="Times New Roman"/>
                <w:sz w:val="20"/>
                <w:szCs w:val="20"/>
              </w:rPr>
            </w:pPr>
            <w:r w:rsidRPr="00085E4F">
              <w:rPr>
                <w:rFonts w:ascii="Times New Roman" w:hAnsi="Times New Roman"/>
                <w:sz w:val="20"/>
                <w:szCs w:val="20"/>
              </w:rPr>
              <w:t>12</w:t>
            </w:r>
          </w:p>
        </w:tc>
        <w:tc>
          <w:tcPr>
            <w:tcW w:w="510" w:type="pct"/>
            <w:vAlign w:val="center"/>
          </w:tcPr>
          <w:p w14:paraId="692CF791" w14:textId="77777777" w:rsidR="00C4365A" w:rsidRPr="00085E4F" w:rsidRDefault="5B621C54" w:rsidP="00C4365A">
            <w:pPr>
              <w:jc w:val="center"/>
              <w:rPr>
                <w:rFonts w:ascii="Times New Roman" w:hAnsi="Times New Roman"/>
                <w:sz w:val="20"/>
                <w:szCs w:val="20"/>
              </w:rPr>
            </w:pPr>
            <w:r w:rsidRPr="00085E4F">
              <w:rPr>
                <w:rFonts w:ascii="Times New Roman" w:hAnsi="Times New Roman"/>
                <w:sz w:val="20"/>
                <w:szCs w:val="20"/>
              </w:rPr>
              <w:t>4</w:t>
            </w:r>
          </w:p>
        </w:tc>
      </w:tr>
    </w:tbl>
    <w:p w14:paraId="2B5F2973" w14:textId="77777777" w:rsidR="00D554A5" w:rsidRDefault="00D554A5" w:rsidP="00A725CB">
      <w:bookmarkStart w:id="53" w:name="_Toc511134189"/>
    </w:p>
    <w:p w14:paraId="7CC5F1EC" w14:textId="1A63798C" w:rsidR="00884FE6" w:rsidRPr="002809C7" w:rsidRDefault="5B621C54" w:rsidP="00D554A5">
      <w:pPr>
        <w:pStyle w:val="Heading3"/>
        <w:spacing w:before="0"/>
      </w:pPr>
      <w:bookmarkStart w:id="54" w:name="_Toc2803198"/>
      <w:r>
        <w:t>1.</w:t>
      </w:r>
      <w:r w:rsidR="005B0952">
        <w:t>4</w:t>
      </w:r>
      <w:r>
        <w:t>.2 Codes &amp; Standards Requirements</w:t>
      </w:r>
      <w:bookmarkEnd w:id="53"/>
      <w:bookmarkEnd w:id="54"/>
    </w:p>
    <w:p w14:paraId="50DEE012" w14:textId="77777777" w:rsidR="0095014B" w:rsidRPr="0077127E" w:rsidRDefault="0095014B" w:rsidP="0095014B">
      <w:pPr>
        <w:rPr>
          <w:highlight w:val="yellow"/>
        </w:rPr>
      </w:pPr>
      <w:r w:rsidRPr="71903359">
        <w:rPr>
          <w:b/>
          <w:bCs/>
          <w:i/>
          <w:iCs/>
        </w:rPr>
        <w:t>Title 20</w:t>
      </w:r>
      <w:r w:rsidRPr="007732F4">
        <w:t>: These measure</w:t>
      </w:r>
      <w:r w:rsidR="00A725CB">
        <w:t xml:space="preserve"> case product</w:t>
      </w:r>
      <w:r w:rsidRPr="007732F4">
        <w:t>s do not fall under Title 20 [201</w:t>
      </w:r>
      <w:r>
        <w:t>6</w:t>
      </w:r>
      <w:r w:rsidRPr="007732F4">
        <w:t>] of the California Energy Regulations.</w:t>
      </w:r>
      <w:r>
        <w:t xml:space="preserve"> The Metal Halide (MH) fixtures in the base case do fall under Title 20, and the wattages used for savings calculations are based on formulae from Table N-1 on page 283 and section </w:t>
      </w:r>
      <w:r w:rsidRPr="00220F66">
        <w:t>1605.3(n</w:t>
      </w:r>
      <w:proofErr w:type="gramStart"/>
      <w:r w:rsidRPr="00220F66">
        <w:t>)(</w:t>
      </w:r>
      <w:proofErr w:type="gramEnd"/>
      <w:r w:rsidRPr="00220F66">
        <w:t>1)(B)</w:t>
      </w:r>
      <w:r>
        <w:t xml:space="preserve"> on page 318.</w:t>
      </w:r>
      <w:r>
        <w:rPr>
          <w:rStyle w:val="EndnoteReference"/>
        </w:rPr>
        <w:endnoteReference w:id="6"/>
      </w:r>
    </w:p>
    <w:p w14:paraId="1146FDC4" w14:textId="77777777" w:rsidR="0095014B" w:rsidRPr="0077127E" w:rsidRDefault="0095014B" w:rsidP="0095014B">
      <w:pPr>
        <w:rPr>
          <w:highlight w:val="yellow"/>
        </w:rPr>
      </w:pPr>
    </w:p>
    <w:p w14:paraId="6B81F8E7" w14:textId="77777777" w:rsidR="0095014B" w:rsidRPr="0077127E" w:rsidRDefault="5B621C54" w:rsidP="0095014B">
      <w:pPr>
        <w:rPr>
          <w:highlight w:val="yellow"/>
        </w:rPr>
      </w:pPr>
      <w:r w:rsidRPr="5B621C54">
        <w:rPr>
          <w:b/>
          <w:bCs/>
          <w:i/>
          <w:iCs/>
        </w:rPr>
        <w:t>Title 24:</w:t>
      </w:r>
      <w:r>
        <w:t xml:space="preserve"> Section 110.9 and 130.2 of Title 24 [2016] details the mandatory requirements for lighting control devices and systems, ballasts, and luminaires and outdoor lighting controls and equipment. Power consumption is prescribed through calculations at the site level. Individual fixture optical performance is restricted only in section 130.2. This section describes the number of lumens exiting the fixtures at upward angles and angles near-horizontal, which also depends on the lighting zone.</w:t>
      </w:r>
    </w:p>
    <w:p w14:paraId="7436B8AA" w14:textId="77777777" w:rsidR="0095014B" w:rsidRDefault="0095014B" w:rsidP="0095014B">
      <w:pPr>
        <w:rPr>
          <w:highlight w:val="yellow"/>
        </w:rPr>
      </w:pPr>
    </w:p>
    <w:p w14:paraId="477FF2F0" w14:textId="77777777" w:rsidR="007F3A40" w:rsidRPr="007F3A40" w:rsidRDefault="5B621C54" w:rsidP="007F3A40">
      <w:pPr>
        <w:pStyle w:val="CommentText"/>
        <w:rPr>
          <w:sz w:val="24"/>
          <w:szCs w:val="24"/>
        </w:rPr>
      </w:pPr>
      <w:r w:rsidRPr="5B621C54">
        <w:rPr>
          <w:sz w:val="24"/>
          <w:szCs w:val="24"/>
        </w:rPr>
        <w:t>Title 24 Section 130.1(c</w:t>
      </w:r>
      <w:proofErr w:type="gramStart"/>
      <w:r w:rsidRPr="5B621C54">
        <w:rPr>
          <w:sz w:val="24"/>
          <w:szCs w:val="24"/>
        </w:rPr>
        <w:t>)7B</w:t>
      </w:r>
      <w:proofErr w:type="gramEnd"/>
      <w:r w:rsidRPr="5B621C54">
        <w:rPr>
          <w:sz w:val="24"/>
          <w:szCs w:val="24"/>
        </w:rPr>
        <w:t xml:space="preserve"> for parking garage controls:</w:t>
      </w:r>
    </w:p>
    <w:p w14:paraId="1297AB85" w14:textId="77777777" w:rsidR="007F3A40" w:rsidRPr="007F3A40" w:rsidRDefault="5B621C54" w:rsidP="007F3A40">
      <w:pPr>
        <w:pStyle w:val="CommentText"/>
        <w:rPr>
          <w:sz w:val="24"/>
          <w:szCs w:val="24"/>
        </w:rPr>
      </w:pPr>
      <w:r w:rsidRPr="5B621C54">
        <w:rPr>
          <w:sz w:val="24"/>
          <w:szCs w:val="24"/>
        </w:rPr>
        <w:t xml:space="preserve">In parking garages, parking areas and loading and unloading areas, general lighting shall be controlled by occupant sensing controls having at least one control step between 20 percent and 50 percent of design lighting power. No more than 500 watts of rated lighting power shall be controlled together as a single zone. A reasonably uniform level of illuminance shall be achieved in accordance </w:t>
      </w:r>
      <w:r w:rsidRPr="5B621C54">
        <w:rPr>
          <w:sz w:val="24"/>
          <w:szCs w:val="24"/>
        </w:rPr>
        <w:lastRenderedPageBreak/>
        <w:t>with the applicable requirements in TABLE 130.1-A. The occupant sensing controls shall be capable of automatically turning the lighting fully ON only in the separately controlled space, and shall be automatically activated from all designed paths of egress. Interior areas of parking garages are classified as indoor lighting for compliance with Section 130.1(c</w:t>
      </w:r>
      <w:proofErr w:type="gramStart"/>
      <w:r w:rsidRPr="5B621C54">
        <w:rPr>
          <w:sz w:val="24"/>
          <w:szCs w:val="24"/>
        </w:rPr>
        <w:t>)7B</w:t>
      </w:r>
      <w:proofErr w:type="gramEnd"/>
      <w:r w:rsidRPr="5B621C54">
        <w:rPr>
          <w:sz w:val="24"/>
          <w:szCs w:val="24"/>
        </w:rPr>
        <w:t>. Parking areas on the roof of a parking structure are classified as outdoor hardscape and shall comply with the applicable provisions in Section 130.2.</w:t>
      </w:r>
    </w:p>
    <w:p w14:paraId="5F9BC7FC" w14:textId="77777777" w:rsidR="0054137E" w:rsidRDefault="0054137E" w:rsidP="0054137E">
      <w:pPr>
        <w:pStyle w:val="CommentText"/>
      </w:pPr>
    </w:p>
    <w:p w14:paraId="7653F100" w14:textId="77777777" w:rsidR="0095014B" w:rsidRPr="00454D13" w:rsidRDefault="0095014B" w:rsidP="0095014B">
      <w:r w:rsidRPr="71903359">
        <w:rPr>
          <w:b/>
          <w:bCs/>
          <w:i/>
          <w:iCs/>
        </w:rPr>
        <w:t>Federal Standards:</w:t>
      </w:r>
      <w:r w:rsidRPr="00454D13">
        <w:t xml:space="preserve"> Department of Energy (DOE) regulates </w:t>
      </w:r>
      <w:r w:rsidR="009D56DE">
        <w:t>Fluorescent lamps and ballasts,</w:t>
      </w:r>
      <w:r w:rsidR="009D56DE" w:rsidRPr="00454D13">
        <w:t xml:space="preserve"> </w:t>
      </w:r>
      <w:r w:rsidR="009D56DE">
        <w:t xml:space="preserve">and </w:t>
      </w:r>
      <w:r w:rsidR="003C03C2">
        <w:t>MH</w:t>
      </w:r>
      <w:r w:rsidRPr="00454D13">
        <w:t xml:space="preserve"> outdoor lamps via a </w:t>
      </w:r>
      <w:r w:rsidR="003C03C2">
        <w:t>MH</w:t>
      </w:r>
      <w:r w:rsidRPr="00454D13">
        <w:t xml:space="preserve"> Light Fixture standard enforced starting February 10, 2017.</w:t>
      </w:r>
      <w:r w:rsidRPr="00454D13">
        <w:rPr>
          <w:rStyle w:val="EndnoteReference"/>
        </w:rPr>
        <w:endnoteReference w:id="7"/>
      </w:r>
    </w:p>
    <w:p w14:paraId="0D5180C5" w14:textId="77777777" w:rsidR="00C70365" w:rsidRDefault="00C70365" w:rsidP="00A725CB">
      <w:bookmarkStart w:id="55" w:name="_Toc511134190"/>
    </w:p>
    <w:p w14:paraId="0AC5AB1C" w14:textId="77777777" w:rsidR="00A725CB" w:rsidRPr="00A725CB" w:rsidRDefault="00A725CB" w:rsidP="00A725CB"/>
    <w:p w14:paraId="5C4204B9" w14:textId="663704CD" w:rsidR="00884FE6" w:rsidRDefault="5B621C54" w:rsidP="00A67AC3">
      <w:pPr>
        <w:pStyle w:val="Heading2"/>
        <w:spacing w:before="0"/>
        <w:rPr>
          <w:sz w:val="20"/>
          <w:szCs w:val="20"/>
        </w:rPr>
      </w:pPr>
      <w:bookmarkStart w:id="56" w:name="_Toc2803199"/>
      <w:r>
        <w:t>1.</w:t>
      </w:r>
      <w:r w:rsidR="005B0952">
        <w:t>5</w:t>
      </w:r>
      <w:r>
        <w:t xml:space="preserve"> EM&amp;V, Market Potential, and Other Studies – Base Case and Measure Case Information</w:t>
      </w:r>
      <w:bookmarkEnd w:id="55"/>
      <w:bookmarkEnd w:id="56"/>
      <w:r w:rsidRPr="5B621C54">
        <w:rPr>
          <w:sz w:val="20"/>
          <w:szCs w:val="20"/>
        </w:rPr>
        <w:t xml:space="preserve"> </w:t>
      </w:r>
    </w:p>
    <w:p w14:paraId="6BBC05D8" w14:textId="55ED0F17" w:rsidR="00C8767E" w:rsidRDefault="5B621C54" w:rsidP="00A67AC3">
      <w:pPr>
        <w:spacing w:before="120"/>
      </w:pPr>
      <w:r>
        <w:t xml:space="preserve">LED quantitative and qualitative performance information came from </w:t>
      </w:r>
      <w:r w:rsidR="00577364">
        <w:t>two key</w:t>
      </w:r>
      <w:r>
        <w:t xml:space="preserve"> sources: </w:t>
      </w:r>
      <w:r w:rsidR="00577364">
        <w:t xml:space="preserve">the </w:t>
      </w:r>
      <w:r w:rsidR="00C8767E" w:rsidRPr="00454D13">
        <w:t xml:space="preserve">Technical Requirements of the </w:t>
      </w:r>
      <w:r w:rsidR="00071779">
        <w:t xml:space="preserve">current </w:t>
      </w:r>
      <w:r w:rsidR="00C2089A">
        <w:t>DLC</w:t>
      </w:r>
      <w:r w:rsidR="00071779">
        <w:t xml:space="preserve"> version</w:t>
      </w:r>
      <w:r w:rsidR="00577364">
        <w:t xml:space="preserve">, and the </w:t>
      </w:r>
      <w:proofErr w:type="spellStart"/>
      <w:r w:rsidR="00577364">
        <w:t>L</w:t>
      </w:r>
      <w:r w:rsidR="00C8767E" w:rsidRPr="00454D13">
        <w:t>ightingFacts</w:t>
      </w:r>
      <w:proofErr w:type="spellEnd"/>
      <w:r w:rsidR="00C8767E" w:rsidRPr="00454D13">
        <w:t xml:space="preserve"> Program of the U.S. Department of Energy </w:t>
      </w:r>
      <w:r w:rsidR="00577364">
        <w:t>(</w:t>
      </w:r>
      <w:r w:rsidR="00C8767E" w:rsidRPr="00454D13">
        <w:t>for base case</w:t>
      </w:r>
      <w:r w:rsidR="00577364">
        <w:t xml:space="preserve"> only)</w:t>
      </w:r>
      <w:r w:rsidR="00C8767E" w:rsidRPr="00454D13">
        <w:t>.</w:t>
      </w:r>
      <w:r w:rsidR="00C8767E" w:rsidRPr="71903359">
        <w:rPr>
          <w:rStyle w:val="EndnoteReference"/>
          <w:b/>
          <w:bCs/>
          <w:i/>
          <w:iCs/>
        </w:rPr>
        <w:endnoteReference w:id="8"/>
      </w:r>
    </w:p>
    <w:p w14:paraId="27392B1A" w14:textId="77777777" w:rsidR="0096582E" w:rsidRPr="0096582E" w:rsidRDefault="0096582E" w:rsidP="0096582E"/>
    <w:p w14:paraId="57375332" w14:textId="779A45AB" w:rsidR="002A4EF5" w:rsidRDefault="006600C3" w:rsidP="006600C3">
      <w:r>
        <w:t xml:space="preserve">The DLC </w:t>
      </w:r>
      <w:r w:rsidR="002A4EF5">
        <w:t>Technical Requirements provided the minimum efficacy, as well as other important minimum requirements for color, lifetime, and light distribution</w:t>
      </w:r>
      <w:r w:rsidR="009544E0">
        <w:t xml:space="preserve"> for the measure case</w:t>
      </w:r>
      <w:r w:rsidR="002A4EF5">
        <w:t>.</w:t>
      </w:r>
      <w:r w:rsidR="00073430" w:rsidRPr="00073430">
        <w:rPr>
          <w:vertAlign w:val="superscript"/>
        </w:rPr>
        <w:fldChar w:fldCharType="begin"/>
      </w:r>
      <w:r w:rsidR="00073430" w:rsidRPr="00073430">
        <w:rPr>
          <w:vertAlign w:val="superscript"/>
        </w:rPr>
        <w:instrText xml:space="preserve"> NOTEREF _Ref533000666 \h </w:instrText>
      </w:r>
      <w:r w:rsidR="00073430">
        <w:rPr>
          <w:vertAlign w:val="superscript"/>
        </w:rPr>
        <w:instrText xml:space="preserve"> \* MERGEFORMAT </w:instrText>
      </w:r>
      <w:r w:rsidR="00073430" w:rsidRPr="00073430">
        <w:rPr>
          <w:vertAlign w:val="superscript"/>
        </w:rPr>
      </w:r>
      <w:r w:rsidR="00073430" w:rsidRPr="00073430">
        <w:rPr>
          <w:vertAlign w:val="superscript"/>
        </w:rPr>
        <w:fldChar w:fldCharType="separate"/>
      </w:r>
      <w:r w:rsidR="00073430" w:rsidRPr="00073430">
        <w:rPr>
          <w:vertAlign w:val="superscript"/>
        </w:rPr>
        <w:t>3</w:t>
      </w:r>
      <w:r w:rsidR="00073430" w:rsidRPr="00073430">
        <w:rPr>
          <w:vertAlign w:val="superscript"/>
        </w:rPr>
        <w:fldChar w:fldCharType="end"/>
      </w:r>
      <w:r w:rsidR="0096582E">
        <w:t xml:space="preserve"> </w:t>
      </w:r>
      <w:r w:rsidR="002A4EF5">
        <w:t>The complete QPL listings of 7,680 garage fixtures and kits were used to determine actual lumen depreciation over the 33,210 hours in the 12-year measure life.</w:t>
      </w:r>
      <w:r w:rsidR="00073430" w:rsidRPr="00073430">
        <w:rPr>
          <w:vertAlign w:val="superscript"/>
        </w:rPr>
        <w:fldChar w:fldCharType="begin"/>
      </w:r>
      <w:r w:rsidR="00073430" w:rsidRPr="00073430">
        <w:rPr>
          <w:vertAlign w:val="superscript"/>
        </w:rPr>
        <w:instrText xml:space="preserve"> NOTEREF _Ref327854132 \h </w:instrText>
      </w:r>
      <w:r w:rsidR="00073430">
        <w:rPr>
          <w:vertAlign w:val="superscript"/>
        </w:rPr>
        <w:instrText xml:space="preserve"> \* MERGEFORMAT </w:instrText>
      </w:r>
      <w:r w:rsidR="00073430" w:rsidRPr="00073430">
        <w:rPr>
          <w:vertAlign w:val="superscript"/>
        </w:rPr>
      </w:r>
      <w:r w:rsidR="00073430" w:rsidRPr="00073430">
        <w:rPr>
          <w:vertAlign w:val="superscript"/>
        </w:rPr>
        <w:fldChar w:fldCharType="separate"/>
      </w:r>
      <w:r w:rsidR="00073430" w:rsidRPr="00073430">
        <w:rPr>
          <w:vertAlign w:val="superscript"/>
        </w:rPr>
        <w:t>4</w:t>
      </w:r>
      <w:r w:rsidR="00073430" w:rsidRPr="00073430">
        <w:rPr>
          <w:vertAlign w:val="superscript"/>
        </w:rPr>
        <w:fldChar w:fldCharType="end"/>
      </w:r>
    </w:p>
    <w:p w14:paraId="007F7B56" w14:textId="77777777" w:rsidR="002A4EF5" w:rsidRDefault="002A4EF5" w:rsidP="006600C3"/>
    <w:p w14:paraId="35AB415F" w14:textId="746FB01F" w:rsidR="006600C3" w:rsidRDefault="002A4EF5" w:rsidP="006600C3">
      <w:r>
        <w:t xml:space="preserve">The full </w:t>
      </w:r>
      <w:proofErr w:type="spellStart"/>
      <w:r>
        <w:t>LightingFacts</w:t>
      </w:r>
      <w:proofErr w:type="spellEnd"/>
      <w:r>
        <w:t xml:space="preserve"> list of 1,355 garage fixtures was used to determine a 25</w:t>
      </w:r>
      <w:r w:rsidRPr="002A4EF5">
        <w:rPr>
          <w:vertAlign w:val="superscript"/>
        </w:rPr>
        <w:t>th</w:t>
      </w:r>
      <w:r>
        <w:t xml:space="preserve"> percentile efficacy for each lumen bin, which set the base case LED fixture efficacy in line with the 2018 Interim</w:t>
      </w:r>
      <w:r w:rsidR="009544E0">
        <w:t xml:space="preserve"> Solution</w:t>
      </w:r>
      <w:r>
        <w:t xml:space="preserve"> workpaper approved through 2019.</w:t>
      </w:r>
      <w:r w:rsidR="00073430">
        <w:t xml:space="preserve"> This calculation can be seen in the attachment titled </w:t>
      </w:r>
      <w:r w:rsidR="00073430" w:rsidRPr="006A47E9">
        <w:t>GarageBaseEfficacy_LightingFacts_201812</w:t>
      </w:r>
      <w:r w:rsidR="00073430" w:rsidRPr="00F719D2">
        <w:t>.xlsx</w:t>
      </w:r>
      <w:r w:rsidR="00073430">
        <w:t>.</w:t>
      </w:r>
    </w:p>
    <w:p w14:paraId="35CDEDBF" w14:textId="382679CD" w:rsidR="009C226E" w:rsidRDefault="009C226E" w:rsidP="006600C3"/>
    <w:p w14:paraId="371B76E7" w14:textId="3EFA4FBD" w:rsidR="009C226E" w:rsidRDefault="009C226E" w:rsidP="006600C3">
      <w:r>
        <w:t xml:space="preserve">The base case technology mix is shown below in </w:t>
      </w:r>
      <w:r>
        <w:fldChar w:fldCharType="begin"/>
      </w:r>
      <w:r>
        <w:instrText xml:space="preserve"> REF _Ref533615875 \h </w:instrText>
      </w:r>
      <w:r>
        <w:fldChar w:fldCharType="separate"/>
      </w:r>
      <w:r>
        <w:t xml:space="preserve">Table </w:t>
      </w:r>
      <w:r>
        <w:rPr>
          <w:noProof/>
        </w:rPr>
        <w:t>8</w:t>
      </w:r>
      <w:r>
        <w:fldChar w:fldCharType="end"/>
      </w:r>
      <w:r>
        <w:t>. The linear fluorescent and metal halide base case percentages follow the 2018 Interim Solution mix approved through 2019. The TLED percentage is new with this revision and explained in the following section.</w:t>
      </w:r>
    </w:p>
    <w:p w14:paraId="7F112DEF" w14:textId="511C175E" w:rsidR="009C226E" w:rsidRDefault="009C226E" w:rsidP="006600C3"/>
    <w:p w14:paraId="53C145FA" w14:textId="5F983FDB" w:rsidR="009C226E" w:rsidRDefault="009C226E" w:rsidP="009C226E">
      <w:pPr>
        <w:pStyle w:val="Caption"/>
        <w:keepNext/>
        <w:jc w:val="center"/>
      </w:pPr>
      <w:bookmarkStart w:id="57" w:name="_Ref533615875"/>
      <w:bookmarkStart w:id="58" w:name="_Toc2803232"/>
      <w:r>
        <w:t xml:space="preserve">Table </w:t>
      </w:r>
      <w:fldSimple w:instr=" SEQ Table \* ARABIC ">
        <w:r w:rsidR="00491759">
          <w:rPr>
            <w:noProof/>
          </w:rPr>
          <w:t>8</w:t>
        </w:r>
      </w:fldSimple>
      <w:bookmarkEnd w:id="57"/>
      <w:r>
        <w:t>: Base Case Technology Mix</w:t>
      </w:r>
      <w:bookmarkEnd w:id="58"/>
    </w:p>
    <w:tbl>
      <w:tblPr>
        <w:tblW w:w="98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77"/>
        <w:gridCol w:w="1817"/>
        <w:gridCol w:w="2088"/>
        <w:gridCol w:w="1620"/>
        <w:gridCol w:w="1661"/>
      </w:tblGrid>
      <w:tr w:rsidR="009C226E" w:rsidRPr="00454D13" w14:paraId="0D69F104" w14:textId="77777777" w:rsidTr="00F55A6E">
        <w:trPr>
          <w:trHeight w:val="548"/>
        </w:trPr>
        <w:tc>
          <w:tcPr>
            <w:tcW w:w="2677" w:type="dxa"/>
            <w:shd w:val="clear" w:color="auto" w:fill="auto"/>
            <w:noWrap/>
            <w:vAlign w:val="bottom"/>
            <w:hideMark/>
          </w:tcPr>
          <w:p w14:paraId="0BBA7857" w14:textId="77777777" w:rsidR="009C226E" w:rsidRPr="00085E4F" w:rsidRDefault="009C226E" w:rsidP="003A7E08">
            <w:pPr>
              <w:jc w:val="center"/>
              <w:rPr>
                <w:b/>
                <w:bCs/>
                <w:sz w:val="20"/>
                <w:szCs w:val="22"/>
              </w:rPr>
            </w:pPr>
            <w:r w:rsidRPr="00085E4F">
              <w:rPr>
                <w:b/>
                <w:bCs/>
                <w:sz w:val="20"/>
                <w:szCs w:val="22"/>
              </w:rPr>
              <w:t>Workpaper version</w:t>
            </w:r>
          </w:p>
        </w:tc>
        <w:tc>
          <w:tcPr>
            <w:tcW w:w="1817" w:type="dxa"/>
            <w:shd w:val="clear" w:color="auto" w:fill="auto"/>
            <w:vAlign w:val="bottom"/>
            <w:hideMark/>
          </w:tcPr>
          <w:p w14:paraId="0BA75708" w14:textId="77777777" w:rsidR="009C226E" w:rsidRPr="00085E4F" w:rsidRDefault="009C226E" w:rsidP="003A7E08">
            <w:pPr>
              <w:jc w:val="center"/>
              <w:rPr>
                <w:b/>
                <w:bCs/>
                <w:color w:val="000000"/>
                <w:sz w:val="20"/>
                <w:szCs w:val="22"/>
              </w:rPr>
            </w:pPr>
            <w:r w:rsidRPr="00085E4F">
              <w:rPr>
                <w:b/>
                <w:bCs/>
                <w:color w:val="000000" w:themeColor="text1"/>
                <w:sz w:val="20"/>
                <w:szCs w:val="22"/>
              </w:rPr>
              <w:t>Metal Halide</w:t>
            </w:r>
          </w:p>
          <w:p w14:paraId="2DC294F1" w14:textId="77777777" w:rsidR="009C226E" w:rsidRPr="00085E4F" w:rsidRDefault="009C226E" w:rsidP="003A7E08">
            <w:pPr>
              <w:jc w:val="center"/>
              <w:rPr>
                <w:b/>
                <w:bCs/>
                <w:color w:val="000000"/>
                <w:sz w:val="20"/>
                <w:szCs w:val="22"/>
              </w:rPr>
            </w:pPr>
            <w:r w:rsidRPr="00085E4F">
              <w:rPr>
                <w:b/>
                <w:bCs/>
                <w:color w:val="000000" w:themeColor="text1"/>
                <w:sz w:val="20"/>
                <w:szCs w:val="22"/>
              </w:rPr>
              <w:t>Base Case</w:t>
            </w:r>
          </w:p>
        </w:tc>
        <w:tc>
          <w:tcPr>
            <w:tcW w:w="2088" w:type="dxa"/>
            <w:shd w:val="clear" w:color="auto" w:fill="auto"/>
            <w:vAlign w:val="bottom"/>
            <w:hideMark/>
          </w:tcPr>
          <w:p w14:paraId="1CD89C86" w14:textId="77777777" w:rsidR="009C226E" w:rsidRPr="00085E4F" w:rsidRDefault="009C226E" w:rsidP="003A7E08">
            <w:pPr>
              <w:jc w:val="center"/>
              <w:rPr>
                <w:b/>
                <w:bCs/>
                <w:color w:val="000000"/>
                <w:sz w:val="20"/>
                <w:szCs w:val="22"/>
              </w:rPr>
            </w:pPr>
            <w:r w:rsidRPr="00085E4F">
              <w:rPr>
                <w:b/>
                <w:bCs/>
                <w:color w:val="000000" w:themeColor="text1"/>
                <w:sz w:val="20"/>
                <w:szCs w:val="22"/>
              </w:rPr>
              <w:t>Linear Fluorescent Base Case</w:t>
            </w:r>
          </w:p>
        </w:tc>
        <w:tc>
          <w:tcPr>
            <w:tcW w:w="1620" w:type="dxa"/>
            <w:shd w:val="clear" w:color="auto" w:fill="auto"/>
            <w:vAlign w:val="bottom"/>
            <w:hideMark/>
          </w:tcPr>
          <w:p w14:paraId="3CF97248" w14:textId="77777777" w:rsidR="009C226E" w:rsidRPr="00085E4F" w:rsidRDefault="009C226E" w:rsidP="003A7E08">
            <w:pPr>
              <w:jc w:val="center"/>
              <w:rPr>
                <w:b/>
                <w:bCs/>
                <w:color w:val="000000"/>
                <w:sz w:val="20"/>
                <w:szCs w:val="22"/>
              </w:rPr>
            </w:pPr>
            <w:r w:rsidRPr="00085E4F">
              <w:rPr>
                <w:b/>
                <w:bCs/>
                <w:color w:val="000000" w:themeColor="text1"/>
                <w:sz w:val="20"/>
                <w:szCs w:val="22"/>
              </w:rPr>
              <w:t>LED Luminaire Base Case</w:t>
            </w:r>
          </w:p>
        </w:tc>
        <w:tc>
          <w:tcPr>
            <w:tcW w:w="1661" w:type="dxa"/>
            <w:vAlign w:val="bottom"/>
          </w:tcPr>
          <w:p w14:paraId="48A21770" w14:textId="77777777" w:rsidR="009C226E" w:rsidRPr="00085E4F" w:rsidRDefault="009C226E" w:rsidP="003A7E08">
            <w:pPr>
              <w:jc w:val="center"/>
              <w:rPr>
                <w:b/>
                <w:bCs/>
                <w:color w:val="000000" w:themeColor="text1"/>
                <w:sz w:val="20"/>
                <w:szCs w:val="22"/>
              </w:rPr>
            </w:pPr>
            <w:r w:rsidRPr="00085E4F">
              <w:rPr>
                <w:b/>
                <w:bCs/>
                <w:color w:val="000000" w:themeColor="text1"/>
                <w:sz w:val="20"/>
                <w:szCs w:val="22"/>
              </w:rPr>
              <w:t>TLED Base Case</w:t>
            </w:r>
          </w:p>
        </w:tc>
      </w:tr>
      <w:tr w:rsidR="009C226E" w:rsidRPr="00454D13" w14:paraId="080A8A88" w14:textId="77777777" w:rsidTr="00F55A6E">
        <w:trPr>
          <w:trHeight w:val="288"/>
        </w:trPr>
        <w:tc>
          <w:tcPr>
            <w:tcW w:w="267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44FEB50" w14:textId="77777777" w:rsidR="009C226E" w:rsidRPr="00085E4F" w:rsidRDefault="009C226E" w:rsidP="003A7E08">
            <w:pPr>
              <w:spacing w:after="40"/>
              <w:rPr>
                <w:color w:val="000000"/>
                <w:sz w:val="20"/>
                <w:szCs w:val="22"/>
              </w:rPr>
            </w:pPr>
            <w:r w:rsidRPr="00085E4F">
              <w:rPr>
                <w:color w:val="000000" w:themeColor="text1"/>
                <w:sz w:val="20"/>
                <w:szCs w:val="22"/>
              </w:rPr>
              <w:t>2018 Interim Solution (R8)</w:t>
            </w:r>
          </w:p>
        </w:tc>
        <w:tc>
          <w:tcPr>
            <w:tcW w:w="181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9033320" w14:textId="77777777" w:rsidR="009C226E" w:rsidRPr="00085E4F" w:rsidRDefault="009C226E" w:rsidP="003A7E08">
            <w:pPr>
              <w:spacing w:after="40"/>
              <w:jc w:val="center"/>
              <w:rPr>
                <w:b/>
                <w:bCs/>
                <w:color w:val="000000"/>
                <w:sz w:val="20"/>
                <w:szCs w:val="22"/>
              </w:rPr>
            </w:pPr>
            <w:r w:rsidRPr="00085E4F">
              <w:rPr>
                <w:b/>
                <w:bCs/>
                <w:color w:val="000000" w:themeColor="text1"/>
                <w:sz w:val="20"/>
                <w:szCs w:val="22"/>
              </w:rPr>
              <w:t>20%</w:t>
            </w:r>
          </w:p>
        </w:tc>
        <w:tc>
          <w:tcPr>
            <w:tcW w:w="208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ACD5561" w14:textId="77777777" w:rsidR="009C226E" w:rsidRPr="00085E4F" w:rsidRDefault="009C226E" w:rsidP="003A7E08">
            <w:pPr>
              <w:spacing w:after="40"/>
              <w:jc w:val="center"/>
              <w:rPr>
                <w:b/>
                <w:bCs/>
                <w:color w:val="000000"/>
                <w:sz w:val="20"/>
                <w:szCs w:val="22"/>
              </w:rPr>
            </w:pPr>
            <w:r w:rsidRPr="00085E4F">
              <w:rPr>
                <w:b/>
                <w:bCs/>
                <w:color w:val="000000" w:themeColor="text1"/>
                <w:sz w:val="20"/>
                <w:szCs w:val="22"/>
              </w:rPr>
              <w:t>20%</w:t>
            </w:r>
          </w:p>
        </w:tc>
        <w:tc>
          <w:tcPr>
            <w:tcW w:w="162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2511C5F" w14:textId="77777777" w:rsidR="009C226E" w:rsidRPr="00085E4F" w:rsidRDefault="009C226E" w:rsidP="003A7E08">
            <w:pPr>
              <w:spacing w:after="40"/>
              <w:jc w:val="center"/>
              <w:rPr>
                <w:b/>
                <w:bCs/>
                <w:color w:val="000000"/>
                <w:sz w:val="20"/>
                <w:szCs w:val="22"/>
              </w:rPr>
            </w:pPr>
            <w:r w:rsidRPr="00085E4F">
              <w:rPr>
                <w:b/>
                <w:bCs/>
                <w:color w:val="000000" w:themeColor="text1"/>
                <w:sz w:val="20"/>
                <w:szCs w:val="22"/>
              </w:rPr>
              <w:t>60%</w:t>
            </w:r>
          </w:p>
        </w:tc>
        <w:tc>
          <w:tcPr>
            <w:tcW w:w="1661" w:type="dxa"/>
            <w:tcBorders>
              <w:top w:val="single" w:sz="4" w:space="0" w:color="auto"/>
              <w:left w:val="single" w:sz="4" w:space="0" w:color="auto"/>
              <w:bottom w:val="single" w:sz="4" w:space="0" w:color="auto"/>
              <w:right w:val="single" w:sz="4" w:space="0" w:color="auto"/>
            </w:tcBorders>
            <w:vAlign w:val="bottom"/>
          </w:tcPr>
          <w:p w14:paraId="7CBA097A" w14:textId="77777777" w:rsidR="009C226E" w:rsidRPr="00085E4F" w:rsidRDefault="009C226E" w:rsidP="003A7E08">
            <w:pPr>
              <w:spacing w:after="40"/>
              <w:jc w:val="center"/>
              <w:rPr>
                <w:b/>
                <w:bCs/>
                <w:color w:val="000000" w:themeColor="text1"/>
                <w:sz w:val="20"/>
                <w:szCs w:val="22"/>
              </w:rPr>
            </w:pPr>
            <w:r w:rsidRPr="00085E4F">
              <w:rPr>
                <w:b/>
                <w:bCs/>
                <w:color w:val="000000" w:themeColor="text1"/>
                <w:sz w:val="20"/>
                <w:szCs w:val="22"/>
              </w:rPr>
              <w:t>0%</w:t>
            </w:r>
          </w:p>
        </w:tc>
      </w:tr>
      <w:tr w:rsidR="009C226E" w:rsidRPr="00454D13" w14:paraId="5C205A52" w14:textId="77777777" w:rsidTr="00F55A6E">
        <w:trPr>
          <w:trHeight w:val="288"/>
        </w:trPr>
        <w:tc>
          <w:tcPr>
            <w:tcW w:w="267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7713B88" w14:textId="77777777" w:rsidR="009C226E" w:rsidRPr="00085E4F" w:rsidRDefault="009C226E" w:rsidP="003A7E08">
            <w:pPr>
              <w:spacing w:after="40"/>
              <w:rPr>
                <w:color w:val="000000" w:themeColor="text1"/>
                <w:sz w:val="20"/>
                <w:szCs w:val="22"/>
              </w:rPr>
            </w:pPr>
            <w:r w:rsidRPr="00085E4F">
              <w:rPr>
                <w:color w:val="000000" w:themeColor="text1"/>
                <w:sz w:val="20"/>
                <w:szCs w:val="22"/>
              </w:rPr>
              <w:t>2019 workpaper (R9)</w:t>
            </w:r>
          </w:p>
        </w:tc>
        <w:tc>
          <w:tcPr>
            <w:tcW w:w="181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E0585C1" w14:textId="77777777" w:rsidR="009C226E" w:rsidRPr="00085E4F" w:rsidRDefault="009C226E" w:rsidP="003A7E08">
            <w:pPr>
              <w:spacing w:after="40"/>
              <w:jc w:val="center"/>
              <w:rPr>
                <w:b/>
                <w:bCs/>
                <w:color w:val="000000" w:themeColor="text1"/>
                <w:sz w:val="20"/>
                <w:szCs w:val="22"/>
              </w:rPr>
            </w:pPr>
            <w:r w:rsidRPr="00085E4F">
              <w:rPr>
                <w:b/>
                <w:bCs/>
                <w:color w:val="000000" w:themeColor="text1"/>
                <w:sz w:val="20"/>
                <w:szCs w:val="22"/>
              </w:rPr>
              <w:t>20%</w:t>
            </w:r>
          </w:p>
        </w:tc>
        <w:tc>
          <w:tcPr>
            <w:tcW w:w="208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4E9238A" w14:textId="77777777" w:rsidR="009C226E" w:rsidRPr="00085E4F" w:rsidRDefault="009C226E" w:rsidP="003A7E08">
            <w:pPr>
              <w:spacing w:after="40"/>
              <w:jc w:val="center"/>
              <w:rPr>
                <w:b/>
                <w:bCs/>
                <w:color w:val="000000" w:themeColor="text1"/>
                <w:sz w:val="20"/>
                <w:szCs w:val="22"/>
              </w:rPr>
            </w:pPr>
            <w:r w:rsidRPr="00085E4F">
              <w:rPr>
                <w:b/>
                <w:bCs/>
                <w:color w:val="000000" w:themeColor="text1"/>
                <w:sz w:val="20"/>
                <w:szCs w:val="22"/>
              </w:rPr>
              <w:t>20%</w:t>
            </w:r>
          </w:p>
        </w:tc>
        <w:tc>
          <w:tcPr>
            <w:tcW w:w="162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F054AA9" w14:textId="77777777" w:rsidR="009C226E" w:rsidRPr="00085E4F" w:rsidDel="00E24CD6" w:rsidRDefault="009C226E" w:rsidP="003A7E08">
            <w:pPr>
              <w:spacing w:after="40"/>
              <w:jc w:val="center"/>
              <w:rPr>
                <w:b/>
                <w:bCs/>
                <w:color w:val="000000" w:themeColor="text1"/>
                <w:sz w:val="20"/>
                <w:szCs w:val="22"/>
              </w:rPr>
            </w:pPr>
            <w:r w:rsidRPr="00085E4F">
              <w:rPr>
                <w:b/>
                <w:bCs/>
                <w:color w:val="000000" w:themeColor="text1"/>
                <w:sz w:val="20"/>
                <w:szCs w:val="22"/>
              </w:rPr>
              <w:t>30%</w:t>
            </w:r>
          </w:p>
        </w:tc>
        <w:tc>
          <w:tcPr>
            <w:tcW w:w="1661" w:type="dxa"/>
            <w:tcBorders>
              <w:top w:val="single" w:sz="4" w:space="0" w:color="auto"/>
              <w:left w:val="single" w:sz="4" w:space="0" w:color="auto"/>
              <w:bottom w:val="single" w:sz="4" w:space="0" w:color="auto"/>
              <w:right w:val="single" w:sz="4" w:space="0" w:color="auto"/>
            </w:tcBorders>
            <w:vAlign w:val="bottom"/>
          </w:tcPr>
          <w:p w14:paraId="690E13F4" w14:textId="77777777" w:rsidR="009C226E" w:rsidRPr="00085E4F" w:rsidRDefault="009C226E" w:rsidP="003A7E08">
            <w:pPr>
              <w:spacing w:after="40"/>
              <w:jc w:val="center"/>
              <w:rPr>
                <w:b/>
                <w:bCs/>
                <w:color w:val="000000" w:themeColor="text1"/>
                <w:sz w:val="20"/>
                <w:szCs w:val="22"/>
              </w:rPr>
            </w:pPr>
            <w:r w:rsidRPr="00085E4F">
              <w:rPr>
                <w:b/>
                <w:bCs/>
                <w:color w:val="000000" w:themeColor="text1"/>
                <w:sz w:val="20"/>
                <w:szCs w:val="22"/>
              </w:rPr>
              <w:t>30%</w:t>
            </w:r>
          </w:p>
        </w:tc>
      </w:tr>
    </w:tbl>
    <w:p w14:paraId="3DB96091" w14:textId="77777777" w:rsidR="009C226E" w:rsidRDefault="009C226E" w:rsidP="006600C3"/>
    <w:p w14:paraId="05F7BD06" w14:textId="77777777" w:rsidR="00C70365" w:rsidRDefault="00C70365" w:rsidP="006600C3"/>
    <w:p w14:paraId="0C1B3027" w14:textId="4D37B74D" w:rsidR="00073430" w:rsidRDefault="00073430" w:rsidP="00A67AC3">
      <w:pPr>
        <w:pStyle w:val="Heading3"/>
        <w:spacing w:before="0" w:after="0"/>
      </w:pPr>
      <w:bookmarkStart w:id="59" w:name="_Toc2803200"/>
      <w:r>
        <w:t>1.</w:t>
      </w:r>
      <w:r w:rsidR="005B0952">
        <w:t>5</w:t>
      </w:r>
      <w:r>
        <w:t>.1 TLED Baseline</w:t>
      </w:r>
      <w:bookmarkEnd w:id="59"/>
    </w:p>
    <w:p w14:paraId="0A12F8A6" w14:textId="15FC638E" w:rsidR="00073430" w:rsidRDefault="00B80402" w:rsidP="005E065D">
      <w:pPr>
        <w:spacing w:before="60"/>
      </w:pPr>
      <w:r>
        <w:t>Other than</w:t>
      </w:r>
      <w:r w:rsidR="00073430">
        <w:t xml:space="preserve"> the conversion from Wattage Bin to Lumen Bin</w:t>
      </w:r>
      <w:r>
        <w:t xml:space="preserve"> described</w:t>
      </w:r>
      <w:r w:rsidR="009C226E">
        <w:t xml:space="preserve"> below</w:t>
      </w:r>
      <w:r>
        <w:t xml:space="preserve"> in Section 2</w:t>
      </w:r>
      <w:r w:rsidR="00073430">
        <w:t>, the other major cha</w:t>
      </w:r>
      <w:r w:rsidR="009F3D5F">
        <w:t>nge</w:t>
      </w:r>
      <w:r w:rsidR="00073430">
        <w:t xml:space="preserve"> in </w:t>
      </w:r>
      <w:r w:rsidR="009F3D5F">
        <w:t>R</w:t>
      </w:r>
      <w:r w:rsidR="00073430">
        <w:t xml:space="preserve">evision 9 of this workpaper is the inclusion of </w:t>
      </w:r>
      <w:r w:rsidR="008F063C">
        <w:t>tubular</w:t>
      </w:r>
      <w:r w:rsidR="00073430">
        <w:t xml:space="preserve"> LED replacement lamps (TLEDs) in the base case.</w:t>
      </w:r>
      <w:r w:rsidR="009F3D5F">
        <w:t xml:space="preserve"> Discussions during the development of the 2018 Interim Solution </w:t>
      </w:r>
      <w:r w:rsidR="00590BEB">
        <w:t xml:space="preserve">and additional research have </w:t>
      </w:r>
      <w:r w:rsidR="009F3D5F">
        <w:t xml:space="preserve">made clear that TLEDs </w:t>
      </w:r>
      <w:r w:rsidR="00590BEB">
        <w:t xml:space="preserve">are </w:t>
      </w:r>
      <w:r w:rsidR="009F3D5F">
        <w:t xml:space="preserve">an important component of the </w:t>
      </w:r>
      <w:r w:rsidR="00590BEB">
        <w:t xml:space="preserve">parking </w:t>
      </w:r>
      <w:r w:rsidR="009F3D5F">
        <w:t xml:space="preserve">garage lighting replacement market. </w:t>
      </w:r>
    </w:p>
    <w:p w14:paraId="14D9BFCA" w14:textId="18033FB3" w:rsidR="00073430" w:rsidRPr="00073430" w:rsidRDefault="009F3D5F" w:rsidP="008F063C">
      <w:pPr>
        <w:spacing w:before="120"/>
      </w:pPr>
      <w:r>
        <w:lastRenderedPageBreak/>
        <w:t xml:space="preserve">Installing </w:t>
      </w:r>
      <w:r w:rsidR="007E1C0E">
        <w:t>TLED</w:t>
      </w:r>
      <w:r>
        <w:t>s is a simple and inexpensive upgrade to an existing fluorescent fixture</w:t>
      </w:r>
      <w:r w:rsidR="007E1C0E">
        <w:t xml:space="preserve">. </w:t>
      </w:r>
      <w:r>
        <w:t xml:space="preserve">Type </w:t>
      </w:r>
      <w:proofErr w:type="gramStart"/>
      <w:r>
        <w:t>A</w:t>
      </w:r>
      <w:proofErr w:type="gramEnd"/>
      <w:r>
        <w:t xml:space="preserve"> TLEDs require no electrician skills and no tools other than a ladder, making them an</w:t>
      </w:r>
      <w:r w:rsidR="00C9212E">
        <w:t xml:space="preserve"> easy</w:t>
      </w:r>
      <w:r>
        <w:t xml:space="preserve"> option for</w:t>
      </w:r>
      <w:r w:rsidR="00C9212E">
        <w:t xml:space="preserve"> garage</w:t>
      </w:r>
      <w:r>
        <w:t xml:space="preserve"> maintenance staff</w:t>
      </w:r>
      <w:r w:rsidR="00C9212E">
        <w:t>.</w:t>
      </w:r>
      <w:r>
        <w:t xml:space="preserve"> </w:t>
      </w:r>
      <w:r w:rsidR="007E1C0E">
        <w:t xml:space="preserve">Cost-sensitive customers may choose the less expensive TLED option over the full fixture upgrade </w:t>
      </w:r>
      <w:r w:rsidR="00A67AC3">
        <w:t>with benefits of</w:t>
      </w:r>
      <w:r w:rsidR="00C9212E">
        <w:t xml:space="preserve"> </w:t>
      </w:r>
      <w:r w:rsidR="007E1C0E">
        <w:t xml:space="preserve">energy savings.  </w:t>
      </w:r>
      <w:r w:rsidR="007E1C0E" w:rsidRPr="00BC196E">
        <w:t>Evidence from</w:t>
      </w:r>
      <w:r w:rsidR="007E1C0E">
        <w:t xml:space="preserve"> </w:t>
      </w:r>
      <w:r w:rsidR="007E1C0E" w:rsidRPr="00CE5371">
        <w:t>SCE</w:t>
      </w:r>
      <w:r w:rsidR="00C9212E">
        <w:t xml:space="preserve"> deemed</w:t>
      </w:r>
      <w:r w:rsidR="007E1C0E" w:rsidRPr="00CE5371">
        <w:t xml:space="preserve"> </w:t>
      </w:r>
      <w:r w:rsidR="00A67AC3">
        <w:t>and</w:t>
      </w:r>
      <w:r w:rsidR="007E1C0E" w:rsidRPr="00CE5371">
        <w:t xml:space="preserve"> PG&amp;E </w:t>
      </w:r>
      <w:r w:rsidR="00C9212E">
        <w:t xml:space="preserve">custom program </w:t>
      </w:r>
      <w:r w:rsidR="007E1C0E">
        <w:t>participation</w:t>
      </w:r>
      <w:r w:rsidR="007E1C0E" w:rsidRPr="00CE5371">
        <w:t xml:space="preserve">, </w:t>
      </w:r>
      <w:r w:rsidR="007E1C0E">
        <w:t>NEMA (</w:t>
      </w:r>
      <w:r w:rsidR="007E1C0E">
        <w:rPr>
          <w:rFonts w:cs="Arial"/>
        </w:rPr>
        <w:t>National Electrical Manufacturers</w:t>
      </w:r>
      <w:r w:rsidR="00A67AC3">
        <w:rPr>
          <w:rFonts w:cs="Arial"/>
        </w:rPr>
        <w:t xml:space="preserve"> </w:t>
      </w:r>
      <w:r w:rsidR="007E1C0E">
        <w:rPr>
          <w:rFonts w:cs="Arial"/>
        </w:rPr>
        <w:t xml:space="preserve">Association) </w:t>
      </w:r>
      <w:r w:rsidR="007E1C0E" w:rsidRPr="00BC196E">
        <w:t>national sales data</w:t>
      </w:r>
      <w:r w:rsidR="007E1C0E">
        <w:rPr>
          <w:rStyle w:val="EndnoteReference"/>
        </w:rPr>
        <w:endnoteReference w:id="9"/>
      </w:r>
      <w:r w:rsidR="007E1C0E">
        <w:t>,</w:t>
      </w:r>
      <w:r w:rsidR="007E1C0E" w:rsidRPr="00CE5371">
        <w:t xml:space="preserve"> input from local </w:t>
      </w:r>
      <w:r w:rsidR="008F063C">
        <w:t xml:space="preserve">lighting </w:t>
      </w:r>
      <w:r w:rsidR="007E1C0E" w:rsidRPr="00CE5371">
        <w:t>distribution channels, and the California LED Pricing Analysis Study</w:t>
      </w:r>
      <w:r w:rsidR="007E1C0E">
        <w:rPr>
          <w:rStyle w:val="EndnoteReference"/>
        </w:rPr>
        <w:endnoteReference w:id="10"/>
      </w:r>
      <w:r w:rsidR="007E1C0E" w:rsidRPr="00CE5371">
        <w:t xml:space="preserve"> by Navigant all </w:t>
      </w:r>
      <w:r w:rsidR="009544E0">
        <w:t xml:space="preserve">have </w:t>
      </w:r>
      <w:r w:rsidR="007E1C0E" w:rsidRPr="00CE5371">
        <w:t>suggest</w:t>
      </w:r>
      <w:r w:rsidR="007E1C0E">
        <w:t>ed</w:t>
      </w:r>
      <w:r w:rsidR="007E1C0E" w:rsidRPr="00CE5371">
        <w:t xml:space="preserve"> that TLED</w:t>
      </w:r>
      <w:r w:rsidR="007E1C0E">
        <w:t>s</w:t>
      </w:r>
      <w:r w:rsidR="007E1C0E" w:rsidRPr="00CE5371">
        <w:t xml:space="preserve"> are a </w:t>
      </w:r>
      <w:r w:rsidR="007E1C0E">
        <w:t>viable retrofit</w:t>
      </w:r>
      <w:r w:rsidR="007E1C0E" w:rsidRPr="00CE5371">
        <w:t xml:space="preserve"> alternative</w:t>
      </w:r>
      <w:r w:rsidR="00AC4577">
        <w:t xml:space="preserve"> </w:t>
      </w:r>
      <w:r w:rsidR="007E1C0E" w:rsidRPr="00CE5371">
        <w:t xml:space="preserve">to </w:t>
      </w:r>
      <w:r w:rsidR="007E1C0E">
        <w:t xml:space="preserve">full fixture replacements. PG&amp;E </w:t>
      </w:r>
      <w:r w:rsidR="009544E0">
        <w:t xml:space="preserve">has </w:t>
      </w:r>
      <w:r w:rsidR="007E1C0E">
        <w:t xml:space="preserve">thus incorporated TLEDs in the baseline mix </w:t>
      </w:r>
      <w:r w:rsidR="00C9212E">
        <w:t>with an assumption that they are equally popular to new luminaires and retrofit kits</w:t>
      </w:r>
      <w:r w:rsidR="00A67AC3">
        <w:t>.</w:t>
      </w:r>
      <w:r w:rsidR="00492A32">
        <w:t xml:space="preserve"> T</w:t>
      </w:r>
      <w:r w:rsidR="00492A32" w:rsidRPr="00492A32">
        <w:t>he baseline share of LED tubular replacement lamps (TLEDs) is esti</w:t>
      </w:r>
      <w:r w:rsidR="00492A32">
        <w:t>mated at a significant share, 30</w:t>
      </w:r>
      <w:r w:rsidR="00492A32" w:rsidRPr="00492A32">
        <w:t>%</w:t>
      </w:r>
      <w:r w:rsidR="00320BCC">
        <w:t xml:space="preserve">, which is half of the total LED share of 60%. </w:t>
      </w:r>
      <w:r w:rsidR="00320BCC" w:rsidRPr="00320BCC">
        <w:t>Bonneville Power Administration (BPA) conducted a Non-Residential Lighting Market Characterization Study for the Pacific Northwest Region that indicated that LED sales continue to increase rapidly, accounting for 15% of all non-residential sales, with LED lamps and tubes representing the majority of the growth at 10% of total sales.</w:t>
      </w:r>
      <w:r w:rsidR="00320BCC" w:rsidRPr="00320BCC">
        <w:rPr>
          <w:rStyle w:val="EndnoteReference"/>
        </w:rPr>
        <w:endnoteReference w:id="11"/>
      </w:r>
      <w:r w:rsidR="00492A32" w:rsidRPr="00492A32">
        <w:t xml:space="preserve"> The 3</w:t>
      </w:r>
      <w:r w:rsidR="00492A32">
        <w:t>0</w:t>
      </w:r>
      <w:r w:rsidR="00492A32" w:rsidRPr="00492A32">
        <w:t>% TLED scenario is also a balance point which yields positive IMCs as well as enough savings for a cost-effective program. PG&amp;E will review program data in mid-year 2019 along with other publicly available study data to determine if the TLED percentage requires update.</w:t>
      </w:r>
    </w:p>
    <w:p w14:paraId="009F66CD" w14:textId="6C4620B1" w:rsidR="00073430" w:rsidRDefault="00C9212E" w:rsidP="00A67AC3">
      <w:pPr>
        <w:spacing w:before="120"/>
        <w:rPr>
          <w:szCs w:val="22"/>
        </w:rPr>
      </w:pPr>
      <w:r>
        <w:rPr>
          <w:szCs w:val="22"/>
        </w:rPr>
        <w:t>Even though the workpaper does not distinguish between the light distribution performance of TLEDs and new LED luminaires, this should not be taken as indication that they perform equally.</w:t>
      </w:r>
      <w:r w:rsidR="00B80402">
        <w:rPr>
          <w:szCs w:val="22"/>
        </w:rPr>
        <w:t xml:space="preserve"> TLED photometric distribution is unlikely to be equal to that of new fixtures and retrofit kits, but this workpaper assumes no difference given limited data availability.</w:t>
      </w:r>
      <w:r>
        <w:rPr>
          <w:szCs w:val="22"/>
        </w:rPr>
        <w:t xml:space="preserve"> </w:t>
      </w:r>
      <w:r w:rsidR="00E40B54">
        <w:rPr>
          <w:szCs w:val="22"/>
        </w:rPr>
        <w:t>Full p</w:t>
      </w:r>
      <w:r>
        <w:rPr>
          <w:szCs w:val="22"/>
        </w:rPr>
        <w:t xml:space="preserve">hotometric distribution </w:t>
      </w:r>
      <w:r w:rsidR="00E40B54">
        <w:rPr>
          <w:szCs w:val="22"/>
        </w:rPr>
        <w:t>data for</w:t>
      </w:r>
      <w:r>
        <w:rPr>
          <w:szCs w:val="22"/>
        </w:rPr>
        <w:t xml:space="preserve"> TLEDs</w:t>
      </w:r>
      <w:r w:rsidR="00E40B54">
        <w:rPr>
          <w:szCs w:val="22"/>
        </w:rPr>
        <w:t xml:space="preserve"> </w:t>
      </w:r>
      <w:r w:rsidR="00AC4577">
        <w:rPr>
          <w:szCs w:val="22"/>
        </w:rPr>
        <w:t xml:space="preserve">are </w:t>
      </w:r>
      <w:r w:rsidR="00E40B54">
        <w:rPr>
          <w:szCs w:val="22"/>
        </w:rPr>
        <w:t>not readily available</w:t>
      </w:r>
      <w:r>
        <w:rPr>
          <w:szCs w:val="22"/>
        </w:rPr>
        <w:t xml:space="preserve">, </w:t>
      </w:r>
      <w:r w:rsidR="00E40B54">
        <w:rPr>
          <w:szCs w:val="22"/>
        </w:rPr>
        <w:t>n</w:t>
      </w:r>
      <w:r>
        <w:rPr>
          <w:szCs w:val="22"/>
        </w:rPr>
        <w:t xml:space="preserve">either </w:t>
      </w:r>
      <w:r w:rsidR="00E40B54">
        <w:rPr>
          <w:szCs w:val="22"/>
        </w:rPr>
        <w:t xml:space="preserve">the full TLED market nor the subset used in </w:t>
      </w:r>
      <w:r w:rsidR="00590BEB">
        <w:rPr>
          <w:szCs w:val="22"/>
        </w:rPr>
        <w:t xml:space="preserve">parking </w:t>
      </w:r>
      <w:r w:rsidR="00E40B54">
        <w:rPr>
          <w:szCs w:val="22"/>
        </w:rPr>
        <w:t>garage luminaires. DLC’s dataset of 5</w:t>
      </w:r>
      <w:r w:rsidR="0073111A">
        <w:rPr>
          <w:szCs w:val="22"/>
        </w:rPr>
        <w:t>,</w:t>
      </w:r>
      <w:r w:rsidR="00E40B54">
        <w:rPr>
          <w:szCs w:val="22"/>
        </w:rPr>
        <w:t>190 TLEDs shows that</w:t>
      </w:r>
      <w:r w:rsidR="00B80402">
        <w:rPr>
          <w:szCs w:val="22"/>
        </w:rPr>
        <w:t>,</w:t>
      </w:r>
      <w:r w:rsidR="00E40B54">
        <w:rPr>
          <w:szCs w:val="22"/>
        </w:rPr>
        <w:t xml:space="preserve"> </w:t>
      </w:r>
      <w:r w:rsidR="0073111A">
        <w:rPr>
          <w:szCs w:val="22"/>
        </w:rPr>
        <w:t>on average</w:t>
      </w:r>
      <w:r w:rsidR="00590BEB">
        <w:rPr>
          <w:szCs w:val="22"/>
        </w:rPr>
        <w:t>,</w:t>
      </w:r>
      <w:r w:rsidR="0073111A">
        <w:rPr>
          <w:szCs w:val="22"/>
        </w:rPr>
        <w:t xml:space="preserve"> </w:t>
      </w:r>
      <w:r w:rsidR="00E40B54">
        <w:rPr>
          <w:szCs w:val="22"/>
        </w:rPr>
        <w:t xml:space="preserve">less than 15.2% of light output is in the 60-80° zone, meaning they </w:t>
      </w:r>
      <w:r w:rsidR="0073111A">
        <w:rPr>
          <w:szCs w:val="22"/>
        </w:rPr>
        <w:t xml:space="preserve">would fail the DLC’s </w:t>
      </w:r>
      <w:r w:rsidR="00590BEB">
        <w:rPr>
          <w:szCs w:val="22"/>
        </w:rPr>
        <w:t xml:space="preserve">parking </w:t>
      </w:r>
      <w:r w:rsidR="0073111A">
        <w:rPr>
          <w:szCs w:val="22"/>
        </w:rPr>
        <w:t xml:space="preserve">garage distribution requirement of </w:t>
      </w:r>
      <w:r w:rsidR="00491759">
        <w:rPr>
          <w:szCs w:val="22"/>
        </w:rPr>
        <w:t>≥</w:t>
      </w:r>
      <w:r w:rsidR="0073111A">
        <w:rPr>
          <w:szCs w:val="22"/>
        </w:rPr>
        <w:t xml:space="preserve">30% zonal lumens in the 60-80° range. No more than 1.9% of DLC TLEDs would meet the DLC’s </w:t>
      </w:r>
      <w:r w:rsidR="00590BEB">
        <w:rPr>
          <w:szCs w:val="22"/>
        </w:rPr>
        <w:t xml:space="preserve">Parking </w:t>
      </w:r>
      <w:r w:rsidR="0073111A">
        <w:rPr>
          <w:szCs w:val="22"/>
        </w:rPr>
        <w:t>Garage retrofit zonal lumen requirement, so TLED selection could have significant impact on performance.</w:t>
      </w:r>
      <w:r w:rsidR="00E40B54">
        <w:rPr>
          <w:szCs w:val="22"/>
        </w:rPr>
        <w:t xml:space="preserve"> Most TLEDs in the market are designed for troffer and high bay applications where the majority of zonal lumens are needed 20-50° from nadir. Garage applications differ by requiring a broader spread, especially at 60-70°. Thus common TLEDs may underperform in garage applications by creating pools of higher illumination under each fixture with darker areas in between. In contra</w:t>
      </w:r>
      <w:r w:rsidR="00B80402">
        <w:rPr>
          <w:szCs w:val="22"/>
        </w:rPr>
        <w:t>s</w:t>
      </w:r>
      <w:r w:rsidR="00E40B54">
        <w:rPr>
          <w:szCs w:val="22"/>
        </w:rPr>
        <w:t>t,</w:t>
      </w:r>
      <w:r>
        <w:rPr>
          <w:szCs w:val="22"/>
        </w:rPr>
        <w:t xml:space="preserve"> the</w:t>
      </w:r>
      <w:r w:rsidRPr="006600C3">
        <w:rPr>
          <w:szCs w:val="22"/>
        </w:rPr>
        <w:t xml:space="preserve"> measure</w:t>
      </w:r>
      <w:r>
        <w:rPr>
          <w:szCs w:val="22"/>
        </w:rPr>
        <w:t>s in this workpaper</w:t>
      </w:r>
      <w:r w:rsidRPr="006600C3">
        <w:rPr>
          <w:szCs w:val="22"/>
        </w:rPr>
        <w:t xml:space="preserve"> are for entire new luminaires or retrofit kits that include complete new optical assemblies</w:t>
      </w:r>
      <w:r w:rsidR="00E40B54">
        <w:rPr>
          <w:szCs w:val="22"/>
        </w:rPr>
        <w:t xml:space="preserve">. </w:t>
      </w:r>
    </w:p>
    <w:p w14:paraId="7E3785B5" w14:textId="77777777" w:rsidR="00C70365" w:rsidRDefault="00C70365" w:rsidP="00073430"/>
    <w:p w14:paraId="33117CA6" w14:textId="605103AD" w:rsidR="006600C3" w:rsidRDefault="006600C3" w:rsidP="005E065D">
      <w:pPr>
        <w:pStyle w:val="Heading3"/>
        <w:spacing w:before="0"/>
        <w:rPr>
          <w:sz w:val="20"/>
          <w:szCs w:val="20"/>
        </w:rPr>
      </w:pPr>
      <w:bookmarkStart w:id="60" w:name="_Toc2803201"/>
      <w:r>
        <w:t>1.</w:t>
      </w:r>
      <w:r w:rsidR="005B0952">
        <w:t>5</w:t>
      </w:r>
      <w:r>
        <w:t>.</w:t>
      </w:r>
      <w:r w:rsidR="00073430">
        <w:t>2</w:t>
      </w:r>
      <w:r>
        <w:t xml:space="preserve"> </w:t>
      </w:r>
      <w:proofErr w:type="spellStart"/>
      <w:r>
        <w:t>CALiPER</w:t>
      </w:r>
      <w:proofErr w:type="spellEnd"/>
      <w:r>
        <w:t xml:space="preserve"> Snapshot Report June 17, 2016:</w:t>
      </w:r>
      <w:bookmarkStart w:id="61" w:name="_Ref532992353"/>
      <w:r>
        <w:rPr>
          <w:rStyle w:val="EndnoteReference"/>
          <w:sz w:val="20"/>
          <w:szCs w:val="20"/>
        </w:rPr>
        <w:endnoteReference w:id="12"/>
      </w:r>
      <w:bookmarkEnd w:id="60"/>
      <w:bookmarkEnd w:id="61"/>
    </w:p>
    <w:p w14:paraId="40E7B01D" w14:textId="2AA025E2" w:rsidR="006600C3" w:rsidRPr="006600C3" w:rsidRDefault="009F3D5F" w:rsidP="005E065D">
      <w:pPr>
        <w:ind w:left="360"/>
        <w:rPr>
          <w:szCs w:val="22"/>
        </w:rPr>
      </w:pPr>
      <w:r>
        <w:rPr>
          <w:szCs w:val="22"/>
        </w:rPr>
        <w:t xml:space="preserve">Data from the </w:t>
      </w:r>
      <w:r w:rsidRPr="006600C3">
        <w:rPr>
          <w:szCs w:val="22"/>
        </w:rPr>
        <w:t xml:space="preserve">most recent </w:t>
      </w:r>
      <w:proofErr w:type="spellStart"/>
      <w:r w:rsidR="006600C3" w:rsidRPr="006600C3">
        <w:rPr>
          <w:szCs w:val="22"/>
        </w:rPr>
        <w:t>CALiPER</w:t>
      </w:r>
      <w:proofErr w:type="spellEnd"/>
      <w:r w:rsidR="006600C3" w:rsidRPr="006600C3">
        <w:rPr>
          <w:szCs w:val="22"/>
        </w:rPr>
        <w:t xml:space="preserve"> </w:t>
      </w:r>
      <w:r w:rsidRPr="006600C3">
        <w:rPr>
          <w:szCs w:val="22"/>
        </w:rPr>
        <w:t xml:space="preserve">snapshot report </w:t>
      </w:r>
      <w:r w:rsidR="006600C3" w:rsidRPr="006600C3">
        <w:rPr>
          <w:szCs w:val="22"/>
        </w:rPr>
        <w:t>on TLEDs</w:t>
      </w:r>
      <w:r>
        <w:rPr>
          <w:szCs w:val="22"/>
        </w:rPr>
        <w:t xml:space="preserve"> was used to inform the</w:t>
      </w:r>
      <w:r w:rsidR="00AC4577">
        <w:rPr>
          <w:szCs w:val="22"/>
        </w:rPr>
        <w:t xml:space="preserve"> base</w:t>
      </w:r>
      <w:r w:rsidR="00A05DE3">
        <w:rPr>
          <w:szCs w:val="22"/>
        </w:rPr>
        <w:t xml:space="preserve"> </w:t>
      </w:r>
      <w:r w:rsidR="00AC4577">
        <w:rPr>
          <w:szCs w:val="22"/>
        </w:rPr>
        <w:t>case performance.</w:t>
      </w:r>
      <w:r>
        <w:rPr>
          <w:szCs w:val="22"/>
        </w:rPr>
        <w:t xml:space="preserve"> </w:t>
      </w:r>
      <w:r w:rsidR="00A13270">
        <w:rPr>
          <w:szCs w:val="22"/>
        </w:rPr>
        <w:t>The c</w:t>
      </w:r>
      <w:r w:rsidRPr="006600C3">
        <w:rPr>
          <w:szCs w:val="22"/>
        </w:rPr>
        <w:t xml:space="preserve">onclusions </w:t>
      </w:r>
      <w:r w:rsidR="00590BEB">
        <w:rPr>
          <w:szCs w:val="22"/>
        </w:rPr>
        <w:t>are as follows</w:t>
      </w:r>
      <w:r w:rsidR="006600C3" w:rsidRPr="006600C3">
        <w:rPr>
          <w:szCs w:val="22"/>
        </w:rPr>
        <w:t>:</w:t>
      </w:r>
      <w:r>
        <w:rPr>
          <w:szCs w:val="22"/>
        </w:rPr>
        <w:t xml:space="preserve"> </w:t>
      </w:r>
    </w:p>
    <w:p w14:paraId="135C3123" w14:textId="3E485F12" w:rsidR="006600C3" w:rsidRPr="006600C3" w:rsidRDefault="006600C3" w:rsidP="005E065D">
      <w:pPr>
        <w:pStyle w:val="ListParagraph"/>
        <w:numPr>
          <w:ilvl w:val="0"/>
          <w:numId w:val="25"/>
        </w:numPr>
        <w:spacing w:after="120"/>
        <w:rPr>
          <w:szCs w:val="22"/>
        </w:rPr>
      </w:pPr>
      <w:r w:rsidRPr="006600C3">
        <w:rPr>
          <w:szCs w:val="22"/>
        </w:rPr>
        <w:t xml:space="preserve">Over 90% of the currently listed TLEDs exceed 100 </w:t>
      </w:r>
      <w:r w:rsidR="00C93628">
        <w:rPr>
          <w:szCs w:val="22"/>
        </w:rPr>
        <w:t>lumens per watt (lm/W)</w:t>
      </w:r>
      <w:r w:rsidRPr="006600C3">
        <w:rPr>
          <w:szCs w:val="22"/>
        </w:rPr>
        <w:t xml:space="preserve">, which is roughly the efficacy of a bare linear fluorescent </w:t>
      </w:r>
      <w:proofErr w:type="gramStart"/>
      <w:r w:rsidRPr="006600C3">
        <w:rPr>
          <w:szCs w:val="22"/>
        </w:rPr>
        <w:t>lamp,</w:t>
      </w:r>
      <w:proofErr w:type="gramEnd"/>
      <w:r w:rsidRPr="006600C3">
        <w:rPr>
          <w:szCs w:val="22"/>
        </w:rPr>
        <w:t xml:space="preserve"> and near to the qualification threshold for the </w:t>
      </w:r>
      <w:proofErr w:type="spellStart"/>
      <w:r w:rsidRPr="006600C3">
        <w:rPr>
          <w:szCs w:val="22"/>
        </w:rPr>
        <w:t>DesignLights</w:t>
      </w:r>
      <w:proofErr w:type="spellEnd"/>
      <w:r w:rsidRPr="006600C3">
        <w:rPr>
          <w:szCs w:val="22"/>
        </w:rPr>
        <w:t xml:space="preserve"> Consortium™ Qualified Products List of 110 lm/W.  In the broad </w:t>
      </w:r>
      <w:proofErr w:type="spellStart"/>
      <w:r w:rsidRPr="006600C3">
        <w:rPr>
          <w:szCs w:val="22"/>
        </w:rPr>
        <w:t>LightingFacts</w:t>
      </w:r>
      <w:proofErr w:type="spellEnd"/>
      <w:r w:rsidRPr="006600C3">
        <w:rPr>
          <w:szCs w:val="22"/>
        </w:rPr>
        <w:t xml:space="preserve"> database,</w:t>
      </w:r>
      <w:r w:rsidR="00491759">
        <w:rPr>
          <w:szCs w:val="22"/>
        </w:rPr>
        <w:t xml:space="preserve"> the median efficacy is </w:t>
      </w:r>
      <w:proofErr w:type="gramStart"/>
      <w:r w:rsidR="00491759">
        <w:rPr>
          <w:szCs w:val="22"/>
        </w:rPr>
        <w:t>113 lm/W</w:t>
      </w:r>
      <w:proofErr w:type="gramEnd"/>
      <w:r w:rsidR="00491759">
        <w:rPr>
          <w:szCs w:val="22"/>
        </w:rPr>
        <w:t xml:space="preserve"> and the 25</w:t>
      </w:r>
      <w:r w:rsidR="00491759" w:rsidRPr="00491759">
        <w:rPr>
          <w:szCs w:val="22"/>
          <w:vertAlign w:val="superscript"/>
        </w:rPr>
        <w:t>th</w:t>
      </w:r>
      <w:r w:rsidR="00491759">
        <w:rPr>
          <w:szCs w:val="22"/>
        </w:rPr>
        <w:t xml:space="preserve"> percentile efficacy is 105 lm/W.</w:t>
      </w:r>
      <w:r w:rsidRPr="006600C3">
        <w:rPr>
          <w:szCs w:val="22"/>
        </w:rPr>
        <w:t xml:space="preserve"> </w:t>
      </w:r>
    </w:p>
    <w:p w14:paraId="6B843280" w14:textId="77777777" w:rsidR="00A13270" w:rsidRDefault="006600C3" w:rsidP="00A13270">
      <w:pPr>
        <w:pStyle w:val="ListParagraph"/>
        <w:numPr>
          <w:ilvl w:val="0"/>
          <w:numId w:val="25"/>
        </w:numPr>
        <w:spacing w:after="120"/>
        <w:rPr>
          <w:szCs w:val="22"/>
        </w:rPr>
      </w:pPr>
      <w:r w:rsidRPr="006600C3">
        <w:rPr>
          <w:szCs w:val="22"/>
        </w:rPr>
        <w:t xml:space="preserve">When evaluating TLEDs, it’s important to consider their efficacy when installed in a luminaire. As the number of lamps increases, the luminaire efficiency is slightly reduced.  In order to appropriately compare the efficacy of TLEDs to that of other LED luminaires, this </w:t>
      </w:r>
      <w:r w:rsidRPr="006600C3">
        <w:rPr>
          <w:szCs w:val="22"/>
        </w:rPr>
        <w:lastRenderedPageBreak/>
        <w:t>workpaper uses a fixture efficiency multiplier of 0.8 to represent the luminous efficiency of the luminaire, as suggested in t</w:t>
      </w:r>
      <w:r w:rsidR="00A13270">
        <w:rPr>
          <w:szCs w:val="22"/>
        </w:rPr>
        <w:t xml:space="preserve">his </w:t>
      </w:r>
      <w:proofErr w:type="spellStart"/>
      <w:r w:rsidR="00A13270">
        <w:rPr>
          <w:szCs w:val="22"/>
        </w:rPr>
        <w:t>CALiPER</w:t>
      </w:r>
      <w:proofErr w:type="spellEnd"/>
      <w:r w:rsidR="00A13270">
        <w:rPr>
          <w:szCs w:val="22"/>
        </w:rPr>
        <w:t xml:space="preserve"> report from the DOE</w:t>
      </w:r>
    </w:p>
    <w:p w14:paraId="18FEA1FF" w14:textId="6F66D439" w:rsidR="00A13270" w:rsidRDefault="00A13270" w:rsidP="00C70365">
      <w:pPr>
        <w:spacing w:before="120" w:line="264" w:lineRule="auto"/>
        <w:rPr>
          <w:szCs w:val="22"/>
        </w:rPr>
      </w:pPr>
      <w:r w:rsidRPr="00A13270">
        <w:rPr>
          <w:szCs w:val="22"/>
        </w:rPr>
        <w:t>Based on the recent data collected in February 2019, the 25th percentile of the TLED efficacy is</w:t>
      </w:r>
      <w:r>
        <w:rPr>
          <w:szCs w:val="22"/>
        </w:rPr>
        <w:t xml:space="preserve"> calculated at</w:t>
      </w:r>
      <w:r w:rsidRPr="00A13270">
        <w:rPr>
          <w:szCs w:val="22"/>
        </w:rPr>
        <w:t xml:space="preserve"> 111 lm/W (see section 2 for more details)</w:t>
      </w:r>
      <w:r w:rsidR="00C93628">
        <w:rPr>
          <w:szCs w:val="22"/>
        </w:rPr>
        <w:t>, and adopted for this workpaper revision.</w:t>
      </w:r>
    </w:p>
    <w:p w14:paraId="10AE9F6C" w14:textId="40F60C7D" w:rsidR="006600C3" w:rsidRPr="006600C3" w:rsidRDefault="006600C3" w:rsidP="00A13270">
      <w:pPr>
        <w:spacing w:line="264" w:lineRule="auto"/>
        <w:rPr>
          <w:szCs w:val="22"/>
        </w:rPr>
      </w:pPr>
      <w:r w:rsidRPr="006600C3">
        <w:rPr>
          <w:szCs w:val="22"/>
        </w:rPr>
        <w:t>In addition, many or most TLEDs operate with existing fluorescent ballast which increase</w:t>
      </w:r>
      <w:r w:rsidR="00A32B1F">
        <w:rPr>
          <w:szCs w:val="22"/>
        </w:rPr>
        <w:t>s</w:t>
      </w:r>
      <w:r w:rsidRPr="006600C3">
        <w:rPr>
          <w:szCs w:val="22"/>
        </w:rPr>
        <w:t xml:space="preserve"> wattage. </w:t>
      </w:r>
      <w:proofErr w:type="spellStart"/>
      <w:r w:rsidRPr="006600C3">
        <w:rPr>
          <w:szCs w:val="22"/>
        </w:rPr>
        <w:t>CALiPER</w:t>
      </w:r>
      <w:proofErr w:type="spellEnd"/>
      <w:r w:rsidRPr="006600C3">
        <w:rPr>
          <w:szCs w:val="22"/>
        </w:rPr>
        <w:t xml:space="preserve"> does not address the percentage of TLEDs operating with fluorescent ballast. Anecdotal market evidence suggests the plug-and-play, Type A, approach to TLEDs is the most popular, with no electrician requirement to plug in new lamps; this is also the most inefficient strategy because it leaves the fluorescent ballast powered. Without a thorough study available on TLED trends, the workpaper assumes a conservative 40.4% of TLEDs operate with fluorescent ballasts</w:t>
      </w:r>
      <w:r w:rsidR="009F41B7">
        <w:rPr>
          <w:szCs w:val="22"/>
        </w:rPr>
        <w:t xml:space="preserve">. This number was derived from all TLED listings </w:t>
      </w:r>
      <w:r w:rsidR="00A13270">
        <w:rPr>
          <w:szCs w:val="22"/>
        </w:rPr>
        <w:t>in</w:t>
      </w:r>
      <w:r w:rsidR="009F41B7">
        <w:rPr>
          <w:szCs w:val="22"/>
        </w:rPr>
        <w:t xml:space="preserve"> the </w:t>
      </w:r>
      <w:r w:rsidRPr="006600C3">
        <w:rPr>
          <w:szCs w:val="22"/>
        </w:rPr>
        <w:t>DLC</w:t>
      </w:r>
      <w:r w:rsidR="009F41B7">
        <w:rPr>
          <w:szCs w:val="22"/>
        </w:rPr>
        <w:t>, which is the most comprehensive list that includes UL</w:t>
      </w:r>
      <w:r w:rsidRPr="006600C3">
        <w:rPr>
          <w:szCs w:val="22"/>
        </w:rPr>
        <w:t xml:space="preserve"> </w:t>
      </w:r>
      <w:r w:rsidR="009F41B7">
        <w:rPr>
          <w:szCs w:val="22"/>
        </w:rPr>
        <w:t>Type. 40.4% of products were Type A, so the workpaper makes that assumption for the market share of Type A in the absence of better market data</w:t>
      </w:r>
      <w:r w:rsidRPr="006600C3">
        <w:rPr>
          <w:szCs w:val="22"/>
        </w:rPr>
        <w:t xml:space="preserve">. </w:t>
      </w:r>
      <w:r w:rsidR="009F41B7">
        <w:rPr>
          <w:szCs w:val="22"/>
        </w:rPr>
        <w:t>For the 40.4% Type A, f</w:t>
      </w:r>
      <w:r w:rsidRPr="006600C3">
        <w:rPr>
          <w:szCs w:val="22"/>
        </w:rPr>
        <w:t xml:space="preserve">luorescent ballasts are assumed to consume 10% of system power, based on federal fluorescent ballast luminous efficiency standards cited above in section 1.5.2. </w:t>
      </w:r>
      <w:r w:rsidR="009F41B7">
        <w:rPr>
          <w:szCs w:val="22"/>
        </w:rPr>
        <w:t xml:space="preserve">The remaining </w:t>
      </w:r>
      <w:r w:rsidRPr="006600C3">
        <w:rPr>
          <w:szCs w:val="22"/>
        </w:rPr>
        <w:t>59.6% of TLEDs are assumed to have no ballast losses. Incorporating ballast wattage and fixture losses yields a</w:t>
      </w:r>
      <w:r w:rsidR="00F4631A">
        <w:rPr>
          <w:szCs w:val="22"/>
        </w:rPr>
        <w:t>n</w:t>
      </w:r>
      <w:r w:rsidRPr="006600C3">
        <w:rPr>
          <w:szCs w:val="22"/>
        </w:rPr>
        <w:t xml:space="preserve"> </w:t>
      </w:r>
      <w:r w:rsidR="001C2D38">
        <w:rPr>
          <w:szCs w:val="22"/>
        </w:rPr>
        <w:t>85.2</w:t>
      </w:r>
      <w:r w:rsidRPr="006600C3">
        <w:rPr>
          <w:szCs w:val="22"/>
        </w:rPr>
        <w:t xml:space="preserve"> lm/W</w:t>
      </w:r>
      <w:r>
        <w:rPr>
          <w:szCs w:val="22"/>
        </w:rPr>
        <w:t xml:space="preserve"> efficacy for TLEDs in fixtures</w:t>
      </w:r>
      <w:r w:rsidR="001C2D38">
        <w:rPr>
          <w:szCs w:val="22"/>
        </w:rPr>
        <w:t xml:space="preserve"> (see section 2 for more details)</w:t>
      </w:r>
      <w:r w:rsidR="001D2FBD">
        <w:rPr>
          <w:szCs w:val="22"/>
        </w:rPr>
        <w:t>.</w:t>
      </w:r>
    </w:p>
    <w:p w14:paraId="1626BAD8" w14:textId="69EB8723" w:rsidR="00AB39CC" w:rsidRPr="00454D13" w:rsidRDefault="5B621C54" w:rsidP="00C70365">
      <w:pPr>
        <w:pStyle w:val="Heading3"/>
        <w:spacing w:before="120"/>
      </w:pPr>
      <w:bookmarkStart w:id="62" w:name="_Toc511134192"/>
      <w:bookmarkStart w:id="63" w:name="_Toc2803202"/>
      <w:r>
        <w:t>1.</w:t>
      </w:r>
      <w:r w:rsidR="005B0952">
        <w:t>5</w:t>
      </w:r>
      <w:r>
        <w:t>.</w:t>
      </w:r>
      <w:r w:rsidR="00073430">
        <w:t xml:space="preserve">3 </w:t>
      </w:r>
      <w:r>
        <w:t>Lighting Dispositions</w:t>
      </w:r>
      <w:bookmarkEnd w:id="62"/>
      <w:r w:rsidR="009C226E">
        <w:t xml:space="preserve"> and DEER Resolutions</w:t>
      </w:r>
      <w:bookmarkEnd w:id="63"/>
      <w:r w:rsidR="00A33C08">
        <w:t xml:space="preserve"> </w:t>
      </w:r>
    </w:p>
    <w:p w14:paraId="66DAA451" w14:textId="254CA843" w:rsidR="006401BF" w:rsidRDefault="006401BF" w:rsidP="006401BF">
      <w:r w:rsidRPr="00B91BA0">
        <w:t>The CPUC addressed exterior lighting as part of the 2018 Outdoor Lighting Phase I Disposition, and Final Resolution E</w:t>
      </w:r>
      <w:r w:rsidRPr="00B91BA0">
        <w:noBreakHyphen/>
        <w:t xml:space="preserve">4867 for DEER Updates, which generally re-affirmed the guidance that the CPUC had provided </w:t>
      </w:r>
      <w:r w:rsidR="00F4631A">
        <w:t xml:space="preserve">in previous dispositions. </w:t>
      </w:r>
      <w:r w:rsidRPr="00B91BA0">
        <w:t>Highlights of the CPUC dispositions (</w:t>
      </w:r>
      <w:r>
        <w:t xml:space="preserve">in </w:t>
      </w:r>
      <w:r w:rsidR="00794A32">
        <w:t xml:space="preserve">reverse </w:t>
      </w:r>
      <w:r w:rsidRPr="00B91BA0">
        <w:t>chronological order)</w:t>
      </w:r>
      <w:r w:rsidR="00E96C2A">
        <w:t xml:space="preserve"> </w:t>
      </w:r>
      <w:r w:rsidR="00F4631A">
        <w:t>are</w:t>
      </w:r>
      <w:r w:rsidR="00E96C2A">
        <w:t xml:space="preserve"> included below. The Standard Practice Baseline and Workpaper Update Study currently being </w:t>
      </w:r>
      <w:r w:rsidR="005F4619">
        <w:t xml:space="preserve">finalized, </w:t>
      </w:r>
      <w:r w:rsidR="00E96C2A">
        <w:t>seeks to provide supporting data in response to this direction.</w:t>
      </w:r>
    </w:p>
    <w:p w14:paraId="19965701" w14:textId="77777777" w:rsidR="001D2FBD" w:rsidRDefault="001D2FBD" w:rsidP="006401BF"/>
    <w:p w14:paraId="25F9452E" w14:textId="6223FC63" w:rsidR="00E64760" w:rsidRPr="00E64760" w:rsidRDefault="00E64760" w:rsidP="00E64760">
      <w:pPr>
        <w:pStyle w:val="ListParagraph"/>
        <w:numPr>
          <w:ilvl w:val="0"/>
          <w:numId w:val="23"/>
        </w:numPr>
      </w:pPr>
      <w:r w:rsidRPr="00E64760">
        <w:t>5/7/18 Disposition “2018OutdoorLightingPhase1-7May2018-Final” which approves the interim solution for measure savings and costs, with directions as follows:</w:t>
      </w:r>
    </w:p>
    <w:p w14:paraId="66DFC775" w14:textId="77777777" w:rsidR="00E64760" w:rsidRPr="00E64760" w:rsidRDefault="00E64760" w:rsidP="00E64760">
      <w:pPr>
        <w:numPr>
          <w:ilvl w:val="0"/>
          <w:numId w:val="26"/>
        </w:numPr>
        <w:autoSpaceDE w:val="0"/>
        <w:autoSpaceDN w:val="0"/>
      </w:pPr>
      <w:r w:rsidRPr="00E64760">
        <w:t xml:space="preserve">Revise baselines for all but parking garage fixtures to be 100% LED technologies </w:t>
      </w:r>
    </w:p>
    <w:p w14:paraId="31F3B3DD" w14:textId="77777777" w:rsidR="00E64760" w:rsidRPr="00E64760" w:rsidRDefault="00E64760" w:rsidP="00E64760">
      <w:pPr>
        <w:pStyle w:val="Default"/>
        <w:numPr>
          <w:ilvl w:val="0"/>
          <w:numId w:val="26"/>
        </w:numPr>
        <w:adjustRightInd/>
        <w:rPr>
          <w:rFonts w:ascii="Times New Roman" w:hAnsi="Times New Roman" w:cs="Times New Roman"/>
        </w:rPr>
      </w:pPr>
      <w:r w:rsidRPr="00E64760">
        <w:rPr>
          <w:rFonts w:ascii="Times New Roman" w:hAnsi="Times New Roman" w:cs="Times New Roman"/>
        </w:rPr>
        <w:t xml:space="preserve">Develop baseline LED fixture performance characteristics that are typical for fixtures with similar output to the measure fixture </w:t>
      </w:r>
    </w:p>
    <w:p w14:paraId="6D47EF63" w14:textId="77777777" w:rsidR="00E64760" w:rsidRPr="00E64760" w:rsidRDefault="00E64760" w:rsidP="00E64760">
      <w:pPr>
        <w:numPr>
          <w:ilvl w:val="0"/>
          <w:numId w:val="26"/>
        </w:numPr>
      </w:pPr>
      <w:r w:rsidRPr="00E64760">
        <w:t>Cost data submitted with the revised workpaper is approved on an interim basis for the period of January 1, 2018 through December 31, 2018. The PAs are directed to perform additional cost research on measure and baseline LED fixtures and re-analyze cost data to provide updated values for incremental measure costs with the next workpaper update.</w:t>
      </w:r>
    </w:p>
    <w:p w14:paraId="7BB79B74" w14:textId="77777777" w:rsidR="00E64760" w:rsidRPr="00E64760" w:rsidRDefault="00E64760" w:rsidP="00E64760">
      <w:pPr>
        <w:numPr>
          <w:ilvl w:val="0"/>
          <w:numId w:val="26"/>
        </w:numPr>
      </w:pPr>
      <w:r w:rsidRPr="00E64760">
        <w:t>The Net-to-Gross Ratio for all the covered measures, utilizing a normal replacement or new construction measure application type, is revised to 0.91.</w:t>
      </w:r>
    </w:p>
    <w:p w14:paraId="1D78E6AA" w14:textId="552B9683" w:rsidR="00E64760" w:rsidRPr="00E64760" w:rsidRDefault="00E64760" w:rsidP="00E64760">
      <w:pPr>
        <w:numPr>
          <w:ilvl w:val="0"/>
          <w:numId w:val="26"/>
        </w:numPr>
      </w:pPr>
      <w:r w:rsidRPr="00E64760">
        <w:t>SCE is the lead PA for a standard practice baseline study with a scope encompassing the measures covered by this disposition. Workpaper updates which propose any baseline revisions, shall consider (findings subject to approval by CPUC staff) the SCE baseline study which results are expected by fall of 2018.</w:t>
      </w:r>
    </w:p>
    <w:p w14:paraId="6CDEABF0" w14:textId="6A8C251E" w:rsidR="006401BF" w:rsidRDefault="006401BF" w:rsidP="00C70365">
      <w:pPr>
        <w:pStyle w:val="ListParagraph"/>
        <w:numPr>
          <w:ilvl w:val="0"/>
          <w:numId w:val="23"/>
        </w:numPr>
        <w:spacing w:before="120"/>
      </w:pPr>
      <w:r w:rsidRPr="00B91BA0">
        <w:t>3/1/18</w:t>
      </w:r>
      <w:r>
        <w:t xml:space="preserve"> (2018 Outdoor Lighting Phase 1 Disposition)</w:t>
      </w:r>
      <w:r w:rsidRPr="00B91BA0">
        <w:t xml:space="preserve">: “The Ex Ante Review (EAR) team review provides a strong indication from the cost analysis that the baseline, for the measure </w:t>
      </w:r>
      <w:r w:rsidRPr="00B91BA0">
        <w:lastRenderedPageBreak/>
        <w:t>types and expected project types (not “one</w:t>
      </w:r>
      <w:r w:rsidR="00AC481F">
        <w:t>-</w:t>
      </w:r>
      <w:r w:rsidRPr="00B91BA0">
        <w:t>off” fixture replacements) covered by the workpaper, should be 100% LEDs in many cases</w:t>
      </w:r>
      <w:r w:rsidR="00C70365">
        <w:t xml:space="preserve">. </w:t>
      </w:r>
    </w:p>
    <w:p w14:paraId="35770156" w14:textId="77777777" w:rsidR="006401BF" w:rsidRDefault="006401BF" w:rsidP="00C70365">
      <w:pPr>
        <w:spacing w:before="60" w:after="120"/>
        <w:ind w:left="360"/>
      </w:pPr>
      <w:r>
        <w:t>In addition, the disposition directed PG&amp;E to revise the baseline LED efficacies, perform additional cost research; and re-analyze cost data.</w:t>
      </w:r>
    </w:p>
    <w:p w14:paraId="02075D9D" w14:textId="1EBDCA75" w:rsidR="006401BF" w:rsidRDefault="006401BF" w:rsidP="006401BF">
      <w:pPr>
        <w:pStyle w:val="ListParagraph"/>
        <w:numPr>
          <w:ilvl w:val="0"/>
          <w:numId w:val="23"/>
        </w:numPr>
      </w:pPr>
      <w:r w:rsidRPr="00B91BA0">
        <w:t>2/15/17</w:t>
      </w:r>
      <w:r>
        <w:t xml:space="preserve"> (</w:t>
      </w:r>
      <w:r w:rsidRPr="006401BF">
        <w:t>SCE-16-C-C-0073-0500804246_Ext. LED Lighting (Second Review)”</w:t>
      </w:r>
      <w:r>
        <w:t>)</w:t>
      </w:r>
      <w:r w:rsidRPr="00B91BA0">
        <w:t>: “Commission believes the use of LED lighting is ISP for parking lot retrofits and likely also for other exterior and interior lighting retrofits…For exterior lighting projects, the PAs…shall…enumerate the situations where ISP is likely an LED technology and thus significantly different from current code or regulation requirements…The PAs (or SCE individually) shall proceed to immediately work collaboratively with CS to develop an ISP technology assignment appropriate for identified measures to be used in place of the code or regulation as the baseline for ROB / NR/ NC/CE and the second period baseline for ER.”</w:t>
      </w:r>
    </w:p>
    <w:p w14:paraId="6F9F126B" w14:textId="77777777" w:rsidR="006401BF" w:rsidRDefault="006401BF" w:rsidP="00F4631A">
      <w:pPr>
        <w:pStyle w:val="ListParagraph"/>
        <w:numPr>
          <w:ilvl w:val="0"/>
          <w:numId w:val="23"/>
        </w:numPr>
      </w:pPr>
      <w:r w:rsidRPr="00B91BA0">
        <w:t>8/18/16</w:t>
      </w:r>
      <w:r>
        <w:t xml:space="preserve"> (Resolution E-4795)</w:t>
      </w:r>
      <w:r w:rsidRPr="00B91BA0">
        <w:t xml:space="preserve">: “DEER standard practice baseline for outdoor lighting early retirement measures has been revised to be LED technologies. The specific baseline technologies need to be developed through </w:t>
      </w:r>
      <w:proofErr w:type="spellStart"/>
      <w:r w:rsidRPr="00B91BA0">
        <w:t>workpapers</w:t>
      </w:r>
      <w:proofErr w:type="spellEnd"/>
      <w:r w:rsidRPr="00B91BA0">
        <w:t xml:space="preserve"> or custom project support documentation as new exterior lighting measures are introduced into programs. The second</w:t>
      </w:r>
      <w:r w:rsidR="00F4631A">
        <w:t xml:space="preserve"> b</w:t>
      </w:r>
      <w:r w:rsidRPr="00B91BA0">
        <w:t>aseline</w:t>
      </w:r>
      <w:r w:rsidR="00F4631A">
        <w:t xml:space="preserve"> </w:t>
      </w:r>
      <w:r w:rsidRPr="00B91BA0">
        <w:t xml:space="preserve">will be applicable to all nonresidential measures covering outdoor general lighting measures. As a result of the change in standard practice baseline to LED technologies, all currently approved outdoor lighting measures (except screw-in CFLs) will no longer be approved for early retirement measures after December 31, 2017 ... PAs may submit </w:t>
      </w:r>
      <w:proofErr w:type="spellStart"/>
      <w:r w:rsidRPr="00B91BA0">
        <w:t>workpapers</w:t>
      </w:r>
      <w:proofErr w:type="spellEnd"/>
      <w:r w:rsidRPr="00B91BA0">
        <w:t xml:space="preserve"> where the measure technology meets or exceeds the current DEER code baseline (Pulse Start Metal Halide). For these</w:t>
      </w:r>
      <w:r w:rsidR="00516BF8">
        <w:t>,</w:t>
      </w:r>
      <w:r w:rsidRPr="00B91BA0">
        <w:t xml:space="preserve"> measure and code baseline technologies shall be identical, resulting [in] savings for [the] RUL period only. Note that this change only affects early retirement measures and that DEER code baselines would apply to normal replacement measures.”</w:t>
      </w:r>
    </w:p>
    <w:p w14:paraId="44929087" w14:textId="77777777" w:rsidR="00C70365" w:rsidRDefault="00C70365" w:rsidP="00A725CB">
      <w:bookmarkStart w:id="64" w:name="_Toc511134193"/>
    </w:p>
    <w:p w14:paraId="45BF6CF9" w14:textId="6735C0BD" w:rsidR="00001CD9" w:rsidRPr="00BF592C" w:rsidRDefault="00001CD9" w:rsidP="00C70365">
      <w:pPr>
        <w:pStyle w:val="Heading3"/>
        <w:spacing w:before="120"/>
      </w:pPr>
      <w:bookmarkStart w:id="65" w:name="_Toc2803203"/>
      <w:r w:rsidRPr="00BF592C">
        <w:t>1.</w:t>
      </w:r>
      <w:r w:rsidR="005B0952">
        <w:t>5</w:t>
      </w:r>
      <w:r w:rsidRPr="00BF592C">
        <w:t>.</w:t>
      </w:r>
      <w:r w:rsidR="00073430">
        <w:t>4</w:t>
      </w:r>
      <w:r w:rsidR="00073430" w:rsidRPr="00BF592C">
        <w:t xml:space="preserve"> </w:t>
      </w:r>
      <w:r w:rsidRPr="00BF592C">
        <w:t>California LED Pricing Analysis, Navigant 2018</w:t>
      </w:r>
      <w:r w:rsidR="00006704" w:rsidRPr="00341ED8">
        <w:rPr>
          <w:rStyle w:val="EndnoteReference"/>
        </w:rPr>
        <w:endnoteReference w:id="13"/>
      </w:r>
      <w:bookmarkEnd w:id="64"/>
      <w:bookmarkEnd w:id="65"/>
      <w:r w:rsidR="001D6954">
        <w:t xml:space="preserve"> </w:t>
      </w:r>
    </w:p>
    <w:p w14:paraId="5BC475CE" w14:textId="77777777" w:rsidR="00001CD9" w:rsidRPr="00B13560" w:rsidRDefault="5B621C54" w:rsidP="00001CD9">
      <w:r>
        <w:t>This market study to evaluate LED product pricing was completed by Navigant Consulting, Inc. in January 2018. This study’s objectives included</w:t>
      </w:r>
      <w:r w:rsidR="4F23A407">
        <w:t xml:space="preserve"> 1) identifying</w:t>
      </w:r>
      <w:r>
        <w:t xml:space="preserve"> the range of current prices for DLC and ENERGYSTAR qualified LED products in the California non-residential lighting market for certain priority product categories selected by the IOUs including LED Outdoor lighting product categories</w:t>
      </w:r>
      <w:r w:rsidR="4F23A407">
        <w:t xml:space="preserve">, </w:t>
      </w:r>
      <w:r w:rsidR="35AB5995">
        <w:t xml:space="preserve">2) determining what factors significantly influence LED price, </w:t>
      </w:r>
      <w:r w:rsidR="40836DD9">
        <w:t xml:space="preserve">3) developing an incremental </w:t>
      </w:r>
      <w:r w:rsidR="45DA1F70">
        <w:t>cost estimate relative to identified baseline technologies</w:t>
      </w:r>
      <w:r w:rsidR="335A2E76">
        <w:t xml:space="preserve"> (MH, HPS, LF, CFL),</w:t>
      </w:r>
      <w:r w:rsidR="45DA1F70">
        <w:t xml:space="preserve"> </w:t>
      </w:r>
      <w:r w:rsidR="35AB5995">
        <w:t xml:space="preserve">and to </w:t>
      </w:r>
      <w:r w:rsidR="45DA1F70">
        <w:t>4</w:t>
      </w:r>
      <w:r w:rsidR="35AB5995">
        <w:t xml:space="preserve">) determine how, and at what </w:t>
      </w:r>
      <w:r w:rsidR="4802FBA8">
        <w:t>rate LED price ranges are anticipated to change as the market matures</w:t>
      </w:r>
      <w:r w:rsidR="172FBB35">
        <w:t xml:space="preserve"> 3 and 5 years out from 2017. </w:t>
      </w:r>
    </w:p>
    <w:p w14:paraId="1AE84883" w14:textId="77777777" w:rsidR="00001CD9" w:rsidRPr="00B13560" w:rsidRDefault="00001CD9" w:rsidP="00001CD9"/>
    <w:p w14:paraId="5C3299E9" w14:textId="77777777" w:rsidR="00F860F9" w:rsidRPr="00F860F9" w:rsidRDefault="3C05B5AF" w:rsidP="00F860F9">
      <w:r>
        <w:t xml:space="preserve">Price data from 2016 Q4 and 2017 Q2 was collected from California IOU Program data and from Navigant Research’s LED Price Tracker, which utilizes web-scraping software to collect data on product pricing and specifications online. Of the LED products, only those that met DLC’s technical requirements were included in the study analysis. To determine which factors significantly influence LED prices, a multiple variable regression was conducted to determine the correlation between various product specifications and price. </w:t>
      </w:r>
    </w:p>
    <w:p w14:paraId="1C47750F" w14:textId="77777777" w:rsidR="2E204CD5" w:rsidRDefault="2E204CD5" w:rsidP="2E204CD5"/>
    <w:p w14:paraId="7C628C20" w14:textId="0BF55250" w:rsidR="00001CD9" w:rsidRPr="00B13560" w:rsidRDefault="71903359" w:rsidP="00001CD9">
      <w:r>
        <w:lastRenderedPageBreak/>
        <w:t>The results of the study initially showed that the biggest driver influencing LED price is lumen output, followed by manufacturer, DLC qualification, and CRI. Efficacy was not one of the significant price determining characteristics. Furthermore, even as DLC efficacy requirements have increased over time, prices have continued to decline. According to the study, price does not appear to scale with efficacy for any of the LED product categories evaluated, including LED Outdoor Lighting.</w:t>
      </w:r>
      <w:r w:rsidR="00F30631">
        <w:t xml:space="preserve"> </w:t>
      </w:r>
      <w:r w:rsidR="00F30631" w:rsidRPr="00F30631">
        <w:t>LED deemed lighting measures have assumed that measure costs have scaled with efficacy, therefore this finding that efficacy may not be a key price driver implies that further analysis should be conducted to consider how to incorporate other price drivers in measure design to encourage the adoption of higher degrees of efficiency.</w:t>
      </w:r>
      <w:r>
        <w:t xml:space="preserve"> </w:t>
      </w:r>
      <w:r w:rsidR="00F30631">
        <w:t xml:space="preserve">PG&amp;E </w:t>
      </w:r>
      <w:r w:rsidR="001656B6">
        <w:t xml:space="preserve">is implementing in this revision </w:t>
      </w:r>
      <w:r w:rsidR="0031254A">
        <w:t>a</w:t>
      </w:r>
      <w:r>
        <w:t xml:space="preserve"> </w:t>
      </w:r>
      <w:r w:rsidR="00F30631">
        <w:t xml:space="preserve">measure </w:t>
      </w:r>
      <w:r>
        <w:t xml:space="preserve">structure </w:t>
      </w:r>
      <w:r w:rsidR="0031254A">
        <w:t xml:space="preserve">that is tiered </w:t>
      </w:r>
      <w:r>
        <w:t>by both lumen output and efficacy</w:t>
      </w:r>
      <w:r w:rsidR="003A7E08">
        <w:t>. S</w:t>
      </w:r>
      <w:r>
        <w:t>eparate efficacy tiers</w:t>
      </w:r>
      <w:r w:rsidR="003A7E08">
        <w:t xml:space="preserve"> were considered, but dropped due to the low number of DLC-listed parking garage products </w:t>
      </w:r>
      <w:proofErr w:type="gramStart"/>
      <w:r w:rsidR="003A7E08">
        <w:t>at 140 lm/W</w:t>
      </w:r>
      <w:proofErr w:type="gramEnd"/>
      <w:r w:rsidR="003A7E08">
        <w:t xml:space="preserve"> and above</w:t>
      </w:r>
      <w:r>
        <w:t xml:space="preserve">. Further research studies to explore and understand the barriers to market adoption other than pricing are needed for future workpaper updates. </w:t>
      </w:r>
    </w:p>
    <w:p w14:paraId="6BA692FF" w14:textId="77777777" w:rsidR="00001CD9" w:rsidRPr="00B13560" w:rsidRDefault="00001CD9" w:rsidP="00001CD9"/>
    <w:p w14:paraId="706225B6" w14:textId="77777777" w:rsidR="00001CD9" w:rsidRPr="00B13560" w:rsidRDefault="5B621C54" w:rsidP="00001CD9">
      <w:pPr>
        <w:rPr>
          <w:highlight w:val="yellow"/>
        </w:rPr>
      </w:pPr>
      <w:r>
        <w:t>Figure</w:t>
      </w:r>
      <w:r w:rsidR="00954F98">
        <w:t xml:space="preserve"> 1 below</w:t>
      </w:r>
      <w:r>
        <w:t xml:space="preserve"> </w:t>
      </w:r>
      <w:r w:rsidR="00954F98">
        <w:t xml:space="preserve">(Figure </w:t>
      </w:r>
      <w:r>
        <w:t xml:space="preserve">3-5 </w:t>
      </w:r>
      <w:r w:rsidR="00954F98">
        <w:t>in</w:t>
      </w:r>
      <w:r>
        <w:t xml:space="preserve"> study</w:t>
      </w:r>
      <w:r w:rsidR="00954F98">
        <w:t>)</w:t>
      </w:r>
      <w:r>
        <w:t xml:space="preserve"> shows that the relationship between price and efficacy is highly randomized and there is a large spread in the dataset.</w:t>
      </w:r>
      <w:r w:rsidR="00850DAB">
        <w:t xml:space="preserve">  Although the Figure shows </w:t>
      </w:r>
      <w:r w:rsidR="1AA7AA43">
        <w:t>LED troffers,</w:t>
      </w:r>
      <w:r w:rsidR="00850DAB">
        <w:t xml:space="preserve"> this phenomenon can be seen </w:t>
      </w:r>
      <w:r w:rsidR="7FF0A008">
        <w:t>across the</w:t>
      </w:r>
      <w:r w:rsidR="00850DAB">
        <w:t xml:space="preserve"> other lighting categories</w:t>
      </w:r>
      <w:r w:rsidR="1AA7AA43">
        <w:t xml:space="preserve"> as well</w:t>
      </w:r>
      <w:r w:rsidR="00850DAB">
        <w:t>.</w:t>
      </w:r>
    </w:p>
    <w:p w14:paraId="004DB8AC" w14:textId="77777777" w:rsidR="00954F98" w:rsidRDefault="00001CD9" w:rsidP="00954F98">
      <w:pPr>
        <w:keepNext/>
      </w:pPr>
      <w:r>
        <w:rPr>
          <w:noProof/>
        </w:rPr>
        <w:drawing>
          <wp:inline distT="0" distB="0" distL="0" distR="0" wp14:anchorId="2DE3A60E" wp14:editId="11663730">
            <wp:extent cx="4997301" cy="3137729"/>
            <wp:effectExtent l="0" t="0" r="0" b="5715"/>
            <wp:docPr id="460413519"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pic:cNvPicPr/>
                  </pic:nvPicPr>
                  <pic:blipFill>
                    <a:blip r:embed="rId23">
                      <a:extLst>
                        <a:ext uri="{28A0092B-C50C-407E-A947-70E740481C1C}">
                          <a14:useLocalDpi xmlns:a14="http://schemas.microsoft.com/office/drawing/2010/main" val="0"/>
                        </a:ext>
                      </a:extLst>
                    </a:blip>
                    <a:stretch>
                      <a:fillRect/>
                    </a:stretch>
                  </pic:blipFill>
                  <pic:spPr>
                    <a:xfrm>
                      <a:off x="0" y="0"/>
                      <a:ext cx="4997301" cy="3137729"/>
                    </a:xfrm>
                    <a:prstGeom prst="rect">
                      <a:avLst/>
                    </a:prstGeom>
                  </pic:spPr>
                </pic:pic>
              </a:graphicData>
            </a:graphic>
          </wp:inline>
        </w:drawing>
      </w:r>
    </w:p>
    <w:p w14:paraId="40B25435" w14:textId="77777777" w:rsidR="00954F98" w:rsidRPr="00C93628" w:rsidRDefault="00954F98" w:rsidP="00954F98">
      <w:pPr>
        <w:pStyle w:val="Caption"/>
        <w:rPr>
          <w:sz w:val="21"/>
          <w:szCs w:val="21"/>
        </w:rPr>
      </w:pPr>
      <w:bookmarkStart w:id="66" w:name="_Toc2803245"/>
      <w:r w:rsidRPr="00C93628">
        <w:rPr>
          <w:sz w:val="21"/>
          <w:szCs w:val="21"/>
        </w:rPr>
        <w:t xml:space="preserve">Figure </w:t>
      </w:r>
      <w:r w:rsidRPr="00C93628">
        <w:rPr>
          <w:sz w:val="21"/>
          <w:szCs w:val="21"/>
        </w:rPr>
        <w:fldChar w:fldCharType="begin"/>
      </w:r>
      <w:r w:rsidRPr="00C93628">
        <w:rPr>
          <w:sz w:val="21"/>
          <w:szCs w:val="21"/>
        </w:rPr>
        <w:instrText xml:space="preserve"> SEQ Figure \* ARABIC </w:instrText>
      </w:r>
      <w:r w:rsidRPr="00C93628">
        <w:rPr>
          <w:sz w:val="21"/>
          <w:szCs w:val="21"/>
        </w:rPr>
        <w:fldChar w:fldCharType="separate"/>
      </w:r>
      <w:r w:rsidR="009D56DE" w:rsidRPr="00C93628">
        <w:rPr>
          <w:noProof/>
          <w:sz w:val="21"/>
          <w:szCs w:val="21"/>
        </w:rPr>
        <w:t>1</w:t>
      </w:r>
      <w:r w:rsidRPr="00C93628">
        <w:rPr>
          <w:sz w:val="21"/>
          <w:szCs w:val="21"/>
        </w:rPr>
        <w:fldChar w:fldCharType="end"/>
      </w:r>
      <w:r w:rsidRPr="00C93628">
        <w:rPr>
          <w:sz w:val="21"/>
          <w:szCs w:val="21"/>
        </w:rPr>
        <w:t xml:space="preserve">: Web-based LED Price and Efficacy Data for Recessed Troffer/Panel 2’ x 4’ (Source: California LED Pricing Analysis, Navigant, </w:t>
      </w:r>
      <w:proofErr w:type="gramStart"/>
      <w:r w:rsidRPr="00C93628">
        <w:rPr>
          <w:sz w:val="21"/>
          <w:szCs w:val="21"/>
        </w:rPr>
        <w:t>January</w:t>
      </w:r>
      <w:proofErr w:type="gramEnd"/>
      <w:r w:rsidRPr="00C93628">
        <w:rPr>
          <w:sz w:val="21"/>
          <w:szCs w:val="21"/>
        </w:rPr>
        <w:t xml:space="preserve"> 2018)</w:t>
      </w:r>
      <w:bookmarkEnd w:id="66"/>
    </w:p>
    <w:p w14:paraId="1455582A" w14:textId="77777777" w:rsidR="00001CD9" w:rsidRDefault="00001CD9" w:rsidP="00001CD9">
      <w:pPr>
        <w:rPr>
          <w:rFonts w:ascii="Arial" w:hAnsi="Arial" w:cs="Arial"/>
          <w:sz w:val="20"/>
          <w:highlight w:val="yellow"/>
        </w:rPr>
      </w:pPr>
    </w:p>
    <w:p w14:paraId="2923FC21" w14:textId="77777777" w:rsidR="00001CD9" w:rsidRPr="00B13560" w:rsidRDefault="5B621C54" w:rsidP="00001CD9">
      <w:r>
        <w:t xml:space="preserve">Lumen output </w:t>
      </w:r>
      <w:r w:rsidR="00392B4F">
        <w:t xml:space="preserve">and wattage have a direct relationship, increasing or decreasing proportionally. Therefore, the study’s indication that lumen output is a </w:t>
      </w:r>
      <w:r>
        <w:t xml:space="preserve">main driver of LED prices can also be interpreted </w:t>
      </w:r>
      <w:r w:rsidR="00392B4F">
        <w:t>that</w:t>
      </w:r>
      <w:r>
        <w:t xml:space="preserve"> wattage </w:t>
      </w:r>
      <w:r w:rsidR="00392B4F">
        <w:t>may be a</w:t>
      </w:r>
      <w:r>
        <w:t xml:space="preserve"> primary price </w:t>
      </w:r>
      <w:r w:rsidR="00392B4F">
        <w:t>driver.</w:t>
      </w:r>
      <w:r>
        <w:t xml:space="preserve"> Since both factors could not be test</w:t>
      </w:r>
      <w:r w:rsidR="00954F98">
        <w:t>ed</w:t>
      </w:r>
      <w:r>
        <w:t xml:space="preserve"> simultaneously due to their collinearity, only one was tested. Increasing lumen output in a product would also require increasing power load which could lead to eventually more drivers or more sophisticated drivers, which adds cost to the LED product. This supports traditional IOU Program rebate structure of offering higher incentives for higher wattage products because as wattage increases, so does product purchase price.</w:t>
      </w:r>
    </w:p>
    <w:p w14:paraId="764BDA9C" w14:textId="77777777" w:rsidR="00001CD9" w:rsidRPr="00B13560" w:rsidRDefault="5B621C54" w:rsidP="00001CD9">
      <w:r>
        <w:lastRenderedPageBreak/>
        <w:t>The study also noted that the cost to manufacture a product is separate from the consumer purchase price of that product. So, although it may cost more to increase the efficacy of a product, that additional cost is not being reflected in the purchase price the way lumen output/wattage and manufacturer affect product price. It could be that manufacturers are making trade-offs with other performance parameters to keep prices down as they improve efficacy, but that was not evaluated in this study and could be important future research to better understand the factors that influence LED price.</w:t>
      </w:r>
    </w:p>
    <w:p w14:paraId="570E7BDF" w14:textId="77777777" w:rsidR="00001CD9" w:rsidRPr="00B13560" w:rsidRDefault="00001CD9" w:rsidP="00001CD9"/>
    <w:p w14:paraId="61B2F4C0" w14:textId="0885CC9D" w:rsidR="00001CD9" w:rsidRPr="00B13560" w:rsidRDefault="3C05B5AF" w:rsidP="5B621C54">
      <w:pPr>
        <w:rPr>
          <w:sz w:val="32"/>
          <w:szCs w:val="32"/>
        </w:rPr>
      </w:pPr>
      <w:r>
        <w:t xml:space="preserve">Another important finding of this study was that a larger portion of retrofit installations </w:t>
      </w:r>
      <w:r w:rsidR="003A7E08">
        <w:t xml:space="preserve">entail </w:t>
      </w:r>
      <w:r>
        <w:t>replacing lamps and ballasts only and not entire fixtures. This is due to the extremely long life of commercial baseline (MH, HPS, induction, linear fluorescent) fixtures</w:t>
      </w:r>
      <w:r w:rsidR="003A7E08">
        <w:t>, where steel fixture housings rarely fail</w:t>
      </w:r>
      <w:r>
        <w:t>. This</w:t>
      </w:r>
      <w:r w:rsidR="003A7E08">
        <w:t xml:space="preserve"> finding</w:t>
      </w:r>
      <w:r>
        <w:t xml:space="preserve"> </w:t>
      </w:r>
      <w:r w:rsidR="00392B4F">
        <w:t>ha</w:t>
      </w:r>
      <w:r w:rsidR="003A7E08">
        <w:t>s</w:t>
      </w:r>
      <w:r w:rsidR="00EE57B5">
        <w:t xml:space="preserve"> </w:t>
      </w:r>
      <w:r>
        <w:t>implications for this workpaper</w:t>
      </w:r>
      <w:r w:rsidR="003A7E08">
        <w:t>,</w:t>
      </w:r>
      <w:r>
        <w:t xml:space="preserve"> </w:t>
      </w:r>
      <w:r w:rsidR="003A7E08">
        <w:t xml:space="preserve">and suggested that a base case mix other than 100% </w:t>
      </w:r>
      <w:r>
        <w:t xml:space="preserve">fixture-to-fixture </w:t>
      </w:r>
      <w:r w:rsidR="003A7E08">
        <w:t>is appropriate</w:t>
      </w:r>
      <w:r>
        <w:t xml:space="preserve">.  </w:t>
      </w:r>
      <w:r w:rsidR="003A7E08">
        <w:t>In addition, t</w:t>
      </w:r>
      <w:r>
        <w:t xml:space="preserve">he incremental measure cost in the two scenarios is very different. Since a common consumer purchasing scenario includes replacement lamps and ballasts only, </w:t>
      </w:r>
      <w:r w:rsidR="003A7E08">
        <w:t xml:space="preserve">this </w:t>
      </w:r>
      <w:r>
        <w:t xml:space="preserve">workpaper </w:t>
      </w:r>
      <w:r w:rsidR="003A7E08">
        <w:t xml:space="preserve">has been modified to </w:t>
      </w:r>
      <w:r>
        <w:t xml:space="preserve">consider that scenario in the baseline. </w:t>
      </w:r>
    </w:p>
    <w:p w14:paraId="29644251" w14:textId="77777777" w:rsidR="3C05B5AF" w:rsidRDefault="3C05B5AF" w:rsidP="3C05B5AF">
      <w:pPr>
        <w:pStyle w:val="Default"/>
        <w:rPr>
          <w:rFonts w:ascii="Times New Roman" w:hAnsi="Times New Roman" w:cs="Times New Roman"/>
          <w:color w:val="auto"/>
        </w:rPr>
      </w:pPr>
    </w:p>
    <w:p w14:paraId="0650EBBB" w14:textId="77777777" w:rsidR="00001CD9" w:rsidRPr="00B13560" w:rsidRDefault="3C05B5AF" w:rsidP="00001CD9">
      <w:pPr>
        <w:pStyle w:val="Default"/>
        <w:rPr>
          <w:rFonts w:ascii="Times New Roman" w:hAnsi="Times New Roman" w:cs="Times New Roman"/>
          <w:color w:val="auto"/>
        </w:rPr>
      </w:pPr>
      <w:r w:rsidRPr="3C05B5AF">
        <w:rPr>
          <w:rFonts w:ascii="Times New Roman" w:hAnsi="Times New Roman" w:cs="Times New Roman"/>
          <w:color w:val="auto"/>
        </w:rPr>
        <w:t xml:space="preserve">The study determined that prices will continue to decrease over the next 5 years; however, the rate of decline is slowing across all product categories. It will continue to be important to closely monitor LED prices and update </w:t>
      </w:r>
      <w:proofErr w:type="spellStart"/>
      <w:r w:rsidRPr="3C05B5AF">
        <w:rPr>
          <w:rFonts w:ascii="Times New Roman" w:hAnsi="Times New Roman" w:cs="Times New Roman"/>
          <w:color w:val="auto"/>
        </w:rPr>
        <w:t>workpapers</w:t>
      </w:r>
      <w:proofErr w:type="spellEnd"/>
      <w:r w:rsidRPr="3C05B5AF">
        <w:rPr>
          <w:rFonts w:ascii="Times New Roman" w:hAnsi="Times New Roman" w:cs="Times New Roman"/>
          <w:color w:val="auto"/>
        </w:rPr>
        <w:t xml:space="preserve"> at least annually</w:t>
      </w:r>
      <w:r w:rsidR="00392B4F">
        <w:rPr>
          <w:rFonts w:ascii="Times New Roman" w:hAnsi="Times New Roman" w:cs="Times New Roman"/>
          <w:color w:val="auto"/>
        </w:rPr>
        <w:t>.</w:t>
      </w:r>
      <w:r w:rsidRPr="3C05B5AF">
        <w:rPr>
          <w:rFonts w:ascii="Times New Roman" w:hAnsi="Times New Roman" w:cs="Times New Roman"/>
          <w:color w:val="auto"/>
        </w:rPr>
        <w:t xml:space="preserve"> </w:t>
      </w:r>
    </w:p>
    <w:p w14:paraId="6970114A" w14:textId="77777777" w:rsidR="00001CD9" w:rsidRPr="00BF592C" w:rsidRDefault="00001CD9" w:rsidP="00001CD9"/>
    <w:p w14:paraId="0B54321B" w14:textId="0E2075B5" w:rsidR="00001CD9" w:rsidRDefault="00001CD9" w:rsidP="00C70365">
      <w:pPr>
        <w:pStyle w:val="Heading3"/>
        <w:spacing w:before="120"/>
        <w:rPr>
          <w:highlight w:val="yellow"/>
        </w:rPr>
      </w:pPr>
      <w:bookmarkStart w:id="67" w:name="_Toc511134194"/>
      <w:bookmarkStart w:id="68" w:name="_Toc2803204"/>
      <w:r w:rsidRPr="00BF592C">
        <w:t>1.</w:t>
      </w:r>
      <w:r w:rsidR="005B0952">
        <w:t>5</w:t>
      </w:r>
      <w:r w:rsidRPr="00BF592C">
        <w:t>.</w:t>
      </w:r>
      <w:r w:rsidR="00073430">
        <w:t>5</w:t>
      </w:r>
      <w:r w:rsidR="00073430" w:rsidRPr="00BF592C">
        <w:t xml:space="preserve"> </w:t>
      </w:r>
      <w:r w:rsidRPr="00BF592C">
        <w:t>LED Workpaper Update Study, Navigant 2015</w:t>
      </w:r>
      <w:r w:rsidR="00006704">
        <w:rPr>
          <w:rStyle w:val="EndnoteReference"/>
        </w:rPr>
        <w:endnoteReference w:id="14"/>
      </w:r>
      <w:bookmarkEnd w:id="67"/>
      <w:bookmarkEnd w:id="68"/>
      <w:r w:rsidR="001D6954">
        <w:t xml:space="preserve"> </w:t>
      </w:r>
    </w:p>
    <w:p w14:paraId="3812F0B4" w14:textId="77777777" w:rsidR="00001CD9" w:rsidRPr="00B13560" w:rsidRDefault="5B621C54" w:rsidP="00001CD9">
      <w:r>
        <w:t>The LED Workpaper Update Study, also conducted by Navigant Consulting Inc</w:t>
      </w:r>
      <w:r w:rsidR="00383EDB">
        <w:t>.</w:t>
      </w:r>
      <w:r>
        <w:t xml:space="preserve"> from 2015 was similar to the study completed in 2018. Its objective was to develop findings and recommendations for updates to key parameters and methodologies used in the </w:t>
      </w:r>
      <w:proofErr w:type="spellStart"/>
      <w:r>
        <w:t>workpapers</w:t>
      </w:r>
      <w:proofErr w:type="spellEnd"/>
      <w:r>
        <w:t>, program planning, and parts of the DEER database that target light-emitting diodes (LEDs), to ensure that IOU lighting programs can keep up with rapid changes in LED pricing and efficacy.</w:t>
      </w:r>
    </w:p>
    <w:p w14:paraId="49A8FA63" w14:textId="77777777" w:rsidR="00001CD9" w:rsidRPr="00B13560" w:rsidRDefault="00001CD9" w:rsidP="00001CD9"/>
    <w:p w14:paraId="729A8F5D" w14:textId="77777777" w:rsidR="00001CD9" w:rsidRPr="00B13560" w:rsidRDefault="5B621C54" w:rsidP="00001CD9">
      <w:pPr>
        <w:tabs>
          <w:tab w:val="num" w:pos="720"/>
        </w:tabs>
      </w:pPr>
      <w:r>
        <w:t>Three key research topics for high priority LED product categories were 1) LED pricing (for both residential and non-residential products), 2) Non-residential baseline wattages (which inform the selection of appropriate wattage reduction ratios or wattage ranges), and 3) the ability of the currently used savings estimation methods to predict non-residential baselines (e.g., wattage reduction ratio and wattage ranges).</w:t>
      </w:r>
    </w:p>
    <w:p w14:paraId="2E7AD61A" w14:textId="77777777" w:rsidR="00001CD9" w:rsidRPr="00B13560" w:rsidRDefault="00001CD9" w:rsidP="00001CD9">
      <w:pPr>
        <w:tabs>
          <w:tab w:val="num" w:pos="720"/>
        </w:tabs>
      </w:pPr>
    </w:p>
    <w:p w14:paraId="39746BE7" w14:textId="77777777" w:rsidR="00001CD9" w:rsidRPr="00B13560" w:rsidRDefault="5B621C54" w:rsidP="00001CD9">
      <w:pPr>
        <w:tabs>
          <w:tab w:val="num" w:pos="720"/>
        </w:tabs>
      </w:pPr>
      <w:r>
        <w:t>Price data was collected through web-scraping, market-actor surveys of contractors, distributors, and commercial end</w:t>
      </w:r>
      <w:r w:rsidR="00553275">
        <w:t xml:space="preserve"> </w:t>
      </w:r>
      <w:r w:rsidR="00FF6BB4">
        <w:t>users</w:t>
      </w:r>
      <w:r>
        <w:t xml:space="preserve"> and through in-depth interviews with manufacturers and retailers. The study developed price estimates that were current for 2015, and it also looked at factors that affect pricing and how often </w:t>
      </w:r>
      <w:proofErr w:type="spellStart"/>
      <w:r>
        <w:t>workpapers</w:t>
      </w:r>
      <w:proofErr w:type="spellEnd"/>
      <w:r>
        <w:t xml:space="preserve"> need to be updated to include most current pricing.</w:t>
      </w:r>
    </w:p>
    <w:p w14:paraId="425C4932" w14:textId="77777777" w:rsidR="00001CD9" w:rsidRPr="00B13560" w:rsidRDefault="00001CD9" w:rsidP="00001CD9">
      <w:pPr>
        <w:tabs>
          <w:tab w:val="num" w:pos="720"/>
        </w:tabs>
      </w:pPr>
    </w:p>
    <w:p w14:paraId="6970D98E" w14:textId="77777777" w:rsidR="0031254A" w:rsidRPr="00C86607" w:rsidRDefault="5B621C54" w:rsidP="0031254A">
      <w:pPr>
        <w:autoSpaceDE w:val="0"/>
        <w:autoSpaceDN w:val="0"/>
        <w:adjustRightInd w:val="0"/>
        <w:rPr>
          <w:szCs w:val="20"/>
        </w:rPr>
      </w:pPr>
      <w:r>
        <w:t xml:space="preserve">The 2015 study found higher annual percentage price declines for LED products which have since slowed down as shown in the 2018 study. While annual decreases for LED luminaires were found to be 20% per year </w:t>
      </w:r>
      <w:r w:rsidR="0031254A">
        <w:t>from 2015-20</w:t>
      </w:r>
      <w:r w:rsidR="007406A5">
        <w:t>18</w:t>
      </w:r>
      <w:r>
        <w:t xml:space="preserve">, </w:t>
      </w:r>
      <w:r w:rsidR="00C86607">
        <w:t>they are</w:t>
      </w:r>
      <w:r>
        <w:t xml:space="preserve"> now expected to be </w:t>
      </w:r>
      <w:r w:rsidR="00C86607">
        <w:t>9</w:t>
      </w:r>
      <w:r w:rsidR="0031254A">
        <w:t>% per yea</w:t>
      </w:r>
      <w:r w:rsidR="00C86607">
        <w:t>r from 2017-2020 decreasing to 8</w:t>
      </w:r>
      <w:r w:rsidR="0031254A">
        <w:t>% per year from 2020-2022</w:t>
      </w:r>
      <w:r w:rsidR="00C86607">
        <w:t xml:space="preserve"> on average across all product categories (10% annual rate of decline from 2017-2020 for LED outdoor lighting and 9% annual rate of decline from 2020-2022</w:t>
      </w:r>
      <w:r>
        <w:t>.</w:t>
      </w:r>
      <w:r w:rsidR="00C86607">
        <w:t xml:space="preserve"> However, accuracy of these price projections may be limited due to the small dataset.</w:t>
      </w:r>
      <w:r>
        <w:t xml:space="preserve"> </w:t>
      </w:r>
    </w:p>
    <w:p w14:paraId="295706FC" w14:textId="77777777" w:rsidR="00C86607" w:rsidRPr="00C86607" w:rsidRDefault="5B621C54" w:rsidP="00C86607">
      <w:pPr>
        <w:autoSpaceDE w:val="0"/>
        <w:autoSpaceDN w:val="0"/>
        <w:adjustRightInd w:val="0"/>
        <w:rPr>
          <w:szCs w:val="20"/>
        </w:rPr>
      </w:pPr>
      <w:r>
        <w:lastRenderedPageBreak/>
        <w:t>The study suggested price assumptions be updated annually using web-scraping until prices stabilize.</w:t>
      </w:r>
      <w:r w:rsidR="00C86607">
        <w:t xml:space="preserve"> </w:t>
      </w:r>
      <w:r w:rsidR="00C86607" w:rsidRPr="00C86607">
        <w:rPr>
          <w:szCs w:val="20"/>
        </w:rPr>
        <w:t>This will help ensure</w:t>
      </w:r>
      <w:r w:rsidR="00C86607">
        <w:rPr>
          <w:szCs w:val="20"/>
        </w:rPr>
        <w:t xml:space="preserve"> projections of LED price remain useful to the IOUs.</w:t>
      </w:r>
    </w:p>
    <w:p w14:paraId="0AB3C8B1" w14:textId="77777777" w:rsidR="00001CD9" w:rsidRPr="00B13560" w:rsidRDefault="5B621C54" w:rsidP="0031254A">
      <w:pPr>
        <w:tabs>
          <w:tab w:val="num" w:pos="720"/>
        </w:tabs>
      </w:pPr>
      <w:r>
        <w:t xml:space="preserve"> The study also found that regional price differences in California are negligible and so all IOUs can use the same cost data in </w:t>
      </w:r>
      <w:proofErr w:type="spellStart"/>
      <w:r>
        <w:t>workpapers</w:t>
      </w:r>
      <w:proofErr w:type="spellEnd"/>
      <w:r>
        <w:t>.</w:t>
      </w:r>
    </w:p>
    <w:p w14:paraId="2E26EB4B" w14:textId="77777777" w:rsidR="00001CD9" w:rsidRPr="00B13560" w:rsidRDefault="00001CD9" w:rsidP="00001CD9">
      <w:pPr>
        <w:tabs>
          <w:tab w:val="num" w:pos="720"/>
        </w:tabs>
      </w:pPr>
    </w:p>
    <w:p w14:paraId="261D708B" w14:textId="10075983" w:rsidR="00001CD9" w:rsidRPr="00B13560" w:rsidRDefault="3C05B5AF" w:rsidP="00001CD9">
      <w:pPr>
        <w:tabs>
          <w:tab w:val="num" w:pos="720"/>
        </w:tabs>
      </w:pPr>
      <w:r>
        <w:t xml:space="preserve">In terms of factors that influence the price of luminaires, no one factor was found to significantly affect pricing, but there were many: efficacy, lumens, watts, CRI, lifetime. This analysis was repeated in the 2018 pricing study and correlation factors were assigned and lumen output/wattage was determined to be the greatest influence on price. </w:t>
      </w:r>
      <w:r w:rsidR="00C51C36">
        <w:t xml:space="preserve">IOU LED </w:t>
      </w:r>
      <w:r w:rsidR="00BF2EF4">
        <w:t xml:space="preserve">deemed </w:t>
      </w:r>
      <w:r w:rsidR="00C51C36">
        <w:t>lighting</w:t>
      </w:r>
      <w:r w:rsidR="00BF2EF4">
        <w:t xml:space="preserve"> measures</w:t>
      </w:r>
      <w:r w:rsidR="00C51C36">
        <w:t xml:space="preserve"> have </w:t>
      </w:r>
      <w:r w:rsidR="00BF2EF4">
        <w:t xml:space="preserve">assumed that measure costs have scaled with efficacy, therefore this finding that efficacy may not be a key price driver implies that further analysis should be conducted to consider how to incorporate </w:t>
      </w:r>
      <w:r w:rsidR="001A511E">
        <w:t xml:space="preserve">other price drivers in measure design to encourage </w:t>
      </w:r>
      <w:r w:rsidR="003A7E08">
        <w:t xml:space="preserve">greatest energy </w:t>
      </w:r>
      <w:r w:rsidR="001A511E">
        <w:t>efficiency.</w:t>
      </w:r>
      <w:r w:rsidR="003A7E08">
        <w:t xml:space="preserve"> For this workpaper, the available DLC-listed products pointed the way to a single-tier measure structure. </w:t>
      </w:r>
      <w:r w:rsidR="00BF2EF4">
        <w:t xml:space="preserve">  </w:t>
      </w:r>
    </w:p>
    <w:p w14:paraId="5273453C" w14:textId="77777777" w:rsidR="00001CD9" w:rsidRPr="00B13560" w:rsidRDefault="00C51C36" w:rsidP="00001CD9">
      <w:pPr>
        <w:tabs>
          <w:tab w:val="num" w:pos="720"/>
        </w:tabs>
      </w:pPr>
      <w:r>
        <w:t xml:space="preserve"> </w:t>
      </w:r>
    </w:p>
    <w:p w14:paraId="2B33E63D" w14:textId="77777777" w:rsidR="00001CD9" w:rsidRPr="00B13560" w:rsidRDefault="5B621C54" w:rsidP="00001CD9">
      <w:pPr>
        <w:tabs>
          <w:tab w:val="num" w:pos="720"/>
        </w:tabs>
      </w:pPr>
      <w:r>
        <w:t>The projected LED price decline is expected to have a significant impact on LED adoption in California. The forecasted installed stock penetration of LEDs into the various outdoor applications was expected to increase from 11-19% in 2015 to 42-54% in 2018, and then increase further to 66-78% in 2020. IOU Program</w:t>
      </w:r>
      <w:r w:rsidR="001A511E">
        <w:t>s</w:t>
      </w:r>
      <w:r>
        <w:t xml:space="preserve"> can help accelerate this adoption curve and </w:t>
      </w:r>
      <w:r w:rsidR="001A511E">
        <w:t xml:space="preserve">encourage the adoption of higher and highest </w:t>
      </w:r>
      <w:r>
        <w:t xml:space="preserve">efficiency </w:t>
      </w:r>
      <w:r w:rsidR="001A511E">
        <w:t>products</w:t>
      </w:r>
      <w:r w:rsidR="00C86607">
        <w:t>.</w:t>
      </w:r>
    </w:p>
    <w:p w14:paraId="01148B07" w14:textId="77777777" w:rsidR="00001CD9" w:rsidRPr="00B13560" w:rsidRDefault="00001CD9" w:rsidP="00001CD9">
      <w:pPr>
        <w:tabs>
          <w:tab w:val="num" w:pos="720"/>
        </w:tabs>
      </w:pPr>
    </w:p>
    <w:p w14:paraId="0C264F5B" w14:textId="6B355419" w:rsidR="00001CD9" w:rsidRPr="00B13560" w:rsidRDefault="3C05B5AF" w:rsidP="00001CD9">
      <w:pPr>
        <w:tabs>
          <w:tab w:val="num" w:pos="720"/>
        </w:tabs>
      </w:pPr>
      <w:r>
        <w:t xml:space="preserve">Market actors said that lumen equivalence was the single most important factor when selecting an LED. End users also considered light color and wattage equivalence when selecting an LED fixture. It will be important to research and understand how customers perceive lumen equivalence in LED fixtures and if there is bin jumping similar to what reportedly occurs with LED lamps – when market actors choose an LED that </w:t>
      </w:r>
      <w:r w:rsidR="00025C30">
        <w:t>i</w:t>
      </w:r>
      <w:r>
        <w:t>s not equivalent</w:t>
      </w:r>
      <w:r w:rsidR="00025C30">
        <w:t xml:space="preserve"> in light output to their baseline product</w:t>
      </w:r>
      <w:r>
        <w:t xml:space="preserve">. </w:t>
      </w:r>
      <w:r w:rsidR="00025C30">
        <w:t xml:space="preserve">We hope the new </w:t>
      </w:r>
      <w:r>
        <w:t xml:space="preserve">measure structure </w:t>
      </w:r>
      <w:r w:rsidR="00025C30">
        <w:t xml:space="preserve">change to lumen bins in this </w:t>
      </w:r>
      <w:r>
        <w:t xml:space="preserve">workpaper </w:t>
      </w:r>
      <w:r w:rsidR="00025C30">
        <w:t>revision will help emphasize light output as the most important metric in product selection</w:t>
      </w:r>
      <w:r>
        <w:t>.</w:t>
      </w:r>
    </w:p>
    <w:p w14:paraId="34BF184C" w14:textId="77777777" w:rsidR="00001CD9" w:rsidRPr="000C6AAD" w:rsidRDefault="00001CD9" w:rsidP="00001CD9">
      <w:pPr>
        <w:ind w:left="720"/>
        <w:rPr>
          <w:rFonts w:ascii="Arial" w:hAnsi="Arial" w:cs="Arial"/>
          <w:sz w:val="20"/>
          <w:highlight w:val="yellow"/>
        </w:rPr>
      </w:pPr>
    </w:p>
    <w:p w14:paraId="2213F078" w14:textId="0CDE5818" w:rsidR="00001CD9" w:rsidRPr="00556F58" w:rsidRDefault="5B621C54" w:rsidP="00556F58">
      <w:pPr>
        <w:tabs>
          <w:tab w:val="num" w:pos="720"/>
        </w:tabs>
      </w:pPr>
      <w:r>
        <w:t xml:space="preserve">When Navigant considered the incidence of early retirement, the results showed that the majority of contractors and end users indicated that they are more likely to replace equipment before the end of useful life with LEDs. This suggests that LED decision making is unique and warrants additional research on ER and </w:t>
      </w:r>
      <w:r w:rsidR="00782A5E">
        <w:t xml:space="preserve">NR </w:t>
      </w:r>
      <w:r>
        <w:t>baselines. The IOUs are considering incorporating early retirement measures into future workpaper updates to capture the additional energy savings potential in the market.</w:t>
      </w:r>
    </w:p>
    <w:p w14:paraId="71FCE70C" w14:textId="77777777" w:rsidR="00001CD9" w:rsidRDefault="00001CD9" w:rsidP="00001CD9">
      <w:pPr>
        <w:rPr>
          <w:highlight w:val="yellow"/>
        </w:rPr>
      </w:pPr>
    </w:p>
    <w:p w14:paraId="0E38A971" w14:textId="77777777" w:rsidR="0025069A" w:rsidRDefault="00001CD9" w:rsidP="0025069A">
      <w:pPr>
        <w:keepNext/>
      </w:pPr>
      <w:r>
        <w:rPr>
          <w:noProof/>
        </w:rPr>
        <w:lastRenderedPageBreak/>
        <w:drawing>
          <wp:inline distT="0" distB="0" distL="0" distR="0" wp14:anchorId="195FE696" wp14:editId="0F1DBA2C">
            <wp:extent cx="4278107" cy="2371060"/>
            <wp:effectExtent l="0" t="0" r="8255" b="0"/>
            <wp:docPr id="601821200"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pic:cNvPicPr/>
                  </pic:nvPicPr>
                  <pic:blipFill>
                    <a:blip r:embed="rId24" cstate="print">
                      <a:extLst>
                        <a:ext uri="{28A0092B-C50C-407E-A947-70E740481C1C}">
                          <a14:useLocalDpi xmlns:a14="http://schemas.microsoft.com/office/drawing/2010/main" val="0"/>
                        </a:ext>
                      </a:extLst>
                    </a:blip>
                    <a:stretch>
                      <a:fillRect/>
                    </a:stretch>
                  </pic:blipFill>
                  <pic:spPr>
                    <a:xfrm>
                      <a:off x="0" y="0"/>
                      <a:ext cx="4278107" cy="2371060"/>
                    </a:xfrm>
                    <a:prstGeom prst="rect">
                      <a:avLst/>
                    </a:prstGeom>
                  </pic:spPr>
                </pic:pic>
              </a:graphicData>
            </a:graphic>
          </wp:inline>
        </w:drawing>
      </w:r>
    </w:p>
    <w:p w14:paraId="2EC9097A" w14:textId="77777777" w:rsidR="00CA0351" w:rsidRDefault="0025069A" w:rsidP="0025069A">
      <w:pPr>
        <w:pStyle w:val="Caption"/>
      </w:pPr>
      <w:bookmarkStart w:id="69" w:name="_Toc2803246"/>
      <w:r>
        <w:t xml:space="preserve">Figure </w:t>
      </w:r>
      <w:fldSimple w:instr=" SEQ Figure \* ARABIC ">
        <w:r w:rsidR="009D56DE">
          <w:rPr>
            <w:noProof/>
          </w:rPr>
          <w:t>2</w:t>
        </w:r>
      </w:fldSimple>
      <w:r>
        <w:t xml:space="preserve">: Willingness to replace equipment with LEDs before end of useful life, relative to other replacements </w:t>
      </w:r>
      <w:r w:rsidRPr="007406A5">
        <w:t xml:space="preserve">(Source: California LED Workpaper Update Study, Navigant, </w:t>
      </w:r>
      <w:proofErr w:type="gramStart"/>
      <w:r w:rsidRPr="007406A5">
        <w:t>August</w:t>
      </w:r>
      <w:proofErr w:type="gramEnd"/>
      <w:r w:rsidRPr="007406A5">
        <w:t xml:space="preserve"> 2015)</w:t>
      </w:r>
      <w:bookmarkEnd w:id="69"/>
    </w:p>
    <w:p w14:paraId="717D545A" w14:textId="77777777" w:rsidR="00001CD9" w:rsidRPr="00556F58" w:rsidRDefault="00001CD9" w:rsidP="00001CD9">
      <w:pPr>
        <w:rPr>
          <w:sz w:val="32"/>
        </w:rPr>
      </w:pPr>
    </w:p>
    <w:p w14:paraId="7019E206" w14:textId="77777777" w:rsidR="00001CD9" w:rsidRPr="00556F58" w:rsidRDefault="5B621C54" w:rsidP="00001CD9">
      <w:r>
        <w:t>Survey data and specifications on existing fixtures also indicate that LEDs replacing metal halides and linear fluorescents are not near the upper end of the LED wattage ranges in the</w:t>
      </w:r>
      <w:r w:rsidR="006D5910">
        <w:t xml:space="preserve"> May 2014</w:t>
      </w:r>
      <w:r>
        <w:t xml:space="preserve"> disposition. The Navigant study results and IOU program data analysis point out that the majority of program activity happens in the lower wattage ranges for PG&amp;E and it would be advisable for IOUs to break these measure codes into narrower wattage ranges to more accurately capture savings. </w:t>
      </w:r>
    </w:p>
    <w:p w14:paraId="2C00FE96" w14:textId="77777777" w:rsidR="00001CD9" w:rsidRPr="00556F58" w:rsidRDefault="00001CD9" w:rsidP="00001CD9"/>
    <w:p w14:paraId="3D338474" w14:textId="12229E2A" w:rsidR="00001CD9" w:rsidRPr="00BF592C" w:rsidRDefault="5B621C54" w:rsidP="00001CD9">
      <w:r>
        <w:t xml:space="preserve">This revision of the workpaper breaks the measure codes into smaller </w:t>
      </w:r>
      <w:r w:rsidR="00057325">
        <w:t xml:space="preserve">bin sizes </w:t>
      </w:r>
      <w:r>
        <w:t>and separate outdoor lighting product categories to more accurately capture savings and going forward will also evaluate program data to better understand what wattage</w:t>
      </w:r>
      <w:r w:rsidR="00057325">
        <w:t>/lumen output</w:t>
      </w:r>
      <w:r>
        <w:t xml:space="preserve"> products customers are buying. This program information can then be used to more accurately calculate energy savings.</w:t>
      </w:r>
    </w:p>
    <w:p w14:paraId="7C6D264F" w14:textId="5448DD63" w:rsidR="00001CD9" w:rsidRDefault="00001CD9" w:rsidP="00001CD9"/>
    <w:p w14:paraId="289C7E34" w14:textId="28C6AE03" w:rsidR="004402AE" w:rsidRDefault="004402AE" w:rsidP="005F1C69">
      <w:pPr>
        <w:pStyle w:val="Heading3"/>
        <w:spacing w:before="120"/>
        <w:rPr>
          <w:b w:val="0"/>
        </w:rPr>
      </w:pPr>
      <w:bookmarkStart w:id="70" w:name="_Toc2803205"/>
      <w:r>
        <w:t xml:space="preserve">1.5.6 </w:t>
      </w:r>
      <w:r w:rsidR="00AB3DAC">
        <w:t>Exterior Lighting Standard Practice Baseline and Workpaper Support, TRC Energy Services</w:t>
      </w:r>
      <w:r w:rsidR="00AB3DAC">
        <w:rPr>
          <w:rStyle w:val="EndnoteReference"/>
        </w:rPr>
        <w:endnoteReference w:id="15"/>
      </w:r>
      <w:bookmarkEnd w:id="70"/>
      <w:r w:rsidR="00AB3DAC">
        <w:t xml:space="preserve"> </w:t>
      </w:r>
    </w:p>
    <w:p w14:paraId="26B8ACA0" w14:textId="2B3A62AC" w:rsidR="00AB3DAC" w:rsidRPr="00454D13" w:rsidRDefault="00AB3DAC" w:rsidP="00AB3DAC">
      <w:r>
        <w:t>The California Investor-Owned Utilities completed an Exterior Lighting Standard Practice Baseline and Workpaper Support Study in December 2018, per the 2017ExteriorLEDFixturesDisposition-BaselineClarifications-12Apr2017, Resolution E-4795, and SCE-16-C-C-0073_0500804246_Ext. LED Lighting, dated 02/15/2017.  The results support the CPUC’s modification of the standard practice baseline for outdoor lighting to 100% LED technology</w:t>
      </w:r>
      <w:r w:rsidR="0083707A">
        <w:t>, however per Resolution E-4952, the parking garage baseline technology mix (60% LED, 20% metal halide, 20% linear fluorescent) is effective through December 31, 2019, therefore this Revision 9 maintains that blended mix. PG&amp;E will work with the other IOUs to submit a revised workpaper that incorporates the Exterior Lighting Standard Practice Baseline Study findings.</w:t>
      </w:r>
    </w:p>
    <w:p w14:paraId="0263B28B" w14:textId="7B4213FC" w:rsidR="00001CD9" w:rsidRDefault="5B621C54" w:rsidP="00001CD9">
      <w:pPr>
        <w:pStyle w:val="Heading3"/>
        <w:rPr>
          <w:highlight w:val="yellow"/>
        </w:rPr>
      </w:pPr>
      <w:bookmarkStart w:id="71" w:name="_Toc511134195"/>
      <w:bookmarkStart w:id="72" w:name="_Toc2803206"/>
      <w:r>
        <w:t>1.</w:t>
      </w:r>
      <w:r w:rsidR="005B0952">
        <w:t>5</w:t>
      </w:r>
      <w:r>
        <w:t>.</w:t>
      </w:r>
      <w:r w:rsidR="004402AE">
        <w:t>7</w:t>
      </w:r>
      <w:r w:rsidR="00073430">
        <w:t xml:space="preserve"> </w:t>
      </w:r>
      <w:r>
        <w:t>LED Non-Residential Lighting Market Characterization, Navigant – In Progress</w:t>
      </w:r>
      <w:bookmarkEnd w:id="71"/>
      <w:r w:rsidR="001D6954">
        <w:t xml:space="preserve"> Update</w:t>
      </w:r>
      <w:bookmarkEnd w:id="72"/>
    </w:p>
    <w:p w14:paraId="45C52C21" w14:textId="551A773D" w:rsidR="00001CD9" w:rsidRDefault="5B621C54" w:rsidP="00C11361">
      <w:pPr>
        <w:rPr>
          <w:b/>
          <w:bCs/>
        </w:rPr>
      </w:pPr>
      <w:r w:rsidRPr="5B621C54">
        <w:t>This Statewide Non-Residential LED Market Characterization Study being conducted by Navigant Consulting, Inc</w:t>
      </w:r>
      <w:r w:rsidR="00896B2E">
        <w:t>.</w:t>
      </w:r>
      <w:r w:rsidRPr="5B621C54">
        <w:t xml:space="preserve"> </w:t>
      </w:r>
      <w:r w:rsidR="00D13FF8">
        <w:t>was initially scoped in</w:t>
      </w:r>
      <w:r w:rsidR="002764EB">
        <w:t xml:space="preserve"> </w:t>
      </w:r>
      <w:r w:rsidRPr="5B621C54">
        <w:t xml:space="preserve">response to a June 26, 2015 </w:t>
      </w:r>
      <w:r w:rsidR="00331D63">
        <w:t xml:space="preserve">workpaper </w:t>
      </w:r>
      <w:r w:rsidR="00D13FF8">
        <w:t xml:space="preserve">disposition for </w:t>
      </w:r>
      <w:r w:rsidR="00D13FF8" w:rsidRPr="00D13FF8">
        <w:t>PGECOLTG179 LED Ambient Commercial Fixtures and Retrofit Kits</w:t>
      </w:r>
      <w:r w:rsidRPr="5B621C54">
        <w:t xml:space="preserve">, seeking additional </w:t>
      </w:r>
      <w:r w:rsidRPr="5B621C54">
        <w:lastRenderedPageBreak/>
        <w:t>clarification on qualifying LED technologies for the IOUs. Its expected completion date is Q</w:t>
      </w:r>
      <w:r w:rsidR="00FA3C50">
        <w:t>1</w:t>
      </w:r>
      <w:r w:rsidRPr="5B621C54">
        <w:t xml:space="preserve"> 201</w:t>
      </w:r>
      <w:r w:rsidR="00FA3C50">
        <w:t>9</w:t>
      </w:r>
      <w:r w:rsidR="00896B2E">
        <w:t xml:space="preserve">. </w:t>
      </w:r>
      <w:r w:rsidRPr="5B621C54">
        <w:t xml:space="preserve">In that decision, Commission Staff </w:t>
      </w:r>
      <w:r w:rsidR="00782A5E">
        <w:t>thought it was</w:t>
      </w:r>
      <w:r w:rsidRPr="5B621C54">
        <w:t xml:space="preserve"> unclear that the DLC QPL meets the requirements of incentivizing the top half of quality products in the non-residential lighting market. In that</w:t>
      </w:r>
      <w:r w:rsidR="00896B2E">
        <w:t xml:space="preserve"> same</w:t>
      </w:r>
      <w:r w:rsidRPr="5B621C54">
        <w:t xml:space="preserve"> disposition, Commission Staff wrote the following:</w:t>
      </w:r>
    </w:p>
    <w:p w14:paraId="383AB938" w14:textId="77777777" w:rsidR="00556F58" w:rsidRPr="00556F58" w:rsidRDefault="00556F58" w:rsidP="00C93628">
      <w:pPr>
        <w:spacing w:line="144" w:lineRule="auto"/>
      </w:pPr>
    </w:p>
    <w:p w14:paraId="3FE071E9" w14:textId="77777777" w:rsidR="00001CD9" w:rsidRPr="00556F58" w:rsidRDefault="5B621C54" w:rsidP="001C0359">
      <w:pPr>
        <w:ind w:left="720"/>
        <w:rPr>
          <w:sz w:val="32"/>
          <w:szCs w:val="32"/>
          <w:highlight w:val="yellow"/>
        </w:rPr>
      </w:pPr>
      <w:r w:rsidRPr="5B621C54">
        <w:rPr>
          <w:i/>
          <w:iCs/>
        </w:rPr>
        <w:t>“However, the products covered by this work paper are not covered by the CEC standard and therefore must still be “products that are in the top half of quality on the market.” As added guidance along with the more general guidance provided by the Commission in the text of the Decision (at 79) that “Our goal, as in D.12-05-015, is to avoid offering incentives for lighting products that do not meet consumer expectations and result in a poor lighting experience, discouraging customers from investing in energy efficient lighting in the future.” It is unclear that the DLC listed products meet this requirement. The work paper shall be revised to include the process utilized by the PAs that will ensure that products offered meet the direction from D.12-11-015.”</w:t>
      </w:r>
    </w:p>
    <w:p w14:paraId="207EC5F2" w14:textId="77777777" w:rsidR="00001CD9" w:rsidRPr="00556F58" w:rsidRDefault="00001CD9" w:rsidP="00001CD9"/>
    <w:p w14:paraId="3A7CA7A3" w14:textId="77777777" w:rsidR="00001CD9" w:rsidRDefault="5B621C54" w:rsidP="00001CD9">
      <w:r>
        <w:t>This market share study is an effort to determine the size of the non-residential LED market and the relative market share of products on the DLC QPL. The study is also developing a proposed definition of “quality” for non-residential lighting and will work with Commission staff to finalize this quality definition for future use in PA’s lighting portfolio.</w:t>
      </w:r>
    </w:p>
    <w:p w14:paraId="5B37E012" w14:textId="77777777" w:rsidR="002764EB" w:rsidRDefault="002764EB" w:rsidP="00001CD9"/>
    <w:p w14:paraId="655EB535" w14:textId="77777777" w:rsidR="00620A00" w:rsidRPr="00556F58" w:rsidRDefault="5B621C54" w:rsidP="5B621C54">
      <w:pPr>
        <w:rPr>
          <w:sz w:val="32"/>
          <w:szCs w:val="32"/>
        </w:rPr>
      </w:pPr>
      <w:r>
        <w:t>Until this study is completed, IOUs will use the DOE Lighting Facts database as a proxy for representing the LED market.</w:t>
      </w:r>
    </w:p>
    <w:p w14:paraId="7D5AA591" w14:textId="77777777" w:rsidR="00C21199" w:rsidRDefault="00C21199" w:rsidP="00A725CB">
      <w:bookmarkStart w:id="73" w:name="_Ref510885807"/>
      <w:bookmarkStart w:id="74" w:name="_Toc511134196"/>
    </w:p>
    <w:p w14:paraId="198E9A6C" w14:textId="0EF3B5FB" w:rsidR="00A115EF" w:rsidRPr="00454D13" w:rsidRDefault="5B621C54" w:rsidP="00C21199">
      <w:pPr>
        <w:pStyle w:val="Heading2"/>
        <w:spacing w:before="0"/>
      </w:pPr>
      <w:bookmarkStart w:id="75" w:name="_Toc2803207"/>
      <w:r>
        <w:t>1.</w:t>
      </w:r>
      <w:r w:rsidR="005B0952">
        <w:t xml:space="preserve">6 </w:t>
      </w:r>
      <w:r>
        <w:t>Data Quality and Future Data Needs</w:t>
      </w:r>
      <w:bookmarkEnd w:id="73"/>
      <w:bookmarkEnd w:id="74"/>
      <w:bookmarkEnd w:id="75"/>
      <w:r w:rsidR="00A33C08">
        <w:t xml:space="preserve"> </w:t>
      </w:r>
    </w:p>
    <w:p w14:paraId="5EC93388" w14:textId="7F473AD4" w:rsidR="00327167" w:rsidRDefault="5B621C54" w:rsidP="00327167">
      <w:pPr>
        <w:pStyle w:val="Heading3"/>
      </w:pPr>
      <w:bookmarkStart w:id="76" w:name="_Toc511134198"/>
      <w:bookmarkStart w:id="77" w:name="_Ref511142462"/>
      <w:bookmarkStart w:id="78" w:name="_Toc2803208"/>
      <w:bookmarkStart w:id="79" w:name="_Hlk510966190"/>
      <w:r>
        <w:t>1.</w:t>
      </w:r>
      <w:r w:rsidR="005B0952">
        <w:t>6</w:t>
      </w:r>
      <w:r>
        <w:t>.</w:t>
      </w:r>
      <w:r w:rsidR="001B238A">
        <w:t>1</w:t>
      </w:r>
      <w:r>
        <w:t xml:space="preserve"> Inclusion of Early Retirement (ER)/Accelerated Replacement (AR) Measure Application Type</w:t>
      </w:r>
      <w:bookmarkEnd w:id="76"/>
      <w:bookmarkEnd w:id="77"/>
      <w:bookmarkEnd w:id="78"/>
    </w:p>
    <w:p w14:paraId="67CAC3E4" w14:textId="10FD3EAA" w:rsidR="005F7279" w:rsidRDefault="003F6721" w:rsidP="005F7279">
      <w:r>
        <w:t>The</w:t>
      </w:r>
      <w:r w:rsidR="00450145">
        <w:t xml:space="preserve"> IOUs are</w:t>
      </w:r>
      <w:r w:rsidR="5B621C54">
        <w:t xml:space="preserve"> currently investigating ER/AR measure application type offering for the next iteration of the workpaper.  The analysis will be derived from reviewing</w:t>
      </w:r>
      <w:r>
        <w:t xml:space="preserve"> market studies and</w:t>
      </w:r>
      <w:r w:rsidR="5B621C54">
        <w:t xml:space="preserve"> ER custom applications with a focus on customer segment(s) and geographical location(s).  Resolution E-4818 begins to set a framework for deemed program level ER adoption for Preponderance of Evidence</w:t>
      </w:r>
      <w:r w:rsidR="00AD12F6">
        <w:t xml:space="preserve"> (POE)</w:t>
      </w:r>
      <w:r w:rsidR="5B621C54">
        <w:t xml:space="preserve">.  </w:t>
      </w:r>
    </w:p>
    <w:p w14:paraId="68C9F9B6" w14:textId="77777777" w:rsidR="005F7279" w:rsidRPr="00882206" w:rsidRDefault="005F7279" w:rsidP="00C21199">
      <w:pPr>
        <w:spacing w:before="60"/>
        <w:rPr>
          <w:color w:val="FF0000"/>
        </w:rPr>
      </w:pPr>
      <w:r w:rsidRPr="00AD602A">
        <w:t>Subsequently CPUC issued an E-4939 Draft Comment Resolution on October 11, 2018, addressing Track 2 Working Group related energy efficiency issues pursuant to D.16-08-019 and Resolution E-4818. In the draft Resolution E-4939’s section 3.2.3 Task 3 Conclusions stated “…..However, as to the proposal’s evidentiary requirements for demonstration of equipment viability and program influence, the POE requirement to demonstrate equipment viability and program influence for accelerated replacements shall meet the requirements in Task 2 to be addressed in a future resolution” (last paragraph on p.27).</w:t>
      </w:r>
    </w:p>
    <w:p w14:paraId="1B60234B" w14:textId="6AA8C7A1" w:rsidR="00512F6D" w:rsidRPr="00614D6C" w:rsidRDefault="5B621C54" w:rsidP="00512F6D">
      <w:pPr>
        <w:pStyle w:val="Heading3"/>
      </w:pPr>
      <w:bookmarkStart w:id="80" w:name="_Toc511134199"/>
      <w:bookmarkStart w:id="81" w:name="_Toc2803209"/>
      <w:r>
        <w:t>1.</w:t>
      </w:r>
      <w:r w:rsidR="005B0952">
        <w:t>6</w:t>
      </w:r>
      <w:r>
        <w:t>.</w:t>
      </w:r>
      <w:r w:rsidR="001B238A">
        <w:t>2</w:t>
      </w:r>
      <w:r>
        <w:t xml:space="preserve"> Product ID Collection Process</w:t>
      </w:r>
      <w:bookmarkEnd w:id="80"/>
      <w:bookmarkEnd w:id="81"/>
    </w:p>
    <w:p w14:paraId="5236BF40" w14:textId="77777777" w:rsidR="00512F6D" w:rsidRPr="00512F6D" w:rsidRDefault="3C05B5AF" w:rsidP="00512F6D">
      <w:pPr>
        <w:rPr>
          <w:highlight w:val="yellow"/>
        </w:rPr>
      </w:pPr>
      <w:r>
        <w:t xml:space="preserve">As part of the IOUs’ future data needs, a more robust process to collect product information from program data is </w:t>
      </w:r>
      <w:r w:rsidR="00247613">
        <w:t>under consideration</w:t>
      </w:r>
      <w:r>
        <w:t xml:space="preserve">. It has been an ongoing challenge to run data analytics on existing Program data due to model number discrepancies from rebate application invoices and the DLC QPL. In order to address this challenge, IOUs propose to collect the unique DLC product ID in </w:t>
      </w:r>
      <w:r>
        <w:lastRenderedPageBreak/>
        <w:t>rebate applications. This unique identifier has no variation and can easily be used to match product information from program data to the performance metrics of these products listed on the DLC QPL. Collecting this additional information will be helpful for future workpaper updates.</w:t>
      </w:r>
    </w:p>
    <w:p w14:paraId="1953CD46" w14:textId="67FF6BFD" w:rsidR="00327167" w:rsidRDefault="5B621C54" w:rsidP="00381DDC">
      <w:pPr>
        <w:pStyle w:val="Heading3"/>
        <w:rPr>
          <w:b w:val="0"/>
          <w:bCs w:val="0"/>
        </w:rPr>
      </w:pPr>
      <w:bookmarkStart w:id="82" w:name="_Toc511134200"/>
      <w:bookmarkStart w:id="83" w:name="_Toc2803210"/>
      <w:r>
        <w:t>1.</w:t>
      </w:r>
      <w:r w:rsidR="005B0952">
        <w:t>6</w:t>
      </w:r>
      <w:r>
        <w:t>.</w:t>
      </w:r>
      <w:r w:rsidR="001B238A">
        <w:t>3</w:t>
      </w:r>
      <w:r>
        <w:t xml:space="preserve"> </w:t>
      </w:r>
      <w:proofErr w:type="spellStart"/>
      <w:r>
        <w:t>LightingFacts</w:t>
      </w:r>
      <w:proofErr w:type="spellEnd"/>
      <w:r>
        <w:t xml:space="preserve"> LED Database</w:t>
      </w:r>
      <w:bookmarkEnd w:id="82"/>
      <w:bookmarkEnd w:id="83"/>
    </w:p>
    <w:p w14:paraId="3EF6B3CC" w14:textId="77777777" w:rsidR="00327167" w:rsidRPr="00893A1E" w:rsidRDefault="5B621C54" w:rsidP="00327167">
      <w:pPr>
        <w:rPr>
          <w:sz w:val="22"/>
          <w:szCs w:val="22"/>
        </w:rPr>
      </w:pPr>
      <w:proofErr w:type="spellStart"/>
      <w:r>
        <w:t>LightingFacts</w:t>
      </w:r>
      <w:proofErr w:type="spellEnd"/>
      <w:r>
        <w:t xml:space="preserve"> offers many benefits as a data source for a full characterization of the LED market:</w:t>
      </w:r>
    </w:p>
    <w:p w14:paraId="195C69E2" w14:textId="77777777" w:rsidR="00327167" w:rsidRPr="00893A1E" w:rsidRDefault="00327167" w:rsidP="00521D7C">
      <w:pPr>
        <w:spacing w:after="200" w:line="276" w:lineRule="auto"/>
        <w:ind w:left="720"/>
        <w:contextualSpacing/>
      </w:pPr>
    </w:p>
    <w:p w14:paraId="0956D59A" w14:textId="77777777" w:rsidR="00327167" w:rsidRPr="00893A1E" w:rsidRDefault="71903359" w:rsidP="00765CF3">
      <w:pPr>
        <w:numPr>
          <w:ilvl w:val="0"/>
          <w:numId w:val="4"/>
        </w:numPr>
        <w:spacing w:after="200" w:line="276" w:lineRule="auto"/>
        <w:contextualSpacing/>
      </w:pPr>
      <w:r>
        <w:t>Large sample size (~30,000 outdoor products)</w:t>
      </w:r>
    </w:p>
    <w:p w14:paraId="634D27E5" w14:textId="77777777" w:rsidR="00327167" w:rsidRPr="00893A1E" w:rsidRDefault="71903359" w:rsidP="00765CF3">
      <w:pPr>
        <w:numPr>
          <w:ilvl w:val="0"/>
          <w:numId w:val="4"/>
        </w:numPr>
        <w:spacing w:after="200" w:line="276" w:lineRule="auto"/>
        <w:contextualSpacing/>
      </w:pPr>
      <w:r>
        <w:t xml:space="preserve">Product performance data previously accepted by </w:t>
      </w:r>
      <w:proofErr w:type="spellStart"/>
      <w:r>
        <w:t>CalTF</w:t>
      </w:r>
      <w:proofErr w:type="spellEnd"/>
      <w:r>
        <w:t xml:space="preserve"> and Ex-Ante Review team in the LED Troffer workpaper</w:t>
      </w:r>
      <w:r w:rsidR="00F768AF">
        <w:t xml:space="preserve"> and High-Bay and Outdoor 2018 Interim </w:t>
      </w:r>
      <w:proofErr w:type="spellStart"/>
      <w:r w:rsidR="00F768AF">
        <w:t>workpapers</w:t>
      </w:r>
      <w:proofErr w:type="spellEnd"/>
      <w:r w:rsidR="00F768AF">
        <w:t>.</w:t>
      </w:r>
    </w:p>
    <w:p w14:paraId="04E82071" w14:textId="6ECED806" w:rsidR="00327167" w:rsidRPr="00864659" w:rsidRDefault="71903359" w:rsidP="00610530">
      <w:pPr>
        <w:numPr>
          <w:ilvl w:val="0"/>
          <w:numId w:val="4"/>
        </w:numPr>
        <w:spacing w:line="276" w:lineRule="auto"/>
        <w:contextualSpacing/>
      </w:pPr>
      <w:r>
        <w:t xml:space="preserve">Ability to filter by year, so that older products could be excluded from the efficacy </w:t>
      </w:r>
      <w:proofErr w:type="spellStart"/>
      <w:r>
        <w:t>samplingImportant</w:t>
      </w:r>
      <w:proofErr w:type="spellEnd"/>
      <w:r>
        <w:t xml:space="preserve"> distinctions by primary use: </w:t>
      </w:r>
      <w:proofErr w:type="spellStart"/>
      <w:r>
        <w:t>LightingFacts</w:t>
      </w:r>
      <w:proofErr w:type="spellEnd"/>
      <w:r>
        <w:t xml:space="preserve"> captures </w:t>
      </w:r>
      <w:r w:rsidR="005D7E6E">
        <w:t>variation in efficacy by application type</w:t>
      </w:r>
      <w:r>
        <w:t>.</w:t>
      </w:r>
    </w:p>
    <w:p w14:paraId="5831344A" w14:textId="77777777" w:rsidR="00381DDC" w:rsidRPr="00381DDC" w:rsidRDefault="00381DDC" w:rsidP="00381DDC">
      <w:pPr>
        <w:pStyle w:val="ListParagraph"/>
        <w:rPr>
          <w:szCs w:val="20"/>
        </w:rPr>
      </w:pPr>
    </w:p>
    <w:p w14:paraId="72AFDF49" w14:textId="77777777" w:rsidR="00381DDC" w:rsidRDefault="5B621C54" w:rsidP="00381DDC">
      <w:bookmarkStart w:id="84" w:name="_Hlk510967141"/>
      <w:r>
        <w:t xml:space="preserve">Unfortunately, the Department of Energy </w:t>
      </w:r>
      <w:r w:rsidR="00F768AF">
        <w:t>has</w:t>
      </w:r>
      <w:r>
        <w:t xml:space="preserve"> end</w:t>
      </w:r>
      <w:r w:rsidR="00F768AF">
        <w:t>ed</w:t>
      </w:r>
      <w:r>
        <w:t xml:space="preserve"> funding for the </w:t>
      </w:r>
      <w:proofErr w:type="spellStart"/>
      <w:r>
        <w:t>LightingFacts</w:t>
      </w:r>
      <w:proofErr w:type="spellEnd"/>
      <w:r>
        <w:t xml:space="preserve"> label program.  Other data sources will need to be considered </w:t>
      </w:r>
      <w:r w:rsidR="009D56DE">
        <w:t>for revisions beyond 20</w:t>
      </w:r>
      <w:r w:rsidR="00FA3C50">
        <w:t>19</w:t>
      </w:r>
      <w:r w:rsidR="009D56DE">
        <w:t xml:space="preserve"> </w:t>
      </w:r>
      <w:r>
        <w:t xml:space="preserve">in lieu of </w:t>
      </w:r>
      <w:proofErr w:type="spellStart"/>
      <w:r>
        <w:t>LightingFacts</w:t>
      </w:r>
      <w:proofErr w:type="spellEnd"/>
      <w:r w:rsidR="009D56DE">
        <w:t>,</w:t>
      </w:r>
      <w:r>
        <w:t xml:space="preserve"> such as the data that will be collected for the Navigant LED Market Characterization study.</w:t>
      </w:r>
    </w:p>
    <w:p w14:paraId="6015DCA4" w14:textId="4CDEB674" w:rsidR="00382273" w:rsidRDefault="00E5437A" w:rsidP="00382273">
      <w:pPr>
        <w:pStyle w:val="Heading3"/>
      </w:pPr>
      <w:bookmarkStart w:id="85" w:name="_Toc2803211"/>
      <w:bookmarkStart w:id="86" w:name="_Toc511134201"/>
      <w:bookmarkStart w:id="87" w:name="_Ref511138524"/>
      <w:r>
        <w:t>1.</w:t>
      </w:r>
      <w:r w:rsidR="005B0952">
        <w:t>6</w:t>
      </w:r>
      <w:r>
        <w:t>.</w:t>
      </w:r>
      <w:r w:rsidR="001B238A">
        <w:t>4</w:t>
      </w:r>
      <w:r w:rsidR="5B621C54">
        <w:t xml:space="preserve"> Cost Data</w:t>
      </w:r>
      <w:bookmarkEnd w:id="85"/>
      <w:r w:rsidR="5B621C54">
        <w:t xml:space="preserve"> </w:t>
      </w:r>
      <w:bookmarkEnd w:id="86"/>
      <w:bookmarkEnd w:id="87"/>
    </w:p>
    <w:p w14:paraId="41BE79C9" w14:textId="576CD00A" w:rsidR="00382273" w:rsidRPr="00382273" w:rsidRDefault="00A75218" w:rsidP="00382273">
      <w:r>
        <w:t xml:space="preserve">The cost analysis to develop the base case and measure case costs for this workpaper revision contemplated data from </w:t>
      </w:r>
      <w:r w:rsidR="005D7E6E">
        <w:t>2</w:t>
      </w:r>
      <w:r w:rsidR="00F768AF">
        <w:t xml:space="preserve"> </w:t>
      </w:r>
      <w:r>
        <w:t>sources</w:t>
      </w:r>
      <w:r w:rsidR="00E41D38">
        <w:t>:</w:t>
      </w:r>
    </w:p>
    <w:p w14:paraId="4352F7AD" w14:textId="3CA42072" w:rsidR="00F768AF" w:rsidRPr="00382273" w:rsidRDefault="5B621C54" w:rsidP="00610530">
      <w:pPr>
        <w:pStyle w:val="ListParagraph"/>
        <w:numPr>
          <w:ilvl w:val="0"/>
          <w:numId w:val="11"/>
        </w:numPr>
        <w:spacing w:before="60" w:line="288" w:lineRule="auto"/>
      </w:pPr>
      <w:r>
        <w:t xml:space="preserve">PG&amp;E Program Data </w:t>
      </w:r>
    </w:p>
    <w:p w14:paraId="1CB8EA4A" w14:textId="2A3F76CC" w:rsidR="00382273" w:rsidRPr="00382273" w:rsidRDefault="00F768AF" w:rsidP="00610530">
      <w:pPr>
        <w:pStyle w:val="ListParagraph"/>
        <w:numPr>
          <w:ilvl w:val="0"/>
          <w:numId w:val="11"/>
        </w:numPr>
        <w:spacing w:line="288" w:lineRule="auto"/>
      </w:pPr>
      <w:r>
        <w:t xml:space="preserve">Price data collected </w:t>
      </w:r>
      <w:r w:rsidR="00FC409A">
        <w:t xml:space="preserve">from </w:t>
      </w:r>
      <w:r w:rsidR="00E83D04">
        <w:t>online web-scraping</w:t>
      </w:r>
    </w:p>
    <w:bookmarkEnd w:id="84"/>
    <w:p w14:paraId="2BABF692" w14:textId="799E30B2" w:rsidR="00E41D38" w:rsidRPr="00382273" w:rsidRDefault="00E41D38" w:rsidP="00382273"/>
    <w:p w14:paraId="66B6E529" w14:textId="435364A6" w:rsidR="00C92E05" w:rsidRDefault="5B621C54" w:rsidP="00610530">
      <w:pPr>
        <w:spacing w:line="264" w:lineRule="auto"/>
      </w:pPr>
      <w:r w:rsidRPr="5B621C54">
        <w:rPr>
          <w:b/>
          <w:bCs/>
        </w:rPr>
        <w:t>PG&amp;E Program Data:</w:t>
      </w:r>
      <w:r>
        <w:t xml:space="preserve"> </w:t>
      </w:r>
      <w:r w:rsidR="001678BD">
        <w:t>To perform cost analysis, o</w:t>
      </w:r>
      <w:r>
        <w:t>ne of the challenges with the data was acquiring the wattage, lumen output, and efficacy of the rebated fixture</w:t>
      </w:r>
      <w:r w:rsidR="005D7E6E">
        <w:t xml:space="preserve">. </w:t>
      </w:r>
      <w:r>
        <w:t xml:space="preserve">Additionally, some applications did not contain a manufacturer and model number as it might be tracked elsewhere.  Since the manufacturer and model number is inconsistent from application to application, </w:t>
      </w:r>
      <w:r w:rsidR="003F1F58">
        <w:t xml:space="preserve">only 30% </w:t>
      </w:r>
      <w:r w:rsidR="00FC409A">
        <w:t>of</w:t>
      </w:r>
      <w:r>
        <w:t xml:space="preserve"> the rebated </w:t>
      </w:r>
      <w:r w:rsidR="003F1F58">
        <w:t xml:space="preserve">application fixtures </w:t>
      </w:r>
      <w:r w:rsidR="00FC409A">
        <w:t>matched</w:t>
      </w:r>
      <w:r>
        <w:t xml:space="preserve"> with the DLC list.  From there, the wattage, lumen output, and efficacy of the rebated fixtures </w:t>
      </w:r>
      <w:r w:rsidR="00A75218">
        <w:t xml:space="preserve">were </w:t>
      </w:r>
      <w:r>
        <w:t xml:space="preserve">acquired. </w:t>
      </w:r>
      <w:r w:rsidR="003F1F58">
        <w:t>The fixtures in this subset did</w:t>
      </w:r>
      <w:r w:rsidR="00247613">
        <w:t xml:space="preserve"> not</w:t>
      </w:r>
      <w:r w:rsidR="003F1F58">
        <w:t xml:space="preserve"> provide representative products for each lumen bin, nor for both base case and measure case efficacy in each lumen bin. Previous data from the Navigant 2018 LED Pricing study had indicated that, in general,</w:t>
      </w:r>
      <w:r>
        <w:t xml:space="preserve"> costs do correlate to lumens or wattag</w:t>
      </w:r>
      <w:r w:rsidR="003F1F58">
        <w:t>e, so Measure and Base case LED pricing were determined based on the typical per-light-output price for each tier, multiplied by the midpoint light output of each lumen bin.</w:t>
      </w:r>
      <w:bookmarkStart w:id="88" w:name="_Toc511134202"/>
      <w:bookmarkEnd w:id="79"/>
    </w:p>
    <w:p w14:paraId="6B784AB8" w14:textId="77777777" w:rsidR="00E83D04" w:rsidRDefault="00E83D04" w:rsidP="00A725CB"/>
    <w:p w14:paraId="2BCBB2FD" w14:textId="170A6F69" w:rsidR="00E83D04" w:rsidRDefault="00E83D04" w:rsidP="00610530">
      <w:pPr>
        <w:spacing w:line="264" w:lineRule="auto"/>
      </w:pPr>
      <w:r w:rsidRPr="005747FC">
        <w:rPr>
          <w:b/>
        </w:rPr>
        <w:t>Price Data Collected from Online Web-scraping</w:t>
      </w:r>
      <w:r w:rsidR="005747FC">
        <w:t xml:space="preserve">: </w:t>
      </w:r>
      <w:r>
        <w:t xml:space="preserve">PG&amp;E </w:t>
      </w:r>
      <w:r w:rsidR="0066694F">
        <w:t>initially conducted</w:t>
      </w:r>
      <w:r>
        <w:t xml:space="preserve"> web</w:t>
      </w:r>
      <w:r w:rsidR="00610530">
        <w:t>-</w:t>
      </w:r>
      <w:r>
        <w:t xml:space="preserve">scraping </w:t>
      </w:r>
      <w:r w:rsidR="006C331E">
        <w:t xml:space="preserve">on TLED cost and efficacy in 2018 for this R9 workpaper revision. </w:t>
      </w:r>
      <w:r w:rsidR="00610530">
        <w:t>Subsequently</w:t>
      </w:r>
      <w:r w:rsidR="006C331E">
        <w:t xml:space="preserve">, </w:t>
      </w:r>
      <w:r>
        <w:t xml:space="preserve">PG&amp;E </w:t>
      </w:r>
      <w:r w:rsidR="0066694F">
        <w:t>performed</w:t>
      </w:r>
      <w:r>
        <w:t xml:space="preserve"> additional online web</w:t>
      </w:r>
      <w:r w:rsidR="00610530">
        <w:t>-</w:t>
      </w:r>
      <w:r>
        <w:t>scraping</w:t>
      </w:r>
      <w:r w:rsidR="006C331E">
        <w:t xml:space="preserve"> on TLED cost</w:t>
      </w:r>
      <w:r w:rsidR="00201F57">
        <w:t>s</w:t>
      </w:r>
      <w:r w:rsidR="006C331E">
        <w:t xml:space="preserve"> and efficacy</w:t>
      </w:r>
      <w:r>
        <w:t xml:space="preserve"> in February</w:t>
      </w:r>
      <w:r w:rsidR="006C331E">
        <w:t xml:space="preserve"> 2019</w:t>
      </w:r>
      <w:r>
        <w:t xml:space="preserve"> per </w:t>
      </w:r>
      <w:r w:rsidR="00201F57">
        <w:t>the E</w:t>
      </w:r>
      <w:r>
        <w:t>x-ante</w:t>
      </w:r>
      <w:r w:rsidR="00201F57">
        <w:t xml:space="preserve"> Review (EAR)</w:t>
      </w:r>
      <w:r>
        <w:t xml:space="preserve"> team’s recommendation. </w:t>
      </w:r>
      <w:r w:rsidR="00566DC5">
        <w:t xml:space="preserve">Based on the </w:t>
      </w:r>
      <w:r w:rsidR="005747FC">
        <w:t xml:space="preserve">new </w:t>
      </w:r>
      <w:r w:rsidR="00566DC5">
        <w:t xml:space="preserve">data the average cost for TLED is calculated at $0.0036 per lumen. See </w:t>
      </w:r>
      <w:r w:rsidR="00CC6530">
        <w:t>section 4.1 below for more details.</w:t>
      </w:r>
    </w:p>
    <w:p w14:paraId="118233C8" w14:textId="77777777" w:rsidR="000B0167" w:rsidRPr="00A5334A" w:rsidRDefault="5B621C54" w:rsidP="00C92E05">
      <w:pPr>
        <w:pStyle w:val="Heading1"/>
        <w:tabs>
          <w:tab w:val="left" w:pos="5215"/>
        </w:tabs>
        <w:spacing w:before="120"/>
      </w:pPr>
      <w:bookmarkStart w:id="89" w:name="_Toc2803212"/>
      <w:proofErr w:type="gramStart"/>
      <w:r>
        <w:lastRenderedPageBreak/>
        <w:t>Section 2.</w:t>
      </w:r>
      <w:proofErr w:type="gramEnd"/>
      <w:r>
        <w:t xml:space="preserve"> Calculation Methods</w:t>
      </w:r>
      <w:bookmarkEnd w:id="88"/>
      <w:bookmarkEnd w:id="89"/>
      <w:r w:rsidR="00A33C08">
        <w:t xml:space="preserve"> </w:t>
      </w:r>
    </w:p>
    <w:p w14:paraId="4B0949FC" w14:textId="77777777" w:rsidR="000962E5" w:rsidRPr="00A5334A" w:rsidRDefault="5B621C54" w:rsidP="00247613">
      <w:pPr>
        <w:spacing w:before="120" w:after="120"/>
        <w:rPr>
          <w:b/>
          <w:bCs/>
        </w:rPr>
      </w:pPr>
      <w:r w:rsidRPr="5B621C54">
        <w:rPr>
          <w:b/>
          <w:bCs/>
        </w:rPr>
        <w:t>Base Case Assumptions used in the Calculations</w:t>
      </w:r>
    </w:p>
    <w:p w14:paraId="3E682994" w14:textId="2ADB6264" w:rsidR="00542F46" w:rsidRDefault="0068459D" w:rsidP="0078704C">
      <w:r w:rsidRPr="5B621C54">
        <w:rPr>
          <w:b/>
          <w:bCs/>
        </w:rPr>
        <w:t xml:space="preserve">Technology Percentage Mix:  </w:t>
      </w:r>
      <w:r w:rsidR="00542F46">
        <w:t xml:space="preserve">From the </w:t>
      </w:r>
      <w:r w:rsidR="5B621C54">
        <w:t xml:space="preserve">2018 </w:t>
      </w:r>
      <w:r w:rsidR="00542F46">
        <w:t xml:space="preserve">Outdoor Lighting </w:t>
      </w:r>
      <w:r w:rsidR="5B621C54">
        <w:t>Phase 1 D</w:t>
      </w:r>
      <w:r w:rsidR="00542F46" w:rsidRPr="00ED63F1">
        <w:t>isposition, the base case technology mix is as listed</w:t>
      </w:r>
      <w:r w:rsidR="00ED63F1" w:rsidRPr="00ED63F1">
        <w:t xml:space="preserve"> in</w:t>
      </w:r>
      <w:r w:rsidR="005D7E6E">
        <w:t xml:space="preserve"> </w:t>
      </w:r>
      <w:r w:rsidR="005D7E6E">
        <w:fldChar w:fldCharType="begin"/>
      </w:r>
      <w:r w:rsidR="005D7E6E">
        <w:instrText xml:space="preserve"> REF _Ref533615875 \h </w:instrText>
      </w:r>
      <w:r w:rsidR="005D7E6E">
        <w:fldChar w:fldCharType="separate"/>
      </w:r>
      <w:r w:rsidR="005D7E6E">
        <w:t xml:space="preserve">Table </w:t>
      </w:r>
      <w:r w:rsidR="005D7E6E">
        <w:rPr>
          <w:noProof/>
        </w:rPr>
        <w:t>8</w:t>
      </w:r>
      <w:r w:rsidR="005D7E6E">
        <w:fldChar w:fldCharType="end"/>
      </w:r>
      <w:r w:rsidR="00AC481F">
        <w:t>.</w:t>
      </w:r>
    </w:p>
    <w:p w14:paraId="3D0FF539" w14:textId="77777777" w:rsidR="001E5E81" w:rsidRPr="00230C77" w:rsidRDefault="5B621C54" w:rsidP="00230C77">
      <w:pPr>
        <w:spacing w:before="120"/>
      </w:pPr>
      <w:r w:rsidRPr="5B621C54">
        <w:rPr>
          <w:b/>
          <w:bCs/>
        </w:rPr>
        <w:t>Linear Fluorescent:</w:t>
      </w:r>
      <w:r>
        <w:t xml:space="preserve">  Standard Fixture Wattages from Appendix B are used for fluorescent base case.</w:t>
      </w:r>
    </w:p>
    <w:p w14:paraId="283F591C" w14:textId="77777777" w:rsidR="00140F54" w:rsidRPr="00DD724F" w:rsidRDefault="00140F54" w:rsidP="000F5DB7">
      <w:pPr>
        <w:pStyle w:val="Caption"/>
        <w:keepNext/>
        <w:spacing w:line="144" w:lineRule="auto"/>
        <w:jc w:val="center"/>
        <w:rPr>
          <w:highlight w:val="yellow"/>
        </w:rPr>
      </w:pPr>
    </w:p>
    <w:p w14:paraId="214A5300" w14:textId="4913A1D6" w:rsidR="005D31B4" w:rsidRDefault="0068459D" w:rsidP="00247613">
      <w:r w:rsidRPr="5B621C54">
        <w:rPr>
          <w:b/>
          <w:bCs/>
        </w:rPr>
        <w:t>LED:</w:t>
      </w:r>
      <w:r>
        <w:t xml:space="preserve">  </w:t>
      </w:r>
      <w:r w:rsidR="00140F54" w:rsidRPr="00893A1E">
        <w:t xml:space="preserve">The </w:t>
      </w:r>
      <w:r w:rsidR="001E5E81" w:rsidRPr="00893A1E">
        <w:t xml:space="preserve">LED </w:t>
      </w:r>
      <w:r w:rsidR="00140F54" w:rsidRPr="00893A1E">
        <w:t>base case power c</w:t>
      </w:r>
      <w:r w:rsidR="001E5E81" w:rsidRPr="00893A1E">
        <w:t xml:space="preserve">onsumption was based on performance from the DOE </w:t>
      </w:r>
      <w:proofErr w:type="spellStart"/>
      <w:r w:rsidR="001E5E81" w:rsidRPr="00893A1E">
        <w:t>LightingFacts</w:t>
      </w:r>
      <w:proofErr w:type="spellEnd"/>
      <w:r w:rsidR="001E5E81" w:rsidRPr="00893A1E">
        <w:t xml:space="preserve"> database.</w:t>
      </w:r>
      <w:r w:rsidR="001E5E81" w:rsidRPr="00893A1E">
        <w:rPr>
          <w:rStyle w:val="EndnoteReference"/>
        </w:rPr>
        <w:endnoteReference w:id="16"/>
      </w:r>
      <w:r w:rsidR="001E5E81" w:rsidRPr="00893A1E">
        <w:t xml:space="preserve"> </w:t>
      </w:r>
      <w:r w:rsidR="005D31B4" w:rsidRPr="00893A1E">
        <w:t>The 25</w:t>
      </w:r>
      <w:r w:rsidR="005D31B4" w:rsidRPr="00893A1E">
        <w:rPr>
          <w:vertAlign w:val="superscript"/>
        </w:rPr>
        <w:t>th</w:t>
      </w:r>
      <w:r w:rsidR="005D31B4" w:rsidRPr="00893A1E">
        <w:t xml:space="preserve"> percentile efficacy of the sample was used to estimate performance of the base case LED fixtures</w:t>
      </w:r>
      <w:r w:rsidR="005D31B4">
        <w:t xml:space="preserve"> as a reasonable assumption when without </w:t>
      </w:r>
      <w:r w:rsidR="005D31B4" w:rsidRPr="00893A1E">
        <w:t>efficiency incentive programs pro</w:t>
      </w:r>
      <w:r w:rsidR="005D31B4">
        <w:t>moting higher-efficacy products</w:t>
      </w:r>
      <w:r w:rsidR="005D31B4" w:rsidRPr="00893A1E">
        <w:t xml:space="preserve"> customers </w:t>
      </w:r>
      <w:r w:rsidR="005D31B4">
        <w:t>are</w:t>
      </w:r>
      <w:r w:rsidR="005D31B4" w:rsidRPr="00893A1E">
        <w:t xml:space="preserve"> likely to select products from the </w:t>
      </w:r>
      <w:r w:rsidR="005D31B4">
        <w:t xml:space="preserve">non-certified </w:t>
      </w:r>
      <w:r w:rsidR="005D31B4" w:rsidRPr="00893A1E">
        <w:t>lower-efficacy half of the market</w:t>
      </w:r>
      <w:r w:rsidR="005D31B4">
        <w:t xml:space="preserve"> </w:t>
      </w:r>
      <w:r w:rsidR="005D31B4" w:rsidRPr="00893A1E">
        <w:t>products.</w:t>
      </w:r>
      <w:r w:rsidR="005D31B4">
        <w:t xml:space="preserve">  </w:t>
      </w:r>
      <w:r w:rsidR="005D31B4" w:rsidRPr="00893A1E">
        <w:t xml:space="preserve">A sample of </w:t>
      </w:r>
      <w:r w:rsidR="003F1F58">
        <w:t>1,355 garage</w:t>
      </w:r>
      <w:r w:rsidR="005D31B4" w:rsidRPr="00893A1E">
        <w:t xml:space="preserve"> products in the </w:t>
      </w:r>
      <w:proofErr w:type="spellStart"/>
      <w:r w:rsidR="005D31B4" w:rsidRPr="00893A1E">
        <w:t>LightingFacts</w:t>
      </w:r>
      <w:proofErr w:type="spellEnd"/>
      <w:r w:rsidR="005D31B4" w:rsidRPr="00893A1E">
        <w:t xml:space="preserve"> database</w:t>
      </w:r>
      <w:r w:rsidR="003F1F58">
        <w:t xml:space="preserve"> was used to determine base case efficacies, in a very similar manner </w:t>
      </w:r>
      <w:r w:rsidR="00D356AE">
        <w:t xml:space="preserve">to </w:t>
      </w:r>
      <w:r w:rsidR="003F1F58">
        <w:t xml:space="preserve">the Interim </w:t>
      </w:r>
      <w:r w:rsidR="00D356AE">
        <w:t xml:space="preserve">Solution </w:t>
      </w:r>
      <w:r w:rsidR="003F1F58">
        <w:t xml:space="preserve">2018 workpaper, but with updated numbers including 1) new </w:t>
      </w:r>
      <w:proofErr w:type="spellStart"/>
      <w:r w:rsidR="003F1F58">
        <w:t>LightingFacts</w:t>
      </w:r>
      <w:proofErr w:type="spellEnd"/>
      <w:r w:rsidR="003F1F58">
        <w:t xml:space="preserve"> listings since November 2017 and B) new lumen bin definitions</w:t>
      </w:r>
      <w:r w:rsidR="005D31B4" w:rsidRPr="00893A1E">
        <w:t xml:space="preserve">.  </w:t>
      </w:r>
      <w:r w:rsidR="005D31B4">
        <w:t xml:space="preserve">The disposition provided a percentile efficacy breakdown by lumen output bins as shown </w:t>
      </w:r>
      <w:r w:rsidR="00F62803">
        <w:t xml:space="preserve">highlighted </w:t>
      </w:r>
      <w:r w:rsidR="005D31B4">
        <w:t>in the following</w:t>
      </w:r>
      <w:r w:rsidR="005D31B4" w:rsidRPr="008C3180">
        <w:rPr>
          <w:color w:val="FF0000"/>
        </w:rPr>
        <w:t xml:space="preserve"> </w:t>
      </w:r>
      <w:r w:rsidR="005D31B4" w:rsidRPr="005D31B4">
        <w:t>table</w:t>
      </w:r>
      <w:r w:rsidR="003F1F58">
        <w:t>.</w:t>
      </w:r>
    </w:p>
    <w:p w14:paraId="3B5EF9F2" w14:textId="77777777" w:rsidR="00F62803" w:rsidRDefault="00F62803" w:rsidP="000F5DB7">
      <w:pPr>
        <w:spacing w:line="120" w:lineRule="auto"/>
      </w:pPr>
    </w:p>
    <w:p w14:paraId="6C8EB900" w14:textId="71FC64B4" w:rsidR="00A67177" w:rsidRDefault="00A67177" w:rsidP="00A67177">
      <w:pPr>
        <w:pStyle w:val="Caption"/>
        <w:keepNext/>
        <w:jc w:val="center"/>
      </w:pPr>
      <w:bookmarkStart w:id="90" w:name="_Toc2803233"/>
      <w:r>
        <w:t xml:space="preserve">Table </w:t>
      </w:r>
      <w:fldSimple w:instr=" SEQ Table \* ARABIC ">
        <w:r w:rsidR="00491759">
          <w:rPr>
            <w:noProof/>
          </w:rPr>
          <w:t>9</w:t>
        </w:r>
      </w:fldSimple>
      <w:r>
        <w:t xml:space="preserve">: </w:t>
      </w:r>
      <w:r w:rsidRPr="00953B7E">
        <w:t>Lighting Facts 25th Percentile for Parking Garage luminaires by lumen bin</w:t>
      </w:r>
      <w:bookmarkEnd w:id="90"/>
    </w:p>
    <w:p w14:paraId="25824579" w14:textId="7D5ACCFD" w:rsidR="00A67177" w:rsidRPr="00A67177" w:rsidRDefault="00A67177" w:rsidP="00A67177">
      <w:r w:rsidRPr="00A67177">
        <w:rPr>
          <w:noProof/>
        </w:rPr>
        <w:drawing>
          <wp:inline distT="0" distB="0" distL="0" distR="0" wp14:anchorId="386C0223" wp14:editId="6CB3227C">
            <wp:extent cx="6172200" cy="170483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6172200" cy="1704835"/>
                    </a:xfrm>
                    <a:prstGeom prst="rect">
                      <a:avLst/>
                    </a:prstGeom>
                    <a:noFill/>
                    <a:ln>
                      <a:noFill/>
                    </a:ln>
                  </pic:spPr>
                </pic:pic>
              </a:graphicData>
            </a:graphic>
          </wp:inline>
        </w:drawing>
      </w:r>
    </w:p>
    <w:p w14:paraId="4925E2BE" w14:textId="79542F61" w:rsidR="00563B45" w:rsidRDefault="00563B45" w:rsidP="000F5DB7">
      <w:pPr>
        <w:spacing w:line="144" w:lineRule="auto"/>
      </w:pPr>
    </w:p>
    <w:p w14:paraId="520CEBE9" w14:textId="3D5A6A8C" w:rsidR="00491759" w:rsidRDefault="00491759" w:rsidP="00491759">
      <w:pPr>
        <w:pStyle w:val="Caption"/>
        <w:keepNext/>
        <w:jc w:val="center"/>
      </w:pPr>
      <w:r>
        <w:t xml:space="preserve">Table </w:t>
      </w:r>
      <w:r w:rsidR="00085E4F">
        <w:t>10</w:t>
      </w:r>
      <w:r>
        <w:t xml:space="preserve">: </w:t>
      </w:r>
      <w:r w:rsidRPr="00FC6FF6">
        <w:t>Lumen Bins with measure descriptions and efficacies</w:t>
      </w:r>
    </w:p>
    <w:tbl>
      <w:tblPr>
        <w:tblStyle w:val="TableGrid1"/>
        <w:tblW w:w="9828" w:type="dxa"/>
        <w:tblLayout w:type="fixed"/>
        <w:tblLook w:val="04A0" w:firstRow="1" w:lastRow="0" w:firstColumn="1" w:lastColumn="0" w:noHBand="0" w:noVBand="1"/>
      </w:tblPr>
      <w:tblGrid>
        <w:gridCol w:w="5238"/>
        <w:gridCol w:w="1170"/>
        <w:gridCol w:w="1170"/>
        <w:gridCol w:w="1170"/>
        <w:gridCol w:w="1080"/>
      </w:tblGrid>
      <w:tr w:rsidR="00563B45" w14:paraId="7FDC1E3C" w14:textId="77777777" w:rsidTr="000F5DB7">
        <w:trPr>
          <w:trHeight w:val="665"/>
        </w:trPr>
        <w:tc>
          <w:tcPr>
            <w:tcW w:w="5238" w:type="dxa"/>
            <w:noWrap/>
            <w:vAlign w:val="center"/>
            <w:hideMark/>
          </w:tcPr>
          <w:p w14:paraId="4D786525" w14:textId="77777777" w:rsidR="00563B45" w:rsidRPr="00085E4F" w:rsidRDefault="00563B45" w:rsidP="00563B45">
            <w:pPr>
              <w:jc w:val="center"/>
              <w:rPr>
                <w:rFonts w:ascii="Times New Roman" w:hAnsi="Times New Roman"/>
                <w:b/>
                <w:bCs/>
                <w:color w:val="000000"/>
                <w:sz w:val="18"/>
                <w:szCs w:val="18"/>
              </w:rPr>
            </w:pPr>
            <w:r w:rsidRPr="00085E4F">
              <w:rPr>
                <w:rFonts w:ascii="Times New Roman" w:hAnsi="Times New Roman"/>
                <w:b/>
                <w:bCs/>
                <w:color w:val="000000"/>
                <w:sz w:val="18"/>
                <w:szCs w:val="18"/>
              </w:rPr>
              <w:t>Measure Description</w:t>
            </w:r>
          </w:p>
        </w:tc>
        <w:tc>
          <w:tcPr>
            <w:tcW w:w="1170" w:type="dxa"/>
            <w:vAlign w:val="center"/>
            <w:hideMark/>
          </w:tcPr>
          <w:p w14:paraId="1ECD1948" w14:textId="77777777" w:rsidR="00563B45" w:rsidRPr="00085E4F" w:rsidRDefault="00563B45" w:rsidP="00563B45">
            <w:pPr>
              <w:jc w:val="center"/>
              <w:rPr>
                <w:rFonts w:ascii="Times New Roman" w:hAnsi="Times New Roman"/>
                <w:b/>
                <w:bCs/>
                <w:color w:val="000000"/>
                <w:sz w:val="18"/>
                <w:szCs w:val="18"/>
              </w:rPr>
            </w:pPr>
            <w:r w:rsidRPr="00085E4F">
              <w:rPr>
                <w:rFonts w:ascii="Times New Roman" w:hAnsi="Times New Roman"/>
                <w:b/>
                <w:bCs/>
                <w:color w:val="000000"/>
                <w:sz w:val="18"/>
                <w:szCs w:val="18"/>
              </w:rPr>
              <w:t>Lumen Bin lower end</w:t>
            </w:r>
          </w:p>
        </w:tc>
        <w:tc>
          <w:tcPr>
            <w:tcW w:w="1170" w:type="dxa"/>
            <w:vAlign w:val="center"/>
            <w:hideMark/>
          </w:tcPr>
          <w:p w14:paraId="3D4F94A8" w14:textId="77777777" w:rsidR="00563B45" w:rsidRPr="00085E4F" w:rsidRDefault="00563B45" w:rsidP="00563B45">
            <w:pPr>
              <w:jc w:val="center"/>
              <w:rPr>
                <w:rFonts w:ascii="Times New Roman" w:hAnsi="Times New Roman"/>
                <w:b/>
                <w:bCs/>
                <w:color w:val="000000"/>
                <w:sz w:val="18"/>
                <w:szCs w:val="18"/>
              </w:rPr>
            </w:pPr>
            <w:r w:rsidRPr="00085E4F">
              <w:rPr>
                <w:rFonts w:ascii="Times New Roman" w:hAnsi="Times New Roman"/>
                <w:b/>
                <w:bCs/>
                <w:color w:val="000000"/>
                <w:sz w:val="18"/>
                <w:szCs w:val="18"/>
              </w:rPr>
              <w:t>Lumen Bin upper end</w:t>
            </w:r>
          </w:p>
        </w:tc>
        <w:tc>
          <w:tcPr>
            <w:tcW w:w="1170" w:type="dxa"/>
            <w:vAlign w:val="center"/>
            <w:hideMark/>
          </w:tcPr>
          <w:p w14:paraId="3106BF08" w14:textId="04DBB6D8" w:rsidR="00563B45" w:rsidRPr="00085E4F" w:rsidRDefault="00563B45" w:rsidP="000F5DB7">
            <w:pPr>
              <w:jc w:val="center"/>
              <w:rPr>
                <w:rFonts w:ascii="Times New Roman" w:hAnsi="Times New Roman"/>
                <w:b/>
                <w:bCs/>
                <w:color w:val="000000"/>
                <w:sz w:val="18"/>
                <w:szCs w:val="18"/>
              </w:rPr>
            </w:pPr>
            <w:proofErr w:type="spellStart"/>
            <w:r w:rsidRPr="00085E4F">
              <w:rPr>
                <w:rFonts w:ascii="Times New Roman" w:hAnsi="Times New Roman"/>
                <w:b/>
                <w:bCs/>
                <w:color w:val="000000"/>
                <w:sz w:val="18"/>
                <w:szCs w:val="18"/>
              </w:rPr>
              <w:t>Meas</w:t>
            </w:r>
            <w:proofErr w:type="spellEnd"/>
            <w:r w:rsidR="000F5DB7">
              <w:rPr>
                <w:rFonts w:ascii="Times New Roman" w:hAnsi="Times New Roman"/>
                <w:b/>
                <w:bCs/>
                <w:color w:val="000000"/>
                <w:sz w:val="18"/>
                <w:szCs w:val="18"/>
              </w:rPr>
              <w:t xml:space="preserve"> </w:t>
            </w:r>
            <w:r w:rsidRPr="00085E4F">
              <w:rPr>
                <w:rFonts w:ascii="Times New Roman" w:hAnsi="Times New Roman"/>
                <w:b/>
                <w:bCs/>
                <w:color w:val="000000"/>
                <w:sz w:val="18"/>
                <w:szCs w:val="18"/>
              </w:rPr>
              <w:t>LPW minimum</w:t>
            </w:r>
          </w:p>
        </w:tc>
        <w:tc>
          <w:tcPr>
            <w:tcW w:w="1080" w:type="dxa"/>
            <w:vAlign w:val="center"/>
            <w:hideMark/>
          </w:tcPr>
          <w:p w14:paraId="6ADB731D" w14:textId="77777777" w:rsidR="00563B45" w:rsidRPr="00085E4F" w:rsidRDefault="00563B45" w:rsidP="00563B45">
            <w:pPr>
              <w:jc w:val="center"/>
              <w:rPr>
                <w:rFonts w:ascii="Times New Roman" w:hAnsi="Times New Roman"/>
                <w:b/>
                <w:bCs/>
                <w:color w:val="000000"/>
                <w:sz w:val="18"/>
                <w:szCs w:val="18"/>
              </w:rPr>
            </w:pPr>
            <w:r w:rsidRPr="00085E4F">
              <w:rPr>
                <w:rFonts w:ascii="Times New Roman" w:hAnsi="Times New Roman"/>
                <w:b/>
                <w:bCs/>
                <w:color w:val="000000"/>
                <w:sz w:val="18"/>
                <w:szCs w:val="18"/>
              </w:rPr>
              <w:t>Base LED Efficacy</w:t>
            </w:r>
          </w:p>
        </w:tc>
      </w:tr>
      <w:tr w:rsidR="00AC481F" w14:paraId="29447C8B" w14:textId="77777777" w:rsidTr="000F5DB7">
        <w:trPr>
          <w:trHeight w:val="564"/>
        </w:trPr>
        <w:tc>
          <w:tcPr>
            <w:tcW w:w="5238" w:type="dxa"/>
            <w:vAlign w:val="bottom"/>
            <w:hideMark/>
          </w:tcPr>
          <w:p w14:paraId="3A80E9FE" w14:textId="77777777" w:rsidR="00AC481F" w:rsidRPr="00085E4F" w:rsidRDefault="00AC481F" w:rsidP="00AC481F">
            <w:pPr>
              <w:jc w:val="center"/>
              <w:rPr>
                <w:rFonts w:ascii="Times New Roman" w:hAnsi="Times New Roman"/>
                <w:color w:val="000000"/>
                <w:sz w:val="18"/>
                <w:szCs w:val="18"/>
              </w:rPr>
            </w:pPr>
            <w:r w:rsidRPr="00085E4F">
              <w:rPr>
                <w:rFonts w:ascii="Times New Roman" w:hAnsi="Times New Roman"/>
                <w:color w:val="000000"/>
                <w:sz w:val="18"/>
                <w:szCs w:val="20"/>
              </w:rPr>
              <w:t>LED Parking Garage Luminaire rated from 1800 to 2300 lumens and greater than or equal to 120 LPW</w:t>
            </w:r>
          </w:p>
        </w:tc>
        <w:tc>
          <w:tcPr>
            <w:tcW w:w="1170" w:type="dxa"/>
            <w:noWrap/>
            <w:vAlign w:val="center"/>
            <w:hideMark/>
          </w:tcPr>
          <w:p w14:paraId="7E9D9B66" w14:textId="77777777" w:rsidR="00AC481F" w:rsidRPr="00085E4F" w:rsidRDefault="00AC481F" w:rsidP="00AC481F">
            <w:pPr>
              <w:jc w:val="center"/>
              <w:rPr>
                <w:rFonts w:ascii="Times New Roman" w:hAnsi="Times New Roman"/>
                <w:color w:val="000000"/>
                <w:sz w:val="20"/>
                <w:szCs w:val="18"/>
              </w:rPr>
            </w:pPr>
            <w:r w:rsidRPr="00085E4F">
              <w:rPr>
                <w:rFonts w:ascii="Times New Roman" w:hAnsi="Times New Roman"/>
                <w:color w:val="000000"/>
                <w:sz w:val="20"/>
                <w:szCs w:val="22"/>
              </w:rPr>
              <w:t>1,800</w:t>
            </w:r>
          </w:p>
        </w:tc>
        <w:tc>
          <w:tcPr>
            <w:tcW w:w="1170" w:type="dxa"/>
            <w:vAlign w:val="center"/>
            <w:hideMark/>
          </w:tcPr>
          <w:p w14:paraId="7F5F87FE" w14:textId="77777777" w:rsidR="00AC481F" w:rsidRPr="00085E4F" w:rsidRDefault="00AC481F" w:rsidP="00AC481F">
            <w:pPr>
              <w:jc w:val="center"/>
              <w:rPr>
                <w:rFonts w:ascii="Times New Roman" w:hAnsi="Times New Roman"/>
                <w:color w:val="000000"/>
                <w:sz w:val="20"/>
                <w:szCs w:val="18"/>
              </w:rPr>
            </w:pPr>
            <w:r w:rsidRPr="00085E4F">
              <w:rPr>
                <w:rFonts w:ascii="Times New Roman" w:hAnsi="Times New Roman"/>
                <w:color w:val="000000"/>
                <w:sz w:val="20"/>
                <w:szCs w:val="22"/>
              </w:rPr>
              <w:t>2,300</w:t>
            </w:r>
          </w:p>
        </w:tc>
        <w:tc>
          <w:tcPr>
            <w:tcW w:w="1170" w:type="dxa"/>
            <w:noWrap/>
            <w:vAlign w:val="center"/>
            <w:hideMark/>
          </w:tcPr>
          <w:p w14:paraId="0EF129DE" w14:textId="77777777" w:rsidR="00AC481F" w:rsidRPr="00085E4F" w:rsidRDefault="00AC481F" w:rsidP="00AC481F">
            <w:pPr>
              <w:jc w:val="center"/>
              <w:rPr>
                <w:rFonts w:ascii="Times New Roman" w:hAnsi="Times New Roman"/>
                <w:color w:val="000000"/>
                <w:sz w:val="18"/>
                <w:szCs w:val="18"/>
              </w:rPr>
            </w:pPr>
            <w:r w:rsidRPr="00085E4F">
              <w:rPr>
                <w:rFonts w:ascii="Times New Roman" w:hAnsi="Times New Roman"/>
                <w:color w:val="000000"/>
                <w:sz w:val="18"/>
                <w:szCs w:val="18"/>
              </w:rPr>
              <w:t>120</w:t>
            </w:r>
          </w:p>
        </w:tc>
        <w:tc>
          <w:tcPr>
            <w:tcW w:w="1080" w:type="dxa"/>
            <w:noWrap/>
            <w:vAlign w:val="center"/>
            <w:hideMark/>
          </w:tcPr>
          <w:p w14:paraId="54DFD03C" w14:textId="77777777" w:rsidR="00AC481F" w:rsidRPr="00085E4F" w:rsidRDefault="00AC481F" w:rsidP="00AC481F">
            <w:pPr>
              <w:jc w:val="center"/>
              <w:rPr>
                <w:rFonts w:ascii="Times New Roman" w:hAnsi="Times New Roman"/>
                <w:color w:val="000000"/>
                <w:sz w:val="18"/>
                <w:szCs w:val="18"/>
              </w:rPr>
            </w:pPr>
            <w:r w:rsidRPr="00085E4F">
              <w:rPr>
                <w:rFonts w:ascii="Times New Roman" w:hAnsi="Times New Roman"/>
                <w:color w:val="000000"/>
                <w:sz w:val="18"/>
                <w:szCs w:val="18"/>
              </w:rPr>
              <w:t>85</w:t>
            </w:r>
          </w:p>
        </w:tc>
      </w:tr>
      <w:tr w:rsidR="00AC481F" w14:paraId="15486C27" w14:textId="77777777" w:rsidTr="000F5DB7">
        <w:trPr>
          <w:trHeight w:val="288"/>
        </w:trPr>
        <w:tc>
          <w:tcPr>
            <w:tcW w:w="5238" w:type="dxa"/>
            <w:vAlign w:val="bottom"/>
            <w:hideMark/>
          </w:tcPr>
          <w:p w14:paraId="436AA5CE" w14:textId="77777777" w:rsidR="00AC481F" w:rsidRPr="00085E4F" w:rsidRDefault="00AC481F" w:rsidP="00AC481F">
            <w:pPr>
              <w:jc w:val="center"/>
              <w:rPr>
                <w:rFonts w:ascii="Times New Roman" w:hAnsi="Times New Roman"/>
                <w:color w:val="000000"/>
                <w:sz w:val="18"/>
                <w:szCs w:val="18"/>
              </w:rPr>
            </w:pPr>
            <w:r w:rsidRPr="00085E4F">
              <w:rPr>
                <w:rFonts w:ascii="Times New Roman" w:hAnsi="Times New Roman"/>
                <w:color w:val="000000"/>
                <w:sz w:val="18"/>
                <w:szCs w:val="20"/>
              </w:rPr>
              <w:t>LED Parking Garage Luminaire rated greater than 2300 to 2900 lumens and greater than or equal to 120 LPW</w:t>
            </w:r>
          </w:p>
        </w:tc>
        <w:tc>
          <w:tcPr>
            <w:tcW w:w="1170" w:type="dxa"/>
            <w:noWrap/>
            <w:vAlign w:val="center"/>
            <w:hideMark/>
          </w:tcPr>
          <w:p w14:paraId="6D67AA59" w14:textId="4FAF6EAC" w:rsidR="00AC481F" w:rsidRPr="00085E4F" w:rsidRDefault="00492A32" w:rsidP="00AC481F">
            <w:pPr>
              <w:jc w:val="center"/>
              <w:rPr>
                <w:rFonts w:ascii="Times New Roman" w:hAnsi="Times New Roman"/>
                <w:color w:val="000000"/>
                <w:sz w:val="20"/>
                <w:szCs w:val="18"/>
              </w:rPr>
            </w:pPr>
            <w:r>
              <w:rPr>
                <w:rFonts w:ascii="Times New Roman" w:hAnsi="Times New Roman"/>
                <w:color w:val="000000"/>
                <w:sz w:val="20"/>
                <w:szCs w:val="22"/>
              </w:rPr>
              <w:t>&gt;</w:t>
            </w:r>
            <w:r w:rsidR="00AC481F" w:rsidRPr="00085E4F">
              <w:rPr>
                <w:rFonts w:ascii="Times New Roman" w:hAnsi="Times New Roman"/>
                <w:color w:val="000000"/>
                <w:sz w:val="20"/>
                <w:szCs w:val="22"/>
              </w:rPr>
              <w:t>2,30</w:t>
            </w:r>
            <w:r>
              <w:rPr>
                <w:rFonts w:ascii="Times New Roman" w:hAnsi="Times New Roman"/>
                <w:color w:val="000000"/>
                <w:sz w:val="20"/>
                <w:szCs w:val="22"/>
              </w:rPr>
              <w:t>0</w:t>
            </w:r>
          </w:p>
        </w:tc>
        <w:tc>
          <w:tcPr>
            <w:tcW w:w="1170" w:type="dxa"/>
            <w:vAlign w:val="center"/>
            <w:hideMark/>
          </w:tcPr>
          <w:p w14:paraId="3CFF025B" w14:textId="77777777" w:rsidR="00AC481F" w:rsidRPr="00085E4F" w:rsidRDefault="00AC481F" w:rsidP="00AC481F">
            <w:pPr>
              <w:jc w:val="center"/>
              <w:rPr>
                <w:rFonts w:ascii="Times New Roman" w:hAnsi="Times New Roman"/>
                <w:color w:val="000000"/>
                <w:sz w:val="20"/>
                <w:szCs w:val="18"/>
              </w:rPr>
            </w:pPr>
            <w:r w:rsidRPr="00085E4F">
              <w:rPr>
                <w:rFonts w:ascii="Times New Roman" w:hAnsi="Times New Roman"/>
                <w:color w:val="000000"/>
                <w:sz w:val="20"/>
                <w:szCs w:val="22"/>
              </w:rPr>
              <w:t>2,900</w:t>
            </w:r>
          </w:p>
        </w:tc>
        <w:tc>
          <w:tcPr>
            <w:tcW w:w="1170" w:type="dxa"/>
            <w:noWrap/>
            <w:vAlign w:val="center"/>
            <w:hideMark/>
          </w:tcPr>
          <w:p w14:paraId="1E0A37CD" w14:textId="77777777" w:rsidR="00AC481F" w:rsidRPr="00085E4F" w:rsidRDefault="00AC481F" w:rsidP="00AC481F">
            <w:pPr>
              <w:jc w:val="center"/>
              <w:rPr>
                <w:rFonts w:ascii="Times New Roman" w:hAnsi="Times New Roman"/>
                <w:color w:val="000000"/>
                <w:sz w:val="18"/>
                <w:szCs w:val="18"/>
              </w:rPr>
            </w:pPr>
            <w:r w:rsidRPr="00085E4F">
              <w:rPr>
                <w:rFonts w:ascii="Times New Roman" w:hAnsi="Times New Roman"/>
                <w:color w:val="000000"/>
                <w:sz w:val="18"/>
                <w:szCs w:val="18"/>
              </w:rPr>
              <w:t>120</w:t>
            </w:r>
          </w:p>
        </w:tc>
        <w:tc>
          <w:tcPr>
            <w:tcW w:w="1080" w:type="dxa"/>
            <w:noWrap/>
            <w:vAlign w:val="center"/>
            <w:hideMark/>
          </w:tcPr>
          <w:p w14:paraId="090B65AE" w14:textId="77777777" w:rsidR="00AC481F" w:rsidRPr="00085E4F" w:rsidRDefault="00AC481F" w:rsidP="00AC481F">
            <w:pPr>
              <w:jc w:val="center"/>
              <w:rPr>
                <w:rFonts w:ascii="Times New Roman" w:hAnsi="Times New Roman"/>
                <w:color w:val="000000"/>
                <w:sz w:val="18"/>
                <w:szCs w:val="18"/>
              </w:rPr>
            </w:pPr>
            <w:r w:rsidRPr="00085E4F">
              <w:rPr>
                <w:rFonts w:ascii="Times New Roman" w:hAnsi="Times New Roman"/>
                <w:color w:val="000000"/>
                <w:sz w:val="18"/>
                <w:szCs w:val="18"/>
              </w:rPr>
              <w:t>80</w:t>
            </w:r>
          </w:p>
        </w:tc>
      </w:tr>
      <w:tr w:rsidR="00AC481F" w14:paraId="61A6F493" w14:textId="77777777" w:rsidTr="000F5DB7">
        <w:trPr>
          <w:trHeight w:val="288"/>
        </w:trPr>
        <w:tc>
          <w:tcPr>
            <w:tcW w:w="5238" w:type="dxa"/>
            <w:vAlign w:val="bottom"/>
            <w:hideMark/>
          </w:tcPr>
          <w:p w14:paraId="1669C087" w14:textId="77777777" w:rsidR="00AC481F" w:rsidRPr="00085E4F" w:rsidRDefault="00AC481F" w:rsidP="00AC481F">
            <w:pPr>
              <w:jc w:val="center"/>
              <w:rPr>
                <w:rFonts w:ascii="Times New Roman" w:hAnsi="Times New Roman"/>
                <w:color w:val="000000"/>
                <w:sz w:val="18"/>
                <w:szCs w:val="18"/>
              </w:rPr>
            </w:pPr>
            <w:r w:rsidRPr="00085E4F">
              <w:rPr>
                <w:rFonts w:ascii="Times New Roman" w:hAnsi="Times New Roman"/>
                <w:color w:val="000000"/>
                <w:sz w:val="18"/>
                <w:szCs w:val="20"/>
              </w:rPr>
              <w:t>LED Parking Garage Luminaire rated greater than 2900 to 3600 lumens and greater than or equal to 120 LPW</w:t>
            </w:r>
          </w:p>
        </w:tc>
        <w:tc>
          <w:tcPr>
            <w:tcW w:w="1170" w:type="dxa"/>
            <w:noWrap/>
            <w:vAlign w:val="center"/>
            <w:hideMark/>
          </w:tcPr>
          <w:p w14:paraId="720BC2E5" w14:textId="1835A29D" w:rsidR="00AC481F" w:rsidRPr="00085E4F" w:rsidRDefault="00492A32" w:rsidP="00AC481F">
            <w:pPr>
              <w:jc w:val="center"/>
              <w:rPr>
                <w:rFonts w:ascii="Times New Roman" w:hAnsi="Times New Roman"/>
                <w:color w:val="000000"/>
                <w:sz w:val="20"/>
                <w:szCs w:val="18"/>
              </w:rPr>
            </w:pPr>
            <w:r>
              <w:rPr>
                <w:rFonts w:ascii="Times New Roman" w:hAnsi="Times New Roman"/>
                <w:color w:val="000000"/>
                <w:sz w:val="20"/>
                <w:szCs w:val="22"/>
              </w:rPr>
              <w:t>&gt;</w:t>
            </w:r>
            <w:r w:rsidR="00AC481F" w:rsidRPr="00085E4F">
              <w:rPr>
                <w:rFonts w:ascii="Times New Roman" w:hAnsi="Times New Roman"/>
                <w:color w:val="000000"/>
                <w:sz w:val="20"/>
                <w:szCs w:val="22"/>
              </w:rPr>
              <w:t>2,90</w:t>
            </w:r>
            <w:r>
              <w:rPr>
                <w:rFonts w:ascii="Times New Roman" w:hAnsi="Times New Roman"/>
                <w:color w:val="000000"/>
                <w:sz w:val="20"/>
                <w:szCs w:val="22"/>
              </w:rPr>
              <w:t>0</w:t>
            </w:r>
          </w:p>
        </w:tc>
        <w:tc>
          <w:tcPr>
            <w:tcW w:w="1170" w:type="dxa"/>
            <w:vAlign w:val="center"/>
            <w:hideMark/>
          </w:tcPr>
          <w:p w14:paraId="4840D2D0" w14:textId="77777777" w:rsidR="00AC481F" w:rsidRPr="00085E4F" w:rsidRDefault="00AC481F" w:rsidP="00AC481F">
            <w:pPr>
              <w:jc w:val="center"/>
              <w:rPr>
                <w:rFonts w:ascii="Times New Roman" w:hAnsi="Times New Roman"/>
                <w:color w:val="000000"/>
                <w:sz w:val="20"/>
                <w:szCs w:val="18"/>
              </w:rPr>
            </w:pPr>
            <w:r w:rsidRPr="00085E4F">
              <w:rPr>
                <w:rFonts w:ascii="Times New Roman" w:hAnsi="Times New Roman"/>
                <w:color w:val="000000"/>
                <w:sz w:val="20"/>
                <w:szCs w:val="22"/>
              </w:rPr>
              <w:t>3,600</w:t>
            </w:r>
          </w:p>
        </w:tc>
        <w:tc>
          <w:tcPr>
            <w:tcW w:w="1170" w:type="dxa"/>
            <w:noWrap/>
            <w:vAlign w:val="center"/>
            <w:hideMark/>
          </w:tcPr>
          <w:p w14:paraId="79E446B5" w14:textId="77777777" w:rsidR="00AC481F" w:rsidRPr="00085E4F" w:rsidRDefault="00AC481F" w:rsidP="00AC481F">
            <w:pPr>
              <w:jc w:val="center"/>
              <w:rPr>
                <w:rFonts w:ascii="Times New Roman" w:hAnsi="Times New Roman"/>
                <w:color w:val="000000"/>
                <w:sz w:val="18"/>
                <w:szCs w:val="18"/>
              </w:rPr>
            </w:pPr>
            <w:r w:rsidRPr="00085E4F">
              <w:rPr>
                <w:rFonts w:ascii="Times New Roman" w:hAnsi="Times New Roman"/>
                <w:color w:val="000000"/>
                <w:sz w:val="18"/>
                <w:szCs w:val="18"/>
              </w:rPr>
              <w:t>120</w:t>
            </w:r>
          </w:p>
        </w:tc>
        <w:tc>
          <w:tcPr>
            <w:tcW w:w="1080" w:type="dxa"/>
            <w:noWrap/>
            <w:vAlign w:val="center"/>
            <w:hideMark/>
          </w:tcPr>
          <w:p w14:paraId="45798317" w14:textId="77777777" w:rsidR="00AC481F" w:rsidRPr="00085E4F" w:rsidRDefault="00AC481F" w:rsidP="00AC481F">
            <w:pPr>
              <w:jc w:val="center"/>
              <w:rPr>
                <w:rFonts w:ascii="Times New Roman" w:hAnsi="Times New Roman"/>
                <w:color w:val="000000"/>
                <w:sz w:val="18"/>
                <w:szCs w:val="18"/>
              </w:rPr>
            </w:pPr>
            <w:r w:rsidRPr="00085E4F">
              <w:rPr>
                <w:rFonts w:ascii="Times New Roman" w:hAnsi="Times New Roman"/>
                <w:color w:val="000000"/>
                <w:sz w:val="18"/>
                <w:szCs w:val="18"/>
              </w:rPr>
              <w:t>83</w:t>
            </w:r>
          </w:p>
        </w:tc>
      </w:tr>
      <w:tr w:rsidR="00AC481F" w14:paraId="397FFBF7" w14:textId="77777777" w:rsidTr="000F5DB7">
        <w:trPr>
          <w:trHeight w:val="288"/>
        </w:trPr>
        <w:tc>
          <w:tcPr>
            <w:tcW w:w="5238" w:type="dxa"/>
            <w:vAlign w:val="bottom"/>
            <w:hideMark/>
          </w:tcPr>
          <w:p w14:paraId="5D01A8D5" w14:textId="77777777" w:rsidR="00AC481F" w:rsidRPr="00085E4F" w:rsidRDefault="00AC481F" w:rsidP="00AC481F">
            <w:pPr>
              <w:jc w:val="center"/>
              <w:rPr>
                <w:rFonts w:ascii="Times New Roman" w:hAnsi="Times New Roman"/>
                <w:color w:val="000000"/>
                <w:sz w:val="18"/>
                <w:szCs w:val="18"/>
              </w:rPr>
            </w:pPr>
            <w:r w:rsidRPr="00085E4F">
              <w:rPr>
                <w:rFonts w:ascii="Times New Roman" w:hAnsi="Times New Roman"/>
                <w:color w:val="000000"/>
                <w:sz w:val="18"/>
                <w:szCs w:val="20"/>
              </w:rPr>
              <w:t>LED Parking Garage Luminaire rated greater than 3600 to 4500 lumens and greater than or equal to 120 LPW</w:t>
            </w:r>
          </w:p>
        </w:tc>
        <w:tc>
          <w:tcPr>
            <w:tcW w:w="1170" w:type="dxa"/>
            <w:noWrap/>
            <w:vAlign w:val="center"/>
            <w:hideMark/>
          </w:tcPr>
          <w:p w14:paraId="23B6CFC4" w14:textId="5CAC2A9D" w:rsidR="00AC481F" w:rsidRPr="00085E4F" w:rsidRDefault="00492A32" w:rsidP="00AC481F">
            <w:pPr>
              <w:jc w:val="center"/>
              <w:rPr>
                <w:rFonts w:ascii="Times New Roman" w:hAnsi="Times New Roman"/>
                <w:color w:val="000000"/>
                <w:sz w:val="20"/>
                <w:szCs w:val="18"/>
              </w:rPr>
            </w:pPr>
            <w:r>
              <w:rPr>
                <w:rFonts w:ascii="Times New Roman" w:hAnsi="Times New Roman"/>
                <w:color w:val="000000"/>
                <w:sz w:val="20"/>
                <w:szCs w:val="22"/>
              </w:rPr>
              <w:t>&gt;</w:t>
            </w:r>
            <w:r w:rsidR="00AC481F" w:rsidRPr="00085E4F">
              <w:rPr>
                <w:rFonts w:ascii="Times New Roman" w:hAnsi="Times New Roman"/>
                <w:color w:val="000000"/>
                <w:sz w:val="20"/>
                <w:szCs w:val="22"/>
              </w:rPr>
              <w:t>3,60</w:t>
            </w:r>
            <w:r>
              <w:rPr>
                <w:rFonts w:ascii="Times New Roman" w:hAnsi="Times New Roman"/>
                <w:color w:val="000000"/>
                <w:sz w:val="20"/>
                <w:szCs w:val="22"/>
              </w:rPr>
              <w:t>0</w:t>
            </w:r>
          </w:p>
        </w:tc>
        <w:tc>
          <w:tcPr>
            <w:tcW w:w="1170" w:type="dxa"/>
            <w:vAlign w:val="center"/>
            <w:hideMark/>
          </w:tcPr>
          <w:p w14:paraId="374D6A9F" w14:textId="77777777" w:rsidR="00AC481F" w:rsidRPr="00085E4F" w:rsidRDefault="00AC481F" w:rsidP="00AC481F">
            <w:pPr>
              <w:jc w:val="center"/>
              <w:rPr>
                <w:rFonts w:ascii="Times New Roman" w:hAnsi="Times New Roman"/>
                <w:color w:val="000000"/>
                <w:sz w:val="20"/>
                <w:szCs w:val="18"/>
              </w:rPr>
            </w:pPr>
            <w:r w:rsidRPr="00085E4F">
              <w:rPr>
                <w:rFonts w:ascii="Times New Roman" w:hAnsi="Times New Roman"/>
                <w:color w:val="000000"/>
                <w:sz w:val="20"/>
                <w:szCs w:val="22"/>
              </w:rPr>
              <w:t>4,500</w:t>
            </w:r>
          </w:p>
        </w:tc>
        <w:tc>
          <w:tcPr>
            <w:tcW w:w="1170" w:type="dxa"/>
            <w:noWrap/>
            <w:vAlign w:val="center"/>
            <w:hideMark/>
          </w:tcPr>
          <w:p w14:paraId="30001620" w14:textId="77777777" w:rsidR="00AC481F" w:rsidRPr="00085E4F" w:rsidRDefault="00AC481F" w:rsidP="00AC481F">
            <w:pPr>
              <w:jc w:val="center"/>
              <w:rPr>
                <w:rFonts w:ascii="Times New Roman" w:hAnsi="Times New Roman"/>
                <w:color w:val="000000"/>
                <w:sz w:val="18"/>
                <w:szCs w:val="18"/>
              </w:rPr>
            </w:pPr>
            <w:r w:rsidRPr="00085E4F">
              <w:rPr>
                <w:rFonts w:ascii="Times New Roman" w:hAnsi="Times New Roman"/>
                <w:color w:val="000000"/>
                <w:sz w:val="18"/>
                <w:szCs w:val="18"/>
              </w:rPr>
              <w:t>120</w:t>
            </w:r>
          </w:p>
        </w:tc>
        <w:tc>
          <w:tcPr>
            <w:tcW w:w="1080" w:type="dxa"/>
            <w:noWrap/>
            <w:vAlign w:val="center"/>
            <w:hideMark/>
          </w:tcPr>
          <w:p w14:paraId="0E5DA497" w14:textId="77777777" w:rsidR="00AC481F" w:rsidRPr="00085E4F" w:rsidRDefault="00AC481F" w:rsidP="00AC481F">
            <w:pPr>
              <w:jc w:val="center"/>
              <w:rPr>
                <w:rFonts w:ascii="Times New Roman" w:hAnsi="Times New Roman"/>
                <w:color w:val="000000"/>
                <w:sz w:val="18"/>
                <w:szCs w:val="18"/>
              </w:rPr>
            </w:pPr>
            <w:r w:rsidRPr="00085E4F">
              <w:rPr>
                <w:rFonts w:ascii="Times New Roman" w:hAnsi="Times New Roman"/>
                <w:color w:val="000000"/>
                <w:sz w:val="18"/>
                <w:szCs w:val="18"/>
              </w:rPr>
              <w:t>84</w:t>
            </w:r>
          </w:p>
        </w:tc>
      </w:tr>
      <w:tr w:rsidR="00AC481F" w14:paraId="20C7C14B" w14:textId="77777777" w:rsidTr="000F5DB7">
        <w:trPr>
          <w:trHeight w:val="288"/>
        </w:trPr>
        <w:tc>
          <w:tcPr>
            <w:tcW w:w="5238" w:type="dxa"/>
            <w:vAlign w:val="bottom"/>
            <w:hideMark/>
          </w:tcPr>
          <w:p w14:paraId="7DF1F4AA" w14:textId="77777777" w:rsidR="00AC481F" w:rsidRPr="00085E4F" w:rsidRDefault="00AC481F" w:rsidP="00AC481F">
            <w:pPr>
              <w:jc w:val="center"/>
              <w:rPr>
                <w:rFonts w:ascii="Times New Roman" w:hAnsi="Times New Roman"/>
                <w:color w:val="000000"/>
                <w:sz w:val="18"/>
                <w:szCs w:val="18"/>
              </w:rPr>
            </w:pPr>
            <w:r w:rsidRPr="00085E4F">
              <w:rPr>
                <w:rFonts w:ascii="Times New Roman" w:hAnsi="Times New Roman"/>
                <w:color w:val="000000"/>
                <w:sz w:val="18"/>
                <w:szCs w:val="20"/>
              </w:rPr>
              <w:t>LED Parking Garage Luminaire rated greater than 4500 to 5600 lumens and greater than or equal to 120 LPW</w:t>
            </w:r>
          </w:p>
        </w:tc>
        <w:tc>
          <w:tcPr>
            <w:tcW w:w="1170" w:type="dxa"/>
            <w:noWrap/>
            <w:vAlign w:val="center"/>
            <w:hideMark/>
          </w:tcPr>
          <w:p w14:paraId="464417F7" w14:textId="53EBB11C" w:rsidR="00AC481F" w:rsidRPr="00085E4F" w:rsidRDefault="00492A32" w:rsidP="00AC481F">
            <w:pPr>
              <w:jc w:val="center"/>
              <w:rPr>
                <w:rFonts w:ascii="Times New Roman" w:hAnsi="Times New Roman"/>
                <w:color w:val="000000"/>
                <w:sz w:val="20"/>
                <w:szCs w:val="18"/>
              </w:rPr>
            </w:pPr>
            <w:r>
              <w:rPr>
                <w:rFonts w:ascii="Times New Roman" w:hAnsi="Times New Roman"/>
                <w:color w:val="000000"/>
                <w:sz w:val="20"/>
                <w:szCs w:val="22"/>
              </w:rPr>
              <w:t>&gt;</w:t>
            </w:r>
            <w:r w:rsidR="00AC481F" w:rsidRPr="00085E4F">
              <w:rPr>
                <w:rFonts w:ascii="Times New Roman" w:hAnsi="Times New Roman"/>
                <w:color w:val="000000"/>
                <w:sz w:val="20"/>
                <w:szCs w:val="22"/>
              </w:rPr>
              <w:t>4,50</w:t>
            </w:r>
            <w:r>
              <w:rPr>
                <w:rFonts w:ascii="Times New Roman" w:hAnsi="Times New Roman"/>
                <w:color w:val="000000"/>
                <w:sz w:val="20"/>
                <w:szCs w:val="22"/>
              </w:rPr>
              <w:t>0</w:t>
            </w:r>
          </w:p>
        </w:tc>
        <w:tc>
          <w:tcPr>
            <w:tcW w:w="1170" w:type="dxa"/>
            <w:vAlign w:val="center"/>
            <w:hideMark/>
          </w:tcPr>
          <w:p w14:paraId="3D584276" w14:textId="77777777" w:rsidR="00AC481F" w:rsidRPr="00085E4F" w:rsidRDefault="00AC481F" w:rsidP="00AC481F">
            <w:pPr>
              <w:jc w:val="center"/>
              <w:rPr>
                <w:rFonts w:ascii="Times New Roman" w:hAnsi="Times New Roman"/>
                <w:color w:val="000000"/>
                <w:sz w:val="20"/>
                <w:szCs w:val="18"/>
              </w:rPr>
            </w:pPr>
            <w:r w:rsidRPr="00085E4F">
              <w:rPr>
                <w:rFonts w:ascii="Times New Roman" w:hAnsi="Times New Roman"/>
                <w:color w:val="000000"/>
                <w:sz w:val="20"/>
                <w:szCs w:val="22"/>
              </w:rPr>
              <w:t>5,600</w:t>
            </w:r>
          </w:p>
        </w:tc>
        <w:tc>
          <w:tcPr>
            <w:tcW w:w="1170" w:type="dxa"/>
            <w:noWrap/>
            <w:vAlign w:val="center"/>
            <w:hideMark/>
          </w:tcPr>
          <w:p w14:paraId="7DFA79A3" w14:textId="77777777" w:rsidR="00AC481F" w:rsidRPr="00085E4F" w:rsidRDefault="00AC481F" w:rsidP="00AC481F">
            <w:pPr>
              <w:jc w:val="center"/>
              <w:rPr>
                <w:rFonts w:ascii="Times New Roman" w:hAnsi="Times New Roman"/>
                <w:color w:val="000000"/>
                <w:sz w:val="18"/>
                <w:szCs w:val="18"/>
              </w:rPr>
            </w:pPr>
            <w:r w:rsidRPr="00085E4F">
              <w:rPr>
                <w:rFonts w:ascii="Times New Roman" w:hAnsi="Times New Roman"/>
                <w:color w:val="000000"/>
                <w:sz w:val="18"/>
                <w:szCs w:val="18"/>
              </w:rPr>
              <w:t>120</w:t>
            </w:r>
          </w:p>
        </w:tc>
        <w:tc>
          <w:tcPr>
            <w:tcW w:w="1080" w:type="dxa"/>
            <w:noWrap/>
            <w:vAlign w:val="center"/>
            <w:hideMark/>
          </w:tcPr>
          <w:p w14:paraId="0D195B14" w14:textId="77777777" w:rsidR="00AC481F" w:rsidRPr="00085E4F" w:rsidRDefault="00AC481F" w:rsidP="00AC481F">
            <w:pPr>
              <w:jc w:val="center"/>
              <w:rPr>
                <w:rFonts w:ascii="Times New Roman" w:hAnsi="Times New Roman"/>
                <w:color w:val="000000"/>
                <w:sz w:val="18"/>
                <w:szCs w:val="18"/>
              </w:rPr>
            </w:pPr>
            <w:r w:rsidRPr="00085E4F">
              <w:rPr>
                <w:rFonts w:ascii="Times New Roman" w:hAnsi="Times New Roman"/>
                <w:color w:val="000000"/>
                <w:sz w:val="18"/>
                <w:szCs w:val="18"/>
              </w:rPr>
              <w:t>86</w:t>
            </w:r>
          </w:p>
        </w:tc>
      </w:tr>
      <w:tr w:rsidR="00AC481F" w14:paraId="59F8D2E0" w14:textId="77777777" w:rsidTr="000F5DB7">
        <w:trPr>
          <w:trHeight w:val="288"/>
        </w:trPr>
        <w:tc>
          <w:tcPr>
            <w:tcW w:w="5238" w:type="dxa"/>
            <w:vAlign w:val="bottom"/>
            <w:hideMark/>
          </w:tcPr>
          <w:p w14:paraId="2A4F2879" w14:textId="77777777" w:rsidR="00AC481F" w:rsidRPr="00085E4F" w:rsidRDefault="00AC481F" w:rsidP="00AC481F">
            <w:pPr>
              <w:jc w:val="center"/>
              <w:rPr>
                <w:rFonts w:ascii="Times New Roman" w:hAnsi="Times New Roman"/>
                <w:color w:val="000000"/>
                <w:sz w:val="18"/>
                <w:szCs w:val="18"/>
              </w:rPr>
            </w:pPr>
            <w:r w:rsidRPr="00085E4F">
              <w:rPr>
                <w:rFonts w:ascii="Times New Roman" w:hAnsi="Times New Roman"/>
                <w:color w:val="000000"/>
                <w:sz w:val="18"/>
                <w:szCs w:val="20"/>
              </w:rPr>
              <w:t>LED Parking Garage Luminaire rated greater than 5600 to 7000 lumens and greater than or equal to 120 LPW</w:t>
            </w:r>
          </w:p>
        </w:tc>
        <w:tc>
          <w:tcPr>
            <w:tcW w:w="1170" w:type="dxa"/>
            <w:noWrap/>
            <w:vAlign w:val="center"/>
            <w:hideMark/>
          </w:tcPr>
          <w:p w14:paraId="39D075B6" w14:textId="13F6647A" w:rsidR="00AC481F" w:rsidRPr="00085E4F" w:rsidRDefault="00492A32" w:rsidP="00AC481F">
            <w:pPr>
              <w:jc w:val="center"/>
              <w:rPr>
                <w:rFonts w:ascii="Times New Roman" w:hAnsi="Times New Roman"/>
                <w:color w:val="000000"/>
                <w:sz w:val="20"/>
                <w:szCs w:val="18"/>
              </w:rPr>
            </w:pPr>
            <w:r>
              <w:rPr>
                <w:rFonts w:ascii="Times New Roman" w:hAnsi="Times New Roman"/>
                <w:color w:val="000000"/>
                <w:sz w:val="20"/>
                <w:szCs w:val="22"/>
              </w:rPr>
              <w:t>&gt;</w:t>
            </w:r>
            <w:r w:rsidR="00AC481F" w:rsidRPr="00085E4F">
              <w:rPr>
                <w:rFonts w:ascii="Times New Roman" w:hAnsi="Times New Roman"/>
                <w:color w:val="000000"/>
                <w:sz w:val="20"/>
                <w:szCs w:val="22"/>
              </w:rPr>
              <w:t>5,60</w:t>
            </w:r>
            <w:r>
              <w:rPr>
                <w:rFonts w:ascii="Times New Roman" w:hAnsi="Times New Roman"/>
                <w:color w:val="000000"/>
                <w:sz w:val="20"/>
                <w:szCs w:val="22"/>
              </w:rPr>
              <w:t>0</w:t>
            </w:r>
          </w:p>
        </w:tc>
        <w:tc>
          <w:tcPr>
            <w:tcW w:w="1170" w:type="dxa"/>
            <w:vAlign w:val="center"/>
            <w:hideMark/>
          </w:tcPr>
          <w:p w14:paraId="0D409319" w14:textId="77777777" w:rsidR="00AC481F" w:rsidRPr="00085E4F" w:rsidRDefault="00AC481F" w:rsidP="00AC481F">
            <w:pPr>
              <w:jc w:val="center"/>
              <w:rPr>
                <w:rFonts w:ascii="Times New Roman" w:hAnsi="Times New Roman"/>
                <w:color w:val="000000"/>
                <w:sz w:val="20"/>
                <w:szCs w:val="18"/>
              </w:rPr>
            </w:pPr>
            <w:r w:rsidRPr="00085E4F">
              <w:rPr>
                <w:rFonts w:ascii="Times New Roman" w:hAnsi="Times New Roman"/>
                <w:color w:val="000000"/>
                <w:sz w:val="20"/>
                <w:szCs w:val="22"/>
              </w:rPr>
              <w:t>7,000</w:t>
            </w:r>
          </w:p>
        </w:tc>
        <w:tc>
          <w:tcPr>
            <w:tcW w:w="1170" w:type="dxa"/>
            <w:noWrap/>
            <w:vAlign w:val="center"/>
            <w:hideMark/>
          </w:tcPr>
          <w:p w14:paraId="0157E09B" w14:textId="77777777" w:rsidR="00AC481F" w:rsidRPr="00085E4F" w:rsidRDefault="00AC481F" w:rsidP="00AC481F">
            <w:pPr>
              <w:jc w:val="center"/>
              <w:rPr>
                <w:rFonts w:ascii="Times New Roman" w:hAnsi="Times New Roman"/>
                <w:color w:val="000000"/>
                <w:sz w:val="18"/>
                <w:szCs w:val="18"/>
              </w:rPr>
            </w:pPr>
            <w:r w:rsidRPr="00085E4F">
              <w:rPr>
                <w:rFonts w:ascii="Times New Roman" w:hAnsi="Times New Roman"/>
                <w:color w:val="000000"/>
                <w:sz w:val="18"/>
                <w:szCs w:val="18"/>
              </w:rPr>
              <w:t>120</w:t>
            </w:r>
          </w:p>
        </w:tc>
        <w:tc>
          <w:tcPr>
            <w:tcW w:w="1080" w:type="dxa"/>
            <w:noWrap/>
            <w:vAlign w:val="center"/>
            <w:hideMark/>
          </w:tcPr>
          <w:p w14:paraId="23504877" w14:textId="77777777" w:rsidR="00AC481F" w:rsidRPr="00085E4F" w:rsidRDefault="00AC481F" w:rsidP="00AC481F">
            <w:pPr>
              <w:jc w:val="center"/>
              <w:rPr>
                <w:rFonts w:ascii="Times New Roman" w:hAnsi="Times New Roman"/>
                <w:color w:val="000000"/>
                <w:sz w:val="18"/>
                <w:szCs w:val="18"/>
              </w:rPr>
            </w:pPr>
            <w:r w:rsidRPr="00085E4F">
              <w:rPr>
                <w:rFonts w:ascii="Times New Roman" w:hAnsi="Times New Roman"/>
                <w:color w:val="000000"/>
                <w:sz w:val="18"/>
                <w:szCs w:val="18"/>
              </w:rPr>
              <w:t>86</w:t>
            </w:r>
          </w:p>
        </w:tc>
      </w:tr>
      <w:tr w:rsidR="00AC481F" w14:paraId="31AF69D0" w14:textId="77777777" w:rsidTr="000F5DB7">
        <w:trPr>
          <w:trHeight w:val="288"/>
        </w:trPr>
        <w:tc>
          <w:tcPr>
            <w:tcW w:w="5238" w:type="dxa"/>
            <w:vAlign w:val="bottom"/>
            <w:hideMark/>
          </w:tcPr>
          <w:p w14:paraId="39BEB1F5" w14:textId="77777777" w:rsidR="00AC481F" w:rsidRPr="00085E4F" w:rsidRDefault="00AC481F" w:rsidP="00AC481F">
            <w:pPr>
              <w:jc w:val="center"/>
              <w:rPr>
                <w:rFonts w:ascii="Times New Roman" w:hAnsi="Times New Roman"/>
                <w:color w:val="000000"/>
                <w:sz w:val="18"/>
                <w:szCs w:val="18"/>
              </w:rPr>
            </w:pPr>
            <w:r w:rsidRPr="00085E4F">
              <w:rPr>
                <w:rFonts w:ascii="Times New Roman" w:hAnsi="Times New Roman"/>
                <w:color w:val="000000"/>
                <w:sz w:val="18"/>
                <w:szCs w:val="20"/>
              </w:rPr>
              <w:t>LED Parking Garage Luminaire rated greater than 7000 to 8800 lumens and greater than or equal to 120 LPW</w:t>
            </w:r>
          </w:p>
        </w:tc>
        <w:tc>
          <w:tcPr>
            <w:tcW w:w="1170" w:type="dxa"/>
            <w:noWrap/>
            <w:vAlign w:val="center"/>
            <w:hideMark/>
          </w:tcPr>
          <w:p w14:paraId="63BDC63D" w14:textId="6E7965F9" w:rsidR="00AC481F" w:rsidRPr="00085E4F" w:rsidRDefault="00492A32" w:rsidP="00AC481F">
            <w:pPr>
              <w:jc w:val="center"/>
              <w:rPr>
                <w:rFonts w:ascii="Times New Roman" w:hAnsi="Times New Roman"/>
                <w:color w:val="000000"/>
                <w:sz w:val="20"/>
                <w:szCs w:val="18"/>
              </w:rPr>
            </w:pPr>
            <w:r>
              <w:rPr>
                <w:rFonts w:ascii="Times New Roman" w:hAnsi="Times New Roman"/>
                <w:color w:val="000000"/>
                <w:sz w:val="20"/>
                <w:szCs w:val="22"/>
              </w:rPr>
              <w:t>&gt;</w:t>
            </w:r>
            <w:r w:rsidR="00AC481F" w:rsidRPr="00085E4F">
              <w:rPr>
                <w:rFonts w:ascii="Times New Roman" w:hAnsi="Times New Roman"/>
                <w:color w:val="000000"/>
                <w:sz w:val="20"/>
                <w:szCs w:val="22"/>
              </w:rPr>
              <w:t>7,00</w:t>
            </w:r>
            <w:r>
              <w:rPr>
                <w:rFonts w:ascii="Times New Roman" w:hAnsi="Times New Roman"/>
                <w:color w:val="000000"/>
                <w:sz w:val="20"/>
                <w:szCs w:val="22"/>
              </w:rPr>
              <w:t>0</w:t>
            </w:r>
          </w:p>
        </w:tc>
        <w:tc>
          <w:tcPr>
            <w:tcW w:w="1170" w:type="dxa"/>
            <w:vAlign w:val="center"/>
            <w:hideMark/>
          </w:tcPr>
          <w:p w14:paraId="026B01E2" w14:textId="77777777" w:rsidR="00AC481F" w:rsidRPr="00085E4F" w:rsidRDefault="00AC481F" w:rsidP="00AC481F">
            <w:pPr>
              <w:jc w:val="center"/>
              <w:rPr>
                <w:rFonts w:ascii="Times New Roman" w:hAnsi="Times New Roman"/>
                <w:color w:val="000000"/>
                <w:sz w:val="20"/>
                <w:szCs w:val="18"/>
              </w:rPr>
            </w:pPr>
            <w:r w:rsidRPr="00085E4F">
              <w:rPr>
                <w:rFonts w:ascii="Times New Roman" w:hAnsi="Times New Roman"/>
                <w:color w:val="000000"/>
                <w:sz w:val="20"/>
                <w:szCs w:val="22"/>
              </w:rPr>
              <w:t>8,800</w:t>
            </w:r>
          </w:p>
        </w:tc>
        <w:tc>
          <w:tcPr>
            <w:tcW w:w="1170" w:type="dxa"/>
            <w:noWrap/>
            <w:vAlign w:val="center"/>
            <w:hideMark/>
          </w:tcPr>
          <w:p w14:paraId="5E33E7E8" w14:textId="77777777" w:rsidR="00AC481F" w:rsidRPr="00085E4F" w:rsidRDefault="00AC481F" w:rsidP="00AC481F">
            <w:pPr>
              <w:jc w:val="center"/>
              <w:rPr>
                <w:rFonts w:ascii="Times New Roman" w:hAnsi="Times New Roman"/>
                <w:color w:val="000000"/>
                <w:sz w:val="18"/>
                <w:szCs w:val="18"/>
              </w:rPr>
            </w:pPr>
            <w:r w:rsidRPr="00085E4F">
              <w:rPr>
                <w:rFonts w:ascii="Times New Roman" w:hAnsi="Times New Roman"/>
                <w:color w:val="000000"/>
                <w:sz w:val="18"/>
                <w:szCs w:val="18"/>
              </w:rPr>
              <w:t>120</w:t>
            </w:r>
          </w:p>
        </w:tc>
        <w:tc>
          <w:tcPr>
            <w:tcW w:w="1080" w:type="dxa"/>
            <w:noWrap/>
            <w:vAlign w:val="center"/>
            <w:hideMark/>
          </w:tcPr>
          <w:p w14:paraId="0854A0F4" w14:textId="77777777" w:rsidR="00AC481F" w:rsidRPr="00085E4F" w:rsidRDefault="00AC481F" w:rsidP="00AC481F">
            <w:pPr>
              <w:jc w:val="center"/>
              <w:rPr>
                <w:rFonts w:ascii="Times New Roman" w:hAnsi="Times New Roman"/>
                <w:color w:val="000000"/>
                <w:sz w:val="18"/>
                <w:szCs w:val="18"/>
              </w:rPr>
            </w:pPr>
            <w:r w:rsidRPr="00085E4F">
              <w:rPr>
                <w:rFonts w:ascii="Times New Roman" w:hAnsi="Times New Roman"/>
                <w:color w:val="000000"/>
                <w:sz w:val="18"/>
                <w:szCs w:val="18"/>
              </w:rPr>
              <w:t>93</w:t>
            </w:r>
          </w:p>
        </w:tc>
      </w:tr>
      <w:tr w:rsidR="00AC481F" w14:paraId="7D0B3AE9" w14:textId="77777777" w:rsidTr="000F5DB7">
        <w:trPr>
          <w:trHeight w:val="288"/>
        </w:trPr>
        <w:tc>
          <w:tcPr>
            <w:tcW w:w="5238" w:type="dxa"/>
            <w:vAlign w:val="bottom"/>
            <w:hideMark/>
          </w:tcPr>
          <w:p w14:paraId="317B1ABE" w14:textId="77777777" w:rsidR="00AC481F" w:rsidRPr="00085E4F" w:rsidRDefault="00AC481F" w:rsidP="00AC481F">
            <w:pPr>
              <w:jc w:val="center"/>
              <w:rPr>
                <w:rFonts w:ascii="Times New Roman" w:hAnsi="Times New Roman"/>
                <w:color w:val="000000"/>
                <w:sz w:val="18"/>
                <w:szCs w:val="18"/>
              </w:rPr>
            </w:pPr>
            <w:r w:rsidRPr="00085E4F">
              <w:rPr>
                <w:rFonts w:ascii="Times New Roman" w:hAnsi="Times New Roman"/>
                <w:color w:val="000000"/>
                <w:sz w:val="18"/>
                <w:szCs w:val="20"/>
              </w:rPr>
              <w:t>LED Parking Garage Luminaire rated greater than 8800 to 11000 lumens and greater than or equal to 120 LPW</w:t>
            </w:r>
          </w:p>
        </w:tc>
        <w:tc>
          <w:tcPr>
            <w:tcW w:w="1170" w:type="dxa"/>
            <w:noWrap/>
            <w:vAlign w:val="center"/>
            <w:hideMark/>
          </w:tcPr>
          <w:p w14:paraId="5ABDBE1E" w14:textId="4249F080" w:rsidR="00AC481F" w:rsidRPr="00085E4F" w:rsidRDefault="00492A32" w:rsidP="00AC481F">
            <w:pPr>
              <w:jc w:val="center"/>
              <w:rPr>
                <w:rFonts w:ascii="Times New Roman" w:hAnsi="Times New Roman"/>
                <w:color w:val="000000"/>
                <w:sz w:val="20"/>
                <w:szCs w:val="18"/>
              </w:rPr>
            </w:pPr>
            <w:r>
              <w:rPr>
                <w:rFonts w:ascii="Times New Roman" w:hAnsi="Times New Roman"/>
                <w:color w:val="000000"/>
                <w:sz w:val="20"/>
                <w:szCs w:val="22"/>
              </w:rPr>
              <w:t>&gt;</w:t>
            </w:r>
            <w:r w:rsidR="00AC481F" w:rsidRPr="00085E4F">
              <w:rPr>
                <w:rFonts w:ascii="Times New Roman" w:hAnsi="Times New Roman"/>
                <w:color w:val="000000"/>
                <w:sz w:val="20"/>
                <w:szCs w:val="22"/>
              </w:rPr>
              <w:t>8,80</w:t>
            </w:r>
            <w:r>
              <w:rPr>
                <w:rFonts w:ascii="Times New Roman" w:hAnsi="Times New Roman"/>
                <w:color w:val="000000"/>
                <w:sz w:val="20"/>
                <w:szCs w:val="22"/>
              </w:rPr>
              <w:t>0</w:t>
            </w:r>
          </w:p>
        </w:tc>
        <w:tc>
          <w:tcPr>
            <w:tcW w:w="1170" w:type="dxa"/>
            <w:vAlign w:val="center"/>
            <w:hideMark/>
          </w:tcPr>
          <w:p w14:paraId="3C336F99" w14:textId="77777777" w:rsidR="00AC481F" w:rsidRPr="00085E4F" w:rsidRDefault="00AC481F" w:rsidP="00AC481F">
            <w:pPr>
              <w:jc w:val="center"/>
              <w:rPr>
                <w:rFonts w:ascii="Times New Roman" w:hAnsi="Times New Roman"/>
                <w:color w:val="000000"/>
                <w:sz w:val="20"/>
                <w:szCs w:val="18"/>
              </w:rPr>
            </w:pPr>
            <w:r w:rsidRPr="00085E4F">
              <w:rPr>
                <w:rFonts w:ascii="Times New Roman" w:hAnsi="Times New Roman"/>
                <w:color w:val="000000"/>
                <w:sz w:val="20"/>
                <w:szCs w:val="22"/>
              </w:rPr>
              <w:t>11,000</w:t>
            </w:r>
          </w:p>
        </w:tc>
        <w:tc>
          <w:tcPr>
            <w:tcW w:w="1170" w:type="dxa"/>
            <w:noWrap/>
            <w:vAlign w:val="center"/>
            <w:hideMark/>
          </w:tcPr>
          <w:p w14:paraId="1C4D0D3C" w14:textId="77777777" w:rsidR="00AC481F" w:rsidRPr="00085E4F" w:rsidRDefault="00AC481F" w:rsidP="00AC481F">
            <w:pPr>
              <w:jc w:val="center"/>
              <w:rPr>
                <w:rFonts w:ascii="Times New Roman" w:hAnsi="Times New Roman"/>
                <w:color w:val="000000"/>
                <w:sz w:val="18"/>
                <w:szCs w:val="18"/>
              </w:rPr>
            </w:pPr>
            <w:r w:rsidRPr="00085E4F">
              <w:rPr>
                <w:rFonts w:ascii="Times New Roman" w:hAnsi="Times New Roman"/>
                <w:color w:val="000000"/>
                <w:sz w:val="18"/>
                <w:szCs w:val="18"/>
              </w:rPr>
              <w:t>120</w:t>
            </w:r>
          </w:p>
        </w:tc>
        <w:tc>
          <w:tcPr>
            <w:tcW w:w="1080" w:type="dxa"/>
            <w:noWrap/>
            <w:vAlign w:val="center"/>
            <w:hideMark/>
          </w:tcPr>
          <w:p w14:paraId="530189AB" w14:textId="77777777" w:rsidR="00AC481F" w:rsidRPr="00085E4F" w:rsidRDefault="00AC481F" w:rsidP="00AC481F">
            <w:pPr>
              <w:jc w:val="center"/>
              <w:rPr>
                <w:rFonts w:ascii="Times New Roman" w:hAnsi="Times New Roman"/>
                <w:color w:val="000000"/>
                <w:sz w:val="18"/>
                <w:szCs w:val="18"/>
              </w:rPr>
            </w:pPr>
            <w:r w:rsidRPr="00085E4F">
              <w:rPr>
                <w:rFonts w:ascii="Times New Roman" w:hAnsi="Times New Roman"/>
                <w:color w:val="000000"/>
                <w:sz w:val="18"/>
                <w:szCs w:val="18"/>
              </w:rPr>
              <w:t>90</w:t>
            </w:r>
          </w:p>
        </w:tc>
      </w:tr>
    </w:tbl>
    <w:p w14:paraId="38DBFC95" w14:textId="77777777" w:rsidR="000F5DB7" w:rsidRDefault="000F5DB7" w:rsidP="5B621C54">
      <w:pPr>
        <w:rPr>
          <w:b/>
          <w:bCs/>
        </w:rPr>
      </w:pPr>
    </w:p>
    <w:p w14:paraId="3C56EB94" w14:textId="77777777" w:rsidR="00B72FCE" w:rsidRPr="00B72FCE" w:rsidRDefault="5B621C54" w:rsidP="5B621C54">
      <w:pPr>
        <w:rPr>
          <w:b/>
          <w:bCs/>
        </w:rPr>
      </w:pPr>
      <w:r w:rsidRPr="5B621C54">
        <w:rPr>
          <w:b/>
          <w:bCs/>
        </w:rPr>
        <w:lastRenderedPageBreak/>
        <w:t>Measure Case Assumptions used in the Calculations</w:t>
      </w:r>
      <w:r w:rsidR="00A33C08">
        <w:rPr>
          <w:b/>
          <w:bCs/>
        </w:rPr>
        <w:t xml:space="preserve"> </w:t>
      </w:r>
    </w:p>
    <w:p w14:paraId="6D986062" w14:textId="2D9F9FA5" w:rsidR="00B72FCE" w:rsidRPr="00B72FCE" w:rsidRDefault="00B72FCE" w:rsidP="00B72FCE">
      <w:r w:rsidRPr="00B72FCE">
        <w:t xml:space="preserve">The measure case for all </w:t>
      </w:r>
      <w:r w:rsidR="00247613">
        <w:t>parking garage</w:t>
      </w:r>
      <w:r w:rsidRPr="00B72FCE">
        <w:t xml:space="preserve"> lighting </w:t>
      </w:r>
      <w:r w:rsidR="00E374D0">
        <w:t>is</w:t>
      </w:r>
      <w:r w:rsidR="00E374D0" w:rsidRPr="00B72FCE">
        <w:t xml:space="preserve"> </w:t>
      </w:r>
      <w:r w:rsidRPr="00B72FCE">
        <w:t xml:space="preserve">100% LED </w:t>
      </w:r>
      <w:r w:rsidR="00DC3C83">
        <w:t xml:space="preserve">with </w:t>
      </w:r>
      <w:r w:rsidR="00563B45">
        <w:t>120 lm/W efficacy</w:t>
      </w:r>
      <w:r w:rsidR="00DC3C83">
        <w:t xml:space="preserve"> or greater</w:t>
      </w:r>
      <w:r w:rsidR="00563B45">
        <w:t xml:space="preserve">. This is the highest of the Premium-classification efficacies in the </w:t>
      </w:r>
      <w:r w:rsidRPr="00B72FCE">
        <w:t xml:space="preserve">Technical Requirements </w:t>
      </w:r>
      <w:r w:rsidR="005747FC">
        <w:t xml:space="preserve">in the current version </w:t>
      </w:r>
      <w:proofErr w:type="gramStart"/>
      <w:r w:rsidR="005747FC">
        <w:t xml:space="preserve">of </w:t>
      </w:r>
      <w:r w:rsidRPr="00B72FCE">
        <w:t xml:space="preserve"> the</w:t>
      </w:r>
      <w:proofErr w:type="gramEnd"/>
      <w:r w:rsidRPr="00B72FCE">
        <w:t xml:space="preserve"> </w:t>
      </w:r>
      <w:r w:rsidR="003C03C2">
        <w:t>DLC</w:t>
      </w:r>
      <w:r w:rsidR="00563B45">
        <w:t xml:space="preserve"> </w:t>
      </w:r>
      <w:r w:rsidR="003C03C2">
        <w:t>QPL</w:t>
      </w:r>
      <w:r w:rsidR="00254276" w:rsidRPr="5B621C54">
        <w:fldChar w:fldCharType="begin"/>
      </w:r>
      <w:r w:rsidR="00254276" w:rsidRPr="00254276">
        <w:rPr>
          <w:vertAlign w:val="superscript"/>
        </w:rPr>
        <w:instrText xml:space="preserve"> NOTEREF _Ref327854132 \h </w:instrText>
      </w:r>
      <w:r w:rsidR="00254276">
        <w:rPr>
          <w:vertAlign w:val="superscript"/>
        </w:rPr>
        <w:instrText xml:space="preserve"> \* MERGEFORMAT </w:instrText>
      </w:r>
      <w:r w:rsidR="00254276" w:rsidRPr="5B621C54">
        <w:rPr>
          <w:vertAlign w:val="superscript"/>
        </w:rPr>
        <w:fldChar w:fldCharType="separate"/>
      </w:r>
      <w:r w:rsidR="009D56DE">
        <w:rPr>
          <w:vertAlign w:val="superscript"/>
        </w:rPr>
        <w:t>2</w:t>
      </w:r>
      <w:r w:rsidR="00254276" w:rsidRPr="5B621C54">
        <w:fldChar w:fldCharType="end"/>
      </w:r>
      <w:r w:rsidR="00254276">
        <w:t>.</w:t>
      </w:r>
    </w:p>
    <w:p w14:paraId="7F8D711C" w14:textId="77777777" w:rsidR="0052599F" w:rsidRDefault="0052599F" w:rsidP="005D31B4">
      <w:pPr>
        <w:jc w:val="both"/>
        <w:rPr>
          <w:b/>
        </w:rPr>
      </w:pPr>
    </w:p>
    <w:p w14:paraId="1EDE61ED" w14:textId="77777777" w:rsidR="00D128BF" w:rsidRDefault="00D128BF" w:rsidP="005D31B4">
      <w:pPr>
        <w:jc w:val="both"/>
        <w:rPr>
          <w:b/>
        </w:rPr>
      </w:pPr>
      <w:proofErr w:type="spellStart"/>
      <w:r>
        <w:rPr>
          <w:b/>
        </w:rPr>
        <w:t>Basecase</w:t>
      </w:r>
      <w:proofErr w:type="spellEnd"/>
      <w:r>
        <w:rPr>
          <w:b/>
        </w:rPr>
        <w:t xml:space="preserve"> TLED Fixture Efficacy</w:t>
      </w:r>
    </w:p>
    <w:p w14:paraId="09B684B8" w14:textId="0BC702BA" w:rsidR="00254276" w:rsidRDefault="00D128BF" w:rsidP="005D31B4">
      <w:pPr>
        <w:jc w:val="both"/>
        <w:rPr>
          <w:b/>
        </w:rPr>
      </w:pPr>
      <w:r>
        <w:t>The data</w:t>
      </w:r>
      <w:r w:rsidR="00E56724">
        <w:t xml:space="preserve"> collected</w:t>
      </w:r>
      <w:r>
        <w:t xml:space="preserve"> in February 2019 of the 63 new</w:t>
      </w:r>
      <w:r w:rsidR="00E56724">
        <w:t xml:space="preserve"> TLED</w:t>
      </w:r>
      <w:r>
        <w:t xml:space="preserve"> models has a</w:t>
      </w:r>
      <w:r w:rsidR="00227B69">
        <w:t>n</w:t>
      </w:r>
      <w:r>
        <w:t xml:space="preserve"> </w:t>
      </w:r>
      <w:r w:rsidR="00E56724">
        <w:t xml:space="preserve">average </w:t>
      </w:r>
      <w:r>
        <w:t>calculated efficacy</w:t>
      </w:r>
      <w:r w:rsidR="00E56724">
        <w:t xml:space="preserve"> </w:t>
      </w:r>
      <w:proofErr w:type="gramStart"/>
      <w:r w:rsidR="00E56724">
        <w:t>of</w:t>
      </w:r>
      <w:r w:rsidR="000F5DB7">
        <w:t xml:space="preserve"> </w:t>
      </w:r>
      <w:r>
        <w:t>118</w:t>
      </w:r>
      <w:r w:rsidR="000F5DB7">
        <w:t xml:space="preserve"> </w:t>
      </w:r>
      <w:r w:rsidR="00DF02FF">
        <w:t>lm/W</w:t>
      </w:r>
      <w:r>
        <w:t>.</w:t>
      </w:r>
      <w:proofErr w:type="gramEnd"/>
      <w:r>
        <w:t xml:space="preserve">  </w:t>
      </w:r>
      <w:r w:rsidR="00E56724">
        <w:t xml:space="preserve">Resolution </w:t>
      </w:r>
      <w:r>
        <w:t xml:space="preserve">E4952 states that the code/standard practices baseline assumes performance equal to the 25% percentile. The 25% percentile of the 63 </w:t>
      </w:r>
      <w:r w:rsidR="000F5DB7">
        <w:t xml:space="preserve">TLED </w:t>
      </w:r>
      <w:r>
        <w:t xml:space="preserve">models is </w:t>
      </w:r>
      <w:proofErr w:type="gramStart"/>
      <w:r>
        <w:t xml:space="preserve">111 </w:t>
      </w:r>
      <w:r w:rsidR="00DF02FF">
        <w:t>lm/W</w:t>
      </w:r>
      <w:r w:rsidR="0083071A">
        <w:t xml:space="preserve"> (s</w:t>
      </w:r>
      <w:r>
        <w:t>ee attached file “</w:t>
      </w:r>
      <w:r w:rsidRPr="00D128BF">
        <w:t>Copy of TLED Cost Data</w:t>
      </w:r>
      <w:r w:rsidR="00E56724">
        <w:t>_</w:t>
      </w:r>
      <w:r w:rsidRPr="00D128BF">
        <w:t>FEB2019</w:t>
      </w:r>
      <w:r w:rsidR="00E56724">
        <w:t>.xlsx” for more details of the calculation</w:t>
      </w:r>
      <w:r w:rsidR="0083071A">
        <w:t>)</w:t>
      </w:r>
      <w:proofErr w:type="gramEnd"/>
      <w:r w:rsidR="00E56724">
        <w:t>.</w:t>
      </w:r>
      <w:r w:rsidR="0083071A">
        <w:t xml:space="preserve"> </w:t>
      </w:r>
      <w:r w:rsidR="00227B69">
        <w:t xml:space="preserve">Using the 111 lm/W </w:t>
      </w:r>
      <w:r w:rsidR="0052599F">
        <w:t xml:space="preserve">efficacy </w:t>
      </w:r>
      <w:r w:rsidR="00227B69">
        <w:t xml:space="preserve">the TLED fixture efficacy is then </w:t>
      </w:r>
      <w:r w:rsidR="0052599F">
        <w:t xml:space="preserve">calculated to be </w:t>
      </w:r>
      <w:proofErr w:type="gramStart"/>
      <w:r w:rsidR="0052599F">
        <w:t xml:space="preserve">85.2 </w:t>
      </w:r>
      <w:r w:rsidR="00DF02FF">
        <w:t>lm/W</w:t>
      </w:r>
      <w:r w:rsidR="0052599F">
        <w:t xml:space="preserve"> (see attached file “</w:t>
      </w:r>
      <w:r w:rsidR="0052599F" w:rsidRPr="0052599F">
        <w:t xml:space="preserve">PGECOLTG151 R9 LED Outdoor </w:t>
      </w:r>
      <w:proofErr w:type="spellStart"/>
      <w:r w:rsidR="0052599F" w:rsidRPr="0052599F">
        <w:t>Ltg</w:t>
      </w:r>
      <w:proofErr w:type="spellEnd"/>
      <w:r w:rsidR="0052599F" w:rsidRPr="0052599F">
        <w:t xml:space="preserve"> </w:t>
      </w:r>
      <w:proofErr w:type="spellStart"/>
      <w:r w:rsidR="0052599F" w:rsidRPr="0052599F">
        <w:t>Calc</w:t>
      </w:r>
      <w:proofErr w:type="spellEnd"/>
      <w:r w:rsidR="0052599F" w:rsidRPr="0052599F">
        <w:t>_ Rev 2</w:t>
      </w:r>
      <w:r w:rsidR="0052599F">
        <w:t>.xlsx” for more details of the calculation)</w:t>
      </w:r>
      <w:proofErr w:type="gramEnd"/>
      <w:r w:rsidR="0052599F">
        <w:t xml:space="preserve">. </w:t>
      </w:r>
    </w:p>
    <w:p w14:paraId="7EF1C219" w14:textId="77777777" w:rsidR="00227B69" w:rsidRDefault="00227B69" w:rsidP="5B621C54">
      <w:pPr>
        <w:jc w:val="both"/>
        <w:rPr>
          <w:b/>
          <w:bCs/>
        </w:rPr>
      </w:pPr>
    </w:p>
    <w:p w14:paraId="3A0E36B9" w14:textId="77777777" w:rsidR="00B72FCE" w:rsidRPr="00B72FCE" w:rsidRDefault="5B621C54" w:rsidP="5B621C54">
      <w:pPr>
        <w:jc w:val="both"/>
        <w:rPr>
          <w:b/>
          <w:bCs/>
        </w:rPr>
      </w:pPr>
      <w:r w:rsidRPr="5B621C54">
        <w:rPr>
          <w:b/>
          <w:bCs/>
        </w:rPr>
        <w:t>Representative Fixtures and Factors Used in Calculations</w:t>
      </w:r>
    </w:p>
    <w:p w14:paraId="4E5633AB" w14:textId="0660DEDF" w:rsidR="00175C4A" w:rsidRDefault="00782CA4" w:rsidP="005D31B4">
      <w:pPr>
        <w:jc w:val="both"/>
      </w:pPr>
      <w:r>
        <w:t xml:space="preserve">LED fixtures were assigned an equivalent maintained, useful light output to the </w:t>
      </w:r>
      <w:r w:rsidR="003C03C2">
        <w:t>MH</w:t>
      </w:r>
      <w:r>
        <w:t xml:space="preserve"> fixture </w:t>
      </w:r>
      <w:r w:rsidR="006446C8">
        <w:t xml:space="preserve">in order </w:t>
      </w:r>
      <w:r>
        <w:t xml:space="preserve">to ensure </w:t>
      </w:r>
      <w:r w:rsidR="006446C8">
        <w:t>equivalent</w:t>
      </w:r>
      <w:r>
        <w:t xml:space="preserve"> level of service </w:t>
      </w:r>
      <w:r w:rsidR="006446C8">
        <w:t>being</w:t>
      </w:r>
      <w:r>
        <w:t xml:space="preserve"> achieved in the base case</w:t>
      </w:r>
      <w:r w:rsidR="006446C8">
        <w:t>.  A</w:t>
      </w:r>
      <w:r>
        <w:t xml:space="preserve"> one-for-one relationship was also established for that </w:t>
      </w:r>
      <w:r w:rsidR="006446C8">
        <w:t xml:space="preserve">comparison </w:t>
      </w:r>
      <w:r>
        <w:t xml:space="preserve">purpose. </w:t>
      </w:r>
      <w:r w:rsidR="00AC481F">
        <w:t>F</w:t>
      </w:r>
      <w:r w:rsidR="5B621C54">
        <w:t xml:space="preserve">ixture efficiency </w:t>
      </w:r>
      <w:r w:rsidR="00AC481F">
        <w:t xml:space="preserve">for both </w:t>
      </w:r>
      <w:r w:rsidR="003C03C2">
        <w:t>MH</w:t>
      </w:r>
      <w:r w:rsidR="00AC481F">
        <w:t xml:space="preserve"> and fluorescent products, </w:t>
      </w:r>
      <w:r w:rsidR="5B621C54">
        <w:t>and light distribution information for LED</w:t>
      </w:r>
      <w:r w:rsidR="00AC481F">
        <w:t>, fluorescent</w:t>
      </w:r>
      <w:r w:rsidR="5B621C54">
        <w:t xml:space="preserve"> and </w:t>
      </w:r>
      <w:r w:rsidR="003C03C2">
        <w:t>MH</w:t>
      </w:r>
      <w:r w:rsidR="5B621C54">
        <w:t xml:space="preserve"> were taken from photometric data in the form of “.</w:t>
      </w:r>
      <w:proofErr w:type="spellStart"/>
      <w:r w:rsidR="5B621C54">
        <w:t>ies</w:t>
      </w:r>
      <w:proofErr w:type="spellEnd"/>
      <w:r w:rsidR="5B621C54">
        <w:t xml:space="preserve">” files obtained from manufacturer websites. These standard report files were loaded into the online </w:t>
      </w:r>
      <w:r w:rsidR="00563B45">
        <w:t xml:space="preserve">Visual </w:t>
      </w:r>
      <w:r w:rsidR="5B621C54">
        <w:t>Photometric Viewer software to produce uniform light distribution reports listing efficacy and lumens by zone. LED fixtures reported 100% efficacy in all</w:t>
      </w:r>
      <w:r w:rsidR="0083707A">
        <w:t xml:space="preserve"> </w:t>
      </w:r>
      <w:proofErr w:type="spellStart"/>
      <w:r w:rsidR="5B621C54">
        <w:t>ies</w:t>
      </w:r>
      <w:proofErr w:type="spellEnd"/>
      <w:r w:rsidR="5B621C54">
        <w:t xml:space="preserve"> reports, as is standard for absolute photometric measurements.  </w:t>
      </w:r>
    </w:p>
    <w:p w14:paraId="5C090681" w14:textId="77777777" w:rsidR="00175C4A" w:rsidRPr="00DD724F" w:rsidRDefault="00175C4A" w:rsidP="00175C4A">
      <w:pPr>
        <w:rPr>
          <w:highlight w:val="yellow"/>
        </w:rPr>
      </w:pPr>
    </w:p>
    <w:p w14:paraId="614B6578" w14:textId="77777777" w:rsidR="001C7126" w:rsidRPr="00DD724F" w:rsidRDefault="5B621C54" w:rsidP="00F82DC8">
      <w:pPr>
        <w:rPr>
          <w:highlight w:val="yellow"/>
        </w:rPr>
      </w:pPr>
      <w:r>
        <w:t xml:space="preserve">Light depreciation for LED fixtures (both base and measure case) was </w:t>
      </w:r>
      <w:r w:rsidR="00563B45">
        <w:t>based on actual DLC reported lifetime data, interpreted by means of the DOE depreciation formula for percent depreciation at 33</w:t>
      </w:r>
      <w:r w:rsidR="00AC481F">
        <w:t>,</w:t>
      </w:r>
      <w:r w:rsidR="00563B45">
        <w:t xml:space="preserve">210 hours, which is the </w:t>
      </w:r>
      <w:r>
        <w:t>exterior hours of use over the 12-year DEER measure life</w:t>
      </w:r>
      <w:r w:rsidR="00563B45">
        <w:t>. Average LED lumen maintenance (assumed for Measure, Base Case luminaire, and Base case TLED) was 80.3%</w:t>
      </w:r>
      <w:r>
        <w:t xml:space="preserve">. </w:t>
      </w:r>
    </w:p>
    <w:p w14:paraId="248087EF" w14:textId="77777777" w:rsidR="003138F1" w:rsidRDefault="003138F1" w:rsidP="001E5E81"/>
    <w:p w14:paraId="71EB9F68" w14:textId="77777777" w:rsidR="00D06172" w:rsidRDefault="00563B45" w:rsidP="00D06172">
      <w:r>
        <w:t>T</w:t>
      </w:r>
      <w:r w:rsidR="005A0C92" w:rsidRPr="00D06172">
        <w:t xml:space="preserve">he </w:t>
      </w:r>
      <w:r w:rsidR="001E5E81" w:rsidRPr="00D06172">
        <w:t xml:space="preserve">Lumen Maintenance assumptions for fluorescent and </w:t>
      </w:r>
      <w:r w:rsidR="003C03C2">
        <w:t>MH</w:t>
      </w:r>
      <w:r w:rsidR="001E5E81" w:rsidRPr="00D06172">
        <w:t xml:space="preserve"> fixtures were based on Pacific Northwest National Laboratories’ 2013 report, Lumen Maintenance and Light Loss Factors: Consequences of Current Design Practices for LEDs.</w:t>
      </w:r>
      <w:bookmarkStart w:id="91" w:name="_Ref533005272"/>
      <w:r w:rsidR="001E5E81" w:rsidRPr="00D06172">
        <w:rPr>
          <w:rStyle w:val="EndnoteReference"/>
        </w:rPr>
        <w:endnoteReference w:id="17"/>
      </w:r>
      <w:bookmarkEnd w:id="91"/>
      <w:r w:rsidR="001E5E81" w:rsidRPr="00D06172">
        <w:t xml:space="preserve"> </w:t>
      </w:r>
      <w:r w:rsidR="5B621C54">
        <w:t xml:space="preserve">Fluorescent fixtures were matched to </w:t>
      </w:r>
      <w:r w:rsidR="003C03C2">
        <w:t>MH</w:t>
      </w:r>
      <w:r w:rsidR="5B621C54">
        <w:t xml:space="preserve"> fixtures of approximately similar light output due to the challenge of 1-to-1 matching, given fixed values for lamp light output.</w:t>
      </w:r>
    </w:p>
    <w:p w14:paraId="774F52D6" w14:textId="77777777" w:rsidR="00D06172" w:rsidRDefault="5B621C54" w:rsidP="00D06172">
      <w:pPr>
        <w:spacing w:before="120"/>
      </w:pPr>
      <w:r>
        <w:t xml:space="preserve">Initial </w:t>
      </w:r>
      <w:r w:rsidR="003C03C2">
        <w:t>MH</w:t>
      </w:r>
      <w:r>
        <w:t xml:space="preserve"> lamp light outputs for each</w:t>
      </w:r>
      <w:r w:rsidR="007B21B0">
        <w:t xml:space="preserve"> of the</w:t>
      </w:r>
      <w:r>
        <w:t xml:space="preserve"> lamp wattages chosen, and for primary use category were reduced by the following factors:</w:t>
      </w:r>
    </w:p>
    <w:p w14:paraId="3929D7E6" w14:textId="77777777" w:rsidR="00D06172" w:rsidRDefault="71903359" w:rsidP="00765CF3">
      <w:pPr>
        <w:pStyle w:val="ListParagraph"/>
        <w:numPr>
          <w:ilvl w:val="0"/>
          <w:numId w:val="3"/>
        </w:numPr>
      </w:pPr>
      <w:r>
        <w:t xml:space="preserve">Fixture efficiency based on actual manufacturer-published photometric data </w:t>
      </w:r>
      <w:r w:rsidR="00297077">
        <w:t>for sample products</w:t>
      </w:r>
    </w:p>
    <w:p w14:paraId="154C6BA6" w14:textId="77777777" w:rsidR="00D06172" w:rsidRDefault="71903359" w:rsidP="00765CF3">
      <w:pPr>
        <w:pStyle w:val="ListParagraph"/>
        <w:numPr>
          <w:ilvl w:val="0"/>
          <w:numId w:val="3"/>
        </w:numPr>
      </w:pPr>
      <w:r>
        <w:t xml:space="preserve">Lamp lumen maintenance: 58% for all </w:t>
      </w:r>
      <w:r w:rsidR="003C03C2">
        <w:t>MH</w:t>
      </w:r>
      <w:r>
        <w:t xml:space="preserve"> based on end-of-life output and not mean lumen output, typical of quartz metal halide lamps.</w:t>
      </w:r>
    </w:p>
    <w:p w14:paraId="2FCA71A8" w14:textId="77777777" w:rsidR="00D06172" w:rsidRPr="00DD724F" w:rsidRDefault="00D06172" w:rsidP="000F5DB7">
      <w:pPr>
        <w:spacing w:line="144" w:lineRule="auto"/>
        <w:rPr>
          <w:highlight w:val="yellow"/>
        </w:rPr>
      </w:pPr>
    </w:p>
    <w:p w14:paraId="04771646" w14:textId="65D59AD3" w:rsidR="009F532F" w:rsidRPr="00197A49" w:rsidRDefault="009F532F" w:rsidP="009F532F">
      <w:pPr>
        <w:pStyle w:val="Caption"/>
        <w:keepNext/>
        <w:jc w:val="center"/>
      </w:pPr>
      <w:bookmarkStart w:id="92" w:name="_Toc511134169"/>
      <w:bookmarkStart w:id="93" w:name="_Toc2803234"/>
      <w:r w:rsidRPr="00197A49">
        <w:t xml:space="preserve">Table </w:t>
      </w:r>
      <w:fldSimple w:instr=" SEQ Table \* ARABIC ">
        <w:r w:rsidR="00491759">
          <w:rPr>
            <w:noProof/>
          </w:rPr>
          <w:t>11</w:t>
        </w:r>
      </w:fldSimple>
      <w:r w:rsidR="00085E4F">
        <w:rPr>
          <w:noProof/>
        </w:rPr>
        <w:t>:</w:t>
      </w:r>
      <w:r w:rsidRPr="00197A49">
        <w:t xml:space="preserve"> Lumen Maintenance Assumptions by Source Type</w:t>
      </w:r>
      <w:bookmarkEnd w:id="92"/>
      <w:bookmarkEnd w:id="93"/>
    </w:p>
    <w:tbl>
      <w:tblPr>
        <w:tblStyle w:val="TableGrid"/>
        <w:tblW w:w="8136" w:type="dxa"/>
        <w:tblInd w:w="720" w:type="dxa"/>
        <w:tblLook w:val="04A0" w:firstRow="1" w:lastRow="0" w:firstColumn="1" w:lastColumn="0" w:noHBand="0" w:noVBand="1"/>
      </w:tblPr>
      <w:tblGrid>
        <w:gridCol w:w="2088"/>
        <w:gridCol w:w="1938"/>
        <w:gridCol w:w="2022"/>
        <w:gridCol w:w="2088"/>
      </w:tblGrid>
      <w:tr w:rsidR="0086577E" w:rsidRPr="00197A49" w14:paraId="1F8B7B76" w14:textId="77777777" w:rsidTr="5B621C54">
        <w:trPr>
          <w:trHeight w:val="288"/>
        </w:trPr>
        <w:tc>
          <w:tcPr>
            <w:tcW w:w="2088" w:type="dxa"/>
            <w:noWrap/>
            <w:vAlign w:val="center"/>
            <w:hideMark/>
          </w:tcPr>
          <w:p w14:paraId="679E1F8B" w14:textId="77777777" w:rsidR="0086577E" w:rsidRPr="00197A49" w:rsidRDefault="5B621C54" w:rsidP="009F532F">
            <w:pPr>
              <w:jc w:val="center"/>
              <w:rPr>
                <w:b/>
                <w:bCs/>
                <w:color w:val="000000"/>
                <w:sz w:val="20"/>
                <w:szCs w:val="20"/>
              </w:rPr>
            </w:pPr>
            <w:r w:rsidRPr="5B621C54">
              <w:rPr>
                <w:b/>
                <w:bCs/>
                <w:color w:val="000000" w:themeColor="text1"/>
                <w:sz w:val="20"/>
                <w:szCs w:val="20"/>
              </w:rPr>
              <w:t xml:space="preserve">Fluorescent Base Case </w:t>
            </w:r>
            <w:r w:rsidR="00850985">
              <w:rPr>
                <w:b/>
                <w:bCs/>
                <w:color w:val="000000" w:themeColor="text1"/>
                <w:sz w:val="20"/>
                <w:szCs w:val="20"/>
              </w:rPr>
              <w:t>Maintenance</w:t>
            </w:r>
          </w:p>
        </w:tc>
        <w:tc>
          <w:tcPr>
            <w:tcW w:w="1938" w:type="dxa"/>
            <w:vAlign w:val="center"/>
          </w:tcPr>
          <w:p w14:paraId="382D0677" w14:textId="77777777" w:rsidR="0086577E" w:rsidRPr="00197A49" w:rsidRDefault="003C03C2" w:rsidP="009F532F">
            <w:pPr>
              <w:jc w:val="center"/>
              <w:rPr>
                <w:b/>
                <w:bCs/>
                <w:color w:val="000000"/>
                <w:sz w:val="20"/>
                <w:szCs w:val="20"/>
              </w:rPr>
            </w:pPr>
            <w:r>
              <w:rPr>
                <w:b/>
                <w:bCs/>
                <w:color w:val="000000" w:themeColor="text1"/>
                <w:sz w:val="20"/>
                <w:szCs w:val="20"/>
              </w:rPr>
              <w:t>MH</w:t>
            </w:r>
            <w:r w:rsidR="5B621C54" w:rsidRPr="5B621C54">
              <w:rPr>
                <w:b/>
                <w:bCs/>
                <w:color w:val="000000" w:themeColor="text1"/>
                <w:sz w:val="20"/>
                <w:szCs w:val="20"/>
              </w:rPr>
              <w:t xml:space="preserve"> Base Case </w:t>
            </w:r>
            <w:r w:rsidR="00850985">
              <w:rPr>
                <w:b/>
                <w:bCs/>
                <w:color w:val="000000" w:themeColor="text1"/>
                <w:sz w:val="20"/>
                <w:szCs w:val="20"/>
              </w:rPr>
              <w:t>Maintenance</w:t>
            </w:r>
          </w:p>
        </w:tc>
        <w:tc>
          <w:tcPr>
            <w:tcW w:w="2022" w:type="dxa"/>
            <w:vAlign w:val="center"/>
          </w:tcPr>
          <w:p w14:paraId="325DDD72" w14:textId="77777777" w:rsidR="0086577E" w:rsidRPr="00197A49" w:rsidRDefault="5B621C54" w:rsidP="009F532F">
            <w:pPr>
              <w:jc w:val="center"/>
              <w:rPr>
                <w:b/>
                <w:bCs/>
                <w:color w:val="000000"/>
                <w:sz w:val="20"/>
                <w:szCs w:val="20"/>
              </w:rPr>
            </w:pPr>
            <w:r w:rsidRPr="5B621C54">
              <w:rPr>
                <w:b/>
                <w:bCs/>
                <w:color w:val="000000" w:themeColor="text1"/>
                <w:sz w:val="20"/>
                <w:szCs w:val="20"/>
              </w:rPr>
              <w:t>LED</w:t>
            </w:r>
            <w:r w:rsidR="00850985">
              <w:rPr>
                <w:b/>
                <w:bCs/>
                <w:color w:val="000000" w:themeColor="text1"/>
                <w:sz w:val="20"/>
                <w:szCs w:val="20"/>
              </w:rPr>
              <w:t xml:space="preserve"> &amp; TLED</w:t>
            </w:r>
            <w:r w:rsidRPr="5B621C54">
              <w:rPr>
                <w:b/>
                <w:bCs/>
                <w:color w:val="000000" w:themeColor="text1"/>
                <w:sz w:val="20"/>
                <w:szCs w:val="20"/>
              </w:rPr>
              <w:t xml:space="preserve"> Base Case </w:t>
            </w:r>
            <w:r w:rsidR="00850985">
              <w:rPr>
                <w:b/>
                <w:bCs/>
                <w:color w:val="000000" w:themeColor="text1"/>
                <w:sz w:val="20"/>
                <w:szCs w:val="20"/>
              </w:rPr>
              <w:t>Maintenance</w:t>
            </w:r>
          </w:p>
        </w:tc>
        <w:tc>
          <w:tcPr>
            <w:tcW w:w="2088" w:type="dxa"/>
            <w:noWrap/>
            <w:vAlign w:val="center"/>
            <w:hideMark/>
          </w:tcPr>
          <w:p w14:paraId="56052C90" w14:textId="77777777" w:rsidR="0086577E" w:rsidRPr="00197A49" w:rsidRDefault="5B621C54" w:rsidP="009F532F">
            <w:pPr>
              <w:jc w:val="center"/>
              <w:rPr>
                <w:b/>
                <w:bCs/>
                <w:color w:val="000000"/>
                <w:sz w:val="20"/>
                <w:szCs w:val="20"/>
              </w:rPr>
            </w:pPr>
            <w:r w:rsidRPr="5B621C54">
              <w:rPr>
                <w:b/>
                <w:bCs/>
                <w:color w:val="000000" w:themeColor="text1"/>
                <w:sz w:val="20"/>
                <w:szCs w:val="20"/>
              </w:rPr>
              <w:t xml:space="preserve">LED Measure Case </w:t>
            </w:r>
            <w:r w:rsidR="00850985">
              <w:rPr>
                <w:b/>
                <w:bCs/>
                <w:color w:val="000000" w:themeColor="text1"/>
                <w:sz w:val="20"/>
                <w:szCs w:val="20"/>
              </w:rPr>
              <w:t>Maintenance</w:t>
            </w:r>
          </w:p>
        </w:tc>
      </w:tr>
      <w:tr w:rsidR="0086577E" w:rsidRPr="009F532F" w14:paraId="552D1E5E" w14:textId="77777777" w:rsidTr="5B621C54">
        <w:trPr>
          <w:trHeight w:val="288"/>
        </w:trPr>
        <w:tc>
          <w:tcPr>
            <w:tcW w:w="2088" w:type="dxa"/>
            <w:noWrap/>
            <w:vAlign w:val="center"/>
            <w:hideMark/>
          </w:tcPr>
          <w:p w14:paraId="450C2DF7" w14:textId="77777777" w:rsidR="0086577E" w:rsidRPr="00197A49" w:rsidRDefault="00297077" w:rsidP="009F532F">
            <w:pPr>
              <w:jc w:val="center"/>
              <w:rPr>
                <w:color w:val="000000"/>
                <w:sz w:val="20"/>
                <w:szCs w:val="20"/>
              </w:rPr>
            </w:pPr>
            <w:r w:rsidRPr="5B621C54">
              <w:rPr>
                <w:color w:val="000000" w:themeColor="text1"/>
                <w:sz w:val="20"/>
                <w:szCs w:val="20"/>
              </w:rPr>
              <w:t>9</w:t>
            </w:r>
            <w:r>
              <w:rPr>
                <w:color w:val="000000" w:themeColor="text1"/>
                <w:sz w:val="20"/>
                <w:szCs w:val="20"/>
              </w:rPr>
              <w:t>1</w:t>
            </w:r>
            <w:r w:rsidR="5B621C54" w:rsidRPr="5B621C54">
              <w:rPr>
                <w:color w:val="000000" w:themeColor="text1"/>
                <w:sz w:val="20"/>
                <w:szCs w:val="20"/>
              </w:rPr>
              <w:t>%</w:t>
            </w:r>
          </w:p>
        </w:tc>
        <w:tc>
          <w:tcPr>
            <w:tcW w:w="1938" w:type="dxa"/>
            <w:vAlign w:val="center"/>
          </w:tcPr>
          <w:p w14:paraId="7F4C3D3C" w14:textId="77777777" w:rsidR="0086577E" w:rsidRPr="00197A49" w:rsidRDefault="5B621C54" w:rsidP="009F532F">
            <w:pPr>
              <w:jc w:val="center"/>
              <w:rPr>
                <w:color w:val="000000"/>
                <w:sz w:val="20"/>
                <w:szCs w:val="20"/>
              </w:rPr>
            </w:pPr>
            <w:r w:rsidRPr="5B621C54">
              <w:rPr>
                <w:color w:val="000000" w:themeColor="text1"/>
                <w:sz w:val="20"/>
                <w:szCs w:val="20"/>
              </w:rPr>
              <w:t>58%</w:t>
            </w:r>
          </w:p>
        </w:tc>
        <w:tc>
          <w:tcPr>
            <w:tcW w:w="2022" w:type="dxa"/>
            <w:vAlign w:val="center"/>
          </w:tcPr>
          <w:p w14:paraId="2AD62534" w14:textId="77777777" w:rsidR="0086577E" w:rsidRPr="00197A49" w:rsidRDefault="00297077" w:rsidP="009F532F">
            <w:pPr>
              <w:jc w:val="center"/>
              <w:rPr>
                <w:color w:val="000000"/>
                <w:sz w:val="20"/>
                <w:szCs w:val="20"/>
              </w:rPr>
            </w:pPr>
            <w:r>
              <w:rPr>
                <w:color w:val="000000" w:themeColor="text1"/>
                <w:sz w:val="20"/>
                <w:szCs w:val="20"/>
              </w:rPr>
              <w:t>80.3</w:t>
            </w:r>
            <w:r w:rsidR="5B621C54" w:rsidRPr="5B621C54">
              <w:rPr>
                <w:color w:val="000000" w:themeColor="text1"/>
                <w:sz w:val="20"/>
                <w:szCs w:val="20"/>
              </w:rPr>
              <w:t>%</w:t>
            </w:r>
          </w:p>
        </w:tc>
        <w:tc>
          <w:tcPr>
            <w:tcW w:w="2088" w:type="dxa"/>
            <w:noWrap/>
            <w:vAlign w:val="center"/>
            <w:hideMark/>
          </w:tcPr>
          <w:p w14:paraId="745DFFD9" w14:textId="77777777" w:rsidR="0086577E" w:rsidRPr="009F532F" w:rsidRDefault="00297077" w:rsidP="009F532F">
            <w:pPr>
              <w:jc w:val="center"/>
              <w:rPr>
                <w:color w:val="000000"/>
                <w:sz w:val="20"/>
                <w:szCs w:val="20"/>
              </w:rPr>
            </w:pPr>
            <w:r>
              <w:rPr>
                <w:color w:val="000000" w:themeColor="text1"/>
                <w:sz w:val="20"/>
                <w:szCs w:val="20"/>
              </w:rPr>
              <w:t>80.3</w:t>
            </w:r>
            <w:r w:rsidR="5B621C54" w:rsidRPr="5B621C54">
              <w:rPr>
                <w:color w:val="000000" w:themeColor="text1"/>
                <w:sz w:val="20"/>
                <w:szCs w:val="20"/>
              </w:rPr>
              <w:t>%</w:t>
            </w:r>
          </w:p>
        </w:tc>
      </w:tr>
    </w:tbl>
    <w:p w14:paraId="3EF2E3C6" w14:textId="77777777" w:rsidR="001E5E81" w:rsidRDefault="001E5E81" w:rsidP="005F44B1"/>
    <w:p w14:paraId="23563767" w14:textId="7044710F" w:rsidR="00491759" w:rsidRPr="00491759" w:rsidRDefault="00491759" w:rsidP="00297077">
      <w:pPr>
        <w:ind w:left="360"/>
        <w:rPr>
          <w:b/>
        </w:rPr>
      </w:pPr>
      <w:r>
        <w:rPr>
          <w:b/>
        </w:rPr>
        <w:lastRenderedPageBreak/>
        <w:t>Zonal Lumen calculation</w:t>
      </w:r>
    </w:p>
    <w:p w14:paraId="071904CA" w14:textId="2ABAA510" w:rsidR="00297077" w:rsidRDefault="00297077" w:rsidP="00297077">
      <w:pPr>
        <w:ind w:left="360"/>
      </w:pPr>
      <w:r>
        <w:t xml:space="preserve">Fluorescent, </w:t>
      </w:r>
      <w:r w:rsidR="003C03C2">
        <w:t>MH</w:t>
      </w:r>
      <w:r>
        <w:t xml:space="preserve">, and LED luminaire </w:t>
      </w:r>
      <w:r w:rsidR="007B21B0">
        <w:t xml:space="preserve">lumen </w:t>
      </w:r>
      <w:r>
        <w:t>equivalence was based on maintained Zonal Lumens in the DLC-designated garage fixture zone of 60 - 80°</w:t>
      </w:r>
      <w:r w:rsidR="00801390">
        <w:t>, as shown in the table below</w:t>
      </w:r>
      <w:r>
        <w:t xml:space="preserve">. </w:t>
      </w:r>
      <w:proofErr w:type="gramStart"/>
      <w:r>
        <w:t>This metric rewards fixtures</w:t>
      </w:r>
      <w:proofErr w:type="gramEnd"/>
      <w:r>
        <w:t xml:space="preserve"> for illuminating a broader area at higher angle from nadir, which </w:t>
      </w:r>
      <w:r w:rsidR="00491759">
        <w:t xml:space="preserve">spreads widely the illumination from fixtures mounted on low parking garage ceilings, </w:t>
      </w:r>
      <w:r>
        <w:t>allow</w:t>
      </w:r>
      <w:r w:rsidR="00491759">
        <w:t>ing</w:t>
      </w:r>
      <w:r>
        <w:t xml:space="preserve"> greater fixture spacing (and lower wattage consumption) and </w:t>
      </w:r>
      <w:r w:rsidR="00491759">
        <w:t xml:space="preserve">meeting </w:t>
      </w:r>
      <w:r>
        <w:t>the most significant challenge in garage lighting. Fixture lumens in the 0 - 60° zone, which is directly below the fixture and easiest to light, are not factored into equivalence, which prevents rewarding omnidirectional discharge lamp sources for producing a bright blob of light below each fixture.</w:t>
      </w:r>
      <w:r w:rsidR="00801390" w:rsidRPr="00801390">
        <w:t xml:space="preserve"> </w:t>
      </w:r>
      <w:r w:rsidR="00801390" w:rsidRPr="00FD3DAA">
        <w:t>MH</w:t>
      </w:r>
      <w:r w:rsidR="00801390">
        <w:t>, fluorescent,</w:t>
      </w:r>
      <w:r w:rsidR="00801390" w:rsidRPr="00FD3DAA">
        <w:t xml:space="preserve"> and other</w:t>
      </w:r>
      <w:r w:rsidR="00801390">
        <w:t xml:space="preserve"> omnidirectional sour</w:t>
      </w:r>
      <w:r w:rsidR="009C02DB">
        <w:t>ces have a</w:t>
      </w:r>
      <w:r w:rsidR="00801390">
        <w:t xml:space="preserve"> </w:t>
      </w:r>
      <w:r w:rsidR="009C02DB">
        <w:t>common</w:t>
      </w:r>
      <w:r w:rsidR="00801390">
        <w:t xml:space="preserve"> </w:t>
      </w:r>
      <w:r w:rsidR="00801390" w:rsidRPr="00FD3DAA">
        <w:t>shortcoming</w:t>
      </w:r>
      <w:r w:rsidR="00801390">
        <w:t>:</w:t>
      </w:r>
      <w:r w:rsidR="00801390" w:rsidRPr="00FD3DAA">
        <w:t xml:space="preserve"> </w:t>
      </w:r>
      <w:r w:rsidR="00801390">
        <w:t>t</w:t>
      </w:r>
      <w:r w:rsidR="00801390" w:rsidRPr="00FD3DAA">
        <w:t>hey are known for creating pools of light underneath the fixtures with much darker sections between.</w:t>
      </w:r>
      <w:r w:rsidR="00801390">
        <w:t xml:space="preserve"> Using Zonal Lumens compensates for this tendency.</w:t>
      </w:r>
    </w:p>
    <w:p w14:paraId="65D97566" w14:textId="77777777" w:rsidR="00801390" w:rsidRDefault="00801390" w:rsidP="00297077">
      <w:pPr>
        <w:ind w:left="360"/>
      </w:pPr>
    </w:p>
    <w:p w14:paraId="6279B6D9" w14:textId="555B2F4D" w:rsidR="00801390" w:rsidRPr="00FD3DAA" w:rsidRDefault="00801390" w:rsidP="00801390">
      <w:pPr>
        <w:pStyle w:val="Caption"/>
        <w:keepNext/>
        <w:jc w:val="center"/>
      </w:pPr>
      <w:bookmarkStart w:id="94" w:name="_Toc2803235"/>
      <w:r w:rsidRPr="00FD3DAA">
        <w:t xml:space="preserve">Table </w:t>
      </w:r>
      <w:fldSimple w:instr=" SEQ Table \* ARABIC ">
        <w:r w:rsidR="00491759">
          <w:rPr>
            <w:noProof/>
          </w:rPr>
          <w:t>12</w:t>
        </w:r>
      </w:fldSimple>
      <w:r w:rsidR="00085E4F">
        <w:t>:</w:t>
      </w:r>
      <w:r w:rsidRPr="00FD3DAA">
        <w:t xml:space="preserve"> DLC v 4.</w:t>
      </w:r>
      <w:r>
        <w:t>4</w:t>
      </w:r>
      <w:r w:rsidRPr="00FD3DAA">
        <w:t xml:space="preserve"> and Zonal Lumens Distribution</w:t>
      </w:r>
      <w:r w:rsidR="00076CB9">
        <w:t xml:space="preserve"> Requirements</w:t>
      </w:r>
      <w:bookmarkEnd w:id="94"/>
    </w:p>
    <w:tbl>
      <w:tblPr>
        <w:tblStyle w:val="TableGrid1"/>
        <w:tblW w:w="6081" w:type="dxa"/>
        <w:jc w:val="center"/>
        <w:tblLook w:val="04A0" w:firstRow="1" w:lastRow="0" w:firstColumn="1" w:lastColumn="0" w:noHBand="0" w:noVBand="1"/>
      </w:tblPr>
      <w:tblGrid>
        <w:gridCol w:w="3428"/>
        <w:gridCol w:w="1315"/>
        <w:gridCol w:w="1338"/>
      </w:tblGrid>
      <w:tr w:rsidR="00076CB9" w:rsidRPr="00FD3DAA" w14:paraId="6AAED7C0" w14:textId="77777777" w:rsidTr="00896B2E">
        <w:trPr>
          <w:trHeight w:val="467"/>
          <w:jc w:val="center"/>
        </w:trPr>
        <w:tc>
          <w:tcPr>
            <w:tcW w:w="3428" w:type="dxa"/>
            <w:vAlign w:val="center"/>
            <w:hideMark/>
          </w:tcPr>
          <w:p w14:paraId="72689924" w14:textId="77777777" w:rsidR="00076CB9" w:rsidRPr="00085E4F" w:rsidRDefault="00076CB9" w:rsidP="00771520">
            <w:pPr>
              <w:rPr>
                <w:rFonts w:ascii="Times New Roman" w:hAnsi="Times New Roman"/>
                <w:b/>
                <w:bCs/>
                <w:color w:val="000000"/>
                <w:sz w:val="20"/>
                <w:szCs w:val="20"/>
              </w:rPr>
            </w:pPr>
            <w:r w:rsidRPr="00085E4F">
              <w:rPr>
                <w:rFonts w:ascii="Times New Roman" w:hAnsi="Times New Roman"/>
                <w:b/>
                <w:bCs/>
                <w:color w:val="000000" w:themeColor="text1"/>
                <w:sz w:val="20"/>
                <w:szCs w:val="20"/>
              </w:rPr>
              <w:t>Primary Use Designation</w:t>
            </w:r>
          </w:p>
        </w:tc>
        <w:tc>
          <w:tcPr>
            <w:tcW w:w="1315" w:type="dxa"/>
            <w:vAlign w:val="center"/>
            <w:hideMark/>
          </w:tcPr>
          <w:p w14:paraId="31C7F303" w14:textId="77777777" w:rsidR="00076CB9" w:rsidRPr="00085E4F" w:rsidRDefault="00076CB9" w:rsidP="00771520">
            <w:pPr>
              <w:rPr>
                <w:rFonts w:ascii="Times New Roman" w:hAnsi="Times New Roman"/>
                <w:b/>
                <w:bCs/>
                <w:color w:val="000000"/>
                <w:sz w:val="20"/>
                <w:szCs w:val="20"/>
              </w:rPr>
            </w:pPr>
            <w:r w:rsidRPr="00085E4F">
              <w:rPr>
                <w:rFonts w:ascii="Times New Roman" w:hAnsi="Times New Roman"/>
                <w:b/>
                <w:bCs/>
                <w:color w:val="000000" w:themeColor="text1"/>
                <w:sz w:val="20"/>
                <w:szCs w:val="20"/>
              </w:rPr>
              <w:t xml:space="preserve">Zone Definition </w:t>
            </w:r>
          </w:p>
        </w:tc>
        <w:tc>
          <w:tcPr>
            <w:tcW w:w="1338" w:type="dxa"/>
            <w:vAlign w:val="center"/>
            <w:hideMark/>
          </w:tcPr>
          <w:p w14:paraId="5EC29A85" w14:textId="77777777" w:rsidR="00076CB9" w:rsidRPr="00085E4F" w:rsidRDefault="00076CB9" w:rsidP="00771520">
            <w:pPr>
              <w:rPr>
                <w:rFonts w:ascii="Times New Roman" w:hAnsi="Times New Roman"/>
                <w:b/>
                <w:bCs/>
                <w:color w:val="000000"/>
                <w:sz w:val="20"/>
                <w:szCs w:val="20"/>
              </w:rPr>
            </w:pPr>
            <w:r w:rsidRPr="00085E4F">
              <w:rPr>
                <w:rFonts w:ascii="Times New Roman" w:hAnsi="Times New Roman"/>
                <w:b/>
                <w:bCs/>
                <w:color w:val="000000" w:themeColor="text1"/>
                <w:sz w:val="20"/>
                <w:szCs w:val="20"/>
              </w:rPr>
              <w:t>Zonal Lumen</w:t>
            </w:r>
            <w:r w:rsidRPr="00085E4F">
              <w:rPr>
                <w:rFonts w:ascii="Times New Roman" w:hAnsi="Times New Roman"/>
              </w:rPr>
              <w:br/>
            </w:r>
            <w:r w:rsidRPr="00085E4F">
              <w:rPr>
                <w:rFonts w:ascii="Times New Roman" w:hAnsi="Times New Roman"/>
                <w:b/>
                <w:bCs/>
                <w:color w:val="000000" w:themeColor="text1"/>
                <w:sz w:val="20"/>
                <w:szCs w:val="20"/>
              </w:rPr>
              <w:t>Requirement</w:t>
            </w:r>
          </w:p>
        </w:tc>
      </w:tr>
      <w:tr w:rsidR="00076CB9" w:rsidRPr="00FD3DAA" w14:paraId="590CB02E" w14:textId="77777777" w:rsidTr="00896B2E">
        <w:trPr>
          <w:trHeight w:val="170"/>
          <w:jc w:val="center"/>
        </w:trPr>
        <w:tc>
          <w:tcPr>
            <w:tcW w:w="3428" w:type="dxa"/>
            <w:vMerge w:val="restart"/>
            <w:vAlign w:val="center"/>
            <w:hideMark/>
          </w:tcPr>
          <w:p w14:paraId="5097CF1E" w14:textId="77777777" w:rsidR="00076CB9" w:rsidRPr="00085E4F" w:rsidRDefault="00076CB9" w:rsidP="00771520">
            <w:pPr>
              <w:rPr>
                <w:rFonts w:ascii="Times New Roman" w:hAnsi="Times New Roman"/>
                <w:color w:val="000000"/>
                <w:sz w:val="20"/>
                <w:szCs w:val="20"/>
              </w:rPr>
            </w:pPr>
            <w:r w:rsidRPr="00085E4F">
              <w:rPr>
                <w:rFonts w:ascii="Times New Roman" w:hAnsi="Times New Roman"/>
                <w:color w:val="000000" w:themeColor="text1"/>
                <w:sz w:val="20"/>
                <w:szCs w:val="20"/>
              </w:rPr>
              <w:t>Parking Garage Luminaires</w:t>
            </w:r>
          </w:p>
        </w:tc>
        <w:tc>
          <w:tcPr>
            <w:tcW w:w="1315" w:type="dxa"/>
            <w:vAlign w:val="center"/>
            <w:hideMark/>
          </w:tcPr>
          <w:p w14:paraId="6AF1A117" w14:textId="77777777" w:rsidR="00076CB9" w:rsidRPr="00085E4F" w:rsidRDefault="00076CB9" w:rsidP="00771520">
            <w:pPr>
              <w:rPr>
                <w:rFonts w:ascii="Times New Roman" w:hAnsi="Times New Roman"/>
                <w:color w:val="000000"/>
                <w:sz w:val="20"/>
                <w:szCs w:val="20"/>
              </w:rPr>
            </w:pPr>
            <w:r w:rsidRPr="00085E4F">
              <w:rPr>
                <w:rFonts w:ascii="Times New Roman" w:hAnsi="Times New Roman"/>
                <w:color w:val="000000" w:themeColor="text1"/>
                <w:sz w:val="20"/>
                <w:szCs w:val="20"/>
              </w:rPr>
              <w:t>60-80</w:t>
            </w:r>
            <w:r w:rsidRPr="00085E4F">
              <w:rPr>
                <w:rFonts w:ascii="Cambria Math" w:hAnsi="Cambria Math" w:cs="Cambria Math"/>
                <w:color w:val="000000" w:themeColor="text1"/>
                <w:sz w:val="20"/>
                <w:szCs w:val="20"/>
              </w:rPr>
              <w:t>⁰</w:t>
            </w:r>
          </w:p>
        </w:tc>
        <w:tc>
          <w:tcPr>
            <w:tcW w:w="1338" w:type="dxa"/>
            <w:vAlign w:val="center"/>
            <w:hideMark/>
          </w:tcPr>
          <w:p w14:paraId="52BDDE79" w14:textId="77777777" w:rsidR="00076CB9" w:rsidRPr="00085E4F" w:rsidRDefault="00076CB9" w:rsidP="00771520">
            <w:pPr>
              <w:rPr>
                <w:rFonts w:ascii="Times New Roman" w:hAnsi="Times New Roman"/>
                <w:color w:val="000000"/>
                <w:sz w:val="20"/>
                <w:szCs w:val="20"/>
              </w:rPr>
            </w:pPr>
            <w:r w:rsidRPr="00085E4F">
              <w:rPr>
                <w:rFonts w:ascii="Times New Roman" w:hAnsi="Times New Roman"/>
                <w:color w:val="000000" w:themeColor="text1"/>
                <w:sz w:val="20"/>
                <w:szCs w:val="20"/>
              </w:rPr>
              <w:t>≥30%</w:t>
            </w:r>
          </w:p>
        </w:tc>
      </w:tr>
      <w:tr w:rsidR="00076CB9" w:rsidRPr="00FD3DAA" w14:paraId="20DF0118" w14:textId="77777777" w:rsidTr="00896B2E">
        <w:trPr>
          <w:trHeight w:val="98"/>
          <w:jc w:val="center"/>
        </w:trPr>
        <w:tc>
          <w:tcPr>
            <w:tcW w:w="3428" w:type="dxa"/>
            <w:vMerge/>
            <w:vAlign w:val="center"/>
            <w:hideMark/>
          </w:tcPr>
          <w:p w14:paraId="56CFC7F3" w14:textId="77777777" w:rsidR="00076CB9" w:rsidRPr="00085E4F" w:rsidRDefault="00076CB9" w:rsidP="00771520">
            <w:pPr>
              <w:rPr>
                <w:rFonts w:ascii="Times New Roman" w:hAnsi="Times New Roman"/>
                <w:color w:val="000000"/>
                <w:sz w:val="20"/>
                <w:szCs w:val="20"/>
              </w:rPr>
            </w:pPr>
          </w:p>
        </w:tc>
        <w:tc>
          <w:tcPr>
            <w:tcW w:w="1315" w:type="dxa"/>
            <w:vAlign w:val="center"/>
            <w:hideMark/>
          </w:tcPr>
          <w:p w14:paraId="7C369D0D" w14:textId="77777777" w:rsidR="00076CB9" w:rsidRPr="00085E4F" w:rsidRDefault="00076CB9" w:rsidP="00771520">
            <w:pPr>
              <w:rPr>
                <w:rFonts w:ascii="Times New Roman" w:hAnsi="Times New Roman"/>
                <w:color w:val="000000"/>
                <w:sz w:val="20"/>
                <w:szCs w:val="20"/>
              </w:rPr>
            </w:pPr>
            <w:r w:rsidRPr="00085E4F">
              <w:rPr>
                <w:rFonts w:ascii="Times New Roman" w:hAnsi="Times New Roman"/>
                <w:color w:val="000000" w:themeColor="text1"/>
                <w:sz w:val="20"/>
                <w:szCs w:val="20"/>
              </w:rPr>
              <w:t>70-80</w:t>
            </w:r>
            <w:r w:rsidRPr="00085E4F">
              <w:rPr>
                <w:rFonts w:ascii="Cambria Math" w:hAnsi="Cambria Math" w:cs="Cambria Math"/>
                <w:color w:val="000000" w:themeColor="text1"/>
                <w:sz w:val="20"/>
                <w:szCs w:val="20"/>
              </w:rPr>
              <w:t>⁰</w:t>
            </w:r>
          </w:p>
        </w:tc>
        <w:tc>
          <w:tcPr>
            <w:tcW w:w="1338" w:type="dxa"/>
            <w:vAlign w:val="center"/>
            <w:hideMark/>
          </w:tcPr>
          <w:p w14:paraId="5633EB84" w14:textId="77777777" w:rsidR="00076CB9" w:rsidRPr="00085E4F" w:rsidRDefault="00076CB9" w:rsidP="00771520">
            <w:pPr>
              <w:rPr>
                <w:rFonts w:ascii="Times New Roman" w:hAnsi="Times New Roman"/>
                <w:color w:val="000000"/>
                <w:sz w:val="20"/>
                <w:szCs w:val="20"/>
              </w:rPr>
            </w:pPr>
            <w:r w:rsidRPr="00085E4F">
              <w:rPr>
                <w:rFonts w:ascii="Times New Roman" w:hAnsi="Times New Roman"/>
                <w:color w:val="000000" w:themeColor="text1"/>
                <w:sz w:val="20"/>
                <w:szCs w:val="20"/>
              </w:rPr>
              <w:t>≤25%</w:t>
            </w:r>
          </w:p>
        </w:tc>
      </w:tr>
    </w:tbl>
    <w:p w14:paraId="2639BCE7" w14:textId="77777777" w:rsidR="00297077" w:rsidRDefault="00297077" w:rsidP="005F44B1"/>
    <w:p w14:paraId="30DAB682" w14:textId="77777777" w:rsidR="00E374D0" w:rsidRDefault="00E374D0">
      <w:pPr>
        <w:rPr>
          <w:b/>
          <w:bCs/>
        </w:rPr>
      </w:pPr>
      <w:r>
        <w:rPr>
          <w:b/>
          <w:bCs/>
        </w:rPr>
        <w:br w:type="page"/>
      </w:r>
    </w:p>
    <w:p w14:paraId="1010B2D4" w14:textId="1A9DBFFB" w:rsidR="001D7FF6" w:rsidRDefault="001D7FF6" w:rsidP="001D7FF6">
      <w:pPr>
        <w:rPr>
          <w:b/>
          <w:bCs/>
        </w:rPr>
      </w:pPr>
      <w:r>
        <w:rPr>
          <w:b/>
          <w:bCs/>
        </w:rPr>
        <w:lastRenderedPageBreak/>
        <w:t>Lumen Bin Measure Structure</w:t>
      </w:r>
    </w:p>
    <w:p w14:paraId="46F7D0A4" w14:textId="7B30CFB8" w:rsidR="001D7FF6" w:rsidRDefault="001D7FF6" w:rsidP="001D7FF6">
      <w:pPr>
        <w:rPr>
          <w:rFonts w:cs="Arial"/>
        </w:rPr>
      </w:pPr>
      <w:r>
        <w:rPr>
          <w:rFonts w:cs="Arial"/>
        </w:rPr>
        <w:t xml:space="preserve">In this revision, PG&amp;E transitions the measure structure for </w:t>
      </w:r>
      <w:r w:rsidR="00B97711">
        <w:rPr>
          <w:rFonts w:cs="Arial"/>
        </w:rPr>
        <w:t xml:space="preserve">Parking </w:t>
      </w:r>
      <w:r>
        <w:rPr>
          <w:rFonts w:cs="Arial"/>
        </w:rPr>
        <w:t>Garage LED fixtures to lumen bins from the previous</w:t>
      </w:r>
      <w:r w:rsidR="00491F18">
        <w:rPr>
          <w:rFonts w:cs="Arial"/>
        </w:rPr>
        <w:t xml:space="preserve"> wattage bin structure.</w:t>
      </w:r>
      <w:r>
        <w:rPr>
          <w:rFonts w:cs="Arial"/>
        </w:rPr>
        <w:t xml:space="preserve"> Although the lumen ranges were previously used on the back-end to match measure case solutions to base case products, as the industry shifts towards LED technologies, referencing solutions by wattages becomes outdated. </w:t>
      </w:r>
      <w:r w:rsidRPr="00267E90">
        <w:rPr>
          <w:rFonts w:cs="Arial"/>
        </w:rPr>
        <w:t>Older incumbent technologies were referred to by wattages and not light output by the industry because the efficacies (lumens per watt</w:t>
      </w:r>
      <w:r>
        <w:rPr>
          <w:rFonts w:cs="Arial"/>
        </w:rPr>
        <w:t>, LPW</w:t>
      </w:r>
      <w:r w:rsidRPr="00267E90">
        <w:rPr>
          <w:rFonts w:cs="Arial"/>
        </w:rPr>
        <w:t>) of these products were constant within the technology for a given light output and the level of service was understood through the wattage they consumed.</w:t>
      </w:r>
      <w:r w:rsidRPr="004E661D">
        <w:rPr>
          <w:rFonts w:cs="Arial"/>
        </w:rPr>
        <w:t xml:space="preserve"> With LEDs, product</w:t>
      </w:r>
      <w:r w:rsidRPr="00267E90">
        <w:rPr>
          <w:rFonts w:cs="Arial"/>
        </w:rPr>
        <w:t>s that provide a given light output are available along the entire efficacy &amp; wattage spectrum.</w:t>
      </w:r>
      <w:r w:rsidRPr="004E661D">
        <w:rPr>
          <w:rFonts w:cs="Arial"/>
        </w:rPr>
        <w:t xml:space="preserve"> </w:t>
      </w:r>
    </w:p>
    <w:p w14:paraId="2C0BEC8F" w14:textId="77777777" w:rsidR="001D7FF6" w:rsidRPr="004E661D" w:rsidRDefault="001D7FF6" w:rsidP="001D7FF6">
      <w:pPr>
        <w:rPr>
          <w:rFonts w:cs="Arial"/>
        </w:rPr>
      </w:pPr>
      <w:r w:rsidRPr="00267E90">
        <w:rPr>
          <w:rFonts w:cs="Arial"/>
        </w:rPr>
        <w:t>When comparing an equivalent measure case product to the base case, using lumens is much more straightforward. Customers now speak about LED products’ level of service in terms of lumen</w:t>
      </w:r>
      <w:r>
        <w:rPr>
          <w:rFonts w:cs="Arial"/>
        </w:rPr>
        <w:t>s</w:t>
      </w:r>
      <w:r w:rsidRPr="00267E90">
        <w:rPr>
          <w:rFonts w:cs="Arial"/>
        </w:rPr>
        <w:t xml:space="preserve"> </w:t>
      </w:r>
      <w:r w:rsidR="00491F18">
        <w:rPr>
          <w:rFonts w:cs="Arial"/>
        </w:rPr>
        <w:t>rather than W</w:t>
      </w:r>
      <w:r w:rsidRPr="00267E90">
        <w:rPr>
          <w:rFonts w:cs="Arial"/>
        </w:rPr>
        <w:t xml:space="preserve">atts. To match this shift in technology and industry communication &amp; make it easier for customers to choose the right measure, PG&amp;E proposes changing the workpaper measure structure to lumen bins rather than wattage bins. </w:t>
      </w:r>
    </w:p>
    <w:p w14:paraId="607F00A4" w14:textId="77777777" w:rsidR="001D7FF6" w:rsidRPr="00267E90" w:rsidRDefault="001D7FF6" w:rsidP="001D7FF6">
      <w:pPr>
        <w:rPr>
          <w:rFonts w:cs="Arial"/>
        </w:rPr>
      </w:pPr>
      <w:r w:rsidRPr="00267E90">
        <w:rPr>
          <w:rFonts w:cs="Arial"/>
        </w:rPr>
        <w:t>The challenges with th</w:t>
      </w:r>
      <w:r>
        <w:rPr>
          <w:rFonts w:cs="Arial"/>
        </w:rPr>
        <w:t>e wattage range methodology as</w:t>
      </w:r>
      <w:r w:rsidRPr="00267E90">
        <w:rPr>
          <w:rFonts w:cs="Arial"/>
        </w:rPr>
        <w:t xml:space="preserve"> the technology shift</w:t>
      </w:r>
      <w:r>
        <w:rPr>
          <w:rFonts w:cs="Arial"/>
        </w:rPr>
        <w:t>s</w:t>
      </w:r>
      <w:r w:rsidRPr="00267E90">
        <w:rPr>
          <w:rFonts w:cs="Arial"/>
        </w:rPr>
        <w:t xml:space="preserve"> to LED is further explained in the 2015 California Workpaper Update Study conducted by Navigant:</w:t>
      </w:r>
      <w:r w:rsidR="00491F18">
        <w:rPr>
          <w:rStyle w:val="EndnoteReference"/>
          <w:rFonts w:cs="Arial"/>
        </w:rPr>
        <w:endnoteReference w:id="18"/>
      </w:r>
    </w:p>
    <w:p w14:paraId="0348737E" w14:textId="77777777" w:rsidR="001D7FF6" w:rsidRDefault="001D7FF6" w:rsidP="001D7FF6">
      <w:pPr>
        <w:rPr>
          <w:rFonts w:cs="Arial"/>
          <w:bCs/>
        </w:rPr>
      </w:pPr>
    </w:p>
    <w:p w14:paraId="0D834912" w14:textId="77777777" w:rsidR="001D7FF6" w:rsidRPr="00267E90" w:rsidRDefault="001D7FF6" w:rsidP="00491F18">
      <w:pPr>
        <w:autoSpaceDE w:val="0"/>
        <w:autoSpaceDN w:val="0"/>
        <w:adjustRightInd w:val="0"/>
        <w:ind w:left="720"/>
        <w:rPr>
          <w:rFonts w:eastAsiaTheme="minorEastAsia" w:cs="Arial"/>
          <w:i/>
        </w:rPr>
      </w:pPr>
      <w:r w:rsidRPr="00267E90">
        <w:rPr>
          <w:rFonts w:eastAsiaTheme="minorEastAsia" w:cs="Arial"/>
          <w:i/>
        </w:rPr>
        <w:t>“The original CA lighting disposition used the baseline wattages to bin lighting fixture categories. This technique is effective for capturing the baseline of older technologies</w:t>
      </w:r>
      <w:r w:rsidR="00491F18">
        <w:rPr>
          <w:rFonts w:eastAsiaTheme="minorEastAsia" w:cs="Arial"/>
          <w:i/>
        </w:rPr>
        <w:t xml:space="preserve">, </w:t>
      </w:r>
      <w:r w:rsidRPr="00267E90">
        <w:rPr>
          <w:rFonts w:eastAsiaTheme="minorEastAsia" w:cs="Arial"/>
          <w:i/>
        </w:rPr>
        <w:t>especially considering the explicit goal of determining what efficient wattage will replace the existing inefficient wattage. This follows the logic of a wattage range calculation, the goal being to determine the difference between the initial and final wattage.</w:t>
      </w:r>
    </w:p>
    <w:p w14:paraId="0096F609" w14:textId="77777777" w:rsidR="001D7FF6" w:rsidRPr="00267E90" w:rsidRDefault="001D7FF6" w:rsidP="001D7FF6">
      <w:pPr>
        <w:autoSpaceDE w:val="0"/>
        <w:autoSpaceDN w:val="0"/>
        <w:adjustRightInd w:val="0"/>
        <w:ind w:left="720"/>
        <w:rPr>
          <w:rFonts w:eastAsiaTheme="minorEastAsia" w:cs="Arial"/>
          <w:i/>
        </w:rPr>
      </w:pPr>
      <w:r w:rsidRPr="00267E90">
        <w:rPr>
          <w:rFonts w:eastAsiaTheme="minorEastAsia" w:cs="Arial"/>
          <w:i/>
        </w:rPr>
        <w:t>In practice, the initial wattages of the bay fixtures existed over a wide range of values but the</w:t>
      </w:r>
      <w:r w:rsidR="00491F18">
        <w:rPr>
          <w:rFonts w:eastAsiaTheme="minorEastAsia" w:cs="Arial"/>
          <w:i/>
        </w:rPr>
        <w:t xml:space="preserve"> </w:t>
      </w:r>
      <w:r w:rsidRPr="00267E90">
        <w:rPr>
          <w:rFonts w:eastAsiaTheme="minorEastAsia" w:cs="Arial"/>
          <w:i/>
        </w:rPr>
        <w:t>LED responses were contained in a small range. This aspect makes it difficult to create</w:t>
      </w:r>
      <w:r w:rsidR="00491F18">
        <w:rPr>
          <w:rFonts w:eastAsiaTheme="minorEastAsia" w:cs="Arial"/>
          <w:i/>
        </w:rPr>
        <w:t xml:space="preserve"> </w:t>
      </w:r>
      <w:r w:rsidRPr="00267E90">
        <w:rPr>
          <w:rFonts w:eastAsiaTheme="minorEastAsia" w:cs="Arial"/>
          <w:i/>
        </w:rPr>
        <w:t>wattage bins based on LED alternatives. It is not possible to accurately measure the savings of a</w:t>
      </w:r>
      <w:r w:rsidR="00491F18">
        <w:rPr>
          <w:rFonts w:eastAsiaTheme="minorEastAsia" w:cs="Arial"/>
          <w:i/>
        </w:rPr>
        <w:t xml:space="preserve"> </w:t>
      </w:r>
      <w:r w:rsidRPr="00267E90">
        <w:rPr>
          <w:rFonts w:eastAsiaTheme="minorEastAsia" w:cs="Arial"/>
          <w:i/>
        </w:rPr>
        <w:t>certain LED replacement if it could be replacing a wide range of baseline fixtures.”</w:t>
      </w:r>
    </w:p>
    <w:p w14:paraId="3A696E1E" w14:textId="77777777" w:rsidR="001D7FF6" w:rsidRDefault="001D7FF6" w:rsidP="001D7FF6">
      <w:pPr>
        <w:rPr>
          <w:rFonts w:cs="Arial"/>
          <w:bCs/>
        </w:rPr>
      </w:pPr>
    </w:p>
    <w:p w14:paraId="0BA5B6C4" w14:textId="6A49A658" w:rsidR="00492A32" w:rsidRDefault="001D7FF6">
      <w:pPr>
        <w:rPr>
          <w:b/>
          <w:bCs/>
          <w:sz w:val="20"/>
          <w:szCs w:val="20"/>
        </w:rPr>
      </w:pPr>
      <w:r w:rsidRPr="004E661D">
        <w:rPr>
          <w:rFonts w:cs="Arial"/>
        </w:rPr>
        <w:t xml:space="preserve">The </w:t>
      </w:r>
      <w:r w:rsidRPr="00267E90">
        <w:rPr>
          <w:rFonts w:cs="Arial"/>
        </w:rPr>
        <w:t>benefit of the</w:t>
      </w:r>
      <w:r w:rsidRPr="004E661D">
        <w:rPr>
          <w:rFonts w:cs="Arial"/>
        </w:rPr>
        <w:t xml:space="preserve"> lumen bin</w:t>
      </w:r>
      <w:r w:rsidRPr="00267E90">
        <w:rPr>
          <w:rFonts w:cs="Arial"/>
        </w:rPr>
        <w:t xml:space="preserve"> methodology is illustrated below. </w:t>
      </w:r>
      <w:r w:rsidR="00E64760">
        <w:rPr>
          <w:rFonts w:cs="Arial"/>
        </w:rPr>
        <w:t>U</w:t>
      </w:r>
      <w:r w:rsidR="00E64760" w:rsidRPr="004E661D">
        <w:rPr>
          <w:rFonts w:cs="Arial"/>
        </w:rPr>
        <w:t xml:space="preserve">nder the measure </w:t>
      </w:r>
      <w:r w:rsidR="00E64760" w:rsidRPr="00267E90">
        <w:rPr>
          <w:rFonts w:cs="Arial"/>
        </w:rPr>
        <w:t>codes defined by wattage bins in</w:t>
      </w:r>
      <w:r w:rsidR="00E64760">
        <w:rPr>
          <w:rFonts w:cs="Arial"/>
        </w:rPr>
        <w:t xml:space="preserve"> </w:t>
      </w:r>
      <w:r w:rsidR="00E64760">
        <w:rPr>
          <w:rFonts w:cs="Arial"/>
        </w:rPr>
        <w:fldChar w:fldCharType="begin"/>
      </w:r>
      <w:r w:rsidR="00E64760">
        <w:rPr>
          <w:rFonts w:cs="Arial"/>
        </w:rPr>
        <w:instrText xml:space="preserve"> REF _Ref533614682 \h </w:instrText>
      </w:r>
      <w:r w:rsidR="00E64760">
        <w:rPr>
          <w:rFonts w:cs="Arial"/>
        </w:rPr>
      </w:r>
      <w:r w:rsidR="00E64760">
        <w:rPr>
          <w:rFonts w:cs="Arial"/>
        </w:rPr>
        <w:fldChar w:fldCharType="separate"/>
      </w:r>
      <w:r w:rsidR="00492A32">
        <w:t xml:space="preserve">Table </w:t>
      </w:r>
      <w:r w:rsidR="00492A32">
        <w:rPr>
          <w:noProof/>
        </w:rPr>
        <w:t>13</w:t>
      </w:r>
      <w:r w:rsidR="00E64760">
        <w:rPr>
          <w:rFonts w:cs="Arial"/>
        </w:rPr>
        <w:fldChar w:fldCharType="end"/>
      </w:r>
      <w:r w:rsidR="00E64760" w:rsidRPr="004E661D">
        <w:rPr>
          <w:rFonts w:cs="Arial"/>
        </w:rPr>
        <w:t xml:space="preserve">, </w:t>
      </w:r>
      <w:r w:rsidR="00E64760">
        <w:rPr>
          <w:rFonts w:cs="Arial"/>
        </w:rPr>
        <w:t>there is much greater overlap in measure case lumen ranges</w:t>
      </w:r>
      <w:r w:rsidR="00E374D0">
        <w:rPr>
          <w:rFonts w:cs="Arial"/>
        </w:rPr>
        <w:t xml:space="preserve"> shown</w:t>
      </w:r>
      <w:r w:rsidR="00E64760">
        <w:rPr>
          <w:rFonts w:cs="Arial"/>
        </w:rPr>
        <w:t xml:space="preserve"> in the 2 right column</w:t>
      </w:r>
      <w:r w:rsidR="00E374D0">
        <w:rPr>
          <w:rFonts w:cs="Arial"/>
        </w:rPr>
        <w:t>s</w:t>
      </w:r>
      <w:r w:rsidR="00E64760">
        <w:rPr>
          <w:rFonts w:cs="Arial"/>
        </w:rPr>
        <w:t xml:space="preserve">. A customer might pick a higher-wattage product to get a higher rebate, when the program would prefer to drive customers instead toward higher efficacy products, and because of efficacy variation, higher wattages do not always come with higher light outputs. </w:t>
      </w:r>
      <w:r w:rsidR="00E64760" w:rsidRPr="00267E90">
        <w:rPr>
          <w:rFonts w:cs="Arial"/>
        </w:rPr>
        <w:t>In</w:t>
      </w:r>
      <w:r w:rsidR="00E64760">
        <w:rPr>
          <w:rFonts w:cs="Arial"/>
        </w:rPr>
        <w:t xml:space="preserve"> </w:t>
      </w:r>
      <w:r w:rsidR="00E64760">
        <w:rPr>
          <w:rFonts w:cs="Arial"/>
        </w:rPr>
        <w:fldChar w:fldCharType="begin"/>
      </w:r>
      <w:r w:rsidR="00E64760">
        <w:rPr>
          <w:rFonts w:cs="Arial"/>
        </w:rPr>
        <w:instrText xml:space="preserve"> REF _Ref533614641 \h </w:instrText>
      </w:r>
      <w:r w:rsidR="00E64760">
        <w:rPr>
          <w:rFonts w:cs="Arial"/>
        </w:rPr>
      </w:r>
      <w:r w:rsidR="00E64760">
        <w:rPr>
          <w:rFonts w:cs="Arial"/>
        </w:rPr>
        <w:fldChar w:fldCharType="separate"/>
      </w:r>
    </w:p>
    <w:p w14:paraId="234223EA" w14:textId="7FC2A193" w:rsidR="00E64760" w:rsidRDefault="00492A32" w:rsidP="00E64760">
      <w:pPr>
        <w:keepNext/>
        <w:rPr>
          <w:rFonts w:cs="Arial"/>
          <w:bCs/>
        </w:rPr>
      </w:pPr>
      <w:r>
        <w:t xml:space="preserve">Table </w:t>
      </w:r>
      <w:r>
        <w:rPr>
          <w:noProof/>
        </w:rPr>
        <w:t>14</w:t>
      </w:r>
      <w:r w:rsidR="00E64760">
        <w:rPr>
          <w:rFonts w:cs="Arial"/>
        </w:rPr>
        <w:fldChar w:fldCharType="end"/>
      </w:r>
      <w:r w:rsidR="00E64760" w:rsidRPr="00267E90">
        <w:rPr>
          <w:rFonts w:cs="Arial"/>
        </w:rPr>
        <w:t xml:space="preserve">, </w:t>
      </w:r>
      <w:r w:rsidR="00E64760" w:rsidRPr="004E661D">
        <w:rPr>
          <w:rFonts w:cs="Arial"/>
        </w:rPr>
        <w:t xml:space="preserve">with Lumen Bins, they can decide the light output they need and it will match </w:t>
      </w:r>
      <w:r w:rsidR="00E64760">
        <w:rPr>
          <w:rFonts w:cs="Arial"/>
        </w:rPr>
        <w:t>only a single measure code</w:t>
      </w:r>
      <w:r w:rsidR="00470F6D">
        <w:rPr>
          <w:rFonts w:cs="Arial"/>
        </w:rPr>
        <w:t>.</w:t>
      </w:r>
    </w:p>
    <w:p w14:paraId="79B24D3D" w14:textId="79EEF4C8" w:rsidR="001D7FF6" w:rsidRPr="00267E90" w:rsidRDefault="001D7FF6" w:rsidP="001D7FF6">
      <w:pPr>
        <w:rPr>
          <w:rFonts w:cs="Arial"/>
        </w:rPr>
      </w:pPr>
    </w:p>
    <w:p w14:paraId="484A0862" w14:textId="77777777" w:rsidR="001D7FF6" w:rsidRPr="003B4F13" w:rsidRDefault="001D7FF6" w:rsidP="001D7FF6">
      <w:pPr>
        <w:rPr>
          <w:i/>
          <w:iCs/>
          <w:color w:val="1F487C"/>
          <w:sz w:val="18"/>
          <w:szCs w:val="18"/>
        </w:rPr>
      </w:pPr>
    </w:p>
    <w:p w14:paraId="5B306EBE" w14:textId="57C36F2A" w:rsidR="00491F18" w:rsidRDefault="00491F18" w:rsidP="00085E4F">
      <w:pPr>
        <w:pStyle w:val="Caption"/>
        <w:keepNext/>
        <w:jc w:val="center"/>
      </w:pPr>
      <w:bookmarkStart w:id="95" w:name="_Ref533614682"/>
      <w:bookmarkStart w:id="96" w:name="_Ref533614598"/>
      <w:bookmarkStart w:id="97" w:name="_Toc2803236"/>
      <w:r>
        <w:t xml:space="preserve">Table </w:t>
      </w:r>
      <w:fldSimple w:instr=" SEQ Table \* ARABIC ">
        <w:r w:rsidR="00491759">
          <w:rPr>
            <w:noProof/>
          </w:rPr>
          <w:t>13</w:t>
        </w:r>
      </w:fldSimple>
      <w:bookmarkEnd w:id="95"/>
      <w:r>
        <w:t xml:space="preserve">: </w:t>
      </w:r>
      <w:r w:rsidRPr="005D1407">
        <w:t>Wattage Bin Method (</w:t>
      </w:r>
      <w:r>
        <w:t>Previous</w:t>
      </w:r>
      <w:r w:rsidRPr="005D1407">
        <w:t>)</w:t>
      </w:r>
      <w:bookmarkEnd w:id="96"/>
      <w:bookmarkEnd w:id="97"/>
    </w:p>
    <w:tbl>
      <w:tblPr>
        <w:tblStyle w:val="TableGrid"/>
        <w:tblW w:w="0" w:type="auto"/>
        <w:tblLook w:val="04A0" w:firstRow="1" w:lastRow="0" w:firstColumn="1" w:lastColumn="0" w:noHBand="0" w:noVBand="1"/>
      </w:tblPr>
      <w:tblGrid>
        <w:gridCol w:w="1050"/>
        <w:gridCol w:w="1016"/>
        <w:gridCol w:w="1029"/>
        <w:gridCol w:w="1049"/>
        <w:gridCol w:w="1049"/>
        <w:gridCol w:w="1049"/>
        <w:gridCol w:w="1049"/>
        <w:gridCol w:w="1049"/>
      </w:tblGrid>
      <w:tr w:rsidR="00025C30" w14:paraId="291F3DE3" w14:textId="77777777" w:rsidTr="00491F18">
        <w:tc>
          <w:tcPr>
            <w:tcW w:w="1050" w:type="dxa"/>
          </w:tcPr>
          <w:p w14:paraId="6C155260" w14:textId="77777777" w:rsidR="00025C30" w:rsidRPr="005745C3" w:rsidRDefault="00025C30" w:rsidP="001C0359">
            <w:pPr>
              <w:rPr>
                <w:sz w:val="20"/>
              </w:rPr>
            </w:pPr>
            <w:r w:rsidRPr="005745C3">
              <w:rPr>
                <w:sz w:val="20"/>
              </w:rPr>
              <w:t>Measure Code</w:t>
            </w:r>
          </w:p>
        </w:tc>
        <w:tc>
          <w:tcPr>
            <w:tcW w:w="1016" w:type="dxa"/>
          </w:tcPr>
          <w:p w14:paraId="4C277395" w14:textId="77777777" w:rsidR="00025C30" w:rsidRPr="005745C3" w:rsidRDefault="00025C30" w:rsidP="001C0359">
            <w:pPr>
              <w:rPr>
                <w:sz w:val="20"/>
              </w:rPr>
            </w:pPr>
            <w:r w:rsidRPr="005745C3">
              <w:rPr>
                <w:sz w:val="20"/>
              </w:rPr>
              <w:t>Blended Base Case Watts</w:t>
            </w:r>
          </w:p>
        </w:tc>
        <w:tc>
          <w:tcPr>
            <w:tcW w:w="1029" w:type="dxa"/>
          </w:tcPr>
          <w:p w14:paraId="2089F98A" w14:textId="77777777" w:rsidR="00025C30" w:rsidRPr="005745C3" w:rsidRDefault="00025C30" w:rsidP="001C0359">
            <w:pPr>
              <w:rPr>
                <w:sz w:val="20"/>
              </w:rPr>
            </w:pPr>
            <w:r w:rsidRPr="005745C3">
              <w:rPr>
                <w:sz w:val="20"/>
              </w:rPr>
              <w:t>Blended Base Case Efficacy</w:t>
            </w:r>
          </w:p>
        </w:tc>
        <w:tc>
          <w:tcPr>
            <w:tcW w:w="1049" w:type="dxa"/>
          </w:tcPr>
          <w:p w14:paraId="6836F7E0" w14:textId="77777777" w:rsidR="00025C30" w:rsidRPr="005745C3" w:rsidRDefault="00025C30" w:rsidP="001C0359">
            <w:pPr>
              <w:rPr>
                <w:sz w:val="20"/>
              </w:rPr>
            </w:pPr>
            <w:r w:rsidRPr="005745C3">
              <w:rPr>
                <w:sz w:val="20"/>
              </w:rPr>
              <w:t>Measure Case Efficacy Floor (LPW)</w:t>
            </w:r>
          </w:p>
        </w:tc>
        <w:tc>
          <w:tcPr>
            <w:tcW w:w="1049" w:type="dxa"/>
          </w:tcPr>
          <w:p w14:paraId="1FD036ED" w14:textId="77777777" w:rsidR="00025C30" w:rsidRPr="005745C3" w:rsidRDefault="00025C30" w:rsidP="001C0359">
            <w:pPr>
              <w:rPr>
                <w:sz w:val="20"/>
              </w:rPr>
            </w:pPr>
            <w:r w:rsidRPr="005745C3">
              <w:rPr>
                <w:sz w:val="20"/>
              </w:rPr>
              <w:t>Measure Case Wattage (min)</w:t>
            </w:r>
          </w:p>
        </w:tc>
        <w:tc>
          <w:tcPr>
            <w:tcW w:w="1049" w:type="dxa"/>
          </w:tcPr>
          <w:p w14:paraId="11D7E0D1" w14:textId="77777777" w:rsidR="00025C30" w:rsidRPr="005745C3" w:rsidRDefault="00025C30" w:rsidP="001C0359">
            <w:pPr>
              <w:rPr>
                <w:sz w:val="20"/>
              </w:rPr>
            </w:pPr>
            <w:r w:rsidRPr="005745C3">
              <w:rPr>
                <w:sz w:val="20"/>
              </w:rPr>
              <w:t>Measure Case Wattage (max)</w:t>
            </w:r>
          </w:p>
        </w:tc>
        <w:tc>
          <w:tcPr>
            <w:tcW w:w="1049" w:type="dxa"/>
          </w:tcPr>
          <w:p w14:paraId="21D866AD" w14:textId="77777777" w:rsidR="00025C30" w:rsidRPr="005745C3" w:rsidRDefault="00025C30" w:rsidP="001C0359">
            <w:pPr>
              <w:rPr>
                <w:sz w:val="20"/>
              </w:rPr>
            </w:pPr>
            <w:r w:rsidRPr="005745C3">
              <w:rPr>
                <w:sz w:val="20"/>
              </w:rPr>
              <w:t>Measure Case Lumens (min)</w:t>
            </w:r>
          </w:p>
        </w:tc>
        <w:tc>
          <w:tcPr>
            <w:tcW w:w="1049" w:type="dxa"/>
          </w:tcPr>
          <w:p w14:paraId="05E7CFE5" w14:textId="77777777" w:rsidR="00025C30" w:rsidRPr="005745C3" w:rsidRDefault="00025C30" w:rsidP="001C0359">
            <w:pPr>
              <w:rPr>
                <w:sz w:val="20"/>
              </w:rPr>
            </w:pPr>
            <w:r w:rsidRPr="005745C3">
              <w:rPr>
                <w:sz w:val="20"/>
              </w:rPr>
              <w:t>Measure Case Lumens (max)</w:t>
            </w:r>
          </w:p>
        </w:tc>
      </w:tr>
      <w:tr w:rsidR="00025C30" w14:paraId="6D42D24B" w14:textId="77777777" w:rsidTr="00491F18">
        <w:tc>
          <w:tcPr>
            <w:tcW w:w="1050" w:type="dxa"/>
            <w:tcBorders>
              <w:bottom w:val="single" w:sz="2" w:space="0" w:color="auto"/>
            </w:tcBorders>
          </w:tcPr>
          <w:p w14:paraId="2E96020F" w14:textId="60342F21" w:rsidR="00025C30" w:rsidRPr="005745C3" w:rsidRDefault="001C417D" w:rsidP="001C0359">
            <w:pPr>
              <w:rPr>
                <w:sz w:val="20"/>
              </w:rPr>
            </w:pPr>
            <w:r w:rsidRPr="005745C3">
              <w:rPr>
                <w:sz w:val="20"/>
              </w:rPr>
              <w:t>LT3</w:t>
            </w:r>
            <w:r>
              <w:rPr>
                <w:sz w:val="20"/>
              </w:rPr>
              <w:t>05</w:t>
            </w:r>
          </w:p>
        </w:tc>
        <w:tc>
          <w:tcPr>
            <w:tcW w:w="1016" w:type="dxa"/>
            <w:tcBorders>
              <w:bottom w:val="single" w:sz="2" w:space="0" w:color="auto"/>
            </w:tcBorders>
          </w:tcPr>
          <w:p w14:paraId="7EF5EAC4" w14:textId="4D00E4E5" w:rsidR="00025C30" w:rsidRPr="005745C3" w:rsidRDefault="001C417D" w:rsidP="001C0359">
            <w:pPr>
              <w:rPr>
                <w:sz w:val="20"/>
              </w:rPr>
            </w:pPr>
            <w:r>
              <w:rPr>
                <w:sz w:val="20"/>
              </w:rPr>
              <w:t>64</w:t>
            </w:r>
          </w:p>
        </w:tc>
        <w:tc>
          <w:tcPr>
            <w:tcW w:w="1029" w:type="dxa"/>
            <w:tcBorders>
              <w:bottom w:val="single" w:sz="2" w:space="0" w:color="auto"/>
            </w:tcBorders>
          </w:tcPr>
          <w:p w14:paraId="3B3C61EE" w14:textId="365A1237" w:rsidR="00025C30" w:rsidRPr="005745C3" w:rsidRDefault="00E64760" w:rsidP="001C0359">
            <w:pPr>
              <w:rPr>
                <w:sz w:val="20"/>
              </w:rPr>
            </w:pPr>
            <w:r>
              <w:rPr>
                <w:sz w:val="20"/>
              </w:rPr>
              <w:t>51</w:t>
            </w:r>
          </w:p>
        </w:tc>
        <w:tc>
          <w:tcPr>
            <w:tcW w:w="1049" w:type="dxa"/>
            <w:tcBorders>
              <w:bottom w:val="single" w:sz="2" w:space="0" w:color="auto"/>
            </w:tcBorders>
          </w:tcPr>
          <w:p w14:paraId="1685C3B3" w14:textId="77777777" w:rsidR="00025C30" w:rsidRPr="005745C3" w:rsidRDefault="00025C30" w:rsidP="001C0359">
            <w:pPr>
              <w:rPr>
                <w:sz w:val="20"/>
              </w:rPr>
            </w:pPr>
            <w:r w:rsidRPr="005745C3">
              <w:rPr>
                <w:sz w:val="20"/>
              </w:rPr>
              <w:t>110</w:t>
            </w:r>
          </w:p>
        </w:tc>
        <w:tc>
          <w:tcPr>
            <w:tcW w:w="1049" w:type="dxa"/>
            <w:tcBorders>
              <w:bottom w:val="single" w:sz="2" w:space="0" w:color="auto"/>
            </w:tcBorders>
          </w:tcPr>
          <w:p w14:paraId="24B17482" w14:textId="77777777" w:rsidR="00025C30" w:rsidRPr="005745C3" w:rsidRDefault="00025C30" w:rsidP="001C0359">
            <w:pPr>
              <w:rPr>
                <w:sz w:val="20"/>
              </w:rPr>
            </w:pPr>
            <w:r w:rsidRPr="005745C3">
              <w:rPr>
                <w:sz w:val="20"/>
              </w:rPr>
              <w:t>0</w:t>
            </w:r>
          </w:p>
        </w:tc>
        <w:tc>
          <w:tcPr>
            <w:tcW w:w="1049" w:type="dxa"/>
            <w:tcBorders>
              <w:bottom w:val="single" w:sz="2" w:space="0" w:color="auto"/>
            </w:tcBorders>
          </w:tcPr>
          <w:p w14:paraId="46CF67D5" w14:textId="38798679" w:rsidR="00025C30" w:rsidRPr="005745C3" w:rsidRDefault="00E64760" w:rsidP="001C0359">
            <w:pPr>
              <w:rPr>
                <w:sz w:val="20"/>
              </w:rPr>
            </w:pPr>
            <w:r>
              <w:rPr>
                <w:sz w:val="20"/>
              </w:rPr>
              <w:t>38</w:t>
            </w:r>
            <w:r w:rsidR="00025C30" w:rsidRPr="005745C3">
              <w:rPr>
                <w:sz w:val="20"/>
              </w:rPr>
              <w:t>.99</w:t>
            </w:r>
          </w:p>
        </w:tc>
        <w:tc>
          <w:tcPr>
            <w:tcW w:w="1049" w:type="dxa"/>
            <w:tcBorders>
              <w:bottom w:val="single" w:sz="2" w:space="0" w:color="auto"/>
            </w:tcBorders>
          </w:tcPr>
          <w:p w14:paraId="1DCF3098" w14:textId="2928962B" w:rsidR="00025C30" w:rsidRPr="005745C3" w:rsidRDefault="00E64760" w:rsidP="001C0359">
            <w:pPr>
              <w:rPr>
                <w:sz w:val="20"/>
              </w:rPr>
            </w:pPr>
            <w:r>
              <w:rPr>
                <w:sz w:val="20"/>
              </w:rPr>
              <w:t>2,200</w:t>
            </w:r>
          </w:p>
        </w:tc>
        <w:tc>
          <w:tcPr>
            <w:tcW w:w="1049" w:type="dxa"/>
            <w:tcBorders>
              <w:bottom w:val="single" w:sz="2" w:space="0" w:color="auto"/>
            </w:tcBorders>
          </w:tcPr>
          <w:p w14:paraId="3088055F" w14:textId="1515AAAB" w:rsidR="00025C30" w:rsidRPr="005745C3" w:rsidRDefault="00E64760" w:rsidP="001C0359">
            <w:pPr>
              <w:rPr>
                <w:sz w:val="20"/>
              </w:rPr>
            </w:pPr>
            <w:r>
              <w:rPr>
                <w:sz w:val="20"/>
              </w:rPr>
              <w:t>5,850</w:t>
            </w:r>
          </w:p>
        </w:tc>
      </w:tr>
      <w:tr w:rsidR="00025C30" w14:paraId="00635E6F" w14:textId="77777777" w:rsidTr="00491F18">
        <w:tc>
          <w:tcPr>
            <w:tcW w:w="1050" w:type="dxa"/>
            <w:tcBorders>
              <w:top w:val="single" w:sz="2" w:space="0" w:color="auto"/>
              <w:left w:val="single" w:sz="2" w:space="0" w:color="auto"/>
              <w:bottom w:val="single" w:sz="18" w:space="0" w:color="auto"/>
              <w:right w:val="single" w:sz="2" w:space="0" w:color="auto"/>
            </w:tcBorders>
          </w:tcPr>
          <w:p w14:paraId="378A7DB5" w14:textId="7B411AB0" w:rsidR="00025C30" w:rsidRPr="005745C3" w:rsidRDefault="001C417D" w:rsidP="001C0359">
            <w:pPr>
              <w:rPr>
                <w:sz w:val="20"/>
              </w:rPr>
            </w:pPr>
            <w:r w:rsidRPr="005745C3">
              <w:rPr>
                <w:sz w:val="20"/>
              </w:rPr>
              <w:t>LT3</w:t>
            </w:r>
            <w:r>
              <w:rPr>
                <w:sz w:val="20"/>
              </w:rPr>
              <w:t>06</w:t>
            </w:r>
          </w:p>
        </w:tc>
        <w:tc>
          <w:tcPr>
            <w:tcW w:w="1016" w:type="dxa"/>
            <w:tcBorders>
              <w:top w:val="single" w:sz="2" w:space="0" w:color="auto"/>
              <w:left w:val="single" w:sz="2" w:space="0" w:color="auto"/>
              <w:bottom w:val="single" w:sz="18" w:space="0" w:color="auto"/>
              <w:right w:val="single" w:sz="2" w:space="0" w:color="auto"/>
            </w:tcBorders>
          </w:tcPr>
          <w:p w14:paraId="05A6E741" w14:textId="0BA9D777" w:rsidR="00025C30" w:rsidRPr="005745C3" w:rsidRDefault="00025C30" w:rsidP="001C0359">
            <w:pPr>
              <w:rPr>
                <w:sz w:val="20"/>
              </w:rPr>
            </w:pPr>
            <w:r w:rsidRPr="005745C3">
              <w:rPr>
                <w:sz w:val="20"/>
              </w:rPr>
              <w:t>8</w:t>
            </w:r>
            <w:r w:rsidR="001C417D">
              <w:rPr>
                <w:sz w:val="20"/>
              </w:rPr>
              <w:t>9</w:t>
            </w:r>
          </w:p>
        </w:tc>
        <w:tc>
          <w:tcPr>
            <w:tcW w:w="1029" w:type="dxa"/>
            <w:tcBorders>
              <w:top w:val="single" w:sz="2" w:space="0" w:color="auto"/>
              <w:left w:val="single" w:sz="2" w:space="0" w:color="auto"/>
              <w:bottom w:val="single" w:sz="18" w:space="0" w:color="auto"/>
              <w:right w:val="single" w:sz="2" w:space="0" w:color="auto"/>
            </w:tcBorders>
          </w:tcPr>
          <w:p w14:paraId="6F026860" w14:textId="0DBB9792" w:rsidR="00025C30" w:rsidRPr="005745C3" w:rsidRDefault="00E64760" w:rsidP="001C0359">
            <w:pPr>
              <w:rPr>
                <w:sz w:val="20"/>
              </w:rPr>
            </w:pPr>
            <w:r>
              <w:rPr>
                <w:sz w:val="20"/>
              </w:rPr>
              <w:t>58</w:t>
            </w:r>
          </w:p>
        </w:tc>
        <w:tc>
          <w:tcPr>
            <w:tcW w:w="1049" w:type="dxa"/>
            <w:tcBorders>
              <w:top w:val="single" w:sz="2" w:space="0" w:color="auto"/>
              <w:left w:val="single" w:sz="2" w:space="0" w:color="auto"/>
              <w:bottom w:val="single" w:sz="18" w:space="0" w:color="auto"/>
              <w:right w:val="single" w:sz="2" w:space="0" w:color="auto"/>
            </w:tcBorders>
          </w:tcPr>
          <w:p w14:paraId="4A6B1AD1" w14:textId="70B27D60" w:rsidR="00025C30" w:rsidRPr="005745C3" w:rsidRDefault="00025C30" w:rsidP="001C0359">
            <w:pPr>
              <w:rPr>
                <w:sz w:val="20"/>
              </w:rPr>
            </w:pPr>
            <w:r w:rsidRPr="005745C3">
              <w:rPr>
                <w:sz w:val="20"/>
              </w:rPr>
              <w:t>11</w:t>
            </w:r>
            <w:r w:rsidR="00E64760">
              <w:rPr>
                <w:sz w:val="20"/>
              </w:rPr>
              <w:t>5</w:t>
            </w:r>
          </w:p>
        </w:tc>
        <w:tc>
          <w:tcPr>
            <w:tcW w:w="1049" w:type="dxa"/>
            <w:tcBorders>
              <w:top w:val="single" w:sz="2" w:space="0" w:color="auto"/>
              <w:left w:val="single" w:sz="2" w:space="0" w:color="auto"/>
              <w:bottom w:val="single" w:sz="18" w:space="0" w:color="auto"/>
              <w:right w:val="single" w:sz="2" w:space="0" w:color="auto"/>
            </w:tcBorders>
          </w:tcPr>
          <w:p w14:paraId="09F0AC28" w14:textId="0A80B4B4" w:rsidR="00025C30" w:rsidRPr="005745C3" w:rsidRDefault="00E64760" w:rsidP="001C0359">
            <w:pPr>
              <w:rPr>
                <w:sz w:val="20"/>
              </w:rPr>
            </w:pPr>
            <w:r>
              <w:rPr>
                <w:sz w:val="20"/>
              </w:rPr>
              <w:t>39</w:t>
            </w:r>
            <w:r w:rsidR="00025C30" w:rsidRPr="005745C3">
              <w:rPr>
                <w:sz w:val="20"/>
              </w:rPr>
              <w:t>.00</w:t>
            </w:r>
          </w:p>
        </w:tc>
        <w:tc>
          <w:tcPr>
            <w:tcW w:w="1049" w:type="dxa"/>
            <w:tcBorders>
              <w:top w:val="single" w:sz="2" w:space="0" w:color="auto"/>
              <w:left w:val="single" w:sz="2" w:space="0" w:color="auto"/>
              <w:bottom w:val="single" w:sz="18" w:space="0" w:color="auto"/>
              <w:right w:val="single" w:sz="2" w:space="0" w:color="auto"/>
            </w:tcBorders>
          </w:tcPr>
          <w:p w14:paraId="7109210B" w14:textId="06A1155E" w:rsidR="00025C30" w:rsidRPr="005745C3" w:rsidRDefault="00E64760" w:rsidP="001C0359">
            <w:pPr>
              <w:rPr>
                <w:sz w:val="20"/>
              </w:rPr>
            </w:pPr>
            <w:r>
              <w:rPr>
                <w:sz w:val="20"/>
              </w:rPr>
              <w:t>56.99</w:t>
            </w:r>
          </w:p>
        </w:tc>
        <w:tc>
          <w:tcPr>
            <w:tcW w:w="1049" w:type="dxa"/>
            <w:tcBorders>
              <w:top w:val="single" w:sz="2" w:space="0" w:color="auto"/>
              <w:left w:val="single" w:sz="2" w:space="0" w:color="auto"/>
              <w:bottom w:val="single" w:sz="18" w:space="0" w:color="auto"/>
              <w:right w:val="single" w:sz="2" w:space="0" w:color="auto"/>
            </w:tcBorders>
          </w:tcPr>
          <w:p w14:paraId="06458AC7" w14:textId="6CBD5E8F" w:rsidR="00025C30" w:rsidRPr="005745C3" w:rsidRDefault="00E64760" w:rsidP="001C0359">
            <w:pPr>
              <w:rPr>
                <w:sz w:val="20"/>
              </w:rPr>
            </w:pPr>
            <w:r>
              <w:rPr>
                <w:sz w:val="20"/>
              </w:rPr>
              <w:t>4,485</w:t>
            </w:r>
          </w:p>
        </w:tc>
        <w:tc>
          <w:tcPr>
            <w:tcW w:w="1049" w:type="dxa"/>
            <w:tcBorders>
              <w:top w:val="single" w:sz="2" w:space="0" w:color="auto"/>
              <w:left w:val="single" w:sz="2" w:space="0" w:color="auto"/>
              <w:bottom w:val="single" w:sz="18" w:space="0" w:color="auto"/>
              <w:right w:val="single" w:sz="2" w:space="0" w:color="auto"/>
            </w:tcBorders>
          </w:tcPr>
          <w:p w14:paraId="34E9976F" w14:textId="37E1829E" w:rsidR="00025C30" w:rsidRPr="005745C3" w:rsidRDefault="00E64760" w:rsidP="001C0359">
            <w:pPr>
              <w:rPr>
                <w:sz w:val="20"/>
              </w:rPr>
            </w:pPr>
            <w:r>
              <w:rPr>
                <w:sz w:val="20"/>
              </w:rPr>
              <w:t>8,550</w:t>
            </w:r>
          </w:p>
        </w:tc>
      </w:tr>
    </w:tbl>
    <w:p w14:paraId="203E7727" w14:textId="77777777" w:rsidR="001D7FF6" w:rsidRDefault="001D7FF6" w:rsidP="001D7FF6"/>
    <w:p w14:paraId="4011BFF3" w14:textId="77777777" w:rsidR="001F6AFD" w:rsidRDefault="001F6AFD">
      <w:pPr>
        <w:rPr>
          <w:b/>
          <w:bCs/>
          <w:sz w:val="20"/>
          <w:szCs w:val="20"/>
        </w:rPr>
      </w:pPr>
      <w:bookmarkStart w:id="98" w:name="_Ref533614641"/>
      <w:bookmarkStart w:id="99" w:name="_Ref533614627"/>
      <w:r>
        <w:br w:type="page"/>
      </w:r>
    </w:p>
    <w:p w14:paraId="176DE405" w14:textId="615CCC2D" w:rsidR="001D7FF6" w:rsidRDefault="001D7FF6" w:rsidP="00085E4F">
      <w:pPr>
        <w:pStyle w:val="Caption"/>
        <w:keepNext/>
        <w:jc w:val="center"/>
      </w:pPr>
      <w:bookmarkStart w:id="100" w:name="_Toc2803237"/>
      <w:r>
        <w:lastRenderedPageBreak/>
        <w:t xml:space="preserve">Table </w:t>
      </w:r>
      <w:fldSimple w:instr=" SEQ Table \* ARABIC ">
        <w:r w:rsidR="00491759">
          <w:rPr>
            <w:noProof/>
          </w:rPr>
          <w:t>14</w:t>
        </w:r>
      </w:fldSimple>
      <w:bookmarkEnd w:id="98"/>
      <w:r>
        <w:t xml:space="preserve">: </w:t>
      </w:r>
      <w:r w:rsidRPr="00FA65F1">
        <w:t>Lumen Bin Method</w:t>
      </w:r>
      <w:r>
        <w:t xml:space="preserve"> (</w:t>
      </w:r>
      <w:r w:rsidR="00491F18">
        <w:t>New with this revision</w:t>
      </w:r>
      <w:r>
        <w:t>)</w:t>
      </w:r>
      <w:bookmarkEnd w:id="99"/>
      <w:bookmarkEnd w:id="100"/>
    </w:p>
    <w:tbl>
      <w:tblPr>
        <w:tblStyle w:val="TableGrid"/>
        <w:tblW w:w="8227" w:type="dxa"/>
        <w:tblInd w:w="108" w:type="dxa"/>
        <w:tblLook w:val="04A0" w:firstRow="1" w:lastRow="0" w:firstColumn="1" w:lastColumn="0" w:noHBand="0" w:noVBand="1"/>
      </w:tblPr>
      <w:tblGrid>
        <w:gridCol w:w="935"/>
        <w:gridCol w:w="1016"/>
        <w:gridCol w:w="1029"/>
        <w:gridCol w:w="1043"/>
        <w:gridCol w:w="1043"/>
        <w:gridCol w:w="1043"/>
        <w:gridCol w:w="2118"/>
      </w:tblGrid>
      <w:tr w:rsidR="001F6AFD" w14:paraId="722725C1" w14:textId="77777777" w:rsidTr="00470F6D">
        <w:tc>
          <w:tcPr>
            <w:tcW w:w="935" w:type="dxa"/>
          </w:tcPr>
          <w:p w14:paraId="6DD146EA" w14:textId="77777777" w:rsidR="00025C30" w:rsidRPr="005745C3" w:rsidRDefault="00025C30" w:rsidP="001C0359">
            <w:pPr>
              <w:rPr>
                <w:sz w:val="20"/>
              </w:rPr>
            </w:pPr>
            <w:r w:rsidRPr="005745C3">
              <w:rPr>
                <w:sz w:val="20"/>
              </w:rPr>
              <w:t>Measure Code</w:t>
            </w:r>
          </w:p>
        </w:tc>
        <w:tc>
          <w:tcPr>
            <w:tcW w:w="1016" w:type="dxa"/>
          </w:tcPr>
          <w:p w14:paraId="115CD463" w14:textId="77777777" w:rsidR="00025C30" w:rsidRPr="005745C3" w:rsidRDefault="00025C30" w:rsidP="001C0359">
            <w:pPr>
              <w:rPr>
                <w:sz w:val="20"/>
              </w:rPr>
            </w:pPr>
            <w:r w:rsidRPr="005745C3">
              <w:rPr>
                <w:sz w:val="20"/>
              </w:rPr>
              <w:t>Blended Base Case Watts</w:t>
            </w:r>
          </w:p>
        </w:tc>
        <w:tc>
          <w:tcPr>
            <w:tcW w:w="1029" w:type="dxa"/>
          </w:tcPr>
          <w:p w14:paraId="314C86EC" w14:textId="77777777" w:rsidR="00025C30" w:rsidRPr="005745C3" w:rsidRDefault="00025C30" w:rsidP="001C0359">
            <w:pPr>
              <w:rPr>
                <w:sz w:val="20"/>
              </w:rPr>
            </w:pPr>
            <w:r w:rsidRPr="005745C3">
              <w:rPr>
                <w:sz w:val="20"/>
              </w:rPr>
              <w:t>Blended Base Case Efficacy</w:t>
            </w:r>
          </w:p>
        </w:tc>
        <w:tc>
          <w:tcPr>
            <w:tcW w:w="1043" w:type="dxa"/>
          </w:tcPr>
          <w:p w14:paraId="5FE0E4F9" w14:textId="77777777" w:rsidR="00025C30" w:rsidRPr="005745C3" w:rsidRDefault="00025C30" w:rsidP="001C0359">
            <w:pPr>
              <w:rPr>
                <w:sz w:val="20"/>
              </w:rPr>
            </w:pPr>
            <w:r w:rsidRPr="005745C3">
              <w:rPr>
                <w:sz w:val="20"/>
              </w:rPr>
              <w:t>Measure Case Efficacy Floor (LPW)</w:t>
            </w:r>
          </w:p>
        </w:tc>
        <w:tc>
          <w:tcPr>
            <w:tcW w:w="1043" w:type="dxa"/>
          </w:tcPr>
          <w:p w14:paraId="51BD0B1C" w14:textId="77777777" w:rsidR="00025C30" w:rsidRPr="005745C3" w:rsidRDefault="00025C30" w:rsidP="001C0359">
            <w:pPr>
              <w:rPr>
                <w:sz w:val="20"/>
              </w:rPr>
            </w:pPr>
            <w:r w:rsidRPr="005745C3">
              <w:rPr>
                <w:sz w:val="20"/>
              </w:rPr>
              <w:t>Measure Case Lumens (min)</w:t>
            </w:r>
          </w:p>
        </w:tc>
        <w:tc>
          <w:tcPr>
            <w:tcW w:w="1043" w:type="dxa"/>
          </w:tcPr>
          <w:p w14:paraId="5C60052A" w14:textId="77777777" w:rsidR="00025C30" w:rsidRPr="005745C3" w:rsidRDefault="00025C30" w:rsidP="001C0359">
            <w:pPr>
              <w:rPr>
                <w:sz w:val="20"/>
              </w:rPr>
            </w:pPr>
            <w:r w:rsidRPr="005745C3">
              <w:rPr>
                <w:sz w:val="20"/>
              </w:rPr>
              <w:t>Measure Case Lumens (max)</w:t>
            </w:r>
          </w:p>
        </w:tc>
        <w:tc>
          <w:tcPr>
            <w:tcW w:w="2118" w:type="dxa"/>
          </w:tcPr>
          <w:p w14:paraId="6AB30DD9" w14:textId="77777777" w:rsidR="00025C30" w:rsidRPr="005745C3" w:rsidRDefault="00025C30" w:rsidP="001C0359">
            <w:pPr>
              <w:rPr>
                <w:sz w:val="20"/>
              </w:rPr>
            </w:pPr>
            <w:r w:rsidRPr="005745C3">
              <w:rPr>
                <w:sz w:val="20"/>
              </w:rPr>
              <w:t>Measure Case Wattage (minimum Efficacy, Average Output)</w:t>
            </w:r>
          </w:p>
        </w:tc>
      </w:tr>
      <w:tr w:rsidR="001F6AFD" w14:paraId="1E3086E3" w14:textId="77777777" w:rsidTr="00470F6D">
        <w:tc>
          <w:tcPr>
            <w:tcW w:w="935" w:type="dxa"/>
            <w:tcBorders>
              <w:bottom w:val="single" w:sz="4" w:space="0" w:color="auto"/>
            </w:tcBorders>
          </w:tcPr>
          <w:p w14:paraId="62E05AD7" w14:textId="4D456404" w:rsidR="00025C30" w:rsidRPr="005745C3" w:rsidRDefault="001F6AFD" w:rsidP="001C0359">
            <w:pPr>
              <w:rPr>
                <w:sz w:val="20"/>
              </w:rPr>
            </w:pPr>
            <w:r>
              <w:rPr>
                <w:sz w:val="20"/>
              </w:rPr>
              <w:t>LT480</w:t>
            </w:r>
          </w:p>
        </w:tc>
        <w:tc>
          <w:tcPr>
            <w:tcW w:w="1016" w:type="dxa"/>
            <w:tcBorders>
              <w:bottom w:val="single" w:sz="4" w:space="0" w:color="auto"/>
            </w:tcBorders>
          </w:tcPr>
          <w:p w14:paraId="1A43B7D3" w14:textId="141178BF" w:rsidR="00025C30" w:rsidRPr="005745C3" w:rsidRDefault="00025C30" w:rsidP="001C0359">
            <w:pPr>
              <w:rPr>
                <w:sz w:val="20"/>
              </w:rPr>
            </w:pPr>
            <w:r>
              <w:rPr>
                <w:sz w:val="20"/>
              </w:rPr>
              <w:t>41</w:t>
            </w:r>
          </w:p>
        </w:tc>
        <w:tc>
          <w:tcPr>
            <w:tcW w:w="1029" w:type="dxa"/>
            <w:tcBorders>
              <w:bottom w:val="single" w:sz="4" w:space="0" w:color="auto"/>
            </w:tcBorders>
          </w:tcPr>
          <w:p w14:paraId="32EFD346" w14:textId="176F3FA6" w:rsidR="00025C30" w:rsidRPr="005745C3" w:rsidRDefault="001C417D" w:rsidP="001C0359">
            <w:pPr>
              <w:rPr>
                <w:sz w:val="20"/>
              </w:rPr>
            </w:pPr>
            <w:r>
              <w:rPr>
                <w:sz w:val="20"/>
              </w:rPr>
              <w:t>50</w:t>
            </w:r>
          </w:p>
        </w:tc>
        <w:tc>
          <w:tcPr>
            <w:tcW w:w="1043" w:type="dxa"/>
            <w:tcBorders>
              <w:bottom w:val="single" w:sz="4" w:space="0" w:color="auto"/>
            </w:tcBorders>
          </w:tcPr>
          <w:p w14:paraId="3588F20E" w14:textId="33848D7A" w:rsidR="00025C30" w:rsidRPr="005745C3" w:rsidRDefault="00025C30" w:rsidP="001C0359">
            <w:pPr>
              <w:rPr>
                <w:sz w:val="20"/>
              </w:rPr>
            </w:pPr>
            <w:r w:rsidRPr="005745C3">
              <w:rPr>
                <w:sz w:val="20"/>
              </w:rPr>
              <w:t>1</w:t>
            </w:r>
            <w:r w:rsidR="001C417D">
              <w:rPr>
                <w:sz w:val="20"/>
              </w:rPr>
              <w:t>2</w:t>
            </w:r>
            <w:r w:rsidRPr="005745C3">
              <w:rPr>
                <w:sz w:val="20"/>
              </w:rPr>
              <w:t>0</w:t>
            </w:r>
          </w:p>
        </w:tc>
        <w:tc>
          <w:tcPr>
            <w:tcW w:w="1043" w:type="dxa"/>
            <w:tcBorders>
              <w:bottom w:val="single" w:sz="4" w:space="0" w:color="auto"/>
            </w:tcBorders>
          </w:tcPr>
          <w:p w14:paraId="61BAE3D1" w14:textId="668A0AFE" w:rsidR="00025C30" w:rsidRPr="005745C3" w:rsidRDefault="00025C30" w:rsidP="001C0359">
            <w:pPr>
              <w:rPr>
                <w:sz w:val="20"/>
              </w:rPr>
            </w:pPr>
            <w:r>
              <w:rPr>
                <w:sz w:val="20"/>
              </w:rPr>
              <w:t>1,800</w:t>
            </w:r>
          </w:p>
        </w:tc>
        <w:tc>
          <w:tcPr>
            <w:tcW w:w="1043" w:type="dxa"/>
            <w:tcBorders>
              <w:bottom w:val="single" w:sz="4" w:space="0" w:color="auto"/>
            </w:tcBorders>
          </w:tcPr>
          <w:p w14:paraId="59C2B5DF" w14:textId="315D86EB" w:rsidR="00025C30" w:rsidRPr="005745C3" w:rsidRDefault="001C417D" w:rsidP="001C0359">
            <w:pPr>
              <w:rPr>
                <w:sz w:val="20"/>
              </w:rPr>
            </w:pPr>
            <w:r>
              <w:rPr>
                <w:sz w:val="20"/>
              </w:rPr>
              <w:t>2,300</w:t>
            </w:r>
          </w:p>
        </w:tc>
        <w:tc>
          <w:tcPr>
            <w:tcW w:w="2118" w:type="dxa"/>
            <w:tcBorders>
              <w:bottom w:val="single" w:sz="4" w:space="0" w:color="auto"/>
            </w:tcBorders>
          </w:tcPr>
          <w:p w14:paraId="1DC809E6" w14:textId="34888068" w:rsidR="00025C30" w:rsidRPr="005745C3" w:rsidRDefault="001C417D" w:rsidP="001C0359">
            <w:pPr>
              <w:jc w:val="center"/>
              <w:rPr>
                <w:sz w:val="20"/>
              </w:rPr>
            </w:pPr>
            <w:r>
              <w:rPr>
                <w:sz w:val="20"/>
              </w:rPr>
              <w:t>17</w:t>
            </w:r>
          </w:p>
        </w:tc>
      </w:tr>
      <w:tr w:rsidR="001F6AFD" w14:paraId="4DE6A87D" w14:textId="77777777" w:rsidTr="00470F6D">
        <w:tc>
          <w:tcPr>
            <w:tcW w:w="935" w:type="dxa"/>
            <w:tcBorders>
              <w:bottom w:val="single" w:sz="18" w:space="0" w:color="auto"/>
            </w:tcBorders>
          </w:tcPr>
          <w:p w14:paraId="46B36D22" w14:textId="7D51FC34" w:rsidR="00025C30" w:rsidRPr="005745C3" w:rsidRDefault="001F6AFD" w:rsidP="001C0359">
            <w:pPr>
              <w:rPr>
                <w:sz w:val="20"/>
              </w:rPr>
            </w:pPr>
            <w:r>
              <w:rPr>
                <w:sz w:val="20"/>
              </w:rPr>
              <w:t>LT481</w:t>
            </w:r>
          </w:p>
        </w:tc>
        <w:tc>
          <w:tcPr>
            <w:tcW w:w="1016" w:type="dxa"/>
            <w:tcBorders>
              <w:bottom w:val="single" w:sz="18" w:space="0" w:color="auto"/>
            </w:tcBorders>
          </w:tcPr>
          <w:p w14:paraId="69293999" w14:textId="21E973F0" w:rsidR="00025C30" w:rsidRPr="005745C3" w:rsidRDefault="00025C30" w:rsidP="001C0359">
            <w:pPr>
              <w:rPr>
                <w:sz w:val="20"/>
              </w:rPr>
            </w:pPr>
            <w:r>
              <w:rPr>
                <w:sz w:val="20"/>
              </w:rPr>
              <w:t>60</w:t>
            </w:r>
          </w:p>
        </w:tc>
        <w:tc>
          <w:tcPr>
            <w:tcW w:w="1029" w:type="dxa"/>
            <w:tcBorders>
              <w:bottom w:val="single" w:sz="18" w:space="0" w:color="auto"/>
            </w:tcBorders>
          </w:tcPr>
          <w:p w14:paraId="6D9394D8" w14:textId="00BE166F" w:rsidR="00025C30" w:rsidRPr="005745C3" w:rsidRDefault="001C417D" w:rsidP="001C0359">
            <w:pPr>
              <w:rPr>
                <w:sz w:val="20"/>
              </w:rPr>
            </w:pPr>
            <w:r>
              <w:rPr>
                <w:sz w:val="20"/>
              </w:rPr>
              <w:t>43</w:t>
            </w:r>
          </w:p>
        </w:tc>
        <w:tc>
          <w:tcPr>
            <w:tcW w:w="1043" w:type="dxa"/>
            <w:tcBorders>
              <w:bottom w:val="single" w:sz="18" w:space="0" w:color="auto"/>
            </w:tcBorders>
          </w:tcPr>
          <w:p w14:paraId="51C222BF" w14:textId="7F343F22" w:rsidR="00025C30" w:rsidRPr="005745C3" w:rsidRDefault="00025C30" w:rsidP="001C0359">
            <w:pPr>
              <w:rPr>
                <w:sz w:val="20"/>
              </w:rPr>
            </w:pPr>
            <w:r w:rsidRPr="005745C3">
              <w:rPr>
                <w:sz w:val="20"/>
              </w:rPr>
              <w:t>1</w:t>
            </w:r>
            <w:r w:rsidR="001C417D">
              <w:rPr>
                <w:sz w:val="20"/>
              </w:rPr>
              <w:t>2</w:t>
            </w:r>
            <w:r w:rsidRPr="005745C3">
              <w:rPr>
                <w:sz w:val="20"/>
              </w:rPr>
              <w:t>0</w:t>
            </w:r>
          </w:p>
        </w:tc>
        <w:tc>
          <w:tcPr>
            <w:tcW w:w="1043" w:type="dxa"/>
            <w:tcBorders>
              <w:bottom w:val="single" w:sz="18" w:space="0" w:color="auto"/>
            </w:tcBorders>
          </w:tcPr>
          <w:p w14:paraId="1FBBD207" w14:textId="725149AE" w:rsidR="00025C30" w:rsidRPr="005745C3" w:rsidRDefault="001F6AFD" w:rsidP="001F6AFD">
            <w:pPr>
              <w:rPr>
                <w:sz w:val="20"/>
              </w:rPr>
            </w:pPr>
            <w:r>
              <w:rPr>
                <w:sz w:val="20"/>
              </w:rPr>
              <w:t>&gt;2300</w:t>
            </w:r>
          </w:p>
        </w:tc>
        <w:tc>
          <w:tcPr>
            <w:tcW w:w="1043" w:type="dxa"/>
            <w:tcBorders>
              <w:bottom w:val="single" w:sz="18" w:space="0" w:color="auto"/>
            </w:tcBorders>
          </w:tcPr>
          <w:p w14:paraId="03752BD1" w14:textId="6C0DBFF5" w:rsidR="00025C30" w:rsidRPr="005745C3" w:rsidRDefault="001C417D" w:rsidP="001C0359">
            <w:pPr>
              <w:rPr>
                <w:sz w:val="20"/>
              </w:rPr>
            </w:pPr>
            <w:r>
              <w:rPr>
                <w:sz w:val="20"/>
              </w:rPr>
              <w:t>2,900</w:t>
            </w:r>
          </w:p>
        </w:tc>
        <w:tc>
          <w:tcPr>
            <w:tcW w:w="2118" w:type="dxa"/>
            <w:tcBorders>
              <w:bottom w:val="single" w:sz="18" w:space="0" w:color="auto"/>
            </w:tcBorders>
          </w:tcPr>
          <w:p w14:paraId="411E992A" w14:textId="73B2E73A" w:rsidR="00025C30" w:rsidRPr="005745C3" w:rsidRDefault="001C417D" w:rsidP="001C0359">
            <w:pPr>
              <w:jc w:val="center"/>
              <w:rPr>
                <w:sz w:val="20"/>
              </w:rPr>
            </w:pPr>
            <w:r>
              <w:rPr>
                <w:sz w:val="20"/>
              </w:rPr>
              <w:t>22</w:t>
            </w:r>
          </w:p>
        </w:tc>
      </w:tr>
    </w:tbl>
    <w:p w14:paraId="0EC10A4F" w14:textId="25EC87A1" w:rsidR="001D7FF6" w:rsidRDefault="001D7FF6" w:rsidP="00E64760">
      <w:pPr>
        <w:keepNext/>
        <w:rPr>
          <w:rFonts w:cs="Arial"/>
          <w:bCs/>
        </w:rPr>
      </w:pPr>
    </w:p>
    <w:p w14:paraId="1EB53ADD" w14:textId="77777777" w:rsidR="001D7FF6" w:rsidRDefault="001D7FF6" w:rsidP="5B621C54">
      <w:pPr>
        <w:rPr>
          <w:b/>
          <w:bCs/>
        </w:rPr>
      </w:pPr>
    </w:p>
    <w:p w14:paraId="299FF2AC" w14:textId="77777777" w:rsidR="000962E5" w:rsidRDefault="5B621C54" w:rsidP="5B621C54">
      <w:pPr>
        <w:rPr>
          <w:b/>
          <w:bCs/>
        </w:rPr>
      </w:pPr>
      <w:r w:rsidRPr="5B621C54">
        <w:rPr>
          <w:b/>
          <w:bCs/>
        </w:rPr>
        <w:t>Delta Wattage Assumption (ΔW)</w:t>
      </w:r>
    </w:p>
    <w:p w14:paraId="782D87C6" w14:textId="14734D38" w:rsidR="00FF3265" w:rsidRPr="00864659" w:rsidRDefault="5B621C54" w:rsidP="00A115EF">
      <w:r>
        <w:t xml:space="preserve">This section describes the method used to match </w:t>
      </w:r>
      <w:r w:rsidR="003C03C2">
        <w:t>MH</w:t>
      </w:r>
      <w:r w:rsidR="002A4EF5">
        <w:t xml:space="preserve"> and Fluorescent </w:t>
      </w:r>
      <w:r>
        <w:t>base case fixtures to equivalent LED fixtures</w:t>
      </w:r>
      <w:r w:rsidR="002A4EF5">
        <w:t xml:space="preserve">, as done </w:t>
      </w:r>
      <w:r>
        <w:t>in the previous interim solution. The LED fixtures being matched include both base case and measure case, and the calculations assume no difference in the light distribution, lumen maintenance, or fixture efficiency between the base and measure case LEDs.</w:t>
      </w:r>
      <w:r w:rsidR="00297077">
        <w:t xml:space="preserve"> This is a particularly conservative approach to light distribution of base case TLED products, which tend to put out most of their light between 0 - 60°</w:t>
      </w:r>
      <w:r w:rsidR="00801390">
        <w:t xml:space="preserve"> and are not </w:t>
      </w:r>
      <w:r w:rsidR="002B13F4">
        <w:t xml:space="preserve">typically </w:t>
      </w:r>
      <w:r w:rsidR="00801390">
        <w:t>well-configured to produc</w:t>
      </w:r>
      <w:r w:rsidR="007B21B0">
        <w:t>e</w:t>
      </w:r>
      <w:r w:rsidR="00801390">
        <w:t xml:space="preserve"> light at 60 - 80°. However, </w:t>
      </w:r>
      <w:r w:rsidR="002B13F4">
        <w:t xml:space="preserve">as </w:t>
      </w:r>
      <w:r w:rsidR="00801390">
        <w:t>no good model for typical base case TLED light distribution exists, they are assumed equivalent to LED</w:t>
      </w:r>
      <w:r w:rsidR="002B13F4">
        <w:t xml:space="preserve"> fixtures in distribution</w:t>
      </w:r>
      <w:r w:rsidR="007B21B0">
        <w:t xml:space="preserve"> in this workpaper</w:t>
      </w:r>
      <w:r w:rsidR="00801390">
        <w:t>.</w:t>
      </w:r>
    </w:p>
    <w:p w14:paraId="05BEA83A" w14:textId="77777777" w:rsidR="009F083F" w:rsidRPr="00864659" w:rsidRDefault="009F083F" w:rsidP="00A115EF"/>
    <w:p w14:paraId="7E485EC1" w14:textId="26660A14" w:rsidR="003136E1" w:rsidRDefault="009C02DB" w:rsidP="00A115EF">
      <w:r>
        <w:t>T</w:t>
      </w:r>
      <w:r w:rsidR="5B621C54">
        <w:t xml:space="preserve">he workpaper assumes 1-to-1 equivalence of </w:t>
      </w:r>
      <w:r>
        <w:t xml:space="preserve">maintained Zonal Lumens for each lumen bin. </w:t>
      </w:r>
      <w:r w:rsidR="5B621C54">
        <w:t xml:space="preserve">For </w:t>
      </w:r>
      <w:r>
        <w:t xml:space="preserve">lumen bin, the closest equivalent in fluorescent lamp quantity </w:t>
      </w:r>
      <w:r w:rsidR="5B621C54">
        <w:t>and MH lamp wattage</w:t>
      </w:r>
      <w:r>
        <w:t xml:space="preserve"> are determined</w:t>
      </w:r>
      <w:r w:rsidR="5B621C54">
        <w:t xml:space="preserve">, accounting for </w:t>
      </w:r>
      <w:r w:rsidR="00491759">
        <w:t xml:space="preserve">Zonal </w:t>
      </w:r>
      <w:r w:rsidR="5B621C54">
        <w:t xml:space="preserve">Lumens, Lumen Maintenance, and Fixture Efficiency. </w:t>
      </w:r>
    </w:p>
    <w:p w14:paraId="39682054" w14:textId="77777777" w:rsidR="003136E1" w:rsidRDefault="003136E1" w:rsidP="00A115EF"/>
    <w:p w14:paraId="6AAD0710" w14:textId="77777777" w:rsidR="00A115EF" w:rsidRDefault="5B621C54" w:rsidP="00A115EF">
      <w:r>
        <w:t xml:space="preserve">The LED measure case wattage </w:t>
      </w:r>
      <w:r w:rsidR="00A30035">
        <w:t>val</w:t>
      </w:r>
      <w:r w:rsidR="007B21B0">
        <w:t>u</w:t>
      </w:r>
      <w:r w:rsidR="00A30035">
        <w:t xml:space="preserve">es are </w:t>
      </w:r>
      <w:r>
        <w:t xml:space="preserve">determined by dividing the </w:t>
      </w:r>
      <w:r w:rsidR="00A30035">
        <w:t xml:space="preserve">midpoint value of the </w:t>
      </w:r>
      <w:r>
        <w:t xml:space="preserve">lumen </w:t>
      </w:r>
      <w:r w:rsidR="00A30035">
        <w:t xml:space="preserve">bins </w:t>
      </w:r>
      <w:r>
        <w:t xml:space="preserve">by the </w:t>
      </w:r>
      <w:r w:rsidR="00A30035">
        <w:t xml:space="preserve">120 lm/W minimum </w:t>
      </w:r>
      <w:r>
        <w:t>efficac</w:t>
      </w:r>
      <w:r w:rsidR="00A30035">
        <w:t>y</w:t>
      </w:r>
      <w:r>
        <w:t xml:space="preserve">. The Delta Watts are simply the LED measure case minus the blended </w:t>
      </w:r>
      <w:r w:rsidR="007B21B0">
        <w:t xml:space="preserve">weighted </w:t>
      </w:r>
      <w:r>
        <w:t>average of base case LED</w:t>
      </w:r>
      <w:r w:rsidR="00A30035">
        <w:t>, TLED</w:t>
      </w:r>
      <w:r>
        <w:t xml:space="preserve">, </w:t>
      </w:r>
      <w:r w:rsidR="003C03C2">
        <w:t>MH</w:t>
      </w:r>
      <w:r>
        <w:t>, and Fluorescent wattages.</w:t>
      </w:r>
    </w:p>
    <w:p w14:paraId="0AF4D4C5" w14:textId="77777777" w:rsidR="00B0787F" w:rsidRDefault="00B0787F" w:rsidP="00A115EF"/>
    <w:p w14:paraId="6D9348E1" w14:textId="77777777" w:rsidR="00B0787F" w:rsidRPr="00B0044C" w:rsidRDefault="5B621C54" w:rsidP="5B621C54">
      <w:pPr>
        <w:rPr>
          <w:b/>
          <w:bCs/>
        </w:rPr>
      </w:pPr>
      <w:r w:rsidRPr="5B621C54">
        <w:rPr>
          <w:b/>
          <w:bCs/>
        </w:rPr>
        <w:t>Calculation Method Process</w:t>
      </w:r>
    </w:p>
    <w:p w14:paraId="465FCC3C" w14:textId="46702444" w:rsidR="003136E1" w:rsidRDefault="005A3EFB" w:rsidP="00A115EF">
      <w:r>
        <w:t xml:space="preserve">This section will provide an </w:t>
      </w:r>
      <w:r w:rsidR="5B621C54">
        <w:t>example</w:t>
      </w:r>
      <w:r>
        <w:t xml:space="preserve"> calculation</w:t>
      </w:r>
      <w:r w:rsidR="5B621C54">
        <w:t xml:space="preserve"> for a </w:t>
      </w:r>
      <w:r w:rsidR="00A30035">
        <w:t xml:space="preserve">new </w:t>
      </w:r>
      <w:r>
        <w:t xml:space="preserve">LED </w:t>
      </w:r>
      <w:r w:rsidR="00A30035">
        <w:t xml:space="preserve">parking garage luminaire </w:t>
      </w:r>
      <w:r w:rsidR="5B621C54">
        <w:t xml:space="preserve">with </w:t>
      </w:r>
      <w:r>
        <w:t>8,000 initial</w:t>
      </w:r>
      <w:r w:rsidR="00C21199">
        <w:t xml:space="preserve"> lumen output </w:t>
      </w:r>
      <w:proofErr w:type="gramStart"/>
      <w:r>
        <w:t>at</w:t>
      </w:r>
      <w:r w:rsidR="00C21199">
        <w:t xml:space="preserve"> </w:t>
      </w:r>
      <w:r>
        <w:t xml:space="preserve">125 </w:t>
      </w:r>
      <w:r w:rsidR="00370C4B">
        <w:t>lm/W</w:t>
      </w:r>
      <w:r>
        <w:t>.</w:t>
      </w:r>
      <w:proofErr w:type="gramEnd"/>
      <w:r>
        <w:t xml:space="preserve"> The </w:t>
      </w:r>
      <w:r w:rsidR="5B621C54">
        <w:t xml:space="preserve">various factors shown in the table below </w:t>
      </w:r>
      <w:r>
        <w:t xml:space="preserve">are </w:t>
      </w:r>
      <w:r w:rsidR="5B621C54">
        <w:t xml:space="preserve">used to calculate the </w:t>
      </w:r>
      <w:r w:rsidR="00492A32">
        <w:t>equivalent light outputs for each light source</w:t>
      </w:r>
      <w:r w:rsidR="5B621C54">
        <w:t>.</w:t>
      </w:r>
    </w:p>
    <w:p w14:paraId="642AF43C" w14:textId="77777777" w:rsidR="00F62ED8" w:rsidRDefault="00F62ED8" w:rsidP="00A115EF"/>
    <w:p w14:paraId="5EE884DA" w14:textId="339D659A" w:rsidR="00F62ED8" w:rsidRDefault="00F62ED8" w:rsidP="00FD3DAA">
      <w:pPr>
        <w:pStyle w:val="Caption"/>
        <w:jc w:val="center"/>
      </w:pPr>
      <w:bookmarkStart w:id="101" w:name="_Toc511134173"/>
      <w:bookmarkStart w:id="102" w:name="_Toc2803238"/>
      <w:r>
        <w:t xml:space="preserve">Table </w:t>
      </w:r>
      <w:fldSimple w:instr=" SEQ Table \* ARABIC ">
        <w:r w:rsidR="00491759">
          <w:rPr>
            <w:noProof/>
          </w:rPr>
          <w:t>15</w:t>
        </w:r>
      </w:fldSimple>
      <w:r w:rsidR="005745C3">
        <w:t>:</w:t>
      </w:r>
      <w:r w:rsidR="00C27E60">
        <w:t xml:space="preserve"> </w:t>
      </w:r>
      <w:r w:rsidR="00327883">
        <w:t>Light Out</w:t>
      </w:r>
      <w:r w:rsidR="000403FA">
        <w:t>put</w:t>
      </w:r>
      <w:r w:rsidR="00327883">
        <w:t xml:space="preserve"> </w:t>
      </w:r>
      <w:r w:rsidR="00C27E60">
        <w:t>F</w:t>
      </w:r>
      <w:r>
        <w:t>actors</w:t>
      </w:r>
      <w:r w:rsidR="00C27E60">
        <w:t xml:space="preserve"> for </w:t>
      </w:r>
      <w:bookmarkEnd w:id="101"/>
      <w:r w:rsidR="00327883">
        <w:t>Garage fixtures</w:t>
      </w:r>
      <w:bookmarkEnd w:id="102"/>
    </w:p>
    <w:tbl>
      <w:tblPr>
        <w:tblW w:w="362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95"/>
        <w:gridCol w:w="1206"/>
        <w:gridCol w:w="1750"/>
        <w:gridCol w:w="2155"/>
      </w:tblGrid>
      <w:tr w:rsidR="00B66EC3" w:rsidRPr="0080035A" w14:paraId="2A4E448D" w14:textId="77777777" w:rsidTr="0080035A">
        <w:trPr>
          <w:trHeight w:val="575"/>
          <w:jc w:val="center"/>
        </w:trPr>
        <w:tc>
          <w:tcPr>
            <w:tcW w:w="1453" w:type="pct"/>
            <w:shd w:val="clear" w:color="auto" w:fill="auto"/>
            <w:vAlign w:val="bottom"/>
            <w:hideMark/>
          </w:tcPr>
          <w:p w14:paraId="193D7DFB" w14:textId="77777777" w:rsidR="00B66EC3" w:rsidRPr="005745C3" w:rsidRDefault="00B66EC3" w:rsidP="5B621C54">
            <w:pPr>
              <w:jc w:val="center"/>
              <w:rPr>
                <w:b/>
                <w:bCs/>
                <w:color w:val="000000"/>
                <w:sz w:val="20"/>
                <w:szCs w:val="21"/>
              </w:rPr>
            </w:pPr>
            <w:r w:rsidRPr="005745C3">
              <w:rPr>
                <w:b/>
                <w:bCs/>
                <w:color w:val="000000" w:themeColor="text1"/>
                <w:sz w:val="20"/>
                <w:szCs w:val="21"/>
              </w:rPr>
              <w:t>Fixture Light Source</w:t>
            </w:r>
          </w:p>
        </w:tc>
        <w:tc>
          <w:tcPr>
            <w:tcW w:w="837" w:type="pct"/>
            <w:shd w:val="clear" w:color="auto" w:fill="auto"/>
            <w:vAlign w:val="bottom"/>
            <w:hideMark/>
          </w:tcPr>
          <w:p w14:paraId="6716D767" w14:textId="77777777" w:rsidR="00B66EC3" w:rsidRPr="005745C3" w:rsidRDefault="00B66EC3" w:rsidP="5B621C54">
            <w:pPr>
              <w:jc w:val="center"/>
              <w:rPr>
                <w:b/>
                <w:bCs/>
                <w:color w:val="000000"/>
                <w:sz w:val="20"/>
                <w:szCs w:val="21"/>
              </w:rPr>
            </w:pPr>
            <w:r w:rsidRPr="005745C3">
              <w:rPr>
                <w:b/>
                <w:bCs/>
                <w:color w:val="000000" w:themeColor="text1"/>
                <w:sz w:val="20"/>
                <w:szCs w:val="21"/>
              </w:rPr>
              <w:t>Fixture Eff</w:t>
            </w:r>
          </w:p>
        </w:tc>
        <w:tc>
          <w:tcPr>
            <w:tcW w:w="1214" w:type="pct"/>
            <w:shd w:val="clear" w:color="auto" w:fill="auto"/>
            <w:vAlign w:val="bottom"/>
            <w:hideMark/>
          </w:tcPr>
          <w:p w14:paraId="725286B9" w14:textId="77777777" w:rsidR="00B66EC3" w:rsidRPr="005745C3" w:rsidRDefault="00B66EC3" w:rsidP="5B621C54">
            <w:pPr>
              <w:jc w:val="center"/>
              <w:rPr>
                <w:b/>
                <w:bCs/>
                <w:color w:val="000000"/>
                <w:sz w:val="20"/>
                <w:szCs w:val="21"/>
              </w:rPr>
            </w:pPr>
            <w:r w:rsidRPr="005745C3">
              <w:rPr>
                <w:b/>
                <w:bCs/>
                <w:color w:val="000000" w:themeColor="text1"/>
                <w:sz w:val="20"/>
                <w:szCs w:val="21"/>
              </w:rPr>
              <w:t>Zonal Lumens</w:t>
            </w:r>
          </w:p>
        </w:tc>
        <w:tc>
          <w:tcPr>
            <w:tcW w:w="1495" w:type="pct"/>
            <w:shd w:val="clear" w:color="auto" w:fill="auto"/>
            <w:vAlign w:val="bottom"/>
            <w:hideMark/>
          </w:tcPr>
          <w:p w14:paraId="63074E28" w14:textId="77777777" w:rsidR="00B66EC3" w:rsidRPr="005745C3" w:rsidRDefault="00B66EC3" w:rsidP="5B621C54">
            <w:pPr>
              <w:jc w:val="center"/>
              <w:rPr>
                <w:b/>
                <w:bCs/>
                <w:color w:val="000000"/>
                <w:sz w:val="20"/>
                <w:szCs w:val="21"/>
              </w:rPr>
            </w:pPr>
            <w:r w:rsidRPr="005745C3">
              <w:rPr>
                <w:b/>
                <w:bCs/>
                <w:color w:val="000000" w:themeColor="text1"/>
                <w:sz w:val="20"/>
                <w:szCs w:val="21"/>
              </w:rPr>
              <w:t>Lumen Maintenance</w:t>
            </w:r>
          </w:p>
        </w:tc>
      </w:tr>
      <w:tr w:rsidR="0080035A" w:rsidRPr="0080035A" w14:paraId="4B9A0343" w14:textId="77777777" w:rsidTr="0080035A">
        <w:trPr>
          <w:trHeight w:val="288"/>
          <w:jc w:val="center"/>
        </w:trPr>
        <w:tc>
          <w:tcPr>
            <w:tcW w:w="1453" w:type="pct"/>
            <w:shd w:val="clear" w:color="auto" w:fill="auto"/>
            <w:noWrap/>
            <w:vAlign w:val="bottom"/>
            <w:hideMark/>
          </w:tcPr>
          <w:p w14:paraId="17A89DE8" w14:textId="77777777" w:rsidR="00B66EC3" w:rsidRPr="005745C3" w:rsidRDefault="00B66EC3" w:rsidP="00787567">
            <w:pPr>
              <w:rPr>
                <w:color w:val="000000"/>
                <w:sz w:val="20"/>
                <w:szCs w:val="21"/>
              </w:rPr>
            </w:pPr>
            <w:r w:rsidRPr="005745C3">
              <w:rPr>
                <w:color w:val="000000" w:themeColor="text1"/>
                <w:sz w:val="20"/>
                <w:szCs w:val="21"/>
              </w:rPr>
              <w:t>LED</w:t>
            </w:r>
          </w:p>
        </w:tc>
        <w:tc>
          <w:tcPr>
            <w:tcW w:w="837" w:type="pct"/>
            <w:shd w:val="clear" w:color="auto" w:fill="auto"/>
            <w:noWrap/>
            <w:vAlign w:val="bottom"/>
            <w:hideMark/>
          </w:tcPr>
          <w:p w14:paraId="3ABE881A" w14:textId="77777777" w:rsidR="00B66EC3" w:rsidRPr="005745C3" w:rsidRDefault="00B66EC3" w:rsidP="00787567">
            <w:pPr>
              <w:jc w:val="center"/>
              <w:rPr>
                <w:color w:val="000000"/>
                <w:sz w:val="20"/>
                <w:szCs w:val="21"/>
              </w:rPr>
            </w:pPr>
            <w:r w:rsidRPr="005745C3">
              <w:rPr>
                <w:color w:val="000000" w:themeColor="text1"/>
                <w:sz w:val="20"/>
                <w:szCs w:val="21"/>
              </w:rPr>
              <w:t>100%</w:t>
            </w:r>
          </w:p>
        </w:tc>
        <w:tc>
          <w:tcPr>
            <w:tcW w:w="1214" w:type="pct"/>
            <w:shd w:val="clear" w:color="auto" w:fill="auto"/>
            <w:noWrap/>
            <w:vAlign w:val="bottom"/>
            <w:hideMark/>
          </w:tcPr>
          <w:p w14:paraId="3A78177A" w14:textId="77777777" w:rsidR="00B66EC3" w:rsidRPr="005745C3" w:rsidRDefault="00B66EC3" w:rsidP="00787567">
            <w:pPr>
              <w:jc w:val="center"/>
              <w:rPr>
                <w:color w:val="000000"/>
                <w:sz w:val="20"/>
                <w:szCs w:val="21"/>
              </w:rPr>
            </w:pPr>
            <w:r w:rsidRPr="005745C3">
              <w:rPr>
                <w:color w:val="000000" w:themeColor="text1"/>
                <w:sz w:val="20"/>
                <w:szCs w:val="21"/>
              </w:rPr>
              <w:t>33%</w:t>
            </w:r>
          </w:p>
        </w:tc>
        <w:tc>
          <w:tcPr>
            <w:tcW w:w="1495" w:type="pct"/>
            <w:shd w:val="clear" w:color="auto" w:fill="auto"/>
            <w:noWrap/>
            <w:vAlign w:val="bottom"/>
            <w:hideMark/>
          </w:tcPr>
          <w:p w14:paraId="2C29687B" w14:textId="77777777" w:rsidR="00B66EC3" w:rsidRPr="005745C3" w:rsidRDefault="00B66EC3" w:rsidP="00787567">
            <w:pPr>
              <w:jc w:val="center"/>
              <w:rPr>
                <w:color w:val="000000" w:themeColor="text1"/>
                <w:sz w:val="20"/>
                <w:szCs w:val="21"/>
              </w:rPr>
            </w:pPr>
            <w:r w:rsidRPr="005745C3">
              <w:rPr>
                <w:color w:val="000000" w:themeColor="text1"/>
                <w:sz w:val="20"/>
                <w:szCs w:val="21"/>
              </w:rPr>
              <w:t>80.3%</w:t>
            </w:r>
          </w:p>
        </w:tc>
      </w:tr>
      <w:tr w:rsidR="0080035A" w:rsidRPr="0080035A" w14:paraId="317F669F" w14:textId="77777777" w:rsidTr="0080035A">
        <w:trPr>
          <w:trHeight w:val="288"/>
          <w:jc w:val="center"/>
        </w:trPr>
        <w:tc>
          <w:tcPr>
            <w:tcW w:w="1453" w:type="pct"/>
            <w:shd w:val="clear" w:color="auto" w:fill="auto"/>
            <w:noWrap/>
            <w:vAlign w:val="bottom"/>
          </w:tcPr>
          <w:p w14:paraId="6E7BED3D" w14:textId="77777777" w:rsidR="00B66EC3" w:rsidRPr="005745C3" w:rsidDel="005A3EFB" w:rsidRDefault="00B66EC3" w:rsidP="00787567">
            <w:pPr>
              <w:rPr>
                <w:color w:val="000000" w:themeColor="text1"/>
                <w:sz w:val="20"/>
                <w:szCs w:val="21"/>
              </w:rPr>
            </w:pPr>
            <w:r w:rsidRPr="005745C3">
              <w:rPr>
                <w:color w:val="000000" w:themeColor="text1"/>
                <w:sz w:val="20"/>
                <w:szCs w:val="21"/>
              </w:rPr>
              <w:t>TLED</w:t>
            </w:r>
          </w:p>
        </w:tc>
        <w:tc>
          <w:tcPr>
            <w:tcW w:w="837" w:type="pct"/>
            <w:shd w:val="clear" w:color="auto" w:fill="auto"/>
            <w:noWrap/>
            <w:vAlign w:val="bottom"/>
          </w:tcPr>
          <w:p w14:paraId="23493D71" w14:textId="5FBC471E" w:rsidR="00B66EC3" w:rsidRPr="005745C3" w:rsidRDefault="00B66EC3" w:rsidP="00D128BF">
            <w:pPr>
              <w:jc w:val="center"/>
              <w:rPr>
                <w:color w:val="000000" w:themeColor="text1"/>
                <w:sz w:val="20"/>
                <w:szCs w:val="21"/>
              </w:rPr>
            </w:pPr>
            <w:r w:rsidRPr="005745C3">
              <w:rPr>
                <w:color w:val="000000" w:themeColor="text1"/>
                <w:sz w:val="20"/>
                <w:szCs w:val="21"/>
              </w:rPr>
              <w:t>8</w:t>
            </w:r>
            <w:r w:rsidR="00D128BF">
              <w:rPr>
                <w:color w:val="000000" w:themeColor="text1"/>
                <w:sz w:val="20"/>
                <w:szCs w:val="21"/>
              </w:rPr>
              <w:t>5</w:t>
            </w:r>
            <w:r w:rsidRPr="005745C3">
              <w:rPr>
                <w:color w:val="000000" w:themeColor="text1"/>
                <w:sz w:val="20"/>
                <w:szCs w:val="21"/>
              </w:rPr>
              <w:t>%</w:t>
            </w:r>
          </w:p>
        </w:tc>
        <w:tc>
          <w:tcPr>
            <w:tcW w:w="1214" w:type="pct"/>
            <w:shd w:val="clear" w:color="auto" w:fill="auto"/>
            <w:noWrap/>
            <w:vAlign w:val="bottom"/>
          </w:tcPr>
          <w:p w14:paraId="4BC6CA54" w14:textId="77777777" w:rsidR="00B66EC3" w:rsidRPr="005745C3" w:rsidRDefault="00B66EC3" w:rsidP="00787567">
            <w:pPr>
              <w:jc w:val="center"/>
              <w:rPr>
                <w:color w:val="000000" w:themeColor="text1"/>
                <w:sz w:val="20"/>
                <w:szCs w:val="21"/>
              </w:rPr>
            </w:pPr>
            <w:r w:rsidRPr="005745C3">
              <w:rPr>
                <w:color w:val="000000" w:themeColor="text1"/>
                <w:sz w:val="20"/>
                <w:szCs w:val="21"/>
              </w:rPr>
              <w:t>Same as LED</w:t>
            </w:r>
          </w:p>
        </w:tc>
        <w:tc>
          <w:tcPr>
            <w:tcW w:w="1495" w:type="pct"/>
            <w:shd w:val="clear" w:color="auto" w:fill="auto"/>
            <w:noWrap/>
            <w:vAlign w:val="bottom"/>
          </w:tcPr>
          <w:p w14:paraId="244CCDC9" w14:textId="77777777" w:rsidR="00B66EC3" w:rsidRPr="005745C3" w:rsidRDefault="00B66EC3" w:rsidP="0080035A">
            <w:pPr>
              <w:jc w:val="center"/>
              <w:rPr>
                <w:color w:val="000000" w:themeColor="text1"/>
                <w:sz w:val="20"/>
                <w:szCs w:val="21"/>
              </w:rPr>
            </w:pPr>
            <w:r w:rsidRPr="005745C3">
              <w:rPr>
                <w:color w:val="000000" w:themeColor="text1"/>
                <w:sz w:val="20"/>
                <w:szCs w:val="21"/>
              </w:rPr>
              <w:t>Same as LED</w:t>
            </w:r>
          </w:p>
        </w:tc>
      </w:tr>
      <w:tr w:rsidR="0080035A" w:rsidRPr="0080035A" w14:paraId="09DC037A" w14:textId="77777777" w:rsidTr="0080035A">
        <w:trPr>
          <w:trHeight w:val="288"/>
          <w:jc w:val="center"/>
        </w:trPr>
        <w:tc>
          <w:tcPr>
            <w:tcW w:w="1453" w:type="pct"/>
            <w:shd w:val="clear" w:color="auto" w:fill="auto"/>
            <w:noWrap/>
            <w:vAlign w:val="bottom"/>
          </w:tcPr>
          <w:p w14:paraId="7F90A9FD" w14:textId="77777777" w:rsidR="00B66EC3" w:rsidRPr="005745C3" w:rsidDel="005A3EFB" w:rsidRDefault="00B66EC3" w:rsidP="00787567">
            <w:pPr>
              <w:rPr>
                <w:color w:val="000000" w:themeColor="text1"/>
                <w:sz w:val="20"/>
                <w:szCs w:val="21"/>
              </w:rPr>
            </w:pPr>
            <w:r w:rsidRPr="005745C3">
              <w:rPr>
                <w:color w:val="000000" w:themeColor="text1"/>
                <w:sz w:val="20"/>
                <w:szCs w:val="21"/>
              </w:rPr>
              <w:t>Fluorescent</w:t>
            </w:r>
          </w:p>
        </w:tc>
        <w:tc>
          <w:tcPr>
            <w:tcW w:w="837" w:type="pct"/>
            <w:shd w:val="clear" w:color="auto" w:fill="auto"/>
            <w:noWrap/>
            <w:vAlign w:val="bottom"/>
          </w:tcPr>
          <w:p w14:paraId="6BD65302" w14:textId="77777777" w:rsidR="00B66EC3" w:rsidRPr="005745C3" w:rsidRDefault="00B66EC3" w:rsidP="00787567">
            <w:pPr>
              <w:jc w:val="center"/>
              <w:rPr>
                <w:color w:val="000000" w:themeColor="text1"/>
                <w:sz w:val="20"/>
                <w:szCs w:val="21"/>
              </w:rPr>
            </w:pPr>
            <w:r w:rsidRPr="005745C3">
              <w:rPr>
                <w:color w:val="000000" w:themeColor="text1"/>
                <w:sz w:val="20"/>
                <w:szCs w:val="21"/>
              </w:rPr>
              <w:t>71%</w:t>
            </w:r>
          </w:p>
        </w:tc>
        <w:tc>
          <w:tcPr>
            <w:tcW w:w="1214" w:type="pct"/>
            <w:shd w:val="clear" w:color="auto" w:fill="auto"/>
            <w:noWrap/>
            <w:vAlign w:val="bottom"/>
          </w:tcPr>
          <w:p w14:paraId="183B568F" w14:textId="77777777" w:rsidR="00B66EC3" w:rsidRPr="005745C3" w:rsidRDefault="00B66EC3" w:rsidP="00787567">
            <w:pPr>
              <w:jc w:val="center"/>
              <w:rPr>
                <w:color w:val="000000" w:themeColor="text1"/>
                <w:sz w:val="20"/>
                <w:szCs w:val="21"/>
              </w:rPr>
            </w:pPr>
            <w:r w:rsidRPr="005745C3">
              <w:rPr>
                <w:color w:val="000000" w:themeColor="text1"/>
                <w:sz w:val="20"/>
                <w:szCs w:val="21"/>
              </w:rPr>
              <w:t>25%</w:t>
            </w:r>
          </w:p>
        </w:tc>
        <w:tc>
          <w:tcPr>
            <w:tcW w:w="1495" w:type="pct"/>
            <w:shd w:val="clear" w:color="auto" w:fill="auto"/>
            <w:noWrap/>
            <w:vAlign w:val="bottom"/>
          </w:tcPr>
          <w:p w14:paraId="377475E7" w14:textId="77777777" w:rsidR="00B66EC3" w:rsidRPr="005745C3" w:rsidRDefault="00B66EC3" w:rsidP="00787567">
            <w:pPr>
              <w:jc w:val="center"/>
              <w:rPr>
                <w:color w:val="000000" w:themeColor="text1"/>
                <w:sz w:val="20"/>
                <w:szCs w:val="21"/>
              </w:rPr>
            </w:pPr>
            <w:r w:rsidRPr="005745C3">
              <w:rPr>
                <w:color w:val="000000" w:themeColor="text1"/>
                <w:sz w:val="20"/>
                <w:szCs w:val="21"/>
              </w:rPr>
              <w:t>91%</w:t>
            </w:r>
          </w:p>
        </w:tc>
      </w:tr>
      <w:tr w:rsidR="0080035A" w:rsidRPr="0080035A" w14:paraId="4FADF819" w14:textId="77777777" w:rsidTr="0080035A">
        <w:trPr>
          <w:trHeight w:val="288"/>
          <w:jc w:val="center"/>
        </w:trPr>
        <w:tc>
          <w:tcPr>
            <w:tcW w:w="1453" w:type="pct"/>
            <w:shd w:val="clear" w:color="auto" w:fill="auto"/>
            <w:noWrap/>
            <w:vAlign w:val="bottom"/>
          </w:tcPr>
          <w:p w14:paraId="587E09A7" w14:textId="77777777" w:rsidR="00B66EC3" w:rsidRPr="005745C3" w:rsidRDefault="00B66EC3" w:rsidP="00787567">
            <w:pPr>
              <w:rPr>
                <w:color w:val="000000" w:themeColor="text1"/>
                <w:sz w:val="20"/>
                <w:szCs w:val="21"/>
              </w:rPr>
            </w:pPr>
            <w:r w:rsidRPr="005745C3">
              <w:rPr>
                <w:color w:val="000000" w:themeColor="text1"/>
                <w:sz w:val="20"/>
                <w:szCs w:val="21"/>
              </w:rPr>
              <w:t>Metal Halide</w:t>
            </w:r>
          </w:p>
        </w:tc>
        <w:tc>
          <w:tcPr>
            <w:tcW w:w="837" w:type="pct"/>
            <w:shd w:val="clear" w:color="auto" w:fill="auto"/>
            <w:noWrap/>
            <w:vAlign w:val="bottom"/>
          </w:tcPr>
          <w:p w14:paraId="76453D8E" w14:textId="77777777" w:rsidR="00B66EC3" w:rsidRPr="005745C3" w:rsidRDefault="00B66EC3" w:rsidP="00787567">
            <w:pPr>
              <w:jc w:val="center"/>
              <w:rPr>
                <w:color w:val="000000" w:themeColor="text1"/>
                <w:sz w:val="20"/>
                <w:szCs w:val="21"/>
              </w:rPr>
            </w:pPr>
            <w:r w:rsidRPr="005745C3">
              <w:rPr>
                <w:color w:val="000000" w:themeColor="text1"/>
                <w:sz w:val="20"/>
                <w:szCs w:val="21"/>
              </w:rPr>
              <w:t>73%</w:t>
            </w:r>
          </w:p>
        </w:tc>
        <w:tc>
          <w:tcPr>
            <w:tcW w:w="1214" w:type="pct"/>
            <w:shd w:val="clear" w:color="auto" w:fill="auto"/>
            <w:noWrap/>
            <w:vAlign w:val="bottom"/>
          </w:tcPr>
          <w:p w14:paraId="59577462" w14:textId="77777777" w:rsidR="00B66EC3" w:rsidRPr="005745C3" w:rsidRDefault="00B66EC3" w:rsidP="00787567">
            <w:pPr>
              <w:jc w:val="center"/>
              <w:rPr>
                <w:color w:val="000000" w:themeColor="text1"/>
                <w:sz w:val="20"/>
                <w:szCs w:val="21"/>
              </w:rPr>
            </w:pPr>
            <w:r w:rsidRPr="005745C3">
              <w:rPr>
                <w:color w:val="000000" w:themeColor="text1"/>
                <w:sz w:val="20"/>
                <w:szCs w:val="21"/>
              </w:rPr>
              <w:t>23%</w:t>
            </w:r>
          </w:p>
        </w:tc>
        <w:tc>
          <w:tcPr>
            <w:tcW w:w="1495" w:type="pct"/>
            <w:shd w:val="clear" w:color="auto" w:fill="auto"/>
            <w:noWrap/>
            <w:vAlign w:val="bottom"/>
          </w:tcPr>
          <w:p w14:paraId="0B18C0ED" w14:textId="77777777" w:rsidR="00B66EC3" w:rsidRPr="005745C3" w:rsidRDefault="00B66EC3" w:rsidP="00893DC7">
            <w:pPr>
              <w:jc w:val="center"/>
              <w:rPr>
                <w:color w:val="000000" w:themeColor="text1"/>
                <w:sz w:val="20"/>
                <w:szCs w:val="21"/>
              </w:rPr>
            </w:pPr>
            <w:r w:rsidRPr="005745C3">
              <w:rPr>
                <w:color w:val="000000" w:themeColor="text1"/>
                <w:sz w:val="20"/>
                <w:szCs w:val="21"/>
              </w:rPr>
              <w:t>58%</w:t>
            </w:r>
            <w:r w:rsidR="00893DC7" w:rsidRPr="005745C3">
              <w:rPr>
                <w:color w:val="000000" w:themeColor="text1"/>
                <w:sz w:val="20"/>
                <w:szCs w:val="21"/>
                <w:vertAlign w:val="superscript"/>
              </w:rPr>
              <w:fldChar w:fldCharType="begin"/>
            </w:r>
            <w:r w:rsidR="00893DC7" w:rsidRPr="005745C3">
              <w:rPr>
                <w:color w:val="000000" w:themeColor="text1"/>
                <w:sz w:val="20"/>
                <w:szCs w:val="21"/>
                <w:vertAlign w:val="superscript"/>
              </w:rPr>
              <w:instrText xml:space="preserve"> NOTEREF _Ref533005272 \h  \* MERGEFORMAT </w:instrText>
            </w:r>
            <w:r w:rsidR="00893DC7" w:rsidRPr="005745C3">
              <w:rPr>
                <w:color w:val="000000" w:themeColor="text1"/>
                <w:sz w:val="20"/>
                <w:szCs w:val="21"/>
                <w:vertAlign w:val="superscript"/>
              </w:rPr>
            </w:r>
            <w:r w:rsidR="00893DC7" w:rsidRPr="005745C3">
              <w:rPr>
                <w:color w:val="000000" w:themeColor="text1"/>
                <w:sz w:val="20"/>
                <w:szCs w:val="21"/>
                <w:vertAlign w:val="superscript"/>
              </w:rPr>
              <w:fldChar w:fldCharType="separate"/>
            </w:r>
            <w:r w:rsidR="00893DC7" w:rsidRPr="005745C3">
              <w:rPr>
                <w:color w:val="000000" w:themeColor="text1"/>
                <w:sz w:val="20"/>
                <w:szCs w:val="21"/>
                <w:vertAlign w:val="superscript"/>
              </w:rPr>
              <w:t>19</w:t>
            </w:r>
            <w:r w:rsidR="00893DC7" w:rsidRPr="005745C3">
              <w:rPr>
                <w:color w:val="000000" w:themeColor="text1"/>
                <w:sz w:val="20"/>
                <w:szCs w:val="21"/>
                <w:vertAlign w:val="superscript"/>
              </w:rPr>
              <w:fldChar w:fldCharType="end"/>
            </w:r>
          </w:p>
        </w:tc>
      </w:tr>
    </w:tbl>
    <w:p w14:paraId="6013B32B" w14:textId="77777777" w:rsidR="00C27E60" w:rsidRDefault="00C27E60" w:rsidP="00893DC7">
      <w:pPr>
        <w:pStyle w:val="Caption"/>
      </w:pPr>
    </w:p>
    <w:p w14:paraId="6ECD5B86" w14:textId="77777777" w:rsidR="0080035A" w:rsidRDefault="0080035A" w:rsidP="00893DC7">
      <w:pPr>
        <w:pStyle w:val="Caption"/>
        <w:jc w:val="center"/>
      </w:pPr>
      <w:bookmarkStart w:id="103" w:name="_Toc511134174"/>
    </w:p>
    <w:p w14:paraId="5EC0A3FF" w14:textId="77777777" w:rsidR="00470F6D" w:rsidRDefault="00470F6D">
      <w:pPr>
        <w:rPr>
          <w:b/>
          <w:bCs/>
          <w:sz w:val="20"/>
          <w:szCs w:val="20"/>
        </w:rPr>
      </w:pPr>
      <w:r>
        <w:br w:type="page"/>
      </w:r>
    </w:p>
    <w:p w14:paraId="76F2D04F" w14:textId="0AE3C31B" w:rsidR="00F62ED8" w:rsidRDefault="00C27E60" w:rsidP="00893DC7">
      <w:pPr>
        <w:pStyle w:val="Caption"/>
        <w:jc w:val="center"/>
      </w:pPr>
      <w:bookmarkStart w:id="104" w:name="_Toc2803239"/>
      <w:r>
        <w:lastRenderedPageBreak/>
        <w:t xml:space="preserve">Table </w:t>
      </w:r>
      <w:fldSimple w:instr=" SEQ Table \* ARABIC ">
        <w:r w:rsidR="00491759">
          <w:rPr>
            <w:noProof/>
          </w:rPr>
          <w:t>16</w:t>
        </w:r>
      </w:fldSimple>
      <w:r w:rsidR="005745C3">
        <w:t>:</w:t>
      </w:r>
      <w:r>
        <w:t xml:space="preserve"> Calculated Lumens</w:t>
      </w:r>
      <w:bookmarkEnd w:id="103"/>
      <w:bookmarkEnd w:id="104"/>
    </w:p>
    <w:tbl>
      <w:tblPr>
        <w:tblW w:w="0" w:type="auto"/>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4A0" w:firstRow="1" w:lastRow="0" w:firstColumn="1" w:lastColumn="0" w:noHBand="0" w:noVBand="1"/>
      </w:tblPr>
      <w:tblGrid>
        <w:gridCol w:w="2350"/>
        <w:gridCol w:w="828"/>
        <w:gridCol w:w="1115"/>
        <w:gridCol w:w="1023"/>
        <w:gridCol w:w="1600"/>
        <w:gridCol w:w="1652"/>
        <w:gridCol w:w="1368"/>
      </w:tblGrid>
      <w:tr w:rsidR="00B66EC3" w14:paraId="400084CA" w14:textId="77777777" w:rsidTr="0080035A">
        <w:trPr>
          <w:trHeight w:val="412"/>
          <w:jc w:val="center"/>
        </w:trPr>
        <w:tc>
          <w:tcPr>
            <w:tcW w:w="0" w:type="auto"/>
            <w:shd w:val="clear" w:color="auto" w:fill="auto"/>
            <w:noWrap/>
            <w:vAlign w:val="bottom"/>
            <w:hideMark/>
          </w:tcPr>
          <w:p w14:paraId="5C2E5092" w14:textId="77777777" w:rsidR="00B66EC3" w:rsidRPr="005745C3" w:rsidRDefault="00203B93" w:rsidP="004B4A98">
            <w:pPr>
              <w:jc w:val="both"/>
              <w:rPr>
                <w:b/>
                <w:bCs/>
                <w:color w:val="000000" w:themeColor="text1"/>
                <w:sz w:val="20"/>
                <w:szCs w:val="22"/>
              </w:rPr>
            </w:pPr>
            <w:r w:rsidRPr="005745C3">
              <w:rPr>
                <w:b/>
                <w:bCs/>
                <w:color w:val="000000" w:themeColor="text1"/>
                <w:sz w:val="20"/>
                <w:szCs w:val="22"/>
              </w:rPr>
              <w:t xml:space="preserve">Fixture Light Source </w:t>
            </w:r>
          </w:p>
          <w:p w14:paraId="77D5E433" w14:textId="77777777" w:rsidR="00B66EC3" w:rsidRPr="005745C3" w:rsidRDefault="00B66EC3" w:rsidP="004B4A98">
            <w:pPr>
              <w:jc w:val="both"/>
              <w:rPr>
                <w:b/>
                <w:bCs/>
                <w:color w:val="000000" w:themeColor="text1"/>
                <w:sz w:val="20"/>
                <w:szCs w:val="22"/>
              </w:rPr>
            </w:pPr>
            <w:r w:rsidRPr="005745C3">
              <w:rPr>
                <w:b/>
                <w:bCs/>
                <w:color w:val="000000" w:themeColor="text1"/>
                <w:sz w:val="20"/>
                <w:szCs w:val="22"/>
              </w:rPr>
              <w:t>most closely</w:t>
            </w:r>
            <w:r w:rsidR="004B4A98" w:rsidRPr="005745C3">
              <w:rPr>
                <w:b/>
                <w:bCs/>
                <w:color w:val="000000" w:themeColor="text1"/>
                <w:sz w:val="20"/>
                <w:szCs w:val="22"/>
              </w:rPr>
              <w:t xml:space="preserve"> </w:t>
            </w:r>
            <w:r w:rsidR="00203B93" w:rsidRPr="005745C3">
              <w:rPr>
                <w:b/>
                <w:bCs/>
                <w:color w:val="000000" w:themeColor="text1"/>
                <w:sz w:val="20"/>
                <w:szCs w:val="22"/>
              </w:rPr>
              <w:t xml:space="preserve">matching </w:t>
            </w:r>
          </w:p>
          <w:p w14:paraId="63A07FB2" w14:textId="77777777" w:rsidR="00935441" w:rsidRPr="005745C3" w:rsidRDefault="00203B93" w:rsidP="004B4A98">
            <w:pPr>
              <w:jc w:val="both"/>
              <w:rPr>
                <w:b/>
                <w:bCs/>
                <w:color w:val="000000"/>
                <w:sz w:val="20"/>
                <w:szCs w:val="22"/>
              </w:rPr>
            </w:pPr>
            <w:r w:rsidRPr="005745C3">
              <w:rPr>
                <w:b/>
                <w:bCs/>
                <w:color w:val="000000" w:themeColor="text1"/>
                <w:sz w:val="20"/>
                <w:szCs w:val="22"/>
              </w:rPr>
              <w:t>8000 lm LED</w:t>
            </w:r>
          </w:p>
        </w:tc>
        <w:tc>
          <w:tcPr>
            <w:tcW w:w="0" w:type="auto"/>
            <w:shd w:val="clear" w:color="auto" w:fill="auto"/>
            <w:vAlign w:val="bottom"/>
            <w:hideMark/>
          </w:tcPr>
          <w:p w14:paraId="1F4FC395" w14:textId="77777777" w:rsidR="00203B93" w:rsidRPr="005745C3" w:rsidRDefault="00203B93" w:rsidP="5B621C54">
            <w:pPr>
              <w:jc w:val="center"/>
              <w:rPr>
                <w:b/>
                <w:bCs/>
                <w:color w:val="000000" w:themeColor="text1"/>
                <w:sz w:val="20"/>
                <w:szCs w:val="22"/>
              </w:rPr>
            </w:pPr>
            <w:r w:rsidRPr="005745C3">
              <w:rPr>
                <w:b/>
                <w:bCs/>
                <w:color w:val="000000" w:themeColor="text1"/>
                <w:sz w:val="20"/>
                <w:szCs w:val="22"/>
              </w:rPr>
              <w:t>System</w:t>
            </w:r>
          </w:p>
          <w:p w14:paraId="520EDE87" w14:textId="77777777" w:rsidR="00935441" w:rsidRPr="005745C3" w:rsidRDefault="5B621C54" w:rsidP="5B621C54">
            <w:pPr>
              <w:jc w:val="center"/>
              <w:rPr>
                <w:b/>
                <w:bCs/>
                <w:color w:val="000000"/>
                <w:sz w:val="20"/>
                <w:szCs w:val="22"/>
              </w:rPr>
            </w:pPr>
            <w:r w:rsidRPr="005745C3">
              <w:rPr>
                <w:b/>
                <w:bCs/>
                <w:color w:val="000000" w:themeColor="text1"/>
                <w:sz w:val="20"/>
                <w:szCs w:val="22"/>
              </w:rPr>
              <w:t xml:space="preserve"> W</w:t>
            </w:r>
            <w:r w:rsidR="00203B93" w:rsidRPr="005745C3">
              <w:rPr>
                <w:b/>
                <w:bCs/>
                <w:color w:val="000000" w:themeColor="text1"/>
                <w:sz w:val="20"/>
                <w:szCs w:val="22"/>
              </w:rPr>
              <w:t>atts</w:t>
            </w:r>
          </w:p>
        </w:tc>
        <w:tc>
          <w:tcPr>
            <w:tcW w:w="0" w:type="auto"/>
            <w:shd w:val="clear" w:color="auto" w:fill="auto"/>
            <w:vAlign w:val="bottom"/>
            <w:hideMark/>
          </w:tcPr>
          <w:p w14:paraId="1F7BD21D" w14:textId="77777777" w:rsidR="00935441" w:rsidRPr="005745C3" w:rsidRDefault="5B621C54" w:rsidP="5B621C54">
            <w:pPr>
              <w:jc w:val="center"/>
              <w:rPr>
                <w:b/>
                <w:bCs/>
                <w:color w:val="000000"/>
                <w:sz w:val="20"/>
                <w:szCs w:val="22"/>
              </w:rPr>
            </w:pPr>
            <w:r w:rsidRPr="005745C3">
              <w:rPr>
                <w:b/>
                <w:bCs/>
                <w:color w:val="000000" w:themeColor="text1"/>
                <w:sz w:val="20"/>
                <w:szCs w:val="22"/>
              </w:rPr>
              <w:t xml:space="preserve">Fixture </w:t>
            </w:r>
            <w:r w:rsidR="00203B93" w:rsidRPr="005745C3">
              <w:rPr>
                <w:b/>
                <w:bCs/>
                <w:color w:val="000000" w:themeColor="text1"/>
                <w:sz w:val="20"/>
                <w:szCs w:val="22"/>
              </w:rPr>
              <w:t>Lumens</w:t>
            </w:r>
          </w:p>
        </w:tc>
        <w:tc>
          <w:tcPr>
            <w:tcW w:w="0" w:type="auto"/>
            <w:shd w:val="clear" w:color="auto" w:fill="auto"/>
            <w:vAlign w:val="bottom"/>
            <w:hideMark/>
          </w:tcPr>
          <w:p w14:paraId="6C3859AE" w14:textId="77777777" w:rsidR="00203B93" w:rsidRPr="005745C3" w:rsidRDefault="00203B93" w:rsidP="5B621C54">
            <w:pPr>
              <w:jc w:val="center"/>
              <w:rPr>
                <w:b/>
                <w:bCs/>
                <w:color w:val="000000" w:themeColor="text1"/>
                <w:sz w:val="20"/>
                <w:szCs w:val="22"/>
              </w:rPr>
            </w:pPr>
            <w:r w:rsidRPr="005745C3">
              <w:rPr>
                <w:b/>
                <w:bCs/>
                <w:color w:val="000000" w:themeColor="text1"/>
                <w:sz w:val="20"/>
                <w:szCs w:val="22"/>
              </w:rPr>
              <w:t>Initial Zonal</w:t>
            </w:r>
          </w:p>
          <w:p w14:paraId="48D55C6D" w14:textId="77777777" w:rsidR="00935441" w:rsidRPr="005745C3" w:rsidRDefault="5B621C54" w:rsidP="5B621C54">
            <w:pPr>
              <w:jc w:val="center"/>
              <w:rPr>
                <w:b/>
                <w:bCs/>
                <w:color w:val="000000"/>
                <w:sz w:val="20"/>
                <w:szCs w:val="22"/>
              </w:rPr>
            </w:pPr>
            <w:r w:rsidRPr="005745C3">
              <w:rPr>
                <w:b/>
                <w:bCs/>
                <w:color w:val="000000" w:themeColor="text1"/>
                <w:sz w:val="20"/>
                <w:szCs w:val="22"/>
              </w:rPr>
              <w:t>Lumens</w:t>
            </w:r>
          </w:p>
        </w:tc>
        <w:tc>
          <w:tcPr>
            <w:tcW w:w="0" w:type="auto"/>
            <w:shd w:val="clear" w:color="auto" w:fill="auto"/>
            <w:vAlign w:val="bottom"/>
            <w:hideMark/>
          </w:tcPr>
          <w:p w14:paraId="3C4790F3" w14:textId="77777777" w:rsidR="00935441" w:rsidRPr="005745C3" w:rsidRDefault="5B621C54" w:rsidP="5B621C54">
            <w:pPr>
              <w:jc w:val="center"/>
              <w:rPr>
                <w:b/>
                <w:bCs/>
                <w:color w:val="000000"/>
                <w:sz w:val="20"/>
                <w:szCs w:val="22"/>
              </w:rPr>
            </w:pPr>
            <w:r w:rsidRPr="005745C3">
              <w:rPr>
                <w:b/>
                <w:bCs/>
                <w:color w:val="000000" w:themeColor="text1"/>
                <w:sz w:val="20"/>
                <w:szCs w:val="22"/>
              </w:rPr>
              <w:t>Maintained</w:t>
            </w:r>
            <w:r w:rsidR="00203B93" w:rsidRPr="005745C3">
              <w:rPr>
                <w:b/>
                <w:bCs/>
                <w:color w:val="000000" w:themeColor="text1"/>
                <w:sz w:val="20"/>
                <w:szCs w:val="22"/>
              </w:rPr>
              <w:t xml:space="preserve"> Zonal Lumens</w:t>
            </w:r>
            <w:r w:rsidRPr="005745C3">
              <w:rPr>
                <w:b/>
                <w:bCs/>
                <w:color w:val="000000" w:themeColor="text1"/>
                <w:sz w:val="20"/>
                <w:szCs w:val="22"/>
              </w:rPr>
              <w:t xml:space="preserve"> </w:t>
            </w:r>
          </w:p>
        </w:tc>
        <w:tc>
          <w:tcPr>
            <w:tcW w:w="1652" w:type="dxa"/>
            <w:shd w:val="clear" w:color="auto" w:fill="auto"/>
            <w:vAlign w:val="bottom"/>
            <w:hideMark/>
          </w:tcPr>
          <w:p w14:paraId="20907B78" w14:textId="77777777" w:rsidR="00203B93" w:rsidRPr="005745C3" w:rsidRDefault="5B621C54" w:rsidP="5B621C54">
            <w:pPr>
              <w:jc w:val="center"/>
              <w:rPr>
                <w:b/>
                <w:bCs/>
                <w:color w:val="000000" w:themeColor="text1"/>
                <w:sz w:val="20"/>
                <w:szCs w:val="22"/>
              </w:rPr>
            </w:pPr>
            <w:r w:rsidRPr="005745C3">
              <w:rPr>
                <w:b/>
                <w:bCs/>
                <w:color w:val="000000" w:themeColor="text1"/>
                <w:sz w:val="20"/>
                <w:szCs w:val="22"/>
              </w:rPr>
              <w:t xml:space="preserve">LED </w:t>
            </w:r>
            <w:r w:rsidR="00203B93" w:rsidRPr="005745C3">
              <w:rPr>
                <w:b/>
                <w:bCs/>
                <w:color w:val="000000" w:themeColor="text1"/>
                <w:sz w:val="20"/>
                <w:szCs w:val="22"/>
              </w:rPr>
              <w:t xml:space="preserve">Initial </w:t>
            </w:r>
          </w:p>
          <w:p w14:paraId="61DD5F1E" w14:textId="77777777" w:rsidR="00203B93" w:rsidRPr="005745C3" w:rsidRDefault="00203B93" w:rsidP="5B621C54">
            <w:pPr>
              <w:jc w:val="center"/>
              <w:rPr>
                <w:b/>
                <w:bCs/>
                <w:color w:val="000000" w:themeColor="text1"/>
                <w:sz w:val="20"/>
                <w:szCs w:val="22"/>
              </w:rPr>
            </w:pPr>
            <w:r w:rsidRPr="005745C3">
              <w:rPr>
                <w:b/>
                <w:bCs/>
                <w:color w:val="000000" w:themeColor="text1"/>
                <w:sz w:val="20"/>
                <w:szCs w:val="22"/>
              </w:rPr>
              <w:t xml:space="preserve">Zonal </w:t>
            </w:r>
          </w:p>
          <w:p w14:paraId="0496E867" w14:textId="77777777" w:rsidR="00935441" w:rsidRPr="005745C3" w:rsidRDefault="004B4A98" w:rsidP="5B621C54">
            <w:pPr>
              <w:jc w:val="center"/>
              <w:rPr>
                <w:b/>
                <w:bCs/>
                <w:color w:val="000000"/>
                <w:sz w:val="20"/>
                <w:szCs w:val="22"/>
              </w:rPr>
            </w:pPr>
            <w:r w:rsidRPr="005745C3">
              <w:rPr>
                <w:b/>
                <w:bCs/>
                <w:color w:val="000000" w:themeColor="text1"/>
                <w:sz w:val="20"/>
                <w:szCs w:val="22"/>
              </w:rPr>
              <w:t>L</w:t>
            </w:r>
            <w:r w:rsidR="00203B93" w:rsidRPr="005745C3">
              <w:rPr>
                <w:b/>
                <w:bCs/>
                <w:color w:val="000000" w:themeColor="text1"/>
                <w:sz w:val="20"/>
                <w:szCs w:val="22"/>
              </w:rPr>
              <w:t>umens</w:t>
            </w:r>
          </w:p>
        </w:tc>
        <w:tc>
          <w:tcPr>
            <w:tcW w:w="1368" w:type="dxa"/>
            <w:shd w:val="clear" w:color="auto" w:fill="auto"/>
            <w:vAlign w:val="bottom"/>
            <w:hideMark/>
          </w:tcPr>
          <w:p w14:paraId="2C5E7D7A" w14:textId="77777777" w:rsidR="00935441" w:rsidRPr="005745C3" w:rsidRDefault="004B4A98" w:rsidP="5B621C54">
            <w:pPr>
              <w:jc w:val="center"/>
              <w:rPr>
                <w:b/>
                <w:bCs/>
                <w:color w:val="000000"/>
                <w:sz w:val="20"/>
                <w:szCs w:val="22"/>
              </w:rPr>
            </w:pPr>
            <w:r w:rsidRPr="005745C3">
              <w:rPr>
                <w:b/>
                <w:bCs/>
                <w:color w:val="000000" w:themeColor="text1"/>
                <w:sz w:val="20"/>
                <w:szCs w:val="22"/>
              </w:rPr>
              <w:t>LED Initial Lumens</w:t>
            </w:r>
          </w:p>
        </w:tc>
      </w:tr>
      <w:tr w:rsidR="00B66EC3" w14:paraId="64ADC9AA" w14:textId="77777777" w:rsidTr="0080035A">
        <w:trPr>
          <w:trHeight w:val="288"/>
          <w:jc w:val="center"/>
        </w:trPr>
        <w:tc>
          <w:tcPr>
            <w:tcW w:w="0" w:type="auto"/>
            <w:shd w:val="clear" w:color="auto" w:fill="auto"/>
            <w:noWrap/>
            <w:vAlign w:val="bottom"/>
            <w:hideMark/>
          </w:tcPr>
          <w:p w14:paraId="6EF3208E" w14:textId="77777777" w:rsidR="00935441" w:rsidRPr="005745C3" w:rsidRDefault="00203B93" w:rsidP="00935441">
            <w:pPr>
              <w:jc w:val="both"/>
              <w:rPr>
                <w:color w:val="000000"/>
                <w:sz w:val="20"/>
                <w:szCs w:val="22"/>
              </w:rPr>
            </w:pPr>
            <w:r w:rsidRPr="005745C3">
              <w:rPr>
                <w:color w:val="000000" w:themeColor="text1"/>
                <w:sz w:val="20"/>
                <w:szCs w:val="22"/>
              </w:rPr>
              <w:t>200W Metal Halide</w:t>
            </w:r>
          </w:p>
        </w:tc>
        <w:tc>
          <w:tcPr>
            <w:tcW w:w="0" w:type="auto"/>
            <w:shd w:val="clear" w:color="auto" w:fill="auto"/>
            <w:noWrap/>
            <w:vAlign w:val="bottom"/>
            <w:hideMark/>
          </w:tcPr>
          <w:p w14:paraId="0034EC5D" w14:textId="77777777" w:rsidR="00935441" w:rsidRPr="005745C3" w:rsidRDefault="00203B93" w:rsidP="00935441">
            <w:pPr>
              <w:jc w:val="center"/>
              <w:rPr>
                <w:color w:val="000000"/>
                <w:sz w:val="20"/>
                <w:szCs w:val="22"/>
              </w:rPr>
            </w:pPr>
            <w:r w:rsidRPr="005745C3">
              <w:rPr>
                <w:color w:val="000000" w:themeColor="text1"/>
                <w:sz w:val="20"/>
                <w:szCs w:val="22"/>
              </w:rPr>
              <w:t>222</w:t>
            </w:r>
          </w:p>
        </w:tc>
        <w:tc>
          <w:tcPr>
            <w:tcW w:w="0" w:type="auto"/>
            <w:shd w:val="clear" w:color="auto" w:fill="auto"/>
            <w:noWrap/>
            <w:vAlign w:val="bottom"/>
            <w:hideMark/>
          </w:tcPr>
          <w:p w14:paraId="095C5A2B" w14:textId="77777777" w:rsidR="00935441" w:rsidRPr="005745C3" w:rsidRDefault="00203B93" w:rsidP="00935441">
            <w:pPr>
              <w:jc w:val="center"/>
              <w:rPr>
                <w:color w:val="000000"/>
                <w:sz w:val="20"/>
                <w:szCs w:val="22"/>
              </w:rPr>
            </w:pPr>
            <w:r w:rsidRPr="005745C3">
              <w:rPr>
                <w:color w:val="000000" w:themeColor="text1"/>
                <w:sz w:val="20"/>
                <w:szCs w:val="22"/>
              </w:rPr>
              <w:t>14,690</w:t>
            </w:r>
          </w:p>
        </w:tc>
        <w:tc>
          <w:tcPr>
            <w:tcW w:w="0" w:type="auto"/>
            <w:shd w:val="clear" w:color="auto" w:fill="auto"/>
            <w:noWrap/>
            <w:vAlign w:val="bottom"/>
            <w:hideMark/>
          </w:tcPr>
          <w:p w14:paraId="36FBE7CF" w14:textId="77777777" w:rsidR="00935441" w:rsidRPr="005745C3" w:rsidRDefault="00203B93" w:rsidP="00935441">
            <w:pPr>
              <w:jc w:val="center"/>
              <w:rPr>
                <w:color w:val="000000"/>
                <w:sz w:val="20"/>
                <w:szCs w:val="22"/>
              </w:rPr>
            </w:pPr>
            <w:r w:rsidRPr="005745C3">
              <w:rPr>
                <w:color w:val="000000" w:themeColor="text1"/>
                <w:sz w:val="20"/>
                <w:szCs w:val="22"/>
              </w:rPr>
              <w:t>3,420</w:t>
            </w:r>
          </w:p>
        </w:tc>
        <w:tc>
          <w:tcPr>
            <w:tcW w:w="0" w:type="auto"/>
            <w:shd w:val="clear" w:color="auto" w:fill="auto"/>
            <w:noWrap/>
            <w:vAlign w:val="bottom"/>
            <w:hideMark/>
          </w:tcPr>
          <w:p w14:paraId="78F8BD4A" w14:textId="77777777" w:rsidR="00935441" w:rsidRPr="005745C3" w:rsidRDefault="00203B93" w:rsidP="00935441">
            <w:pPr>
              <w:jc w:val="center"/>
              <w:rPr>
                <w:color w:val="000000"/>
                <w:sz w:val="20"/>
                <w:szCs w:val="22"/>
              </w:rPr>
            </w:pPr>
            <w:r w:rsidRPr="005745C3">
              <w:rPr>
                <w:color w:val="000000" w:themeColor="text1"/>
                <w:sz w:val="20"/>
                <w:szCs w:val="22"/>
              </w:rPr>
              <w:t>1,984</w:t>
            </w:r>
          </w:p>
        </w:tc>
        <w:tc>
          <w:tcPr>
            <w:tcW w:w="1652" w:type="dxa"/>
            <w:shd w:val="clear" w:color="auto" w:fill="auto"/>
            <w:noWrap/>
            <w:vAlign w:val="bottom"/>
            <w:hideMark/>
          </w:tcPr>
          <w:p w14:paraId="7982AD46" w14:textId="77777777" w:rsidR="00935441" w:rsidRPr="005745C3" w:rsidRDefault="5B621C54" w:rsidP="00935441">
            <w:pPr>
              <w:jc w:val="center"/>
              <w:rPr>
                <w:color w:val="000000"/>
                <w:sz w:val="20"/>
                <w:szCs w:val="22"/>
              </w:rPr>
            </w:pPr>
            <w:r w:rsidRPr="005745C3">
              <w:rPr>
                <w:color w:val="000000" w:themeColor="text1"/>
                <w:sz w:val="20"/>
                <w:szCs w:val="22"/>
              </w:rPr>
              <w:t>2,271</w:t>
            </w:r>
          </w:p>
        </w:tc>
        <w:tc>
          <w:tcPr>
            <w:tcW w:w="1368" w:type="dxa"/>
            <w:shd w:val="clear" w:color="auto" w:fill="auto"/>
            <w:noWrap/>
            <w:vAlign w:val="bottom"/>
            <w:hideMark/>
          </w:tcPr>
          <w:p w14:paraId="253E5E20" w14:textId="77777777" w:rsidR="00935441" w:rsidRPr="005745C3" w:rsidRDefault="004B4A98" w:rsidP="00935441">
            <w:pPr>
              <w:jc w:val="center"/>
              <w:rPr>
                <w:color w:val="000000"/>
                <w:sz w:val="20"/>
                <w:szCs w:val="22"/>
              </w:rPr>
            </w:pPr>
            <w:r w:rsidRPr="005745C3">
              <w:rPr>
                <w:color w:val="000000" w:themeColor="text1"/>
                <w:sz w:val="20"/>
                <w:szCs w:val="22"/>
              </w:rPr>
              <w:t>7,428</w:t>
            </w:r>
          </w:p>
        </w:tc>
      </w:tr>
      <w:tr w:rsidR="00B66EC3" w14:paraId="0EB4B165" w14:textId="77777777" w:rsidTr="0080035A">
        <w:trPr>
          <w:trHeight w:val="288"/>
          <w:jc w:val="center"/>
        </w:trPr>
        <w:tc>
          <w:tcPr>
            <w:tcW w:w="0" w:type="auto"/>
            <w:shd w:val="clear" w:color="auto" w:fill="auto"/>
            <w:noWrap/>
            <w:vAlign w:val="bottom"/>
          </w:tcPr>
          <w:p w14:paraId="7A1E6901" w14:textId="77777777" w:rsidR="00203B93" w:rsidRPr="005745C3" w:rsidDel="00203B93" w:rsidRDefault="004B4A98" w:rsidP="00935441">
            <w:pPr>
              <w:jc w:val="both"/>
              <w:rPr>
                <w:color w:val="000000" w:themeColor="text1"/>
                <w:sz w:val="20"/>
                <w:szCs w:val="22"/>
              </w:rPr>
            </w:pPr>
            <w:r w:rsidRPr="005745C3">
              <w:rPr>
                <w:color w:val="000000" w:themeColor="text1"/>
                <w:sz w:val="20"/>
                <w:szCs w:val="22"/>
              </w:rPr>
              <w:t>4-lamp F32T8 Fluorescent</w:t>
            </w:r>
          </w:p>
        </w:tc>
        <w:tc>
          <w:tcPr>
            <w:tcW w:w="0" w:type="auto"/>
            <w:shd w:val="clear" w:color="auto" w:fill="auto"/>
            <w:noWrap/>
            <w:vAlign w:val="bottom"/>
          </w:tcPr>
          <w:p w14:paraId="7BAF3AEE" w14:textId="77777777" w:rsidR="00203B93" w:rsidRPr="005745C3" w:rsidRDefault="004B4A98" w:rsidP="00935441">
            <w:pPr>
              <w:jc w:val="center"/>
              <w:rPr>
                <w:color w:val="000000" w:themeColor="text1"/>
                <w:sz w:val="20"/>
                <w:szCs w:val="22"/>
              </w:rPr>
            </w:pPr>
            <w:r w:rsidRPr="005745C3">
              <w:rPr>
                <w:color w:val="000000" w:themeColor="text1"/>
                <w:sz w:val="20"/>
                <w:szCs w:val="22"/>
              </w:rPr>
              <w:t>151</w:t>
            </w:r>
          </w:p>
        </w:tc>
        <w:tc>
          <w:tcPr>
            <w:tcW w:w="0" w:type="auto"/>
            <w:shd w:val="clear" w:color="auto" w:fill="auto"/>
            <w:noWrap/>
            <w:vAlign w:val="bottom"/>
          </w:tcPr>
          <w:p w14:paraId="0C74A823" w14:textId="77777777" w:rsidR="00203B93" w:rsidRPr="005745C3" w:rsidRDefault="004B4A98" w:rsidP="00935441">
            <w:pPr>
              <w:jc w:val="center"/>
              <w:rPr>
                <w:color w:val="000000" w:themeColor="text1"/>
                <w:sz w:val="20"/>
                <w:szCs w:val="22"/>
              </w:rPr>
            </w:pPr>
            <w:r w:rsidRPr="005745C3">
              <w:rPr>
                <w:color w:val="000000" w:themeColor="text1"/>
                <w:sz w:val="20"/>
                <w:szCs w:val="22"/>
              </w:rPr>
              <w:t>9,654</w:t>
            </w:r>
          </w:p>
        </w:tc>
        <w:tc>
          <w:tcPr>
            <w:tcW w:w="0" w:type="auto"/>
            <w:shd w:val="clear" w:color="auto" w:fill="auto"/>
            <w:noWrap/>
            <w:vAlign w:val="bottom"/>
          </w:tcPr>
          <w:p w14:paraId="7262FAF0" w14:textId="77777777" w:rsidR="00203B93" w:rsidRPr="005745C3" w:rsidRDefault="004B4A98" w:rsidP="00935441">
            <w:pPr>
              <w:jc w:val="center"/>
              <w:rPr>
                <w:color w:val="000000" w:themeColor="text1"/>
                <w:sz w:val="20"/>
                <w:szCs w:val="22"/>
              </w:rPr>
            </w:pPr>
            <w:r w:rsidRPr="005745C3">
              <w:rPr>
                <w:color w:val="000000" w:themeColor="text1"/>
                <w:sz w:val="20"/>
                <w:szCs w:val="22"/>
              </w:rPr>
              <w:t>2,442</w:t>
            </w:r>
          </w:p>
        </w:tc>
        <w:tc>
          <w:tcPr>
            <w:tcW w:w="0" w:type="auto"/>
            <w:shd w:val="clear" w:color="auto" w:fill="auto"/>
            <w:noWrap/>
            <w:vAlign w:val="bottom"/>
          </w:tcPr>
          <w:p w14:paraId="5A41BA2E" w14:textId="77777777" w:rsidR="00203B93" w:rsidRPr="005745C3" w:rsidRDefault="004B4A98" w:rsidP="00935441">
            <w:pPr>
              <w:jc w:val="center"/>
              <w:rPr>
                <w:color w:val="000000" w:themeColor="text1"/>
                <w:sz w:val="20"/>
                <w:szCs w:val="22"/>
              </w:rPr>
            </w:pPr>
            <w:r w:rsidRPr="005745C3">
              <w:rPr>
                <w:color w:val="000000" w:themeColor="text1"/>
                <w:sz w:val="20"/>
                <w:szCs w:val="22"/>
              </w:rPr>
              <w:t>2,222</w:t>
            </w:r>
          </w:p>
        </w:tc>
        <w:tc>
          <w:tcPr>
            <w:tcW w:w="1652" w:type="dxa"/>
            <w:shd w:val="clear" w:color="auto" w:fill="auto"/>
            <w:noWrap/>
            <w:vAlign w:val="bottom"/>
          </w:tcPr>
          <w:p w14:paraId="26904D41" w14:textId="77777777" w:rsidR="00203B93" w:rsidRPr="005745C3" w:rsidRDefault="004B4A98" w:rsidP="00935441">
            <w:pPr>
              <w:jc w:val="center"/>
              <w:rPr>
                <w:color w:val="000000" w:themeColor="text1"/>
                <w:sz w:val="20"/>
                <w:szCs w:val="22"/>
              </w:rPr>
            </w:pPr>
            <w:r w:rsidRPr="005745C3">
              <w:rPr>
                <w:color w:val="000000" w:themeColor="text1"/>
                <w:sz w:val="20"/>
                <w:szCs w:val="22"/>
              </w:rPr>
              <w:t>2,766</w:t>
            </w:r>
          </w:p>
        </w:tc>
        <w:tc>
          <w:tcPr>
            <w:tcW w:w="1368" w:type="dxa"/>
            <w:shd w:val="clear" w:color="auto" w:fill="auto"/>
            <w:noWrap/>
            <w:vAlign w:val="bottom"/>
          </w:tcPr>
          <w:p w14:paraId="08F08897" w14:textId="77777777" w:rsidR="00203B93" w:rsidRPr="005745C3" w:rsidRDefault="004B4A98" w:rsidP="00935441">
            <w:pPr>
              <w:jc w:val="center"/>
              <w:rPr>
                <w:color w:val="000000" w:themeColor="text1"/>
                <w:sz w:val="20"/>
                <w:szCs w:val="22"/>
              </w:rPr>
            </w:pPr>
            <w:r w:rsidRPr="005745C3">
              <w:rPr>
                <w:color w:val="000000" w:themeColor="text1"/>
                <w:sz w:val="20"/>
                <w:szCs w:val="22"/>
              </w:rPr>
              <w:t>8,320</w:t>
            </w:r>
          </w:p>
        </w:tc>
      </w:tr>
    </w:tbl>
    <w:p w14:paraId="45062D6F" w14:textId="77777777" w:rsidR="00882206" w:rsidRDefault="00882206" w:rsidP="00A115EF"/>
    <w:p w14:paraId="1909C894" w14:textId="77777777" w:rsidR="00485115" w:rsidRDefault="003C03C2" w:rsidP="00A115EF">
      <w:r>
        <w:t>MH</w:t>
      </w:r>
      <w:r w:rsidR="00485115">
        <w:t xml:space="preserve"> </w:t>
      </w:r>
      <w:r w:rsidR="00882206">
        <w:t xml:space="preserve">parking </w:t>
      </w:r>
      <w:r w:rsidR="00485115">
        <w:t>garage fixture with 200W Lamp</w:t>
      </w:r>
    </w:p>
    <w:p w14:paraId="276093A9" w14:textId="77777777" w:rsidR="00485115" w:rsidRDefault="00485115" w:rsidP="00882206">
      <w:pPr>
        <w:pStyle w:val="ListParagraph"/>
        <w:numPr>
          <w:ilvl w:val="0"/>
          <w:numId w:val="5"/>
        </w:numPr>
        <w:spacing w:before="60"/>
      </w:pPr>
      <w:r>
        <w:t xml:space="preserve">Typical 20,000 initial lamp lumens, limited by Title 24 to 222 system Watts [90% efficiency per section </w:t>
      </w:r>
      <w:r w:rsidRPr="00485115">
        <w:t>1605.3(n)(1)(B)</w:t>
      </w:r>
      <w:r>
        <w:t>]</w:t>
      </w:r>
    </w:p>
    <w:p w14:paraId="3F0D6F38" w14:textId="77777777" w:rsidR="003136E1" w:rsidRDefault="00485115" w:rsidP="00765CF3">
      <w:pPr>
        <w:pStyle w:val="ListParagraph"/>
        <w:numPr>
          <w:ilvl w:val="0"/>
          <w:numId w:val="5"/>
        </w:numPr>
      </w:pPr>
      <w:r>
        <w:t>73</w:t>
      </w:r>
      <w:r w:rsidR="5B621C54">
        <w:t xml:space="preserve">% fixture efficiency means that </w:t>
      </w:r>
      <w:r>
        <w:t>14,690</w:t>
      </w:r>
      <w:r w:rsidR="5B621C54">
        <w:t xml:space="preserve"> lumens will exit the fixtur</w:t>
      </w:r>
      <w:r>
        <w:t>e</w:t>
      </w:r>
    </w:p>
    <w:p w14:paraId="0170935C" w14:textId="77777777" w:rsidR="005F44B1" w:rsidRDefault="00485115" w:rsidP="00765CF3">
      <w:pPr>
        <w:pStyle w:val="ListParagraph"/>
        <w:numPr>
          <w:ilvl w:val="0"/>
          <w:numId w:val="5"/>
        </w:numPr>
      </w:pPr>
      <w:r>
        <w:t>23</w:t>
      </w:r>
      <w:r w:rsidR="5B621C54">
        <w:t xml:space="preserve">% </w:t>
      </w:r>
      <w:r>
        <w:t xml:space="preserve">zonal </w:t>
      </w:r>
      <w:r w:rsidR="5B621C54">
        <w:t xml:space="preserve">lumens means that </w:t>
      </w:r>
      <w:r>
        <w:t>3,420</w:t>
      </w:r>
      <w:r w:rsidR="5B621C54">
        <w:t xml:space="preserve"> lumens </w:t>
      </w:r>
      <w:r>
        <w:t>are emitted between 60 and 80 degrees to illuminate the portions of the garage floor at the outer edge of the area under that fixture</w:t>
      </w:r>
    </w:p>
    <w:p w14:paraId="56D1E5FF" w14:textId="77777777" w:rsidR="005F44B1" w:rsidRDefault="5B621C54" w:rsidP="00765CF3">
      <w:pPr>
        <w:pStyle w:val="ListParagraph"/>
        <w:numPr>
          <w:ilvl w:val="0"/>
          <w:numId w:val="5"/>
        </w:numPr>
      </w:pPr>
      <w:r>
        <w:t xml:space="preserve">58% lamp depreciation means that </w:t>
      </w:r>
      <w:r w:rsidR="00485115">
        <w:t>1,984</w:t>
      </w:r>
      <w:r>
        <w:t xml:space="preserve"> lumens will remain at end-of-life.</w:t>
      </w:r>
    </w:p>
    <w:p w14:paraId="4D713C9B" w14:textId="77777777" w:rsidR="005F44B1" w:rsidRDefault="00485115" w:rsidP="00765CF3">
      <w:pPr>
        <w:pStyle w:val="ListParagraph"/>
        <w:numPr>
          <w:ilvl w:val="0"/>
          <w:numId w:val="5"/>
        </w:numPr>
      </w:pPr>
      <w:r>
        <w:t>1,984</w:t>
      </w:r>
      <w:r w:rsidR="5B621C54">
        <w:t xml:space="preserve"> is also the number of </w:t>
      </w:r>
      <w:r>
        <w:t xml:space="preserve">zonal </w:t>
      </w:r>
      <w:r w:rsidR="5B621C54">
        <w:t>lumens that are assumed for the end-of-life LED fixture</w:t>
      </w:r>
    </w:p>
    <w:p w14:paraId="0C2EEADE" w14:textId="77777777" w:rsidR="005F44B1" w:rsidRDefault="5B621C54" w:rsidP="00765CF3">
      <w:pPr>
        <w:pStyle w:val="ListParagraph"/>
        <w:numPr>
          <w:ilvl w:val="0"/>
          <w:numId w:val="5"/>
        </w:numPr>
      </w:pPr>
      <w:r>
        <w:t xml:space="preserve">At </w:t>
      </w:r>
      <w:r w:rsidR="00485115">
        <w:t>8</w:t>
      </w:r>
      <w:r>
        <w:t>0</w:t>
      </w:r>
      <w:r w:rsidR="00485115">
        <w:t>.3</w:t>
      </w:r>
      <w:r>
        <w:t xml:space="preserve">% lumen maintenance at end-of-life, the initial </w:t>
      </w:r>
      <w:r w:rsidR="00485115">
        <w:t xml:space="preserve">zonal </w:t>
      </w:r>
      <w:r>
        <w:t>lumen output is assumed to be 2,271</w:t>
      </w:r>
    </w:p>
    <w:p w14:paraId="7EF4F0FB" w14:textId="77777777" w:rsidR="00F62ED8" w:rsidRDefault="00485115" w:rsidP="00765CF3">
      <w:pPr>
        <w:pStyle w:val="ListParagraph"/>
        <w:numPr>
          <w:ilvl w:val="0"/>
          <w:numId w:val="5"/>
        </w:numPr>
      </w:pPr>
      <w:r>
        <w:t xml:space="preserve">33% LED zonal lumens means that </w:t>
      </w:r>
      <w:r w:rsidR="5B621C54">
        <w:t xml:space="preserve">the initial fixture light output is assumed to be </w:t>
      </w:r>
      <w:r>
        <w:t>7,428</w:t>
      </w:r>
      <w:r w:rsidR="5B621C54">
        <w:t>.</w:t>
      </w:r>
    </w:p>
    <w:p w14:paraId="15CDBF14" w14:textId="77777777" w:rsidR="00882206" w:rsidRDefault="00485115" w:rsidP="00882206">
      <w:pPr>
        <w:pStyle w:val="ListParagraph"/>
      </w:pPr>
      <w:r>
        <w:t xml:space="preserve">7,428 is the closest </w:t>
      </w:r>
      <w:r w:rsidR="00C17F1E">
        <w:t xml:space="preserve">MH-equivalent LED </w:t>
      </w:r>
      <w:r>
        <w:t xml:space="preserve">light output to </w:t>
      </w:r>
      <w:r w:rsidR="00C17F1E">
        <w:t>the 8,000 lumen fixture in our</w:t>
      </w:r>
      <w:r w:rsidR="00CE43AA">
        <w:t xml:space="preserve"> example.</w:t>
      </w:r>
    </w:p>
    <w:p w14:paraId="11281957" w14:textId="77777777" w:rsidR="00882206" w:rsidRDefault="00882206" w:rsidP="00882206">
      <w:pPr>
        <w:pStyle w:val="ListParagraph"/>
        <w:spacing w:line="120" w:lineRule="auto"/>
      </w:pPr>
    </w:p>
    <w:p w14:paraId="4A60E57D" w14:textId="77777777" w:rsidR="00C17F1E" w:rsidRDefault="00CE43AA" w:rsidP="00882206">
      <w:pPr>
        <w:pStyle w:val="ListParagraph"/>
        <w:ind w:left="0"/>
      </w:pPr>
      <w:r>
        <w:t>The t</w:t>
      </w:r>
      <w:r w:rsidR="00C17F1E">
        <w:t>ables</w:t>
      </w:r>
      <w:r>
        <w:t xml:space="preserve"> </w:t>
      </w:r>
      <w:r w:rsidR="00882206">
        <w:t>b</w:t>
      </w:r>
      <w:r w:rsidR="00C17F1E">
        <w:t>elow compare actual and deemed measure performance for this fixture. Note that the measure deemed lumens are the midpoint of the lumen bin, so actual lumens may fall slightly above or below. The size of the lumen bins is much smaller than in the previous workpaper version, increasing the accuracy of these deemed values.  The measure deemed efficacy of 120 lm/W is always less than or equal to the efficacy of the actual product, ensuring a conservative savings estimate.</w:t>
      </w:r>
    </w:p>
    <w:p w14:paraId="0250BFCF" w14:textId="419C43B5" w:rsidR="00C27E60" w:rsidRDefault="00C27E60" w:rsidP="0080035A">
      <w:pPr>
        <w:pStyle w:val="Caption"/>
        <w:keepNext/>
        <w:spacing w:before="120"/>
        <w:jc w:val="center"/>
      </w:pPr>
      <w:bookmarkStart w:id="105" w:name="_Toc511134175"/>
      <w:bookmarkStart w:id="106" w:name="_Toc2803240"/>
      <w:r>
        <w:t xml:space="preserve">Table </w:t>
      </w:r>
      <w:fldSimple w:instr=" SEQ Table \* ARABIC ">
        <w:r w:rsidR="00491759">
          <w:rPr>
            <w:noProof/>
          </w:rPr>
          <w:t>17</w:t>
        </w:r>
      </w:fldSimple>
      <w:r w:rsidR="005745C3">
        <w:rPr>
          <w:noProof/>
        </w:rPr>
        <w:t>:</w:t>
      </w:r>
      <w:r>
        <w:t xml:space="preserve"> </w:t>
      </w:r>
      <w:bookmarkEnd w:id="105"/>
      <w:r w:rsidR="00B66EC3">
        <w:t>Measure Performance Actual vs. Deemed</w:t>
      </w:r>
      <w:bookmarkEnd w:id="106"/>
    </w:p>
    <w:tbl>
      <w:tblPr>
        <w:tblW w:w="3707" w:type="pct"/>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4A0" w:firstRow="1" w:lastRow="0" w:firstColumn="1" w:lastColumn="0" w:noHBand="0" w:noVBand="1"/>
      </w:tblPr>
      <w:tblGrid>
        <w:gridCol w:w="1698"/>
        <w:gridCol w:w="1817"/>
        <w:gridCol w:w="1948"/>
        <w:gridCol w:w="1904"/>
      </w:tblGrid>
      <w:tr w:rsidR="00B66EC3" w14:paraId="3F5100BC" w14:textId="77777777" w:rsidTr="0080035A">
        <w:trPr>
          <w:trHeight w:val="295"/>
          <w:jc w:val="center"/>
        </w:trPr>
        <w:tc>
          <w:tcPr>
            <w:tcW w:w="1153" w:type="pct"/>
          </w:tcPr>
          <w:p w14:paraId="6EDB220B" w14:textId="77777777" w:rsidR="00B66EC3" w:rsidRPr="005745C3" w:rsidDel="00B66EC3" w:rsidRDefault="00B66EC3" w:rsidP="5B621C54">
            <w:pPr>
              <w:jc w:val="center"/>
              <w:rPr>
                <w:b/>
                <w:bCs/>
                <w:color w:val="000000" w:themeColor="text1"/>
                <w:sz w:val="20"/>
                <w:szCs w:val="22"/>
              </w:rPr>
            </w:pPr>
          </w:p>
        </w:tc>
        <w:tc>
          <w:tcPr>
            <w:tcW w:w="1233" w:type="pct"/>
            <w:shd w:val="clear" w:color="auto" w:fill="auto"/>
            <w:vAlign w:val="bottom"/>
            <w:hideMark/>
          </w:tcPr>
          <w:p w14:paraId="67B5E287" w14:textId="77777777" w:rsidR="00B66EC3" w:rsidRPr="005745C3" w:rsidRDefault="00B66EC3" w:rsidP="5B621C54">
            <w:pPr>
              <w:jc w:val="center"/>
              <w:rPr>
                <w:b/>
                <w:bCs/>
                <w:color w:val="000000"/>
                <w:sz w:val="20"/>
                <w:szCs w:val="22"/>
              </w:rPr>
            </w:pPr>
            <w:r w:rsidRPr="005745C3">
              <w:rPr>
                <w:b/>
                <w:bCs/>
                <w:color w:val="000000" w:themeColor="text1"/>
                <w:sz w:val="20"/>
                <w:szCs w:val="22"/>
              </w:rPr>
              <w:t>Measure Lumens</w:t>
            </w:r>
          </w:p>
        </w:tc>
        <w:tc>
          <w:tcPr>
            <w:tcW w:w="1322" w:type="pct"/>
            <w:shd w:val="clear" w:color="auto" w:fill="auto"/>
            <w:vAlign w:val="bottom"/>
            <w:hideMark/>
          </w:tcPr>
          <w:p w14:paraId="47C0406A" w14:textId="77777777" w:rsidR="00B66EC3" w:rsidRPr="005745C3" w:rsidRDefault="00B66EC3" w:rsidP="5B621C54">
            <w:pPr>
              <w:jc w:val="center"/>
              <w:rPr>
                <w:b/>
                <w:bCs/>
                <w:color w:val="000000"/>
                <w:sz w:val="20"/>
                <w:szCs w:val="22"/>
              </w:rPr>
            </w:pPr>
            <w:r w:rsidRPr="005745C3">
              <w:rPr>
                <w:b/>
                <w:bCs/>
                <w:color w:val="000000" w:themeColor="text1"/>
                <w:sz w:val="20"/>
                <w:szCs w:val="22"/>
              </w:rPr>
              <w:t>Measure Efficacy</w:t>
            </w:r>
          </w:p>
        </w:tc>
        <w:tc>
          <w:tcPr>
            <w:tcW w:w="1292" w:type="pct"/>
            <w:shd w:val="clear" w:color="auto" w:fill="auto"/>
            <w:vAlign w:val="bottom"/>
            <w:hideMark/>
          </w:tcPr>
          <w:p w14:paraId="35740783" w14:textId="77777777" w:rsidR="00B66EC3" w:rsidRPr="005745C3" w:rsidRDefault="00B66EC3" w:rsidP="5B621C54">
            <w:pPr>
              <w:jc w:val="center"/>
              <w:rPr>
                <w:b/>
                <w:bCs/>
                <w:color w:val="000000"/>
                <w:sz w:val="20"/>
                <w:szCs w:val="22"/>
              </w:rPr>
            </w:pPr>
            <w:r w:rsidRPr="005745C3">
              <w:rPr>
                <w:b/>
                <w:bCs/>
                <w:color w:val="000000" w:themeColor="text1"/>
                <w:sz w:val="20"/>
                <w:szCs w:val="22"/>
              </w:rPr>
              <w:t>Measure Watt</w:t>
            </w:r>
          </w:p>
        </w:tc>
      </w:tr>
      <w:tr w:rsidR="00B66EC3" w14:paraId="4A7FD3F3" w14:textId="77777777" w:rsidTr="0080035A">
        <w:trPr>
          <w:trHeight w:val="288"/>
          <w:jc w:val="center"/>
        </w:trPr>
        <w:tc>
          <w:tcPr>
            <w:tcW w:w="1153" w:type="pct"/>
          </w:tcPr>
          <w:p w14:paraId="21960577" w14:textId="77777777" w:rsidR="00B66EC3" w:rsidRPr="005745C3" w:rsidRDefault="00B66EC3" w:rsidP="00935441">
            <w:pPr>
              <w:jc w:val="center"/>
              <w:rPr>
                <w:color w:val="000000" w:themeColor="text1"/>
                <w:sz w:val="20"/>
                <w:szCs w:val="22"/>
              </w:rPr>
            </w:pPr>
            <w:r w:rsidRPr="005745C3">
              <w:rPr>
                <w:color w:val="000000" w:themeColor="text1"/>
                <w:sz w:val="20"/>
                <w:szCs w:val="22"/>
              </w:rPr>
              <w:t>Actual Value</w:t>
            </w:r>
          </w:p>
        </w:tc>
        <w:tc>
          <w:tcPr>
            <w:tcW w:w="1233" w:type="pct"/>
            <w:shd w:val="clear" w:color="auto" w:fill="auto"/>
            <w:noWrap/>
            <w:vAlign w:val="bottom"/>
            <w:hideMark/>
          </w:tcPr>
          <w:p w14:paraId="135C5F8E" w14:textId="77777777" w:rsidR="00B66EC3" w:rsidRPr="005745C3" w:rsidRDefault="00B66EC3" w:rsidP="00DB5BEE">
            <w:pPr>
              <w:spacing w:after="20"/>
              <w:jc w:val="center"/>
              <w:rPr>
                <w:color w:val="000000"/>
                <w:sz w:val="20"/>
                <w:szCs w:val="22"/>
              </w:rPr>
            </w:pPr>
            <w:r w:rsidRPr="005745C3">
              <w:rPr>
                <w:color w:val="000000" w:themeColor="text1"/>
                <w:sz w:val="20"/>
                <w:szCs w:val="22"/>
              </w:rPr>
              <w:t>8,000</w:t>
            </w:r>
          </w:p>
        </w:tc>
        <w:tc>
          <w:tcPr>
            <w:tcW w:w="1322" w:type="pct"/>
            <w:shd w:val="clear" w:color="auto" w:fill="auto"/>
            <w:noWrap/>
            <w:vAlign w:val="bottom"/>
            <w:hideMark/>
          </w:tcPr>
          <w:p w14:paraId="59CA7C56" w14:textId="77777777" w:rsidR="00B66EC3" w:rsidRPr="005745C3" w:rsidRDefault="00B66EC3" w:rsidP="00DB5BEE">
            <w:pPr>
              <w:spacing w:after="20"/>
              <w:jc w:val="center"/>
              <w:rPr>
                <w:color w:val="000000"/>
                <w:sz w:val="20"/>
                <w:szCs w:val="22"/>
              </w:rPr>
            </w:pPr>
            <w:r w:rsidRPr="005745C3">
              <w:rPr>
                <w:color w:val="000000" w:themeColor="text1"/>
                <w:sz w:val="20"/>
                <w:szCs w:val="22"/>
              </w:rPr>
              <w:t>125</w:t>
            </w:r>
          </w:p>
        </w:tc>
        <w:tc>
          <w:tcPr>
            <w:tcW w:w="1292" w:type="pct"/>
            <w:shd w:val="clear" w:color="auto" w:fill="auto"/>
            <w:noWrap/>
            <w:vAlign w:val="bottom"/>
            <w:hideMark/>
          </w:tcPr>
          <w:p w14:paraId="4810E075" w14:textId="77777777" w:rsidR="00B66EC3" w:rsidRPr="005745C3" w:rsidRDefault="00B66EC3" w:rsidP="00DB5BEE">
            <w:pPr>
              <w:spacing w:after="20"/>
              <w:jc w:val="center"/>
              <w:rPr>
                <w:color w:val="000000"/>
                <w:sz w:val="20"/>
                <w:szCs w:val="22"/>
              </w:rPr>
            </w:pPr>
            <w:r w:rsidRPr="005745C3">
              <w:rPr>
                <w:color w:val="000000" w:themeColor="text1"/>
                <w:sz w:val="20"/>
                <w:szCs w:val="22"/>
              </w:rPr>
              <w:t>64</w:t>
            </w:r>
          </w:p>
        </w:tc>
      </w:tr>
      <w:tr w:rsidR="00B66EC3" w14:paraId="0E0AEBA4" w14:textId="77777777" w:rsidTr="0080035A">
        <w:trPr>
          <w:trHeight w:val="288"/>
          <w:jc w:val="center"/>
        </w:trPr>
        <w:tc>
          <w:tcPr>
            <w:tcW w:w="1153" w:type="pct"/>
          </w:tcPr>
          <w:p w14:paraId="24F2FD40" w14:textId="77777777" w:rsidR="00B66EC3" w:rsidRPr="005745C3" w:rsidRDefault="00B66EC3" w:rsidP="00935441">
            <w:pPr>
              <w:jc w:val="center"/>
              <w:rPr>
                <w:color w:val="000000" w:themeColor="text1"/>
                <w:sz w:val="20"/>
                <w:szCs w:val="22"/>
              </w:rPr>
            </w:pPr>
            <w:r w:rsidRPr="005745C3">
              <w:rPr>
                <w:color w:val="000000" w:themeColor="text1"/>
                <w:sz w:val="20"/>
                <w:szCs w:val="22"/>
              </w:rPr>
              <w:t>Deemed Value</w:t>
            </w:r>
          </w:p>
        </w:tc>
        <w:tc>
          <w:tcPr>
            <w:tcW w:w="1233" w:type="pct"/>
            <w:shd w:val="clear" w:color="auto" w:fill="auto"/>
            <w:noWrap/>
            <w:vAlign w:val="bottom"/>
          </w:tcPr>
          <w:p w14:paraId="18EA5047" w14:textId="77777777" w:rsidR="00B66EC3" w:rsidRPr="005745C3" w:rsidRDefault="00B66EC3" w:rsidP="00DB5BEE">
            <w:pPr>
              <w:spacing w:after="20"/>
              <w:jc w:val="center"/>
              <w:rPr>
                <w:color w:val="000000" w:themeColor="text1"/>
                <w:sz w:val="20"/>
                <w:szCs w:val="22"/>
              </w:rPr>
            </w:pPr>
            <w:r w:rsidRPr="005745C3">
              <w:rPr>
                <w:color w:val="000000" w:themeColor="text1"/>
                <w:sz w:val="20"/>
                <w:szCs w:val="22"/>
              </w:rPr>
              <w:t>7,901</w:t>
            </w:r>
          </w:p>
        </w:tc>
        <w:tc>
          <w:tcPr>
            <w:tcW w:w="1322" w:type="pct"/>
            <w:shd w:val="clear" w:color="auto" w:fill="auto"/>
            <w:noWrap/>
            <w:vAlign w:val="bottom"/>
          </w:tcPr>
          <w:p w14:paraId="701666F7" w14:textId="77777777" w:rsidR="00B66EC3" w:rsidRPr="005745C3" w:rsidRDefault="00B66EC3" w:rsidP="00DB5BEE">
            <w:pPr>
              <w:spacing w:after="20"/>
              <w:jc w:val="center"/>
              <w:rPr>
                <w:color w:val="000000" w:themeColor="text1"/>
                <w:sz w:val="20"/>
                <w:szCs w:val="22"/>
              </w:rPr>
            </w:pPr>
            <w:r w:rsidRPr="005745C3">
              <w:rPr>
                <w:color w:val="000000" w:themeColor="text1"/>
                <w:sz w:val="20"/>
                <w:szCs w:val="22"/>
              </w:rPr>
              <w:t>120</w:t>
            </w:r>
          </w:p>
        </w:tc>
        <w:tc>
          <w:tcPr>
            <w:tcW w:w="1292" w:type="pct"/>
            <w:shd w:val="clear" w:color="auto" w:fill="auto"/>
            <w:noWrap/>
            <w:vAlign w:val="bottom"/>
          </w:tcPr>
          <w:p w14:paraId="26791442" w14:textId="77777777" w:rsidR="00B66EC3" w:rsidRPr="005745C3" w:rsidRDefault="00B66EC3" w:rsidP="00DB5BEE">
            <w:pPr>
              <w:spacing w:after="20"/>
              <w:jc w:val="center"/>
              <w:rPr>
                <w:color w:val="000000" w:themeColor="text1"/>
                <w:sz w:val="20"/>
                <w:szCs w:val="22"/>
              </w:rPr>
            </w:pPr>
            <w:r w:rsidRPr="005745C3">
              <w:rPr>
                <w:color w:val="000000" w:themeColor="text1"/>
                <w:sz w:val="20"/>
                <w:szCs w:val="22"/>
              </w:rPr>
              <w:t>66</w:t>
            </w:r>
          </w:p>
        </w:tc>
      </w:tr>
    </w:tbl>
    <w:p w14:paraId="53FEA6E1" w14:textId="77777777" w:rsidR="00C17F1E" w:rsidRDefault="00C17F1E" w:rsidP="00C17F1E"/>
    <w:p w14:paraId="6B54D755" w14:textId="77777777" w:rsidR="00C27E60" w:rsidRDefault="00C17F1E" w:rsidP="00C17F1E">
      <w:r>
        <w:t xml:space="preserve">The Delta Watts table below shows the blending of 4 base case fixture types to create a </w:t>
      </w:r>
      <w:r w:rsidR="001A65D2">
        <w:t xml:space="preserve">weighted average </w:t>
      </w:r>
      <w:r>
        <w:t xml:space="preserve">base case wattage and </w:t>
      </w:r>
      <w:r w:rsidR="001A65D2">
        <w:t xml:space="preserve">calculate the </w:t>
      </w:r>
      <w:r>
        <w:t>Delta Watts for our example fixture.</w:t>
      </w:r>
    </w:p>
    <w:p w14:paraId="30D5D0AA" w14:textId="77777777" w:rsidR="00C17F1E" w:rsidRDefault="00C17F1E" w:rsidP="00B66EC3">
      <w:pPr>
        <w:pStyle w:val="Caption"/>
        <w:keepNext/>
        <w:jc w:val="center"/>
      </w:pPr>
    </w:p>
    <w:p w14:paraId="15B2DC1B" w14:textId="22DE3E9D" w:rsidR="00B66EC3" w:rsidRDefault="00B66EC3" w:rsidP="00B66EC3">
      <w:pPr>
        <w:pStyle w:val="Caption"/>
        <w:keepNext/>
        <w:jc w:val="center"/>
      </w:pPr>
      <w:bookmarkStart w:id="107" w:name="_Toc2803241"/>
      <w:r>
        <w:t xml:space="preserve">Table </w:t>
      </w:r>
      <w:fldSimple w:instr=" SEQ Table \* ARABIC ">
        <w:r w:rsidR="00491759">
          <w:rPr>
            <w:noProof/>
          </w:rPr>
          <w:t>18</w:t>
        </w:r>
      </w:fldSimple>
      <w:r w:rsidR="005745C3">
        <w:rPr>
          <w:noProof/>
        </w:rPr>
        <w:t>:</w:t>
      </w:r>
      <w:r>
        <w:t xml:space="preserve"> Delta Watts for 8000 lm Garage Fixture</w:t>
      </w:r>
      <w:bookmarkEnd w:id="107"/>
    </w:p>
    <w:tbl>
      <w:tblPr>
        <w:tblW w:w="4658" w:type="pct"/>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4A0" w:firstRow="1" w:lastRow="0" w:firstColumn="1" w:lastColumn="0" w:noHBand="0" w:noVBand="1"/>
      </w:tblPr>
      <w:tblGrid>
        <w:gridCol w:w="2476"/>
        <w:gridCol w:w="1697"/>
        <w:gridCol w:w="1696"/>
        <w:gridCol w:w="2049"/>
        <w:gridCol w:w="1338"/>
      </w:tblGrid>
      <w:tr w:rsidR="00771520" w14:paraId="3F7FED8A" w14:textId="77777777" w:rsidTr="00D967BC">
        <w:trPr>
          <w:trHeight w:val="295"/>
          <w:jc w:val="center"/>
        </w:trPr>
        <w:tc>
          <w:tcPr>
            <w:tcW w:w="1337" w:type="pct"/>
          </w:tcPr>
          <w:p w14:paraId="09B2C331" w14:textId="77777777" w:rsidR="00771520" w:rsidRPr="005745C3" w:rsidDel="00B66EC3" w:rsidRDefault="00771520" w:rsidP="00771520">
            <w:pPr>
              <w:jc w:val="center"/>
              <w:rPr>
                <w:b/>
                <w:bCs/>
                <w:color w:val="000000" w:themeColor="text1"/>
                <w:sz w:val="20"/>
                <w:szCs w:val="22"/>
              </w:rPr>
            </w:pPr>
          </w:p>
        </w:tc>
        <w:tc>
          <w:tcPr>
            <w:tcW w:w="916" w:type="pct"/>
            <w:vAlign w:val="center"/>
          </w:tcPr>
          <w:p w14:paraId="29F6D7F0" w14:textId="77777777" w:rsidR="00771520" w:rsidRPr="005745C3" w:rsidRDefault="00D967BC" w:rsidP="00771520">
            <w:pPr>
              <w:jc w:val="center"/>
              <w:rPr>
                <w:b/>
                <w:bCs/>
                <w:color w:val="000000" w:themeColor="text1"/>
                <w:sz w:val="20"/>
                <w:szCs w:val="22"/>
              </w:rPr>
            </w:pPr>
            <w:r w:rsidRPr="005745C3">
              <w:rPr>
                <w:b/>
                <w:bCs/>
                <w:color w:val="000000" w:themeColor="text1"/>
                <w:sz w:val="20"/>
                <w:szCs w:val="22"/>
              </w:rPr>
              <w:t xml:space="preserve">% in Base Case </w:t>
            </w:r>
            <w:r w:rsidR="00771520" w:rsidRPr="005745C3">
              <w:rPr>
                <w:b/>
                <w:bCs/>
                <w:color w:val="000000" w:themeColor="text1"/>
                <w:sz w:val="20"/>
                <w:szCs w:val="22"/>
              </w:rPr>
              <w:t xml:space="preserve">Blend </w:t>
            </w:r>
          </w:p>
        </w:tc>
        <w:tc>
          <w:tcPr>
            <w:tcW w:w="916" w:type="pct"/>
            <w:shd w:val="clear" w:color="auto" w:fill="auto"/>
            <w:vAlign w:val="center"/>
            <w:hideMark/>
          </w:tcPr>
          <w:p w14:paraId="7DC6E14F" w14:textId="77777777" w:rsidR="00771520" w:rsidRPr="005745C3" w:rsidRDefault="00771520" w:rsidP="00771520">
            <w:pPr>
              <w:jc w:val="center"/>
              <w:rPr>
                <w:b/>
                <w:bCs/>
                <w:color w:val="000000"/>
                <w:sz w:val="20"/>
                <w:szCs w:val="22"/>
              </w:rPr>
            </w:pPr>
            <w:r w:rsidRPr="005745C3">
              <w:rPr>
                <w:b/>
                <w:bCs/>
                <w:color w:val="000000" w:themeColor="text1"/>
                <w:sz w:val="20"/>
                <w:szCs w:val="22"/>
              </w:rPr>
              <w:t>Wattage</w:t>
            </w:r>
          </w:p>
        </w:tc>
        <w:tc>
          <w:tcPr>
            <w:tcW w:w="1107" w:type="pct"/>
            <w:vAlign w:val="center"/>
          </w:tcPr>
          <w:p w14:paraId="51BE8CB5" w14:textId="77777777" w:rsidR="00771520" w:rsidRPr="005745C3" w:rsidRDefault="00771520" w:rsidP="00771520">
            <w:pPr>
              <w:jc w:val="center"/>
              <w:rPr>
                <w:b/>
                <w:bCs/>
                <w:color w:val="000000" w:themeColor="text1"/>
                <w:sz w:val="20"/>
                <w:szCs w:val="22"/>
              </w:rPr>
            </w:pPr>
            <w:r w:rsidRPr="005745C3">
              <w:rPr>
                <w:b/>
                <w:bCs/>
                <w:color w:val="000000" w:themeColor="text1"/>
                <w:sz w:val="20"/>
                <w:szCs w:val="22"/>
              </w:rPr>
              <w:t>Efficacy</w:t>
            </w:r>
          </w:p>
          <w:p w14:paraId="1628E315" w14:textId="77777777" w:rsidR="00771520" w:rsidRPr="005745C3" w:rsidRDefault="00771520" w:rsidP="00771520">
            <w:pPr>
              <w:jc w:val="center"/>
              <w:rPr>
                <w:b/>
                <w:bCs/>
                <w:color w:val="000000" w:themeColor="text1"/>
                <w:sz w:val="20"/>
                <w:szCs w:val="22"/>
              </w:rPr>
            </w:pPr>
            <w:r w:rsidRPr="005745C3">
              <w:rPr>
                <w:b/>
                <w:bCs/>
                <w:color w:val="000000" w:themeColor="text1"/>
                <w:sz w:val="20"/>
                <w:szCs w:val="22"/>
              </w:rPr>
              <w:t>(fixture lm/W)</w:t>
            </w:r>
          </w:p>
        </w:tc>
        <w:tc>
          <w:tcPr>
            <w:tcW w:w="723" w:type="pct"/>
            <w:shd w:val="clear" w:color="auto" w:fill="auto"/>
            <w:vAlign w:val="center"/>
            <w:hideMark/>
          </w:tcPr>
          <w:p w14:paraId="399C629D" w14:textId="77777777" w:rsidR="00771520" w:rsidRPr="005745C3" w:rsidRDefault="00771520" w:rsidP="00771520">
            <w:pPr>
              <w:jc w:val="center"/>
              <w:rPr>
                <w:b/>
                <w:bCs/>
                <w:color w:val="000000"/>
                <w:sz w:val="20"/>
                <w:szCs w:val="22"/>
              </w:rPr>
            </w:pPr>
            <w:r w:rsidRPr="005745C3">
              <w:rPr>
                <w:b/>
                <w:bCs/>
                <w:color w:val="000000" w:themeColor="text1"/>
                <w:sz w:val="20"/>
                <w:szCs w:val="22"/>
              </w:rPr>
              <w:t>Delta Watts</w:t>
            </w:r>
          </w:p>
        </w:tc>
      </w:tr>
      <w:tr w:rsidR="00771520" w14:paraId="1D1AECA1" w14:textId="77777777" w:rsidTr="00D967BC">
        <w:trPr>
          <w:trHeight w:val="288"/>
          <w:jc w:val="center"/>
        </w:trPr>
        <w:tc>
          <w:tcPr>
            <w:tcW w:w="1337" w:type="pct"/>
          </w:tcPr>
          <w:p w14:paraId="29C88C12" w14:textId="77777777" w:rsidR="00771520" w:rsidRPr="005745C3" w:rsidRDefault="00771520" w:rsidP="00771520">
            <w:pPr>
              <w:jc w:val="center"/>
              <w:rPr>
                <w:color w:val="000000" w:themeColor="text1"/>
                <w:sz w:val="20"/>
                <w:szCs w:val="22"/>
              </w:rPr>
            </w:pPr>
            <w:r w:rsidRPr="005745C3">
              <w:rPr>
                <w:color w:val="000000" w:themeColor="text1"/>
                <w:sz w:val="20"/>
                <w:szCs w:val="22"/>
              </w:rPr>
              <w:t xml:space="preserve">Deemed Measure </w:t>
            </w:r>
          </w:p>
        </w:tc>
        <w:tc>
          <w:tcPr>
            <w:tcW w:w="916" w:type="pct"/>
            <w:shd w:val="clear" w:color="auto" w:fill="BFBFBF" w:themeFill="background1" w:themeFillShade="BF"/>
          </w:tcPr>
          <w:p w14:paraId="0DB24637" w14:textId="77777777" w:rsidR="00771520" w:rsidRPr="005745C3" w:rsidRDefault="00771520" w:rsidP="00771520">
            <w:pPr>
              <w:jc w:val="center"/>
              <w:rPr>
                <w:color w:val="000000" w:themeColor="text1"/>
                <w:sz w:val="20"/>
                <w:szCs w:val="22"/>
              </w:rPr>
            </w:pPr>
          </w:p>
        </w:tc>
        <w:tc>
          <w:tcPr>
            <w:tcW w:w="916" w:type="pct"/>
            <w:shd w:val="clear" w:color="auto" w:fill="auto"/>
            <w:noWrap/>
            <w:vAlign w:val="bottom"/>
            <w:hideMark/>
          </w:tcPr>
          <w:p w14:paraId="0B3C5DE3" w14:textId="77777777" w:rsidR="00771520" w:rsidRPr="005745C3" w:rsidRDefault="00771520" w:rsidP="00DB5BEE">
            <w:pPr>
              <w:spacing w:before="40" w:after="40"/>
              <w:jc w:val="center"/>
              <w:rPr>
                <w:color w:val="000000"/>
                <w:sz w:val="20"/>
                <w:szCs w:val="22"/>
              </w:rPr>
            </w:pPr>
            <w:r w:rsidRPr="005745C3">
              <w:rPr>
                <w:color w:val="000000"/>
                <w:sz w:val="20"/>
                <w:szCs w:val="22"/>
              </w:rPr>
              <w:t>66</w:t>
            </w:r>
          </w:p>
        </w:tc>
        <w:tc>
          <w:tcPr>
            <w:tcW w:w="1107" w:type="pct"/>
          </w:tcPr>
          <w:p w14:paraId="25EA7FE5" w14:textId="77777777" w:rsidR="00771520" w:rsidRPr="005745C3" w:rsidRDefault="00771520" w:rsidP="00DB5BEE">
            <w:pPr>
              <w:spacing w:before="40" w:after="40"/>
              <w:jc w:val="center"/>
              <w:rPr>
                <w:color w:val="000000"/>
                <w:sz w:val="20"/>
                <w:szCs w:val="22"/>
              </w:rPr>
            </w:pPr>
            <w:r w:rsidRPr="005745C3">
              <w:rPr>
                <w:color w:val="000000"/>
                <w:sz w:val="20"/>
                <w:szCs w:val="22"/>
              </w:rPr>
              <w:t>120</w:t>
            </w:r>
          </w:p>
        </w:tc>
        <w:tc>
          <w:tcPr>
            <w:tcW w:w="723" w:type="pct"/>
            <w:vMerge w:val="restart"/>
            <w:shd w:val="clear" w:color="auto" w:fill="auto"/>
            <w:noWrap/>
            <w:vAlign w:val="center"/>
            <w:hideMark/>
          </w:tcPr>
          <w:p w14:paraId="30393109" w14:textId="77777777" w:rsidR="00771520" w:rsidRPr="005745C3" w:rsidRDefault="00771520" w:rsidP="00595554">
            <w:pPr>
              <w:jc w:val="center"/>
              <w:rPr>
                <w:color w:val="000000"/>
                <w:sz w:val="20"/>
                <w:szCs w:val="22"/>
              </w:rPr>
            </w:pPr>
            <w:r w:rsidRPr="005745C3">
              <w:rPr>
                <w:color w:val="000000"/>
                <w:sz w:val="20"/>
                <w:szCs w:val="22"/>
              </w:rPr>
              <w:t>64</w:t>
            </w:r>
          </w:p>
        </w:tc>
      </w:tr>
      <w:tr w:rsidR="00771520" w14:paraId="5105A2D2" w14:textId="77777777" w:rsidTr="00D967BC">
        <w:trPr>
          <w:trHeight w:val="288"/>
          <w:jc w:val="center"/>
        </w:trPr>
        <w:tc>
          <w:tcPr>
            <w:tcW w:w="1337" w:type="pct"/>
          </w:tcPr>
          <w:p w14:paraId="2CF4A578" w14:textId="77777777" w:rsidR="00771520" w:rsidRPr="005745C3" w:rsidRDefault="00771520" w:rsidP="00771520">
            <w:pPr>
              <w:jc w:val="center"/>
              <w:rPr>
                <w:color w:val="000000" w:themeColor="text1"/>
                <w:sz w:val="20"/>
                <w:szCs w:val="22"/>
              </w:rPr>
            </w:pPr>
            <w:r w:rsidRPr="005745C3">
              <w:rPr>
                <w:color w:val="000000" w:themeColor="text1"/>
                <w:sz w:val="20"/>
                <w:szCs w:val="22"/>
              </w:rPr>
              <w:t>Deemed Base Case Blend</w:t>
            </w:r>
          </w:p>
        </w:tc>
        <w:tc>
          <w:tcPr>
            <w:tcW w:w="916" w:type="pct"/>
            <w:shd w:val="clear" w:color="auto" w:fill="BFBFBF" w:themeFill="background1" w:themeFillShade="BF"/>
          </w:tcPr>
          <w:p w14:paraId="407CC349" w14:textId="77777777" w:rsidR="00771520" w:rsidRPr="005745C3" w:rsidRDefault="00771520" w:rsidP="00771520">
            <w:pPr>
              <w:jc w:val="center"/>
              <w:rPr>
                <w:color w:val="000000" w:themeColor="text1"/>
                <w:sz w:val="20"/>
                <w:szCs w:val="22"/>
              </w:rPr>
            </w:pPr>
          </w:p>
        </w:tc>
        <w:tc>
          <w:tcPr>
            <w:tcW w:w="916" w:type="pct"/>
            <w:shd w:val="clear" w:color="auto" w:fill="auto"/>
            <w:noWrap/>
            <w:vAlign w:val="center"/>
          </w:tcPr>
          <w:p w14:paraId="0D5CA76E" w14:textId="77777777" w:rsidR="00771520" w:rsidRPr="005745C3" w:rsidRDefault="00771520" w:rsidP="00DB5BEE">
            <w:pPr>
              <w:spacing w:before="40" w:after="40"/>
              <w:jc w:val="center"/>
              <w:rPr>
                <w:color w:val="000000" w:themeColor="text1"/>
                <w:sz w:val="20"/>
                <w:szCs w:val="22"/>
              </w:rPr>
            </w:pPr>
            <w:r w:rsidRPr="005745C3">
              <w:rPr>
                <w:color w:val="000000" w:themeColor="text1"/>
                <w:sz w:val="20"/>
                <w:szCs w:val="22"/>
              </w:rPr>
              <w:t>130</w:t>
            </w:r>
          </w:p>
        </w:tc>
        <w:tc>
          <w:tcPr>
            <w:tcW w:w="1107" w:type="pct"/>
            <w:vAlign w:val="center"/>
          </w:tcPr>
          <w:p w14:paraId="368FED9F" w14:textId="77777777" w:rsidR="00771520" w:rsidRPr="005745C3" w:rsidRDefault="00485115" w:rsidP="00DB5BEE">
            <w:pPr>
              <w:spacing w:before="40" w:after="40"/>
              <w:jc w:val="center"/>
              <w:rPr>
                <w:color w:val="000000" w:themeColor="text1"/>
                <w:sz w:val="20"/>
                <w:szCs w:val="22"/>
              </w:rPr>
            </w:pPr>
            <w:r w:rsidRPr="005745C3">
              <w:rPr>
                <w:color w:val="000000" w:themeColor="text1"/>
                <w:sz w:val="20"/>
                <w:szCs w:val="22"/>
              </w:rPr>
              <w:t>78</w:t>
            </w:r>
          </w:p>
        </w:tc>
        <w:tc>
          <w:tcPr>
            <w:tcW w:w="723" w:type="pct"/>
            <w:vMerge/>
            <w:shd w:val="clear" w:color="auto" w:fill="auto"/>
            <w:noWrap/>
            <w:vAlign w:val="bottom"/>
          </w:tcPr>
          <w:p w14:paraId="4A9BAB40" w14:textId="77777777" w:rsidR="00771520" w:rsidRPr="5B621C54" w:rsidRDefault="00771520" w:rsidP="00771520">
            <w:pPr>
              <w:jc w:val="center"/>
              <w:rPr>
                <w:rFonts w:ascii="Calibri" w:hAnsi="Calibri" w:cs="Calibri"/>
                <w:color w:val="000000" w:themeColor="text1"/>
                <w:sz w:val="22"/>
                <w:szCs w:val="22"/>
              </w:rPr>
            </w:pPr>
          </w:p>
        </w:tc>
      </w:tr>
      <w:tr w:rsidR="00771520" w14:paraId="7CA7711A" w14:textId="77777777" w:rsidTr="00D967BC">
        <w:trPr>
          <w:trHeight w:val="288"/>
          <w:jc w:val="center"/>
        </w:trPr>
        <w:tc>
          <w:tcPr>
            <w:tcW w:w="1337" w:type="pct"/>
          </w:tcPr>
          <w:p w14:paraId="604433B2" w14:textId="77777777" w:rsidR="00771520" w:rsidRPr="005745C3" w:rsidRDefault="00771520" w:rsidP="00771520">
            <w:pPr>
              <w:jc w:val="center"/>
              <w:rPr>
                <w:color w:val="000000" w:themeColor="text1"/>
                <w:sz w:val="20"/>
                <w:szCs w:val="22"/>
              </w:rPr>
            </w:pPr>
            <w:r w:rsidRPr="005745C3">
              <w:rPr>
                <w:color w:val="000000" w:themeColor="text1"/>
                <w:sz w:val="20"/>
                <w:szCs w:val="22"/>
              </w:rPr>
              <w:t>LED Base Case</w:t>
            </w:r>
          </w:p>
        </w:tc>
        <w:tc>
          <w:tcPr>
            <w:tcW w:w="916" w:type="pct"/>
          </w:tcPr>
          <w:p w14:paraId="33801299" w14:textId="77777777" w:rsidR="00771520" w:rsidRPr="005745C3" w:rsidRDefault="00771520" w:rsidP="00DB5BEE">
            <w:pPr>
              <w:spacing w:before="40"/>
              <w:jc w:val="center"/>
              <w:rPr>
                <w:color w:val="000000" w:themeColor="text1"/>
                <w:sz w:val="20"/>
                <w:szCs w:val="22"/>
              </w:rPr>
            </w:pPr>
            <w:r w:rsidRPr="005745C3">
              <w:rPr>
                <w:color w:val="000000" w:themeColor="text1"/>
                <w:sz w:val="20"/>
                <w:szCs w:val="22"/>
              </w:rPr>
              <w:t>30%</w:t>
            </w:r>
          </w:p>
        </w:tc>
        <w:tc>
          <w:tcPr>
            <w:tcW w:w="916" w:type="pct"/>
            <w:shd w:val="clear" w:color="auto" w:fill="auto"/>
            <w:noWrap/>
            <w:vAlign w:val="bottom"/>
          </w:tcPr>
          <w:p w14:paraId="535656BD" w14:textId="77777777" w:rsidR="00771520" w:rsidRPr="005745C3" w:rsidRDefault="00771520" w:rsidP="00DB5BEE">
            <w:pPr>
              <w:spacing w:before="40" w:after="40"/>
              <w:jc w:val="center"/>
              <w:rPr>
                <w:color w:val="000000" w:themeColor="text1"/>
                <w:sz w:val="20"/>
                <w:szCs w:val="22"/>
              </w:rPr>
            </w:pPr>
            <w:r w:rsidRPr="005745C3">
              <w:rPr>
                <w:color w:val="000000" w:themeColor="text1"/>
                <w:sz w:val="20"/>
                <w:szCs w:val="22"/>
              </w:rPr>
              <w:t>85</w:t>
            </w:r>
          </w:p>
        </w:tc>
        <w:tc>
          <w:tcPr>
            <w:tcW w:w="1107" w:type="pct"/>
          </w:tcPr>
          <w:p w14:paraId="324A84BA" w14:textId="77777777" w:rsidR="00771520" w:rsidRPr="005745C3" w:rsidRDefault="00771520" w:rsidP="00DB5BEE">
            <w:pPr>
              <w:spacing w:before="40" w:after="40"/>
              <w:jc w:val="center"/>
              <w:rPr>
                <w:color w:val="000000" w:themeColor="text1"/>
                <w:sz w:val="20"/>
                <w:szCs w:val="22"/>
              </w:rPr>
            </w:pPr>
            <w:r w:rsidRPr="005745C3">
              <w:rPr>
                <w:color w:val="000000" w:themeColor="text1"/>
                <w:sz w:val="20"/>
                <w:szCs w:val="22"/>
              </w:rPr>
              <w:t>93</w:t>
            </w:r>
          </w:p>
        </w:tc>
        <w:tc>
          <w:tcPr>
            <w:tcW w:w="723" w:type="pct"/>
            <w:vMerge/>
            <w:shd w:val="clear" w:color="auto" w:fill="auto"/>
            <w:noWrap/>
            <w:vAlign w:val="bottom"/>
          </w:tcPr>
          <w:p w14:paraId="6FD294E8" w14:textId="77777777" w:rsidR="00771520" w:rsidRDefault="00771520" w:rsidP="00771520">
            <w:pPr>
              <w:jc w:val="center"/>
              <w:rPr>
                <w:rFonts w:ascii="Calibri" w:hAnsi="Calibri" w:cs="Calibri"/>
                <w:color w:val="000000" w:themeColor="text1"/>
                <w:sz w:val="22"/>
                <w:szCs w:val="22"/>
              </w:rPr>
            </w:pPr>
          </w:p>
        </w:tc>
      </w:tr>
      <w:tr w:rsidR="00771520" w14:paraId="7D3D0670" w14:textId="77777777" w:rsidTr="00D967BC">
        <w:trPr>
          <w:trHeight w:val="288"/>
          <w:jc w:val="center"/>
        </w:trPr>
        <w:tc>
          <w:tcPr>
            <w:tcW w:w="1337" w:type="pct"/>
          </w:tcPr>
          <w:p w14:paraId="3EAAF725" w14:textId="77777777" w:rsidR="00771520" w:rsidRPr="005745C3" w:rsidRDefault="00771520" w:rsidP="00771520">
            <w:pPr>
              <w:jc w:val="center"/>
              <w:rPr>
                <w:color w:val="000000" w:themeColor="text1"/>
                <w:sz w:val="20"/>
                <w:szCs w:val="22"/>
              </w:rPr>
            </w:pPr>
            <w:r w:rsidRPr="005745C3">
              <w:rPr>
                <w:color w:val="000000" w:themeColor="text1"/>
                <w:sz w:val="20"/>
                <w:szCs w:val="22"/>
              </w:rPr>
              <w:t>TLED Base Case</w:t>
            </w:r>
          </w:p>
        </w:tc>
        <w:tc>
          <w:tcPr>
            <w:tcW w:w="916" w:type="pct"/>
          </w:tcPr>
          <w:p w14:paraId="3FD8144B" w14:textId="77777777" w:rsidR="00771520" w:rsidRPr="005745C3" w:rsidRDefault="00771520" w:rsidP="00DB5BEE">
            <w:pPr>
              <w:spacing w:before="40"/>
              <w:jc w:val="center"/>
              <w:rPr>
                <w:color w:val="000000" w:themeColor="text1"/>
                <w:sz w:val="20"/>
                <w:szCs w:val="22"/>
              </w:rPr>
            </w:pPr>
            <w:r w:rsidRPr="005745C3">
              <w:rPr>
                <w:color w:val="000000" w:themeColor="text1"/>
                <w:sz w:val="20"/>
                <w:szCs w:val="22"/>
              </w:rPr>
              <w:t>30%</w:t>
            </w:r>
          </w:p>
        </w:tc>
        <w:tc>
          <w:tcPr>
            <w:tcW w:w="916" w:type="pct"/>
            <w:shd w:val="clear" w:color="auto" w:fill="auto"/>
            <w:noWrap/>
            <w:vAlign w:val="bottom"/>
          </w:tcPr>
          <w:p w14:paraId="5F8F5085" w14:textId="264AC209" w:rsidR="00771520" w:rsidRPr="005745C3" w:rsidRDefault="00D128BF" w:rsidP="00DB5BEE">
            <w:pPr>
              <w:spacing w:before="40" w:after="40"/>
              <w:jc w:val="center"/>
              <w:rPr>
                <w:color w:val="000000" w:themeColor="text1"/>
                <w:sz w:val="20"/>
                <w:szCs w:val="22"/>
              </w:rPr>
            </w:pPr>
            <w:r w:rsidRPr="005745C3">
              <w:rPr>
                <w:color w:val="000000" w:themeColor="text1"/>
                <w:sz w:val="20"/>
                <w:szCs w:val="22"/>
              </w:rPr>
              <w:t>9</w:t>
            </w:r>
            <w:r>
              <w:rPr>
                <w:color w:val="000000" w:themeColor="text1"/>
                <w:sz w:val="20"/>
                <w:szCs w:val="22"/>
              </w:rPr>
              <w:t>4</w:t>
            </w:r>
          </w:p>
        </w:tc>
        <w:tc>
          <w:tcPr>
            <w:tcW w:w="1107" w:type="pct"/>
          </w:tcPr>
          <w:p w14:paraId="1810DEE7" w14:textId="1D029D73" w:rsidR="00771520" w:rsidRPr="005745C3" w:rsidRDefault="00D128BF" w:rsidP="00DB5BEE">
            <w:pPr>
              <w:spacing w:before="40" w:after="40"/>
              <w:jc w:val="center"/>
              <w:rPr>
                <w:color w:val="000000" w:themeColor="text1"/>
                <w:sz w:val="20"/>
                <w:szCs w:val="22"/>
              </w:rPr>
            </w:pPr>
            <w:r>
              <w:rPr>
                <w:color w:val="000000" w:themeColor="text1"/>
                <w:sz w:val="20"/>
                <w:szCs w:val="22"/>
              </w:rPr>
              <w:t>85</w:t>
            </w:r>
          </w:p>
        </w:tc>
        <w:tc>
          <w:tcPr>
            <w:tcW w:w="723" w:type="pct"/>
            <w:vMerge/>
            <w:shd w:val="clear" w:color="auto" w:fill="auto"/>
            <w:noWrap/>
            <w:vAlign w:val="bottom"/>
          </w:tcPr>
          <w:p w14:paraId="5A43FC90" w14:textId="77777777" w:rsidR="00771520" w:rsidRDefault="00771520" w:rsidP="00771520">
            <w:pPr>
              <w:jc w:val="center"/>
              <w:rPr>
                <w:rFonts w:ascii="Calibri" w:hAnsi="Calibri" w:cs="Calibri"/>
                <w:color w:val="000000" w:themeColor="text1"/>
                <w:sz w:val="22"/>
                <w:szCs w:val="22"/>
              </w:rPr>
            </w:pPr>
          </w:p>
        </w:tc>
      </w:tr>
      <w:tr w:rsidR="00771520" w14:paraId="62D6EE1F" w14:textId="77777777" w:rsidTr="00D967BC">
        <w:trPr>
          <w:trHeight w:val="288"/>
          <w:jc w:val="center"/>
        </w:trPr>
        <w:tc>
          <w:tcPr>
            <w:tcW w:w="1337" w:type="pct"/>
          </w:tcPr>
          <w:p w14:paraId="292CE6A2" w14:textId="77777777" w:rsidR="00771520" w:rsidRPr="005745C3" w:rsidRDefault="00771520" w:rsidP="00771520">
            <w:pPr>
              <w:jc w:val="center"/>
              <w:rPr>
                <w:color w:val="000000" w:themeColor="text1"/>
                <w:sz w:val="20"/>
                <w:szCs w:val="22"/>
              </w:rPr>
            </w:pPr>
            <w:r w:rsidRPr="005745C3">
              <w:rPr>
                <w:color w:val="000000" w:themeColor="text1"/>
                <w:sz w:val="20"/>
                <w:szCs w:val="22"/>
              </w:rPr>
              <w:t>Fluorescent Base Case</w:t>
            </w:r>
          </w:p>
        </w:tc>
        <w:tc>
          <w:tcPr>
            <w:tcW w:w="916" w:type="pct"/>
          </w:tcPr>
          <w:p w14:paraId="3A9896B7" w14:textId="77777777" w:rsidR="00771520" w:rsidRPr="005745C3" w:rsidRDefault="00771520" w:rsidP="00DB5BEE">
            <w:pPr>
              <w:spacing w:before="40"/>
              <w:jc w:val="center"/>
              <w:rPr>
                <w:color w:val="000000" w:themeColor="text1"/>
                <w:sz w:val="20"/>
                <w:szCs w:val="22"/>
              </w:rPr>
            </w:pPr>
            <w:r w:rsidRPr="005745C3">
              <w:rPr>
                <w:color w:val="000000" w:themeColor="text1"/>
                <w:sz w:val="20"/>
                <w:szCs w:val="22"/>
              </w:rPr>
              <w:t>20%</w:t>
            </w:r>
          </w:p>
        </w:tc>
        <w:tc>
          <w:tcPr>
            <w:tcW w:w="916" w:type="pct"/>
            <w:shd w:val="clear" w:color="auto" w:fill="auto"/>
            <w:noWrap/>
            <w:vAlign w:val="bottom"/>
          </w:tcPr>
          <w:p w14:paraId="0ADAB75C" w14:textId="77777777" w:rsidR="00771520" w:rsidRPr="005745C3" w:rsidRDefault="00771520" w:rsidP="00DB5BEE">
            <w:pPr>
              <w:spacing w:before="40" w:after="40"/>
              <w:jc w:val="center"/>
              <w:rPr>
                <w:color w:val="000000" w:themeColor="text1"/>
                <w:sz w:val="20"/>
                <w:szCs w:val="22"/>
              </w:rPr>
            </w:pPr>
            <w:r w:rsidRPr="005745C3">
              <w:rPr>
                <w:color w:val="000000" w:themeColor="text1"/>
                <w:sz w:val="20"/>
                <w:szCs w:val="22"/>
              </w:rPr>
              <w:t>151</w:t>
            </w:r>
          </w:p>
        </w:tc>
        <w:tc>
          <w:tcPr>
            <w:tcW w:w="1107" w:type="pct"/>
          </w:tcPr>
          <w:p w14:paraId="03B905D7" w14:textId="77777777" w:rsidR="00771520" w:rsidRPr="005745C3" w:rsidRDefault="00485115" w:rsidP="00DB5BEE">
            <w:pPr>
              <w:spacing w:before="40" w:after="40"/>
              <w:jc w:val="center"/>
              <w:rPr>
                <w:color w:val="000000" w:themeColor="text1"/>
                <w:sz w:val="20"/>
                <w:szCs w:val="22"/>
              </w:rPr>
            </w:pPr>
            <w:r w:rsidRPr="005745C3">
              <w:rPr>
                <w:color w:val="000000" w:themeColor="text1"/>
                <w:sz w:val="20"/>
                <w:szCs w:val="22"/>
              </w:rPr>
              <w:t>64</w:t>
            </w:r>
          </w:p>
        </w:tc>
        <w:tc>
          <w:tcPr>
            <w:tcW w:w="723" w:type="pct"/>
            <w:vMerge/>
            <w:shd w:val="clear" w:color="auto" w:fill="auto"/>
            <w:noWrap/>
            <w:vAlign w:val="bottom"/>
          </w:tcPr>
          <w:p w14:paraId="6C21AC2B" w14:textId="77777777" w:rsidR="00771520" w:rsidRDefault="00771520" w:rsidP="00771520">
            <w:pPr>
              <w:jc w:val="center"/>
              <w:rPr>
                <w:rFonts w:ascii="Calibri" w:hAnsi="Calibri" w:cs="Calibri"/>
                <w:color w:val="000000" w:themeColor="text1"/>
                <w:sz w:val="22"/>
                <w:szCs w:val="22"/>
              </w:rPr>
            </w:pPr>
          </w:p>
        </w:tc>
      </w:tr>
      <w:tr w:rsidR="00771520" w14:paraId="5B63F560" w14:textId="77777777" w:rsidTr="00D967BC">
        <w:trPr>
          <w:trHeight w:val="288"/>
          <w:jc w:val="center"/>
        </w:trPr>
        <w:tc>
          <w:tcPr>
            <w:tcW w:w="1337" w:type="pct"/>
          </w:tcPr>
          <w:p w14:paraId="6A7A08E1" w14:textId="77777777" w:rsidR="00771520" w:rsidRPr="005745C3" w:rsidRDefault="00771520" w:rsidP="00771520">
            <w:pPr>
              <w:jc w:val="center"/>
              <w:rPr>
                <w:color w:val="000000" w:themeColor="text1"/>
                <w:sz w:val="20"/>
                <w:szCs w:val="22"/>
              </w:rPr>
            </w:pPr>
            <w:r w:rsidRPr="005745C3">
              <w:rPr>
                <w:color w:val="000000" w:themeColor="text1"/>
                <w:sz w:val="20"/>
                <w:szCs w:val="22"/>
              </w:rPr>
              <w:t>Metal Halide Base Case</w:t>
            </w:r>
          </w:p>
        </w:tc>
        <w:tc>
          <w:tcPr>
            <w:tcW w:w="916" w:type="pct"/>
          </w:tcPr>
          <w:p w14:paraId="66B395F9" w14:textId="77777777" w:rsidR="00771520" w:rsidRPr="005745C3" w:rsidRDefault="00771520" w:rsidP="00DB5BEE">
            <w:pPr>
              <w:spacing w:before="40"/>
              <w:jc w:val="center"/>
              <w:rPr>
                <w:color w:val="000000" w:themeColor="text1"/>
                <w:sz w:val="20"/>
                <w:szCs w:val="22"/>
              </w:rPr>
            </w:pPr>
            <w:r w:rsidRPr="005745C3">
              <w:rPr>
                <w:color w:val="000000" w:themeColor="text1"/>
                <w:sz w:val="20"/>
                <w:szCs w:val="22"/>
              </w:rPr>
              <w:t>20%</w:t>
            </w:r>
          </w:p>
        </w:tc>
        <w:tc>
          <w:tcPr>
            <w:tcW w:w="916" w:type="pct"/>
            <w:shd w:val="clear" w:color="auto" w:fill="auto"/>
            <w:noWrap/>
            <w:vAlign w:val="bottom"/>
          </w:tcPr>
          <w:p w14:paraId="128D636D" w14:textId="77777777" w:rsidR="00771520" w:rsidRPr="005745C3" w:rsidRDefault="00771520" w:rsidP="00DB5BEE">
            <w:pPr>
              <w:spacing w:before="40" w:after="40"/>
              <w:jc w:val="center"/>
              <w:rPr>
                <w:color w:val="000000" w:themeColor="text1"/>
                <w:sz w:val="20"/>
                <w:szCs w:val="22"/>
              </w:rPr>
            </w:pPr>
            <w:r w:rsidRPr="005745C3">
              <w:rPr>
                <w:color w:val="000000" w:themeColor="text1"/>
                <w:sz w:val="20"/>
                <w:szCs w:val="22"/>
              </w:rPr>
              <w:t>222</w:t>
            </w:r>
          </w:p>
        </w:tc>
        <w:tc>
          <w:tcPr>
            <w:tcW w:w="1107" w:type="pct"/>
          </w:tcPr>
          <w:p w14:paraId="552C0AA3" w14:textId="77777777" w:rsidR="00771520" w:rsidRPr="005745C3" w:rsidRDefault="00485115" w:rsidP="00DB5BEE">
            <w:pPr>
              <w:spacing w:before="40" w:after="40"/>
              <w:jc w:val="center"/>
              <w:rPr>
                <w:color w:val="000000" w:themeColor="text1"/>
                <w:sz w:val="20"/>
                <w:szCs w:val="22"/>
              </w:rPr>
            </w:pPr>
            <w:r w:rsidRPr="005745C3">
              <w:rPr>
                <w:color w:val="000000" w:themeColor="text1"/>
                <w:sz w:val="20"/>
                <w:szCs w:val="22"/>
              </w:rPr>
              <w:t>66</w:t>
            </w:r>
          </w:p>
        </w:tc>
        <w:tc>
          <w:tcPr>
            <w:tcW w:w="723" w:type="pct"/>
            <w:vMerge/>
            <w:shd w:val="clear" w:color="auto" w:fill="auto"/>
            <w:noWrap/>
            <w:vAlign w:val="bottom"/>
          </w:tcPr>
          <w:p w14:paraId="15A0F858" w14:textId="77777777" w:rsidR="00771520" w:rsidRDefault="00771520" w:rsidP="00771520">
            <w:pPr>
              <w:jc w:val="center"/>
              <w:rPr>
                <w:rFonts w:ascii="Calibri" w:hAnsi="Calibri" w:cs="Calibri"/>
                <w:color w:val="000000" w:themeColor="text1"/>
                <w:sz w:val="22"/>
                <w:szCs w:val="22"/>
              </w:rPr>
            </w:pPr>
          </w:p>
        </w:tc>
      </w:tr>
    </w:tbl>
    <w:p w14:paraId="24C94090" w14:textId="77777777" w:rsidR="000B0167" w:rsidRPr="008A1DA4" w:rsidRDefault="5B621C54">
      <w:pPr>
        <w:pStyle w:val="Heading2"/>
      </w:pPr>
      <w:bookmarkStart w:id="108" w:name="_Toc511134203"/>
      <w:bookmarkStart w:id="109" w:name="_Toc2803213"/>
      <w:r>
        <w:lastRenderedPageBreak/>
        <w:t>2.1 Electric Energy Savings Estimation Methodologies</w:t>
      </w:r>
      <w:bookmarkEnd w:id="108"/>
      <w:bookmarkEnd w:id="109"/>
    </w:p>
    <w:p w14:paraId="57BEA23D" w14:textId="77777777" w:rsidR="000B0167" w:rsidRPr="008A1DA4" w:rsidRDefault="5B621C54" w:rsidP="007100F8">
      <w:r>
        <w:t xml:space="preserve">The lighting demand difference (watts per unit) is simply the difference between the electric demand of the base unit and the electric demand of the energy efficient unit. </w:t>
      </w:r>
    </w:p>
    <w:p w14:paraId="4762D467" w14:textId="77777777" w:rsidR="000B0167" w:rsidRPr="008A1DA4" w:rsidRDefault="000B0167" w:rsidP="007100F8">
      <w:pPr>
        <w:rPr>
          <w:i/>
        </w:rPr>
      </w:pPr>
    </w:p>
    <w:p w14:paraId="357B4FE1" w14:textId="77777777" w:rsidR="000B0167" w:rsidRPr="008A1DA4" w:rsidRDefault="00A47FE3" w:rsidP="5B621C54">
      <w:pPr>
        <w:ind w:left="720"/>
        <w:rPr>
          <w:i/>
          <w:iCs/>
          <w:sz w:val="20"/>
          <w:szCs w:val="20"/>
        </w:rPr>
      </w:pPr>
      <w:r w:rsidRPr="5B621C54">
        <w:rPr>
          <w:i/>
          <w:iCs/>
          <w:sz w:val="20"/>
          <w:szCs w:val="20"/>
          <w:u w:val="single"/>
        </w:rPr>
        <w:t>∆</w:t>
      </w:r>
      <w:r w:rsidR="00E20157" w:rsidRPr="5B621C54">
        <w:rPr>
          <w:i/>
          <w:iCs/>
          <w:sz w:val="20"/>
          <w:szCs w:val="20"/>
          <w:u w:val="single"/>
        </w:rPr>
        <w:t>watt</w:t>
      </w:r>
      <w:r w:rsidRPr="5B621C54">
        <w:rPr>
          <w:i/>
          <w:iCs/>
          <w:sz w:val="20"/>
          <w:szCs w:val="20"/>
          <w:u w:val="single"/>
        </w:rPr>
        <w:t>s/unit</w:t>
      </w:r>
      <w:r w:rsidRPr="008A1DA4">
        <w:rPr>
          <w:i/>
          <w:sz w:val="20"/>
          <w:szCs w:val="20"/>
        </w:rPr>
        <w:tab/>
      </w:r>
      <w:r w:rsidRPr="5B621C54">
        <w:rPr>
          <w:i/>
          <w:iCs/>
          <w:sz w:val="20"/>
          <w:szCs w:val="20"/>
        </w:rPr>
        <w:t xml:space="preserve">= Base </w:t>
      </w:r>
      <w:r w:rsidR="00E20157" w:rsidRPr="5B621C54">
        <w:rPr>
          <w:i/>
          <w:iCs/>
          <w:sz w:val="20"/>
          <w:szCs w:val="20"/>
        </w:rPr>
        <w:t>watt</w:t>
      </w:r>
      <w:r w:rsidRPr="5B621C54">
        <w:rPr>
          <w:i/>
          <w:iCs/>
          <w:sz w:val="20"/>
          <w:szCs w:val="20"/>
        </w:rPr>
        <w:t>s/unit</w:t>
      </w:r>
      <w:r w:rsidR="004A4BE5" w:rsidRPr="5B621C54">
        <w:rPr>
          <w:i/>
          <w:iCs/>
          <w:sz w:val="20"/>
          <w:szCs w:val="20"/>
        </w:rPr>
        <w:t xml:space="preserve"> – Energy Efficient</w:t>
      </w:r>
      <w:r w:rsidRPr="5B621C54">
        <w:rPr>
          <w:i/>
          <w:iCs/>
          <w:sz w:val="20"/>
          <w:szCs w:val="20"/>
        </w:rPr>
        <w:t xml:space="preserve"> </w:t>
      </w:r>
      <w:r w:rsidR="00E20157" w:rsidRPr="5B621C54">
        <w:rPr>
          <w:i/>
          <w:iCs/>
          <w:sz w:val="20"/>
          <w:szCs w:val="20"/>
        </w:rPr>
        <w:t>watt</w:t>
      </w:r>
      <w:r w:rsidRPr="5B621C54">
        <w:rPr>
          <w:i/>
          <w:iCs/>
          <w:sz w:val="20"/>
          <w:szCs w:val="20"/>
        </w:rPr>
        <w:t>s</w:t>
      </w:r>
      <w:r w:rsidR="00477E97" w:rsidRPr="5B621C54">
        <w:rPr>
          <w:i/>
          <w:iCs/>
          <w:sz w:val="20"/>
          <w:szCs w:val="20"/>
        </w:rPr>
        <w:t>/ unit</w:t>
      </w:r>
    </w:p>
    <w:p w14:paraId="56B44A1F" w14:textId="77777777" w:rsidR="000B0167" w:rsidRPr="008A1DA4" w:rsidRDefault="000B0167" w:rsidP="007100F8"/>
    <w:p w14:paraId="5D8C69DE" w14:textId="77777777" w:rsidR="000B0167" w:rsidRPr="008A1DA4" w:rsidRDefault="5B621C54" w:rsidP="5B621C54">
      <w:pPr>
        <w:rPr>
          <w:i/>
          <w:iCs/>
        </w:rPr>
      </w:pPr>
      <w:r w:rsidRPr="5B621C54">
        <w:rPr>
          <w:i/>
          <w:iCs/>
        </w:rPr>
        <w:t>Annual Electric Savings:</w:t>
      </w:r>
    </w:p>
    <w:p w14:paraId="6EC644FC" w14:textId="77777777" w:rsidR="000B0167" w:rsidRPr="008A1DA4" w:rsidRDefault="000B0167" w:rsidP="007100F8">
      <w:pPr>
        <w:ind w:left="720"/>
        <w:rPr>
          <w:i/>
          <w:sz w:val="20"/>
          <w:szCs w:val="20"/>
        </w:rPr>
      </w:pPr>
    </w:p>
    <w:p w14:paraId="4751617F" w14:textId="77777777" w:rsidR="000B0167" w:rsidRPr="008A1DA4" w:rsidRDefault="00B96A6F" w:rsidP="007100F8">
      <w:pPr>
        <w:ind w:left="720"/>
        <w:rPr>
          <w:i/>
          <w:sz w:val="20"/>
          <w:szCs w:val="20"/>
        </w:rPr>
      </w:pPr>
      <w:r w:rsidRPr="00653AC4">
        <w:rPr>
          <w:position w:val="-32"/>
        </w:rPr>
        <w:object w:dxaOrig="5800" w:dyaOrig="760" w14:anchorId="72ED6DA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90.3pt;height:38.2pt" o:ole="">
            <v:imagedata r:id="rId26" o:title=""/>
          </v:shape>
          <o:OLEObject Type="Embed" ProgID="Equation.3" ShapeID="_x0000_i1025" DrawAspect="Content" ObjectID="_1613416783" r:id="rId27"/>
        </w:object>
      </w:r>
    </w:p>
    <w:p w14:paraId="181618FC" w14:textId="77777777" w:rsidR="00B96A6F" w:rsidRDefault="00B96A6F" w:rsidP="00104058"/>
    <w:p w14:paraId="22C938D7" w14:textId="77777777" w:rsidR="00104058" w:rsidRDefault="5B621C54" w:rsidP="5B621C54">
      <w:r>
        <w:t>The following example calculates the annual electric energy kWh savings for the “</w:t>
      </w:r>
      <w:r w:rsidR="00C17F1E" w:rsidRPr="00C17F1E">
        <w:t>LED Parking Garage Luminaire rated greater than 7000 to 8800 lumens and greater than or equal to 120 LPW</w:t>
      </w:r>
      <w:r>
        <w:t>” measure:</w:t>
      </w:r>
    </w:p>
    <w:p w14:paraId="1C9659EA" w14:textId="77777777" w:rsidR="00C17F1E" w:rsidRDefault="00C17F1E" w:rsidP="5B621C54"/>
    <w:p w14:paraId="4F041643" w14:textId="77777777" w:rsidR="00C17F1E" w:rsidRPr="005745C3" w:rsidRDefault="00C17F1E" w:rsidP="5B621C54">
      <w:pPr>
        <w:rPr>
          <w:iCs/>
        </w:rPr>
      </w:pPr>
      <m:oMathPara>
        <m:oMath>
          <m:r>
            <w:rPr>
              <w:rFonts w:ascii="Cambria Math" w:hAnsi="Cambria Math"/>
              <w:sz w:val="20"/>
            </w:rPr>
            <m:t xml:space="preserve">Energy Savings </m:t>
          </m:r>
          <m:d>
            <m:dPr>
              <m:begChr m:val="["/>
              <m:endChr m:val="]"/>
              <m:ctrlPr>
                <w:rPr>
                  <w:rFonts w:ascii="Cambria Math" w:hAnsi="Cambria Math"/>
                  <w:i/>
                  <w:iCs/>
                  <w:sz w:val="20"/>
                </w:rPr>
              </m:ctrlPr>
            </m:dPr>
            <m:e>
              <m:f>
                <m:fPr>
                  <m:ctrlPr>
                    <w:rPr>
                      <w:rFonts w:ascii="Cambria Math" w:hAnsi="Cambria Math"/>
                      <w:i/>
                      <w:iCs/>
                      <w:sz w:val="20"/>
                    </w:rPr>
                  </m:ctrlPr>
                </m:fPr>
                <m:num>
                  <m:r>
                    <w:rPr>
                      <w:rFonts w:ascii="Cambria Math" w:hAnsi="Cambria Math"/>
                      <w:sz w:val="20"/>
                    </w:rPr>
                    <m:t>kWh</m:t>
                  </m:r>
                </m:num>
                <m:den>
                  <m:r>
                    <w:rPr>
                      <w:rFonts w:ascii="Cambria Math" w:hAnsi="Cambria Math"/>
                      <w:sz w:val="20"/>
                    </w:rPr>
                    <m:t>fixture×year</m:t>
                  </m:r>
                </m:den>
              </m:f>
            </m:e>
          </m:d>
          <m:r>
            <w:rPr>
              <w:rFonts w:ascii="Cambria Math" w:hAnsi="Cambria Math"/>
              <w:sz w:val="20"/>
            </w:rPr>
            <m:t>=</m:t>
          </m:r>
          <m:f>
            <m:fPr>
              <m:ctrlPr>
                <w:rPr>
                  <w:rFonts w:ascii="Cambria Math" w:hAnsi="Cambria Math"/>
                  <w:i/>
                  <w:iCs/>
                  <w:sz w:val="20"/>
                </w:rPr>
              </m:ctrlPr>
            </m:fPr>
            <m:num>
              <m:r>
                <w:rPr>
                  <w:rFonts w:ascii="Cambria Math" w:hAnsi="Cambria Math"/>
                  <w:sz w:val="20"/>
                </w:rPr>
                <m:t>(130-66</m:t>
              </m:r>
              <m:f>
                <m:fPr>
                  <m:ctrlPr>
                    <w:rPr>
                      <w:rFonts w:ascii="Cambria Math" w:hAnsi="Cambria Math"/>
                      <w:i/>
                      <w:iCs/>
                      <w:sz w:val="20"/>
                    </w:rPr>
                  </m:ctrlPr>
                </m:fPr>
                <m:num>
                  <m:r>
                    <w:rPr>
                      <w:rFonts w:ascii="Cambria Math" w:hAnsi="Cambria Math"/>
                      <w:sz w:val="20"/>
                    </w:rPr>
                    <m:t>W</m:t>
                  </m:r>
                </m:num>
                <m:den>
                  <m:r>
                    <w:rPr>
                      <w:rFonts w:ascii="Cambria Math" w:hAnsi="Cambria Math"/>
                      <w:sz w:val="20"/>
                    </w:rPr>
                    <m:t>fixture</m:t>
                  </m:r>
                </m:den>
              </m:f>
              <m:r>
                <w:rPr>
                  <w:rFonts w:ascii="Cambria Math" w:hAnsi="Cambria Math"/>
                  <w:sz w:val="20"/>
                </w:rPr>
                <m:t>)×(2767.5</m:t>
              </m:r>
              <m:f>
                <m:fPr>
                  <m:ctrlPr>
                    <w:rPr>
                      <w:rFonts w:ascii="Cambria Math" w:hAnsi="Cambria Math"/>
                      <w:i/>
                      <w:iCs/>
                      <w:sz w:val="20"/>
                    </w:rPr>
                  </m:ctrlPr>
                </m:fPr>
                <m:num>
                  <m:r>
                    <w:rPr>
                      <w:rFonts w:ascii="Cambria Math" w:hAnsi="Cambria Math"/>
                      <w:sz w:val="20"/>
                    </w:rPr>
                    <m:t>hours</m:t>
                  </m:r>
                </m:num>
                <m:den>
                  <m:r>
                    <w:rPr>
                      <w:rFonts w:ascii="Cambria Math" w:hAnsi="Cambria Math"/>
                      <w:sz w:val="20"/>
                    </w:rPr>
                    <m:t>year</m:t>
                  </m:r>
                </m:den>
              </m:f>
              <m:r>
                <w:rPr>
                  <w:rFonts w:ascii="Cambria Math" w:hAnsi="Cambria Math"/>
                  <w:sz w:val="20"/>
                </w:rPr>
                <m:t>)</m:t>
              </m:r>
            </m:num>
            <m:den>
              <m:r>
                <w:rPr>
                  <w:rFonts w:ascii="Cambria Math" w:hAnsi="Cambria Math"/>
                  <w:sz w:val="20"/>
                </w:rPr>
                <m:t>1,000 Watt hours/kWh</m:t>
              </m:r>
            </m:den>
          </m:f>
          <m:r>
            <w:rPr>
              <w:rFonts w:ascii="Cambria Math" w:hAnsi="Cambria Math"/>
              <w:sz w:val="20"/>
            </w:rPr>
            <m:t>=176</m:t>
          </m:r>
          <m:f>
            <m:fPr>
              <m:ctrlPr>
                <w:rPr>
                  <w:rFonts w:ascii="Cambria Math" w:hAnsi="Cambria Math"/>
                  <w:i/>
                  <w:iCs/>
                  <w:sz w:val="20"/>
                </w:rPr>
              </m:ctrlPr>
            </m:fPr>
            <m:num>
              <m:r>
                <w:rPr>
                  <w:rFonts w:ascii="Cambria Math" w:hAnsi="Cambria Math"/>
                  <w:sz w:val="20"/>
                </w:rPr>
                <m:t>kWh</m:t>
              </m:r>
            </m:num>
            <m:den>
              <m:r>
                <w:rPr>
                  <w:rFonts w:ascii="Cambria Math" w:hAnsi="Cambria Math"/>
                  <w:sz w:val="20"/>
                </w:rPr>
                <m:t>fixture×year</m:t>
              </m:r>
            </m:den>
          </m:f>
        </m:oMath>
      </m:oMathPara>
    </w:p>
    <w:p w14:paraId="6AD6E147" w14:textId="77777777" w:rsidR="00C17F1E" w:rsidRPr="00C17F1E" w:rsidRDefault="00C17F1E" w:rsidP="5B621C54">
      <w:pPr>
        <w:rPr>
          <w:iCs/>
        </w:rPr>
      </w:pPr>
    </w:p>
    <w:p w14:paraId="508D51EF" w14:textId="77777777" w:rsidR="00F758D5" w:rsidRDefault="00F4488F" w:rsidP="5B621C54">
      <w:r w:rsidRPr="00370C4B">
        <w:t>F</w:t>
      </w:r>
      <w:r w:rsidR="00F758D5" w:rsidRPr="00370C4B">
        <w:t>or the savings o</w:t>
      </w:r>
      <w:r w:rsidR="00653AC4" w:rsidRPr="00370C4B">
        <w:t>f</w:t>
      </w:r>
      <w:r w:rsidR="00F758D5" w:rsidRPr="00370C4B">
        <w:t xml:space="preserve"> all other measures</w:t>
      </w:r>
      <w:r w:rsidRPr="00370C4B">
        <w:t>, see</w:t>
      </w:r>
      <w:r w:rsidR="00370C4B">
        <w:t xml:space="preserve"> file</w:t>
      </w:r>
      <w:r w:rsidRPr="00370C4B">
        <w:t xml:space="preserve"> </w:t>
      </w:r>
      <w:r w:rsidR="000B6255" w:rsidRPr="00370C4B">
        <w:t>“</w:t>
      </w:r>
      <w:r w:rsidR="00631EB1" w:rsidRPr="00370C4B">
        <w:t xml:space="preserve">PGECOLTG151 R9 LED Outdoor </w:t>
      </w:r>
      <w:proofErr w:type="spellStart"/>
      <w:r w:rsidR="00631EB1" w:rsidRPr="00370C4B">
        <w:t>Ltg</w:t>
      </w:r>
      <w:proofErr w:type="spellEnd"/>
      <w:r w:rsidR="00631EB1" w:rsidRPr="00370C4B">
        <w:t xml:space="preserve"> Calc.xlsx</w:t>
      </w:r>
      <w:r w:rsidR="00B73072" w:rsidRPr="00370C4B">
        <w:t>” that</w:t>
      </w:r>
      <w:r w:rsidR="00C27E60" w:rsidRPr="002C4CC9">
        <w:t xml:space="preserve"> accompanies this workpaper</w:t>
      </w:r>
      <w:r w:rsidR="00F758D5" w:rsidRPr="002C4CC9">
        <w:t>.</w:t>
      </w:r>
    </w:p>
    <w:p w14:paraId="588D2274" w14:textId="77777777" w:rsidR="00247613" w:rsidRPr="002C4CC9" w:rsidRDefault="00247613" w:rsidP="5B621C54"/>
    <w:p w14:paraId="396F93CF" w14:textId="77777777" w:rsidR="000B0167" w:rsidRPr="008A1DA4" w:rsidRDefault="5B621C54" w:rsidP="00247613">
      <w:pPr>
        <w:pStyle w:val="Heading2"/>
        <w:keepNext w:val="0"/>
      </w:pPr>
      <w:bookmarkStart w:id="110" w:name="_Toc511134204"/>
      <w:bookmarkStart w:id="111" w:name="_Toc2803214"/>
      <w:r>
        <w:t>2.2 Demand Reduction Estimation Methodologies</w:t>
      </w:r>
      <w:bookmarkEnd w:id="110"/>
      <w:bookmarkEnd w:id="111"/>
    </w:p>
    <w:p w14:paraId="0886339C" w14:textId="77777777" w:rsidR="000B0167" w:rsidRDefault="5B621C54" w:rsidP="007100F8">
      <w:r>
        <w:t>There is no anticipated demand reduction associated with these measures</w:t>
      </w:r>
      <w:r w:rsidR="009C02DB">
        <w:t xml:space="preserve"> </w:t>
      </w:r>
      <w:r w:rsidR="00A33C08">
        <w:t xml:space="preserve">since parking garage is </w:t>
      </w:r>
      <w:r w:rsidR="001D6954">
        <w:t>classified as</w:t>
      </w:r>
      <w:r w:rsidR="00A33C08">
        <w:t xml:space="preserve"> outdoor lighting.</w:t>
      </w:r>
    </w:p>
    <w:p w14:paraId="1F769F1F" w14:textId="77777777" w:rsidR="00247613" w:rsidRPr="008A1DA4" w:rsidRDefault="00247613" w:rsidP="007100F8"/>
    <w:p w14:paraId="24C32BA0" w14:textId="77777777" w:rsidR="000B0167" w:rsidRPr="008A1DA4" w:rsidRDefault="5B621C54" w:rsidP="00247613">
      <w:pPr>
        <w:pStyle w:val="Heading2"/>
      </w:pPr>
      <w:bookmarkStart w:id="112" w:name="_Toc511134205"/>
      <w:bookmarkStart w:id="113" w:name="_Toc2803215"/>
      <w:r>
        <w:t>2.3 Gas Energy Savings Estimation Methodologies</w:t>
      </w:r>
      <w:bookmarkEnd w:id="112"/>
      <w:bookmarkEnd w:id="113"/>
    </w:p>
    <w:p w14:paraId="6E6D57EA" w14:textId="77777777" w:rsidR="000B0167" w:rsidRPr="00653AC4" w:rsidRDefault="5B621C54" w:rsidP="5B621C54">
      <w:pPr>
        <w:rPr>
          <w:i/>
          <w:iCs/>
        </w:rPr>
      </w:pPr>
      <w:r>
        <w:t>There is no gas energy saving associated with these measures.</w:t>
      </w:r>
    </w:p>
    <w:p w14:paraId="73D28E16" w14:textId="4314C7EE" w:rsidR="001A65D2" w:rsidRDefault="001A65D2" w:rsidP="008A6AB8">
      <w:pPr>
        <w:pStyle w:val="Heading1"/>
        <w:spacing w:before="0"/>
      </w:pPr>
      <w:bookmarkStart w:id="114" w:name="_Toc511134206"/>
    </w:p>
    <w:p w14:paraId="6FA1D95A" w14:textId="0F46C676" w:rsidR="000B0167" w:rsidRPr="008A1DA4" w:rsidRDefault="5B621C54" w:rsidP="008A6AB8">
      <w:pPr>
        <w:pStyle w:val="Heading1"/>
        <w:spacing w:before="0"/>
      </w:pPr>
      <w:bookmarkStart w:id="115" w:name="_Toc2803216"/>
      <w:proofErr w:type="gramStart"/>
      <w:r>
        <w:t>Section 3</w:t>
      </w:r>
      <w:r w:rsidR="005745C3">
        <w:t>.</w:t>
      </w:r>
      <w:proofErr w:type="gramEnd"/>
      <w:r>
        <w:t xml:space="preserve"> Load Shapes</w:t>
      </w:r>
      <w:bookmarkEnd w:id="114"/>
      <w:bookmarkEnd w:id="115"/>
    </w:p>
    <w:p w14:paraId="2F1C392C" w14:textId="77777777" w:rsidR="000B0167" w:rsidRPr="008A1DA4" w:rsidRDefault="5B621C54" w:rsidP="007100F8">
      <w:pPr>
        <w:autoSpaceDE w:val="0"/>
        <w:autoSpaceDN w:val="0"/>
        <w:adjustRightInd w:val="0"/>
      </w:pPr>
      <w:r>
        <w:t xml:space="preserve">Load Shapes are an important part of the life-cycle cost analysis of any energy efficiency program portfolio. The net benefits associated with a measure are based on the amount of energy saved and the avoided cost per unit of energy saved. For electricity, the avoided cost varies hourly over an entire year. Thus, the net benefits calculation for a measure requires both the total annual energy savings (kWh) of the measure and the distribution of that savings over the year. The distribution of savings over the year is represented by the measure’s load shape. The measure’s load shape indicates what fraction of annual energy savings occurs in each time period of the year. An hourly load shape indicates what fraction of annual savings occurs for each hour of the year. A Time-of-Use (TOU) load shape indicates what fraction occurs within five or six broad time-of-use periods, typically defined by a specific utility rate tariff. Formally, a load shape is a set of fractions summing to unity, one fraction for each hour or for each TOU period. Multiplying the measure load shape with the </w:t>
      </w:r>
      <w:r>
        <w:lastRenderedPageBreak/>
        <w:t>hourly avoided cost stream determines the average avoided cost per kWh for use in the life cycle cost analysis that determines a measure’s Total Resource Cost (TRC) benefit.</w:t>
      </w:r>
    </w:p>
    <w:p w14:paraId="68CA20FA" w14:textId="77777777" w:rsidR="000B0167" w:rsidRPr="008A1DA4" w:rsidRDefault="5B621C54">
      <w:pPr>
        <w:pStyle w:val="Heading2"/>
        <w:keepNext w:val="0"/>
      </w:pPr>
      <w:bookmarkStart w:id="116" w:name="_Toc173742996"/>
      <w:bookmarkStart w:id="117" w:name="_Toc511134207"/>
      <w:bookmarkStart w:id="118" w:name="_Toc2803217"/>
      <w:r>
        <w:t>3.1 Base Case Load Shapes</w:t>
      </w:r>
      <w:bookmarkEnd w:id="116"/>
      <w:bookmarkEnd w:id="117"/>
      <w:bookmarkEnd w:id="118"/>
    </w:p>
    <w:p w14:paraId="2D60086A" w14:textId="77777777" w:rsidR="000B0167" w:rsidRPr="008A1DA4" w:rsidRDefault="5B621C54">
      <w:pPr>
        <w:pStyle w:val="BodyText"/>
      </w:pPr>
      <w:bookmarkStart w:id="119" w:name="_Toc173742997"/>
      <w:r>
        <w:t>The base case load shape would be expected to follow a typical non-residential outdoor lighting end use load shape.</w:t>
      </w:r>
    </w:p>
    <w:p w14:paraId="582F8C12" w14:textId="77777777" w:rsidR="000B0167" w:rsidRPr="008A1DA4" w:rsidRDefault="5B621C54">
      <w:pPr>
        <w:pStyle w:val="Heading2"/>
        <w:keepNext w:val="0"/>
      </w:pPr>
      <w:bookmarkStart w:id="120" w:name="_Toc511134208"/>
      <w:bookmarkStart w:id="121" w:name="_Toc2803218"/>
      <w:r>
        <w:t>3.2 Measure Load Shapes</w:t>
      </w:r>
      <w:bookmarkEnd w:id="119"/>
      <w:bookmarkEnd w:id="120"/>
      <w:bookmarkEnd w:id="121"/>
    </w:p>
    <w:p w14:paraId="331D65E8" w14:textId="77777777" w:rsidR="000B0167" w:rsidRPr="008A1DA4" w:rsidRDefault="5B621C54" w:rsidP="007100F8">
      <w:r>
        <w:t xml:space="preserve">For purposes of the net benefits estimates in the Cost Effectiveness Tool (CET) calculator, what is required is the load shape that ideally represents the </w:t>
      </w:r>
      <w:r w:rsidRPr="5B621C54">
        <w:rPr>
          <w:i/>
          <w:iCs/>
        </w:rPr>
        <w:t>difference</w:t>
      </w:r>
      <w:r>
        <w:t xml:space="preserve"> between the base equipment and the installed energy efficiency measure. This </w:t>
      </w:r>
      <w:r w:rsidRPr="5B621C54">
        <w:rPr>
          <w:i/>
          <w:iCs/>
        </w:rPr>
        <w:t>difference</w:t>
      </w:r>
      <w:r>
        <w:t xml:space="preserve"> load profile is what is called the Measure Load Shape and would be the preferred load shape for use in the net benefits calculations.</w:t>
      </w:r>
    </w:p>
    <w:p w14:paraId="09DB472E" w14:textId="77777777" w:rsidR="000B0167" w:rsidRPr="008A1DA4" w:rsidRDefault="000B0167" w:rsidP="007100F8"/>
    <w:p w14:paraId="3C4677A5" w14:textId="77777777" w:rsidR="000B0167" w:rsidRDefault="5B621C54" w:rsidP="007100F8">
      <w:r>
        <w:t>The measure load shape for this measure is determined by the CET calculator based on the applicable non-residential market sector and the outdoor lighting end-use, since load shape will not alter with new technology.</w:t>
      </w:r>
    </w:p>
    <w:p w14:paraId="7668B6CD" w14:textId="77777777" w:rsidR="00686958" w:rsidRPr="008A1DA4" w:rsidRDefault="00686958" w:rsidP="007100F8"/>
    <w:p w14:paraId="2A39C9B7" w14:textId="29385DE8" w:rsidR="00686958" w:rsidRDefault="00686958" w:rsidP="00686958">
      <w:pPr>
        <w:pStyle w:val="Caption"/>
        <w:keepNext/>
        <w:jc w:val="center"/>
      </w:pPr>
      <w:bookmarkStart w:id="122" w:name="_Toc511134176"/>
      <w:bookmarkStart w:id="123" w:name="_Toc2803242"/>
      <w:r>
        <w:t xml:space="preserve">Table </w:t>
      </w:r>
      <w:fldSimple w:instr=" SEQ Table \* ARABIC ">
        <w:r w:rsidR="00491759">
          <w:rPr>
            <w:noProof/>
          </w:rPr>
          <w:t>19</w:t>
        </w:r>
      </w:fldSimple>
      <w:r w:rsidR="005745C3">
        <w:t>:</w:t>
      </w:r>
      <w:r>
        <w:t xml:space="preserve"> Building Type and Load Shape</w:t>
      </w:r>
      <w:bookmarkEnd w:id="122"/>
      <w:bookmarkEnd w:id="123"/>
    </w:p>
    <w:tbl>
      <w:tblPr>
        <w:tblStyle w:val="TableGrid1"/>
        <w:tblW w:w="4946" w:type="pct"/>
        <w:tblInd w:w="108" w:type="dxa"/>
        <w:tblLook w:val="01E0" w:firstRow="1" w:lastRow="1" w:firstColumn="1" w:lastColumn="1" w:noHBand="0" w:noVBand="0"/>
      </w:tblPr>
      <w:tblGrid>
        <w:gridCol w:w="3243"/>
        <w:gridCol w:w="3535"/>
        <w:gridCol w:w="3051"/>
      </w:tblGrid>
      <w:tr w:rsidR="00B96A6F" w:rsidRPr="00B96A6F" w14:paraId="4EF34281" w14:textId="77777777" w:rsidTr="005745C3">
        <w:tc>
          <w:tcPr>
            <w:tcW w:w="1650" w:type="pct"/>
            <w:shd w:val="clear" w:color="auto" w:fill="D9D9D9" w:themeFill="background1" w:themeFillShade="D9"/>
          </w:tcPr>
          <w:p w14:paraId="05FC330C" w14:textId="77777777" w:rsidR="00B96A6F" w:rsidRPr="005745C3" w:rsidRDefault="5B621C54" w:rsidP="5B621C54">
            <w:pPr>
              <w:rPr>
                <w:rFonts w:ascii="Times New Roman" w:hAnsi="Times New Roman"/>
                <w:b/>
                <w:bCs/>
                <w:sz w:val="20"/>
                <w:szCs w:val="20"/>
                <w:highlight w:val="yellow"/>
              </w:rPr>
            </w:pPr>
            <w:r w:rsidRPr="005745C3">
              <w:rPr>
                <w:rFonts w:ascii="Times New Roman" w:hAnsi="Times New Roman"/>
                <w:b/>
                <w:bCs/>
                <w:sz w:val="20"/>
                <w:szCs w:val="20"/>
              </w:rPr>
              <w:t>Building Type</w:t>
            </w:r>
          </w:p>
        </w:tc>
        <w:tc>
          <w:tcPr>
            <w:tcW w:w="1798" w:type="pct"/>
            <w:shd w:val="clear" w:color="auto" w:fill="D9D9D9" w:themeFill="background1" w:themeFillShade="D9"/>
          </w:tcPr>
          <w:p w14:paraId="373F045D" w14:textId="77777777" w:rsidR="00B96A6F" w:rsidRPr="005745C3" w:rsidRDefault="5B621C54" w:rsidP="5B621C54">
            <w:pPr>
              <w:rPr>
                <w:rFonts w:ascii="Times New Roman" w:hAnsi="Times New Roman"/>
                <w:b/>
                <w:bCs/>
                <w:sz w:val="20"/>
                <w:szCs w:val="20"/>
              </w:rPr>
            </w:pPr>
            <w:r w:rsidRPr="005745C3">
              <w:rPr>
                <w:rFonts w:ascii="Times New Roman" w:hAnsi="Times New Roman"/>
                <w:b/>
                <w:bCs/>
                <w:sz w:val="20"/>
                <w:szCs w:val="20"/>
              </w:rPr>
              <w:t>Load Shape</w:t>
            </w:r>
          </w:p>
        </w:tc>
        <w:tc>
          <w:tcPr>
            <w:tcW w:w="1552" w:type="pct"/>
            <w:shd w:val="clear" w:color="auto" w:fill="D9D9D9" w:themeFill="background1" w:themeFillShade="D9"/>
          </w:tcPr>
          <w:p w14:paraId="079735B0" w14:textId="77777777" w:rsidR="00B96A6F" w:rsidRPr="005745C3" w:rsidRDefault="5B621C54" w:rsidP="5B621C54">
            <w:pPr>
              <w:rPr>
                <w:rFonts w:ascii="Times New Roman" w:hAnsi="Times New Roman"/>
                <w:b/>
                <w:bCs/>
                <w:sz w:val="20"/>
                <w:szCs w:val="20"/>
                <w:highlight w:val="yellow"/>
              </w:rPr>
            </w:pPr>
            <w:r w:rsidRPr="005745C3">
              <w:rPr>
                <w:rFonts w:ascii="Times New Roman" w:hAnsi="Times New Roman"/>
                <w:b/>
                <w:bCs/>
                <w:sz w:val="20"/>
                <w:szCs w:val="20"/>
              </w:rPr>
              <w:t>E3 Alternate Building Type</w:t>
            </w:r>
          </w:p>
        </w:tc>
      </w:tr>
      <w:tr w:rsidR="00B96A6F" w:rsidRPr="00B96A6F" w14:paraId="7E09CE0B" w14:textId="77777777" w:rsidTr="005745C3">
        <w:tc>
          <w:tcPr>
            <w:tcW w:w="1650" w:type="pct"/>
          </w:tcPr>
          <w:p w14:paraId="654B3716" w14:textId="77777777" w:rsidR="00B96A6F" w:rsidRPr="005745C3" w:rsidRDefault="5B621C54" w:rsidP="00CE43AA">
            <w:pPr>
              <w:spacing w:before="60" w:after="60"/>
              <w:rPr>
                <w:rFonts w:ascii="Times New Roman" w:hAnsi="Times New Roman"/>
                <w:sz w:val="20"/>
                <w:szCs w:val="20"/>
              </w:rPr>
            </w:pPr>
            <w:r w:rsidRPr="005745C3">
              <w:rPr>
                <w:rFonts w:ascii="Times New Roman" w:hAnsi="Times New Roman"/>
                <w:sz w:val="20"/>
                <w:szCs w:val="20"/>
              </w:rPr>
              <w:t>Any</w:t>
            </w:r>
          </w:p>
        </w:tc>
        <w:tc>
          <w:tcPr>
            <w:tcW w:w="1798" w:type="pct"/>
          </w:tcPr>
          <w:p w14:paraId="118D3A3C" w14:textId="77777777" w:rsidR="00B96A6F" w:rsidRPr="005745C3" w:rsidRDefault="5B621C54" w:rsidP="00CE43AA">
            <w:pPr>
              <w:spacing w:before="60" w:after="60"/>
              <w:rPr>
                <w:rFonts w:ascii="Times New Roman" w:hAnsi="Times New Roman"/>
                <w:sz w:val="20"/>
                <w:szCs w:val="20"/>
              </w:rPr>
            </w:pPr>
            <w:r w:rsidRPr="005745C3">
              <w:rPr>
                <w:rFonts w:ascii="Times New Roman" w:hAnsi="Times New Roman"/>
                <w:sz w:val="20"/>
                <w:szCs w:val="20"/>
              </w:rPr>
              <w:t>PGE:COMMERCIAL:2 = Commercial Outdoor Lighting</w:t>
            </w:r>
          </w:p>
        </w:tc>
        <w:tc>
          <w:tcPr>
            <w:tcW w:w="1552" w:type="pct"/>
          </w:tcPr>
          <w:p w14:paraId="71FFD135" w14:textId="77777777" w:rsidR="00B96A6F" w:rsidRPr="005745C3" w:rsidRDefault="5B621C54" w:rsidP="00CE43AA">
            <w:pPr>
              <w:spacing w:before="60" w:after="60"/>
              <w:rPr>
                <w:rFonts w:ascii="Times New Roman" w:hAnsi="Times New Roman"/>
                <w:sz w:val="20"/>
                <w:szCs w:val="20"/>
              </w:rPr>
            </w:pPr>
            <w:r w:rsidRPr="005745C3">
              <w:rPr>
                <w:rFonts w:ascii="Times New Roman" w:hAnsi="Times New Roman"/>
                <w:sz w:val="20"/>
                <w:szCs w:val="20"/>
              </w:rPr>
              <w:t>COMMERCIAL</w:t>
            </w:r>
          </w:p>
        </w:tc>
      </w:tr>
    </w:tbl>
    <w:p w14:paraId="02BBC3E9" w14:textId="72775A3B" w:rsidR="005745C3" w:rsidRDefault="005745C3" w:rsidP="008A6AB8">
      <w:pPr>
        <w:pStyle w:val="Heading1"/>
        <w:spacing w:before="0" w:after="0"/>
      </w:pPr>
      <w:bookmarkStart w:id="124" w:name="_Toc511134209"/>
    </w:p>
    <w:p w14:paraId="59327C7F" w14:textId="78576B00" w:rsidR="000B0167" w:rsidRDefault="5B621C54" w:rsidP="008A6AB8">
      <w:pPr>
        <w:pStyle w:val="Heading1"/>
        <w:spacing w:before="0" w:after="0"/>
        <w:rPr>
          <w:color w:val="FF0000"/>
        </w:rPr>
      </w:pPr>
      <w:bookmarkStart w:id="125" w:name="_Toc2803219"/>
      <w:proofErr w:type="gramStart"/>
      <w:r>
        <w:t>Section 4.</w:t>
      </w:r>
      <w:proofErr w:type="gramEnd"/>
      <w:r>
        <w:t xml:space="preserve"> Base Case &amp; Measure Costs</w:t>
      </w:r>
      <w:bookmarkEnd w:id="124"/>
      <w:bookmarkEnd w:id="125"/>
    </w:p>
    <w:p w14:paraId="00DF01C3" w14:textId="77777777" w:rsidR="00CE04F6" w:rsidRPr="005D4F52" w:rsidRDefault="00CE04F6" w:rsidP="00CE04F6"/>
    <w:p w14:paraId="06533F5B" w14:textId="7CCFAF7E" w:rsidR="00EC24F5" w:rsidRPr="00CB1DC4" w:rsidRDefault="00816D03" w:rsidP="00EC24F5">
      <w:r>
        <w:t xml:space="preserve">As discussed </w:t>
      </w:r>
      <w:r w:rsidR="00EC24F5" w:rsidRPr="2337E540">
        <w:t xml:space="preserve">in Section </w:t>
      </w:r>
      <w:r w:rsidR="00CB1DC4" w:rsidRPr="00CB1DC4">
        <w:fldChar w:fldCharType="begin"/>
      </w:r>
      <w:r w:rsidR="00CB1DC4" w:rsidRPr="00CB1DC4">
        <w:rPr>
          <w:bCs/>
          <w:iCs/>
        </w:rPr>
        <w:instrText xml:space="preserve"> REF _Ref511138524 \h </w:instrText>
      </w:r>
      <w:r w:rsidR="00CB1DC4">
        <w:instrText xml:space="preserve"> \* MERGEFORMAT </w:instrText>
      </w:r>
      <w:r w:rsidR="00CB1DC4" w:rsidRPr="00CB1DC4">
        <w:fldChar w:fldCharType="separate"/>
      </w:r>
      <w:r w:rsidR="009D56DE">
        <w:t>1.6.</w:t>
      </w:r>
      <w:r w:rsidR="0086308B">
        <w:t>4</w:t>
      </w:r>
      <w:r w:rsidR="009D56DE">
        <w:t xml:space="preserve"> Cost </w:t>
      </w:r>
      <w:proofErr w:type="gramStart"/>
      <w:r w:rsidR="009D56DE">
        <w:t xml:space="preserve">Data </w:t>
      </w:r>
      <w:proofErr w:type="gramEnd"/>
      <w:r w:rsidR="00CB1DC4" w:rsidRPr="00CB1DC4">
        <w:fldChar w:fldCharType="end"/>
      </w:r>
      <w:r w:rsidR="00CB1DC4" w:rsidRPr="00CB1DC4">
        <w:t xml:space="preserve">, </w:t>
      </w:r>
      <w:r>
        <w:t xml:space="preserve">price data from PG&amp;E programs </w:t>
      </w:r>
      <w:r w:rsidR="00E57E3A">
        <w:t xml:space="preserve">in 2018 </w:t>
      </w:r>
      <w:r>
        <w:t>was used to determine base and measure LED fixture costs, and the distributor and online pricing gathered by TRC</w:t>
      </w:r>
      <w:r w:rsidR="007139E0">
        <w:t xml:space="preserve"> </w:t>
      </w:r>
      <w:r>
        <w:t>S</w:t>
      </w:r>
      <w:r w:rsidR="007139E0">
        <w:t>olutions</w:t>
      </w:r>
      <w:r>
        <w:t xml:space="preserve"> was not utilized due to costs significantly higher than </w:t>
      </w:r>
      <w:r w:rsidR="00590D43">
        <w:t>shown in PG&amp;E programs</w:t>
      </w:r>
      <w:r w:rsidR="00414579">
        <w:t>.</w:t>
      </w:r>
      <w:r w:rsidR="00590D43">
        <w:t xml:space="preserve"> </w:t>
      </w:r>
    </w:p>
    <w:p w14:paraId="42B22B4D" w14:textId="77777777" w:rsidR="00EC24F5" w:rsidRPr="00CB1DC4" w:rsidRDefault="00EC24F5" w:rsidP="00816D03">
      <w:pPr>
        <w:pStyle w:val="ListParagraph"/>
        <w:numPr>
          <w:ilvl w:val="0"/>
          <w:numId w:val="17"/>
        </w:numPr>
        <w:rPr>
          <w:b/>
          <w:bCs/>
          <w:iCs/>
          <w:szCs w:val="20"/>
        </w:rPr>
      </w:pPr>
      <w:r w:rsidRPr="00CB1DC4">
        <w:rPr>
          <w:b/>
          <w:bCs/>
          <w:iCs/>
          <w:szCs w:val="20"/>
        </w:rPr>
        <w:t xml:space="preserve">Advantages:  </w:t>
      </w:r>
      <w:r w:rsidR="00682077">
        <w:rPr>
          <w:bCs/>
          <w:iCs/>
          <w:szCs w:val="20"/>
        </w:rPr>
        <w:t xml:space="preserve">Deemed cost values may be more likely to correspond to </w:t>
      </w:r>
      <w:r w:rsidR="009348AA">
        <w:rPr>
          <w:bCs/>
          <w:iCs/>
          <w:szCs w:val="20"/>
        </w:rPr>
        <w:t>typical program-incentivized product</w:t>
      </w:r>
      <w:r w:rsidR="00E57E3A">
        <w:rPr>
          <w:bCs/>
          <w:iCs/>
          <w:szCs w:val="20"/>
        </w:rPr>
        <w:t>; product prices are up-to-date, having been gathered in the last 9 months of 2018.</w:t>
      </w:r>
    </w:p>
    <w:p w14:paraId="4833F283" w14:textId="77777777" w:rsidR="00EC24F5" w:rsidRPr="00D42E40" w:rsidRDefault="00EC24F5" w:rsidP="00682077">
      <w:pPr>
        <w:pStyle w:val="ListParagraph"/>
        <w:numPr>
          <w:ilvl w:val="0"/>
          <w:numId w:val="17"/>
        </w:numPr>
        <w:rPr>
          <w:b/>
          <w:bCs/>
          <w:iCs/>
          <w:szCs w:val="20"/>
        </w:rPr>
      </w:pPr>
      <w:r w:rsidRPr="00CB1DC4">
        <w:rPr>
          <w:b/>
          <w:bCs/>
          <w:iCs/>
          <w:szCs w:val="20"/>
        </w:rPr>
        <w:t xml:space="preserve">Disadvantages:  </w:t>
      </w:r>
      <w:r w:rsidR="009348AA">
        <w:rPr>
          <w:bCs/>
          <w:iCs/>
          <w:szCs w:val="20"/>
        </w:rPr>
        <w:t xml:space="preserve">Deemed cost </w:t>
      </w:r>
      <w:r w:rsidR="00E57E3A">
        <w:rPr>
          <w:bCs/>
          <w:iCs/>
          <w:szCs w:val="20"/>
        </w:rPr>
        <w:t>values may be lower than the upper end of the price range</w:t>
      </w:r>
      <w:r w:rsidR="00E54391">
        <w:rPr>
          <w:szCs w:val="20"/>
        </w:rPr>
        <w:t>.</w:t>
      </w:r>
    </w:p>
    <w:p w14:paraId="0BEB5566" w14:textId="77777777" w:rsidR="00CE43AA" w:rsidRDefault="00CE43AA" w:rsidP="00A725CB">
      <w:bookmarkStart w:id="126" w:name="_Hlk511173114"/>
      <w:bookmarkStart w:id="127" w:name="_Toc511134210"/>
      <w:bookmarkEnd w:id="126"/>
    </w:p>
    <w:p w14:paraId="5E37DA4F" w14:textId="77777777" w:rsidR="000B0167" w:rsidRPr="007732F4" w:rsidRDefault="5B621C54" w:rsidP="00CE43AA">
      <w:pPr>
        <w:pStyle w:val="Heading2"/>
        <w:keepNext w:val="0"/>
        <w:spacing w:before="120"/>
      </w:pPr>
      <w:bookmarkStart w:id="128" w:name="_Toc2803220"/>
      <w:r>
        <w:t>4.1 Base Case(s) Costs</w:t>
      </w:r>
      <w:bookmarkEnd w:id="127"/>
      <w:bookmarkEnd w:id="128"/>
    </w:p>
    <w:p w14:paraId="1FBEE1A4" w14:textId="67CD782D" w:rsidR="00F22325" w:rsidRDefault="00F22325" w:rsidP="001D18FB">
      <w:r w:rsidRPr="00F22325">
        <w:t>LED</w:t>
      </w:r>
      <w:r>
        <w:rPr>
          <w:b/>
        </w:rPr>
        <w:t xml:space="preserve"> </w:t>
      </w:r>
      <w:r w:rsidRPr="00F22325">
        <w:t>fixture p</w:t>
      </w:r>
      <w:r w:rsidR="5B621C54">
        <w:t xml:space="preserve">ricing was determined from </w:t>
      </w:r>
      <w:r w:rsidR="00E57E3A">
        <w:t xml:space="preserve">deemed program applications </w:t>
      </w:r>
      <w:r w:rsidR="006A47E9">
        <w:t>reviewed</w:t>
      </w:r>
      <w:r w:rsidR="00E57E3A">
        <w:t xml:space="preserve"> from 3/1/2018 to 11/30/2018</w:t>
      </w:r>
      <w:r w:rsidR="5B621C54">
        <w:t xml:space="preserve">. </w:t>
      </w:r>
      <w:r>
        <w:t xml:space="preserve">Minimum efficacies were lower </w:t>
      </w:r>
      <w:proofErr w:type="gramStart"/>
      <w:r>
        <w:t>than 120 lm/W</w:t>
      </w:r>
      <w:proofErr w:type="gramEnd"/>
      <w:r>
        <w:t xml:space="preserve"> in the 2018 program year for many lower</w:t>
      </w:r>
      <w:r w:rsidR="00896B2E">
        <w:t xml:space="preserve"> lumen </w:t>
      </w:r>
      <w:r>
        <w:t>output products, so the program data includes products that would be classified both as Base Case and Measure Case for this workpaper revision. Because application data does not cover every lumen bin in this workpaper,</w:t>
      </w:r>
      <w:r w:rsidR="006A47E9">
        <w:t xml:space="preserve"> and 70% of applications were not conclusively matched to DLC products,</w:t>
      </w:r>
      <w:r>
        <w:t xml:space="preserve"> the cost is based on the average cost per thousand lumens of light output for fixtures below 120 lm/W. </w:t>
      </w:r>
      <w:r w:rsidR="00E85C0D">
        <w:t xml:space="preserve">LED </w:t>
      </w:r>
      <w:r w:rsidR="00414579">
        <w:t>b</w:t>
      </w:r>
      <w:r>
        <w:t xml:space="preserve">ase </w:t>
      </w:r>
      <w:r w:rsidR="00414579">
        <w:t xml:space="preserve">case </w:t>
      </w:r>
      <w:r>
        <w:t xml:space="preserve">costs for all measures are $17.86 per thousand lumens </w:t>
      </w:r>
      <w:r w:rsidR="00414579">
        <w:t>(</w:t>
      </w:r>
      <w:proofErr w:type="spellStart"/>
      <w:r w:rsidR="00414579">
        <w:t>kilolumens</w:t>
      </w:r>
      <w:proofErr w:type="spellEnd"/>
      <w:r w:rsidR="00414579">
        <w:t xml:space="preserve">) </w:t>
      </w:r>
      <w:r>
        <w:t>of light output at the midpoint of the lumen bin.</w:t>
      </w:r>
    </w:p>
    <w:p w14:paraId="78E31B5A" w14:textId="77777777" w:rsidR="00F22325" w:rsidRDefault="00F22325" w:rsidP="001D18FB"/>
    <w:p w14:paraId="23D1FDA3" w14:textId="77777777" w:rsidR="008B5D54" w:rsidRDefault="008B5D54" w:rsidP="00F22325"/>
    <w:p w14:paraId="49FC2471" w14:textId="77777777" w:rsidR="008B5D54" w:rsidRDefault="008B5D54" w:rsidP="00F22325"/>
    <w:p w14:paraId="3B9D568A" w14:textId="77777777" w:rsidR="00F22325" w:rsidRDefault="00F22325" w:rsidP="00F22325">
      <w:r>
        <w:lastRenderedPageBreak/>
        <w:t>Other Base Case cost sources:</w:t>
      </w:r>
    </w:p>
    <w:p w14:paraId="340CF519" w14:textId="651F300B" w:rsidR="00CC6530" w:rsidRDefault="00F22325" w:rsidP="00E24407">
      <w:pPr>
        <w:pStyle w:val="ListParagraph"/>
        <w:numPr>
          <w:ilvl w:val="0"/>
          <w:numId w:val="7"/>
        </w:numPr>
      </w:pPr>
      <w:r>
        <w:t xml:space="preserve">TLED prices are taken from online list prices. Because TLEDs vary widely in wattage, price, and </w:t>
      </w:r>
      <w:r w:rsidR="00E85C0D">
        <w:t>light output, the prices were normalized by light output</w:t>
      </w:r>
      <w:r w:rsidR="00242AC3">
        <w:t xml:space="preserve"> at the midpoint of the lumen bin</w:t>
      </w:r>
      <w:r w:rsidR="00E85C0D">
        <w:t xml:space="preserve">. </w:t>
      </w:r>
      <w:r w:rsidR="00242AC3">
        <w:t xml:space="preserve">Based on the February 2019 </w:t>
      </w:r>
      <w:proofErr w:type="spellStart"/>
      <w:r w:rsidR="00242AC3">
        <w:t>webscraped</w:t>
      </w:r>
      <w:proofErr w:type="spellEnd"/>
      <w:r w:rsidR="00242AC3">
        <w:t xml:space="preserve"> cost data the average TLED price was $9.23 with an average light output of 2</w:t>
      </w:r>
      <w:r w:rsidR="00430F90">
        <w:t>,</w:t>
      </w:r>
      <w:r w:rsidR="00242AC3">
        <w:t>582 lumens</w:t>
      </w:r>
      <w:r w:rsidR="00430F90">
        <w:t>, w</w:t>
      </w:r>
      <w:r w:rsidR="00242AC3">
        <w:t xml:space="preserve">hich yields </w:t>
      </w:r>
      <w:r w:rsidR="00430F90">
        <w:t xml:space="preserve">a cost of </w:t>
      </w:r>
      <w:r w:rsidR="00242AC3">
        <w:t>$0</w:t>
      </w:r>
      <w:r w:rsidR="00430F90">
        <w:t>.00</w:t>
      </w:r>
      <w:r w:rsidR="00242AC3">
        <w:t>36 per lumen.</w:t>
      </w:r>
      <w:r w:rsidR="00CC6530">
        <w:t xml:space="preserve"> See attached file “</w:t>
      </w:r>
      <w:r w:rsidR="00CC6530" w:rsidRPr="006F5A6B">
        <w:t>Copy of TLED Cost Data_FEB2019</w:t>
      </w:r>
      <w:r w:rsidR="00CC6530">
        <w:t>.xlsx” for details of the cost data and the calculation</w:t>
      </w:r>
      <w:r w:rsidR="005747FC">
        <w:t>s</w:t>
      </w:r>
      <w:r w:rsidR="00CC6530">
        <w:t>.</w:t>
      </w:r>
    </w:p>
    <w:p w14:paraId="0F098ECF" w14:textId="77777777" w:rsidR="001D18FB" w:rsidRPr="00341ED8" w:rsidRDefault="00F22325" w:rsidP="00765CF3">
      <w:pPr>
        <w:pStyle w:val="ListParagraph"/>
        <w:numPr>
          <w:ilvl w:val="0"/>
          <w:numId w:val="7"/>
        </w:numPr>
      </w:pPr>
      <w:r>
        <w:t>Metal Halide</w:t>
      </w:r>
      <w:r w:rsidR="00E85C0D">
        <w:t xml:space="preserve"> prices are taken from online sources</w:t>
      </w:r>
      <w:r w:rsidR="00DE7C62">
        <w:t xml:space="preserve"> gathered by the workpaper engineering team</w:t>
      </w:r>
      <w:r w:rsidR="00E85C0D">
        <w:t xml:space="preserve"> for specific fixture cases</w:t>
      </w:r>
      <w:r w:rsidR="00DE7C62">
        <w:t xml:space="preserve"> based on lamp wattage.</w:t>
      </w:r>
    </w:p>
    <w:p w14:paraId="7CB84DC6" w14:textId="77777777" w:rsidR="00DE7C62" w:rsidRPr="00341ED8" w:rsidRDefault="00DE7C62" w:rsidP="00870594">
      <w:pPr>
        <w:pStyle w:val="ListParagraph"/>
        <w:numPr>
          <w:ilvl w:val="0"/>
          <w:numId w:val="7"/>
        </w:numPr>
      </w:pPr>
      <w:r>
        <w:t xml:space="preserve">Fluorescent prices are taken from online sources gathered by the workpaper engineering team for specific fixture cases based on the number of F32T8 lamps. </w:t>
      </w:r>
    </w:p>
    <w:p w14:paraId="458C9612" w14:textId="77777777" w:rsidR="001D18FB" w:rsidRPr="00341ED8" w:rsidRDefault="001D18FB" w:rsidP="00DE7C62">
      <w:pPr>
        <w:pStyle w:val="ListParagraph"/>
      </w:pPr>
    </w:p>
    <w:p w14:paraId="3D66152B" w14:textId="7AA053D2" w:rsidR="00DE7C62" w:rsidRDefault="00DE7C62" w:rsidP="001D18FB">
      <w:r>
        <w:t>The 4 base case types were blended according to the percentages below</w:t>
      </w:r>
      <w:r w:rsidR="00CE43AA">
        <w:t>:</w:t>
      </w:r>
    </w:p>
    <w:p w14:paraId="1046EA4A" w14:textId="77777777" w:rsidR="00DE7C62" w:rsidRDefault="00DE7C62" w:rsidP="00DE7C62">
      <w:pPr>
        <w:pStyle w:val="Caption"/>
        <w:keepNext/>
        <w:jc w:val="center"/>
      </w:pPr>
    </w:p>
    <w:p w14:paraId="0B96E04B" w14:textId="726F2FB4" w:rsidR="00DE7C62" w:rsidRDefault="00DE7C62" w:rsidP="00DE7C62">
      <w:pPr>
        <w:pStyle w:val="Caption"/>
        <w:keepNext/>
        <w:jc w:val="center"/>
      </w:pPr>
      <w:bookmarkStart w:id="129" w:name="_Toc2803243"/>
      <w:r>
        <w:t xml:space="preserve">Table </w:t>
      </w:r>
      <w:fldSimple w:instr=" SEQ Table \* ARABIC ">
        <w:r w:rsidR="00491759">
          <w:rPr>
            <w:noProof/>
          </w:rPr>
          <w:t>20</w:t>
        </w:r>
      </w:fldSimple>
      <w:r w:rsidR="004E7A72">
        <w:rPr>
          <w:noProof/>
        </w:rPr>
        <w:t>:</w:t>
      </w:r>
      <w:r>
        <w:t xml:space="preserve"> Base case blend, including Watts and efficacy for 8000 lm Garage Fixture</w:t>
      </w:r>
      <w:bookmarkEnd w:id="129"/>
    </w:p>
    <w:tbl>
      <w:tblPr>
        <w:tblW w:w="3806" w:type="pct"/>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4A0" w:firstRow="1" w:lastRow="0" w:firstColumn="1" w:lastColumn="0" w:noHBand="0" w:noVBand="1"/>
      </w:tblPr>
      <w:tblGrid>
        <w:gridCol w:w="2702"/>
        <w:gridCol w:w="1469"/>
        <w:gridCol w:w="1696"/>
        <w:gridCol w:w="1696"/>
      </w:tblGrid>
      <w:tr w:rsidR="00DE7C62" w14:paraId="32F36651" w14:textId="77777777" w:rsidTr="006A47E9">
        <w:trPr>
          <w:trHeight w:val="295"/>
          <w:jc w:val="center"/>
        </w:trPr>
        <w:tc>
          <w:tcPr>
            <w:tcW w:w="1786" w:type="pct"/>
          </w:tcPr>
          <w:p w14:paraId="362754B2" w14:textId="77777777" w:rsidR="00DE7C62" w:rsidRPr="005745C3" w:rsidDel="00B66EC3" w:rsidRDefault="00DE7C62" w:rsidP="00870594">
            <w:pPr>
              <w:jc w:val="center"/>
              <w:rPr>
                <w:b/>
                <w:bCs/>
                <w:color w:val="000000" w:themeColor="text1"/>
                <w:sz w:val="20"/>
                <w:szCs w:val="22"/>
              </w:rPr>
            </w:pPr>
            <w:bookmarkStart w:id="130" w:name="_Hlk2758277"/>
          </w:p>
        </w:tc>
        <w:tc>
          <w:tcPr>
            <w:tcW w:w="971" w:type="pct"/>
            <w:vAlign w:val="center"/>
          </w:tcPr>
          <w:p w14:paraId="1DE8F407" w14:textId="77777777" w:rsidR="00DE7C62" w:rsidRPr="005745C3" w:rsidRDefault="00DE7C62" w:rsidP="00870594">
            <w:pPr>
              <w:jc w:val="center"/>
              <w:rPr>
                <w:b/>
                <w:bCs/>
                <w:color w:val="000000" w:themeColor="text1"/>
                <w:sz w:val="20"/>
                <w:szCs w:val="22"/>
              </w:rPr>
            </w:pPr>
            <w:r w:rsidRPr="005745C3">
              <w:rPr>
                <w:b/>
                <w:bCs/>
                <w:color w:val="000000" w:themeColor="text1"/>
                <w:sz w:val="20"/>
                <w:szCs w:val="22"/>
              </w:rPr>
              <w:t>Blend %</w:t>
            </w:r>
          </w:p>
        </w:tc>
        <w:tc>
          <w:tcPr>
            <w:tcW w:w="1121" w:type="pct"/>
            <w:shd w:val="clear" w:color="auto" w:fill="auto"/>
            <w:vAlign w:val="center"/>
            <w:hideMark/>
          </w:tcPr>
          <w:p w14:paraId="0CE66F56" w14:textId="77777777" w:rsidR="00DE7C62" w:rsidRPr="005745C3" w:rsidRDefault="00DE7C62" w:rsidP="00870594">
            <w:pPr>
              <w:jc w:val="center"/>
              <w:rPr>
                <w:b/>
                <w:bCs/>
                <w:color w:val="000000"/>
                <w:sz w:val="20"/>
                <w:szCs w:val="22"/>
              </w:rPr>
            </w:pPr>
            <w:r w:rsidRPr="005745C3">
              <w:rPr>
                <w:b/>
                <w:bCs/>
                <w:color w:val="000000" w:themeColor="text1"/>
                <w:sz w:val="20"/>
                <w:szCs w:val="22"/>
              </w:rPr>
              <w:t>Wattage</w:t>
            </w:r>
          </w:p>
        </w:tc>
        <w:tc>
          <w:tcPr>
            <w:tcW w:w="1121" w:type="pct"/>
            <w:vAlign w:val="center"/>
          </w:tcPr>
          <w:p w14:paraId="7F49F1F5" w14:textId="77777777" w:rsidR="00DE7C62" w:rsidRPr="005745C3" w:rsidRDefault="00DE7C62" w:rsidP="00870594">
            <w:pPr>
              <w:jc w:val="center"/>
              <w:rPr>
                <w:b/>
                <w:bCs/>
                <w:color w:val="000000" w:themeColor="text1"/>
                <w:sz w:val="20"/>
                <w:szCs w:val="22"/>
              </w:rPr>
            </w:pPr>
            <w:r w:rsidRPr="005745C3">
              <w:rPr>
                <w:b/>
                <w:bCs/>
                <w:color w:val="000000" w:themeColor="text1"/>
                <w:sz w:val="20"/>
                <w:szCs w:val="22"/>
              </w:rPr>
              <w:t>Efficacy</w:t>
            </w:r>
          </w:p>
          <w:p w14:paraId="52D43B4A" w14:textId="77777777" w:rsidR="00DE7C62" w:rsidRPr="005745C3" w:rsidRDefault="00DE7C62" w:rsidP="00870594">
            <w:pPr>
              <w:jc w:val="center"/>
              <w:rPr>
                <w:b/>
                <w:bCs/>
                <w:color w:val="000000" w:themeColor="text1"/>
                <w:sz w:val="20"/>
                <w:szCs w:val="22"/>
              </w:rPr>
            </w:pPr>
            <w:r w:rsidRPr="005745C3">
              <w:rPr>
                <w:b/>
                <w:bCs/>
                <w:color w:val="000000" w:themeColor="text1"/>
                <w:sz w:val="20"/>
                <w:szCs w:val="22"/>
              </w:rPr>
              <w:t>(fixture lm/W)</w:t>
            </w:r>
          </w:p>
        </w:tc>
      </w:tr>
      <w:tr w:rsidR="00DE7C62" w14:paraId="2EDC6F0B" w14:textId="77777777" w:rsidTr="00D967BC">
        <w:trPr>
          <w:trHeight w:val="288"/>
          <w:jc w:val="center"/>
        </w:trPr>
        <w:tc>
          <w:tcPr>
            <w:tcW w:w="1786" w:type="pct"/>
            <w:shd w:val="clear" w:color="auto" w:fill="auto"/>
          </w:tcPr>
          <w:p w14:paraId="3EA90280" w14:textId="77777777" w:rsidR="00DE7C62" w:rsidRPr="005745C3" w:rsidRDefault="00DE7C62" w:rsidP="00870594">
            <w:pPr>
              <w:jc w:val="center"/>
              <w:rPr>
                <w:b/>
                <w:color w:val="000000" w:themeColor="text1"/>
                <w:sz w:val="20"/>
                <w:szCs w:val="22"/>
              </w:rPr>
            </w:pPr>
            <w:r w:rsidRPr="005745C3">
              <w:rPr>
                <w:b/>
                <w:color w:val="000000" w:themeColor="text1"/>
                <w:sz w:val="20"/>
                <w:szCs w:val="22"/>
              </w:rPr>
              <w:t>Deemed Base Case Blend</w:t>
            </w:r>
            <w:r w:rsidR="00D967BC" w:rsidRPr="005745C3">
              <w:rPr>
                <w:b/>
                <w:color w:val="000000" w:themeColor="text1"/>
                <w:sz w:val="20"/>
                <w:szCs w:val="22"/>
              </w:rPr>
              <w:t>ed Value</w:t>
            </w:r>
          </w:p>
        </w:tc>
        <w:tc>
          <w:tcPr>
            <w:tcW w:w="971" w:type="pct"/>
            <w:shd w:val="clear" w:color="auto" w:fill="BFBFBF" w:themeFill="background1" w:themeFillShade="BF"/>
          </w:tcPr>
          <w:p w14:paraId="74D1B081" w14:textId="77777777" w:rsidR="00DE7C62" w:rsidRPr="005745C3" w:rsidRDefault="00DE7C62" w:rsidP="00870594">
            <w:pPr>
              <w:jc w:val="center"/>
              <w:rPr>
                <w:color w:val="000000" w:themeColor="text1"/>
                <w:sz w:val="20"/>
                <w:szCs w:val="22"/>
              </w:rPr>
            </w:pPr>
          </w:p>
        </w:tc>
        <w:tc>
          <w:tcPr>
            <w:tcW w:w="1121" w:type="pct"/>
            <w:shd w:val="clear" w:color="auto" w:fill="auto"/>
            <w:noWrap/>
            <w:vAlign w:val="center"/>
          </w:tcPr>
          <w:p w14:paraId="2B6D340F" w14:textId="77777777" w:rsidR="00DE7C62" w:rsidRPr="005745C3" w:rsidRDefault="00DE7C62" w:rsidP="00D967BC">
            <w:pPr>
              <w:jc w:val="center"/>
              <w:rPr>
                <w:color w:val="000000" w:themeColor="text1"/>
                <w:sz w:val="20"/>
                <w:szCs w:val="22"/>
              </w:rPr>
            </w:pPr>
            <w:r w:rsidRPr="005745C3">
              <w:rPr>
                <w:color w:val="000000" w:themeColor="text1"/>
                <w:sz w:val="20"/>
                <w:szCs w:val="22"/>
              </w:rPr>
              <w:t>130</w:t>
            </w:r>
          </w:p>
        </w:tc>
        <w:tc>
          <w:tcPr>
            <w:tcW w:w="1121" w:type="pct"/>
            <w:vAlign w:val="center"/>
          </w:tcPr>
          <w:p w14:paraId="1772EC35" w14:textId="77777777" w:rsidR="00DE7C62" w:rsidRPr="005745C3" w:rsidRDefault="00DE7C62" w:rsidP="00D967BC">
            <w:pPr>
              <w:jc w:val="center"/>
              <w:rPr>
                <w:color w:val="000000" w:themeColor="text1"/>
                <w:sz w:val="20"/>
                <w:szCs w:val="22"/>
              </w:rPr>
            </w:pPr>
            <w:r w:rsidRPr="005745C3">
              <w:rPr>
                <w:color w:val="000000" w:themeColor="text1"/>
                <w:sz w:val="20"/>
                <w:szCs w:val="22"/>
              </w:rPr>
              <w:t>78</w:t>
            </w:r>
          </w:p>
        </w:tc>
      </w:tr>
      <w:tr w:rsidR="00DE7C62" w14:paraId="54D3A120" w14:textId="77777777" w:rsidTr="006A47E9">
        <w:trPr>
          <w:trHeight w:val="288"/>
          <w:jc w:val="center"/>
        </w:trPr>
        <w:tc>
          <w:tcPr>
            <w:tcW w:w="1786" w:type="pct"/>
          </w:tcPr>
          <w:p w14:paraId="599CBEE7" w14:textId="77777777" w:rsidR="00DE7C62" w:rsidRPr="005745C3" w:rsidRDefault="00DE7C62" w:rsidP="00870594">
            <w:pPr>
              <w:jc w:val="center"/>
              <w:rPr>
                <w:color w:val="000000" w:themeColor="text1"/>
                <w:sz w:val="20"/>
                <w:szCs w:val="22"/>
              </w:rPr>
            </w:pPr>
            <w:r w:rsidRPr="005745C3">
              <w:rPr>
                <w:color w:val="000000" w:themeColor="text1"/>
                <w:sz w:val="20"/>
                <w:szCs w:val="22"/>
              </w:rPr>
              <w:t>LED Base Case</w:t>
            </w:r>
          </w:p>
        </w:tc>
        <w:tc>
          <w:tcPr>
            <w:tcW w:w="971" w:type="pct"/>
          </w:tcPr>
          <w:p w14:paraId="6D548FD0" w14:textId="77777777" w:rsidR="00DE7C62" w:rsidRPr="005745C3" w:rsidRDefault="00DE7C62" w:rsidP="00870594">
            <w:pPr>
              <w:jc w:val="center"/>
              <w:rPr>
                <w:color w:val="000000" w:themeColor="text1"/>
                <w:sz w:val="20"/>
                <w:szCs w:val="22"/>
              </w:rPr>
            </w:pPr>
            <w:r w:rsidRPr="005745C3">
              <w:rPr>
                <w:color w:val="000000" w:themeColor="text1"/>
                <w:sz w:val="20"/>
                <w:szCs w:val="22"/>
              </w:rPr>
              <w:t>30%</w:t>
            </w:r>
          </w:p>
        </w:tc>
        <w:tc>
          <w:tcPr>
            <w:tcW w:w="1121" w:type="pct"/>
            <w:shd w:val="clear" w:color="auto" w:fill="auto"/>
            <w:noWrap/>
            <w:vAlign w:val="bottom"/>
          </w:tcPr>
          <w:p w14:paraId="601E0DFB" w14:textId="77777777" w:rsidR="00DE7C62" w:rsidRPr="005745C3" w:rsidRDefault="00DE7C62" w:rsidP="00870594">
            <w:pPr>
              <w:jc w:val="center"/>
              <w:rPr>
                <w:color w:val="000000" w:themeColor="text1"/>
                <w:sz w:val="20"/>
                <w:szCs w:val="22"/>
              </w:rPr>
            </w:pPr>
            <w:r w:rsidRPr="005745C3">
              <w:rPr>
                <w:color w:val="000000" w:themeColor="text1"/>
                <w:sz w:val="20"/>
                <w:szCs w:val="22"/>
              </w:rPr>
              <w:t>85</w:t>
            </w:r>
          </w:p>
        </w:tc>
        <w:tc>
          <w:tcPr>
            <w:tcW w:w="1121" w:type="pct"/>
          </w:tcPr>
          <w:p w14:paraId="7C0B33EA" w14:textId="77777777" w:rsidR="00DE7C62" w:rsidRPr="005745C3" w:rsidRDefault="00DE7C62" w:rsidP="00870594">
            <w:pPr>
              <w:jc w:val="center"/>
              <w:rPr>
                <w:color w:val="000000" w:themeColor="text1"/>
                <w:sz w:val="20"/>
                <w:szCs w:val="22"/>
              </w:rPr>
            </w:pPr>
            <w:r w:rsidRPr="005745C3">
              <w:rPr>
                <w:color w:val="000000" w:themeColor="text1"/>
                <w:sz w:val="20"/>
                <w:szCs w:val="22"/>
              </w:rPr>
              <w:t>93</w:t>
            </w:r>
          </w:p>
        </w:tc>
      </w:tr>
      <w:tr w:rsidR="00DE7C62" w14:paraId="28864F9A" w14:textId="77777777" w:rsidTr="006A47E9">
        <w:trPr>
          <w:trHeight w:val="288"/>
          <w:jc w:val="center"/>
        </w:trPr>
        <w:tc>
          <w:tcPr>
            <w:tcW w:w="1786" w:type="pct"/>
          </w:tcPr>
          <w:p w14:paraId="55D9320C" w14:textId="77777777" w:rsidR="00DE7C62" w:rsidRPr="005745C3" w:rsidRDefault="00DE7C62" w:rsidP="00870594">
            <w:pPr>
              <w:jc w:val="center"/>
              <w:rPr>
                <w:color w:val="000000" w:themeColor="text1"/>
                <w:sz w:val="20"/>
                <w:szCs w:val="22"/>
              </w:rPr>
            </w:pPr>
            <w:r w:rsidRPr="005745C3">
              <w:rPr>
                <w:color w:val="000000" w:themeColor="text1"/>
                <w:sz w:val="20"/>
                <w:szCs w:val="22"/>
              </w:rPr>
              <w:t>TLED Base Case</w:t>
            </w:r>
          </w:p>
        </w:tc>
        <w:tc>
          <w:tcPr>
            <w:tcW w:w="971" w:type="pct"/>
          </w:tcPr>
          <w:p w14:paraId="0861E602" w14:textId="77777777" w:rsidR="00DE7C62" w:rsidRPr="005745C3" w:rsidRDefault="00DE7C62" w:rsidP="00870594">
            <w:pPr>
              <w:jc w:val="center"/>
              <w:rPr>
                <w:color w:val="000000" w:themeColor="text1"/>
                <w:sz w:val="20"/>
                <w:szCs w:val="22"/>
              </w:rPr>
            </w:pPr>
            <w:r w:rsidRPr="005745C3">
              <w:rPr>
                <w:color w:val="000000" w:themeColor="text1"/>
                <w:sz w:val="20"/>
                <w:szCs w:val="22"/>
              </w:rPr>
              <w:t>30%</w:t>
            </w:r>
          </w:p>
        </w:tc>
        <w:tc>
          <w:tcPr>
            <w:tcW w:w="1121" w:type="pct"/>
            <w:shd w:val="clear" w:color="auto" w:fill="auto"/>
            <w:noWrap/>
            <w:vAlign w:val="bottom"/>
          </w:tcPr>
          <w:p w14:paraId="2EC18091" w14:textId="08B7C08F" w:rsidR="00DE7C62" w:rsidRPr="005745C3" w:rsidRDefault="00242AC3" w:rsidP="00242AC3">
            <w:pPr>
              <w:jc w:val="center"/>
              <w:rPr>
                <w:color w:val="000000" w:themeColor="text1"/>
                <w:sz w:val="20"/>
                <w:szCs w:val="22"/>
              </w:rPr>
            </w:pPr>
            <w:r w:rsidRPr="005745C3">
              <w:rPr>
                <w:color w:val="000000" w:themeColor="text1"/>
                <w:sz w:val="20"/>
                <w:szCs w:val="22"/>
              </w:rPr>
              <w:t>9</w:t>
            </w:r>
            <w:r>
              <w:rPr>
                <w:color w:val="000000" w:themeColor="text1"/>
                <w:sz w:val="20"/>
                <w:szCs w:val="22"/>
              </w:rPr>
              <w:t>4</w:t>
            </w:r>
          </w:p>
        </w:tc>
        <w:tc>
          <w:tcPr>
            <w:tcW w:w="1121" w:type="pct"/>
          </w:tcPr>
          <w:p w14:paraId="506E0A19" w14:textId="0C62DDFB" w:rsidR="00DE7C62" w:rsidRPr="005745C3" w:rsidRDefault="00242AC3" w:rsidP="00870594">
            <w:pPr>
              <w:jc w:val="center"/>
              <w:rPr>
                <w:color w:val="000000" w:themeColor="text1"/>
                <w:sz w:val="20"/>
                <w:szCs w:val="22"/>
              </w:rPr>
            </w:pPr>
            <w:r>
              <w:rPr>
                <w:color w:val="000000" w:themeColor="text1"/>
                <w:sz w:val="20"/>
                <w:szCs w:val="22"/>
              </w:rPr>
              <w:t>85</w:t>
            </w:r>
          </w:p>
        </w:tc>
      </w:tr>
      <w:tr w:rsidR="00DE7C62" w14:paraId="7B8DF3AA" w14:textId="77777777" w:rsidTr="006A47E9">
        <w:trPr>
          <w:trHeight w:val="288"/>
          <w:jc w:val="center"/>
        </w:trPr>
        <w:tc>
          <w:tcPr>
            <w:tcW w:w="1786" w:type="pct"/>
          </w:tcPr>
          <w:p w14:paraId="43A89DB6" w14:textId="77777777" w:rsidR="00DE7C62" w:rsidRPr="005745C3" w:rsidRDefault="00DE7C62" w:rsidP="00870594">
            <w:pPr>
              <w:jc w:val="center"/>
              <w:rPr>
                <w:color w:val="000000" w:themeColor="text1"/>
                <w:sz w:val="20"/>
                <w:szCs w:val="22"/>
              </w:rPr>
            </w:pPr>
            <w:r w:rsidRPr="005745C3">
              <w:rPr>
                <w:color w:val="000000" w:themeColor="text1"/>
                <w:sz w:val="20"/>
                <w:szCs w:val="22"/>
              </w:rPr>
              <w:t>Fluorescent Base Case</w:t>
            </w:r>
          </w:p>
        </w:tc>
        <w:tc>
          <w:tcPr>
            <w:tcW w:w="971" w:type="pct"/>
          </w:tcPr>
          <w:p w14:paraId="36B735FF" w14:textId="77777777" w:rsidR="00DE7C62" w:rsidRPr="005745C3" w:rsidRDefault="00DE7C62" w:rsidP="00870594">
            <w:pPr>
              <w:jc w:val="center"/>
              <w:rPr>
                <w:color w:val="000000" w:themeColor="text1"/>
                <w:sz w:val="20"/>
                <w:szCs w:val="22"/>
              </w:rPr>
            </w:pPr>
            <w:r w:rsidRPr="005745C3">
              <w:rPr>
                <w:color w:val="000000" w:themeColor="text1"/>
                <w:sz w:val="20"/>
                <w:szCs w:val="22"/>
              </w:rPr>
              <w:t>20%</w:t>
            </w:r>
          </w:p>
        </w:tc>
        <w:tc>
          <w:tcPr>
            <w:tcW w:w="1121" w:type="pct"/>
            <w:shd w:val="clear" w:color="auto" w:fill="auto"/>
            <w:noWrap/>
            <w:vAlign w:val="bottom"/>
          </w:tcPr>
          <w:p w14:paraId="2D9F3A2D" w14:textId="77777777" w:rsidR="00DE7C62" w:rsidRPr="005745C3" w:rsidRDefault="00DE7C62" w:rsidP="00870594">
            <w:pPr>
              <w:jc w:val="center"/>
              <w:rPr>
                <w:color w:val="000000" w:themeColor="text1"/>
                <w:sz w:val="20"/>
                <w:szCs w:val="22"/>
              </w:rPr>
            </w:pPr>
            <w:r w:rsidRPr="005745C3">
              <w:rPr>
                <w:color w:val="000000" w:themeColor="text1"/>
                <w:sz w:val="20"/>
                <w:szCs w:val="22"/>
              </w:rPr>
              <w:t>151</w:t>
            </w:r>
          </w:p>
        </w:tc>
        <w:tc>
          <w:tcPr>
            <w:tcW w:w="1121" w:type="pct"/>
          </w:tcPr>
          <w:p w14:paraId="50878F36" w14:textId="77777777" w:rsidR="00DE7C62" w:rsidRPr="005745C3" w:rsidRDefault="00DE7C62" w:rsidP="00870594">
            <w:pPr>
              <w:jc w:val="center"/>
              <w:rPr>
                <w:color w:val="000000" w:themeColor="text1"/>
                <w:sz w:val="20"/>
                <w:szCs w:val="22"/>
              </w:rPr>
            </w:pPr>
            <w:r w:rsidRPr="005745C3">
              <w:rPr>
                <w:color w:val="000000" w:themeColor="text1"/>
                <w:sz w:val="20"/>
                <w:szCs w:val="22"/>
              </w:rPr>
              <w:t>64</w:t>
            </w:r>
          </w:p>
        </w:tc>
      </w:tr>
      <w:tr w:rsidR="00DE7C62" w14:paraId="5C67BF88" w14:textId="77777777" w:rsidTr="006A47E9">
        <w:trPr>
          <w:trHeight w:val="288"/>
          <w:jc w:val="center"/>
        </w:trPr>
        <w:tc>
          <w:tcPr>
            <w:tcW w:w="1786" w:type="pct"/>
          </w:tcPr>
          <w:p w14:paraId="0FC9B3ED" w14:textId="77777777" w:rsidR="00DE7C62" w:rsidRPr="005745C3" w:rsidRDefault="00DE7C62" w:rsidP="00870594">
            <w:pPr>
              <w:jc w:val="center"/>
              <w:rPr>
                <w:color w:val="000000" w:themeColor="text1"/>
                <w:sz w:val="20"/>
                <w:szCs w:val="22"/>
              </w:rPr>
            </w:pPr>
            <w:r w:rsidRPr="005745C3">
              <w:rPr>
                <w:color w:val="000000" w:themeColor="text1"/>
                <w:sz w:val="20"/>
                <w:szCs w:val="22"/>
              </w:rPr>
              <w:t>Metal Halide Base Case</w:t>
            </w:r>
          </w:p>
        </w:tc>
        <w:tc>
          <w:tcPr>
            <w:tcW w:w="971" w:type="pct"/>
          </w:tcPr>
          <w:p w14:paraId="4808459E" w14:textId="77777777" w:rsidR="00DE7C62" w:rsidRPr="005745C3" w:rsidRDefault="00DE7C62" w:rsidP="00870594">
            <w:pPr>
              <w:jc w:val="center"/>
              <w:rPr>
                <w:color w:val="000000" w:themeColor="text1"/>
                <w:sz w:val="20"/>
                <w:szCs w:val="22"/>
              </w:rPr>
            </w:pPr>
            <w:r w:rsidRPr="005745C3">
              <w:rPr>
                <w:color w:val="000000" w:themeColor="text1"/>
                <w:sz w:val="20"/>
                <w:szCs w:val="22"/>
              </w:rPr>
              <w:t>20%</w:t>
            </w:r>
          </w:p>
        </w:tc>
        <w:tc>
          <w:tcPr>
            <w:tcW w:w="1121" w:type="pct"/>
            <w:shd w:val="clear" w:color="auto" w:fill="auto"/>
            <w:noWrap/>
            <w:vAlign w:val="bottom"/>
          </w:tcPr>
          <w:p w14:paraId="006392EC" w14:textId="77777777" w:rsidR="00DE7C62" w:rsidRPr="005745C3" w:rsidRDefault="00DE7C62" w:rsidP="00870594">
            <w:pPr>
              <w:jc w:val="center"/>
              <w:rPr>
                <w:color w:val="000000" w:themeColor="text1"/>
                <w:sz w:val="20"/>
                <w:szCs w:val="22"/>
              </w:rPr>
            </w:pPr>
            <w:r w:rsidRPr="005745C3">
              <w:rPr>
                <w:color w:val="000000" w:themeColor="text1"/>
                <w:sz w:val="20"/>
                <w:szCs w:val="22"/>
              </w:rPr>
              <w:t>222</w:t>
            </w:r>
          </w:p>
        </w:tc>
        <w:tc>
          <w:tcPr>
            <w:tcW w:w="1121" w:type="pct"/>
          </w:tcPr>
          <w:p w14:paraId="07081705" w14:textId="77777777" w:rsidR="00DE7C62" w:rsidRPr="005745C3" w:rsidRDefault="00DE7C62" w:rsidP="00870594">
            <w:pPr>
              <w:jc w:val="center"/>
              <w:rPr>
                <w:color w:val="000000" w:themeColor="text1"/>
                <w:sz w:val="20"/>
                <w:szCs w:val="22"/>
              </w:rPr>
            </w:pPr>
            <w:r w:rsidRPr="005745C3">
              <w:rPr>
                <w:color w:val="000000" w:themeColor="text1"/>
                <w:sz w:val="20"/>
                <w:szCs w:val="22"/>
              </w:rPr>
              <w:t>66</w:t>
            </w:r>
          </w:p>
        </w:tc>
      </w:tr>
    </w:tbl>
    <w:p w14:paraId="132BACC6" w14:textId="77777777" w:rsidR="00CE43AA" w:rsidRDefault="00CE43AA" w:rsidP="00A725CB">
      <w:bookmarkStart w:id="131" w:name="_Toc470619583"/>
      <w:bookmarkStart w:id="132" w:name="_Toc511134211"/>
      <w:bookmarkEnd w:id="130"/>
    </w:p>
    <w:p w14:paraId="0D8FF376" w14:textId="77777777" w:rsidR="00CE43AA" w:rsidRDefault="00CE43AA" w:rsidP="00A725CB"/>
    <w:p w14:paraId="667BACF0" w14:textId="77777777" w:rsidR="00BA2D25" w:rsidRPr="00341ED8" w:rsidRDefault="5B621C54" w:rsidP="00CE43AA">
      <w:pPr>
        <w:pStyle w:val="Heading2"/>
        <w:keepNext w:val="0"/>
        <w:spacing w:before="120"/>
      </w:pPr>
      <w:bookmarkStart w:id="133" w:name="_Toc2803221"/>
      <w:r>
        <w:t>4.2 Measure Case Costs</w:t>
      </w:r>
      <w:bookmarkEnd w:id="131"/>
      <w:bookmarkEnd w:id="132"/>
      <w:bookmarkEnd w:id="133"/>
      <w:r w:rsidR="001D6954">
        <w:t xml:space="preserve"> </w:t>
      </w:r>
    </w:p>
    <w:p w14:paraId="31A6606F" w14:textId="2E86052D" w:rsidR="00DE7C62" w:rsidRDefault="00DE7C62" w:rsidP="00DE7C62">
      <w:r>
        <w:t xml:space="preserve">As with the </w:t>
      </w:r>
      <w:r w:rsidR="00414579">
        <w:t>b</w:t>
      </w:r>
      <w:r>
        <w:t xml:space="preserve">ase </w:t>
      </w:r>
      <w:r w:rsidR="00414579">
        <w:t xml:space="preserve">case </w:t>
      </w:r>
      <w:r>
        <w:t>LED cost</w:t>
      </w:r>
      <w:r w:rsidR="00414579">
        <w:t>s</w:t>
      </w:r>
      <w:r>
        <w:t xml:space="preserve"> above, Measure case </w:t>
      </w:r>
      <w:r w:rsidRPr="00F22325">
        <w:t>LED</w:t>
      </w:r>
      <w:r>
        <w:rPr>
          <w:b/>
        </w:rPr>
        <w:t xml:space="preserve"> </w:t>
      </w:r>
      <w:r w:rsidRPr="00F22325">
        <w:t>fixture p</w:t>
      </w:r>
      <w:r>
        <w:t xml:space="preserve">ricing was determined from deemed program applications </w:t>
      </w:r>
      <w:r w:rsidR="006A47E9">
        <w:t>reviewed</w:t>
      </w:r>
      <w:r>
        <w:t xml:space="preserve"> from 3/1/2018 to 11/30/2018, from products with efficacies of 120 lm/W and higher. Because application data does not cover every lumen bin in this workpaper, </w:t>
      </w:r>
      <w:r w:rsidR="006A47E9">
        <w:t xml:space="preserve">and 70% of applications were not conclusively matched to DLC products, </w:t>
      </w:r>
      <w:r>
        <w:t>the cost</w:t>
      </w:r>
      <w:r w:rsidR="00414579">
        <w:t xml:space="preserve"> data is normalized by light output and</w:t>
      </w:r>
      <w:r>
        <w:t xml:space="preserve"> is based on the average cost per thousand lumens of light output for fixtures </w:t>
      </w:r>
      <w:r w:rsidR="006A47E9">
        <w:t>at and above</w:t>
      </w:r>
      <w:r>
        <w:t xml:space="preserve"> 120 lm/W. LED Base c</w:t>
      </w:r>
      <w:r w:rsidR="006A47E9">
        <w:t>osts for all measures are $19.63</w:t>
      </w:r>
      <w:r>
        <w:t xml:space="preserve"> per </w:t>
      </w:r>
      <w:proofErr w:type="spellStart"/>
      <w:r w:rsidR="00BD3DC3">
        <w:t>kilo</w:t>
      </w:r>
      <w:r>
        <w:t>lumens</w:t>
      </w:r>
      <w:proofErr w:type="spellEnd"/>
      <w:r>
        <w:t xml:space="preserve"> of light output at the midpoint of the lumen bin.</w:t>
      </w:r>
    </w:p>
    <w:p w14:paraId="56CE55B8" w14:textId="77777777" w:rsidR="00900ACF" w:rsidRPr="007732F4" w:rsidRDefault="00900ACF" w:rsidP="00900ACF">
      <w:pPr>
        <w:pStyle w:val="ListParagraph"/>
      </w:pPr>
    </w:p>
    <w:p w14:paraId="44BB540D" w14:textId="77777777" w:rsidR="00272F07" w:rsidRDefault="00F178CD" w:rsidP="00F178CD">
      <w:r>
        <w:t>The labor cost used is $187.14 per WO017 for lift accessible fixtures</w:t>
      </w:r>
      <w:r>
        <w:rPr>
          <w:rStyle w:val="EndnoteReference"/>
        </w:rPr>
        <w:endnoteReference w:id="19"/>
      </w:r>
      <w:r>
        <w:t xml:space="preserve">.  </w:t>
      </w:r>
    </w:p>
    <w:p w14:paraId="61945940" w14:textId="77777777" w:rsidR="00CE43AA" w:rsidRDefault="00CE43AA" w:rsidP="00A725CB">
      <w:bookmarkStart w:id="134" w:name="_Toc511134212"/>
    </w:p>
    <w:p w14:paraId="1330E6FC" w14:textId="77777777" w:rsidR="000B0167" w:rsidRDefault="5B621C54" w:rsidP="00CE43AA">
      <w:pPr>
        <w:pStyle w:val="Heading2"/>
        <w:keepNext w:val="0"/>
        <w:spacing w:before="120"/>
      </w:pPr>
      <w:bookmarkStart w:id="135" w:name="_Toc2803222"/>
      <w:r>
        <w:t>4.3 Incremental &amp; Full Measure Costs</w:t>
      </w:r>
      <w:bookmarkEnd w:id="134"/>
      <w:bookmarkEnd w:id="135"/>
    </w:p>
    <w:p w14:paraId="561A1941" w14:textId="77777777" w:rsidR="00A1187A" w:rsidRDefault="006A47E9" w:rsidP="008D68EE">
      <w:r>
        <w:t>Incremental and full measure costs are determined using the Base and Measure case costs, as well as the labor cost, above.</w:t>
      </w:r>
    </w:p>
    <w:p w14:paraId="4247A5EF" w14:textId="77777777" w:rsidR="008D68EE" w:rsidRPr="008D68EE" w:rsidRDefault="008D68EE" w:rsidP="008B5D54">
      <w:pPr>
        <w:spacing w:line="120" w:lineRule="auto"/>
      </w:pPr>
    </w:p>
    <w:p w14:paraId="51B59B10" w14:textId="5334A451" w:rsidR="00C65AE2" w:rsidRDefault="00C65AE2" w:rsidP="00C65AE2">
      <w:pPr>
        <w:pStyle w:val="Caption"/>
        <w:keepNext/>
        <w:jc w:val="center"/>
      </w:pPr>
      <w:bookmarkStart w:id="136" w:name="_Toc511134177"/>
      <w:bookmarkStart w:id="137" w:name="_Toc2803244"/>
      <w:r>
        <w:t xml:space="preserve">Table </w:t>
      </w:r>
      <w:fldSimple w:instr=" SEQ Table \* ARABIC ">
        <w:r w:rsidR="00491759">
          <w:rPr>
            <w:noProof/>
          </w:rPr>
          <w:t>21</w:t>
        </w:r>
      </w:fldSimple>
      <w:r w:rsidR="004E7A72">
        <w:t>:</w:t>
      </w:r>
      <w:r>
        <w:t xml:space="preserve"> Full and Incremental Measure Cost Equations</w:t>
      </w:r>
      <w:bookmarkEnd w:id="136"/>
      <w:bookmarkEnd w:id="137"/>
    </w:p>
    <w:tbl>
      <w:tblPr>
        <w:tblStyle w:val="TableGrid1"/>
        <w:tblW w:w="5000" w:type="pct"/>
        <w:tblLook w:val="01E0" w:firstRow="1" w:lastRow="1" w:firstColumn="1" w:lastColumn="1" w:noHBand="0" w:noVBand="0"/>
      </w:tblPr>
      <w:tblGrid>
        <w:gridCol w:w="1278"/>
        <w:gridCol w:w="2879"/>
        <w:gridCol w:w="2840"/>
        <w:gridCol w:w="2939"/>
      </w:tblGrid>
      <w:tr w:rsidR="00C65AE2" w:rsidRPr="00500C4E" w14:paraId="6C730F88" w14:textId="77777777" w:rsidTr="00CE43AA">
        <w:tc>
          <w:tcPr>
            <w:tcW w:w="643" w:type="pct"/>
            <w:vMerge w:val="restart"/>
            <w:shd w:val="clear" w:color="auto" w:fill="D9D9D9" w:themeFill="background1" w:themeFillShade="D9"/>
          </w:tcPr>
          <w:p w14:paraId="3F0A9B77" w14:textId="77777777" w:rsidR="00C65AE2" w:rsidRPr="005745C3" w:rsidRDefault="5B621C54" w:rsidP="5B621C54">
            <w:pPr>
              <w:rPr>
                <w:rFonts w:ascii="Times New Roman" w:hAnsi="Times New Roman"/>
                <w:b/>
                <w:bCs/>
                <w:sz w:val="20"/>
                <w:szCs w:val="20"/>
                <w:highlight w:val="yellow"/>
              </w:rPr>
            </w:pPr>
            <w:r w:rsidRPr="005745C3">
              <w:rPr>
                <w:rFonts w:ascii="Times New Roman" w:hAnsi="Times New Roman"/>
                <w:b/>
                <w:bCs/>
                <w:sz w:val="20"/>
                <w:szCs w:val="20"/>
              </w:rPr>
              <w:t>Installation Type</w:t>
            </w:r>
          </w:p>
        </w:tc>
        <w:tc>
          <w:tcPr>
            <w:tcW w:w="1449" w:type="pct"/>
            <w:vMerge w:val="restart"/>
            <w:shd w:val="clear" w:color="auto" w:fill="D9D9D9" w:themeFill="background1" w:themeFillShade="D9"/>
          </w:tcPr>
          <w:p w14:paraId="14FAF83A" w14:textId="77777777" w:rsidR="00C65AE2" w:rsidRPr="005745C3" w:rsidRDefault="5B621C54" w:rsidP="5B621C54">
            <w:pPr>
              <w:rPr>
                <w:rFonts w:ascii="Times New Roman" w:hAnsi="Times New Roman"/>
                <w:b/>
                <w:bCs/>
                <w:sz w:val="20"/>
                <w:szCs w:val="20"/>
              </w:rPr>
            </w:pPr>
            <w:r w:rsidRPr="005745C3">
              <w:rPr>
                <w:rFonts w:ascii="Times New Roman" w:hAnsi="Times New Roman"/>
                <w:b/>
                <w:bCs/>
                <w:sz w:val="20"/>
                <w:szCs w:val="20"/>
              </w:rPr>
              <w:t>Incremental Measure Cost</w:t>
            </w:r>
          </w:p>
        </w:tc>
        <w:tc>
          <w:tcPr>
            <w:tcW w:w="2908" w:type="pct"/>
            <w:gridSpan w:val="2"/>
            <w:shd w:val="clear" w:color="auto" w:fill="D9D9D9" w:themeFill="background1" w:themeFillShade="D9"/>
          </w:tcPr>
          <w:p w14:paraId="7B11944C" w14:textId="77777777" w:rsidR="00C65AE2" w:rsidRPr="005745C3" w:rsidRDefault="5B621C54" w:rsidP="5B621C54">
            <w:pPr>
              <w:rPr>
                <w:rFonts w:ascii="Times New Roman" w:hAnsi="Times New Roman"/>
                <w:b/>
                <w:bCs/>
                <w:sz w:val="20"/>
                <w:szCs w:val="20"/>
                <w:highlight w:val="yellow"/>
              </w:rPr>
            </w:pPr>
            <w:r w:rsidRPr="005745C3">
              <w:rPr>
                <w:rFonts w:ascii="Times New Roman" w:hAnsi="Times New Roman"/>
                <w:b/>
                <w:bCs/>
                <w:sz w:val="20"/>
                <w:szCs w:val="20"/>
              </w:rPr>
              <w:t>Full Measure Cost</w:t>
            </w:r>
          </w:p>
        </w:tc>
      </w:tr>
      <w:tr w:rsidR="00C65AE2" w:rsidRPr="00500C4E" w14:paraId="1D150A74" w14:textId="77777777" w:rsidTr="00CE43AA">
        <w:tc>
          <w:tcPr>
            <w:tcW w:w="643" w:type="pct"/>
            <w:vMerge/>
            <w:shd w:val="clear" w:color="auto" w:fill="D9D9D9" w:themeFill="background1" w:themeFillShade="D9"/>
          </w:tcPr>
          <w:p w14:paraId="1527D237" w14:textId="77777777" w:rsidR="00C65AE2" w:rsidRPr="005745C3" w:rsidRDefault="00C65AE2" w:rsidP="009704D6">
            <w:pPr>
              <w:rPr>
                <w:rFonts w:ascii="Times New Roman" w:hAnsi="Times New Roman"/>
                <w:b/>
                <w:sz w:val="20"/>
                <w:szCs w:val="20"/>
              </w:rPr>
            </w:pPr>
          </w:p>
        </w:tc>
        <w:tc>
          <w:tcPr>
            <w:tcW w:w="1449" w:type="pct"/>
            <w:vMerge/>
            <w:shd w:val="clear" w:color="auto" w:fill="D9D9D9" w:themeFill="background1" w:themeFillShade="D9"/>
          </w:tcPr>
          <w:p w14:paraId="33B83A8F" w14:textId="77777777" w:rsidR="00C65AE2" w:rsidRPr="005745C3" w:rsidRDefault="00C65AE2" w:rsidP="009704D6">
            <w:pPr>
              <w:rPr>
                <w:rFonts w:ascii="Times New Roman" w:hAnsi="Times New Roman"/>
                <w:b/>
                <w:sz w:val="20"/>
                <w:szCs w:val="20"/>
              </w:rPr>
            </w:pPr>
          </w:p>
        </w:tc>
        <w:tc>
          <w:tcPr>
            <w:tcW w:w="1429" w:type="pct"/>
            <w:shd w:val="clear" w:color="auto" w:fill="F2F2F2" w:themeFill="background1" w:themeFillShade="F2"/>
          </w:tcPr>
          <w:p w14:paraId="3DAB4ABA" w14:textId="77777777" w:rsidR="00C65AE2" w:rsidRPr="005745C3" w:rsidRDefault="5B621C54" w:rsidP="5B621C54">
            <w:pPr>
              <w:rPr>
                <w:rFonts w:ascii="Times New Roman" w:hAnsi="Times New Roman"/>
                <w:b/>
                <w:bCs/>
                <w:sz w:val="20"/>
                <w:szCs w:val="20"/>
              </w:rPr>
            </w:pPr>
            <w:r w:rsidRPr="005745C3">
              <w:rPr>
                <w:rFonts w:ascii="Times New Roman" w:hAnsi="Times New Roman"/>
                <w:b/>
                <w:bCs/>
                <w:sz w:val="20"/>
                <w:szCs w:val="20"/>
              </w:rPr>
              <w:t>1</w:t>
            </w:r>
            <w:r w:rsidRPr="005745C3">
              <w:rPr>
                <w:rFonts w:ascii="Times New Roman" w:hAnsi="Times New Roman"/>
                <w:b/>
                <w:bCs/>
                <w:sz w:val="20"/>
                <w:szCs w:val="20"/>
                <w:vertAlign w:val="superscript"/>
              </w:rPr>
              <w:t>st</w:t>
            </w:r>
            <w:r w:rsidRPr="005745C3">
              <w:rPr>
                <w:rFonts w:ascii="Times New Roman" w:hAnsi="Times New Roman"/>
                <w:b/>
                <w:bCs/>
                <w:sz w:val="20"/>
                <w:szCs w:val="20"/>
              </w:rPr>
              <w:t xml:space="preserve"> Baseline</w:t>
            </w:r>
          </w:p>
        </w:tc>
        <w:tc>
          <w:tcPr>
            <w:tcW w:w="1479" w:type="pct"/>
            <w:shd w:val="clear" w:color="auto" w:fill="F2F2F2" w:themeFill="background1" w:themeFillShade="F2"/>
          </w:tcPr>
          <w:p w14:paraId="6F5EA60C" w14:textId="77777777" w:rsidR="00C65AE2" w:rsidRPr="005745C3" w:rsidRDefault="5B621C54" w:rsidP="5B621C54">
            <w:pPr>
              <w:rPr>
                <w:rFonts w:ascii="Times New Roman" w:hAnsi="Times New Roman"/>
                <w:b/>
                <w:bCs/>
                <w:sz w:val="20"/>
                <w:szCs w:val="20"/>
              </w:rPr>
            </w:pPr>
            <w:r w:rsidRPr="005745C3">
              <w:rPr>
                <w:rFonts w:ascii="Times New Roman" w:hAnsi="Times New Roman"/>
                <w:b/>
                <w:bCs/>
                <w:sz w:val="20"/>
                <w:szCs w:val="20"/>
              </w:rPr>
              <w:t>2</w:t>
            </w:r>
            <w:r w:rsidRPr="005745C3">
              <w:rPr>
                <w:rFonts w:ascii="Times New Roman" w:hAnsi="Times New Roman"/>
                <w:b/>
                <w:bCs/>
                <w:sz w:val="20"/>
                <w:szCs w:val="20"/>
                <w:vertAlign w:val="superscript"/>
              </w:rPr>
              <w:t>nd</w:t>
            </w:r>
            <w:r w:rsidRPr="005745C3">
              <w:rPr>
                <w:rFonts w:ascii="Times New Roman" w:hAnsi="Times New Roman"/>
                <w:b/>
                <w:bCs/>
                <w:sz w:val="20"/>
                <w:szCs w:val="20"/>
              </w:rPr>
              <w:t xml:space="preserve"> Baseline</w:t>
            </w:r>
          </w:p>
        </w:tc>
      </w:tr>
      <w:tr w:rsidR="00C65AE2" w:rsidRPr="00500C4E" w14:paraId="19651B6F" w14:textId="77777777" w:rsidTr="00CE43AA">
        <w:tc>
          <w:tcPr>
            <w:tcW w:w="643" w:type="pct"/>
          </w:tcPr>
          <w:p w14:paraId="4B3ED3CA" w14:textId="4928BEDB" w:rsidR="00C65AE2" w:rsidRPr="005745C3" w:rsidRDefault="006A47E9" w:rsidP="009704D6">
            <w:pPr>
              <w:rPr>
                <w:rFonts w:ascii="Times New Roman" w:hAnsi="Times New Roman"/>
                <w:sz w:val="20"/>
                <w:szCs w:val="20"/>
              </w:rPr>
            </w:pPr>
            <w:r w:rsidRPr="005745C3">
              <w:rPr>
                <w:rFonts w:ascii="Times New Roman" w:hAnsi="Times New Roman"/>
                <w:sz w:val="20"/>
                <w:szCs w:val="20"/>
              </w:rPr>
              <w:t>NR</w:t>
            </w:r>
            <w:r w:rsidR="00426DA9">
              <w:rPr>
                <w:rFonts w:ascii="Times New Roman" w:hAnsi="Times New Roman"/>
                <w:sz w:val="20"/>
                <w:szCs w:val="20"/>
              </w:rPr>
              <w:t>/ROB</w:t>
            </w:r>
          </w:p>
        </w:tc>
        <w:tc>
          <w:tcPr>
            <w:tcW w:w="1449" w:type="pct"/>
            <w:vMerge w:val="restart"/>
          </w:tcPr>
          <w:p w14:paraId="444FC972" w14:textId="77777777" w:rsidR="00C65AE2" w:rsidRPr="005745C3" w:rsidRDefault="5B621C54" w:rsidP="009704D6">
            <w:pPr>
              <w:rPr>
                <w:rFonts w:ascii="Times New Roman" w:hAnsi="Times New Roman"/>
                <w:sz w:val="20"/>
                <w:szCs w:val="20"/>
              </w:rPr>
            </w:pPr>
            <w:r w:rsidRPr="005745C3">
              <w:rPr>
                <w:rFonts w:ascii="Times New Roman" w:hAnsi="Times New Roman"/>
                <w:sz w:val="20"/>
                <w:szCs w:val="20"/>
              </w:rPr>
              <w:t>(MEC + MLC) – (BEC + BLC)</w:t>
            </w:r>
          </w:p>
        </w:tc>
        <w:tc>
          <w:tcPr>
            <w:tcW w:w="1429" w:type="pct"/>
            <w:vMerge w:val="restart"/>
          </w:tcPr>
          <w:p w14:paraId="43EFE4D1" w14:textId="77777777" w:rsidR="00C65AE2" w:rsidRPr="005745C3" w:rsidRDefault="5B621C54" w:rsidP="009704D6">
            <w:pPr>
              <w:rPr>
                <w:rFonts w:ascii="Times New Roman" w:hAnsi="Times New Roman"/>
                <w:sz w:val="20"/>
                <w:szCs w:val="20"/>
              </w:rPr>
            </w:pPr>
            <w:r w:rsidRPr="005745C3">
              <w:rPr>
                <w:rFonts w:ascii="Times New Roman" w:hAnsi="Times New Roman"/>
                <w:sz w:val="20"/>
                <w:szCs w:val="20"/>
              </w:rPr>
              <w:t>(MEC + MLC) – (BEC + BLC)</w:t>
            </w:r>
          </w:p>
        </w:tc>
        <w:tc>
          <w:tcPr>
            <w:tcW w:w="1479" w:type="pct"/>
            <w:vMerge w:val="restart"/>
          </w:tcPr>
          <w:p w14:paraId="652A0DED" w14:textId="77777777" w:rsidR="00C65AE2" w:rsidRPr="005745C3" w:rsidRDefault="5B621C54" w:rsidP="009704D6">
            <w:pPr>
              <w:rPr>
                <w:rFonts w:ascii="Times New Roman" w:hAnsi="Times New Roman"/>
                <w:sz w:val="20"/>
                <w:szCs w:val="20"/>
              </w:rPr>
            </w:pPr>
            <w:r w:rsidRPr="005745C3">
              <w:rPr>
                <w:rFonts w:ascii="Times New Roman" w:hAnsi="Times New Roman"/>
                <w:sz w:val="20"/>
                <w:szCs w:val="20"/>
              </w:rPr>
              <w:t>N/A</w:t>
            </w:r>
          </w:p>
        </w:tc>
      </w:tr>
      <w:tr w:rsidR="00C65AE2" w:rsidRPr="00500C4E" w14:paraId="1BE21F95" w14:textId="77777777" w:rsidTr="00CE43AA">
        <w:tc>
          <w:tcPr>
            <w:tcW w:w="643" w:type="pct"/>
          </w:tcPr>
          <w:p w14:paraId="56DA3F19" w14:textId="77777777" w:rsidR="00C65AE2" w:rsidRPr="005745C3" w:rsidRDefault="5B621C54" w:rsidP="009704D6">
            <w:pPr>
              <w:rPr>
                <w:rFonts w:ascii="Times New Roman" w:hAnsi="Times New Roman"/>
                <w:sz w:val="20"/>
                <w:szCs w:val="20"/>
              </w:rPr>
            </w:pPr>
            <w:r w:rsidRPr="005745C3">
              <w:rPr>
                <w:rFonts w:ascii="Times New Roman" w:hAnsi="Times New Roman"/>
                <w:sz w:val="20"/>
                <w:szCs w:val="20"/>
              </w:rPr>
              <w:t>NEW/NC</w:t>
            </w:r>
          </w:p>
        </w:tc>
        <w:tc>
          <w:tcPr>
            <w:tcW w:w="1449" w:type="pct"/>
            <w:vMerge/>
          </w:tcPr>
          <w:p w14:paraId="0DB390C1" w14:textId="77777777" w:rsidR="00C65AE2" w:rsidRPr="005745C3" w:rsidRDefault="00C65AE2" w:rsidP="009704D6">
            <w:pPr>
              <w:rPr>
                <w:rFonts w:ascii="Times New Roman" w:hAnsi="Times New Roman"/>
                <w:sz w:val="20"/>
                <w:szCs w:val="20"/>
              </w:rPr>
            </w:pPr>
          </w:p>
        </w:tc>
        <w:tc>
          <w:tcPr>
            <w:tcW w:w="1429" w:type="pct"/>
            <w:vMerge/>
          </w:tcPr>
          <w:p w14:paraId="3CC4FA74" w14:textId="77777777" w:rsidR="00C65AE2" w:rsidRPr="005745C3" w:rsidRDefault="00C65AE2" w:rsidP="009704D6">
            <w:pPr>
              <w:rPr>
                <w:rFonts w:ascii="Times New Roman" w:hAnsi="Times New Roman"/>
                <w:sz w:val="20"/>
                <w:szCs w:val="20"/>
              </w:rPr>
            </w:pPr>
          </w:p>
        </w:tc>
        <w:tc>
          <w:tcPr>
            <w:tcW w:w="1479" w:type="pct"/>
            <w:vMerge/>
          </w:tcPr>
          <w:p w14:paraId="6BC912C6" w14:textId="77777777" w:rsidR="00C65AE2" w:rsidRPr="005745C3" w:rsidRDefault="00C65AE2" w:rsidP="009704D6">
            <w:pPr>
              <w:rPr>
                <w:rFonts w:ascii="Times New Roman" w:hAnsi="Times New Roman"/>
                <w:sz w:val="20"/>
                <w:szCs w:val="20"/>
              </w:rPr>
            </w:pPr>
          </w:p>
        </w:tc>
      </w:tr>
      <w:tr w:rsidR="00C65AE2" w:rsidRPr="00500C4E" w14:paraId="27AA0E62" w14:textId="77777777" w:rsidTr="00CE43AA">
        <w:tc>
          <w:tcPr>
            <w:tcW w:w="643" w:type="pct"/>
          </w:tcPr>
          <w:p w14:paraId="4CE24F1A" w14:textId="3B2EB8AB" w:rsidR="00C65AE2" w:rsidRPr="005745C3" w:rsidRDefault="006A47E9" w:rsidP="009704D6">
            <w:pPr>
              <w:rPr>
                <w:rFonts w:ascii="Times New Roman" w:hAnsi="Times New Roman"/>
                <w:sz w:val="20"/>
                <w:szCs w:val="20"/>
              </w:rPr>
            </w:pPr>
            <w:r w:rsidRPr="005745C3">
              <w:rPr>
                <w:rFonts w:ascii="Times New Roman" w:hAnsi="Times New Roman"/>
                <w:sz w:val="20"/>
                <w:szCs w:val="20"/>
              </w:rPr>
              <w:t>AR</w:t>
            </w:r>
            <w:r w:rsidR="00426DA9">
              <w:rPr>
                <w:rFonts w:ascii="Times New Roman" w:hAnsi="Times New Roman"/>
                <w:sz w:val="20"/>
                <w:szCs w:val="20"/>
              </w:rPr>
              <w:t>/ER</w:t>
            </w:r>
            <w:bookmarkStart w:id="138" w:name="_GoBack"/>
            <w:bookmarkEnd w:id="138"/>
          </w:p>
        </w:tc>
        <w:tc>
          <w:tcPr>
            <w:tcW w:w="1449" w:type="pct"/>
          </w:tcPr>
          <w:p w14:paraId="21016639" w14:textId="77777777" w:rsidR="00C65AE2" w:rsidRPr="005745C3" w:rsidRDefault="5B621C54" w:rsidP="009704D6">
            <w:pPr>
              <w:rPr>
                <w:rFonts w:ascii="Times New Roman" w:hAnsi="Times New Roman"/>
                <w:sz w:val="20"/>
                <w:szCs w:val="20"/>
              </w:rPr>
            </w:pPr>
            <w:r w:rsidRPr="005745C3">
              <w:rPr>
                <w:rFonts w:ascii="Times New Roman" w:hAnsi="Times New Roman"/>
                <w:sz w:val="20"/>
                <w:szCs w:val="20"/>
              </w:rPr>
              <w:t>(MEC + MLC) – (BEC + BLC)</w:t>
            </w:r>
          </w:p>
        </w:tc>
        <w:tc>
          <w:tcPr>
            <w:tcW w:w="1429" w:type="pct"/>
          </w:tcPr>
          <w:p w14:paraId="4DBB6103" w14:textId="77777777" w:rsidR="00C65AE2" w:rsidRPr="005745C3" w:rsidRDefault="5B621C54" w:rsidP="009704D6">
            <w:pPr>
              <w:rPr>
                <w:rFonts w:ascii="Times New Roman" w:hAnsi="Times New Roman"/>
                <w:sz w:val="20"/>
                <w:szCs w:val="20"/>
              </w:rPr>
            </w:pPr>
            <w:r w:rsidRPr="005745C3">
              <w:rPr>
                <w:rFonts w:ascii="Times New Roman" w:hAnsi="Times New Roman"/>
                <w:sz w:val="20"/>
                <w:szCs w:val="20"/>
              </w:rPr>
              <w:t>MEC + MLC</w:t>
            </w:r>
          </w:p>
        </w:tc>
        <w:tc>
          <w:tcPr>
            <w:tcW w:w="1479" w:type="pct"/>
          </w:tcPr>
          <w:p w14:paraId="288594CC" w14:textId="77777777" w:rsidR="00C65AE2" w:rsidRPr="005745C3" w:rsidRDefault="5B621C54" w:rsidP="009704D6">
            <w:pPr>
              <w:rPr>
                <w:rFonts w:ascii="Times New Roman" w:hAnsi="Times New Roman"/>
                <w:sz w:val="20"/>
                <w:szCs w:val="20"/>
              </w:rPr>
            </w:pPr>
            <w:r w:rsidRPr="005745C3">
              <w:rPr>
                <w:rFonts w:ascii="Times New Roman" w:hAnsi="Times New Roman"/>
                <w:sz w:val="20"/>
                <w:szCs w:val="20"/>
              </w:rPr>
              <w:t>(MEC + MLC) – (BEC + BLC)</w:t>
            </w:r>
          </w:p>
        </w:tc>
      </w:tr>
      <w:tr w:rsidR="00C65AE2" w:rsidRPr="00500C4E" w14:paraId="2855B6E3" w14:textId="77777777" w:rsidTr="00CE43AA">
        <w:tc>
          <w:tcPr>
            <w:tcW w:w="643" w:type="pct"/>
          </w:tcPr>
          <w:p w14:paraId="41F688E3" w14:textId="3A979B44" w:rsidR="00C65AE2" w:rsidRPr="005745C3" w:rsidRDefault="5B621C54" w:rsidP="009704D6">
            <w:pPr>
              <w:rPr>
                <w:rFonts w:ascii="Times New Roman" w:hAnsi="Times New Roman"/>
                <w:sz w:val="20"/>
                <w:szCs w:val="20"/>
              </w:rPr>
            </w:pPr>
            <w:r w:rsidRPr="005745C3">
              <w:rPr>
                <w:rFonts w:ascii="Times New Roman" w:hAnsi="Times New Roman"/>
                <w:sz w:val="20"/>
                <w:szCs w:val="20"/>
              </w:rPr>
              <w:lastRenderedPageBreak/>
              <w:t>RE</w:t>
            </w:r>
            <w:r w:rsidR="00406C29">
              <w:rPr>
                <w:rFonts w:ascii="Times New Roman" w:hAnsi="Times New Roman"/>
                <w:sz w:val="20"/>
                <w:szCs w:val="20"/>
              </w:rPr>
              <w:t>T</w:t>
            </w:r>
          </w:p>
        </w:tc>
        <w:tc>
          <w:tcPr>
            <w:tcW w:w="1449" w:type="pct"/>
          </w:tcPr>
          <w:p w14:paraId="29EE4AA7" w14:textId="77777777" w:rsidR="00C65AE2" w:rsidRPr="005745C3" w:rsidRDefault="5B621C54" w:rsidP="009704D6">
            <w:pPr>
              <w:rPr>
                <w:rFonts w:ascii="Times New Roman" w:hAnsi="Times New Roman"/>
                <w:sz w:val="20"/>
                <w:szCs w:val="20"/>
              </w:rPr>
            </w:pPr>
            <w:r w:rsidRPr="005745C3">
              <w:rPr>
                <w:rFonts w:ascii="Times New Roman" w:hAnsi="Times New Roman"/>
                <w:sz w:val="20"/>
                <w:szCs w:val="20"/>
              </w:rPr>
              <w:t>(MEC + MLC) – (BEC + BLC)</w:t>
            </w:r>
          </w:p>
        </w:tc>
        <w:tc>
          <w:tcPr>
            <w:tcW w:w="1429" w:type="pct"/>
          </w:tcPr>
          <w:p w14:paraId="35B2A882" w14:textId="77777777" w:rsidR="00C65AE2" w:rsidRPr="005745C3" w:rsidRDefault="5B621C54" w:rsidP="009704D6">
            <w:pPr>
              <w:rPr>
                <w:rFonts w:ascii="Times New Roman" w:hAnsi="Times New Roman"/>
                <w:sz w:val="20"/>
                <w:szCs w:val="20"/>
              </w:rPr>
            </w:pPr>
            <w:r w:rsidRPr="005745C3">
              <w:rPr>
                <w:rFonts w:ascii="Times New Roman" w:hAnsi="Times New Roman"/>
                <w:sz w:val="20"/>
                <w:szCs w:val="20"/>
              </w:rPr>
              <w:t>MEC + MLC</w:t>
            </w:r>
          </w:p>
        </w:tc>
        <w:tc>
          <w:tcPr>
            <w:tcW w:w="1479" w:type="pct"/>
          </w:tcPr>
          <w:p w14:paraId="21F753C7" w14:textId="77777777" w:rsidR="00C65AE2" w:rsidRPr="005745C3" w:rsidRDefault="5B621C54" w:rsidP="009704D6">
            <w:pPr>
              <w:rPr>
                <w:rFonts w:ascii="Times New Roman" w:hAnsi="Times New Roman"/>
                <w:sz w:val="20"/>
                <w:szCs w:val="20"/>
              </w:rPr>
            </w:pPr>
            <w:r w:rsidRPr="005745C3">
              <w:rPr>
                <w:rFonts w:ascii="Times New Roman" w:hAnsi="Times New Roman"/>
                <w:sz w:val="20"/>
                <w:szCs w:val="20"/>
              </w:rPr>
              <w:t>N/A</w:t>
            </w:r>
          </w:p>
        </w:tc>
      </w:tr>
      <w:tr w:rsidR="00C65AE2" w:rsidRPr="00500C4E" w14:paraId="4060DBE7" w14:textId="77777777" w:rsidTr="00CE43AA">
        <w:tc>
          <w:tcPr>
            <w:tcW w:w="643" w:type="pct"/>
          </w:tcPr>
          <w:p w14:paraId="7B55E1C7" w14:textId="15AA8122" w:rsidR="00C65AE2" w:rsidRPr="005745C3" w:rsidRDefault="00426DA9" w:rsidP="009704D6">
            <w:pPr>
              <w:rPr>
                <w:rFonts w:ascii="Times New Roman" w:hAnsi="Times New Roman"/>
                <w:sz w:val="20"/>
                <w:szCs w:val="20"/>
              </w:rPr>
            </w:pPr>
            <w:r>
              <w:rPr>
                <w:rFonts w:ascii="Times New Roman" w:hAnsi="Times New Roman"/>
                <w:sz w:val="20"/>
                <w:szCs w:val="20"/>
              </w:rPr>
              <w:t>AOE/</w:t>
            </w:r>
            <w:r w:rsidR="5B621C54" w:rsidRPr="005745C3">
              <w:rPr>
                <w:rFonts w:ascii="Times New Roman" w:hAnsi="Times New Roman"/>
                <w:sz w:val="20"/>
                <w:szCs w:val="20"/>
              </w:rPr>
              <w:t>REA</w:t>
            </w:r>
          </w:p>
        </w:tc>
        <w:tc>
          <w:tcPr>
            <w:tcW w:w="1449" w:type="pct"/>
          </w:tcPr>
          <w:p w14:paraId="28C37BCA" w14:textId="77777777" w:rsidR="00C65AE2" w:rsidRPr="005745C3" w:rsidRDefault="5B621C54" w:rsidP="009704D6">
            <w:pPr>
              <w:rPr>
                <w:rFonts w:ascii="Times New Roman" w:hAnsi="Times New Roman"/>
                <w:sz w:val="20"/>
                <w:szCs w:val="20"/>
              </w:rPr>
            </w:pPr>
            <w:r w:rsidRPr="005745C3">
              <w:rPr>
                <w:rFonts w:ascii="Times New Roman" w:hAnsi="Times New Roman"/>
                <w:sz w:val="20"/>
                <w:szCs w:val="20"/>
              </w:rPr>
              <w:t>MEC + MLC</w:t>
            </w:r>
          </w:p>
        </w:tc>
        <w:tc>
          <w:tcPr>
            <w:tcW w:w="1429" w:type="pct"/>
          </w:tcPr>
          <w:p w14:paraId="6E70CED2" w14:textId="77777777" w:rsidR="00C65AE2" w:rsidRPr="005745C3" w:rsidRDefault="5B621C54" w:rsidP="009704D6">
            <w:pPr>
              <w:rPr>
                <w:rFonts w:ascii="Times New Roman" w:hAnsi="Times New Roman"/>
                <w:sz w:val="20"/>
                <w:szCs w:val="20"/>
              </w:rPr>
            </w:pPr>
            <w:r w:rsidRPr="005745C3">
              <w:rPr>
                <w:rFonts w:ascii="Times New Roman" w:hAnsi="Times New Roman"/>
                <w:sz w:val="20"/>
                <w:szCs w:val="20"/>
              </w:rPr>
              <w:t>MEC + MLC</w:t>
            </w:r>
          </w:p>
        </w:tc>
        <w:tc>
          <w:tcPr>
            <w:tcW w:w="1479" w:type="pct"/>
          </w:tcPr>
          <w:p w14:paraId="78BB3157" w14:textId="77777777" w:rsidR="00C65AE2" w:rsidRPr="005745C3" w:rsidRDefault="5B621C54" w:rsidP="009704D6">
            <w:pPr>
              <w:rPr>
                <w:rFonts w:ascii="Times New Roman" w:hAnsi="Times New Roman"/>
                <w:sz w:val="20"/>
                <w:szCs w:val="20"/>
              </w:rPr>
            </w:pPr>
            <w:r w:rsidRPr="005745C3">
              <w:rPr>
                <w:rFonts w:ascii="Times New Roman" w:hAnsi="Times New Roman"/>
                <w:sz w:val="20"/>
                <w:szCs w:val="20"/>
              </w:rPr>
              <w:t>N/A</w:t>
            </w:r>
          </w:p>
        </w:tc>
      </w:tr>
    </w:tbl>
    <w:p w14:paraId="5EE10C26" w14:textId="77777777" w:rsidR="00C65AE2" w:rsidRPr="00920905" w:rsidRDefault="5B621C54" w:rsidP="00CE43AA">
      <w:pPr>
        <w:spacing w:before="60"/>
        <w:rPr>
          <w:sz w:val="20"/>
          <w:szCs w:val="20"/>
        </w:rPr>
      </w:pPr>
      <w:r w:rsidRPr="5B621C54">
        <w:rPr>
          <w:sz w:val="20"/>
          <w:szCs w:val="20"/>
        </w:rPr>
        <w:t>MEC = Measure Equipment Cost; MLC = Measure Labor Cost</w:t>
      </w:r>
    </w:p>
    <w:p w14:paraId="7A9C08D5" w14:textId="77777777" w:rsidR="00C65AE2" w:rsidRDefault="5B621C54" w:rsidP="00C65AE2">
      <w:r w:rsidRPr="5B621C54">
        <w:rPr>
          <w:sz w:val="20"/>
          <w:szCs w:val="20"/>
        </w:rPr>
        <w:t>BEC = Base Case Equipment Cost; BLC = Base Case Labor Cost</w:t>
      </w:r>
    </w:p>
    <w:p w14:paraId="4F0BDD52" w14:textId="77777777" w:rsidR="00FA16B6" w:rsidRPr="007732F4" w:rsidRDefault="00FA16B6" w:rsidP="00FA16B6"/>
    <w:p w14:paraId="15367C11" w14:textId="77777777" w:rsidR="00C65AE2" w:rsidRDefault="5B621C54" w:rsidP="00C65AE2">
      <w:r>
        <w:t>For the complete list of incremental and full measure costs</w:t>
      </w:r>
      <w:r w:rsidR="00F6124E">
        <w:t xml:space="preserve"> for all options</w:t>
      </w:r>
      <w:r>
        <w:t xml:space="preserve">, see the </w:t>
      </w:r>
      <w:r w:rsidR="006A47E9">
        <w:t xml:space="preserve">Workpaper calculations </w:t>
      </w:r>
      <w:r>
        <w:t>spreadsheet that accompanies this workpaper.</w:t>
      </w:r>
    </w:p>
    <w:p w14:paraId="66425384" w14:textId="77777777" w:rsidR="001D18FB" w:rsidRDefault="001D18FB" w:rsidP="00C65AE2"/>
    <w:p w14:paraId="198AE9C3" w14:textId="77777777" w:rsidR="00E3478D" w:rsidRDefault="00E3478D" w:rsidP="00C65AE2"/>
    <w:p w14:paraId="0136AC85" w14:textId="77777777" w:rsidR="00E40958" w:rsidRPr="00C65AE2" w:rsidRDefault="00E40958" w:rsidP="00C65AE2">
      <w:pPr>
        <w:sectPr w:rsidR="00E40958" w:rsidRPr="00C65AE2" w:rsidSect="00DD2DB8">
          <w:endnotePr>
            <w:numFmt w:val="decimal"/>
          </w:endnotePr>
          <w:pgSz w:w="12240" w:h="15840"/>
          <w:pgMar w:top="1440" w:right="1260" w:bottom="1440" w:left="1260" w:header="720" w:footer="720" w:gutter="0"/>
          <w:pgNumType w:start="1"/>
          <w:cols w:space="720"/>
          <w:docGrid w:linePitch="360"/>
        </w:sectPr>
      </w:pPr>
    </w:p>
    <w:p w14:paraId="29851327" w14:textId="0F1B9D7F" w:rsidR="001C312F" w:rsidRDefault="001C312F" w:rsidP="008A6AB8">
      <w:pPr>
        <w:pStyle w:val="Heading1"/>
        <w:spacing w:before="120"/>
      </w:pPr>
      <w:bookmarkStart w:id="139" w:name="_Toc2803223"/>
      <w:bookmarkStart w:id="140" w:name="_Toc511134213"/>
      <w:r>
        <w:lastRenderedPageBreak/>
        <w:t>Attachments</w:t>
      </w:r>
      <w:bookmarkEnd w:id="139"/>
    </w:p>
    <w:p w14:paraId="713C98C8" w14:textId="77777777" w:rsidR="001C312F" w:rsidRPr="00F719D2" w:rsidRDefault="006A47E9" w:rsidP="00F3000B">
      <w:pPr>
        <w:spacing w:before="200"/>
      </w:pPr>
      <w:r w:rsidRPr="006A47E9">
        <w:t>GarageBaseEfficacy_LightingFacts_201812</w:t>
      </w:r>
      <w:r w:rsidR="004A1C95" w:rsidRPr="00F719D2">
        <w:t>.xlsx</w:t>
      </w:r>
    </w:p>
    <w:p w14:paraId="6C7C010E" w14:textId="04C391EA" w:rsidR="002C31DC" w:rsidRDefault="002C31DC" w:rsidP="00F3000B">
      <w:pPr>
        <w:spacing w:before="200"/>
      </w:pPr>
      <w:r w:rsidRPr="002C31DC">
        <w:t xml:space="preserve">PGECOLTG151 R9 LED Outdoor </w:t>
      </w:r>
      <w:proofErr w:type="spellStart"/>
      <w:r w:rsidRPr="002C31DC">
        <w:t>Ltg</w:t>
      </w:r>
      <w:proofErr w:type="spellEnd"/>
      <w:r w:rsidRPr="002C31DC">
        <w:t xml:space="preserve"> Calc_Mar2019</w:t>
      </w:r>
      <w:r>
        <w:t>.xlsx</w:t>
      </w:r>
    </w:p>
    <w:p w14:paraId="3CBE1F4A" w14:textId="44453778" w:rsidR="001C312F" w:rsidRDefault="00E24407" w:rsidP="00F3000B">
      <w:pPr>
        <w:spacing w:before="200"/>
        <w:rPr>
          <w:rFonts w:ascii="Arial" w:hAnsi="Arial" w:cs="Arial"/>
          <w:b/>
          <w:bCs/>
          <w:kern w:val="32"/>
          <w:sz w:val="32"/>
          <w:szCs w:val="32"/>
        </w:rPr>
      </w:pPr>
      <w:r w:rsidRPr="006F5A6B">
        <w:t>Copy of TLED Cost Data_FEB2019</w:t>
      </w:r>
      <w:r>
        <w:t xml:space="preserve">.xlsx </w:t>
      </w:r>
      <w:r w:rsidR="001C312F">
        <w:br w:type="page"/>
      </w:r>
    </w:p>
    <w:p w14:paraId="64C32808" w14:textId="77777777" w:rsidR="000B0167" w:rsidRPr="008A1DA4" w:rsidRDefault="5B621C54" w:rsidP="004C1EF7">
      <w:pPr>
        <w:pStyle w:val="Heading1"/>
        <w:spacing w:after="0"/>
      </w:pPr>
      <w:bookmarkStart w:id="141" w:name="_Toc2803224"/>
      <w:r>
        <w:lastRenderedPageBreak/>
        <w:t>References</w:t>
      </w:r>
      <w:bookmarkEnd w:id="140"/>
      <w:bookmarkEnd w:id="141"/>
    </w:p>
    <w:sectPr w:rsidR="000B0167" w:rsidRPr="008A1DA4" w:rsidSect="00A343AA">
      <w:endnotePr>
        <w:numFmt w:val="decimal"/>
      </w:endnotePr>
      <w:pgSz w:w="12240" w:h="15840"/>
      <w:pgMar w:top="1440" w:right="1440" w:bottom="1440" w:left="1440" w:header="720" w:footer="720" w:gutter="0"/>
      <w:cols w:space="720"/>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22DAECE5" w15:done="0"/>
  <w15:commentEx w15:paraId="7844CDE7" w15:done="0"/>
  <w15:commentEx w15:paraId="58DD5A3B" w15:done="0"/>
  <w15:commentEx w15:paraId="51EE5D20"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22DAECE5" w16cid:durableId="202A0656"/>
  <w16cid:commentId w16cid:paraId="7844CDE7" w16cid:durableId="202A0669"/>
  <w16cid:commentId w16cid:paraId="58DD5A3B" w16cid:durableId="202A0A8F"/>
  <w16cid:commentId w16cid:paraId="51EE5D20" w16cid:durableId="202A0C35"/>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D4C81F5" w14:textId="77777777" w:rsidR="00EF785F" w:rsidRPr="002E217D" w:rsidRDefault="00EF785F" w:rsidP="002E217D">
      <w:pPr>
        <w:pStyle w:val="Footer"/>
      </w:pPr>
    </w:p>
  </w:endnote>
  <w:endnote w:type="continuationSeparator" w:id="0">
    <w:p w14:paraId="78E183E5" w14:textId="77777777" w:rsidR="00EF785F" w:rsidRPr="002E217D" w:rsidRDefault="00EF785F" w:rsidP="002E217D">
      <w:pPr>
        <w:pStyle w:val="Footer"/>
      </w:pPr>
    </w:p>
  </w:endnote>
  <w:endnote w:type="continuationNotice" w:id="1">
    <w:p w14:paraId="22C35757" w14:textId="77777777" w:rsidR="00EF785F" w:rsidRDefault="00EF785F"/>
  </w:endnote>
  <w:endnote w:id="2">
    <w:p w14:paraId="3D72DD16" w14:textId="77777777" w:rsidR="005F1C69" w:rsidRDefault="005F1C69">
      <w:pPr>
        <w:pStyle w:val="EndnoteText"/>
      </w:pPr>
      <w:r>
        <w:rPr>
          <w:rStyle w:val="EndnoteReference"/>
        </w:rPr>
        <w:endnoteRef/>
      </w:r>
      <w:r>
        <w:t xml:space="preserve"> National Electrical Manufacturers Association (NEMA) 2Q 2017 Sales Data </w:t>
      </w:r>
      <w:hyperlink r:id="rId1" w:history="1">
        <w:r w:rsidRPr="004C4992">
          <w:rPr>
            <w:rStyle w:val="Hyperlink"/>
          </w:rPr>
          <w:t>https://www.nema.org/Intelligence/Indices/Pages/Linear-Fluorescent-Lamp-Indexes-Continue-to-Decline-in-Second-Quarter-2017-while-T-LED-Market-Penetration-Increases.aspx</w:t>
        </w:r>
      </w:hyperlink>
    </w:p>
  </w:endnote>
  <w:endnote w:id="3">
    <w:p w14:paraId="7A9874BF" w14:textId="77777777" w:rsidR="005F1C69" w:rsidRDefault="005F1C69">
      <w:pPr>
        <w:pStyle w:val="EndnoteText"/>
      </w:pPr>
    </w:p>
    <w:p w14:paraId="45C3C8D5" w14:textId="77777777" w:rsidR="005F1C69" w:rsidRDefault="005F1C69">
      <w:pPr>
        <w:pStyle w:val="EndnoteText"/>
      </w:pPr>
      <w:r>
        <w:rPr>
          <w:rStyle w:val="EndnoteReference"/>
        </w:rPr>
        <w:endnoteRef/>
      </w:r>
      <w:r>
        <w:t xml:space="preserve"> Navigant Consulting, </w:t>
      </w:r>
      <w:hyperlink r:id="rId2" w:history="1">
        <w:r w:rsidRPr="00C2089A">
          <w:rPr>
            <w:rStyle w:val="Hyperlink"/>
          </w:rPr>
          <w:t>California LED Pricing Analysis, January 2018</w:t>
        </w:r>
      </w:hyperlink>
      <w:r>
        <w:t xml:space="preserve"> </w:t>
      </w:r>
    </w:p>
  </w:endnote>
  <w:endnote w:id="4">
    <w:p w14:paraId="3F7F872C" w14:textId="77777777" w:rsidR="005F1C69" w:rsidRPr="0076474B" w:rsidRDefault="005F1C69" w:rsidP="009B509C">
      <w:pPr>
        <w:pStyle w:val="EndnoteText"/>
        <w:rPr>
          <w:rFonts w:ascii="Arial" w:hAnsi="Arial" w:cs="Arial"/>
        </w:rPr>
      </w:pPr>
      <w:r w:rsidRPr="0076474B">
        <w:rPr>
          <w:rStyle w:val="EndnoteReference"/>
          <w:rFonts w:ascii="Arial" w:hAnsi="Arial" w:cs="Arial"/>
        </w:rPr>
        <w:endnoteRef/>
      </w:r>
      <w:r w:rsidRPr="0076474B">
        <w:rPr>
          <w:rFonts w:ascii="Arial" w:hAnsi="Arial" w:cs="Arial"/>
        </w:rPr>
        <w:t xml:space="preserve"> https://www.designlights.org/search/</w:t>
      </w:r>
    </w:p>
  </w:endnote>
  <w:endnote w:id="5">
    <w:p w14:paraId="6CBD08D0" w14:textId="77777777" w:rsidR="005F1C69" w:rsidRDefault="005F1C69" w:rsidP="71903359">
      <w:pPr>
        <w:pStyle w:val="EndnoteText"/>
        <w:rPr>
          <w:rFonts w:cs="Arial"/>
          <w:i/>
          <w:iCs/>
        </w:rPr>
      </w:pPr>
      <w:r>
        <w:rPr>
          <w:rStyle w:val="EndnoteReference"/>
        </w:rPr>
        <w:endnoteRef/>
      </w:r>
      <w:r>
        <w:t xml:space="preserve"> </w:t>
      </w:r>
      <w:r w:rsidRPr="00784500">
        <w:rPr>
          <w:rFonts w:cs="Arial"/>
        </w:rPr>
        <w:t xml:space="preserve">The </w:t>
      </w:r>
      <w:r>
        <w:rPr>
          <w:rFonts w:cs="Arial"/>
        </w:rPr>
        <w:t>table “Measure Application Type” in the Measure Catalog can be found on the Database for Energy-Efficient Resources (</w:t>
      </w:r>
      <w:r w:rsidRPr="00784500">
        <w:rPr>
          <w:rFonts w:cs="Arial"/>
        </w:rPr>
        <w:t>DEER</w:t>
      </w:r>
      <w:r>
        <w:rPr>
          <w:rFonts w:cs="Arial"/>
        </w:rPr>
        <w:t>) website</w:t>
      </w:r>
      <w:r w:rsidRPr="00784500">
        <w:rPr>
          <w:rFonts w:cs="Arial"/>
        </w:rPr>
        <w:t xml:space="preserve"> </w:t>
      </w:r>
      <w:hyperlink r:id="rId3" w:history="1">
        <w:r w:rsidRPr="005376F2">
          <w:rPr>
            <w:rStyle w:val="Hyperlink"/>
            <w:rFonts w:cs="Arial"/>
          </w:rPr>
          <w:t>www.deeresources.com</w:t>
        </w:r>
      </w:hyperlink>
      <w:r w:rsidRPr="71903359">
        <w:rPr>
          <w:rFonts w:cs="Arial"/>
          <w:i/>
          <w:iCs/>
        </w:rPr>
        <w:t>.</w:t>
      </w:r>
    </w:p>
    <w:p w14:paraId="2B07F772" w14:textId="77777777" w:rsidR="005F1C69" w:rsidRDefault="005F1C69" w:rsidP="000C5B86">
      <w:pPr>
        <w:pStyle w:val="EndnoteText"/>
      </w:pPr>
    </w:p>
  </w:endnote>
  <w:endnote w:id="6">
    <w:p w14:paraId="6BAC88D5" w14:textId="77777777" w:rsidR="005F1C69" w:rsidRDefault="005F1C69" w:rsidP="0095014B">
      <w:pPr>
        <w:pStyle w:val="EndnoteText"/>
      </w:pPr>
      <w:r>
        <w:rPr>
          <w:rStyle w:val="EndnoteReference"/>
        </w:rPr>
        <w:endnoteRef/>
      </w:r>
      <w:r>
        <w:t xml:space="preserve"> California Energy Commission </w:t>
      </w:r>
      <w:r w:rsidRPr="71903359">
        <w:rPr>
          <w:i/>
          <w:iCs/>
        </w:rPr>
        <w:t xml:space="preserve">Title 20: California Appliance Regulations </w:t>
      </w:r>
      <w:r>
        <w:t xml:space="preserve">2016. </w:t>
      </w:r>
      <w:hyperlink r:id="rId4" w:history="1">
        <w:r w:rsidRPr="008C7AD0">
          <w:rPr>
            <w:rStyle w:val="Hyperlink"/>
          </w:rPr>
          <w:t>http://www.energy.ca.gov/2016publications/CEC-140-2016-001/CEC-140-2016-001-REV3.pdf</w:t>
        </w:r>
      </w:hyperlink>
      <w:r>
        <w:t xml:space="preserve"> </w:t>
      </w:r>
    </w:p>
    <w:p w14:paraId="550A4AF7" w14:textId="77777777" w:rsidR="005F1C69" w:rsidRPr="00573B26" w:rsidRDefault="005F1C69" w:rsidP="0095014B">
      <w:pPr>
        <w:pStyle w:val="EndnoteText"/>
      </w:pPr>
    </w:p>
  </w:endnote>
  <w:endnote w:id="7">
    <w:p w14:paraId="06EABBAD" w14:textId="77777777" w:rsidR="005F1C69" w:rsidRPr="00573B26" w:rsidRDefault="005F1C69" w:rsidP="71903359">
      <w:pPr>
        <w:pStyle w:val="EndnoteText"/>
        <w:rPr>
          <w:i/>
          <w:iCs/>
        </w:rPr>
      </w:pPr>
      <w:r>
        <w:rPr>
          <w:rStyle w:val="EndnoteReference"/>
        </w:rPr>
        <w:endnoteRef/>
      </w:r>
      <w:r>
        <w:t xml:space="preserve"> </w:t>
      </w:r>
      <w:proofErr w:type="gramStart"/>
      <w:r>
        <w:t xml:space="preserve">DOE </w:t>
      </w:r>
      <w:r w:rsidRPr="71903359">
        <w:rPr>
          <w:i/>
          <w:iCs/>
        </w:rPr>
        <w:t>Energy Conservation Standards for Metal Halide Lamp Fixtures; Final Rule.</w:t>
      </w:r>
      <w:proofErr w:type="gramEnd"/>
      <w:r w:rsidRPr="71903359">
        <w:rPr>
          <w:i/>
          <w:iCs/>
        </w:rPr>
        <w:t xml:space="preserve"> </w:t>
      </w:r>
      <w:hyperlink r:id="rId5" w:history="1">
        <w:r w:rsidRPr="008C7AD0">
          <w:rPr>
            <w:rStyle w:val="Hyperlink"/>
          </w:rPr>
          <w:t>https://www.regulations.gov/document?D=EERE-2009-BT-STD-0018-0072</w:t>
        </w:r>
      </w:hyperlink>
      <w:r w:rsidRPr="71903359">
        <w:rPr>
          <w:i/>
          <w:iCs/>
        </w:rPr>
        <w:t xml:space="preserve"> </w:t>
      </w:r>
    </w:p>
  </w:endnote>
  <w:endnote w:id="8">
    <w:p w14:paraId="762E9C6F" w14:textId="77777777" w:rsidR="005F1C69" w:rsidRDefault="005F1C69" w:rsidP="00AC481F">
      <w:r w:rsidRPr="00AC481F">
        <w:rPr>
          <w:sz w:val="20"/>
          <w:szCs w:val="20"/>
        </w:rPr>
        <w:t>Electronic Code of Federal Regulations, Title 10, §430.32</w:t>
      </w:r>
      <w:r>
        <w:rPr>
          <w:sz w:val="20"/>
          <w:szCs w:val="20"/>
        </w:rPr>
        <w:t xml:space="preserve">, </w:t>
      </w:r>
    </w:p>
    <w:p w14:paraId="75343E30" w14:textId="77777777" w:rsidR="005F1C69" w:rsidRDefault="00EF785F" w:rsidP="00C8767E">
      <w:pPr>
        <w:pStyle w:val="EndnoteText"/>
      </w:pPr>
      <w:hyperlink r:id="rId6" w:history="1">
        <w:r w:rsidR="005F1C69" w:rsidRPr="00023ECC">
          <w:rPr>
            <w:rStyle w:val="Hyperlink"/>
          </w:rPr>
          <w:t>https://www.ecfr.gov/cgi-bin/text-idx?SID=2fed8aa79758a538d0878801f58a3312&amp;mc=true&amp;node=se10.3.430_132&amp;rgn=div8</w:t>
        </w:r>
      </w:hyperlink>
      <w:r w:rsidR="005F1C69">
        <w:t xml:space="preserve"> </w:t>
      </w:r>
    </w:p>
    <w:p w14:paraId="7042BEFB" w14:textId="77777777" w:rsidR="005F1C69" w:rsidRDefault="005F1C69" w:rsidP="00C8767E">
      <w:pPr>
        <w:pStyle w:val="EndnoteText"/>
      </w:pPr>
    </w:p>
    <w:p w14:paraId="4BA593A7" w14:textId="77777777" w:rsidR="005F1C69" w:rsidRDefault="005F1C69" w:rsidP="00C8767E">
      <w:pPr>
        <w:pStyle w:val="EndnoteText"/>
      </w:pPr>
      <w:r>
        <w:rPr>
          <w:rStyle w:val="EndnoteReference"/>
        </w:rPr>
        <w:endnoteRef/>
      </w:r>
      <w:r>
        <w:t xml:space="preserve"> </w:t>
      </w:r>
      <w:proofErr w:type="gramStart"/>
      <w:r w:rsidRPr="00930C2C">
        <w:t xml:space="preserve">DOE Solid-State Lighting </w:t>
      </w:r>
      <w:proofErr w:type="spellStart"/>
      <w:r w:rsidRPr="00930C2C">
        <w:t>CALiPER</w:t>
      </w:r>
      <w:proofErr w:type="spellEnd"/>
      <w:r w:rsidRPr="00930C2C">
        <w:t xml:space="preserve"> Program.</w:t>
      </w:r>
      <w:proofErr w:type="gramEnd"/>
      <w:r w:rsidRPr="00930C2C">
        <w:t xml:space="preserve"> </w:t>
      </w:r>
      <w:r w:rsidRPr="71903359">
        <w:rPr>
          <w:i/>
          <w:iCs/>
        </w:rPr>
        <w:t>Round 11 Summary Report</w:t>
      </w:r>
      <w:r w:rsidRPr="002800F7">
        <w:t xml:space="preserve"> (October 2010)—includes roadway arm-mount and post-top luminaires</w:t>
      </w:r>
      <w:r w:rsidRPr="00930C2C">
        <w:t>. http://www1.eere.energy.gov/buildings/ssl/reports.html</w:t>
      </w:r>
    </w:p>
    <w:p w14:paraId="2A1E39DF" w14:textId="77777777" w:rsidR="005F1C69" w:rsidRDefault="005F1C69" w:rsidP="00C8767E">
      <w:pPr>
        <w:pStyle w:val="EndnoteText"/>
      </w:pPr>
      <w:r>
        <w:t>Detailed reports for 36 LED light sources for outdoor applications (as of June 15, 2012) are available at http://www1.eere.energy.gov/buildings/ssl/caliper/default.aspx</w:t>
      </w:r>
    </w:p>
    <w:p w14:paraId="649EEF6F" w14:textId="77777777" w:rsidR="005F1C69" w:rsidRDefault="005F1C69" w:rsidP="00C8767E">
      <w:pPr>
        <w:pStyle w:val="EndnoteText"/>
      </w:pPr>
    </w:p>
  </w:endnote>
  <w:endnote w:id="9">
    <w:p w14:paraId="405463D8" w14:textId="77777777" w:rsidR="005F1C69" w:rsidRDefault="005F1C69" w:rsidP="007E1C0E">
      <w:pPr>
        <w:pStyle w:val="EndnoteText"/>
      </w:pPr>
      <w:r>
        <w:rPr>
          <w:rStyle w:val="EndnoteReference"/>
        </w:rPr>
        <w:endnoteRef/>
      </w:r>
      <w:r>
        <w:t xml:space="preserve"> National Electrical Manufacturers Association (NEMA) 2Q 2017 Sales Data </w:t>
      </w:r>
      <w:hyperlink r:id="rId7" w:history="1">
        <w:r w:rsidRPr="004C4992">
          <w:rPr>
            <w:rStyle w:val="Hyperlink"/>
          </w:rPr>
          <w:t>https://www.nema.org/Intelligence/Indices/Pages/Linear-Fluorescent-Lamp-Indexes-Continue-to-Decline-in-Second-Quarter-2017-while-T-LED-Market-Penetration-Increases.aspx</w:t>
        </w:r>
      </w:hyperlink>
    </w:p>
  </w:endnote>
  <w:endnote w:id="10">
    <w:p w14:paraId="00872C3D" w14:textId="77777777" w:rsidR="005F1C69" w:rsidRDefault="005F1C69" w:rsidP="007E1C0E">
      <w:pPr>
        <w:pStyle w:val="EndnoteText"/>
      </w:pPr>
    </w:p>
    <w:p w14:paraId="5CB8E0AC" w14:textId="77777777" w:rsidR="005F1C69" w:rsidRDefault="005F1C69" w:rsidP="007E1C0E">
      <w:pPr>
        <w:pStyle w:val="EndnoteText"/>
      </w:pPr>
      <w:r>
        <w:rPr>
          <w:rStyle w:val="EndnoteReference"/>
        </w:rPr>
        <w:endnoteRef/>
      </w:r>
      <w:r>
        <w:t xml:space="preserve"> Navigant Consulting, </w:t>
      </w:r>
      <w:hyperlink r:id="rId8" w:history="1">
        <w:r w:rsidRPr="00C2089A">
          <w:rPr>
            <w:rStyle w:val="Hyperlink"/>
          </w:rPr>
          <w:t>California LED Pricing Analysis, January 2018</w:t>
        </w:r>
      </w:hyperlink>
      <w:r>
        <w:t xml:space="preserve"> </w:t>
      </w:r>
    </w:p>
    <w:p w14:paraId="3B900F63" w14:textId="77777777" w:rsidR="005F1C69" w:rsidRDefault="005F1C69" w:rsidP="007E1C0E">
      <w:pPr>
        <w:pStyle w:val="EndnoteText"/>
      </w:pPr>
    </w:p>
  </w:endnote>
  <w:endnote w:id="11">
    <w:p w14:paraId="55F43BC5" w14:textId="77777777" w:rsidR="005F1C69" w:rsidRDefault="005F1C69" w:rsidP="00320BCC">
      <w:pPr>
        <w:pStyle w:val="EndnoteText"/>
      </w:pPr>
      <w:r>
        <w:rPr>
          <w:rStyle w:val="EndnoteReference"/>
        </w:rPr>
        <w:endnoteRef/>
      </w:r>
      <w:r>
        <w:t xml:space="preserve"> </w:t>
      </w:r>
      <w:hyperlink r:id="rId9" w:history="1">
        <w:r w:rsidRPr="00AD2B71">
          <w:rPr>
            <w:rStyle w:val="Hyperlink"/>
          </w:rPr>
          <w:t>2016 Non-Residential Lighting Market Characterization, Bonneville Power Administration, July 2017</w:t>
        </w:r>
      </w:hyperlink>
    </w:p>
  </w:endnote>
  <w:endnote w:id="12">
    <w:p w14:paraId="20AB134C" w14:textId="77777777" w:rsidR="005F1C69" w:rsidRDefault="005F1C69" w:rsidP="006600C3">
      <w:pPr>
        <w:pStyle w:val="EndnoteText"/>
      </w:pPr>
      <w:r>
        <w:rPr>
          <w:rStyle w:val="EndnoteReference"/>
        </w:rPr>
        <w:endnoteRef/>
      </w:r>
      <w:r>
        <w:t xml:space="preserve"> </w:t>
      </w:r>
      <w:proofErr w:type="spellStart"/>
      <w:r>
        <w:t>CALiPER</w:t>
      </w:r>
      <w:proofErr w:type="spellEnd"/>
      <w:r>
        <w:t xml:space="preserve"> Snapshot Report Linear Lamps (TLEDs), June 17, 2017. Accessed at </w:t>
      </w:r>
      <w:hyperlink r:id="rId10" w:history="1">
        <w:r w:rsidRPr="00C91A4B">
          <w:rPr>
            <w:rStyle w:val="Hyperlink"/>
          </w:rPr>
          <w:t>https://www.energy.gov/sites/prod/files/2016/07/f33/snapshot2016_tleds.pdf</w:t>
        </w:r>
      </w:hyperlink>
      <w:r>
        <w:t xml:space="preserve"> </w:t>
      </w:r>
    </w:p>
    <w:p w14:paraId="5E100547" w14:textId="77777777" w:rsidR="005F1C69" w:rsidRDefault="005F1C69" w:rsidP="006600C3">
      <w:pPr>
        <w:pStyle w:val="EndnoteText"/>
      </w:pPr>
    </w:p>
  </w:endnote>
  <w:endnote w:id="13">
    <w:p w14:paraId="27A75740" w14:textId="7FBBA118" w:rsidR="005F1C69" w:rsidRPr="001D18FB" w:rsidRDefault="005F1C69" w:rsidP="00006704">
      <w:pPr>
        <w:pStyle w:val="EndnoteText"/>
      </w:pPr>
      <w:r>
        <w:rPr>
          <w:rStyle w:val="EndnoteReference"/>
        </w:rPr>
        <w:endnoteRef/>
      </w:r>
      <w:r>
        <w:t xml:space="preserve"> </w:t>
      </w:r>
      <w:proofErr w:type="gramStart"/>
      <w:r>
        <w:t>Navigant Consulting.</w:t>
      </w:r>
      <w:proofErr w:type="gramEnd"/>
      <w:r w:rsidRPr="001D18FB">
        <w:t xml:space="preserve"> </w:t>
      </w:r>
      <w:r w:rsidRPr="71903359">
        <w:rPr>
          <w:i/>
          <w:iCs/>
        </w:rPr>
        <w:t xml:space="preserve">California LED Pricing Analysis – Final Draft.  </w:t>
      </w:r>
      <w:r>
        <w:t xml:space="preserve">January 2018. </w:t>
      </w:r>
      <w:hyperlink r:id="rId11" w:history="1">
        <w:r w:rsidRPr="0076474B">
          <w:rPr>
            <w:rStyle w:val="Hyperlink"/>
            <w:rFonts w:ascii="Arial" w:hAnsi="Arial" w:cs="Arial"/>
          </w:rPr>
          <w:t>http://www.calmac.org/publications/LED_Pricing_Analysis_Report_-_Revised_1.19.2018_Final.pdf</w:t>
        </w:r>
      </w:hyperlink>
      <w:r>
        <w:t xml:space="preserve"> </w:t>
      </w:r>
    </w:p>
    <w:p w14:paraId="59CAFFA6" w14:textId="77777777" w:rsidR="005F1C69" w:rsidRDefault="005F1C69" w:rsidP="00006704">
      <w:pPr>
        <w:pStyle w:val="EndnoteText"/>
      </w:pPr>
    </w:p>
  </w:endnote>
  <w:endnote w:id="14">
    <w:p w14:paraId="5BBE757E" w14:textId="77777777" w:rsidR="005F1C69" w:rsidRDefault="005F1C69">
      <w:pPr>
        <w:pStyle w:val="EndnoteText"/>
        <w:rPr>
          <w:rFonts w:ascii="Arial" w:hAnsi="Arial" w:cs="Arial"/>
        </w:rPr>
      </w:pPr>
      <w:r>
        <w:rPr>
          <w:rStyle w:val="EndnoteReference"/>
        </w:rPr>
        <w:endnoteRef/>
      </w:r>
      <w:r>
        <w:t xml:space="preserve"> </w:t>
      </w:r>
      <w:proofErr w:type="gramStart"/>
      <w:r>
        <w:t>Navigant Consulting.</w:t>
      </w:r>
      <w:proofErr w:type="gramEnd"/>
      <w:r>
        <w:t xml:space="preserve">  California LED Workpaper Update Study – Final Report.  August 28, 2015.  </w:t>
      </w:r>
      <w:hyperlink r:id="rId12" w:history="1">
        <w:r w:rsidRPr="0076474B">
          <w:rPr>
            <w:rStyle w:val="Hyperlink"/>
            <w:rFonts w:ascii="Arial" w:hAnsi="Arial" w:cs="Arial"/>
          </w:rPr>
          <w:t>http://www.calmac.org/publications/LED_Study_Report_FINAL_201510029.pdf</w:t>
        </w:r>
      </w:hyperlink>
    </w:p>
    <w:p w14:paraId="34AE5C15" w14:textId="77777777" w:rsidR="005F1C69" w:rsidRDefault="005F1C69">
      <w:pPr>
        <w:pStyle w:val="EndnoteText"/>
      </w:pPr>
    </w:p>
  </w:endnote>
  <w:endnote w:id="15">
    <w:p w14:paraId="690E7537" w14:textId="6EA044E2" w:rsidR="005F1C69" w:rsidRDefault="005F1C69">
      <w:pPr>
        <w:pStyle w:val="EndnoteText"/>
      </w:pPr>
      <w:r>
        <w:rPr>
          <w:rStyle w:val="EndnoteReference"/>
        </w:rPr>
        <w:endnoteRef/>
      </w:r>
      <w:r>
        <w:t xml:space="preserve"> TRC Energy Services, </w:t>
      </w:r>
      <w:r w:rsidRPr="00AB3DAC">
        <w:rPr>
          <w:i/>
        </w:rPr>
        <w:t>Exterior Lighting Standard Practice</w:t>
      </w:r>
      <w:r>
        <w:rPr>
          <w:i/>
        </w:rPr>
        <w:t xml:space="preserve"> Baseline and Workpaper Support – Final Report</w:t>
      </w:r>
      <w:r>
        <w:t xml:space="preserve">, December 31, 2018. </w:t>
      </w:r>
      <w:hyperlink r:id="rId13" w:history="1">
        <w:r w:rsidRPr="00C274DC">
          <w:rPr>
            <w:rStyle w:val="Hyperlink"/>
          </w:rPr>
          <w:t>http://www.calmac.org/publications/TRC_-_SCE_Ext_Lighting_SP_and_WP_Support_Final_Report.pdf</w:t>
        </w:r>
      </w:hyperlink>
      <w:r>
        <w:t xml:space="preserve"> </w:t>
      </w:r>
    </w:p>
    <w:p w14:paraId="106688CA" w14:textId="77777777" w:rsidR="005F1C69" w:rsidRPr="00AB3DAC" w:rsidRDefault="005F1C69">
      <w:pPr>
        <w:pStyle w:val="EndnoteText"/>
      </w:pPr>
    </w:p>
  </w:endnote>
  <w:endnote w:id="16">
    <w:p w14:paraId="200F6E64" w14:textId="77777777" w:rsidR="005F1C69" w:rsidRPr="00A22827" w:rsidRDefault="005F1C69" w:rsidP="001E5E81">
      <w:pPr>
        <w:pStyle w:val="EndnoteText"/>
      </w:pPr>
      <w:r>
        <w:rPr>
          <w:rStyle w:val="EndnoteReference"/>
        </w:rPr>
        <w:endnoteRef/>
      </w:r>
      <w:r>
        <w:t xml:space="preserve"> </w:t>
      </w:r>
      <w:proofErr w:type="gramStart"/>
      <w:r>
        <w:t xml:space="preserve">DOE </w:t>
      </w:r>
      <w:r w:rsidRPr="71903359">
        <w:rPr>
          <w:i/>
          <w:iCs/>
        </w:rPr>
        <w:t>Lighting Facts Database.</w:t>
      </w:r>
      <w:proofErr w:type="gramEnd"/>
      <w:r w:rsidRPr="71903359">
        <w:rPr>
          <w:i/>
          <w:iCs/>
        </w:rPr>
        <w:t xml:space="preserve"> </w:t>
      </w:r>
      <w:r>
        <w:t>March 30</w:t>
      </w:r>
      <w:r w:rsidRPr="00A22827">
        <w:rPr>
          <w:vertAlign w:val="superscript"/>
        </w:rPr>
        <w:t>th</w:t>
      </w:r>
      <w:r>
        <w:t>, 2018.</w:t>
      </w:r>
      <w:r w:rsidRPr="71903359">
        <w:rPr>
          <w:i/>
          <w:iCs/>
        </w:rPr>
        <w:t xml:space="preserve"> </w:t>
      </w:r>
      <w:hyperlink r:id="rId14" w:history="1">
        <w:r w:rsidRPr="004B6609">
          <w:rPr>
            <w:rStyle w:val="Hyperlink"/>
          </w:rPr>
          <w:t>http://lightingfacts.com/Products</w:t>
        </w:r>
      </w:hyperlink>
      <w:r>
        <w:t xml:space="preserve"> </w:t>
      </w:r>
    </w:p>
    <w:p w14:paraId="0B0AC73A" w14:textId="77777777" w:rsidR="005F1C69" w:rsidRPr="00A22827" w:rsidRDefault="005F1C69" w:rsidP="001E5E81">
      <w:pPr>
        <w:pStyle w:val="EndnoteText"/>
        <w:rPr>
          <w:i/>
        </w:rPr>
      </w:pPr>
    </w:p>
  </w:endnote>
  <w:endnote w:id="17">
    <w:p w14:paraId="3789A7D4" w14:textId="77777777" w:rsidR="005F1C69" w:rsidRDefault="005F1C69" w:rsidP="001E5E81">
      <w:pPr>
        <w:pStyle w:val="EndnoteText"/>
      </w:pPr>
      <w:r>
        <w:rPr>
          <w:rStyle w:val="EndnoteReference"/>
        </w:rPr>
        <w:endnoteRef/>
      </w:r>
      <w:r>
        <w:t xml:space="preserve"> </w:t>
      </w:r>
      <w:proofErr w:type="gramStart"/>
      <w:r>
        <w:t>DOE and Pacific Northwest National Laboratory (PNNL).</w:t>
      </w:r>
      <w:proofErr w:type="gramEnd"/>
      <w:r>
        <w:t xml:space="preserve"> </w:t>
      </w:r>
      <w:r w:rsidRPr="71903359">
        <w:rPr>
          <w:i/>
          <w:iCs/>
        </w:rPr>
        <w:t>Lumen Maintenance and Light Loss Factors: Consequences of Current Design Practices for LEDs</w:t>
      </w:r>
      <w:r>
        <w:t xml:space="preserve">, Figure 1, page 3. </w:t>
      </w:r>
      <w:hyperlink r:id="rId15" w:history="1">
        <w:r w:rsidRPr="0071046C">
          <w:rPr>
            <w:rStyle w:val="Hyperlink"/>
          </w:rPr>
          <w:t>http://www.pnnl.gov/main/publications/external/technical_reports/PNNL-22727.pdf</w:t>
        </w:r>
      </w:hyperlink>
    </w:p>
    <w:p w14:paraId="36F84CDA" w14:textId="77777777" w:rsidR="005F1C69" w:rsidRPr="00D54292" w:rsidRDefault="005F1C69" w:rsidP="001E5E81">
      <w:pPr>
        <w:pStyle w:val="EndnoteText"/>
        <w:rPr>
          <w:i/>
        </w:rPr>
      </w:pPr>
    </w:p>
  </w:endnote>
  <w:endnote w:id="18">
    <w:p w14:paraId="6EA9230E" w14:textId="2F78AA45" w:rsidR="005F1C69" w:rsidRDefault="005F1C69">
      <w:pPr>
        <w:pStyle w:val="EndnoteText"/>
        <w:rPr>
          <w:rStyle w:val="Hyperlink"/>
        </w:rPr>
      </w:pPr>
      <w:r>
        <w:rPr>
          <w:rStyle w:val="EndnoteReference"/>
        </w:rPr>
        <w:endnoteRef/>
      </w:r>
      <w:r>
        <w:t xml:space="preserve"> </w:t>
      </w:r>
      <w:hyperlink r:id="rId16" w:history="1">
        <w:r w:rsidRPr="00E644E9">
          <w:rPr>
            <w:rStyle w:val="Hyperlink"/>
          </w:rPr>
          <w:t>California LED Workpaper Update Study, Navigant Consulting, August 2015</w:t>
        </w:r>
      </w:hyperlink>
    </w:p>
    <w:p w14:paraId="4328E8F1" w14:textId="77777777" w:rsidR="005F1C69" w:rsidRDefault="005F1C69">
      <w:pPr>
        <w:pStyle w:val="EndnoteText"/>
      </w:pPr>
    </w:p>
  </w:endnote>
  <w:endnote w:id="19">
    <w:p w14:paraId="69B2C473" w14:textId="77777777" w:rsidR="005F1C69" w:rsidRDefault="005F1C69">
      <w:pPr>
        <w:pStyle w:val="EndnoteText"/>
      </w:pPr>
      <w:r>
        <w:rPr>
          <w:rStyle w:val="EndnoteReference"/>
        </w:rPr>
        <w:endnoteRef/>
      </w:r>
      <w:r>
        <w:t xml:space="preserve"> </w:t>
      </w:r>
      <w:r w:rsidRPr="00F178CD">
        <w:t xml:space="preserve">2010-2012 WO017 </w:t>
      </w:r>
      <w:proofErr w:type="gramStart"/>
      <w:r w:rsidRPr="00F178CD">
        <w:t>Ex</w:t>
      </w:r>
      <w:proofErr w:type="gramEnd"/>
      <w:r w:rsidRPr="00F178CD">
        <w:t xml:space="preserve"> Ante Measure Cost Study Final Report.  </w:t>
      </w:r>
      <w:proofErr w:type="gramStart"/>
      <w:r w:rsidRPr="00F178CD">
        <w:t xml:space="preserve">Submitted by:  </w:t>
      </w:r>
      <w:proofErr w:type="spellStart"/>
      <w:r w:rsidRPr="00F178CD">
        <w:t>Itron</w:t>
      </w:r>
      <w:proofErr w:type="spellEnd"/>
      <w:r w:rsidRPr="00F178CD">
        <w:t>, Inc.</w:t>
      </w:r>
      <w:proofErr w:type="gramEnd"/>
      <w:r w:rsidRPr="00F178CD">
        <w:t xml:space="preserve">  May 27, 2014.</w:t>
      </w:r>
      <w:r>
        <w:t xml:space="preserve"> Page 4-12.</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Palatino">
    <w:panose1 w:val="00000000000000000000"/>
    <w:charset w:val="00"/>
    <w:family w:val="roman"/>
    <w:notTrueType/>
    <w:pitch w:val="variable"/>
    <w:sig w:usb0="00000003" w:usb1="00000000" w:usb2="00000000" w:usb3="00000000" w:csb0="00000001" w:csb1="00000000"/>
  </w:font>
  <w:font w:name="TimesNewRomanPSMT">
    <w:altName w:val="Times New Roman"/>
    <w:panose1 w:val="00000000000000000000"/>
    <w:charset w:val="00"/>
    <w:family w:val="roman"/>
    <w:notTrueType/>
    <w:pitch w:val="default"/>
    <w:sig w:usb0="00000003" w:usb1="08070000" w:usb2="00000010" w:usb3="00000000" w:csb0="00020001"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A9C3559" w14:textId="77777777" w:rsidR="005F1C69" w:rsidRDefault="005F1C69">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35B78D32" w14:textId="77777777" w:rsidR="005F1C69" w:rsidRDefault="005F1C69">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9D463BE" w14:textId="77777777" w:rsidR="005F1C69" w:rsidRDefault="005F1C69">
    <w:pPr>
      <w:pStyle w:val="Footer"/>
      <w:framePr w:wrap="around" w:vAnchor="text" w:hAnchor="margin" w:xAlign="center" w:y="1"/>
      <w:rPr>
        <w:rStyle w:val="PageNumber"/>
        <w:b/>
        <w:sz w:val="20"/>
        <w:szCs w:val="20"/>
      </w:rPr>
    </w:pPr>
    <w:r>
      <w:rPr>
        <w:rStyle w:val="PageNumber"/>
        <w:b/>
        <w:sz w:val="20"/>
        <w:szCs w:val="20"/>
      </w:rPr>
      <w:fldChar w:fldCharType="begin"/>
    </w:r>
    <w:r>
      <w:rPr>
        <w:rStyle w:val="PageNumber"/>
        <w:b/>
        <w:sz w:val="20"/>
        <w:szCs w:val="20"/>
      </w:rPr>
      <w:instrText xml:space="preserve">PAGE  </w:instrText>
    </w:r>
    <w:r>
      <w:rPr>
        <w:rStyle w:val="PageNumber"/>
        <w:b/>
        <w:sz w:val="20"/>
        <w:szCs w:val="20"/>
      </w:rPr>
      <w:fldChar w:fldCharType="separate"/>
    </w:r>
    <w:r>
      <w:rPr>
        <w:rStyle w:val="PageNumber"/>
        <w:b/>
        <w:noProof/>
        <w:sz w:val="20"/>
        <w:szCs w:val="20"/>
      </w:rPr>
      <w:t>ii</w:t>
    </w:r>
    <w:r>
      <w:rPr>
        <w:rStyle w:val="PageNumber"/>
        <w:b/>
        <w:sz w:val="20"/>
        <w:szCs w:val="20"/>
      </w:rPr>
      <w:fldChar w:fldCharType="end"/>
    </w:r>
  </w:p>
  <w:p w14:paraId="44034691" w14:textId="77777777" w:rsidR="005F1C69" w:rsidRDefault="005F1C69" w:rsidP="5B621C54">
    <w:pPr>
      <w:pStyle w:val="Footer"/>
      <w:pBdr>
        <w:top w:val="single" w:sz="4" w:space="1" w:color="auto"/>
      </w:pBdr>
      <w:tabs>
        <w:tab w:val="clear" w:pos="8640"/>
        <w:tab w:val="right" w:pos="9360"/>
      </w:tabs>
      <w:rPr>
        <w:b/>
        <w:bCs/>
        <w:sz w:val="20"/>
        <w:szCs w:val="20"/>
      </w:rPr>
    </w:pPr>
    <w:r w:rsidRPr="5B621C54">
      <w:rPr>
        <w:b/>
        <w:bCs/>
        <w:color w:val="FF0000"/>
        <w:sz w:val="20"/>
        <w:szCs w:val="20"/>
      </w:rPr>
      <w:t xml:space="preserve">Work Paper </w:t>
    </w:r>
    <w:proofErr w:type="gramStart"/>
    <w:r w:rsidRPr="5B621C54">
      <w:rPr>
        <w:b/>
        <w:bCs/>
        <w:color w:val="FF0000"/>
        <w:sz w:val="20"/>
        <w:szCs w:val="20"/>
      </w:rPr>
      <w:t>PGE(</w:t>
    </w:r>
    <w:proofErr w:type="gramEnd"/>
    <w:r w:rsidRPr="5B621C54">
      <w:rPr>
        <w:b/>
        <w:bCs/>
        <w:color w:val="FF0000"/>
        <w:sz w:val="20"/>
        <w:szCs w:val="20"/>
      </w:rPr>
      <w:t>End-Use)###</w:t>
    </w:r>
    <w:r w:rsidRPr="5B621C54">
      <w:rPr>
        <w:b/>
        <w:bCs/>
        <w:sz w:val="20"/>
        <w:szCs w:val="20"/>
      </w:rPr>
      <w:t xml:space="preserve">, Revision </w:t>
    </w:r>
    <w:r w:rsidRPr="5B621C54">
      <w:rPr>
        <w:b/>
        <w:bCs/>
        <w:color w:val="FF0000"/>
        <w:sz w:val="20"/>
        <w:szCs w:val="20"/>
      </w:rPr>
      <w:t>X</w:t>
    </w:r>
    <w:r>
      <w:rPr>
        <w:b/>
        <w:sz w:val="20"/>
        <w:szCs w:val="20"/>
      </w:rPr>
      <w:tab/>
    </w:r>
    <w:r>
      <w:rPr>
        <w:b/>
        <w:sz w:val="20"/>
        <w:szCs w:val="20"/>
      </w:rPr>
      <w:tab/>
    </w:r>
    <w:r w:rsidRPr="5B621C54">
      <w:rPr>
        <w:b/>
        <w:bCs/>
        <w:sz w:val="20"/>
        <w:szCs w:val="20"/>
      </w:rPr>
      <w:t>11/20/2007</w:t>
    </w:r>
  </w:p>
  <w:p w14:paraId="4CB6FAA6" w14:textId="77777777" w:rsidR="005F1C69" w:rsidRDefault="005F1C69" w:rsidP="5B621C54">
    <w:pPr>
      <w:pStyle w:val="Footer"/>
      <w:rPr>
        <w:b/>
        <w:bCs/>
        <w:sz w:val="20"/>
        <w:szCs w:val="20"/>
      </w:rPr>
    </w:pPr>
    <w:r w:rsidRPr="5B621C54">
      <w:rPr>
        <w:b/>
        <w:bCs/>
        <w:sz w:val="20"/>
        <w:szCs w:val="20"/>
      </w:rPr>
      <w:t>Pacific Gas &amp; Electric Company</w:t>
    </w:r>
  </w:p>
  <w:p w14:paraId="22BA8135" w14:textId="2D8D10EF" w:rsidR="005F1C69" w:rsidRDefault="005F1C69">
    <w:pPr>
      <w:pStyle w:val="Footer"/>
      <w:rPr>
        <w:b/>
        <w:color w:val="0000FF"/>
        <w:sz w:val="20"/>
        <w:szCs w:val="20"/>
      </w:rPr>
    </w:pPr>
    <w:r>
      <w:rPr>
        <w:b/>
        <w:color w:val="0000FF"/>
        <w:sz w:val="20"/>
        <w:szCs w:val="20"/>
      </w:rPr>
      <w:fldChar w:fldCharType="begin"/>
    </w:r>
    <w:r>
      <w:rPr>
        <w:b/>
        <w:color w:val="0000FF"/>
        <w:sz w:val="20"/>
        <w:szCs w:val="20"/>
      </w:rPr>
      <w:instrText xml:space="preserve"> FILENAME </w:instrText>
    </w:r>
    <w:r>
      <w:rPr>
        <w:b/>
        <w:color w:val="0000FF"/>
        <w:sz w:val="20"/>
        <w:szCs w:val="20"/>
      </w:rPr>
      <w:fldChar w:fldCharType="separate"/>
    </w:r>
    <w:r>
      <w:rPr>
        <w:b/>
        <w:noProof/>
        <w:color w:val="0000FF"/>
        <w:sz w:val="20"/>
        <w:szCs w:val="20"/>
      </w:rPr>
      <w:t>PGECOLTG151 R9 - LED Outdoor Lighting_RK</w:t>
    </w:r>
    <w:r>
      <w:rPr>
        <w:b/>
        <w:color w:val="0000FF"/>
        <w:sz w:val="20"/>
        <w:szCs w:val="20"/>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83682E3" w14:textId="5A466B68" w:rsidR="005F1C69" w:rsidRPr="00A716CC" w:rsidRDefault="00C51636" w:rsidP="5B621C54">
    <w:pPr>
      <w:pStyle w:val="Footer"/>
      <w:jc w:val="right"/>
      <w:rPr>
        <w:rFonts w:ascii="Arial" w:hAnsi="Arial" w:cs="Arial"/>
        <w:b/>
        <w:bCs/>
      </w:rPr>
    </w:pPr>
    <w:r>
      <w:rPr>
        <w:rFonts w:ascii="Arial" w:hAnsi="Arial" w:cs="Arial"/>
        <w:b/>
        <w:bCs/>
      </w:rPr>
      <w:t>3/1</w:t>
    </w:r>
    <w:r w:rsidR="005F1C69" w:rsidRPr="5B621C54">
      <w:rPr>
        <w:rFonts w:ascii="Arial" w:hAnsi="Arial" w:cs="Arial"/>
        <w:b/>
        <w:bCs/>
      </w:rPr>
      <w:t>/201</w:t>
    </w:r>
    <w:r>
      <w:rPr>
        <w:rFonts w:ascii="Arial" w:hAnsi="Arial" w:cs="Arial"/>
        <w:b/>
        <w:bCs/>
      </w:rPr>
      <w:t>9</w:t>
    </w:r>
  </w:p>
  <w:p w14:paraId="1E4822B9" w14:textId="77777777" w:rsidR="005F1C69" w:rsidRDefault="005F1C69">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BE0020F" w14:textId="77777777" w:rsidR="005F1C69" w:rsidRDefault="005F1C69">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5BBBED23" w14:textId="77777777" w:rsidR="005F1C69" w:rsidRDefault="005F1C69">
    <w:pPr>
      <w:pStyle w:val="Foote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A65C841" w14:textId="77777777" w:rsidR="005F1C69" w:rsidRDefault="005F1C69">
    <w:pPr>
      <w:pStyle w:val="Footer"/>
      <w:framePr w:wrap="around" w:vAnchor="text" w:hAnchor="margin" w:xAlign="center" w:y="1"/>
      <w:rPr>
        <w:rStyle w:val="PageNumber"/>
        <w:b/>
        <w:sz w:val="20"/>
        <w:szCs w:val="20"/>
      </w:rPr>
    </w:pPr>
    <w:r>
      <w:rPr>
        <w:rStyle w:val="PageNumber"/>
        <w:b/>
        <w:sz w:val="20"/>
        <w:szCs w:val="20"/>
      </w:rPr>
      <w:fldChar w:fldCharType="begin"/>
    </w:r>
    <w:r>
      <w:rPr>
        <w:rStyle w:val="PageNumber"/>
        <w:b/>
        <w:sz w:val="20"/>
        <w:szCs w:val="20"/>
      </w:rPr>
      <w:instrText xml:space="preserve">PAGE  </w:instrText>
    </w:r>
    <w:r>
      <w:rPr>
        <w:rStyle w:val="PageNumber"/>
        <w:b/>
        <w:sz w:val="20"/>
        <w:szCs w:val="20"/>
      </w:rPr>
      <w:fldChar w:fldCharType="separate"/>
    </w:r>
    <w:r w:rsidR="00426DA9">
      <w:rPr>
        <w:rStyle w:val="PageNumber"/>
        <w:b/>
        <w:noProof/>
        <w:sz w:val="20"/>
        <w:szCs w:val="20"/>
      </w:rPr>
      <w:t>ii</w:t>
    </w:r>
    <w:r>
      <w:rPr>
        <w:rStyle w:val="PageNumber"/>
        <w:b/>
        <w:sz w:val="20"/>
        <w:szCs w:val="20"/>
      </w:rPr>
      <w:fldChar w:fldCharType="end"/>
    </w:r>
  </w:p>
  <w:p w14:paraId="6DC041FF" w14:textId="11DE55B2" w:rsidR="005F1C69" w:rsidRPr="001F1362" w:rsidRDefault="005F1C69" w:rsidP="5B621C54">
    <w:pPr>
      <w:pStyle w:val="Footer"/>
      <w:pBdr>
        <w:top w:val="single" w:sz="4" w:space="1" w:color="auto"/>
      </w:pBdr>
      <w:tabs>
        <w:tab w:val="clear" w:pos="8640"/>
        <w:tab w:val="right" w:pos="9360"/>
      </w:tabs>
      <w:rPr>
        <w:b/>
        <w:bCs/>
        <w:color w:val="000000" w:themeColor="text1"/>
        <w:sz w:val="20"/>
        <w:szCs w:val="20"/>
      </w:rPr>
    </w:pPr>
    <w:r w:rsidRPr="5B621C54">
      <w:rPr>
        <w:b/>
        <w:bCs/>
        <w:color w:val="000000" w:themeColor="text1"/>
        <w:sz w:val="20"/>
        <w:szCs w:val="20"/>
      </w:rPr>
      <w:t xml:space="preserve">PGECOLTG151, Revision </w:t>
    </w:r>
    <w:r>
      <w:rPr>
        <w:b/>
        <w:bCs/>
        <w:color w:val="000000" w:themeColor="text1"/>
        <w:sz w:val="20"/>
        <w:szCs w:val="20"/>
      </w:rPr>
      <w:t>9</w:t>
    </w:r>
    <w:r w:rsidRPr="001F1362">
      <w:rPr>
        <w:b/>
        <w:color w:val="000000" w:themeColor="text1"/>
        <w:sz w:val="20"/>
        <w:szCs w:val="20"/>
      </w:rPr>
      <w:tab/>
    </w:r>
    <w:r w:rsidRPr="001F1362">
      <w:rPr>
        <w:b/>
        <w:color w:val="000000" w:themeColor="text1"/>
        <w:sz w:val="20"/>
        <w:szCs w:val="20"/>
      </w:rPr>
      <w:tab/>
    </w:r>
    <w:r>
      <w:rPr>
        <w:b/>
        <w:bCs/>
        <w:color w:val="000000" w:themeColor="text1"/>
        <w:sz w:val="20"/>
        <w:szCs w:val="20"/>
      </w:rPr>
      <w:t>3/1</w:t>
    </w:r>
    <w:r w:rsidRPr="5B621C54">
      <w:rPr>
        <w:b/>
        <w:bCs/>
        <w:color w:val="000000" w:themeColor="text1"/>
        <w:sz w:val="20"/>
        <w:szCs w:val="20"/>
      </w:rPr>
      <w:t>/201</w:t>
    </w:r>
    <w:r>
      <w:rPr>
        <w:b/>
        <w:bCs/>
        <w:color w:val="000000" w:themeColor="text1"/>
        <w:sz w:val="20"/>
        <w:szCs w:val="20"/>
      </w:rPr>
      <w:t>9</w:t>
    </w:r>
  </w:p>
  <w:p w14:paraId="03B0D26B" w14:textId="77777777" w:rsidR="005F1C69" w:rsidRPr="001F1362" w:rsidRDefault="005F1C69" w:rsidP="5B621C54">
    <w:pPr>
      <w:pStyle w:val="Footer"/>
      <w:pBdr>
        <w:top w:val="single" w:sz="4" w:space="1" w:color="auto"/>
      </w:pBdr>
      <w:tabs>
        <w:tab w:val="clear" w:pos="8640"/>
        <w:tab w:val="right" w:pos="9360"/>
      </w:tabs>
      <w:rPr>
        <w:b/>
        <w:bCs/>
        <w:color w:val="000000" w:themeColor="text1"/>
        <w:sz w:val="20"/>
        <w:szCs w:val="20"/>
      </w:rPr>
    </w:pPr>
    <w:r>
      <w:rPr>
        <w:b/>
        <w:bCs/>
        <w:color w:val="000000" w:themeColor="text1"/>
        <w:sz w:val="20"/>
        <w:szCs w:val="20"/>
      </w:rPr>
      <w:t>LED Outdoor Area &amp; Street L</w:t>
    </w:r>
    <w:r w:rsidRPr="5B621C54">
      <w:rPr>
        <w:b/>
        <w:bCs/>
        <w:color w:val="000000" w:themeColor="text1"/>
        <w:sz w:val="20"/>
        <w:szCs w:val="20"/>
      </w:rPr>
      <w:t>ighting</w:t>
    </w:r>
  </w:p>
  <w:p w14:paraId="3185133C" w14:textId="77777777" w:rsidR="005F1C69" w:rsidRPr="001F1362" w:rsidRDefault="005F1C69" w:rsidP="5B621C54">
    <w:pPr>
      <w:pStyle w:val="Footer"/>
      <w:pBdr>
        <w:top w:val="single" w:sz="4" w:space="1" w:color="auto"/>
      </w:pBdr>
      <w:tabs>
        <w:tab w:val="clear" w:pos="8640"/>
        <w:tab w:val="right" w:pos="9360"/>
      </w:tabs>
      <w:rPr>
        <w:b/>
        <w:bCs/>
        <w:color w:val="000000" w:themeColor="text1"/>
        <w:sz w:val="20"/>
        <w:szCs w:val="20"/>
      </w:rPr>
    </w:pPr>
    <w:r w:rsidRPr="5B621C54">
      <w:rPr>
        <w:b/>
        <w:bCs/>
        <w:color w:val="000000" w:themeColor="text1"/>
        <w:sz w:val="20"/>
        <w:szCs w:val="20"/>
      </w:rPr>
      <w:t>Pacific Gas &amp; Electric Company</w:t>
    </w:r>
  </w:p>
  <w:p w14:paraId="593FBFC2" w14:textId="77777777" w:rsidR="005F1C69" w:rsidRPr="004E2F62" w:rsidRDefault="005F1C69">
    <w:pPr>
      <w:pStyle w:val="Footer"/>
      <w:rPr>
        <w:sz w:val="20"/>
        <w:szCs w:val="20"/>
      </w:rP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45F254E" w14:textId="77777777" w:rsidR="005F1C69" w:rsidRDefault="005F1C69" w:rsidP="5B621C54">
    <w:pPr>
      <w:pStyle w:val="Footer"/>
      <w:jc w:val="right"/>
      <w:rPr>
        <w:rFonts w:ascii="Arial" w:hAnsi="Arial" w:cs="Arial"/>
        <w:b/>
        <w:bCs/>
        <w:sz w:val="36"/>
        <w:szCs w:val="36"/>
      </w:rPr>
    </w:pPr>
    <w:r w:rsidRPr="5B621C54">
      <w:rPr>
        <w:rFonts w:ascii="Arial" w:hAnsi="Arial" w:cs="Arial"/>
        <w:b/>
        <w:bCs/>
        <w:sz w:val="36"/>
        <w:szCs w:val="36"/>
      </w:rPr>
      <w:t>Date of Last Revision</w:t>
    </w:r>
  </w:p>
  <w:p w14:paraId="01271182" w14:textId="77777777" w:rsidR="005F1C69" w:rsidRDefault="005F1C6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773BA51" w14:textId="77777777" w:rsidR="00EF785F" w:rsidRDefault="00EF785F">
      <w:r>
        <w:separator/>
      </w:r>
    </w:p>
  </w:footnote>
  <w:footnote w:type="continuationSeparator" w:id="0">
    <w:p w14:paraId="456CDD77" w14:textId="77777777" w:rsidR="00EF785F" w:rsidRDefault="00EF785F">
      <w:r>
        <w:continuationSeparator/>
      </w:r>
    </w:p>
  </w:footnote>
  <w:footnote w:type="continuationNotice" w:id="1">
    <w:p w14:paraId="497B0912" w14:textId="77777777" w:rsidR="00EF785F" w:rsidRDefault="00EF785F"/>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BA61A45" w14:textId="77777777" w:rsidR="005F1C69" w:rsidRDefault="005F1C69">
    <w:pPr>
      <w:pStyle w:val="Header"/>
    </w:pPr>
    <w:r>
      <w:rPr>
        <w:noProof/>
      </w:rPr>
      <mc:AlternateContent>
        <mc:Choice Requires="wps">
          <w:drawing>
            <wp:anchor distT="0" distB="0" distL="114300" distR="114300" simplePos="0" relativeHeight="251658242" behindDoc="1" locked="0" layoutInCell="1" allowOverlap="1" wp14:anchorId="375E1D42" wp14:editId="309549D0">
              <wp:simplePos x="0" y="0"/>
              <wp:positionH relativeFrom="margin">
                <wp:align>center</wp:align>
              </wp:positionH>
              <wp:positionV relativeFrom="margin">
                <wp:align>center</wp:align>
              </wp:positionV>
              <wp:extent cx="5525135" cy="2209800"/>
              <wp:effectExtent l="0" t="1409700" r="0" b="1276350"/>
              <wp:wrapNone/>
              <wp:docPr id="5" name="WordArt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525135" cy="2209800"/>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20C43E20" w14:textId="77777777" w:rsidR="005F1C69" w:rsidRDefault="005F1C69" w:rsidP="00BD3DC3">
                          <w:pPr>
                            <w:pStyle w:val="NormalWeb"/>
                            <w:spacing w:before="0" w:beforeAutospacing="0" w:after="0" w:afterAutospacing="0"/>
                            <w:jc w:val="center"/>
                          </w:pPr>
                          <w:r>
                            <w:rPr>
                              <w:color w:val="C0C0C0"/>
                              <w:sz w:val="2"/>
                              <w:szCs w:val="2"/>
                              <w14:textFill>
                                <w14:solidFill>
                                  <w14:srgbClr w14:val="C0C0C0">
                                    <w14:alpha w14:val="50000"/>
                                  </w14:srgbClr>
                                </w14:solidFill>
                              </w14:textFill>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WordArt 5" o:spid="_x0000_s1026" type="#_x0000_t202" style="position:absolute;margin-left:0;margin-top:0;width:435.05pt;height:174pt;rotation:-45;z-index:-251658238;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" filled="f" stroked="f">
              <v:stroke joinstyle="round"/>
              <o:lock v:ext="edit" shapetype="t"/>
              <v:textbox style="mso-fit-shape-to-text:t">
                <w:txbxContent>
                  <w:p w14:paraId="20C43E20" w14:textId="77777777" w:rsidR="005F1C69" w:rsidRDefault="005F1C69" w:rsidP="00BD3DC3">
                    <w:pPr>
                      <w:pStyle w:val="NormalWeb"/>
                      <w:spacing w:before="0" w:beforeAutospacing="0" w:after="0" w:afterAutospacing="0"/>
                      <w:jc w:val="center"/>
                    </w:pPr>
                    <w:r>
                      <w:rPr>
                        <w:color w:val="C0C0C0"/>
                        <w:sz w:val="2"/>
                        <w:szCs w:val="2"/>
                        <w14:textFill>
                          <w14:solidFill>
                            <w14:srgbClr w14:val="C0C0C0">
                              <w14:alpha w14:val="50000"/>
                            </w14:srgbClr>
                          </w14:solidFill>
                        </w14:textFill>
                      </w:rPr>
                      <w:t>DRAFT</w:t>
                    </w:r>
                  </w:p>
                </w:txbxContent>
              </v:textbox>
              <w10:wrap anchorx="margin" anchory="margin"/>
            </v:shape>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6576AF9" w14:textId="77777777" w:rsidR="005F1C69" w:rsidRDefault="005F1C69">
    <w:pPr>
      <w:pStyle w:val="Header"/>
      <w:jc w:val="right"/>
    </w:pPr>
  </w:p>
  <w:p w14:paraId="62AF7E83" w14:textId="77777777" w:rsidR="005F1C69" w:rsidRDefault="005F1C69">
    <w:pPr>
      <w:pStyle w:val="Header"/>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ECEB6EB" w14:textId="77777777" w:rsidR="005F1C69" w:rsidRDefault="00EF785F">
    <w:pPr>
      <w:pStyle w:val="Header"/>
    </w:pPr>
    <w:r>
      <w:rPr>
        <w:noProof/>
      </w:rPr>
      <w:pict w14:anchorId="6A3D8C6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 o:spid="_x0000_s2050" type="#_x0000_t136" style="position:absolute;margin-left:0;margin-top:0;width:435.05pt;height:174pt;rotation:315;z-index:-251658239;mso-position-horizontal:center;mso-position-horizontal-relative:margin;mso-position-vertical:center;mso-position-vertical-relative:margin" wrapcoords="21302 2421 14003 2421 13966 2793 14561 4562 14561 8752 11619 2328 11470 1955 10502 9124 8081 3817 7188 2141 7001 2514 5288 2421 4841 2421 4841 2886 5437 4934 5400 6890 3426 3352 2942 2514 223 2421 74 2514 112 3072 670 5586 521 15828 0 16479 74 16572 186 16945 2644 16852 3240 16293 3724 15362 3910 15828 5102 17131 5214 17038 6108 17131 6703 16852 6741 16572 6108 12941 7039 15269 8417 17503 8603 17038 10577 16945 10577 16386 10167 14617 10390 13034 11582 16107 12550 17690 12811 17038 15306 16945 15902 16852 15902 16386 15269 14803 15269 10521 15865 9869 18583 16666 19217 17969 19552 17038 20371 16945 20520 16852 20446 16200 19924 13686 19924 5307 20036 3538 21041 5586 21377 5959 21451 4934 21414 2700 21302 2421" fillcolor="silver" stroked="f">
          <v:fill opacity=".5"/>
          <v:textpath style="font-family:&quot;Times New Roman&quot;;font-size:1pt" string="DRAFT"/>
          <w10:wrap anchorx="margin" anchory="margin"/>
        </v:shape>
      </w:pic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50C78AA" w14:textId="77777777" w:rsidR="005F1C69" w:rsidRDefault="005F1C69">
    <w:pPr>
      <w:pStyle w:val="Header"/>
      <w:jc w:val="right"/>
    </w:pPr>
  </w:p>
  <w:p w14:paraId="7A7E1135" w14:textId="77777777" w:rsidR="005F1C69" w:rsidRDefault="005F1C69">
    <w:pPr>
      <w:pStyle w:val="Header"/>
      <w:jc w:val="right"/>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95CC637" w14:textId="77777777" w:rsidR="005F1C69" w:rsidRDefault="00EF785F">
    <w:pPr>
      <w:pStyle w:val="Header"/>
    </w:pPr>
    <w:r>
      <w:rPr>
        <w:noProof/>
      </w:rPr>
      <w:pict w14:anchorId="5640FF9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 o:spid="_x0000_s2049" type="#_x0000_t136" style="position:absolute;margin-left:0;margin-top:0;width:435.05pt;height:174pt;rotation:315;z-index:-251658240;mso-position-horizontal:center;mso-position-horizontal-relative:margin;mso-position-vertical:center;mso-position-vertical-relative:margin" wrapcoords="21302 2421 14003 2421 13966 2793 14561 4562 14561 8752 11619 2328 11470 1955 10502 9124 8081 3817 7188 2141 7001 2514 5288 2421 4841 2421 4841 2886 5437 4934 5400 6890 3426 3352 2942 2514 223 2421 74 2514 112 3072 670 5586 521 15828 0 16479 74 16572 186 16945 2644 16852 3240 16293 3724 15362 3910 15828 5102 17131 5214 17038 6108 17131 6703 16852 6741 16572 6108 12941 7039 15269 8417 17503 8603 17038 10577 16945 10577 16386 10167 14617 10390 13034 11582 16107 12550 17690 12811 17038 15306 16945 15902 16852 15902 16386 15269 14803 15269 10521 15865 9869 18583 16666 19217 17969 19552 17038 20371 16945 20520 16852 20446 16200 19924 13686 19924 5307 20036 3538 21041 5586 21377 5959 21451 4934 21414 2700 21302 2421" fillcolor="silver" stroked="f">
          <v:fill opacity=".5"/>
          <v:textpath style="font-family:&quot;Times New Roman&quot;;font-size:1pt" string="DRAFT"/>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80368A"/>
    <w:multiLevelType w:val="hybridMultilevel"/>
    <w:tmpl w:val="F3AEE754"/>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Wingdings"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0BD92849"/>
    <w:multiLevelType w:val="hybridMultilevel"/>
    <w:tmpl w:val="83889CE0"/>
    <w:lvl w:ilvl="0" w:tplc="04090001">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E075917"/>
    <w:multiLevelType w:val="hybridMultilevel"/>
    <w:tmpl w:val="157803F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2533EF6"/>
    <w:multiLevelType w:val="hybridMultilevel"/>
    <w:tmpl w:val="65D644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0093BEF"/>
    <w:multiLevelType w:val="hybridMultilevel"/>
    <w:tmpl w:val="212025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29853F8"/>
    <w:multiLevelType w:val="hybridMultilevel"/>
    <w:tmpl w:val="4D00688A"/>
    <w:lvl w:ilvl="0" w:tplc="2196B82A">
      <w:start w:val="1"/>
      <w:numFmt w:val="bullet"/>
      <w:lvlText w:val=""/>
      <w:lvlJc w:val="left"/>
      <w:pPr>
        <w:tabs>
          <w:tab w:val="num" w:pos="504"/>
        </w:tabs>
        <w:ind w:left="288" w:hanging="72"/>
      </w:pPr>
      <w:rPr>
        <w:rFonts w:ascii="Wingdings" w:hAnsi="Wingdings" w:hint="default"/>
      </w:rPr>
    </w:lvl>
    <w:lvl w:ilvl="1" w:tplc="C72A4F4E">
      <w:start w:val="1"/>
      <w:numFmt w:val="bullet"/>
      <w:lvlText w:val="o"/>
      <w:lvlJc w:val="left"/>
      <w:pPr>
        <w:tabs>
          <w:tab w:val="num" w:pos="720"/>
        </w:tabs>
        <w:ind w:left="792" w:hanging="144"/>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262C2542"/>
    <w:multiLevelType w:val="hybridMultilevel"/>
    <w:tmpl w:val="141485D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296539F0"/>
    <w:multiLevelType w:val="multilevel"/>
    <w:tmpl w:val="63E821D0"/>
    <w:lvl w:ilvl="0">
      <w:start w:val="1"/>
      <w:numFmt w:val="bullet"/>
      <w:pStyle w:val="ListBullet"/>
      <w:lvlText w:val=""/>
      <w:lvlJc w:val="left"/>
      <w:pPr>
        <w:tabs>
          <w:tab w:val="num" w:pos="3420"/>
        </w:tabs>
        <w:ind w:left="3420" w:hanging="360"/>
      </w:pPr>
      <w:rPr>
        <w:rFonts w:ascii="Wingdings" w:hAnsi="Wingdings" w:hint="default"/>
        <w:color w:val="996600"/>
        <w:sz w:val="24"/>
      </w:rPr>
    </w:lvl>
    <w:lvl w:ilvl="1">
      <w:start w:val="1"/>
      <w:numFmt w:val="none"/>
      <w:suff w:val="nothing"/>
      <w:lvlText w:val=""/>
      <w:lvlJc w:val="left"/>
      <w:pPr>
        <w:ind w:left="720" w:firstLine="0"/>
      </w:pPr>
      <w:rPr>
        <w:rFonts w:hint="default"/>
      </w:rPr>
    </w:lvl>
    <w:lvl w:ilvl="2">
      <w:start w:val="1"/>
      <w:numFmt w:val="bullet"/>
      <w:lvlText w:val="•"/>
      <w:lvlJc w:val="left"/>
      <w:pPr>
        <w:tabs>
          <w:tab w:val="num" w:pos="1080"/>
        </w:tabs>
        <w:ind w:left="1080" w:hanging="360"/>
      </w:pPr>
      <w:rPr>
        <w:rFonts w:ascii="Times New Roman" w:hAnsi="Times New Roman" w:cs="Times New Roman" w:hint="default"/>
        <w:color w:val="996600"/>
        <w:sz w:val="20"/>
      </w:rPr>
    </w:lvl>
    <w:lvl w:ilvl="3">
      <w:start w:val="1"/>
      <w:numFmt w:val="none"/>
      <w:suff w:val="nothing"/>
      <w:lvlText w:val=""/>
      <w:lvlJc w:val="left"/>
      <w:pPr>
        <w:ind w:left="1080" w:firstLine="0"/>
      </w:pPr>
      <w:rPr>
        <w:rFonts w:hint="default"/>
      </w:rPr>
    </w:lvl>
    <w:lvl w:ilvl="4">
      <w:start w:val="1"/>
      <w:numFmt w:val="bullet"/>
      <w:lvlText w:val=""/>
      <w:lvlJc w:val="left"/>
      <w:pPr>
        <w:tabs>
          <w:tab w:val="num" w:pos="1440"/>
        </w:tabs>
        <w:ind w:left="1440" w:hanging="360"/>
      </w:pPr>
      <w:rPr>
        <w:rFonts w:ascii="Symbol" w:hAnsi="Symbol" w:hint="default"/>
        <w:color w:val="996600"/>
      </w:rPr>
    </w:lvl>
    <w:lvl w:ilvl="5">
      <w:start w:val="1"/>
      <w:numFmt w:val="none"/>
      <w:lvlText w:val=""/>
      <w:lvlJc w:val="left"/>
      <w:pPr>
        <w:tabs>
          <w:tab w:val="num" w:pos="1440"/>
        </w:tabs>
        <w:ind w:left="1440" w:firstLine="0"/>
      </w:pPr>
      <w:rPr>
        <w:rFonts w:hint="default"/>
      </w:rPr>
    </w:lvl>
    <w:lvl w:ilvl="6">
      <w:start w:val="1"/>
      <w:numFmt w:val="none"/>
      <w:lvlText w:val=""/>
      <w:lvlJc w:val="left"/>
      <w:pPr>
        <w:tabs>
          <w:tab w:val="num" w:pos="1440"/>
        </w:tabs>
        <w:ind w:left="1440" w:firstLine="0"/>
      </w:pPr>
      <w:rPr>
        <w:rFonts w:hint="default"/>
      </w:rPr>
    </w:lvl>
    <w:lvl w:ilvl="7">
      <w:start w:val="1"/>
      <w:numFmt w:val="none"/>
      <w:lvlText w:val=""/>
      <w:lvlJc w:val="left"/>
      <w:pPr>
        <w:tabs>
          <w:tab w:val="num" w:pos="1440"/>
        </w:tabs>
        <w:ind w:left="1440" w:firstLine="0"/>
      </w:pPr>
      <w:rPr>
        <w:rFonts w:hint="default"/>
      </w:rPr>
    </w:lvl>
    <w:lvl w:ilvl="8">
      <w:start w:val="1"/>
      <w:numFmt w:val="none"/>
      <w:lvlText w:val=""/>
      <w:lvlJc w:val="left"/>
      <w:pPr>
        <w:tabs>
          <w:tab w:val="num" w:pos="1440"/>
        </w:tabs>
        <w:ind w:left="1440" w:firstLine="0"/>
      </w:pPr>
      <w:rPr>
        <w:rFonts w:hint="default"/>
      </w:rPr>
    </w:lvl>
  </w:abstractNum>
  <w:abstractNum w:abstractNumId="8">
    <w:nsid w:val="2BF34593"/>
    <w:multiLevelType w:val="hybridMultilevel"/>
    <w:tmpl w:val="FC609F12"/>
    <w:lvl w:ilvl="0" w:tplc="0409000F">
      <w:start w:val="1"/>
      <w:numFmt w:val="decimal"/>
      <w:lvlText w:val="%1."/>
      <w:lvlJc w:val="left"/>
      <w:pPr>
        <w:ind w:left="720" w:hanging="360"/>
      </w:p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312F0831"/>
    <w:multiLevelType w:val="hybridMultilevel"/>
    <w:tmpl w:val="C7E67E70"/>
    <w:lvl w:ilvl="0" w:tplc="04090015">
      <w:start w:val="1"/>
      <w:numFmt w:val="upp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324778D9"/>
    <w:multiLevelType w:val="hybridMultilevel"/>
    <w:tmpl w:val="42EA91EA"/>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33DB03AC"/>
    <w:multiLevelType w:val="hybridMultilevel"/>
    <w:tmpl w:val="2130B9E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6EE132F"/>
    <w:multiLevelType w:val="hybridMultilevel"/>
    <w:tmpl w:val="5F42BA46"/>
    <w:lvl w:ilvl="0" w:tplc="9FEA6CB2">
      <w:start w:val="1"/>
      <w:numFmt w:val="decimal"/>
      <w:lvlText w:val="%1."/>
      <w:lvlJc w:val="left"/>
      <w:pPr>
        <w:ind w:left="720" w:hanging="360"/>
      </w:pPr>
      <w:rPr>
        <w:color w:val="000000" w:themeColor="text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38E43B07"/>
    <w:multiLevelType w:val="hybridMultilevel"/>
    <w:tmpl w:val="656407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3DDA2262"/>
    <w:multiLevelType w:val="hybridMultilevel"/>
    <w:tmpl w:val="AEC8DBA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45C307C0"/>
    <w:multiLevelType w:val="hybridMultilevel"/>
    <w:tmpl w:val="A7A6F5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482876EA"/>
    <w:multiLevelType w:val="hybridMultilevel"/>
    <w:tmpl w:val="03A64866"/>
    <w:lvl w:ilvl="0" w:tplc="04090015">
      <w:start w:val="1"/>
      <w:numFmt w:val="upp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50F21CE8"/>
    <w:multiLevelType w:val="hybridMultilevel"/>
    <w:tmpl w:val="2F680EDA"/>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56967246"/>
    <w:multiLevelType w:val="hybridMultilevel"/>
    <w:tmpl w:val="62F4A16E"/>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6C05C0D"/>
    <w:multiLevelType w:val="hybridMultilevel"/>
    <w:tmpl w:val="67C8E7B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5925229D"/>
    <w:multiLevelType w:val="hybridMultilevel"/>
    <w:tmpl w:val="B3AE87E8"/>
    <w:lvl w:ilvl="0" w:tplc="9CEA5FC6">
      <w:start w:val="1"/>
      <w:numFmt w:val="bullet"/>
      <w:lvlText w:val="-"/>
      <w:lvlJc w:val="left"/>
      <w:pPr>
        <w:ind w:left="720" w:hanging="360"/>
      </w:pPr>
      <w:rPr>
        <w:rFonts w:ascii="Calibri" w:eastAsia="Times New Roman"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598749AF"/>
    <w:multiLevelType w:val="hybridMultilevel"/>
    <w:tmpl w:val="315CFF12"/>
    <w:lvl w:ilvl="0" w:tplc="4BAEBF72">
      <w:start w:val="1"/>
      <w:numFmt w:val="bullet"/>
      <w:lvlText w:val="•"/>
      <w:lvlJc w:val="left"/>
      <w:pPr>
        <w:tabs>
          <w:tab w:val="num" w:pos="720"/>
        </w:tabs>
        <w:ind w:left="720" w:hanging="360"/>
      </w:pPr>
      <w:rPr>
        <w:rFonts w:ascii="Times New Roman" w:hAnsi="Times New Roman" w:hint="default"/>
      </w:rPr>
    </w:lvl>
    <w:lvl w:ilvl="1" w:tplc="FB1600FC" w:tentative="1">
      <w:start w:val="1"/>
      <w:numFmt w:val="bullet"/>
      <w:lvlText w:val="•"/>
      <w:lvlJc w:val="left"/>
      <w:pPr>
        <w:tabs>
          <w:tab w:val="num" w:pos="1440"/>
        </w:tabs>
        <w:ind w:left="1440" w:hanging="360"/>
      </w:pPr>
      <w:rPr>
        <w:rFonts w:ascii="Times New Roman" w:hAnsi="Times New Roman" w:hint="default"/>
      </w:rPr>
    </w:lvl>
    <w:lvl w:ilvl="2" w:tplc="1CFA28BA" w:tentative="1">
      <w:start w:val="1"/>
      <w:numFmt w:val="bullet"/>
      <w:lvlText w:val="•"/>
      <w:lvlJc w:val="left"/>
      <w:pPr>
        <w:tabs>
          <w:tab w:val="num" w:pos="2160"/>
        </w:tabs>
        <w:ind w:left="2160" w:hanging="360"/>
      </w:pPr>
      <w:rPr>
        <w:rFonts w:ascii="Times New Roman" w:hAnsi="Times New Roman" w:hint="default"/>
      </w:rPr>
    </w:lvl>
    <w:lvl w:ilvl="3" w:tplc="CCFC5CB4" w:tentative="1">
      <w:start w:val="1"/>
      <w:numFmt w:val="bullet"/>
      <w:lvlText w:val="•"/>
      <w:lvlJc w:val="left"/>
      <w:pPr>
        <w:tabs>
          <w:tab w:val="num" w:pos="2880"/>
        </w:tabs>
        <w:ind w:left="2880" w:hanging="360"/>
      </w:pPr>
      <w:rPr>
        <w:rFonts w:ascii="Times New Roman" w:hAnsi="Times New Roman" w:hint="default"/>
      </w:rPr>
    </w:lvl>
    <w:lvl w:ilvl="4" w:tplc="F77C107E" w:tentative="1">
      <w:start w:val="1"/>
      <w:numFmt w:val="bullet"/>
      <w:lvlText w:val="•"/>
      <w:lvlJc w:val="left"/>
      <w:pPr>
        <w:tabs>
          <w:tab w:val="num" w:pos="3600"/>
        </w:tabs>
        <w:ind w:left="3600" w:hanging="360"/>
      </w:pPr>
      <w:rPr>
        <w:rFonts w:ascii="Times New Roman" w:hAnsi="Times New Roman" w:hint="default"/>
      </w:rPr>
    </w:lvl>
    <w:lvl w:ilvl="5" w:tplc="109A4216" w:tentative="1">
      <w:start w:val="1"/>
      <w:numFmt w:val="bullet"/>
      <w:lvlText w:val="•"/>
      <w:lvlJc w:val="left"/>
      <w:pPr>
        <w:tabs>
          <w:tab w:val="num" w:pos="4320"/>
        </w:tabs>
        <w:ind w:left="4320" w:hanging="360"/>
      </w:pPr>
      <w:rPr>
        <w:rFonts w:ascii="Times New Roman" w:hAnsi="Times New Roman" w:hint="default"/>
      </w:rPr>
    </w:lvl>
    <w:lvl w:ilvl="6" w:tplc="96D4D222" w:tentative="1">
      <w:start w:val="1"/>
      <w:numFmt w:val="bullet"/>
      <w:lvlText w:val="•"/>
      <w:lvlJc w:val="left"/>
      <w:pPr>
        <w:tabs>
          <w:tab w:val="num" w:pos="5040"/>
        </w:tabs>
        <w:ind w:left="5040" w:hanging="360"/>
      </w:pPr>
      <w:rPr>
        <w:rFonts w:ascii="Times New Roman" w:hAnsi="Times New Roman" w:hint="default"/>
      </w:rPr>
    </w:lvl>
    <w:lvl w:ilvl="7" w:tplc="F8AEB45A" w:tentative="1">
      <w:start w:val="1"/>
      <w:numFmt w:val="bullet"/>
      <w:lvlText w:val="•"/>
      <w:lvlJc w:val="left"/>
      <w:pPr>
        <w:tabs>
          <w:tab w:val="num" w:pos="5760"/>
        </w:tabs>
        <w:ind w:left="5760" w:hanging="360"/>
      </w:pPr>
      <w:rPr>
        <w:rFonts w:ascii="Times New Roman" w:hAnsi="Times New Roman" w:hint="default"/>
      </w:rPr>
    </w:lvl>
    <w:lvl w:ilvl="8" w:tplc="830015F2" w:tentative="1">
      <w:start w:val="1"/>
      <w:numFmt w:val="bullet"/>
      <w:lvlText w:val="•"/>
      <w:lvlJc w:val="left"/>
      <w:pPr>
        <w:tabs>
          <w:tab w:val="num" w:pos="6480"/>
        </w:tabs>
        <w:ind w:left="6480" w:hanging="360"/>
      </w:pPr>
      <w:rPr>
        <w:rFonts w:ascii="Times New Roman" w:hAnsi="Times New Roman" w:hint="default"/>
      </w:rPr>
    </w:lvl>
  </w:abstractNum>
  <w:abstractNum w:abstractNumId="22">
    <w:nsid w:val="5B9B039B"/>
    <w:multiLevelType w:val="hybridMultilevel"/>
    <w:tmpl w:val="2130B9E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5C1C5AED"/>
    <w:multiLevelType w:val="hybridMultilevel"/>
    <w:tmpl w:val="F09637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62CA38CD"/>
    <w:multiLevelType w:val="hybridMultilevel"/>
    <w:tmpl w:val="957C199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E476564"/>
    <w:multiLevelType w:val="hybridMultilevel"/>
    <w:tmpl w:val="E4F660BC"/>
    <w:lvl w:ilvl="0" w:tplc="04090019">
      <w:start w:val="1"/>
      <w:numFmt w:val="lowerLetter"/>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26">
    <w:nsid w:val="6F820B01"/>
    <w:multiLevelType w:val="hybridMultilevel"/>
    <w:tmpl w:val="9F52A7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37D5876"/>
    <w:multiLevelType w:val="multilevel"/>
    <w:tmpl w:val="EEDAE8D4"/>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28">
    <w:nsid w:val="7AA96996"/>
    <w:multiLevelType w:val="hybridMultilevel"/>
    <w:tmpl w:val="E36C5E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0"/>
  </w:num>
  <w:num w:numId="3">
    <w:abstractNumId w:val="13"/>
  </w:num>
  <w:num w:numId="4">
    <w:abstractNumId w:val="27"/>
  </w:num>
  <w:num w:numId="5">
    <w:abstractNumId w:val="24"/>
  </w:num>
  <w:num w:numId="6">
    <w:abstractNumId w:val="23"/>
  </w:num>
  <w:num w:numId="7">
    <w:abstractNumId w:val="8"/>
  </w:num>
  <w:num w:numId="8">
    <w:abstractNumId w:val="12"/>
  </w:num>
  <w:num w:numId="9">
    <w:abstractNumId w:val="17"/>
  </w:num>
  <w:num w:numId="10">
    <w:abstractNumId w:val="21"/>
  </w:num>
  <w:num w:numId="11">
    <w:abstractNumId w:val="19"/>
  </w:num>
  <w:num w:numId="12">
    <w:abstractNumId w:val="20"/>
  </w:num>
  <w:num w:numId="13">
    <w:abstractNumId w:val="4"/>
  </w:num>
  <w:num w:numId="14">
    <w:abstractNumId w:val="9"/>
  </w:num>
  <w:num w:numId="15">
    <w:abstractNumId w:val="10"/>
  </w:num>
  <w:num w:numId="16">
    <w:abstractNumId w:val="16"/>
  </w:num>
  <w:num w:numId="17">
    <w:abstractNumId w:val="1"/>
  </w:num>
  <w:num w:numId="18">
    <w:abstractNumId w:val="11"/>
  </w:num>
  <w:num w:numId="19">
    <w:abstractNumId w:val="18"/>
  </w:num>
  <w:num w:numId="20">
    <w:abstractNumId w:val="22"/>
  </w:num>
  <w:num w:numId="21">
    <w:abstractNumId w:val="28"/>
  </w:num>
  <w:num w:numId="22">
    <w:abstractNumId w:val="7"/>
  </w:num>
  <w:num w:numId="23">
    <w:abstractNumId w:val="15"/>
  </w:num>
  <w:num w:numId="24">
    <w:abstractNumId w:val="14"/>
  </w:num>
  <w:num w:numId="25">
    <w:abstractNumId w:val="3"/>
  </w:num>
  <w:num w:numId="26">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5"/>
  </w:num>
  <w:num w:numId="28">
    <w:abstractNumId w:val="2"/>
  </w:num>
  <w:num w:numId="29">
    <w:abstractNumId w:val="26"/>
  </w:num>
  <w:numIdMacAtCleanup w:val="17"/>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Chansanchai, Mananya">
    <w15:presenceInfo w15:providerId="AD" w15:userId="S-1-5-21-115761338-343289930-1325754085-28888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20"/>
  <w:noPunctuationKerning/>
  <w:characterSpacingControl w:val="doNotCompress"/>
  <w:hdrShapeDefaults>
    <o:shapedefaults v:ext="edit" spidmax="2051"/>
    <o:shapelayout v:ext="edit">
      <o:idmap v:ext="edit" data="2"/>
    </o:shapelayout>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05406"/>
    <w:rsid w:val="00000467"/>
    <w:rsid w:val="00001CD9"/>
    <w:rsid w:val="00004637"/>
    <w:rsid w:val="00006704"/>
    <w:rsid w:val="00015E6C"/>
    <w:rsid w:val="000214E2"/>
    <w:rsid w:val="000219FE"/>
    <w:rsid w:val="00021B9C"/>
    <w:rsid w:val="00023B18"/>
    <w:rsid w:val="00023F85"/>
    <w:rsid w:val="000246AC"/>
    <w:rsid w:val="00024B43"/>
    <w:rsid w:val="000256E4"/>
    <w:rsid w:val="00025C30"/>
    <w:rsid w:val="00026ADD"/>
    <w:rsid w:val="00027749"/>
    <w:rsid w:val="00027EBF"/>
    <w:rsid w:val="000302B8"/>
    <w:rsid w:val="0003143B"/>
    <w:rsid w:val="000349A5"/>
    <w:rsid w:val="00037836"/>
    <w:rsid w:val="000403FA"/>
    <w:rsid w:val="0004183C"/>
    <w:rsid w:val="00041B0A"/>
    <w:rsid w:val="00046BE6"/>
    <w:rsid w:val="00050BDD"/>
    <w:rsid w:val="00050CEF"/>
    <w:rsid w:val="000512C2"/>
    <w:rsid w:val="0005293F"/>
    <w:rsid w:val="00052BBC"/>
    <w:rsid w:val="00054B92"/>
    <w:rsid w:val="00055198"/>
    <w:rsid w:val="00057325"/>
    <w:rsid w:val="00057657"/>
    <w:rsid w:val="00057941"/>
    <w:rsid w:val="00060960"/>
    <w:rsid w:val="000612CC"/>
    <w:rsid w:val="000617F1"/>
    <w:rsid w:val="00061D4F"/>
    <w:rsid w:val="0006685B"/>
    <w:rsid w:val="0006740C"/>
    <w:rsid w:val="0006779B"/>
    <w:rsid w:val="00071779"/>
    <w:rsid w:val="00072397"/>
    <w:rsid w:val="000730E8"/>
    <w:rsid w:val="0007310E"/>
    <w:rsid w:val="00073430"/>
    <w:rsid w:val="00075BF8"/>
    <w:rsid w:val="00076CB9"/>
    <w:rsid w:val="000771D2"/>
    <w:rsid w:val="0007772C"/>
    <w:rsid w:val="0008302B"/>
    <w:rsid w:val="000835AB"/>
    <w:rsid w:val="000852AD"/>
    <w:rsid w:val="000858E6"/>
    <w:rsid w:val="00085E4F"/>
    <w:rsid w:val="0008724C"/>
    <w:rsid w:val="000912A2"/>
    <w:rsid w:val="00092162"/>
    <w:rsid w:val="00092313"/>
    <w:rsid w:val="0009289A"/>
    <w:rsid w:val="00092C12"/>
    <w:rsid w:val="00094784"/>
    <w:rsid w:val="00094AFF"/>
    <w:rsid w:val="000962E5"/>
    <w:rsid w:val="000969D1"/>
    <w:rsid w:val="00097B20"/>
    <w:rsid w:val="000A150F"/>
    <w:rsid w:val="000A2AC9"/>
    <w:rsid w:val="000A2B1A"/>
    <w:rsid w:val="000A4130"/>
    <w:rsid w:val="000A42FC"/>
    <w:rsid w:val="000A7260"/>
    <w:rsid w:val="000B0167"/>
    <w:rsid w:val="000B121A"/>
    <w:rsid w:val="000B3BBF"/>
    <w:rsid w:val="000B3CAB"/>
    <w:rsid w:val="000B4525"/>
    <w:rsid w:val="000B4690"/>
    <w:rsid w:val="000B6255"/>
    <w:rsid w:val="000B6724"/>
    <w:rsid w:val="000B6D96"/>
    <w:rsid w:val="000C00A3"/>
    <w:rsid w:val="000C03A7"/>
    <w:rsid w:val="000C1186"/>
    <w:rsid w:val="000C1808"/>
    <w:rsid w:val="000C36FB"/>
    <w:rsid w:val="000C3C76"/>
    <w:rsid w:val="000C3FB8"/>
    <w:rsid w:val="000C4204"/>
    <w:rsid w:val="000C5B86"/>
    <w:rsid w:val="000D098D"/>
    <w:rsid w:val="000D1DF8"/>
    <w:rsid w:val="000D455D"/>
    <w:rsid w:val="000D712F"/>
    <w:rsid w:val="000E017F"/>
    <w:rsid w:val="000E0538"/>
    <w:rsid w:val="000E1314"/>
    <w:rsid w:val="000E188A"/>
    <w:rsid w:val="000E1E77"/>
    <w:rsid w:val="000E21BB"/>
    <w:rsid w:val="000E3F3C"/>
    <w:rsid w:val="000E4C57"/>
    <w:rsid w:val="000E54AF"/>
    <w:rsid w:val="000E6322"/>
    <w:rsid w:val="000E7325"/>
    <w:rsid w:val="000F5DB7"/>
    <w:rsid w:val="000F7747"/>
    <w:rsid w:val="000F7CE9"/>
    <w:rsid w:val="00100D82"/>
    <w:rsid w:val="00101EDC"/>
    <w:rsid w:val="00104058"/>
    <w:rsid w:val="00104941"/>
    <w:rsid w:val="00105C30"/>
    <w:rsid w:val="00107D11"/>
    <w:rsid w:val="00111AB0"/>
    <w:rsid w:val="00112CA7"/>
    <w:rsid w:val="00113B2E"/>
    <w:rsid w:val="00113DA6"/>
    <w:rsid w:val="0011669B"/>
    <w:rsid w:val="00117E83"/>
    <w:rsid w:val="001226BF"/>
    <w:rsid w:val="00122B10"/>
    <w:rsid w:val="00123417"/>
    <w:rsid w:val="00125145"/>
    <w:rsid w:val="00125BAC"/>
    <w:rsid w:val="00135A5A"/>
    <w:rsid w:val="00135E94"/>
    <w:rsid w:val="00140F54"/>
    <w:rsid w:val="0014142B"/>
    <w:rsid w:val="00143132"/>
    <w:rsid w:val="00145017"/>
    <w:rsid w:val="001450F7"/>
    <w:rsid w:val="0014530F"/>
    <w:rsid w:val="00145DBE"/>
    <w:rsid w:val="001462B8"/>
    <w:rsid w:val="0014654E"/>
    <w:rsid w:val="001501BA"/>
    <w:rsid w:val="00150816"/>
    <w:rsid w:val="001516FC"/>
    <w:rsid w:val="00153D65"/>
    <w:rsid w:val="001559A8"/>
    <w:rsid w:val="0015697E"/>
    <w:rsid w:val="001600DB"/>
    <w:rsid w:val="00162734"/>
    <w:rsid w:val="001631E4"/>
    <w:rsid w:val="00164DDF"/>
    <w:rsid w:val="001656B6"/>
    <w:rsid w:val="001678BD"/>
    <w:rsid w:val="00170992"/>
    <w:rsid w:val="0017170A"/>
    <w:rsid w:val="00173BBC"/>
    <w:rsid w:val="001740FC"/>
    <w:rsid w:val="001746AC"/>
    <w:rsid w:val="00175C4A"/>
    <w:rsid w:val="00175F3F"/>
    <w:rsid w:val="001839CB"/>
    <w:rsid w:val="0018554D"/>
    <w:rsid w:val="001856AF"/>
    <w:rsid w:val="001866C7"/>
    <w:rsid w:val="001868A3"/>
    <w:rsid w:val="001874CF"/>
    <w:rsid w:val="00191B45"/>
    <w:rsid w:val="00191CC1"/>
    <w:rsid w:val="00193108"/>
    <w:rsid w:val="00197993"/>
    <w:rsid w:val="00197A49"/>
    <w:rsid w:val="00197CA8"/>
    <w:rsid w:val="001A1DC6"/>
    <w:rsid w:val="001A23DA"/>
    <w:rsid w:val="001A511E"/>
    <w:rsid w:val="001A6172"/>
    <w:rsid w:val="001A65D2"/>
    <w:rsid w:val="001A7560"/>
    <w:rsid w:val="001A75BB"/>
    <w:rsid w:val="001B1B8C"/>
    <w:rsid w:val="001B238A"/>
    <w:rsid w:val="001B31F1"/>
    <w:rsid w:val="001B4957"/>
    <w:rsid w:val="001B49C6"/>
    <w:rsid w:val="001B5371"/>
    <w:rsid w:val="001B6FE4"/>
    <w:rsid w:val="001C0359"/>
    <w:rsid w:val="001C2D38"/>
    <w:rsid w:val="001C312F"/>
    <w:rsid w:val="001C3694"/>
    <w:rsid w:val="001C3924"/>
    <w:rsid w:val="001C417D"/>
    <w:rsid w:val="001C7126"/>
    <w:rsid w:val="001C78EA"/>
    <w:rsid w:val="001C7F90"/>
    <w:rsid w:val="001D18FB"/>
    <w:rsid w:val="001D2302"/>
    <w:rsid w:val="001D2CFC"/>
    <w:rsid w:val="001D2E99"/>
    <w:rsid w:val="001D2FBD"/>
    <w:rsid w:val="001D325E"/>
    <w:rsid w:val="001D3A7A"/>
    <w:rsid w:val="001D600D"/>
    <w:rsid w:val="001D6411"/>
    <w:rsid w:val="001D6954"/>
    <w:rsid w:val="001D7FF6"/>
    <w:rsid w:val="001E2405"/>
    <w:rsid w:val="001E357A"/>
    <w:rsid w:val="001E474C"/>
    <w:rsid w:val="001E4E6A"/>
    <w:rsid w:val="001E51D0"/>
    <w:rsid w:val="001E5396"/>
    <w:rsid w:val="001E5E81"/>
    <w:rsid w:val="001E6B46"/>
    <w:rsid w:val="001F1362"/>
    <w:rsid w:val="001F432B"/>
    <w:rsid w:val="001F4C2A"/>
    <w:rsid w:val="001F6AFD"/>
    <w:rsid w:val="00201F57"/>
    <w:rsid w:val="002021DF"/>
    <w:rsid w:val="00202264"/>
    <w:rsid w:val="00202F85"/>
    <w:rsid w:val="00203B93"/>
    <w:rsid w:val="0020418B"/>
    <w:rsid w:val="00204C17"/>
    <w:rsid w:val="0020527C"/>
    <w:rsid w:val="002053B8"/>
    <w:rsid w:val="0020661B"/>
    <w:rsid w:val="0020706E"/>
    <w:rsid w:val="00213BC7"/>
    <w:rsid w:val="00214A61"/>
    <w:rsid w:val="00216827"/>
    <w:rsid w:val="00220115"/>
    <w:rsid w:val="00220688"/>
    <w:rsid w:val="00222FFA"/>
    <w:rsid w:val="002258CD"/>
    <w:rsid w:val="00227B69"/>
    <w:rsid w:val="00230C77"/>
    <w:rsid w:val="002317AF"/>
    <w:rsid w:val="00231C35"/>
    <w:rsid w:val="0023313B"/>
    <w:rsid w:val="00235214"/>
    <w:rsid w:val="002353D5"/>
    <w:rsid w:val="00235ADE"/>
    <w:rsid w:val="00236184"/>
    <w:rsid w:val="00236458"/>
    <w:rsid w:val="00240316"/>
    <w:rsid w:val="00241109"/>
    <w:rsid w:val="00242AC3"/>
    <w:rsid w:val="0024411C"/>
    <w:rsid w:val="00247613"/>
    <w:rsid w:val="00247817"/>
    <w:rsid w:val="0025069A"/>
    <w:rsid w:val="00252990"/>
    <w:rsid w:val="002530C1"/>
    <w:rsid w:val="002540F5"/>
    <w:rsid w:val="00254276"/>
    <w:rsid w:val="00255671"/>
    <w:rsid w:val="0025567A"/>
    <w:rsid w:val="00255A6E"/>
    <w:rsid w:val="00257110"/>
    <w:rsid w:val="00257A62"/>
    <w:rsid w:val="00260D1F"/>
    <w:rsid w:val="00261D91"/>
    <w:rsid w:val="00261DB8"/>
    <w:rsid w:val="002629D2"/>
    <w:rsid w:val="00262E18"/>
    <w:rsid w:val="002660E5"/>
    <w:rsid w:val="00272F07"/>
    <w:rsid w:val="002744CB"/>
    <w:rsid w:val="002764EB"/>
    <w:rsid w:val="00277B19"/>
    <w:rsid w:val="002800F7"/>
    <w:rsid w:val="00281218"/>
    <w:rsid w:val="002823E2"/>
    <w:rsid w:val="00285088"/>
    <w:rsid w:val="00286BFD"/>
    <w:rsid w:val="00290185"/>
    <w:rsid w:val="0029138C"/>
    <w:rsid w:val="002931A7"/>
    <w:rsid w:val="00296065"/>
    <w:rsid w:val="00296B4E"/>
    <w:rsid w:val="00296D97"/>
    <w:rsid w:val="00297077"/>
    <w:rsid w:val="0029788F"/>
    <w:rsid w:val="00297BC1"/>
    <w:rsid w:val="002A08FA"/>
    <w:rsid w:val="002A2A7D"/>
    <w:rsid w:val="002A354F"/>
    <w:rsid w:val="002A47A6"/>
    <w:rsid w:val="002A4EF5"/>
    <w:rsid w:val="002B0A98"/>
    <w:rsid w:val="002B0E30"/>
    <w:rsid w:val="002B13F4"/>
    <w:rsid w:val="002B2335"/>
    <w:rsid w:val="002B5B33"/>
    <w:rsid w:val="002B5E49"/>
    <w:rsid w:val="002B606F"/>
    <w:rsid w:val="002B7ABB"/>
    <w:rsid w:val="002C0F8D"/>
    <w:rsid w:val="002C31DC"/>
    <w:rsid w:val="002C3F41"/>
    <w:rsid w:val="002C49E8"/>
    <w:rsid w:val="002C4CC9"/>
    <w:rsid w:val="002C6149"/>
    <w:rsid w:val="002C7622"/>
    <w:rsid w:val="002C7780"/>
    <w:rsid w:val="002D00E3"/>
    <w:rsid w:val="002D42D7"/>
    <w:rsid w:val="002D515B"/>
    <w:rsid w:val="002D54C6"/>
    <w:rsid w:val="002D5FC5"/>
    <w:rsid w:val="002E109D"/>
    <w:rsid w:val="002E1E5A"/>
    <w:rsid w:val="002E217D"/>
    <w:rsid w:val="002E401D"/>
    <w:rsid w:val="002E6D5B"/>
    <w:rsid w:val="002E745A"/>
    <w:rsid w:val="002F12A1"/>
    <w:rsid w:val="002F3657"/>
    <w:rsid w:val="002F40D7"/>
    <w:rsid w:val="002F4225"/>
    <w:rsid w:val="002F4405"/>
    <w:rsid w:val="003003F6"/>
    <w:rsid w:val="00301161"/>
    <w:rsid w:val="00301BB5"/>
    <w:rsid w:val="00302A8B"/>
    <w:rsid w:val="00303C86"/>
    <w:rsid w:val="0030551D"/>
    <w:rsid w:val="003069FF"/>
    <w:rsid w:val="00307EBC"/>
    <w:rsid w:val="0031254A"/>
    <w:rsid w:val="0031343C"/>
    <w:rsid w:val="003136E1"/>
    <w:rsid w:val="003138F1"/>
    <w:rsid w:val="00313A1D"/>
    <w:rsid w:val="00313C77"/>
    <w:rsid w:val="00320925"/>
    <w:rsid w:val="00320BCC"/>
    <w:rsid w:val="003229B9"/>
    <w:rsid w:val="00323AE7"/>
    <w:rsid w:val="00323CC7"/>
    <w:rsid w:val="00326023"/>
    <w:rsid w:val="00326080"/>
    <w:rsid w:val="00327167"/>
    <w:rsid w:val="00327883"/>
    <w:rsid w:val="00330403"/>
    <w:rsid w:val="00331D63"/>
    <w:rsid w:val="00332B96"/>
    <w:rsid w:val="00333D88"/>
    <w:rsid w:val="003370B3"/>
    <w:rsid w:val="00341ED8"/>
    <w:rsid w:val="0034293B"/>
    <w:rsid w:val="00342DBA"/>
    <w:rsid w:val="00344DEC"/>
    <w:rsid w:val="0034621C"/>
    <w:rsid w:val="003462DC"/>
    <w:rsid w:val="003537C7"/>
    <w:rsid w:val="00360A51"/>
    <w:rsid w:val="0036252B"/>
    <w:rsid w:val="0036433B"/>
    <w:rsid w:val="003662C6"/>
    <w:rsid w:val="00366AB2"/>
    <w:rsid w:val="00367FB1"/>
    <w:rsid w:val="00370C4B"/>
    <w:rsid w:val="00372AE2"/>
    <w:rsid w:val="00372DBA"/>
    <w:rsid w:val="003751B6"/>
    <w:rsid w:val="0037562E"/>
    <w:rsid w:val="00375E1F"/>
    <w:rsid w:val="003761DC"/>
    <w:rsid w:val="003806DB"/>
    <w:rsid w:val="00380E59"/>
    <w:rsid w:val="0038147F"/>
    <w:rsid w:val="00381DDC"/>
    <w:rsid w:val="00382113"/>
    <w:rsid w:val="00382273"/>
    <w:rsid w:val="0038256A"/>
    <w:rsid w:val="00383649"/>
    <w:rsid w:val="00383CC9"/>
    <w:rsid w:val="00383EDB"/>
    <w:rsid w:val="00384EAB"/>
    <w:rsid w:val="00386104"/>
    <w:rsid w:val="0038781C"/>
    <w:rsid w:val="00387A0A"/>
    <w:rsid w:val="003908AC"/>
    <w:rsid w:val="003924BB"/>
    <w:rsid w:val="003929C4"/>
    <w:rsid w:val="00392B4F"/>
    <w:rsid w:val="00393C24"/>
    <w:rsid w:val="00394EE8"/>
    <w:rsid w:val="003954E4"/>
    <w:rsid w:val="00397431"/>
    <w:rsid w:val="003976B6"/>
    <w:rsid w:val="003A43D2"/>
    <w:rsid w:val="003A723F"/>
    <w:rsid w:val="003A7E08"/>
    <w:rsid w:val="003B1B49"/>
    <w:rsid w:val="003B2337"/>
    <w:rsid w:val="003B2560"/>
    <w:rsid w:val="003B2C14"/>
    <w:rsid w:val="003B49A6"/>
    <w:rsid w:val="003B5302"/>
    <w:rsid w:val="003B5644"/>
    <w:rsid w:val="003C03C2"/>
    <w:rsid w:val="003C1EBD"/>
    <w:rsid w:val="003C5447"/>
    <w:rsid w:val="003C5B22"/>
    <w:rsid w:val="003C5BA9"/>
    <w:rsid w:val="003C62B0"/>
    <w:rsid w:val="003D02E3"/>
    <w:rsid w:val="003D0CC1"/>
    <w:rsid w:val="003D3F49"/>
    <w:rsid w:val="003D40BF"/>
    <w:rsid w:val="003D6C51"/>
    <w:rsid w:val="003E29BE"/>
    <w:rsid w:val="003E361D"/>
    <w:rsid w:val="003E4266"/>
    <w:rsid w:val="003E4D94"/>
    <w:rsid w:val="003E6D19"/>
    <w:rsid w:val="003E6DF6"/>
    <w:rsid w:val="003E7453"/>
    <w:rsid w:val="003F164F"/>
    <w:rsid w:val="003F1F58"/>
    <w:rsid w:val="003F3A1D"/>
    <w:rsid w:val="003F4F34"/>
    <w:rsid w:val="003F6721"/>
    <w:rsid w:val="00402A57"/>
    <w:rsid w:val="00402D4E"/>
    <w:rsid w:val="0040367B"/>
    <w:rsid w:val="00404F72"/>
    <w:rsid w:val="00406976"/>
    <w:rsid w:val="00406C29"/>
    <w:rsid w:val="004073CA"/>
    <w:rsid w:val="0040749C"/>
    <w:rsid w:val="00407791"/>
    <w:rsid w:val="00410D26"/>
    <w:rsid w:val="0041345D"/>
    <w:rsid w:val="00414579"/>
    <w:rsid w:val="004152D4"/>
    <w:rsid w:val="00415585"/>
    <w:rsid w:val="00416042"/>
    <w:rsid w:val="00421A25"/>
    <w:rsid w:val="00424F0A"/>
    <w:rsid w:val="00425691"/>
    <w:rsid w:val="00426DA9"/>
    <w:rsid w:val="004274C2"/>
    <w:rsid w:val="00427664"/>
    <w:rsid w:val="00427F29"/>
    <w:rsid w:val="00430A87"/>
    <w:rsid w:val="00430F90"/>
    <w:rsid w:val="0043148F"/>
    <w:rsid w:val="00433CEB"/>
    <w:rsid w:val="0043618B"/>
    <w:rsid w:val="004401EB"/>
    <w:rsid w:val="004402AE"/>
    <w:rsid w:val="00440B6E"/>
    <w:rsid w:val="00440F41"/>
    <w:rsid w:val="0044498C"/>
    <w:rsid w:val="00444FF3"/>
    <w:rsid w:val="00445BBC"/>
    <w:rsid w:val="0044603F"/>
    <w:rsid w:val="00450008"/>
    <w:rsid w:val="00450145"/>
    <w:rsid w:val="0045043B"/>
    <w:rsid w:val="00451364"/>
    <w:rsid w:val="00452208"/>
    <w:rsid w:val="00454D13"/>
    <w:rsid w:val="00457146"/>
    <w:rsid w:val="0045793B"/>
    <w:rsid w:val="004579D4"/>
    <w:rsid w:val="00457D62"/>
    <w:rsid w:val="00460481"/>
    <w:rsid w:val="004622FE"/>
    <w:rsid w:val="00463D1D"/>
    <w:rsid w:val="00464D46"/>
    <w:rsid w:val="00467FEA"/>
    <w:rsid w:val="00470F6D"/>
    <w:rsid w:val="00472278"/>
    <w:rsid w:val="0047323A"/>
    <w:rsid w:val="00474B71"/>
    <w:rsid w:val="004755E9"/>
    <w:rsid w:val="004759AC"/>
    <w:rsid w:val="00476370"/>
    <w:rsid w:val="0047751E"/>
    <w:rsid w:val="00477E97"/>
    <w:rsid w:val="00480EAD"/>
    <w:rsid w:val="00482501"/>
    <w:rsid w:val="00485115"/>
    <w:rsid w:val="00486012"/>
    <w:rsid w:val="00490FA0"/>
    <w:rsid w:val="00491759"/>
    <w:rsid w:val="00491F18"/>
    <w:rsid w:val="00492A32"/>
    <w:rsid w:val="00492AD4"/>
    <w:rsid w:val="00492E45"/>
    <w:rsid w:val="00493E2E"/>
    <w:rsid w:val="004954BE"/>
    <w:rsid w:val="00495965"/>
    <w:rsid w:val="00496C04"/>
    <w:rsid w:val="004A1C95"/>
    <w:rsid w:val="004A24BA"/>
    <w:rsid w:val="004A2B94"/>
    <w:rsid w:val="004A368F"/>
    <w:rsid w:val="004A4BE5"/>
    <w:rsid w:val="004A52DE"/>
    <w:rsid w:val="004A568A"/>
    <w:rsid w:val="004A6503"/>
    <w:rsid w:val="004A74A6"/>
    <w:rsid w:val="004B0641"/>
    <w:rsid w:val="004B280F"/>
    <w:rsid w:val="004B4A98"/>
    <w:rsid w:val="004B539A"/>
    <w:rsid w:val="004B56D1"/>
    <w:rsid w:val="004B5A17"/>
    <w:rsid w:val="004B6EF2"/>
    <w:rsid w:val="004C1EF7"/>
    <w:rsid w:val="004C478D"/>
    <w:rsid w:val="004C4B3A"/>
    <w:rsid w:val="004C562F"/>
    <w:rsid w:val="004D2C30"/>
    <w:rsid w:val="004D4037"/>
    <w:rsid w:val="004D4FF4"/>
    <w:rsid w:val="004D6A78"/>
    <w:rsid w:val="004D6FD6"/>
    <w:rsid w:val="004E0A5C"/>
    <w:rsid w:val="004E240D"/>
    <w:rsid w:val="004E2782"/>
    <w:rsid w:val="004E2F62"/>
    <w:rsid w:val="004E432B"/>
    <w:rsid w:val="004E498B"/>
    <w:rsid w:val="004E50F2"/>
    <w:rsid w:val="004E5981"/>
    <w:rsid w:val="004E5A16"/>
    <w:rsid w:val="004E7A72"/>
    <w:rsid w:val="004E7B81"/>
    <w:rsid w:val="004F1F5A"/>
    <w:rsid w:val="004F2927"/>
    <w:rsid w:val="004F334F"/>
    <w:rsid w:val="004F363D"/>
    <w:rsid w:val="004F3908"/>
    <w:rsid w:val="004F3D17"/>
    <w:rsid w:val="004F41FB"/>
    <w:rsid w:val="004F492D"/>
    <w:rsid w:val="004F75CD"/>
    <w:rsid w:val="004F79E9"/>
    <w:rsid w:val="005005F8"/>
    <w:rsid w:val="00507205"/>
    <w:rsid w:val="005073F4"/>
    <w:rsid w:val="00507E79"/>
    <w:rsid w:val="00512282"/>
    <w:rsid w:val="00512F6D"/>
    <w:rsid w:val="005134C8"/>
    <w:rsid w:val="00516B13"/>
    <w:rsid w:val="00516BF8"/>
    <w:rsid w:val="0052000D"/>
    <w:rsid w:val="005202AC"/>
    <w:rsid w:val="0052055D"/>
    <w:rsid w:val="00521D7C"/>
    <w:rsid w:val="00523800"/>
    <w:rsid w:val="005239F8"/>
    <w:rsid w:val="0052599F"/>
    <w:rsid w:val="00534822"/>
    <w:rsid w:val="00535A75"/>
    <w:rsid w:val="0053609E"/>
    <w:rsid w:val="00536217"/>
    <w:rsid w:val="005366C6"/>
    <w:rsid w:val="0054137E"/>
    <w:rsid w:val="00542F46"/>
    <w:rsid w:val="005468E3"/>
    <w:rsid w:val="00550A9E"/>
    <w:rsid w:val="005517DB"/>
    <w:rsid w:val="00552122"/>
    <w:rsid w:val="00553275"/>
    <w:rsid w:val="00553D4F"/>
    <w:rsid w:val="00555A0F"/>
    <w:rsid w:val="00556864"/>
    <w:rsid w:val="00556F58"/>
    <w:rsid w:val="005615B9"/>
    <w:rsid w:val="005625CA"/>
    <w:rsid w:val="005636FF"/>
    <w:rsid w:val="00563B45"/>
    <w:rsid w:val="00563E98"/>
    <w:rsid w:val="00566DC5"/>
    <w:rsid w:val="005670DB"/>
    <w:rsid w:val="00567363"/>
    <w:rsid w:val="00567C20"/>
    <w:rsid w:val="005716E8"/>
    <w:rsid w:val="00571A1B"/>
    <w:rsid w:val="005745C3"/>
    <w:rsid w:val="005747FC"/>
    <w:rsid w:val="005757E3"/>
    <w:rsid w:val="00577364"/>
    <w:rsid w:val="00580773"/>
    <w:rsid w:val="005816C5"/>
    <w:rsid w:val="00582233"/>
    <w:rsid w:val="00585E5C"/>
    <w:rsid w:val="00586308"/>
    <w:rsid w:val="0059094A"/>
    <w:rsid w:val="00590B6E"/>
    <w:rsid w:val="00590BEB"/>
    <w:rsid w:val="00590D43"/>
    <w:rsid w:val="00592E6C"/>
    <w:rsid w:val="00595554"/>
    <w:rsid w:val="00595B58"/>
    <w:rsid w:val="00597B8A"/>
    <w:rsid w:val="005A0A1A"/>
    <w:rsid w:val="005A0C92"/>
    <w:rsid w:val="005A0E54"/>
    <w:rsid w:val="005A1419"/>
    <w:rsid w:val="005A3EFB"/>
    <w:rsid w:val="005A511C"/>
    <w:rsid w:val="005A5B8E"/>
    <w:rsid w:val="005A5E65"/>
    <w:rsid w:val="005A619C"/>
    <w:rsid w:val="005A68C1"/>
    <w:rsid w:val="005B041C"/>
    <w:rsid w:val="005B05CD"/>
    <w:rsid w:val="005B0952"/>
    <w:rsid w:val="005B103E"/>
    <w:rsid w:val="005B2978"/>
    <w:rsid w:val="005B35D9"/>
    <w:rsid w:val="005B3E6F"/>
    <w:rsid w:val="005B4E31"/>
    <w:rsid w:val="005B5D46"/>
    <w:rsid w:val="005B67A9"/>
    <w:rsid w:val="005B7670"/>
    <w:rsid w:val="005C1C8A"/>
    <w:rsid w:val="005C1CD3"/>
    <w:rsid w:val="005C21BA"/>
    <w:rsid w:val="005C68E7"/>
    <w:rsid w:val="005C7D2D"/>
    <w:rsid w:val="005D1AA1"/>
    <w:rsid w:val="005D1C6C"/>
    <w:rsid w:val="005D311E"/>
    <w:rsid w:val="005D31B4"/>
    <w:rsid w:val="005D32F6"/>
    <w:rsid w:val="005D3646"/>
    <w:rsid w:val="005D429F"/>
    <w:rsid w:val="005D4764"/>
    <w:rsid w:val="005D4F52"/>
    <w:rsid w:val="005D7744"/>
    <w:rsid w:val="005D7E6E"/>
    <w:rsid w:val="005E065D"/>
    <w:rsid w:val="005E0B64"/>
    <w:rsid w:val="005E15A7"/>
    <w:rsid w:val="005E264A"/>
    <w:rsid w:val="005E3E29"/>
    <w:rsid w:val="005E5576"/>
    <w:rsid w:val="005E5886"/>
    <w:rsid w:val="005E6BBF"/>
    <w:rsid w:val="005E7977"/>
    <w:rsid w:val="005F0012"/>
    <w:rsid w:val="005F1767"/>
    <w:rsid w:val="005F1A2A"/>
    <w:rsid w:val="005F1C69"/>
    <w:rsid w:val="005F2A4A"/>
    <w:rsid w:val="005F2C8D"/>
    <w:rsid w:val="005F3A61"/>
    <w:rsid w:val="005F44B1"/>
    <w:rsid w:val="005F4619"/>
    <w:rsid w:val="005F4714"/>
    <w:rsid w:val="005F4BCD"/>
    <w:rsid w:val="005F53FD"/>
    <w:rsid w:val="005F5DE6"/>
    <w:rsid w:val="005F63CB"/>
    <w:rsid w:val="005F7279"/>
    <w:rsid w:val="005F7A1C"/>
    <w:rsid w:val="00602D00"/>
    <w:rsid w:val="0060486E"/>
    <w:rsid w:val="006056D1"/>
    <w:rsid w:val="00605C5F"/>
    <w:rsid w:val="00607AFE"/>
    <w:rsid w:val="00610530"/>
    <w:rsid w:val="006115FC"/>
    <w:rsid w:val="0061162B"/>
    <w:rsid w:val="00614379"/>
    <w:rsid w:val="006160B9"/>
    <w:rsid w:val="00620248"/>
    <w:rsid w:val="00620A00"/>
    <w:rsid w:val="0062127A"/>
    <w:rsid w:val="00621B21"/>
    <w:rsid w:val="00621B51"/>
    <w:rsid w:val="006229CA"/>
    <w:rsid w:val="00631EB1"/>
    <w:rsid w:val="00632CD1"/>
    <w:rsid w:val="006334AF"/>
    <w:rsid w:val="00636E36"/>
    <w:rsid w:val="006401BF"/>
    <w:rsid w:val="00641021"/>
    <w:rsid w:val="00641806"/>
    <w:rsid w:val="006446C8"/>
    <w:rsid w:val="0064786C"/>
    <w:rsid w:val="0064798E"/>
    <w:rsid w:val="00647CA7"/>
    <w:rsid w:val="00651EFF"/>
    <w:rsid w:val="00653AC4"/>
    <w:rsid w:val="006551FA"/>
    <w:rsid w:val="006556A5"/>
    <w:rsid w:val="00655A6E"/>
    <w:rsid w:val="006600C3"/>
    <w:rsid w:val="006604DB"/>
    <w:rsid w:val="00660D69"/>
    <w:rsid w:val="00661FCC"/>
    <w:rsid w:val="00662714"/>
    <w:rsid w:val="006633DC"/>
    <w:rsid w:val="006668E8"/>
    <w:rsid w:val="0066694F"/>
    <w:rsid w:val="00671550"/>
    <w:rsid w:val="006718E4"/>
    <w:rsid w:val="006739F7"/>
    <w:rsid w:val="006749BB"/>
    <w:rsid w:val="0067545D"/>
    <w:rsid w:val="006777E0"/>
    <w:rsid w:val="00682077"/>
    <w:rsid w:val="006825F1"/>
    <w:rsid w:val="006839C0"/>
    <w:rsid w:val="0068459D"/>
    <w:rsid w:val="00685105"/>
    <w:rsid w:val="00686958"/>
    <w:rsid w:val="00686F25"/>
    <w:rsid w:val="0068773B"/>
    <w:rsid w:val="006877C3"/>
    <w:rsid w:val="00687CAD"/>
    <w:rsid w:val="00692E2C"/>
    <w:rsid w:val="00695695"/>
    <w:rsid w:val="006965B5"/>
    <w:rsid w:val="006A21EB"/>
    <w:rsid w:val="006A47E9"/>
    <w:rsid w:val="006A4C02"/>
    <w:rsid w:val="006A678B"/>
    <w:rsid w:val="006A69BF"/>
    <w:rsid w:val="006A6B1C"/>
    <w:rsid w:val="006A76A8"/>
    <w:rsid w:val="006B023E"/>
    <w:rsid w:val="006B1855"/>
    <w:rsid w:val="006B18B6"/>
    <w:rsid w:val="006B421E"/>
    <w:rsid w:val="006B4D8E"/>
    <w:rsid w:val="006B61BC"/>
    <w:rsid w:val="006C1406"/>
    <w:rsid w:val="006C15FB"/>
    <w:rsid w:val="006C199A"/>
    <w:rsid w:val="006C23E7"/>
    <w:rsid w:val="006C331E"/>
    <w:rsid w:val="006C5879"/>
    <w:rsid w:val="006C5BCC"/>
    <w:rsid w:val="006C6056"/>
    <w:rsid w:val="006C699A"/>
    <w:rsid w:val="006C78B1"/>
    <w:rsid w:val="006C79E2"/>
    <w:rsid w:val="006D29D6"/>
    <w:rsid w:val="006D2C5C"/>
    <w:rsid w:val="006D30FF"/>
    <w:rsid w:val="006D342B"/>
    <w:rsid w:val="006D34EA"/>
    <w:rsid w:val="006D46E7"/>
    <w:rsid w:val="006D541F"/>
    <w:rsid w:val="006D5910"/>
    <w:rsid w:val="006D6D78"/>
    <w:rsid w:val="006D7F88"/>
    <w:rsid w:val="006E119A"/>
    <w:rsid w:val="006E28F6"/>
    <w:rsid w:val="006E3403"/>
    <w:rsid w:val="006E4B61"/>
    <w:rsid w:val="006E5AA0"/>
    <w:rsid w:val="006E5F43"/>
    <w:rsid w:val="006E7721"/>
    <w:rsid w:val="006E78E5"/>
    <w:rsid w:val="006F012B"/>
    <w:rsid w:val="006F1B68"/>
    <w:rsid w:val="006F2178"/>
    <w:rsid w:val="006F222A"/>
    <w:rsid w:val="006F2DB8"/>
    <w:rsid w:val="006F2F21"/>
    <w:rsid w:val="006F355E"/>
    <w:rsid w:val="006F37AD"/>
    <w:rsid w:val="006F3AE1"/>
    <w:rsid w:val="006F44F8"/>
    <w:rsid w:val="006F4DD0"/>
    <w:rsid w:val="006F5A6B"/>
    <w:rsid w:val="006F7484"/>
    <w:rsid w:val="00701BD4"/>
    <w:rsid w:val="00701FE6"/>
    <w:rsid w:val="0070333C"/>
    <w:rsid w:val="00703EAD"/>
    <w:rsid w:val="007055CC"/>
    <w:rsid w:val="007065BA"/>
    <w:rsid w:val="00706831"/>
    <w:rsid w:val="00707381"/>
    <w:rsid w:val="00707617"/>
    <w:rsid w:val="00707BB8"/>
    <w:rsid w:val="007100F8"/>
    <w:rsid w:val="007139E0"/>
    <w:rsid w:val="00714B3D"/>
    <w:rsid w:val="007202E7"/>
    <w:rsid w:val="007212C8"/>
    <w:rsid w:val="00722229"/>
    <w:rsid w:val="00724474"/>
    <w:rsid w:val="0072640A"/>
    <w:rsid w:val="00727E39"/>
    <w:rsid w:val="0073111A"/>
    <w:rsid w:val="00732D6E"/>
    <w:rsid w:val="007356C4"/>
    <w:rsid w:val="00735F4E"/>
    <w:rsid w:val="00736831"/>
    <w:rsid w:val="007368B1"/>
    <w:rsid w:val="00737AB6"/>
    <w:rsid w:val="00740384"/>
    <w:rsid w:val="007404C2"/>
    <w:rsid w:val="007406A5"/>
    <w:rsid w:val="007415AD"/>
    <w:rsid w:val="00744E0B"/>
    <w:rsid w:val="00744ED9"/>
    <w:rsid w:val="00745276"/>
    <w:rsid w:val="00751167"/>
    <w:rsid w:val="00751DE0"/>
    <w:rsid w:val="00754764"/>
    <w:rsid w:val="0075712F"/>
    <w:rsid w:val="0076068A"/>
    <w:rsid w:val="00760732"/>
    <w:rsid w:val="00761B8C"/>
    <w:rsid w:val="00763BD4"/>
    <w:rsid w:val="00763D75"/>
    <w:rsid w:val="00764DCF"/>
    <w:rsid w:val="0076543F"/>
    <w:rsid w:val="00765CF3"/>
    <w:rsid w:val="007672D5"/>
    <w:rsid w:val="0076763E"/>
    <w:rsid w:val="00770E13"/>
    <w:rsid w:val="0077127E"/>
    <w:rsid w:val="00771520"/>
    <w:rsid w:val="0077185E"/>
    <w:rsid w:val="007719CA"/>
    <w:rsid w:val="0077264D"/>
    <w:rsid w:val="00772BEC"/>
    <w:rsid w:val="007732F4"/>
    <w:rsid w:val="0077498F"/>
    <w:rsid w:val="00775B9D"/>
    <w:rsid w:val="00776A99"/>
    <w:rsid w:val="0077737A"/>
    <w:rsid w:val="00780E9B"/>
    <w:rsid w:val="00782445"/>
    <w:rsid w:val="00782A5E"/>
    <w:rsid w:val="00782CA4"/>
    <w:rsid w:val="00783958"/>
    <w:rsid w:val="00783E7B"/>
    <w:rsid w:val="00786891"/>
    <w:rsid w:val="0078704C"/>
    <w:rsid w:val="00787370"/>
    <w:rsid w:val="00787567"/>
    <w:rsid w:val="00787D26"/>
    <w:rsid w:val="00794A32"/>
    <w:rsid w:val="00796886"/>
    <w:rsid w:val="00797412"/>
    <w:rsid w:val="007A00FF"/>
    <w:rsid w:val="007A09E0"/>
    <w:rsid w:val="007A1BA5"/>
    <w:rsid w:val="007A2DB6"/>
    <w:rsid w:val="007A303E"/>
    <w:rsid w:val="007A471A"/>
    <w:rsid w:val="007A4B04"/>
    <w:rsid w:val="007A7E31"/>
    <w:rsid w:val="007B0B19"/>
    <w:rsid w:val="007B0C0A"/>
    <w:rsid w:val="007B15C3"/>
    <w:rsid w:val="007B21B0"/>
    <w:rsid w:val="007B29A9"/>
    <w:rsid w:val="007B3864"/>
    <w:rsid w:val="007B5230"/>
    <w:rsid w:val="007B7EF9"/>
    <w:rsid w:val="007C033F"/>
    <w:rsid w:val="007C14D4"/>
    <w:rsid w:val="007C17A4"/>
    <w:rsid w:val="007C285F"/>
    <w:rsid w:val="007C55CF"/>
    <w:rsid w:val="007C66CD"/>
    <w:rsid w:val="007C6D2A"/>
    <w:rsid w:val="007D20AF"/>
    <w:rsid w:val="007D2AC5"/>
    <w:rsid w:val="007D3C33"/>
    <w:rsid w:val="007D3D30"/>
    <w:rsid w:val="007D4DB8"/>
    <w:rsid w:val="007D5197"/>
    <w:rsid w:val="007D68A8"/>
    <w:rsid w:val="007E0941"/>
    <w:rsid w:val="007E1C0E"/>
    <w:rsid w:val="007E45FD"/>
    <w:rsid w:val="007E5945"/>
    <w:rsid w:val="007E5E63"/>
    <w:rsid w:val="007F0BE8"/>
    <w:rsid w:val="007F3A40"/>
    <w:rsid w:val="007F4BCD"/>
    <w:rsid w:val="007F51DB"/>
    <w:rsid w:val="0080035A"/>
    <w:rsid w:val="00801390"/>
    <w:rsid w:val="008013B3"/>
    <w:rsid w:val="00801A0B"/>
    <w:rsid w:val="008039B0"/>
    <w:rsid w:val="008051BE"/>
    <w:rsid w:val="0080599B"/>
    <w:rsid w:val="00806692"/>
    <w:rsid w:val="008106B1"/>
    <w:rsid w:val="00811643"/>
    <w:rsid w:val="00812014"/>
    <w:rsid w:val="008147FB"/>
    <w:rsid w:val="00814805"/>
    <w:rsid w:val="00814ADF"/>
    <w:rsid w:val="008158F2"/>
    <w:rsid w:val="00816D03"/>
    <w:rsid w:val="00820549"/>
    <w:rsid w:val="00821546"/>
    <w:rsid w:val="00821C20"/>
    <w:rsid w:val="00823D90"/>
    <w:rsid w:val="00825ED6"/>
    <w:rsid w:val="00827F36"/>
    <w:rsid w:val="0083071A"/>
    <w:rsid w:val="00832130"/>
    <w:rsid w:val="008334C8"/>
    <w:rsid w:val="0083483B"/>
    <w:rsid w:val="00835C98"/>
    <w:rsid w:val="008369CD"/>
    <w:rsid w:val="0083707A"/>
    <w:rsid w:val="00837D81"/>
    <w:rsid w:val="00841B87"/>
    <w:rsid w:val="008423A9"/>
    <w:rsid w:val="00842A99"/>
    <w:rsid w:val="00842FB9"/>
    <w:rsid w:val="008443B1"/>
    <w:rsid w:val="00844AC6"/>
    <w:rsid w:val="00845290"/>
    <w:rsid w:val="00845A5B"/>
    <w:rsid w:val="00847C88"/>
    <w:rsid w:val="00850985"/>
    <w:rsid w:val="00850DAB"/>
    <w:rsid w:val="0085241E"/>
    <w:rsid w:val="008571A2"/>
    <w:rsid w:val="00861F67"/>
    <w:rsid w:val="00861FE9"/>
    <w:rsid w:val="00862E00"/>
    <w:rsid w:val="0086308B"/>
    <w:rsid w:val="00863FFE"/>
    <w:rsid w:val="00864659"/>
    <w:rsid w:val="00865334"/>
    <w:rsid w:val="0086577E"/>
    <w:rsid w:val="008670EE"/>
    <w:rsid w:val="00870594"/>
    <w:rsid w:val="00870AE0"/>
    <w:rsid w:val="00872618"/>
    <w:rsid w:val="00882206"/>
    <w:rsid w:val="00884625"/>
    <w:rsid w:val="00884FE6"/>
    <w:rsid w:val="00891154"/>
    <w:rsid w:val="00893347"/>
    <w:rsid w:val="0089383B"/>
    <w:rsid w:val="00893A1E"/>
    <w:rsid w:val="00893DC7"/>
    <w:rsid w:val="00894563"/>
    <w:rsid w:val="00896B2E"/>
    <w:rsid w:val="00897885"/>
    <w:rsid w:val="008A0C5E"/>
    <w:rsid w:val="008A1DA4"/>
    <w:rsid w:val="008A6053"/>
    <w:rsid w:val="008A6AB8"/>
    <w:rsid w:val="008A6BFB"/>
    <w:rsid w:val="008A6F0C"/>
    <w:rsid w:val="008B2B44"/>
    <w:rsid w:val="008B5893"/>
    <w:rsid w:val="008B5D54"/>
    <w:rsid w:val="008B5F11"/>
    <w:rsid w:val="008B7685"/>
    <w:rsid w:val="008C0565"/>
    <w:rsid w:val="008C06DB"/>
    <w:rsid w:val="008C2D0C"/>
    <w:rsid w:val="008C3180"/>
    <w:rsid w:val="008C3FF8"/>
    <w:rsid w:val="008C4413"/>
    <w:rsid w:val="008C6773"/>
    <w:rsid w:val="008C6B62"/>
    <w:rsid w:val="008D1826"/>
    <w:rsid w:val="008D2E9F"/>
    <w:rsid w:val="008D6511"/>
    <w:rsid w:val="008D68EE"/>
    <w:rsid w:val="008E2933"/>
    <w:rsid w:val="008E2943"/>
    <w:rsid w:val="008E3D76"/>
    <w:rsid w:val="008E3EF1"/>
    <w:rsid w:val="008F063C"/>
    <w:rsid w:val="008F1743"/>
    <w:rsid w:val="008F2D82"/>
    <w:rsid w:val="008F3AF4"/>
    <w:rsid w:val="008F3B67"/>
    <w:rsid w:val="008F5120"/>
    <w:rsid w:val="008F541D"/>
    <w:rsid w:val="00900ACF"/>
    <w:rsid w:val="009064CF"/>
    <w:rsid w:val="0090797B"/>
    <w:rsid w:val="00910789"/>
    <w:rsid w:val="009200A5"/>
    <w:rsid w:val="0092252C"/>
    <w:rsid w:val="00925A29"/>
    <w:rsid w:val="00930C2C"/>
    <w:rsid w:val="00931918"/>
    <w:rsid w:val="009341DC"/>
    <w:rsid w:val="009348AA"/>
    <w:rsid w:val="00935441"/>
    <w:rsid w:val="00937633"/>
    <w:rsid w:val="009376A1"/>
    <w:rsid w:val="00940BAA"/>
    <w:rsid w:val="00940C5D"/>
    <w:rsid w:val="00941819"/>
    <w:rsid w:val="00941DB0"/>
    <w:rsid w:val="00942281"/>
    <w:rsid w:val="00944776"/>
    <w:rsid w:val="0094514D"/>
    <w:rsid w:val="009454A1"/>
    <w:rsid w:val="00945D04"/>
    <w:rsid w:val="009475E5"/>
    <w:rsid w:val="0095014B"/>
    <w:rsid w:val="00952831"/>
    <w:rsid w:val="00952E20"/>
    <w:rsid w:val="009544E0"/>
    <w:rsid w:val="00954F98"/>
    <w:rsid w:val="0095662A"/>
    <w:rsid w:val="0095664A"/>
    <w:rsid w:val="00960A49"/>
    <w:rsid w:val="00960CD8"/>
    <w:rsid w:val="00961788"/>
    <w:rsid w:val="00962FB4"/>
    <w:rsid w:val="00964D53"/>
    <w:rsid w:val="0096582E"/>
    <w:rsid w:val="00966382"/>
    <w:rsid w:val="00966A86"/>
    <w:rsid w:val="009704D6"/>
    <w:rsid w:val="00970739"/>
    <w:rsid w:val="00970A8D"/>
    <w:rsid w:val="00973E98"/>
    <w:rsid w:val="00975ABB"/>
    <w:rsid w:val="00981176"/>
    <w:rsid w:val="00982409"/>
    <w:rsid w:val="009828F1"/>
    <w:rsid w:val="00984303"/>
    <w:rsid w:val="00987686"/>
    <w:rsid w:val="009909FA"/>
    <w:rsid w:val="00993840"/>
    <w:rsid w:val="00995530"/>
    <w:rsid w:val="009959FF"/>
    <w:rsid w:val="00995C07"/>
    <w:rsid w:val="009A2349"/>
    <w:rsid w:val="009A245F"/>
    <w:rsid w:val="009A3C77"/>
    <w:rsid w:val="009A479C"/>
    <w:rsid w:val="009A5AA6"/>
    <w:rsid w:val="009A5E25"/>
    <w:rsid w:val="009A6A42"/>
    <w:rsid w:val="009A6D16"/>
    <w:rsid w:val="009B0DF8"/>
    <w:rsid w:val="009B2A38"/>
    <w:rsid w:val="009B2CA1"/>
    <w:rsid w:val="009B509C"/>
    <w:rsid w:val="009B57B7"/>
    <w:rsid w:val="009C02DB"/>
    <w:rsid w:val="009C226E"/>
    <w:rsid w:val="009C2AFF"/>
    <w:rsid w:val="009C2D37"/>
    <w:rsid w:val="009C4C26"/>
    <w:rsid w:val="009C5273"/>
    <w:rsid w:val="009C55B1"/>
    <w:rsid w:val="009C61A6"/>
    <w:rsid w:val="009C68FE"/>
    <w:rsid w:val="009C69B9"/>
    <w:rsid w:val="009C7D0A"/>
    <w:rsid w:val="009D0310"/>
    <w:rsid w:val="009D27A1"/>
    <w:rsid w:val="009D3087"/>
    <w:rsid w:val="009D316C"/>
    <w:rsid w:val="009D56DE"/>
    <w:rsid w:val="009D6F7D"/>
    <w:rsid w:val="009E2561"/>
    <w:rsid w:val="009E3032"/>
    <w:rsid w:val="009E438F"/>
    <w:rsid w:val="009E4BB8"/>
    <w:rsid w:val="009E513F"/>
    <w:rsid w:val="009E7936"/>
    <w:rsid w:val="009F0024"/>
    <w:rsid w:val="009F083F"/>
    <w:rsid w:val="009F1445"/>
    <w:rsid w:val="009F1987"/>
    <w:rsid w:val="009F1C76"/>
    <w:rsid w:val="009F1CB8"/>
    <w:rsid w:val="009F2989"/>
    <w:rsid w:val="009F2E56"/>
    <w:rsid w:val="009F3D5F"/>
    <w:rsid w:val="009F4139"/>
    <w:rsid w:val="009F41B7"/>
    <w:rsid w:val="009F5143"/>
    <w:rsid w:val="009F532F"/>
    <w:rsid w:val="00A00138"/>
    <w:rsid w:val="00A015D5"/>
    <w:rsid w:val="00A03437"/>
    <w:rsid w:val="00A05240"/>
    <w:rsid w:val="00A05DE3"/>
    <w:rsid w:val="00A10AAA"/>
    <w:rsid w:val="00A11218"/>
    <w:rsid w:val="00A115EF"/>
    <w:rsid w:val="00A1187A"/>
    <w:rsid w:val="00A12C6D"/>
    <w:rsid w:val="00A13270"/>
    <w:rsid w:val="00A13957"/>
    <w:rsid w:val="00A14653"/>
    <w:rsid w:val="00A152AC"/>
    <w:rsid w:val="00A15BCA"/>
    <w:rsid w:val="00A15E70"/>
    <w:rsid w:val="00A17F83"/>
    <w:rsid w:val="00A228FA"/>
    <w:rsid w:val="00A2450D"/>
    <w:rsid w:val="00A26902"/>
    <w:rsid w:val="00A2716B"/>
    <w:rsid w:val="00A279B4"/>
    <w:rsid w:val="00A27D37"/>
    <w:rsid w:val="00A30035"/>
    <w:rsid w:val="00A32B1F"/>
    <w:rsid w:val="00A33C08"/>
    <w:rsid w:val="00A33C7F"/>
    <w:rsid w:val="00A34264"/>
    <w:rsid w:val="00A343AA"/>
    <w:rsid w:val="00A35905"/>
    <w:rsid w:val="00A35B90"/>
    <w:rsid w:val="00A3614F"/>
    <w:rsid w:val="00A408C1"/>
    <w:rsid w:val="00A4159C"/>
    <w:rsid w:val="00A42CA9"/>
    <w:rsid w:val="00A468DE"/>
    <w:rsid w:val="00A47FE3"/>
    <w:rsid w:val="00A50372"/>
    <w:rsid w:val="00A5334A"/>
    <w:rsid w:val="00A53D55"/>
    <w:rsid w:val="00A5564E"/>
    <w:rsid w:val="00A561F7"/>
    <w:rsid w:val="00A5665E"/>
    <w:rsid w:val="00A62DF6"/>
    <w:rsid w:val="00A67177"/>
    <w:rsid w:val="00A67AC3"/>
    <w:rsid w:val="00A67E5A"/>
    <w:rsid w:val="00A70808"/>
    <w:rsid w:val="00A716CC"/>
    <w:rsid w:val="00A71ED5"/>
    <w:rsid w:val="00A725CB"/>
    <w:rsid w:val="00A72B45"/>
    <w:rsid w:val="00A72DA6"/>
    <w:rsid w:val="00A74CCC"/>
    <w:rsid w:val="00A74FED"/>
    <w:rsid w:val="00A75218"/>
    <w:rsid w:val="00A75DAB"/>
    <w:rsid w:val="00A81537"/>
    <w:rsid w:val="00A837C8"/>
    <w:rsid w:val="00A83EAF"/>
    <w:rsid w:val="00A844F9"/>
    <w:rsid w:val="00A8539D"/>
    <w:rsid w:val="00A871E0"/>
    <w:rsid w:val="00A877C5"/>
    <w:rsid w:val="00A87C64"/>
    <w:rsid w:val="00A87C6F"/>
    <w:rsid w:val="00A90912"/>
    <w:rsid w:val="00A937B6"/>
    <w:rsid w:val="00A95C82"/>
    <w:rsid w:val="00A970FB"/>
    <w:rsid w:val="00A9769D"/>
    <w:rsid w:val="00AA0A75"/>
    <w:rsid w:val="00AA2127"/>
    <w:rsid w:val="00AA2276"/>
    <w:rsid w:val="00AA264A"/>
    <w:rsid w:val="00AA286C"/>
    <w:rsid w:val="00AA2AEC"/>
    <w:rsid w:val="00AA2EEC"/>
    <w:rsid w:val="00AA3FE3"/>
    <w:rsid w:val="00AA4084"/>
    <w:rsid w:val="00AA7B21"/>
    <w:rsid w:val="00AB0920"/>
    <w:rsid w:val="00AB1F28"/>
    <w:rsid w:val="00AB3696"/>
    <w:rsid w:val="00AB39CC"/>
    <w:rsid w:val="00AB3DAC"/>
    <w:rsid w:val="00AB4EC1"/>
    <w:rsid w:val="00AC2EAF"/>
    <w:rsid w:val="00AC36DC"/>
    <w:rsid w:val="00AC4577"/>
    <w:rsid w:val="00AC481F"/>
    <w:rsid w:val="00AD004F"/>
    <w:rsid w:val="00AD087D"/>
    <w:rsid w:val="00AD12F6"/>
    <w:rsid w:val="00AD4200"/>
    <w:rsid w:val="00AD43F8"/>
    <w:rsid w:val="00AD5C42"/>
    <w:rsid w:val="00AD602A"/>
    <w:rsid w:val="00AD6212"/>
    <w:rsid w:val="00AD7814"/>
    <w:rsid w:val="00AD7882"/>
    <w:rsid w:val="00AD7A78"/>
    <w:rsid w:val="00AD7FA5"/>
    <w:rsid w:val="00AE0EED"/>
    <w:rsid w:val="00AE262E"/>
    <w:rsid w:val="00AE3C38"/>
    <w:rsid w:val="00AE56CE"/>
    <w:rsid w:val="00AE7569"/>
    <w:rsid w:val="00AE79DB"/>
    <w:rsid w:val="00AF0CCA"/>
    <w:rsid w:val="00AF1382"/>
    <w:rsid w:val="00AF2BA2"/>
    <w:rsid w:val="00AF7C0D"/>
    <w:rsid w:val="00B0044C"/>
    <w:rsid w:val="00B00D50"/>
    <w:rsid w:val="00B00E6E"/>
    <w:rsid w:val="00B01698"/>
    <w:rsid w:val="00B0426A"/>
    <w:rsid w:val="00B05406"/>
    <w:rsid w:val="00B0787F"/>
    <w:rsid w:val="00B11AFE"/>
    <w:rsid w:val="00B11FF4"/>
    <w:rsid w:val="00B126C3"/>
    <w:rsid w:val="00B129F4"/>
    <w:rsid w:val="00B13560"/>
    <w:rsid w:val="00B15451"/>
    <w:rsid w:val="00B162C4"/>
    <w:rsid w:val="00B200C0"/>
    <w:rsid w:val="00B200D2"/>
    <w:rsid w:val="00B20538"/>
    <w:rsid w:val="00B20680"/>
    <w:rsid w:val="00B214BE"/>
    <w:rsid w:val="00B22C6A"/>
    <w:rsid w:val="00B24DF2"/>
    <w:rsid w:val="00B2574D"/>
    <w:rsid w:val="00B2684D"/>
    <w:rsid w:val="00B30C81"/>
    <w:rsid w:val="00B32426"/>
    <w:rsid w:val="00B32B18"/>
    <w:rsid w:val="00B3454E"/>
    <w:rsid w:val="00B4033C"/>
    <w:rsid w:val="00B44F13"/>
    <w:rsid w:val="00B44FF6"/>
    <w:rsid w:val="00B451A7"/>
    <w:rsid w:val="00B46246"/>
    <w:rsid w:val="00B474DB"/>
    <w:rsid w:val="00B47F47"/>
    <w:rsid w:val="00B502A3"/>
    <w:rsid w:val="00B51548"/>
    <w:rsid w:val="00B540EE"/>
    <w:rsid w:val="00B558C5"/>
    <w:rsid w:val="00B60E2D"/>
    <w:rsid w:val="00B614F8"/>
    <w:rsid w:val="00B66054"/>
    <w:rsid w:val="00B66EC3"/>
    <w:rsid w:val="00B70265"/>
    <w:rsid w:val="00B70496"/>
    <w:rsid w:val="00B71CEC"/>
    <w:rsid w:val="00B72E9F"/>
    <w:rsid w:val="00B72FCE"/>
    <w:rsid w:val="00B73072"/>
    <w:rsid w:val="00B7351F"/>
    <w:rsid w:val="00B73AE3"/>
    <w:rsid w:val="00B7653A"/>
    <w:rsid w:val="00B803FF"/>
    <w:rsid w:val="00B80402"/>
    <w:rsid w:val="00B80E10"/>
    <w:rsid w:val="00B80E62"/>
    <w:rsid w:val="00B81169"/>
    <w:rsid w:val="00B818D6"/>
    <w:rsid w:val="00B81F60"/>
    <w:rsid w:val="00B8337D"/>
    <w:rsid w:val="00B857D7"/>
    <w:rsid w:val="00B873F2"/>
    <w:rsid w:val="00B9126D"/>
    <w:rsid w:val="00B918B2"/>
    <w:rsid w:val="00B9265B"/>
    <w:rsid w:val="00B9284B"/>
    <w:rsid w:val="00B935F7"/>
    <w:rsid w:val="00B94853"/>
    <w:rsid w:val="00B96A6F"/>
    <w:rsid w:val="00B97711"/>
    <w:rsid w:val="00BA09AB"/>
    <w:rsid w:val="00BA1C37"/>
    <w:rsid w:val="00BA2D25"/>
    <w:rsid w:val="00BA3265"/>
    <w:rsid w:val="00BA48FB"/>
    <w:rsid w:val="00BA630E"/>
    <w:rsid w:val="00BB071B"/>
    <w:rsid w:val="00BB0CF8"/>
    <w:rsid w:val="00BB0FBE"/>
    <w:rsid w:val="00BB7665"/>
    <w:rsid w:val="00BC50C9"/>
    <w:rsid w:val="00BC7606"/>
    <w:rsid w:val="00BD0CA4"/>
    <w:rsid w:val="00BD0E15"/>
    <w:rsid w:val="00BD179F"/>
    <w:rsid w:val="00BD37C1"/>
    <w:rsid w:val="00BD3DC3"/>
    <w:rsid w:val="00BD4C90"/>
    <w:rsid w:val="00BD5220"/>
    <w:rsid w:val="00BD59E3"/>
    <w:rsid w:val="00BD62AA"/>
    <w:rsid w:val="00BD7001"/>
    <w:rsid w:val="00BD70E0"/>
    <w:rsid w:val="00BD7A16"/>
    <w:rsid w:val="00BD7AA5"/>
    <w:rsid w:val="00BE2205"/>
    <w:rsid w:val="00BE2C14"/>
    <w:rsid w:val="00BE2FD0"/>
    <w:rsid w:val="00BE49CE"/>
    <w:rsid w:val="00BE6007"/>
    <w:rsid w:val="00BF0845"/>
    <w:rsid w:val="00BF2C43"/>
    <w:rsid w:val="00BF2EF4"/>
    <w:rsid w:val="00BF7405"/>
    <w:rsid w:val="00C031B4"/>
    <w:rsid w:val="00C03776"/>
    <w:rsid w:val="00C04A0A"/>
    <w:rsid w:val="00C0773D"/>
    <w:rsid w:val="00C10761"/>
    <w:rsid w:val="00C10D2A"/>
    <w:rsid w:val="00C10F75"/>
    <w:rsid w:val="00C11361"/>
    <w:rsid w:val="00C11694"/>
    <w:rsid w:val="00C117FD"/>
    <w:rsid w:val="00C1212E"/>
    <w:rsid w:val="00C1499C"/>
    <w:rsid w:val="00C15EBF"/>
    <w:rsid w:val="00C17F1E"/>
    <w:rsid w:val="00C207F0"/>
    <w:rsid w:val="00C2089A"/>
    <w:rsid w:val="00C21199"/>
    <w:rsid w:val="00C25585"/>
    <w:rsid w:val="00C276FB"/>
    <w:rsid w:val="00C27E60"/>
    <w:rsid w:val="00C27E67"/>
    <w:rsid w:val="00C314D2"/>
    <w:rsid w:val="00C35377"/>
    <w:rsid w:val="00C36EB7"/>
    <w:rsid w:val="00C37E28"/>
    <w:rsid w:val="00C42447"/>
    <w:rsid w:val="00C42F61"/>
    <w:rsid w:val="00C4365A"/>
    <w:rsid w:val="00C502FB"/>
    <w:rsid w:val="00C508B6"/>
    <w:rsid w:val="00C51636"/>
    <w:rsid w:val="00C51C36"/>
    <w:rsid w:val="00C52DBE"/>
    <w:rsid w:val="00C61503"/>
    <w:rsid w:val="00C62EB1"/>
    <w:rsid w:val="00C65AE2"/>
    <w:rsid w:val="00C669A1"/>
    <w:rsid w:val="00C669DB"/>
    <w:rsid w:val="00C70365"/>
    <w:rsid w:val="00C71868"/>
    <w:rsid w:val="00C7265F"/>
    <w:rsid w:val="00C731AA"/>
    <w:rsid w:val="00C810C4"/>
    <w:rsid w:val="00C815B6"/>
    <w:rsid w:val="00C81BED"/>
    <w:rsid w:val="00C83176"/>
    <w:rsid w:val="00C83513"/>
    <w:rsid w:val="00C843B4"/>
    <w:rsid w:val="00C86607"/>
    <w:rsid w:val="00C8767E"/>
    <w:rsid w:val="00C9212E"/>
    <w:rsid w:val="00C922DC"/>
    <w:rsid w:val="00C928C6"/>
    <w:rsid w:val="00C92E05"/>
    <w:rsid w:val="00C93628"/>
    <w:rsid w:val="00C93B5A"/>
    <w:rsid w:val="00C94ADB"/>
    <w:rsid w:val="00C94FFC"/>
    <w:rsid w:val="00C96A8A"/>
    <w:rsid w:val="00C97803"/>
    <w:rsid w:val="00CA0351"/>
    <w:rsid w:val="00CA2659"/>
    <w:rsid w:val="00CA4C17"/>
    <w:rsid w:val="00CA7E91"/>
    <w:rsid w:val="00CB1DC4"/>
    <w:rsid w:val="00CB4DDF"/>
    <w:rsid w:val="00CB6C52"/>
    <w:rsid w:val="00CB78B5"/>
    <w:rsid w:val="00CC0D18"/>
    <w:rsid w:val="00CC0F0B"/>
    <w:rsid w:val="00CC1116"/>
    <w:rsid w:val="00CC1604"/>
    <w:rsid w:val="00CC41FE"/>
    <w:rsid w:val="00CC6530"/>
    <w:rsid w:val="00CD0918"/>
    <w:rsid w:val="00CD3DDA"/>
    <w:rsid w:val="00CD6260"/>
    <w:rsid w:val="00CD64D0"/>
    <w:rsid w:val="00CE04F6"/>
    <w:rsid w:val="00CE181C"/>
    <w:rsid w:val="00CE43AA"/>
    <w:rsid w:val="00CE47D7"/>
    <w:rsid w:val="00CE5192"/>
    <w:rsid w:val="00CE720C"/>
    <w:rsid w:val="00CF17CF"/>
    <w:rsid w:val="00CF25F5"/>
    <w:rsid w:val="00CF487C"/>
    <w:rsid w:val="00CF5661"/>
    <w:rsid w:val="00CF569B"/>
    <w:rsid w:val="00CF652E"/>
    <w:rsid w:val="00D02EBD"/>
    <w:rsid w:val="00D03B2A"/>
    <w:rsid w:val="00D03D02"/>
    <w:rsid w:val="00D06172"/>
    <w:rsid w:val="00D063A4"/>
    <w:rsid w:val="00D10407"/>
    <w:rsid w:val="00D128BF"/>
    <w:rsid w:val="00D1395F"/>
    <w:rsid w:val="00D13FF8"/>
    <w:rsid w:val="00D144B4"/>
    <w:rsid w:val="00D144C3"/>
    <w:rsid w:val="00D14662"/>
    <w:rsid w:val="00D16AB0"/>
    <w:rsid w:val="00D22639"/>
    <w:rsid w:val="00D23691"/>
    <w:rsid w:val="00D2519C"/>
    <w:rsid w:val="00D25639"/>
    <w:rsid w:val="00D27518"/>
    <w:rsid w:val="00D31FC8"/>
    <w:rsid w:val="00D33387"/>
    <w:rsid w:val="00D335FC"/>
    <w:rsid w:val="00D33C9A"/>
    <w:rsid w:val="00D345CE"/>
    <w:rsid w:val="00D34895"/>
    <w:rsid w:val="00D356AE"/>
    <w:rsid w:val="00D35D7A"/>
    <w:rsid w:val="00D35E84"/>
    <w:rsid w:val="00D36ADB"/>
    <w:rsid w:val="00D36F2D"/>
    <w:rsid w:val="00D36FD0"/>
    <w:rsid w:val="00D37D80"/>
    <w:rsid w:val="00D42279"/>
    <w:rsid w:val="00D42E40"/>
    <w:rsid w:val="00D430A8"/>
    <w:rsid w:val="00D4457F"/>
    <w:rsid w:val="00D46D1D"/>
    <w:rsid w:val="00D46FF0"/>
    <w:rsid w:val="00D50685"/>
    <w:rsid w:val="00D516F4"/>
    <w:rsid w:val="00D51E76"/>
    <w:rsid w:val="00D53C7C"/>
    <w:rsid w:val="00D554A5"/>
    <w:rsid w:val="00D56DC3"/>
    <w:rsid w:val="00D57B51"/>
    <w:rsid w:val="00D65217"/>
    <w:rsid w:val="00D66335"/>
    <w:rsid w:val="00D67E3B"/>
    <w:rsid w:val="00D70B4C"/>
    <w:rsid w:val="00D74EFB"/>
    <w:rsid w:val="00D76EBC"/>
    <w:rsid w:val="00D80FFA"/>
    <w:rsid w:val="00D83DB4"/>
    <w:rsid w:val="00D84C89"/>
    <w:rsid w:val="00D84D91"/>
    <w:rsid w:val="00D863F6"/>
    <w:rsid w:val="00D86D13"/>
    <w:rsid w:val="00D9182C"/>
    <w:rsid w:val="00D92739"/>
    <w:rsid w:val="00D932E5"/>
    <w:rsid w:val="00D933A9"/>
    <w:rsid w:val="00D94B19"/>
    <w:rsid w:val="00D9603B"/>
    <w:rsid w:val="00D967BC"/>
    <w:rsid w:val="00D979E7"/>
    <w:rsid w:val="00D97AEA"/>
    <w:rsid w:val="00DA0984"/>
    <w:rsid w:val="00DA12F6"/>
    <w:rsid w:val="00DA251D"/>
    <w:rsid w:val="00DA4C7A"/>
    <w:rsid w:val="00DA4F0F"/>
    <w:rsid w:val="00DB0441"/>
    <w:rsid w:val="00DB4EEE"/>
    <w:rsid w:val="00DB5BEE"/>
    <w:rsid w:val="00DB76E2"/>
    <w:rsid w:val="00DC0E9A"/>
    <w:rsid w:val="00DC13DE"/>
    <w:rsid w:val="00DC2911"/>
    <w:rsid w:val="00DC38CA"/>
    <w:rsid w:val="00DC3C83"/>
    <w:rsid w:val="00DC489B"/>
    <w:rsid w:val="00DC72DD"/>
    <w:rsid w:val="00DD0012"/>
    <w:rsid w:val="00DD0977"/>
    <w:rsid w:val="00DD0EBF"/>
    <w:rsid w:val="00DD2B3E"/>
    <w:rsid w:val="00DD2DB8"/>
    <w:rsid w:val="00DD2E98"/>
    <w:rsid w:val="00DD6BB0"/>
    <w:rsid w:val="00DD6F73"/>
    <w:rsid w:val="00DD724F"/>
    <w:rsid w:val="00DE02B3"/>
    <w:rsid w:val="00DE07CF"/>
    <w:rsid w:val="00DE0BD5"/>
    <w:rsid w:val="00DE1D1C"/>
    <w:rsid w:val="00DE4FFC"/>
    <w:rsid w:val="00DE501C"/>
    <w:rsid w:val="00DE5475"/>
    <w:rsid w:val="00DE721B"/>
    <w:rsid w:val="00DE7C62"/>
    <w:rsid w:val="00DF02FF"/>
    <w:rsid w:val="00DF0EDF"/>
    <w:rsid w:val="00DF1CCA"/>
    <w:rsid w:val="00DF5020"/>
    <w:rsid w:val="00DF69F2"/>
    <w:rsid w:val="00DF704F"/>
    <w:rsid w:val="00DF749F"/>
    <w:rsid w:val="00E01A86"/>
    <w:rsid w:val="00E031DC"/>
    <w:rsid w:val="00E03FD4"/>
    <w:rsid w:val="00E06254"/>
    <w:rsid w:val="00E06936"/>
    <w:rsid w:val="00E06FEC"/>
    <w:rsid w:val="00E07EBA"/>
    <w:rsid w:val="00E105A5"/>
    <w:rsid w:val="00E121D6"/>
    <w:rsid w:val="00E12769"/>
    <w:rsid w:val="00E16C1C"/>
    <w:rsid w:val="00E20157"/>
    <w:rsid w:val="00E230C5"/>
    <w:rsid w:val="00E24259"/>
    <w:rsid w:val="00E24407"/>
    <w:rsid w:val="00E24CD6"/>
    <w:rsid w:val="00E25B6F"/>
    <w:rsid w:val="00E316E4"/>
    <w:rsid w:val="00E338FE"/>
    <w:rsid w:val="00E3478D"/>
    <w:rsid w:val="00E3561C"/>
    <w:rsid w:val="00E36701"/>
    <w:rsid w:val="00E36E24"/>
    <w:rsid w:val="00E374D0"/>
    <w:rsid w:val="00E37573"/>
    <w:rsid w:val="00E37C4A"/>
    <w:rsid w:val="00E40958"/>
    <w:rsid w:val="00E40B54"/>
    <w:rsid w:val="00E41D38"/>
    <w:rsid w:val="00E4239C"/>
    <w:rsid w:val="00E42B27"/>
    <w:rsid w:val="00E446FB"/>
    <w:rsid w:val="00E45D2D"/>
    <w:rsid w:val="00E46582"/>
    <w:rsid w:val="00E46E62"/>
    <w:rsid w:val="00E50553"/>
    <w:rsid w:val="00E507C5"/>
    <w:rsid w:val="00E50E6D"/>
    <w:rsid w:val="00E51ACA"/>
    <w:rsid w:val="00E5435B"/>
    <w:rsid w:val="00E5437A"/>
    <w:rsid w:val="00E54391"/>
    <w:rsid w:val="00E56724"/>
    <w:rsid w:val="00E57E3A"/>
    <w:rsid w:val="00E63ED2"/>
    <w:rsid w:val="00E64760"/>
    <w:rsid w:val="00E652EB"/>
    <w:rsid w:val="00E65F5F"/>
    <w:rsid w:val="00E71E7F"/>
    <w:rsid w:val="00E80248"/>
    <w:rsid w:val="00E809DB"/>
    <w:rsid w:val="00E80BA1"/>
    <w:rsid w:val="00E825AB"/>
    <w:rsid w:val="00E83D04"/>
    <w:rsid w:val="00E8596F"/>
    <w:rsid w:val="00E85A68"/>
    <w:rsid w:val="00E85C0D"/>
    <w:rsid w:val="00E85DC8"/>
    <w:rsid w:val="00E90A79"/>
    <w:rsid w:val="00E91816"/>
    <w:rsid w:val="00E92464"/>
    <w:rsid w:val="00E9341E"/>
    <w:rsid w:val="00E95ED8"/>
    <w:rsid w:val="00E96C2A"/>
    <w:rsid w:val="00EA04DB"/>
    <w:rsid w:val="00EA1075"/>
    <w:rsid w:val="00EA1EA1"/>
    <w:rsid w:val="00EA2012"/>
    <w:rsid w:val="00EA4A72"/>
    <w:rsid w:val="00EB131A"/>
    <w:rsid w:val="00EB4941"/>
    <w:rsid w:val="00EB4A5A"/>
    <w:rsid w:val="00EB4D5C"/>
    <w:rsid w:val="00EB7ABB"/>
    <w:rsid w:val="00EC0249"/>
    <w:rsid w:val="00EC1CF6"/>
    <w:rsid w:val="00EC24F5"/>
    <w:rsid w:val="00EC3991"/>
    <w:rsid w:val="00ED1EE4"/>
    <w:rsid w:val="00ED49EE"/>
    <w:rsid w:val="00ED63F1"/>
    <w:rsid w:val="00ED710B"/>
    <w:rsid w:val="00ED7507"/>
    <w:rsid w:val="00ED7F0B"/>
    <w:rsid w:val="00EE29B9"/>
    <w:rsid w:val="00EE39EC"/>
    <w:rsid w:val="00EE47FB"/>
    <w:rsid w:val="00EE50DB"/>
    <w:rsid w:val="00EE57B5"/>
    <w:rsid w:val="00EF46C2"/>
    <w:rsid w:val="00EF4BEF"/>
    <w:rsid w:val="00EF60D2"/>
    <w:rsid w:val="00EF785F"/>
    <w:rsid w:val="00F0135D"/>
    <w:rsid w:val="00F02DB5"/>
    <w:rsid w:val="00F03104"/>
    <w:rsid w:val="00F032C4"/>
    <w:rsid w:val="00F0385E"/>
    <w:rsid w:val="00F04148"/>
    <w:rsid w:val="00F054C6"/>
    <w:rsid w:val="00F05F60"/>
    <w:rsid w:val="00F06E9A"/>
    <w:rsid w:val="00F07EFE"/>
    <w:rsid w:val="00F10E40"/>
    <w:rsid w:val="00F12DFC"/>
    <w:rsid w:val="00F15858"/>
    <w:rsid w:val="00F16025"/>
    <w:rsid w:val="00F178CD"/>
    <w:rsid w:val="00F202B8"/>
    <w:rsid w:val="00F2066C"/>
    <w:rsid w:val="00F21FE7"/>
    <w:rsid w:val="00F22325"/>
    <w:rsid w:val="00F247B7"/>
    <w:rsid w:val="00F258C8"/>
    <w:rsid w:val="00F3000B"/>
    <w:rsid w:val="00F30631"/>
    <w:rsid w:val="00F31CCA"/>
    <w:rsid w:val="00F322F3"/>
    <w:rsid w:val="00F33C23"/>
    <w:rsid w:val="00F340B6"/>
    <w:rsid w:val="00F34F7B"/>
    <w:rsid w:val="00F35A08"/>
    <w:rsid w:val="00F360EF"/>
    <w:rsid w:val="00F36459"/>
    <w:rsid w:val="00F40BF9"/>
    <w:rsid w:val="00F41577"/>
    <w:rsid w:val="00F42341"/>
    <w:rsid w:val="00F4488F"/>
    <w:rsid w:val="00F45C5E"/>
    <w:rsid w:val="00F4631A"/>
    <w:rsid w:val="00F46BA6"/>
    <w:rsid w:val="00F47B13"/>
    <w:rsid w:val="00F47B4E"/>
    <w:rsid w:val="00F51D28"/>
    <w:rsid w:val="00F544C7"/>
    <w:rsid w:val="00F546BC"/>
    <w:rsid w:val="00F55418"/>
    <w:rsid w:val="00F55A6E"/>
    <w:rsid w:val="00F57FED"/>
    <w:rsid w:val="00F6124E"/>
    <w:rsid w:val="00F61BB3"/>
    <w:rsid w:val="00F62294"/>
    <w:rsid w:val="00F62803"/>
    <w:rsid w:val="00F62ED8"/>
    <w:rsid w:val="00F66B54"/>
    <w:rsid w:val="00F7161B"/>
    <w:rsid w:val="00F719D2"/>
    <w:rsid w:val="00F727B8"/>
    <w:rsid w:val="00F72B85"/>
    <w:rsid w:val="00F72BF8"/>
    <w:rsid w:val="00F73B2F"/>
    <w:rsid w:val="00F73DCE"/>
    <w:rsid w:val="00F758D5"/>
    <w:rsid w:val="00F768AF"/>
    <w:rsid w:val="00F777BE"/>
    <w:rsid w:val="00F809A2"/>
    <w:rsid w:val="00F81623"/>
    <w:rsid w:val="00F81BDE"/>
    <w:rsid w:val="00F82DC8"/>
    <w:rsid w:val="00F85DE7"/>
    <w:rsid w:val="00F860BB"/>
    <w:rsid w:val="00F860F9"/>
    <w:rsid w:val="00F87166"/>
    <w:rsid w:val="00F90F4A"/>
    <w:rsid w:val="00F90F9B"/>
    <w:rsid w:val="00F928B4"/>
    <w:rsid w:val="00F940B7"/>
    <w:rsid w:val="00F94230"/>
    <w:rsid w:val="00F95B53"/>
    <w:rsid w:val="00F960EF"/>
    <w:rsid w:val="00F967CD"/>
    <w:rsid w:val="00F97126"/>
    <w:rsid w:val="00F97371"/>
    <w:rsid w:val="00F97F46"/>
    <w:rsid w:val="00FA00C6"/>
    <w:rsid w:val="00FA16B6"/>
    <w:rsid w:val="00FA3C50"/>
    <w:rsid w:val="00FA741B"/>
    <w:rsid w:val="00FA79BE"/>
    <w:rsid w:val="00FB0617"/>
    <w:rsid w:val="00FB4B5E"/>
    <w:rsid w:val="00FB4D9D"/>
    <w:rsid w:val="00FB5E6D"/>
    <w:rsid w:val="00FB6F35"/>
    <w:rsid w:val="00FC0D55"/>
    <w:rsid w:val="00FC409A"/>
    <w:rsid w:val="00FC43DB"/>
    <w:rsid w:val="00FC54A0"/>
    <w:rsid w:val="00FC6180"/>
    <w:rsid w:val="00FC7309"/>
    <w:rsid w:val="00FD0B7F"/>
    <w:rsid w:val="00FD1329"/>
    <w:rsid w:val="00FD1BD9"/>
    <w:rsid w:val="00FD2BF7"/>
    <w:rsid w:val="00FD3162"/>
    <w:rsid w:val="00FD3235"/>
    <w:rsid w:val="00FD3DAA"/>
    <w:rsid w:val="00FD4FC9"/>
    <w:rsid w:val="00FD57CA"/>
    <w:rsid w:val="00FE09A3"/>
    <w:rsid w:val="00FE0AE3"/>
    <w:rsid w:val="00FE1327"/>
    <w:rsid w:val="00FE4D23"/>
    <w:rsid w:val="00FE63C2"/>
    <w:rsid w:val="00FF3265"/>
    <w:rsid w:val="00FF3651"/>
    <w:rsid w:val="00FF38A2"/>
    <w:rsid w:val="00FF4BEB"/>
    <w:rsid w:val="00FF4DA1"/>
    <w:rsid w:val="00FF6BB4"/>
    <w:rsid w:val="00FF747D"/>
    <w:rsid w:val="045FBC0D"/>
    <w:rsid w:val="10752BBA"/>
    <w:rsid w:val="1113079F"/>
    <w:rsid w:val="11E854B7"/>
    <w:rsid w:val="172FBB35"/>
    <w:rsid w:val="182508CD"/>
    <w:rsid w:val="1963A9D7"/>
    <w:rsid w:val="1AA7AA43"/>
    <w:rsid w:val="1AD07B72"/>
    <w:rsid w:val="1ADFFA79"/>
    <w:rsid w:val="1CA0E24C"/>
    <w:rsid w:val="2337E540"/>
    <w:rsid w:val="2693DEBE"/>
    <w:rsid w:val="2851106B"/>
    <w:rsid w:val="2E204CD5"/>
    <w:rsid w:val="335A2E76"/>
    <w:rsid w:val="35AB5995"/>
    <w:rsid w:val="390D2DFD"/>
    <w:rsid w:val="3A758300"/>
    <w:rsid w:val="3C05B5AF"/>
    <w:rsid w:val="3F299B1F"/>
    <w:rsid w:val="3F4D7466"/>
    <w:rsid w:val="40836DD9"/>
    <w:rsid w:val="411808B1"/>
    <w:rsid w:val="45DA1F70"/>
    <w:rsid w:val="4802FBA8"/>
    <w:rsid w:val="4B5929D6"/>
    <w:rsid w:val="4D49740F"/>
    <w:rsid w:val="4F23A407"/>
    <w:rsid w:val="4F41B9FA"/>
    <w:rsid w:val="4FCF500D"/>
    <w:rsid w:val="53395C95"/>
    <w:rsid w:val="5B621C54"/>
    <w:rsid w:val="5DBA91F6"/>
    <w:rsid w:val="5DF62A20"/>
    <w:rsid w:val="5F763025"/>
    <w:rsid w:val="615F0060"/>
    <w:rsid w:val="631D7940"/>
    <w:rsid w:val="71903359"/>
    <w:rsid w:val="735328F3"/>
    <w:rsid w:val="7BFB3F6B"/>
    <w:rsid w:val="7C6CF2F2"/>
    <w:rsid w:val="7F0CF6D4"/>
    <w:rsid w:val="7FF0A00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o:shapelayout v:ext="edit">
      <o:idmap v:ext="edit" data="1"/>
    </o:shapelayout>
  </w:shapeDefaults>
  <w:decimalSymbol w:val="."/>
  <w:listSeparator w:val=","/>
  <w14:docId w14:val="478F29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footnote text" w:uiPriority="99"/>
    <w:lsdException w:name="caption" w:uiPriority="35" w:qFormat="1"/>
    <w:lsdException w:name="table of figures" w:uiPriority="99"/>
    <w:lsdException w:name="footnote reference" w:uiPriority="99"/>
    <w:lsdException w:name="annotation reference" w:uiPriority="99"/>
    <w:lsdException w:name="toa heading" w:semiHidden="0" w:unhideWhenUsed="0"/>
    <w:lsdException w:name="List Bullet" w:qFormat="1"/>
    <w:lsdException w:name="List Number" w:semiHidden="0" w:unhideWhenUsed="0"/>
    <w:lsdException w:name="List 2" w:semiHidden="0" w:unhideWhenUsed="0"/>
    <w:lsdException w:name="Title" w:semiHidden="0" w:unhideWhenUsed="0" w:qFormat="1"/>
    <w:lsdException w:name="Default Paragraph Font" w:uiPriority="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rmal (Web)" w:uiPriority="99"/>
    <w:lsdException w:name="No List" w:uiPriority="99"/>
    <w:lsdException w:name="Balloon Text" w:semiHidden="0" w:unhideWhenUsed="0"/>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2055D"/>
    <w:rPr>
      <w:sz w:val="24"/>
      <w:szCs w:val="24"/>
    </w:rPr>
  </w:style>
  <w:style w:type="paragraph" w:styleId="Heading1">
    <w:name w:val="heading 1"/>
    <w:basedOn w:val="Normal"/>
    <w:next w:val="Normal"/>
    <w:link w:val="Heading1Char"/>
    <w:qFormat/>
    <w:pPr>
      <w:keepNext/>
      <w:spacing w:before="240" w:after="60"/>
      <w:outlineLvl w:val="0"/>
    </w:pPr>
    <w:rPr>
      <w:rFonts w:ascii="Arial" w:hAnsi="Arial" w:cs="Arial"/>
      <w:b/>
      <w:bCs/>
      <w:kern w:val="32"/>
      <w:sz w:val="32"/>
      <w:szCs w:val="32"/>
    </w:rPr>
  </w:style>
  <w:style w:type="paragraph" w:styleId="Heading2">
    <w:name w:val="heading 2"/>
    <w:basedOn w:val="Normal"/>
    <w:next w:val="Normal"/>
    <w:link w:val="Heading2Char"/>
    <w:qFormat/>
    <w:pPr>
      <w:keepNext/>
      <w:spacing w:before="240" w:after="60"/>
      <w:outlineLvl w:val="1"/>
    </w:pPr>
    <w:rPr>
      <w:rFonts w:ascii="Arial" w:hAnsi="Arial" w:cs="Arial"/>
      <w:b/>
      <w:bCs/>
      <w:i/>
      <w:iCs/>
      <w:sz w:val="28"/>
      <w:szCs w:val="28"/>
    </w:rPr>
  </w:style>
  <w:style w:type="paragraph" w:styleId="Heading3">
    <w:name w:val="heading 3"/>
    <w:basedOn w:val="Normal"/>
    <w:next w:val="Normal"/>
    <w:qFormat/>
    <w:pPr>
      <w:keepNext/>
      <w:spacing w:before="240" w:after="60"/>
      <w:outlineLvl w:val="2"/>
    </w:pPr>
    <w:rPr>
      <w:rFonts w:ascii="Arial" w:hAnsi="Arial" w:cs="Arial"/>
      <w:b/>
      <w:bCs/>
      <w:sz w:val="26"/>
      <w:szCs w:val="26"/>
    </w:rPr>
  </w:style>
  <w:style w:type="paragraph" w:styleId="Heading4">
    <w:name w:val="heading 4"/>
    <w:basedOn w:val="Normal"/>
    <w:next w:val="Normal"/>
    <w:link w:val="Heading4Char"/>
    <w:semiHidden/>
    <w:unhideWhenUsed/>
    <w:qFormat/>
    <w:rsid w:val="006600C3"/>
    <w:pPr>
      <w:keepNext/>
      <w:keepLines/>
      <w:spacing w:before="4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next w:val="Normal"/>
    <w:autoRedefine/>
    <w:uiPriority w:val="39"/>
    <w:rsid w:val="00445BBC"/>
    <w:pPr>
      <w:tabs>
        <w:tab w:val="right" w:leader="dot" w:pos="9350"/>
      </w:tabs>
    </w:pPr>
    <w:rPr>
      <w:bCs/>
      <w:noProof/>
    </w:rPr>
  </w:style>
  <w:style w:type="paragraph" w:styleId="TOC2">
    <w:name w:val="toc 2"/>
    <w:basedOn w:val="Normal"/>
    <w:next w:val="Normal"/>
    <w:autoRedefine/>
    <w:uiPriority w:val="39"/>
    <w:pPr>
      <w:ind w:left="240"/>
    </w:pPr>
  </w:style>
  <w:style w:type="character" w:styleId="Hyperlink">
    <w:name w:val="Hyperlink"/>
    <w:uiPriority w:val="99"/>
    <w:rPr>
      <w:color w:val="0000FF"/>
      <w:u w:val="single"/>
    </w:r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Header">
    <w:name w:val="header"/>
    <w:basedOn w:val="Normal"/>
    <w:pPr>
      <w:tabs>
        <w:tab w:val="center" w:pos="4320"/>
        <w:tab w:val="right" w:pos="8640"/>
      </w:tabs>
    </w:pPr>
  </w:style>
  <w:style w:type="paragraph" w:styleId="TOC3">
    <w:name w:val="toc 3"/>
    <w:basedOn w:val="Normal"/>
    <w:next w:val="Normal"/>
    <w:autoRedefine/>
    <w:uiPriority w:val="39"/>
    <w:pPr>
      <w:ind w:left="480"/>
    </w:pPr>
  </w:style>
  <w:style w:type="paragraph" w:styleId="EndnoteText">
    <w:name w:val="endnote text"/>
    <w:basedOn w:val="Normal"/>
    <w:link w:val="EndnoteTextChar"/>
    <w:semiHidden/>
    <w:rPr>
      <w:sz w:val="20"/>
      <w:szCs w:val="20"/>
    </w:rPr>
  </w:style>
  <w:style w:type="character" w:styleId="EndnoteReference">
    <w:name w:val="endnote reference"/>
    <w:semiHidden/>
    <w:rPr>
      <w:vertAlign w:val="superscript"/>
    </w:rPr>
  </w:style>
  <w:style w:type="paragraph" w:styleId="Index1">
    <w:name w:val="index 1"/>
    <w:basedOn w:val="Normal"/>
    <w:next w:val="Normal"/>
    <w:autoRedefine/>
    <w:semiHidden/>
    <w:pPr>
      <w:ind w:left="240" w:hanging="240"/>
    </w:pPr>
  </w:style>
  <w:style w:type="paragraph" w:styleId="BodyText">
    <w:name w:val="Body Text"/>
    <w:basedOn w:val="Normal"/>
    <w:pPr>
      <w:jc w:val="both"/>
    </w:pPr>
  </w:style>
  <w:style w:type="paragraph" w:styleId="BodyTextIndent">
    <w:name w:val="Body Text Indent"/>
    <w:basedOn w:val="Normal"/>
    <w:pPr>
      <w:ind w:left="720"/>
    </w:pPr>
    <w:rPr>
      <w:i/>
    </w:rPr>
  </w:style>
  <w:style w:type="paragraph" w:styleId="BalloonText">
    <w:name w:val="Balloon Text"/>
    <w:basedOn w:val="Normal"/>
    <w:semiHidden/>
    <w:rPr>
      <w:rFonts w:ascii="Tahoma" w:hAnsi="Tahoma" w:cs="Tahoma"/>
      <w:sz w:val="16"/>
      <w:szCs w:val="16"/>
    </w:rPr>
  </w:style>
  <w:style w:type="paragraph" w:styleId="Caption">
    <w:name w:val="caption"/>
    <w:basedOn w:val="Normal"/>
    <w:next w:val="Normal"/>
    <w:link w:val="CaptionChar"/>
    <w:uiPriority w:val="35"/>
    <w:qFormat/>
    <w:rPr>
      <w:b/>
      <w:bCs/>
      <w:sz w:val="20"/>
      <w:szCs w:val="20"/>
    </w:rPr>
  </w:style>
  <w:style w:type="paragraph" w:styleId="TableofFigures">
    <w:name w:val="table of figures"/>
    <w:basedOn w:val="Normal"/>
    <w:next w:val="Normal"/>
    <w:uiPriority w:val="99"/>
  </w:style>
  <w:style w:type="paragraph" w:styleId="NormalWeb">
    <w:name w:val="Normal (Web)"/>
    <w:basedOn w:val="Normal"/>
    <w:uiPriority w:val="99"/>
    <w:pPr>
      <w:spacing w:before="100" w:beforeAutospacing="1" w:after="100" w:afterAutospacing="1"/>
    </w:pPr>
  </w:style>
  <w:style w:type="character" w:styleId="FollowedHyperlink">
    <w:name w:val="FollowedHyperlink"/>
    <w:rPr>
      <w:color w:val="800080"/>
      <w:u w:val="single"/>
    </w:rPr>
  </w:style>
  <w:style w:type="paragraph" w:customStyle="1" w:styleId="xl27">
    <w:name w:val="xl27"/>
    <w:basedOn w:val="Normal"/>
    <w:pPr>
      <w:pBdr>
        <w:bottom w:val="single" w:sz="12" w:space="0" w:color="FFFFFF"/>
        <w:right w:val="single" w:sz="12" w:space="0" w:color="FFFFFF"/>
      </w:pBdr>
      <w:shd w:val="pct75" w:color="000000" w:fill="333333"/>
      <w:spacing w:before="100" w:beforeAutospacing="1" w:after="100" w:afterAutospacing="1"/>
      <w:jc w:val="center"/>
    </w:pPr>
    <w:rPr>
      <w:b/>
      <w:bCs/>
      <w:color w:val="FFFFFF"/>
      <w:sz w:val="16"/>
      <w:szCs w:val="16"/>
    </w:rPr>
  </w:style>
  <w:style w:type="paragraph" w:customStyle="1" w:styleId="xl28">
    <w:name w:val="xl28"/>
    <w:basedOn w:val="Normal"/>
    <w:pPr>
      <w:pBdr>
        <w:bottom w:val="single" w:sz="12" w:space="0" w:color="FFFFFF"/>
        <w:right w:val="single" w:sz="12" w:space="0" w:color="FFFFFF"/>
      </w:pBdr>
      <w:spacing w:before="100" w:beforeAutospacing="1" w:after="100" w:afterAutospacing="1"/>
    </w:pPr>
    <w:rPr>
      <w:b/>
      <w:bCs/>
    </w:rPr>
  </w:style>
  <w:style w:type="paragraph" w:customStyle="1" w:styleId="xl29">
    <w:name w:val="xl29"/>
    <w:basedOn w:val="Normal"/>
    <w:pPr>
      <w:pBdr>
        <w:bottom w:val="single" w:sz="12" w:space="0" w:color="FFFFFF"/>
        <w:right w:val="single" w:sz="12" w:space="0" w:color="FFFFFF"/>
      </w:pBdr>
      <w:shd w:val="clear" w:color="auto" w:fill="FFCC99"/>
      <w:spacing w:before="100" w:beforeAutospacing="1" w:after="100" w:afterAutospacing="1"/>
    </w:pPr>
    <w:rPr>
      <w:b/>
      <w:bCs/>
    </w:rPr>
  </w:style>
  <w:style w:type="paragraph" w:customStyle="1" w:styleId="xl30">
    <w:name w:val="xl30"/>
    <w:basedOn w:val="Normal"/>
    <w:pPr>
      <w:pBdr>
        <w:bottom w:val="single" w:sz="12" w:space="0" w:color="FFFFFF"/>
        <w:right w:val="single" w:sz="12" w:space="0" w:color="FFFFFF"/>
      </w:pBdr>
      <w:shd w:val="clear" w:color="auto" w:fill="FFFF99"/>
      <w:spacing w:before="100" w:beforeAutospacing="1" w:after="100" w:afterAutospacing="1"/>
    </w:pPr>
    <w:rPr>
      <w:b/>
      <w:bCs/>
    </w:rPr>
  </w:style>
  <w:style w:type="paragraph" w:customStyle="1" w:styleId="xl31">
    <w:name w:val="xl31"/>
    <w:basedOn w:val="Normal"/>
    <w:pPr>
      <w:pBdr>
        <w:bottom w:val="single" w:sz="12" w:space="0" w:color="FFFFFF"/>
        <w:right w:val="single" w:sz="12" w:space="0" w:color="FFFFFF"/>
      </w:pBdr>
      <w:shd w:val="clear" w:color="auto" w:fill="CCFFCC"/>
      <w:spacing w:before="100" w:beforeAutospacing="1" w:after="100" w:afterAutospacing="1"/>
    </w:pPr>
    <w:rPr>
      <w:b/>
      <w:bCs/>
    </w:rPr>
  </w:style>
  <w:style w:type="paragraph" w:customStyle="1" w:styleId="xl32">
    <w:name w:val="xl32"/>
    <w:basedOn w:val="Normal"/>
    <w:pPr>
      <w:pBdr>
        <w:bottom w:val="single" w:sz="12" w:space="0" w:color="FFFFFF"/>
        <w:right w:val="single" w:sz="12" w:space="0" w:color="FFFFFF"/>
      </w:pBdr>
      <w:shd w:val="clear" w:color="auto" w:fill="CCFFFF"/>
      <w:spacing w:before="100" w:beforeAutospacing="1" w:after="100" w:afterAutospacing="1"/>
    </w:pPr>
    <w:rPr>
      <w:b/>
      <w:bCs/>
    </w:rPr>
  </w:style>
  <w:style w:type="paragraph" w:customStyle="1" w:styleId="xl33">
    <w:name w:val="xl33"/>
    <w:basedOn w:val="Normal"/>
    <w:pPr>
      <w:pBdr>
        <w:bottom w:val="single" w:sz="12" w:space="0" w:color="FFFFFF"/>
        <w:right w:val="single" w:sz="12" w:space="0" w:color="FFFFFF"/>
      </w:pBdr>
      <w:shd w:val="clear" w:color="auto" w:fill="99CCFF"/>
      <w:spacing w:before="100" w:beforeAutospacing="1" w:after="100" w:afterAutospacing="1"/>
    </w:pPr>
    <w:rPr>
      <w:b/>
      <w:bCs/>
    </w:rPr>
  </w:style>
  <w:style w:type="paragraph" w:customStyle="1" w:styleId="xl34">
    <w:name w:val="xl34"/>
    <w:basedOn w:val="Normal"/>
    <w:pPr>
      <w:pBdr>
        <w:bottom w:val="single" w:sz="12" w:space="0" w:color="FFFFFF"/>
        <w:right w:val="single" w:sz="12" w:space="0" w:color="FFFFFF"/>
      </w:pBdr>
      <w:shd w:val="clear" w:color="auto" w:fill="CC99FF"/>
      <w:spacing w:before="100" w:beforeAutospacing="1" w:after="100" w:afterAutospacing="1"/>
    </w:pPr>
    <w:rPr>
      <w:b/>
      <w:bCs/>
    </w:rPr>
  </w:style>
  <w:style w:type="paragraph" w:customStyle="1" w:styleId="xl35">
    <w:name w:val="xl35"/>
    <w:basedOn w:val="Normal"/>
    <w:pPr>
      <w:pBdr>
        <w:bottom w:val="single" w:sz="12" w:space="0" w:color="FFFFFF"/>
        <w:right w:val="single" w:sz="12" w:space="0" w:color="FFFFFF"/>
      </w:pBdr>
      <w:shd w:val="clear" w:color="auto" w:fill="00CCFF"/>
      <w:spacing w:before="100" w:beforeAutospacing="1" w:after="100" w:afterAutospacing="1"/>
    </w:pPr>
    <w:rPr>
      <w:b/>
      <w:bCs/>
    </w:rPr>
  </w:style>
  <w:style w:type="paragraph" w:customStyle="1" w:styleId="xl36">
    <w:name w:val="xl36"/>
    <w:basedOn w:val="Normal"/>
    <w:pPr>
      <w:pBdr>
        <w:bottom w:val="single" w:sz="12" w:space="0" w:color="FFFFFF"/>
        <w:right w:val="single" w:sz="12" w:space="0" w:color="FFFFFF"/>
      </w:pBdr>
      <w:shd w:val="clear" w:color="auto" w:fill="800080"/>
      <w:spacing w:before="100" w:beforeAutospacing="1" w:after="100" w:afterAutospacing="1"/>
    </w:pPr>
    <w:rPr>
      <w:b/>
      <w:bCs/>
    </w:rPr>
  </w:style>
  <w:style w:type="paragraph" w:customStyle="1" w:styleId="xl37">
    <w:name w:val="xl37"/>
    <w:basedOn w:val="Normal"/>
    <w:pPr>
      <w:pBdr>
        <w:bottom w:val="single" w:sz="12" w:space="0" w:color="FFFFFF"/>
        <w:right w:val="single" w:sz="12" w:space="0" w:color="FFFFFF"/>
      </w:pBdr>
      <w:shd w:val="clear" w:color="auto" w:fill="FF00FF"/>
      <w:spacing w:before="100" w:beforeAutospacing="1" w:after="100" w:afterAutospacing="1"/>
    </w:pPr>
    <w:rPr>
      <w:b/>
      <w:bCs/>
    </w:rPr>
  </w:style>
  <w:style w:type="paragraph" w:customStyle="1" w:styleId="xl38">
    <w:name w:val="xl38"/>
    <w:basedOn w:val="Normal"/>
    <w:pPr>
      <w:pBdr>
        <w:bottom w:val="single" w:sz="12" w:space="0" w:color="FFFFFF"/>
        <w:right w:val="single" w:sz="12" w:space="0" w:color="FFFFFF"/>
      </w:pBdr>
      <w:shd w:val="clear" w:color="auto" w:fill="FFCC00"/>
      <w:spacing w:before="100" w:beforeAutospacing="1" w:after="100" w:afterAutospacing="1"/>
    </w:pPr>
    <w:rPr>
      <w:b/>
      <w:bCs/>
    </w:rPr>
  </w:style>
  <w:style w:type="paragraph" w:customStyle="1" w:styleId="xl39">
    <w:name w:val="xl39"/>
    <w:basedOn w:val="Normal"/>
    <w:pPr>
      <w:pBdr>
        <w:bottom w:val="single" w:sz="12" w:space="0" w:color="FFFFFF"/>
        <w:right w:val="single" w:sz="12" w:space="0" w:color="FFFFFF"/>
      </w:pBdr>
      <w:shd w:val="clear" w:color="auto" w:fill="FFFF00"/>
      <w:spacing w:before="100" w:beforeAutospacing="1" w:after="100" w:afterAutospacing="1"/>
    </w:pPr>
    <w:rPr>
      <w:b/>
      <w:bCs/>
    </w:rPr>
  </w:style>
  <w:style w:type="paragraph" w:customStyle="1" w:styleId="xl40">
    <w:name w:val="xl40"/>
    <w:basedOn w:val="Normal"/>
    <w:pPr>
      <w:pBdr>
        <w:bottom w:val="single" w:sz="12" w:space="0" w:color="FFFFFF"/>
        <w:right w:val="single" w:sz="12" w:space="0" w:color="FFFFFF"/>
      </w:pBdr>
      <w:shd w:val="clear" w:color="auto" w:fill="00FF00"/>
      <w:spacing w:before="100" w:beforeAutospacing="1" w:after="100" w:afterAutospacing="1"/>
    </w:pPr>
    <w:rPr>
      <w:b/>
      <w:bCs/>
    </w:rPr>
  </w:style>
  <w:style w:type="paragraph" w:customStyle="1" w:styleId="xl41">
    <w:name w:val="xl41"/>
    <w:basedOn w:val="Normal"/>
    <w:pPr>
      <w:pBdr>
        <w:bottom w:val="single" w:sz="12" w:space="0" w:color="FFFFFF"/>
        <w:right w:val="single" w:sz="12" w:space="0" w:color="FFFFFF"/>
      </w:pBdr>
      <w:shd w:val="clear" w:color="auto" w:fill="00FFFF"/>
      <w:spacing w:before="100" w:beforeAutospacing="1" w:after="100" w:afterAutospacing="1"/>
    </w:pPr>
    <w:rPr>
      <w:b/>
      <w:bCs/>
    </w:rPr>
  </w:style>
  <w:style w:type="paragraph" w:customStyle="1" w:styleId="xl42">
    <w:name w:val="xl42"/>
    <w:basedOn w:val="Normal"/>
    <w:pPr>
      <w:pBdr>
        <w:bottom w:val="single" w:sz="12" w:space="0" w:color="FFFFFF"/>
        <w:right w:val="single" w:sz="12" w:space="0" w:color="FFFFFF"/>
      </w:pBdr>
      <w:shd w:val="clear" w:color="auto" w:fill="993366"/>
      <w:spacing w:before="100" w:beforeAutospacing="1" w:after="100" w:afterAutospacing="1"/>
    </w:pPr>
    <w:rPr>
      <w:b/>
      <w:bCs/>
    </w:rPr>
  </w:style>
  <w:style w:type="paragraph" w:customStyle="1" w:styleId="xl43">
    <w:name w:val="xl43"/>
    <w:basedOn w:val="Normal"/>
    <w:pPr>
      <w:pBdr>
        <w:bottom w:val="single" w:sz="12" w:space="0" w:color="FFFFFF"/>
        <w:right w:val="single" w:sz="12" w:space="0" w:color="FFFFFF"/>
      </w:pBdr>
      <w:shd w:val="clear" w:color="auto" w:fill="FF6600"/>
      <w:spacing w:before="100" w:beforeAutospacing="1" w:after="100" w:afterAutospacing="1"/>
    </w:pPr>
    <w:rPr>
      <w:b/>
      <w:bCs/>
    </w:rPr>
  </w:style>
  <w:style w:type="paragraph" w:customStyle="1" w:styleId="xl44">
    <w:name w:val="xl44"/>
    <w:basedOn w:val="Normal"/>
    <w:pPr>
      <w:pBdr>
        <w:bottom w:val="single" w:sz="12" w:space="0" w:color="FFFFFF"/>
        <w:right w:val="single" w:sz="12" w:space="0" w:color="FFFFFF"/>
      </w:pBdr>
      <w:shd w:val="clear" w:color="auto" w:fill="FF99CC"/>
      <w:spacing w:before="100" w:beforeAutospacing="1" w:after="100" w:afterAutospacing="1"/>
    </w:pPr>
    <w:rPr>
      <w:b/>
      <w:bCs/>
    </w:rPr>
  </w:style>
  <w:style w:type="paragraph" w:customStyle="1" w:styleId="xl45">
    <w:name w:val="xl45"/>
    <w:basedOn w:val="Normal"/>
    <w:pPr>
      <w:pBdr>
        <w:bottom w:val="single" w:sz="12" w:space="0" w:color="FFFFFF"/>
        <w:right w:val="single" w:sz="12" w:space="0" w:color="FFFFFF"/>
      </w:pBdr>
      <w:shd w:val="clear" w:color="auto" w:fill="3366FF"/>
      <w:spacing w:before="100" w:beforeAutospacing="1" w:after="100" w:afterAutospacing="1"/>
    </w:pPr>
    <w:rPr>
      <w:b/>
      <w:bCs/>
    </w:rPr>
  </w:style>
  <w:style w:type="paragraph" w:customStyle="1" w:styleId="xl46">
    <w:name w:val="xl46"/>
    <w:basedOn w:val="Normal"/>
    <w:pPr>
      <w:pBdr>
        <w:bottom w:val="single" w:sz="12" w:space="0" w:color="FFFFFF"/>
        <w:right w:val="single" w:sz="12" w:space="0" w:color="FFFFFF"/>
      </w:pBdr>
      <w:shd w:val="clear" w:color="auto" w:fill="808000"/>
      <w:spacing w:before="100" w:beforeAutospacing="1" w:after="100" w:afterAutospacing="1"/>
    </w:pPr>
    <w:rPr>
      <w:b/>
      <w:bCs/>
    </w:rPr>
  </w:style>
  <w:style w:type="paragraph" w:customStyle="1" w:styleId="xl47">
    <w:name w:val="xl47"/>
    <w:basedOn w:val="Normal"/>
    <w:pPr>
      <w:pBdr>
        <w:bottom w:val="single" w:sz="12" w:space="0" w:color="FFFFFF"/>
        <w:right w:val="single" w:sz="12" w:space="0" w:color="FFFFFF"/>
      </w:pBdr>
      <w:shd w:val="clear" w:color="auto" w:fill="008000"/>
      <w:spacing w:before="100" w:beforeAutospacing="1" w:after="100" w:afterAutospacing="1"/>
    </w:pPr>
    <w:rPr>
      <w:b/>
      <w:bCs/>
    </w:rPr>
  </w:style>
  <w:style w:type="paragraph" w:customStyle="1" w:styleId="xl48">
    <w:name w:val="xl48"/>
    <w:basedOn w:val="Normal"/>
    <w:pPr>
      <w:pBdr>
        <w:bottom w:val="single" w:sz="12" w:space="0" w:color="FFFFFF"/>
        <w:right w:val="single" w:sz="12" w:space="0" w:color="FFFFFF"/>
      </w:pBdr>
      <w:shd w:val="clear" w:color="auto" w:fill="008080"/>
      <w:spacing w:before="100" w:beforeAutospacing="1" w:after="100" w:afterAutospacing="1"/>
    </w:pPr>
    <w:rPr>
      <w:b/>
      <w:bCs/>
    </w:rPr>
  </w:style>
  <w:style w:type="paragraph" w:customStyle="1" w:styleId="xl49">
    <w:name w:val="xl49"/>
    <w:basedOn w:val="Normal"/>
    <w:pPr>
      <w:pBdr>
        <w:bottom w:val="single" w:sz="12" w:space="0" w:color="FFFFFF"/>
        <w:right w:val="single" w:sz="12" w:space="0" w:color="FFFFFF"/>
      </w:pBdr>
      <w:shd w:val="clear" w:color="auto" w:fill="0000FF"/>
      <w:spacing w:before="100" w:beforeAutospacing="1" w:after="100" w:afterAutospacing="1"/>
    </w:pPr>
    <w:rPr>
      <w:b/>
      <w:bCs/>
    </w:rPr>
  </w:style>
  <w:style w:type="paragraph" w:customStyle="1" w:styleId="xl50">
    <w:name w:val="xl50"/>
    <w:basedOn w:val="Normal"/>
    <w:pPr>
      <w:pBdr>
        <w:bottom w:val="single" w:sz="12" w:space="0" w:color="FFFFFF"/>
        <w:right w:val="single" w:sz="12" w:space="0" w:color="FFFFFF"/>
      </w:pBdr>
      <w:shd w:val="clear" w:color="auto" w:fill="666699"/>
      <w:spacing w:before="100" w:beforeAutospacing="1" w:after="100" w:afterAutospacing="1"/>
    </w:pPr>
    <w:rPr>
      <w:b/>
      <w:bCs/>
    </w:rPr>
  </w:style>
  <w:style w:type="paragraph" w:customStyle="1" w:styleId="xl51">
    <w:name w:val="xl51"/>
    <w:basedOn w:val="Normal"/>
    <w:pPr>
      <w:pBdr>
        <w:bottom w:val="single" w:sz="12" w:space="0" w:color="FFFFFF"/>
        <w:right w:val="single" w:sz="12" w:space="0" w:color="FFFFFF"/>
      </w:pBdr>
      <w:shd w:val="clear" w:color="auto" w:fill="FF0000"/>
      <w:spacing w:before="100" w:beforeAutospacing="1" w:after="100" w:afterAutospacing="1"/>
    </w:pPr>
    <w:rPr>
      <w:b/>
      <w:bCs/>
    </w:rPr>
  </w:style>
  <w:style w:type="paragraph" w:customStyle="1" w:styleId="xl52">
    <w:name w:val="xl52"/>
    <w:basedOn w:val="Normal"/>
    <w:pPr>
      <w:pBdr>
        <w:bottom w:val="single" w:sz="12" w:space="0" w:color="FFFFFF"/>
        <w:right w:val="single" w:sz="12" w:space="0" w:color="FFFFFF"/>
      </w:pBdr>
      <w:shd w:val="clear" w:color="auto" w:fill="FF9900"/>
      <w:spacing w:before="100" w:beforeAutospacing="1" w:after="100" w:afterAutospacing="1"/>
    </w:pPr>
    <w:rPr>
      <w:b/>
      <w:bCs/>
    </w:rPr>
  </w:style>
  <w:style w:type="paragraph" w:customStyle="1" w:styleId="xl53">
    <w:name w:val="xl53"/>
    <w:basedOn w:val="Normal"/>
    <w:pPr>
      <w:pBdr>
        <w:bottom w:val="single" w:sz="12" w:space="0" w:color="FFFFFF"/>
        <w:right w:val="single" w:sz="12" w:space="0" w:color="FFFFFF"/>
      </w:pBdr>
      <w:shd w:val="clear" w:color="auto" w:fill="C0C0C0"/>
      <w:spacing w:before="100" w:beforeAutospacing="1" w:after="100" w:afterAutospacing="1"/>
      <w:jc w:val="center"/>
    </w:pPr>
    <w:rPr>
      <w:sz w:val="16"/>
      <w:szCs w:val="16"/>
    </w:rPr>
  </w:style>
  <w:style w:type="paragraph" w:customStyle="1" w:styleId="xl54">
    <w:name w:val="xl54"/>
    <w:basedOn w:val="Normal"/>
    <w:pPr>
      <w:pBdr>
        <w:bottom w:val="single" w:sz="12" w:space="0" w:color="FFFFFF"/>
        <w:right w:val="single" w:sz="12" w:space="0" w:color="FFFFFF"/>
      </w:pBdr>
      <w:shd w:val="clear" w:color="auto" w:fill="C0C0C0"/>
      <w:spacing w:before="100" w:beforeAutospacing="1" w:after="100" w:afterAutospacing="1"/>
    </w:pPr>
  </w:style>
  <w:style w:type="paragraph" w:customStyle="1" w:styleId="xl55">
    <w:name w:val="xl55"/>
    <w:basedOn w:val="Normal"/>
    <w:pPr>
      <w:pBdr>
        <w:bottom w:val="single" w:sz="12" w:space="0" w:color="FFFFFF"/>
        <w:right w:val="single" w:sz="12" w:space="0" w:color="FFFFFF"/>
      </w:pBdr>
      <w:shd w:val="clear" w:color="auto" w:fill="C0C0C0"/>
      <w:spacing w:before="100" w:beforeAutospacing="1" w:after="100" w:afterAutospacing="1"/>
    </w:pPr>
    <w:rPr>
      <w:b/>
      <w:bCs/>
    </w:rPr>
  </w:style>
  <w:style w:type="paragraph" w:customStyle="1" w:styleId="xl56">
    <w:name w:val="xl56"/>
    <w:basedOn w:val="Normal"/>
    <w:pPr>
      <w:pBdr>
        <w:bottom w:val="single" w:sz="12" w:space="0" w:color="FFFFFF"/>
        <w:right w:val="single" w:sz="12" w:space="0" w:color="FFFFFF"/>
      </w:pBdr>
      <w:shd w:val="clear" w:color="auto" w:fill="C0C0C0"/>
      <w:spacing w:before="100" w:beforeAutospacing="1" w:after="100" w:afterAutospacing="1"/>
    </w:pPr>
  </w:style>
  <w:style w:type="paragraph" w:customStyle="1" w:styleId="xl57">
    <w:name w:val="xl57"/>
    <w:basedOn w:val="Normal"/>
    <w:pPr>
      <w:pBdr>
        <w:bottom w:val="single" w:sz="12" w:space="0" w:color="FFFFFF"/>
        <w:right w:val="single" w:sz="12" w:space="0" w:color="FFFFFF"/>
      </w:pBdr>
      <w:shd w:val="clear" w:color="auto" w:fill="969696"/>
      <w:spacing w:before="100" w:beforeAutospacing="1" w:after="100" w:afterAutospacing="1"/>
      <w:jc w:val="center"/>
    </w:pPr>
    <w:rPr>
      <w:sz w:val="16"/>
      <w:szCs w:val="16"/>
    </w:rPr>
  </w:style>
  <w:style w:type="paragraph" w:customStyle="1" w:styleId="xl58">
    <w:name w:val="xl58"/>
    <w:basedOn w:val="Normal"/>
    <w:pPr>
      <w:pBdr>
        <w:bottom w:val="single" w:sz="12" w:space="0" w:color="FFFFFF"/>
        <w:right w:val="single" w:sz="12" w:space="0" w:color="FFFFFF"/>
      </w:pBdr>
      <w:shd w:val="clear" w:color="auto" w:fill="969696"/>
      <w:spacing w:before="100" w:beforeAutospacing="1" w:after="100" w:afterAutospacing="1"/>
    </w:pPr>
  </w:style>
  <w:style w:type="paragraph" w:customStyle="1" w:styleId="xl59">
    <w:name w:val="xl59"/>
    <w:basedOn w:val="Normal"/>
    <w:pPr>
      <w:pBdr>
        <w:bottom w:val="single" w:sz="12" w:space="0" w:color="FFFFFF"/>
        <w:right w:val="single" w:sz="12" w:space="0" w:color="FFFFFF"/>
      </w:pBdr>
      <w:shd w:val="clear" w:color="auto" w:fill="969696"/>
      <w:spacing w:before="100" w:beforeAutospacing="1" w:after="100" w:afterAutospacing="1"/>
    </w:pPr>
    <w:rPr>
      <w:b/>
      <w:bCs/>
    </w:rPr>
  </w:style>
  <w:style w:type="paragraph" w:customStyle="1" w:styleId="xl60">
    <w:name w:val="xl60"/>
    <w:basedOn w:val="Normal"/>
    <w:pPr>
      <w:pBdr>
        <w:bottom w:val="single" w:sz="12" w:space="0" w:color="FFFFFF"/>
        <w:right w:val="single" w:sz="12" w:space="0" w:color="FFFFFF"/>
      </w:pBdr>
      <w:shd w:val="clear" w:color="auto" w:fill="969696"/>
      <w:spacing w:before="100" w:beforeAutospacing="1" w:after="100" w:afterAutospacing="1"/>
    </w:pPr>
  </w:style>
  <w:style w:type="paragraph" w:customStyle="1" w:styleId="xl61">
    <w:name w:val="xl61"/>
    <w:basedOn w:val="Normal"/>
    <w:pPr>
      <w:pBdr>
        <w:bottom w:val="single" w:sz="12" w:space="0" w:color="FFFFFF"/>
        <w:right w:val="single" w:sz="12" w:space="0" w:color="FFFFFF"/>
      </w:pBdr>
      <w:shd w:val="clear" w:color="auto" w:fill="C0C0C0"/>
      <w:spacing w:before="100" w:beforeAutospacing="1" w:after="100" w:afterAutospacing="1"/>
    </w:pPr>
    <w:rPr>
      <w:b/>
      <w:bCs/>
    </w:rPr>
  </w:style>
  <w:style w:type="paragraph" w:customStyle="1" w:styleId="xl62">
    <w:name w:val="xl62"/>
    <w:basedOn w:val="Normal"/>
    <w:pPr>
      <w:pBdr>
        <w:bottom w:val="single" w:sz="12" w:space="0" w:color="FFFFFF"/>
        <w:right w:val="single" w:sz="12" w:space="0" w:color="FFFFFF"/>
      </w:pBdr>
      <w:shd w:val="clear" w:color="auto" w:fill="C0C0C0"/>
      <w:spacing w:before="100" w:beforeAutospacing="1" w:after="100" w:afterAutospacing="1"/>
    </w:pPr>
    <w:rPr>
      <w:b/>
      <w:bCs/>
    </w:rPr>
  </w:style>
  <w:style w:type="paragraph" w:customStyle="1" w:styleId="xl63">
    <w:name w:val="xl63"/>
    <w:basedOn w:val="Normal"/>
    <w:pPr>
      <w:pBdr>
        <w:bottom w:val="single" w:sz="12" w:space="0" w:color="FFFFFF"/>
        <w:right w:val="single" w:sz="12" w:space="0" w:color="FFFFFF"/>
      </w:pBdr>
      <w:shd w:val="clear" w:color="auto" w:fill="C0C0C0"/>
      <w:spacing w:before="100" w:beforeAutospacing="1" w:after="100" w:afterAutospacing="1"/>
    </w:pPr>
  </w:style>
  <w:style w:type="paragraph" w:customStyle="1" w:styleId="xl64">
    <w:name w:val="xl64"/>
    <w:basedOn w:val="Normal"/>
    <w:pPr>
      <w:pBdr>
        <w:bottom w:val="single" w:sz="12" w:space="0" w:color="FFFFFF"/>
        <w:right w:val="single" w:sz="12" w:space="0" w:color="FFFFFF"/>
      </w:pBdr>
      <w:shd w:val="clear" w:color="auto" w:fill="969696"/>
      <w:spacing w:before="100" w:beforeAutospacing="1" w:after="100" w:afterAutospacing="1"/>
    </w:pPr>
    <w:rPr>
      <w:b/>
      <w:bCs/>
    </w:rPr>
  </w:style>
  <w:style w:type="paragraph" w:customStyle="1" w:styleId="xl65">
    <w:name w:val="xl65"/>
    <w:basedOn w:val="Normal"/>
    <w:pPr>
      <w:pBdr>
        <w:bottom w:val="single" w:sz="12" w:space="0" w:color="FFFFFF"/>
        <w:right w:val="single" w:sz="12" w:space="0" w:color="FFFFFF"/>
      </w:pBdr>
      <w:shd w:val="clear" w:color="auto" w:fill="969696"/>
      <w:spacing w:before="100" w:beforeAutospacing="1" w:after="100" w:afterAutospacing="1"/>
    </w:pPr>
    <w:rPr>
      <w:b/>
      <w:bCs/>
    </w:rPr>
  </w:style>
  <w:style w:type="paragraph" w:customStyle="1" w:styleId="xl66">
    <w:name w:val="xl66"/>
    <w:basedOn w:val="Normal"/>
    <w:pPr>
      <w:pBdr>
        <w:bottom w:val="single" w:sz="12" w:space="0" w:color="FFFFFF"/>
        <w:right w:val="single" w:sz="12" w:space="0" w:color="FFFFFF"/>
      </w:pBdr>
      <w:shd w:val="clear" w:color="auto" w:fill="969696"/>
      <w:spacing w:before="100" w:beforeAutospacing="1" w:after="100" w:afterAutospacing="1"/>
    </w:pPr>
  </w:style>
  <w:style w:type="table" w:styleId="TableGrid">
    <w:name w:val="Table Grid"/>
    <w:basedOn w:val="TableNormal"/>
    <w:uiPriority w:val="59"/>
    <w:rsid w:val="00567C2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um1">
    <w:name w:val="num1"/>
    <w:basedOn w:val="Normal"/>
    <w:pPr>
      <w:tabs>
        <w:tab w:val="left" w:pos="-720"/>
      </w:tabs>
      <w:suppressAutoHyphens/>
      <w:spacing w:line="360" w:lineRule="auto"/>
      <w:ind w:firstLine="360"/>
    </w:pPr>
    <w:rPr>
      <w:rFonts w:ascii="Palatino" w:hAnsi="Palatino"/>
      <w:sz w:val="26"/>
      <w:szCs w:val="20"/>
    </w:rPr>
  </w:style>
  <w:style w:type="paragraph" w:styleId="DocumentMap">
    <w:name w:val="Document Map"/>
    <w:basedOn w:val="Normal"/>
    <w:semiHidden/>
    <w:pPr>
      <w:shd w:val="clear" w:color="auto" w:fill="000080"/>
    </w:pPr>
    <w:rPr>
      <w:rFonts w:ascii="Tahoma" w:hAnsi="Tahoma" w:cs="Tahoma"/>
      <w:sz w:val="20"/>
      <w:szCs w:val="20"/>
    </w:rPr>
  </w:style>
  <w:style w:type="character" w:styleId="CommentReference">
    <w:name w:val="annotation reference"/>
    <w:uiPriority w:val="99"/>
    <w:semiHidden/>
    <w:rPr>
      <w:sz w:val="16"/>
      <w:szCs w:val="16"/>
    </w:rPr>
  </w:style>
  <w:style w:type="paragraph" w:styleId="CommentText">
    <w:name w:val="annotation text"/>
    <w:basedOn w:val="Normal"/>
    <w:link w:val="CommentTextChar"/>
    <w:rPr>
      <w:sz w:val="20"/>
      <w:szCs w:val="20"/>
    </w:rPr>
  </w:style>
  <w:style w:type="paragraph" w:styleId="CommentSubject">
    <w:name w:val="annotation subject"/>
    <w:basedOn w:val="CommentText"/>
    <w:next w:val="CommentText"/>
    <w:semiHidden/>
    <w:rPr>
      <w:b/>
      <w:bCs/>
    </w:rPr>
  </w:style>
  <w:style w:type="paragraph" w:styleId="FootnoteText">
    <w:name w:val="footnote text"/>
    <w:basedOn w:val="Normal"/>
    <w:link w:val="FootnoteTextChar"/>
    <w:uiPriority w:val="99"/>
    <w:semiHidden/>
    <w:rPr>
      <w:sz w:val="20"/>
      <w:szCs w:val="20"/>
    </w:rPr>
  </w:style>
  <w:style w:type="character" w:styleId="FootnoteReference">
    <w:name w:val="footnote reference"/>
    <w:uiPriority w:val="99"/>
    <w:semiHidden/>
    <w:rPr>
      <w:vertAlign w:val="superscript"/>
    </w:rPr>
  </w:style>
  <w:style w:type="character" w:styleId="Strong">
    <w:name w:val="Strong"/>
    <w:qFormat/>
    <w:rsid w:val="00D23691"/>
    <w:rPr>
      <w:b/>
      <w:bCs/>
    </w:rPr>
  </w:style>
  <w:style w:type="character" w:customStyle="1" w:styleId="textsmaller1">
    <w:name w:val="textsmaller1"/>
    <w:rsid w:val="00D23691"/>
    <w:rPr>
      <w:sz w:val="15"/>
      <w:szCs w:val="15"/>
    </w:rPr>
  </w:style>
  <w:style w:type="paragraph" w:styleId="Revision">
    <w:name w:val="Revision"/>
    <w:hidden/>
    <w:uiPriority w:val="99"/>
    <w:semiHidden/>
    <w:rsid w:val="00D23691"/>
    <w:rPr>
      <w:sz w:val="24"/>
      <w:szCs w:val="24"/>
    </w:rPr>
  </w:style>
  <w:style w:type="character" w:customStyle="1" w:styleId="CommentTextChar">
    <w:name w:val="Comment Text Char"/>
    <w:basedOn w:val="DefaultParagraphFont"/>
    <w:link w:val="CommentText"/>
    <w:uiPriority w:val="99"/>
    <w:rsid w:val="006E3403"/>
  </w:style>
  <w:style w:type="character" w:customStyle="1" w:styleId="EndnoteTextChar">
    <w:name w:val="Endnote Text Char"/>
    <w:basedOn w:val="DefaultParagraphFont"/>
    <w:link w:val="EndnoteText"/>
    <w:rsid w:val="006E3403"/>
  </w:style>
  <w:style w:type="character" w:customStyle="1" w:styleId="Heading1Char">
    <w:name w:val="Heading 1 Char"/>
    <w:link w:val="Heading1"/>
    <w:locked/>
    <w:rsid w:val="001740FC"/>
    <w:rPr>
      <w:rFonts w:ascii="Arial" w:hAnsi="Arial" w:cs="Arial"/>
      <w:b/>
      <w:bCs/>
      <w:kern w:val="32"/>
      <w:sz w:val="32"/>
      <w:szCs w:val="32"/>
    </w:rPr>
  </w:style>
  <w:style w:type="character" w:customStyle="1" w:styleId="CaptionChar">
    <w:name w:val="Caption Char"/>
    <w:link w:val="Caption"/>
    <w:locked/>
    <w:rsid w:val="000C5B86"/>
    <w:rPr>
      <w:b/>
      <w:bCs/>
    </w:rPr>
  </w:style>
  <w:style w:type="character" w:customStyle="1" w:styleId="breadcrumbs">
    <w:name w:val="breadcrumbs"/>
    <w:rsid w:val="000C5B86"/>
  </w:style>
  <w:style w:type="character" w:customStyle="1" w:styleId="Heading2Char">
    <w:name w:val="Heading 2 Char"/>
    <w:link w:val="Heading2"/>
    <w:rsid w:val="00884FE6"/>
    <w:rPr>
      <w:rFonts w:ascii="Arial" w:hAnsi="Arial" w:cs="Arial"/>
      <w:b/>
      <w:bCs/>
      <w:i/>
      <w:iCs/>
      <w:sz w:val="28"/>
      <w:szCs w:val="28"/>
    </w:rPr>
  </w:style>
  <w:style w:type="table" w:customStyle="1" w:styleId="TableGrid1">
    <w:name w:val="Table Grid1"/>
    <w:basedOn w:val="TableNormal"/>
    <w:next w:val="TableGrid"/>
    <w:rsid w:val="002353D5"/>
    <w:rPr>
      <w:rFonts w:asciiTheme="minorHAnsi" w:hAnsi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leChar">
    <w:name w:val="Title Char"/>
    <w:locked/>
    <w:rsid w:val="00193108"/>
    <w:rPr>
      <w:rFonts w:ascii="Arial" w:hAnsi="Arial"/>
      <w:b/>
      <w:color w:val="17365D"/>
      <w:spacing w:val="5"/>
      <w:kern w:val="28"/>
      <w:sz w:val="48"/>
      <w:szCs w:val="52"/>
      <w:lang w:eastAsia="ko-KR"/>
    </w:rPr>
  </w:style>
  <w:style w:type="character" w:customStyle="1" w:styleId="Mention1">
    <w:name w:val="Mention1"/>
    <w:basedOn w:val="DefaultParagraphFont"/>
    <w:uiPriority w:val="99"/>
    <w:semiHidden/>
    <w:unhideWhenUsed/>
    <w:rsid w:val="00D1395F"/>
    <w:rPr>
      <w:color w:val="2B579A"/>
      <w:shd w:val="clear" w:color="auto" w:fill="E6E6E6"/>
    </w:rPr>
  </w:style>
  <w:style w:type="paragraph" w:styleId="ListParagraph">
    <w:name w:val="List Paragraph"/>
    <w:basedOn w:val="Normal"/>
    <w:uiPriority w:val="34"/>
    <w:qFormat/>
    <w:rsid w:val="00BD179F"/>
    <w:pPr>
      <w:ind w:left="720"/>
      <w:contextualSpacing/>
    </w:pPr>
  </w:style>
  <w:style w:type="character" w:customStyle="1" w:styleId="UnresolvedMention1">
    <w:name w:val="Unresolved Mention1"/>
    <w:basedOn w:val="DefaultParagraphFont"/>
    <w:uiPriority w:val="99"/>
    <w:semiHidden/>
    <w:unhideWhenUsed/>
    <w:rsid w:val="007E5945"/>
    <w:rPr>
      <w:color w:val="808080"/>
      <w:shd w:val="clear" w:color="auto" w:fill="E6E6E6"/>
    </w:rPr>
  </w:style>
  <w:style w:type="character" w:customStyle="1" w:styleId="reference-accessdate">
    <w:name w:val="reference-accessdate"/>
    <w:basedOn w:val="DefaultParagraphFont"/>
    <w:rsid w:val="009475E5"/>
  </w:style>
  <w:style w:type="character" w:customStyle="1" w:styleId="nowrap">
    <w:name w:val="nowrap"/>
    <w:basedOn w:val="DefaultParagraphFont"/>
    <w:rsid w:val="009475E5"/>
  </w:style>
  <w:style w:type="character" w:styleId="PlaceholderText">
    <w:name w:val="Placeholder Text"/>
    <w:basedOn w:val="DefaultParagraphFont"/>
    <w:uiPriority w:val="99"/>
    <w:semiHidden/>
    <w:rsid w:val="007F3A40"/>
    <w:rPr>
      <w:color w:val="808080"/>
    </w:rPr>
  </w:style>
  <w:style w:type="character" w:customStyle="1" w:styleId="UnresolvedMention2">
    <w:name w:val="Unresolved Mention2"/>
    <w:basedOn w:val="DefaultParagraphFont"/>
    <w:uiPriority w:val="99"/>
    <w:semiHidden/>
    <w:unhideWhenUsed/>
    <w:rsid w:val="00C62EB1"/>
    <w:rPr>
      <w:color w:val="808080"/>
      <w:shd w:val="clear" w:color="auto" w:fill="E6E6E6"/>
    </w:rPr>
  </w:style>
  <w:style w:type="paragraph" w:customStyle="1" w:styleId="Default">
    <w:name w:val="Default"/>
    <w:rsid w:val="00001CD9"/>
    <w:pPr>
      <w:autoSpaceDE w:val="0"/>
      <w:autoSpaceDN w:val="0"/>
      <w:adjustRightInd w:val="0"/>
    </w:pPr>
    <w:rPr>
      <w:rFonts w:ascii="Arial" w:hAnsi="Arial" w:cs="Arial"/>
      <w:color w:val="000000"/>
      <w:sz w:val="24"/>
      <w:szCs w:val="24"/>
    </w:rPr>
  </w:style>
  <w:style w:type="character" w:customStyle="1" w:styleId="UnresolvedMention3">
    <w:name w:val="Unresolved Mention3"/>
    <w:basedOn w:val="DefaultParagraphFont"/>
    <w:uiPriority w:val="99"/>
    <w:semiHidden/>
    <w:unhideWhenUsed/>
    <w:rsid w:val="00006704"/>
    <w:rPr>
      <w:color w:val="808080"/>
      <w:shd w:val="clear" w:color="auto" w:fill="E6E6E6"/>
    </w:rPr>
  </w:style>
  <w:style w:type="paragraph" w:customStyle="1" w:styleId="paragraph">
    <w:name w:val="paragraph"/>
    <w:basedOn w:val="Normal"/>
    <w:rsid w:val="007E5E63"/>
  </w:style>
  <w:style w:type="character" w:customStyle="1" w:styleId="normaltextrun1">
    <w:name w:val="normaltextrun1"/>
    <w:basedOn w:val="DefaultParagraphFont"/>
    <w:rsid w:val="007E5E63"/>
  </w:style>
  <w:style w:type="character" w:customStyle="1" w:styleId="eop">
    <w:name w:val="eop"/>
    <w:basedOn w:val="DefaultParagraphFont"/>
    <w:rsid w:val="007E5E63"/>
  </w:style>
  <w:style w:type="character" w:customStyle="1" w:styleId="UnresolvedMention4">
    <w:name w:val="Unresolved Mention4"/>
    <w:basedOn w:val="DefaultParagraphFont"/>
    <w:uiPriority w:val="99"/>
    <w:semiHidden/>
    <w:unhideWhenUsed/>
    <w:rsid w:val="00960CD8"/>
    <w:rPr>
      <w:color w:val="808080"/>
      <w:shd w:val="clear" w:color="auto" w:fill="E6E6E6"/>
    </w:rPr>
  </w:style>
  <w:style w:type="paragraph" w:styleId="ListBullet">
    <w:name w:val="List Bullet"/>
    <w:basedOn w:val="Normal"/>
    <w:link w:val="ListBulletChar"/>
    <w:qFormat/>
    <w:rsid w:val="006401BF"/>
    <w:pPr>
      <w:numPr>
        <w:numId w:val="22"/>
      </w:numPr>
      <w:spacing w:before="120"/>
      <w:ind w:left="1080"/>
    </w:pPr>
    <w:rPr>
      <w:rFonts w:ascii="Calibri" w:hAnsi="Calibri"/>
      <w:sz w:val="22"/>
    </w:rPr>
  </w:style>
  <w:style w:type="character" w:customStyle="1" w:styleId="ListBulletChar">
    <w:name w:val="List Bullet Char"/>
    <w:link w:val="ListBullet"/>
    <w:rsid w:val="006401BF"/>
    <w:rPr>
      <w:rFonts w:ascii="Calibri" w:hAnsi="Calibri"/>
      <w:sz w:val="22"/>
      <w:szCs w:val="24"/>
    </w:rPr>
  </w:style>
  <w:style w:type="character" w:customStyle="1" w:styleId="FootnoteTextChar">
    <w:name w:val="Footnote Text Char"/>
    <w:basedOn w:val="DefaultParagraphFont"/>
    <w:link w:val="FootnoteText"/>
    <w:uiPriority w:val="99"/>
    <w:semiHidden/>
    <w:rsid w:val="006401BF"/>
  </w:style>
  <w:style w:type="character" w:customStyle="1" w:styleId="UnresolvedMention5">
    <w:name w:val="Unresolved Mention5"/>
    <w:basedOn w:val="DefaultParagraphFont"/>
    <w:uiPriority w:val="99"/>
    <w:semiHidden/>
    <w:unhideWhenUsed/>
    <w:rsid w:val="000E6322"/>
    <w:rPr>
      <w:color w:val="808080"/>
      <w:shd w:val="clear" w:color="auto" w:fill="E6E6E6"/>
    </w:rPr>
  </w:style>
  <w:style w:type="character" w:customStyle="1" w:styleId="Heading4Char">
    <w:name w:val="Heading 4 Char"/>
    <w:basedOn w:val="DefaultParagraphFont"/>
    <w:link w:val="Heading4"/>
    <w:semiHidden/>
    <w:rsid w:val="006600C3"/>
    <w:rPr>
      <w:rFonts w:asciiTheme="majorHAnsi" w:eastAsiaTheme="majorEastAsia" w:hAnsiTheme="majorHAnsi" w:cstheme="majorBidi"/>
      <w:i/>
      <w:iCs/>
      <w:color w:val="365F91" w:themeColor="accent1" w:themeShade="BF"/>
      <w:sz w:val="24"/>
      <w:szCs w:val="24"/>
    </w:rPr>
  </w:style>
  <w:style w:type="character" w:customStyle="1" w:styleId="UnresolvedMention">
    <w:name w:val="Unresolved Mention"/>
    <w:basedOn w:val="DefaultParagraphFont"/>
    <w:uiPriority w:val="99"/>
    <w:semiHidden/>
    <w:unhideWhenUsed/>
    <w:rsid w:val="00AB3DAC"/>
    <w:rPr>
      <w:color w:val="808080"/>
      <w:shd w:val="clear" w:color="auto" w:fill="E6E6E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footnote text" w:uiPriority="99"/>
    <w:lsdException w:name="caption" w:uiPriority="35" w:qFormat="1"/>
    <w:lsdException w:name="table of figures" w:uiPriority="99"/>
    <w:lsdException w:name="footnote reference" w:uiPriority="99"/>
    <w:lsdException w:name="annotation reference" w:uiPriority="99"/>
    <w:lsdException w:name="toa heading" w:semiHidden="0" w:unhideWhenUsed="0"/>
    <w:lsdException w:name="List Bullet" w:qFormat="1"/>
    <w:lsdException w:name="List Number" w:semiHidden="0" w:unhideWhenUsed="0"/>
    <w:lsdException w:name="List 2" w:semiHidden="0" w:unhideWhenUsed="0"/>
    <w:lsdException w:name="Title" w:semiHidden="0" w:unhideWhenUsed="0" w:qFormat="1"/>
    <w:lsdException w:name="Default Paragraph Font" w:uiPriority="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rmal (Web)" w:uiPriority="99"/>
    <w:lsdException w:name="No List" w:uiPriority="99"/>
    <w:lsdException w:name="Balloon Text" w:semiHidden="0" w:unhideWhenUsed="0"/>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2055D"/>
    <w:rPr>
      <w:sz w:val="24"/>
      <w:szCs w:val="24"/>
    </w:rPr>
  </w:style>
  <w:style w:type="paragraph" w:styleId="Heading1">
    <w:name w:val="heading 1"/>
    <w:basedOn w:val="Normal"/>
    <w:next w:val="Normal"/>
    <w:link w:val="Heading1Char"/>
    <w:qFormat/>
    <w:pPr>
      <w:keepNext/>
      <w:spacing w:before="240" w:after="60"/>
      <w:outlineLvl w:val="0"/>
    </w:pPr>
    <w:rPr>
      <w:rFonts w:ascii="Arial" w:hAnsi="Arial" w:cs="Arial"/>
      <w:b/>
      <w:bCs/>
      <w:kern w:val="32"/>
      <w:sz w:val="32"/>
      <w:szCs w:val="32"/>
    </w:rPr>
  </w:style>
  <w:style w:type="paragraph" w:styleId="Heading2">
    <w:name w:val="heading 2"/>
    <w:basedOn w:val="Normal"/>
    <w:next w:val="Normal"/>
    <w:link w:val="Heading2Char"/>
    <w:qFormat/>
    <w:pPr>
      <w:keepNext/>
      <w:spacing w:before="240" w:after="60"/>
      <w:outlineLvl w:val="1"/>
    </w:pPr>
    <w:rPr>
      <w:rFonts w:ascii="Arial" w:hAnsi="Arial" w:cs="Arial"/>
      <w:b/>
      <w:bCs/>
      <w:i/>
      <w:iCs/>
      <w:sz w:val="28"/>
      <w:szCs w:val="28"/>
    </w:rPr>
  </w:style>
  <w:style w:type="paragraph" w:styleId="Heading3">
    <w:name w:val="heading 3"/>
    <w:basedOn w:val="Normal"/>
    <w:next w:val="Normal"/>
    <w:qFormat/>
    <w:pPr>
      <w:keepNext/>
      <w:spacing w:before="240" w:after="60"/>
      <w:outlineLvl w:val="2"/>
    </w:pPr>
    <w:rPr>
      <w:rFonts w:ascii="Arial" w:hAnsi="Arial" w:cs="Arial"/>
      <w:b/>
      <w:bCs/>
      <w:sz w:val="26"/>
      <w:szCs w:val="26"/>
    </w:rPr>
  </w:style>
  <w:style w:type="paragraph" w:styleId="Heading4">
    <w:name w:val="heading 4"/>
    <w:basedOn w:val="Normal"/>
    <w:next w:val="Normal"/>
    <w:link w:val="Heading4Char"/>
    <w:semiHidden/>
    <w:unhideWhenUsed/>
    <w:qFormat/>
    <w:rsid w:val="006600C3"/>
    <w:pPr>
      <w:keepNext/>
      <w:keepLines/>
      <w:spacing w:before="4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next w:val="Normal"/>
    <w:autoRedefine/>
    <w:uiPriority w:val="39"/>
    <w:rsid w:val="00445BBC"/>
    <w:pPr>
      <w:tabs>
        <w:tab w:val="right" w:leader="dot" w:pos="9350"/>
      </w:tabs>
    </w:pPr>
    <w:rPr>
      <w:bCs/>
      <w:noProof/>
    </w:rPr>
  </w:style>
  <w:style w:type="paragraph" w:styleId="TOC2">
    <w:name w:val="toc 2"/>
    <w:basedOn w:val="Normal"/>
    <w:next w:val="Normal"/>
    <w:autoRedefine/>
    <w:uiPriority w:val="39"/>
    <w:pPr>
      <w:ind w:left="240"/>
    </w:pPr>
  </w:style>
  <w:style w:type="character" w:styleId="Hyperlink">
    <w:name w:val="Hyperlink"/>
    <w:uiPriority w:val="99"/>
    <w:rPr>
      <w:color w:val="0000FF"/>
      <w:u w:val="single"/>
    </w:r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Header">
    <w:name w:val="header"/>
    <w:basedOn w:val="Normal"/>
    <w:pPr>
      <w:tabs>
        <w:tab w:val="center" w:pos="4320"/>
        <w:tab w:val="right" w:pos="8640"/>
      </w:tabs>
    </w:pPr>
  </w:style>
  <w:style w:type="paragraph" w:styleId="TOC3">
    <w:name w:val="toc 3"/>
    <w:basedOn w:val="Normal"/>
    <w:next w:val="Normal"/>
    <w:autoRedefine/>
    <w:uiPriority w:val="39"/>
    <w:pPr>
      <w:ind w:left="480"/>
    </w:pPr>
  </w:style>
  <w:style w:type="paragraph" w:styleId="EndnoteText">
    <w:name w:val="endnote text"/>
    <w:basedOn w:val="Normal"/>
    <w:link w:val="EndnoteTextChar"/>
    <w:semiHidden/>
    <w:rPr>
      <w:sz w:val="20"/>
      <w:szCs w:val="20"/>
    </w:rPr>
  </w:style>
  <w:style w:type="character" w:styleId="EndnoteReference">
    <w:name w:val="endnote reference"/>
    <w:semiHidden/>
    <w:rPr>
      <w:vertAlign w:val="superscript"/>
    </w:rPr>
  </w:style>
  <w:style w:type="paragraph" w:styleId="Index1">
    <w:name w:val="index 1"/>
    <w:basedOn w:val="Normal"/>
    <w:next w:val="Normal"/>
    <w:autoRedefine/>
    <w:semiHidden/>
    <w:pPr>
      <w:ind w:left="240" w:hanging="240"/>
    </w:pPr>
  </w:style>
  <w:style w:type="paragraph" w:styleId="BodyText">
    <w:name w:val="Body Text"/>
    <w:basedOn w:val="Normal"/>
    <w:pPr>
      <w:jc w:val="both"/>
    </w:pPr>
  </w:style>
  <w:style w:type="paragraph" w:styleId="BodyTextIndent">
    <w:name w:val="Body Text Indent"/>
    <w:basedOn w:val="Normal"/>
    <w:pPr>
      <w:ind w:left="720"/>
    </w:pPr>
    <w:rPr>
      <w:i/>
    </w:rPr>
  </w:style>
  <w:style w:type="paragraph" w:styleId="BalloonText">
    <w:name w:val="Balloon Text"/>
    <w:basedOn w:val="Normal"/>
    <w:semiHidden/>
    <w:rPr>
      <w:rFonts w:ascii="Tahoma" w:hAnsi="Tahoma" w:cs="Tahoma"/>
      <w:sz w:val="16"/>
      <w:szCs w:val="16"/>
    </w:rPr>
  </w:style>
  <w:style w:type="paragraph" w:styleId="Caption">
    <w:name w:val="caption"/>
    <w:basedOn w:val="Normal"/>
    <w:next w:val="Normal"/>
    <w:link w:val="CaptionChar"/>
    <w:uiPriority w:val="35"/>
    <w:qFormat/>
    <w:rPr>
      <w:b/>
      <w:bCs/>
      <w:sz w:val="20"/>
      <w:szCs w:val="20"/>
    </w:rPr>
  </w:style>
  <w:style w:type="paragraph" w:styleId="TableofFigures">
    <w:name w:val="table of figures"/>
    <w:basedOn w:val="Normal"/>
    <w:next w:val="Normal"/>
    <w:uiPriority w:val="99"/>
  </w:style>
  <w:style w:type="paragraph" w:styleId="NormalWeb">
    <w:name w:val="Normal (Web)"/>
    <w:basedOn w:val="Normal"/>
    <w:uiPriority w:val="99"/>
    <w:pPr>
      <w:spacing w:before="100" w:beforeAutospacing="1" w:after="100" w:afterAutospacing="1"/>
    </w:pPr>
  </w:style>
  <w:style w:type="character" w:styleId="FollowedHyperlink">
    <w:name w:val="FollowedHyperlink"/>
    <w:rPr>
      <w:color w:val="800080"/>
      <w:u w:val="single"/>
    </w:rPr>
  </w:style>
  <w:style w:type="paragraph" w:customStyle="1" w:styleId="xl27">
    <w:name w:val="xl27"/>
    <w:basedOn w:val="Normal"/>
    <w:pPr>
      <w:pBdr>
        <w:bottom w:val="single" w:sz="12" w:space="0" w:color="FFFFFF"/>
        <w:right w:val="single" w:sz="12" w:space="0" w:color="FFFFFF"/>
      </w:pBdr>
      <w:shd w:val="pct75" w:color="000000" w:fill="333333"/>
      <w:spacing w:before="100" w:beforeAutospacing="1" w:after="100" w:afterAutospacing="1"/>
      <w:jc w:val="center"/>
    </w:pPr>
    <w:rPr>
      <w:b/>
      <w:bCs/>
      <w:color w:val="FFFFFF"/>
      <w:sz w:val="16"/>
      <w:szCs w:val="16"/>
    </w:rPr>
  </w:style>
  <w:style w:type="paragraph" w:customStyle="1" w:styleId="xl28">
    <w:name w:val="xl28"/>
    <w:basedOn w:val="Normal"/>
    <w:pPr>
      <w:pBdr>
        <w:bottom w:val="single" w:sz="12" w:space="0" w:color="FFFFFF"/>
        <w:right w:val="single" w:sz="12" w:space="0" w:color="FFFFFF"/>
      </w:pBdr>
      <w:spacing w:before="100" w:beforeAutospacing="1" w:after="100" w:afterAutospacing="1"/>
    </w:pPr>
    <w:rPr>
      <w:b/>
      <w:bCs/>
    </w:rPr>
  </w:style>
  <w:style w:type="paragraph" w:customStyle="1" w:styleId="xl29">
    <w:name w:val="xl29"/>
    <w:basedOn w:val="Normal"/>
    <w:pPr>
      <w:pBdr>
        <w:bottom w:val="single" w:sz="12" w:space="0" w:color="FFFFFF"/>
        <w:right w:val="single" w:sz="12" w:space="0" w:color="FFFFFF"/>
      </w:pBdr>
      <w:shd w:val="clear" w:color="auto" w:fill="FFCC99"/>
      <w:spacing w:before="100" w:beforeAutospacing="1" w:after="100" w:afterAutospacing="1"/>
    </w:pPr>
    <w:rPr>
      <w:b/>
      <w:bCs/>
    </w:rPr>
  </w:style>
  <w:style w:type="paragraph" w:customStyle="1" w:styleId="xl30">
    <w:name w:val="xl30"/>
    <w:basedOn w:val="Normal"/>
    <w:pPr>
      <w:pBdr>
        <w:bottom w:val="single" w:sz="12" w:space="0" w:color="FFFFFF"/>
        <w:right w:val="single" w:sz="12" w:space="0" w:color="FFFFFF"/>
      </w:pBdr>
      <w:shd w:val="clear" w:color="auto" w:fill="FFFF99"/>
      <w:spacing w:before="100" w:beforeAutospacing="1" w:after="100" w:afterAutospacing="1"/>
    </w:pPr>
    <w:rPr>
      <w:b/>
      <w:bCs/>
    </w:rPr>
  </w:style>
  <w:style w:type="paragraph" w:customStyle="1" w:styleId="xl31">
    <w:name w:val="xl31"/>
    <w:basedOn w:val="Normal"/>
    <w:pPr>
      <w:pBdr>
        <w:bottom w:val="single" w:sz="12" w:space="0" w:color="FFFFFF"/>
        <w:right w:val="single" w:sz="12" w:space="0" w:color="FFFFFF"/>
      </w:pBdr>
      <w:shd w:val="clear" w:color="auto" w:fill="CCFFCC"/>
      <w:spacing w:before="100" w:beforeAutospacing="1" w:after="100" w:afterAutospacing="1"/>
    </w:pPr>
    <w:rPr>
      <w:b/>
      <w:bCs/>
    </w:rPr>
  </w:style>
  <w:style w:type="paragraph" w:customStyle="1" w:styleId="xl32">
    <w:name w:val="xl32"/>
    <w:basedOn w:val="Normal"/>
    <w:pPr>
      <w:pBdr>
        <w:bottom w:val="single" w:sz="12" w:space="0" w:color="FFFFFF"/>
        <w:right w:val="single" w:sz="12" w:space="0" w:color="FFFFFF"/>
      </w:pBdr>
      <w:shd w:val="clear" w:color="auto" w:fill="CCFFFF"/>
      <w:spacing w:before="100" w:beforeAutospacing="1" w:after="100" w:afterAutospacing="1"/>
    </w:pPr>
    <w:rPr>
      <w:b/>
      <w:bCs/>
    </w:rPr>
  </w:style>
  <w:style w:type="paragraph" w:customStyle="1" w:styleId="xl33">
    <w:name w:val="xl33"/>
    <w:basedOn w:val="Normal"/>
    <w:pPr>
      <w:pBdr>
        <w:bottom w:val="single" w:sz="12" w:space="0" w:color="FFFFFF"/>
        <w:right w:val="single" w:sz="12" w:space="0" w:color="FFFFFF"/>
      </w:pBdr>
      <w:shd w:val="clear" w:color="auto" w:fill="99CCFF"/>
      <w:spacing w:before="100" w:beforeAutospacing="1" w:after="100" w:afterAutospacing="1"/>
    </w:pPr>
    <w:rPr>
      <w:b/>
      <w:bCs/>
    </w:rPr>
  </w:style>
  <w:style w:type="paragraph" w:customStyle="1" w:styleId="xl34">
    <w:name w:val="xl34"/>
    <w:basedOn w:val="Normal"/>
    <w:pPr>
      <w:pBdr>
        <w:bottom w:val="single" w:sz="12" w:space="0" w:color="FFFFFF"/>
        <w:right w:val="single" w:sz="12" w:space="0" w:color="FFFFFF"/>
      </w:pBdr>
      <w:shd w:val="clear" w:color="auto" w:fill="CC99FF"/>
      <w:spacing w:before="100" w:beforeAutospacing="1" w:after="100" w:afterAutospacing="1"/>
    </w:pPr>
    <w:rPr>
      <w:b/>
      <w:bCs/>
    </w:rPr>
  </w:style>
  <w:style w:type="paragraph" w:customStyle="1" w:styleId="xl35">
    <w:name w:val="xl35"/>
    <w:basedOn w:val="Normal"/>
    <w:pPr>
      <w:pBdr>
        <w:bottom w:val="single" w:sz="12" w:space="0" w:color="FFFFFF"/>
        <w:right w:val="single" w:sz="12" w:space="0" w:color="FFFFFF"/>
      </w:pBdr>
      <w:shd w:val="clear" w:color="auto" w:fill="00CCFF"/>
      <w:spacing w:before="100" w:beforeAutospacing="1" w:after="100" w:afterAutospacing="1"/>
    </w:pPr>
    <w:rPr>
      <w:b/>
      <w:bCs/>
    </w:rPr>
  </w:style>
  <w:style w:type="paragraph" w:customStyle="1" w:styleId="xl36">
    <w:name w:val="xl36"/>
    <w:basedOn w:val="Normal"/>
    <w:pPr>
      <w:pBdr>
        <w:bottom w:val="single" w:sz="12" w:space="0" w:color="FFFFFF"/>
        <w:right w:val="single" w:sz="12" w:space="0" w:color="FFFFFF"/>
      </w:pBdr>
      <w:shd w:val="clear" w:color="auto" w:fill="800080"/>
      <w:spacing w:before="100" w:beforeAutospacing="1" w:after="100" w:afterAutospacing="1"/>
    </w:pPr>
    <w:rPr>
      <w:b/>
      <w:bCs/>
    </w:rPr>
  </w:style>
  <w:style w:type="paragraph" w:customStyle="1" w:styleId="xl37">
    <w:name w:val="xl37"/>
    <w:basedOn w:val="Normal"/>
    <w:pPr>
      <w:pBdr>
        <w:bottom w:val="single" w:sz="12" w:space="0" w:color="FFFFFF"/>
        <w:right w:val="single" w:sz="12" w:space="0" w:color="FFFFFF"/>
      </w:pBdr>
      <w:shd w:val="clear" w:color="auto" w:fill="FF00FF"/>
      <w:spacing w:before="100" w:beforeAutospacing="1" w:after="100" w:afterAutospacing="1"/>
    </w:pPr>
    <w:rPr>
      <w:b/>
      <w:bCs/>
    </w:rPr>
  </w:style>
  <w:style w:type="paragraph" w:customStyle="1" w:styleId="xl38">
    <w:name w:val="xl38"/>
    <w:basedOn w:val="Normal"/>
    <w:pPr>
      <w:pBdr>
        <w:bottom w:val="single" w:sz="12" w:space="0" w:color="FFFFFF"/>
        <w:right w:val="single" w:sz="12" w:space="0" w:color="FFFFFF"/>
      </w:pBdr>
      <w:shd w:val="clear" w:color="auto" w:fill="FFCC00"/>
      <w:spacing w:before="100" w:beforeAutospacing="1" w:after="100" w:afterAutospacing="1"/>
    </w:pPr>
    <w:rPr>
      <w:b/>
      <w:bCs/>
    </w:rPr>
  </w:style>
  <w:style w:type="paragraph" w:customStyle="1" w:styleId="xl39">
    <w:name w:val="xl39"/>
    <w:basedOn w:val="Normal"/>
    <w:pPr>
      <w:pBdr>
        <w:bottom w:val="single" w:sz="12" w:space="0" w:color="FFFFFF"/>
        <w:right w:val="single" w:sz="12" w:space="0" w:color="FFFFFF"/>
      </w:pBdr>
      <w:shd w:val="clear" w:color="auto" w:fill="FFFF00"/>
      <w:spacing w:before="100" w:beforeAutospacing="1" w:after="100" w:afterAutospacing="1"/>
    </w:pPr>
    <w:rPr>
      <w:b/>
      <w:bCs/>
    </w:rPr>
  </w:style>
  <w:style w:type="paragraph" w:customStyle="1" w:styleId="xl40">
    <w:name w:val="xl40"/>
    <w:basedOn w:val="Normal"/>
    <w:pPr>
      <w:pBdr>
        <w:bottom w:val="single" w:sz="12" w:space="0" w:color="FFFFFF"/>
        <w:right w:val="single" w:sz="12" w:space="0" w:color="FFFFFF"/>
      </w:pBdr>
      <w:shd w:val="clear" w:color="auto" w:fill="00FF00"/>
      <w:spacing w:before="100" w:beforeAutospacing="1" w:after="100" w:afterAutospacing="1"/>
    </w:pPr>
    <w:rPr>
      <w:b/>
      <w:bCs/>
    </w:rPr>
  </w:style>
  <w:style w:type="paragraph" w:customStyle="1" w:styleId="xl41">
    <w:name w:val="xl41"/>
    <w:basedOn w:val="Normal"/>
    <w:pPr>
      <w:pBdr>
        <w:bottom w:val="single" w:sz="12" w:space="0" w:color="FFFFFF"/>
        <w:right w:val="single" w:sz="12" w:space="0" w:color="FFFFFF"/>
      </w:pBdr>
      <w:shd w:val="clear" w:color="auto" w:fill="00FFFF"/>
      <w:spacing w:before="100" w:beforeAutospacing="1" w:after="100" w:afterAutospacing="1"/>
    </w:pPr>
    <w:rPr>
      <w:b/>
      <w:bCs/>
    </w:rPr>
  </w:style>
  <w:style w:type="paragraph" w:customStyle="1" w:styleId="xl42">
    <w:name w:val="xl42"/>
    <w:basedOn w:val="Normal"/>
    <w:pPr>
      <w:pBdr>
        <w:bottom w:val="single" w:sz="12" w:space="0" w:color="FFFFFF"/>
        <w:right w:val="single" w:sz="12" w:space="0" w:color="FFFFFF"/>
      </w:pBdr>
      <w:shd w:val="clear" w:color="auto" w:fill="993366"/>
      <w:spacing w:before="100" w:beforeAutospacing="1" w:after="100" w:afterAutospacing="1"/>
    </w:pPr>
    <w:rPr>
      <w:b/>
      <w:bCs/>
    </w:rPr>
  </w:style>
  <w:style w:type="paragraph" w:customStyle="1" w:styleId="xl43">
    <w:name w:val="xl43"/>
    <w:basedOn w:val="Normal"/>
    <w:pPr>
      <w:pBdr>
        <w:bottom w:val="single" w:sz="12" w:space="0" w:color="FFFFFF"/>
        <w:right w:val="single" w:sz="12" w:space="0" w:color="FFFFFF"/>
      </w:pBdr>
      <w:shd w:val="clear" w:color="auto" w:fill="FF6600"/>
      <w:spacing w:before="100" w:beforeAutospacing="1" w:after="100" w:afterAutospacing="1"/>
    </w:pPr>
    <w:rPr>
      <w:b/>
      <w:bCs/>
    </w:rPr>
  </w:style>
  <w:style w:type="paragraph" w:customStyle="1" w:styleId="xl44">
    <w:name w:val="xl44"/>
    <w:basedOn w:val="Normal"/>
    <w:pPr>
      <w:pBdr>
        <w:bottom w:val="single" w:sz="12" w:space="0" w:color="FFFFFF"/>
        <w:right w:val="single" w:sz="12" w:space="0" w:color="FFFFFF"/>
      </w:pBdr>
      <w:shd w:val="clear" w:color="auto" w:fill="FF99CC"/>
      <w:spacing w:before="100" w:beforeAutospacing="1" w:after="100" w:afterAutospacing="1"/>
    </w:pPr>
    <w:rPr>
      <w:b/>
      <w:bCs/>
    </w:rPr>
  </w:style>
  <w:style w:type="paragraph" w:customStyle="1" w:styleId="xl45">
    <w:name w:val="xl45"/>
    <w:basedOn w:val="Normal"/>
    <w:pPr>
      <w:pBdr>
        <w:bottom w:val="single" w:sz="12" w:space="0" w:color="FFFFFF"/>
        <w:right w:val="single" w:sz="12" w:space="0" w:color="FFFFFF"/>
      </w:pBdr>
      <w:shd w:val="clear" w:color="auto" w:fill="3366FF"/>
      <w:spacing w:before="100" w:beforeAutospacing="1" w:after="100" w:afterAutospacing="1"/>
    </w:pPr>
    <w:rPr>
      <w:b/>
      <w:bCs/>
    </w:rPr>
  </w:style>
  <w:style w:type="paragraph" w:customStyle="1" w:styleId="xl46">
    <w:name w:val="xl46"/>
    <w:basedOn w:val="Normal"/>
    <w:pPr>
      <w:pBdr>
        <w:bottom w:val="single" w:sz="12" w:space="0" w:color="FFFFFF"/>
        <w:right w:val="single" w:sz="12" w:space="0" w:color="FFFFFF"/>
      </w:pBdr>
      <w:shd w:val="clear" w:color="auto" w:fill="808000"/>
      <w:spacing w:before="100" w:beforeAutospacing="1" w:after="100" w:afterAutospacing="1"/>
    </w:pPr>
    <w:rPr>
      <w:b/>
      <w:bCs/>
    </w:rPr>
  </w:style>
  <w:style w:type="paragraph" w:customStyle="1" w:styleId="xl47">
    <w:name w:val="xl47"/>
    <w:basedOn w:val="Normal"/>
    <w:pPr>
      <w:pBdr>
        <w:bottom w:val="single" w:sz="12" w:space="0" w:color="FFFFFF"/>
        <w:right w:val="single" w:sz="12" w:space="0" w:color="FFFFFF"/>
      </w:pBdr>
      <w:shd w:val="clear" w:color="auto" w:fill="008000"/>
      <w:spacing w:before="100" w:beforeAutospacing="1" w:after="100" w:afterAutospacing="1"/>
    </w:pPr>
    <w:rPr>
      <w:b/>
      <w:bCs/>
    </w:rPr>
  </w:style>
  <w:style w:type="paragraph" w:customStyle="1" w:styleId="xl48">
    <w:name w:val="xl48"/>
    <w:basedOn w:val="Normal"/>
    <w:pPr>
      <w:pBdr>
        <w:bottom w:val="single" w:sz="12" w:space="0" w:color="FFFFFF"/>
        <w:right w:val="single" w:sz="12" w:space="0" w:color="FFFFFF"/>
      </w:pBdr>
      <w:shd w:val="clear" w:color="auto" w:fill="008080"/>
      <w:spacing w:before="100" w:beforeAutospacing="1" w:after="100" w:afterAutospacing="1"/>
    </w:pPr>
    <w:rPr>
      <w:b/>
      <w:bCs/>
    </w:rPr>
  </w:style>
  <w:style w:type="paragraph" w:customStyle="1" w:styleId="xl49">
    <w:name w:val="xl49"/>
    <w:basedOn w:val="Normal"/>
    <w:pPr>
      <w:pBdr>
        <w:bottom w:val="single" w:sz="12" w:space="0" w:color="FFFFFF"/>
        <w:right w:val="single" w:sz="12" w:space="0" w:color="FFFFFF"/>
      </w:pBdr>
      <w:shd w:val="clear" w:color="auto" w:fill="0000FF"/>
      <w:spacing w:before="100" w:beforeAutospacing="1" w:after="100" w:afterAutospacing="1"/>
    </w:pPr>
    <w:rPr>
      <w:b/>
      <w:bCs/>
    </w:rPr>
  </w:style>
  <w:style w:type="paragraph" w:customStyle="1" w:styleId="xl50">
    <w:name w:val="xl50"/>
    <w:basedOn w:val="Normal"/>
    <w:pPr>
      <w:pBdr>
        <w:bottom w:val="single" w:sz="12" w:space="0" w:color="FFFFFF"/>
        <w:right w:val="single" w:sz="12" w:space="0" w:color="FFFFFF"/>
      </w:pBdr>
      <w:shd w:val="clear" w:color="auto" w:fill="666699"/>
      <w:spacing w:before="100" w:beforeAutospacing="1" w:after="100" w:afterAutospacing="1"/>
    </w:pPr>
    <w:rPr>
      <w:b/>
      <w:bCs/>
    </w:rPr>
  </w:style>
  <w:style w:type="paragraph" w:customStyle="1" w:styleId="xl51">
    <w:name w:val="xl51"/>
    <w:basedOn w:val="Normal"/>
    <w:pPr>
      <w:pBdr>
        <w:bottom w:val="single" w:sz="12" w:space="0" w:color="FFFFFF"/>
        <w:right w:val="single" w:sz="12" w:space="0" w:color="FFFFFF"/>
      </w:pBdr>
      <w:shd w:val="clear" w:color="auto" w:fill="FF0000"/>
      <w:spacing w:before="100" w:beforeAutospacing="1" w:after="100" w:afterAutospacing="1"/>
    </w:pPr>
    <w:rPr>
      <w:b/>
      <w:bCs/>
    </w:rPr>
  </w:style>
  <w:style w:type="paragraph" w:customStyle="1" w:styleId="xl52">
    <w:name w:val="xl52"/>
    <w:basedOn w:val="Normal"/>
    <w:pPr>
      <w:pBdr>
        <w:bottom w:val="single" w:sz="12" w:space="0" w:color="FFFFFF"/>
        <w:right w:val="single" w:sz="12" w:space="0" w:color="FFFFFF"/>
      </w:pBdr>
      <w:shd w:val="clear" w:color="auto" w:fill="FF9900"/>
      <w:spacing w:before="100" w:beforeAutospacing="1" w:after="100" w:afterAutospacing="1"/>
    </w:pPr>
    <w:rPr>
      <w:b/>
      <w:bCs/>
    </w:rPr>
  </w:style>
  <w:style w:type="paragraph" w:customStyle="1" w:styleId="xl53">
    <w:name w:val="xl53"/>
    <w:basedOn w:val="Normal"/>
    <w:pPr>
      <w:pBdr>
        <w:bottom w:val="single" w:sz="12" w:space="0" w:color="FFFFFF"/>
        <w:right w:val="single" w:sz="12" w:space="0" w:color="FFFFFF"/>
      </w:pBdr>
      <w:shd w:val="clear" w:color="auto" w:fill="C0C0C0"/>
      <w:spacing w:before="100" w:beforeAutospacing="1" w:after="100" w:afterAutospacing="1"/>
      <w:jc w:val="center"/>
    </w:pPr>
    <w:rPr>
      <w:sz w:val="16"/>
      <w:szCs w:val="16"/>
    </w:rPr>
  </w:style>
  <w:style w:type="paragraph" w:customStyle="1" w:styleId="xl54">
    <w:name w:val="xl54"/>
    <w:basedOn w:val="Normal"/>
    <w:pPr>
      <w:pBdr>
        <w:bottom w:val="single" w:sz="12" w:space="0" w:color="FFFFFF"/>
        <w:right w:val="single" w:sz="12" w:space="0" w:color="FFFFFF"/>
      </w:pBdr>
      <w:shd w:val="clear" w:color="auto" w:fill="C0C0C0"/>
      <w:spacing w:before="100" w:beforeAutospacing="1" w:after="100" w:afterAutospacing="1"/>
    </w:pPr>
  </w:style>
  <w:style w:type="paragraph" w:customStyle="1" w:styleId="xl55">
    <w:name w:val="xl55"/>
    <w:basedOn w:val="Normal"/>
    <w:pPr>
      <w:pBdr>
        <w:bottom w:val="single" w:sz="12" w:space="0" w:color="FFFFFF"/>
        <w:right w:val="single" w:sz="12" w:space="0" w:color="FFFFFF"/>
      </w:pBdr>
      <w:shd w:val="clear" w:color="auto" w:fill="C0C0C0"/>
      <w:spacing w:before="100" w:beforeAutospacing="1" w:after="100" w:afterAutospacing="1"/>
    </w:pPr>
    <w:rPr>
      <w:b/>
      <w:bCs/>
    </w:rPr>
  </w:style>
  <w:style w:type="paragraph" w:customStyle="1" w:styleId="xl56">
    <w:name w:val="xl56"/>
    <w:basedOn w:val="Normal"/>
    <w:pPr>
      <w:pBdr>
        <w:bottom w:val="single" w:sz="12" w:space="0" w:color="FFFFFF"/>
        <w:right w:val="single" w:sz="12" w:space="0" w:color="FFFFFF"/>
      </w:pBdr>
      <w:shd w:val="clear" w:color="auto" w:fill="C0C0C0"/>
      <w:spacing w:before="100" w:beforeAutospacing="1" w:after="100" w:afterAutospacing="1"/>
    </w:pPr>
  </w:style>
  <w:style w:type="paragraph" w:customStyle="1" w:styleId="xl57">
    <w:name w:val="xl57"/>
    <w:basedOn w:val="Normal"/>
    <w:pPr>
      <w:pBdr>
        <w:bottom w:val="single" w:sz="12" w:space="0" w:color="FFFFFF"/>
        <w:right w:val="single" w:sz="12" w:space="0" w:color="FFFFFF"/>
      </w:pBdr>
      <w:shd w:val="clear" w:color="auto" w:fill="969696"/>
      <w:spacing w:before="100" w:beforeAutospacing="1" w:after="100" w:afterAutospacing="1"/>
      <w:jc w:val="center"/>
    </w:pPr>
    <w:rPr>
      <w:sz w:val="16"/>
      <w:szCs w:val="16"/>
    </w:rPr>
  </w:style>
  <w:style w:type="paragraph" w:customStyle="1" w:styleId="xl58">
    <w:name w:val="xl58"/>
    <w:basedOn w:val="Normal"/>
    <w:pPr>
      <w:pBdr>
        <w:bottom w:val="single" w:sz="12" w:space="0" w:color="FFFFFF"/>
        <w:right w:val="single" w:sz="12" w:space="0" w:color="FFFFFF"/>
      </w:pBdr>
      <w:shd w:val="clear" w:color="auto" w:fill="969696"/>
      <w:spacing w:before="100" w:beforeAutospacing="1" w:after="100" w:afterAutospacing="1"/>
    </w:pPr>
  </w:style>
  <w:style w:type="paragraph" w:customStyle="1" w:styleId="xl59">
    <w:name w:val="xl59"/>
    <w:basedOn w:val="Normal"/>
    <w:pPr>
      <w:pBdr>
        <w:bottom w:val="single" w:sz="12" w:space="0" w:color="FFFFFF"/>
        <w:right w:val="single" w:sz="12" w:space="0" w:color="FFFFFF"/>
      </w:pBdr>
      <w:shd w:val="clear" w:color="auto" w:fill="969696"/>
      <w:spacing w:before="100" w:beforeAutospacing="1" w:after="100" w:afterAutospacing="1"/>
    </w:pPr>
    <w:rPr>
      <w:b/>
      <w:bCs/>
    </w:rPr>
  </w:style>
  <w:style w:type="paragraph" w:customStyle="1" w:styleId="xl60">
    <w:name w:val="xl60"/>
    <w:basedOn w:val="Normal"/>
    <w:pPr>
      <w:pBdr>
        <w:bottom w:val="single" w:sz="12" w:space="0" w:color="FFFFFF"/>
        <w:right w:val="single" w:sz="12" w:space="0" w:color="FFFFFF"/>
      </w:pBdr>
      <w:shd w:val="clear" w:color="auto" w:fill="969696"/>
      <w:spacing w:before="100" w:beforeAutospacing="1" w:after="100" w:afterAutospacing="1"/>
    </w:pPr>
  </w:style>
  <w:style w:type="paragraph" w:customStyle="1" w:styleId="xl61">
    <w:name w:val="xl61"/>
    <w:basedOn w:val="Normal"/>
    <w:pPr>
      <w:pBdr>
        <w:bottom w:val="single" w:sz="12" w:space="0" w:color="FFFFFF"/>
        <w:right w:val="single" w:sz="12" w:space="0" w:color="FFFFFF"/>
      </w:pBdr>
      <w:shd w:val="clear" w:color="auto" w:fill="C0C0C0"/>
      <w:spacing w:before="100" w:beforeAutospacing="1" w:after="100" w:afterAutospacing="1"/>
    </w:pPr>
    <w:rPr>
      <w:b/>
      <w:bCs/>
    </w:rPr>
  </w:style>
  <w:style w:type="paragraph" w:customStyle="1" w:styleId="xl62">
    <w:name w:val="xl62"/>
    <w:basedOn w:val="Normal"/>
    <w:pPr>
      <w:pBdr>
        <w:bottom w:val="single" w:sz="12" w:space="0" w:color="FFFFFF"/>
        <w:right w:val="single" w:sz="12" w:space="0" w:color="FFFFFF"/>
      </w:pBdr>
      <w:shd w:val="clear" w:color="auto" w:fill="C0C0C0"/>
      <w:spacing w:before="100" w:beforeAutospacing="1" w:after="100" w:afterAutospacing="1"/>
    </w:pPr>
    <w:rPr>
      <w:b/>
      <w:bCs/>
    </w:rPr>
  </w:style>
  <w:style w:type="paragraph" w:customStyle="1" w:styleId="xl63">
    <w:name w:val="xl63"/>
    <w:basedOn w:val="Normal"/>
    <w:pPr>
      <w:pBdr>
        <w:bottom w:val="single" w:sz="12" w:space="0" w:color="FFFFFF"/>
        <w:right w:val="single" w:sz="12" w:space="0" w:color="FFFFFF"/>
      </w:pBdr>
      <w:shd w:val="clear" w:color="auto" w:fill="C0C0C0"/>
      <w:spacing w:before="100" w:beforeAutospacing="1" w:after="100" w:afterAutospacing="1"/>
    </w:pPr>
  </w:style>
  <w:style w:type="paragraph" w:customStyle="1" w:styleId="xl64">
    <w:name w:val="xl64"/>
    <w:basedOn w:val="Normal"/>
    <w:pPr>
      <w:pBdr>
        <w:bottom w:val="single" w:sz="12" w:space="0" w:color="FFFFFF"/>
        <w:right w:val="single" w:sz="12" w:space="0" w:color="FFFFFF"/>
      </w:pBdr>
      <w:shd w:val="clear" w:color="auto" w:fill="969696"/>
      <w:spacing w:before="100" w:beforeAutospacing="1" w:after="100" w:afterAutospacing="1"/>
    </w:pPr>
    <w:rPr>
      <w:b/>
      <w:bCs/>
    </w:rPr>
  </w:style>
  <w:style w:type="paragraph" w:customStyle="1" w:styleId="xl65">
    <w:name w:val="xl65"/>
    <w:basedOn w:val="Normal"/>
    <w:pPr>
      <w:pBdr>
        <w:bottom w:val="single" w:sz="12" w:space="0" w:color="FFFFFF"/>
        <w:right w:val="single" w:sz="12" w:space="0" w:color="FFFFFF"/>
      </w:pBdr>
      <w:shd w:val="clear" w:color="auto" w:fill="969696"/>
      <w:spacing w:before="100" w:beforeAutospacing="1" w:after="100" w:afterAutospacing="1"/>
    </w:pPr>
    <w:rPr>
      <w:b/>
      <w:bCs/>
    </w:rPr>
  </w:style>
  <w:style w:type="paragraph" w:customStyle="1" w:styleId="xl66">
    <w:name w:val="xl66"/>
    <w:basedOn w:val="Normal"/>
    <w:pPr>
      <w:pBdr>
        <w:bottom w:val="single" w:sz="12" w:space="0" w:color="FFFFFF"/>
        <w:right w:val="single" w:sz="12" w:space="0" w:color="FFFFFF"/>
      </w:pBdr>
      <w:shd w:val="clear" w:color="auto" w:fill="969696"/>
      <w:spacing w:before="100" w:beforeAutospacing="1" w:after="100" w:afterAutospacing="1"/>
    </w:pPr>
  </w:style>
  <w:style w:type="table" w:styleId="TableGrid">
    <w:name w:val="Table Grid"/>
    <w:basedOn w:val="TableNormal"/>
    <w:uiPriority w:val="59"/>
    <w:rsid w:val="00567C2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um1">
    <w:name w:val="num1"/>
    <w:basedOn w:val="Normal"/>
    <w:pPr>
      <w:tabs>
        <w:tab w:val="left" w:pos="-720"/>
      </w:tabs>
      <w:suppressAutoHyphens/>
      <w:spacing w:line="360" w:lineRule="auto"/>
      <w:ind w:firstLine="360"/>
    </w:pPr>
    <w:rPr>
      <w:rFonts w:ascii="Palatino" w:hAnsi="Palatino"/>
      <w:sz w:val="26"/>
      <w:szCs w:val="20"/>
    </w:rPr>
  </w:style>
  <w:style w:type="paragraph" w:styleId="DocumentMap">
    <w:name w:val="Document Map"/>
    <w:basedOn w:val="Normal"/>
    <w:semiHidden/>
    <w:pPr>
      <w:shd w:val="clear" w:color="auto" w:fill="000080"/>
    </w:pPr>
    <w:rPr>
      <w:rFonts w:ascii="Tahoma" w:hAnsi="Tahoma" w:cs="Tahoma"/>
      <w:sz w:val="20"/>
      <w:szCs w:val="20"/>
    </w:rPr>
  </w:style>
  <w:style w:type="character" w:styleId="CommentReference">
    <w:name w:val="annotation reference"/>
    <w:uiPriority w:val="99"/>
    <w:semiHidden/>
    <w:rPr>
      <w:sz w:val="16"/>
      <w:szCs w:val="16"/>
    </w:rPr>
  </w:style>
  <w:style w:type="paragraph" w:styleId="CommentText">
    <w:name w:val="annotation text"/>
    <w:basedOn w:val="Normal"/>
    <w:link w:val="CommentTextChar"/>
    <w:rPr>
      <w:sz w:val="20"/>
      <w:szCs w:val="20"/>
    </w:rPr>
  </w:style>
  <w:style w:type="paragraph" w:styleId="CommentSubject">
    <w:name w:val="annotation subject"/>
    <w:basedOn w:val="CommentText"/>
    <w:next w:val="CommentText"/>
    <w:semiHidden/>
    <w:rPr>
      <w:b/>
      <w:bCs/>
    </w:rPr>
  </w:style>
  <w:style w:type="paragraph" w:styleId="FootnoteText">
    <w:name w:val="footnote text"/>
    <w:basedOn w:val="Normal"/>
    <w:link w:val="FootnoteTextChar"/>
    <w:uiPriority w:val="99"/>
    <w:semiHidden/>
    <w:rPr>
      <w:sz w:val="20"/>
      <w:szCs w:val="20"/>
    </w:rPr>
  </w:style>
  <w:style w:type="character" w:styleId="FootnoteReference">
    <w:name w:val="footnote reference"/>
    <w:uiPriority w:val="99"/>
    <w:semiHidden/>
    <w:rPr>
      <w:vertAlign w:val="superscript"/>
    </w:rPr>
  </w:style>
  <w:style w:type="character" w:styleId="Strong">
    <w:name w:val="Strong"/>
    <w:qFormat/>
    <w:rsid w:val="00D23691"/>
    <w:rPr>
      <w:b/>
      <w:bCs/>
    </w:rPr>
  </w:style>
  <w:style w:type="character" w:customStyle="1" w:styleId="textsmaller1">
    <w:name w:val="textsmaller1"/>
    <w:rsid w:val="00D23691"/>
    <w:rPr>
      <w:sz w:val="15"/>
      <w:szCs w:val="15"/>
    </w:rPr>
  </w:style>
  <w:style w:type="paragraph" w:styleId="Revision">
    <w:name w:val="Revision"/>
    <w:hidden/>
    <w:uiPriority w:val="99"/>
    <w:semiHidden/>
    <w:rsid w:val="00D23691"/>
    <w:rPr>
      <w:sz w:val="24"/>
      <w:szCs w:val="24"/>
    </w:rPr>
  </w:style>
  <w:style w:type="character" w:customStyle="1" w:styleId="CommentTextChar">
    <w:name w:val="Comment Text Char"/>
    <w:basedOn w:val="DefaultParagraphFont"/>
    <w:link w:val="CommentText"/>
    <w:uiPriority w:val="99"/>
    <w:rsid w:val="006E3403"/>
  </w:style>
  <w:style w:type="character" w:customStyle="1" w:styleId="EndnoteTextChar">
    <w:name w:val="Endnote Text Char"/>
    <w:basedOn w:val="DefaultParagraphFont"/>
    <w:link w:val="EndnoteText"/>
    <w:rsid w:val="006E3403"/>
  </w:style>
  <w:style w:type="character" w:customStyle="1" w:styleId="Heading1Char">
    <w:name w:val="Heading 1 Char"/>
    <w:link w:val="Heading1"/>
    <w:locked/>
    <w:rsid w:val="001740FC"/>
    <w:rPr>
      <w:rFonts w:ascii="Arial" w:hAnsi="Arial" w:cs="Arial"/>
      <w:b/>
      <w:bCs/>
      <w:kern w:val="32"/>
      <w:sz w:val="32"/>
      <w:szCs w:val="32"/>
    </w:rPr>
  </w:style>
  <w:style w:type="character" w:customStyle="1" w:styleId="CaptionChar">
    <w:name w:val="Caption Char"/>
    <w:link w:val="Caption"/>
    <w:locked/>
    <w:rsid w:val="000C5B86"/>
    <w:rPr>
      <w:b/>
      <w:bCs/>
    </w:rPr>
  </w:style>
  <w:style w:type="character" w:customStyle="1" w:styleId="breadcrumbs">
    <w:name w:val="breadcrumbs"/>
    <w:rsid w:val="000C5B86"/>
  </w:style>
  <w:style w:type="character" w:customStyle="1" w:styleId="Heading2Char">
    <w:name w:val="Heading 2 Char"/>
    <w:link w:val="Heading2"/>
    <w:rsid w:val="00884FE6"/>
    <w:rPr>
      <w:rFonts w:ascii="Arial" w:hAnsi="Arial" w:cs="Arial"/>
      <w:b/>
      <w:bCs/>
      <w:i/>
      <w:iCs/>
      <w:sz w:val="28"/>
      <w:szCs w:val="28"/>
    </w:rPr>
  </w:style>
  <w:style w:type="table" w:customStyle="1" w:styleId="TableGrid1">
    <w:name w:val="Table Grid1"/>
    <w:basedOn w:val="TableNormal"/>
    <w:next w:val="TableGrid"/>
    <w:rsid w:val="002353D5"/>
    <w:rPr>
      <w:rFonts w:asciiTheme="minorHAnsi" w:hAnsi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leChar">
    <w:name w:val="Title Char"/>
    <w:locked/>
    <w:rsid w:val="00193108"/>
    <w:rPr>
      <w:rFonts w:ascii="Arial" w:hAnsi="Arial"/>
      <w:b/>
      <w:color w:val="17365D"/>
      <w:spacing w:val="5"/>
      <w:kern w:val="28"/>
      <w:sz w:val="48"/>
      <w:szCs w:val="52"/>
      <w:lang w:eastAsia="ko-KR"/>
    </w:rPr>
  </w:style>
  <w:style w:type="character" w:customStyle="1" w:styleId="Mention1">
    <w:name w:val="Mention1"/>
    <w:basedOn w:val="DefaultParagraphFont"/>
    <w:uiPriority w:val="99"/>
    <w:semiHidden/>
    <w:unhideWhenUsed/>
    <w:rsid w:val="00D1395F"/>
    <w:rPr>
      <w:color w:val="2B579A"/>
      <w:shd w:val="clear" w:color="auto" w:fill="E6E6E6"/>
    </w:rPr>
  </w:style>
  <w:style w:type="paragraph" w:styleId="ListParagraph">
    <w:name w:val="List Paragraph"/>
    <w:basedOn w:val="Normal"/>
    <w:uiPriority w:val="34"/>
    <w:qFormat/>
    <w:rsid w:val="00BD179F"/>
    <w:pPr>
      <w:ind w:left="720"/>
      <w:contextualSpacing/>
    </w:pPr>
  </w:style>
  <w:style w:type="character" w:customStyle="1" w:styleId="UnresolvedMention1">
    <w:name w:val="Unresolved Mention1"/>
    <w:basedOn w:val="DefaultParagraphFont"/>
    <w:uiPriority w:val="99"/>
    <w:semiHidden/>
    <w:unhideWhenUsed/>
    <w:rsid w:val="007E5945"/>
    <w:rPr>
      <w:color w:val="808080"/>
      <w:shd w:val="clear" w:color="auto" w:fill="E6E6E6"/>
    </w:rPr>
  </w:style>
  <w:style w:type="character" w:customStyle="1" w:styleId="reference-accessdate">
    <w:name w:val="reference-accessdate"/>
    <w:basedOn w:val="DefaultParagraphFont"/>
    <w:rsid w:val="009475E5"/>
  </w:style>
  <w:style w:type="character" w:customStyle="1" w:styleId="nowrap">
    <w:name w:val="nowrap"/>
    <w:basedOn w:val="DefaultParagraphFont"/>
    <w:rsid w:val="009475E5"/>
  </w:style>
  <w:style w:type="character" w:styleId="PlaceholderText">
    <w:name w:val="Placeholder Text"/>
    <w:basedOn w:val="DefaultParagraphFont"/>
    <w:uiPriority w:val="99"/>
    <w:semiHidden/>
    <w:rsid w:val="007F3A40"/>
    <w:rPr>
      <w:color w:val="808080"/>
    </w:rPr>
  </w:style>
  <w:style w:type="character" w:customStyle="1" w:styleId="UnresolvedMention2">
    <w:name w:val="Unresolved Mention2"/>
    <w:basedOn w:val="DefaultParagraphFont"/>
    <w:uiPriority w:val="99"/>
    <w:semiHidden/>
    <w:unhideWhenUsed/>
    <w:rsid w:val="00C62EB1"/>
    <w:rPr>
      <w:color w:val="808080"/>
      <w:shd w:val="clear" w:color="auto" w:fill="E6E6E6"/>
    </w:rPr>
  </w:style>
  <w:style w:type="paragraph" w:customStyle="1" w:styleId="Default">
    <w:name w:val="Default"/>
    <w:rsid w:val="00001CD9"/>
    <w:pPr>
      <w:autoSpaceDE w:val="0"/>
      <w:autoSpaceDN w:val="0"/>
      <w:adjustRightInd w:val="0"/>
    </w:pPr>
    <w:rPr>
      <w:rFonts w:ascii="Arial" w:hAnsi="Arial" w:cs="Arial"/>
      <w:color w:val="000000"/>
      <w:sz w:val="24"/>
      <w:szCs w:val="24"/>
    </w:rPr>
  </w:style>
  <w:style w:type="character" w:customStyle="1" w:styleId="UnresolvedMention3">
    <w:name w:val="Unresolved Mention3"/>
    <w:basedOn w:val="DefaultParagraphFont"/>
    <w:uiPriority w:val="99"/>
    <w:semiHidden/>
    <w:unhideWhenUsed/>
    <w:rsid w:val="00006704"/>
    <w:rPr>
      <w:color w:val="808080"/>
      <w:shd w:val="clear" w:color="auto" w:fill="E6E6E6"/>
    </w:rPr>
  </w:style>
  <w:style w:type="paragraph" w:customStyle="1" w:styleId="paragraph">
    <w:name w:val="paragraph"/>
    <w:basedOn w:val="Normal"/>
    <w:rsid w:val="007E5E63"/>
  </w:style>
  <w:style w:type="character" w:customStyle="1" w:styleId="normaltextrun1">
    <w:name w:val="normaltextrun1"/>
    <w:basedOn w:val="DefaultParagraphFont"/>
    <w:rsid w:val="007E5E63"/>
  </w:style>
  <w:style w:type="character" w:customStyle="1" w:styleId="eop">
    <w:name w:val="eop"/>
    <w:basedOn w:val="DefaultParagraphFont"/>
    <w:rsid w:val="007E5E63"/>
  </w:style>
  <w:style w:type="character" w:customStyle="1" w:styleId="UnresolvedMention4">
    <w:name w:val="Unresolved Mention4"/>
    <w:basedOn w:val="DefaultParagraphFont"/>
    <w:uiPriority w:val="99"/>
    <w:semiHidden/>
    <w:unhideWhenUsed/>
    <w:rsid w:val="00960CD8"/>
    <w:rPr>
      <w:color w:val="808080"/>
      <w:shd w:val="clear" w:color="auto" w:fill="E6E6E6"/>
    </w:rPr>
  </w:style>
  <w:style w:type="paragraph" w:styleId="ListBullet">
    <w:name w:val="List Bullet"/>
    <w:basedOn w:val="Normal"/>
    <w:link w:val="ListBulletChar"/>
    <w:qFormat/>
    <w:rsid w:val="006401BF"/>
    <w:pPr>
      <w:numPr>
        <w:numId w:val="22"/>
      </w:numPr>
      <w:spacing w:before="120"/>
      <w:ind w:left="1080"/>
    </w:pPr>
    <w:rPr>
      <w:rFonts w:ascii="Calibri" w:hAnsi="Calibri"/>
      <w:sz w:val="22"/>
    </w:rPr>
  </w:style>
  <w:style w:type="character" w:customStyle="1" w:styleId="ListBulletChar">
    <w:name w:val="List Bullet Char"/>
    <w:link w:val="ListBullet"/>
    <w:rsid w:val="006401BF"/>
    <w:rPr>
      <w:rFonts w:ascii="Calibri" w:hAnsi="Calibri"/>
      <w:sz w:val="22"/>
      <w:szCs w:val="24"/>
    </w:rPr>
  </w:style>
  <w:style w:type="character" w:customStyle="1" w:styleId="FootnoteTextChar">
    <w:name w:val="Footnote Text Char"/>
    <w:basedOn w:val="DefaultParagraphFont"/>
    <w:link w:val="FootnoteText"/>
    <w:uiPriority w:val="99"/>
    <w:semiHidden/>
    <w:rsid w:val="006401BF"/>
  </w:style>
  <w:style w:type="character" w:customStyle="1" w:styleId="UnresolvedMention5">
    <w:name w:val="Unresolved Mention5"/>
    <w:basedOn w:val="DefaultParagraphFont"/>
    <w:uiPriority w:val="99"/>
    <w:semiHidden/>
    <w:unhideWhenUsed/>
    <w:rsid w:val="000E6322"/>
    <w:rPr>
      <w:color w:val="808080"/>
      <w:shd w:val="clear" w:color="auto" w:fill="E6E6E6"/>
    </w:rPr>
  </w:style>
  <w:style w:type="character" w:customStyle="1" w:styleId="Heading4Char">
    <w:name w:val="Heading 4 Char"/>
    <w:basedOn w:val="DefaultParagraphFont"/>
    <w:link w:val="Heading4"/>
    <w:semiHidden/>
    <w:rsid w:val="006600C3"/>
    <w:rPr>
      <w:rFonts w:asciiTheme="majorHAnsi" w:eastAsiaTheme="majorEastAsia" w:hAnsiTheme="majorHAnsi" w:cstheme="majorBidi"/>
      <w:i/>
      <w:iCs/>
      <w:color w:val="365F91" w:themeColor="accent1" w:themeShade="BF"/>
      <w:sz w:val="24"/>
      <w:szCs w:val="24"/>
    </w:rPr>
  </w:style>
  <w:style w:type="character" w:customStyle="1" w:styleId="UnresolvedMention">
    <w:name w:val="Unresolved Mention"/>
    <w:basedOn w:val="DefaultParagraphFont"/>
    <w:uiPriority w:val="99"/>
    <w:semiHidden/>
    <w:unhideWhenUsed/>
    <w:rsid w:val="00AB3DAC"/>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000303">
      <w:bodyDiv w:val="1"/>
      <w:marLeft w:val="0"/>
      <w:marRight w:val="0"/>
      <w:marTop w:val="0"/>
      <w:marBottom w:val="0"/>
      <w:divBdr>
        <w:top w:val="none" w:sz="0" w:space="0" w:color="auto"/>
        <w:left w:val="none" w:sz="0" w:space="0" w:color="auto"/>
        <w:bottom w:val="none" w:sz="0" w:space="0" w:color="auto"/>
        <w:right w:val="none" w:sz="0" w:space="0" w:color="auto"/>
      </w:divBdr>
    </w:div>
    <w:div w:id="92751995">
      <w:bodyDiv w:val="1"/>
      <w:marLeft w:val="0"/>
      <w:marRight w:val="0"/>
      <w:marTop w:val="0"/>
      <w:marBottom w:val="0"/>
      <w:divBdr>
        <w:top w:val="none" w:sz="0" w:space="0" w:color="auto"/>
        <w:left w:val="none" w:sz="0" w:space="0" w:color="auto"/>
        <w:bottom w:val="none" w:sz="0" w:space="0" w:color="auto"/>
        <w:right w:val="none" w:sz="0" w:space="0" w:color="auto"/>
      </w:divBdr>
    </w:div>
    <w:div w:id="137890898">
      <w:bodyDiv w:val="1"/>
      <w:marLeft w:val="0"/>
      <w:marRight w:val="0"/>
      <w:marTop w:val="0"/>
      <w:marBottom w:val="0"/>
      <w:divBdr>
        <w:top w:val="none" w:sz="0" w:space="0" w:color="auto"/>
        <w:left w:val="none" w:sz="0" w:space="0" w:color="auto"/>
        <w:bottom w:val="none" w:sz="0" w:space="0" w:color="auto"/>
        <w:right w:val="none" w:sz="0" w:space="0" w:color="auto"/>
      </w:divBdr>
    </w:div>
    <w:div w:id="214584352">
      <w:bodyDiv w:val="1"/>
      <w:marLeft w:val="0"/>
      <w:marRight w:val="0"/>
      <w:marTop w:val="0"/>
      <w:marBottom w:val="0"/>
      <w:divBdr>
        <w:top w:val="none" w:sz="0" w:space="0" w:color="auto"/>
        <w:left w:val="none" w:sz="0" w:space="0" w:color="auto"/>
        <w:bottom w:val="none" w:sz="0" w:space="0" w:color="auto"/>
        <w:right w:val="none" w:sz="0" w:space="0" w:color="auto"/>
      </w:divBdr>
    </w:div>
    <w:div w:id="216010935">
      <w:bodyDiv w:val="1"/>
      <w:marLeft w:val="0"/>
      <w:marRight w:val="0"/>
      <w:marTop w:val="0"/>
      <w:marBottom w:val="0"/>
      <w:divBdr>
        <w:top w:val="none" w:sz="0" w:space="0" w:color="auto"/>
        <w:left w:val="none" w:sz="0" w:space="0" w:color="auto"/>
        <w:bottom w:val="none" w:sz="0" w:space="0" w:color="auto"/>
        <w:right w:val="none" w:sz="0" w:space="0" w:color="auto"/>
      </w:divBdr>
    </w:div>
    <w:div w:id="242645846">
      <w:bodyDiv w:val="1"/>
      <w:marLeft w:val="0"/>
      <w:marRight w:val="0"/>
      <w:marTop w:val="0"/>
      <w:marBottom w:val="0"/>
      <w:divBdr>
        <w:top w:val="none" w:sz="0" w:space="0" w:color="auto"/>
        <w:left w:val="none" w:sz="0" w:space="0" w:color="auto"/>
        <w:bottom w:val="none" w:sz="0" w:space="0" w:color="auto"/>
        <w:right w:val="none" w:sz="0" w:space="0" w:color="auto"/>
      </w:divBdr>
    </w:div>
    <w:div w:id="301079370">
      <w:bodyDiv w:val="1"/>
      <w:marLeft w:val="0"/>
      <w:marRight w:val="0"/>
      <w:marTop w:val="0"/>
      <w:marBottom w:val="0"/>
      <w:divBdr>
        <w:top w:val="none" w:sz="0" w:space="0" w:color="auto"/>
        <w:left w:val="none" w:sz="0" w:space="0" w:color="auto"/>
        <w:bottom w:val="none" w:sz="0" w:space="0" w:color="auto"/>
        <w:right w:val="none" w:sz="0" w:space="0" w:color="auto"/>
      </w:divBdr>
      <w:divsChild>
        <w:div w:id="672336657">
          <w:marLeft w:val="0"/>
          <w:marRight w:val="0"/>
          <w:marTop w:val="0"/>
          <w:marBottom w:val="0"/>
          <w:divBdr>
            <w:top w:val="none" w:sz="0" w:space="0" w:color="auto"/>
            <w:left w:val="none" w:sz="0" w:space="0" w:color="auto"/>
            <w:bottom w:val="none" w:sz="0" w:space="0" w:color="auto"/>
            <w:right w:val="none" w:sz="0" w:space="0" w:color="auto"/>
          </w:divBdr>
          <w:divsChild>
            <w:div w:id="1415518227">
              <w:marLeft w:val="0"/>
              <w:marRight w:val="0"/>
              <w:marTop w:val="0"/>
              <w:marBottom w:val="0"/>
              <w:divBdr>
                <w:top w:val="none" w:sz="0" w:space="0" w:color="auto"/>
                <w:left w:val="none" w:sz="0" w:space="0" w:color="auto"/>
                <w:bottom w:val="none" w:sz="0" w:space="0" w:color="auto"/>
                <w:right w:val="none" w:sz="0" w:space="0" w:color="auto"/>
              </w:divBdr>
              <w:divsChild>
                <w:div w:id="912008907">
                  <w:marLeft w:val="0"/>
                  <w:marRight w:val="0"/>
                  <w:marTop w:val="0"/>
                  <w:marBottom w:val="0"/>
                  <w:divBdr>
                    <w:top w:val="none" w:sz="0" w:space="0" w:color="auto"/>
                    <w:left w:val="none" w:sz="0" w:space="0" w:color="auto"/>
                    <w:bottom w:val="none" w:sz="0" w:space="0" w:color="auto"/>
                    <w:right w:val="none" w:sz="0" w:space="0" w:color="auto"/>
                  </w:divBdr>
                  <w:divsChild>
                    <w:div w:id="702555223">
                      <w:marLeft w:val="0"/>
                      <w:marRight w:val="0"/>
                      <w:marTop w:val="0"/>
                      <w:marBottom w:val="0"/>
                      <w:divBdr>
                        <w:top w:val="none" w:sz="0" w:space="0" w:color="auto"/>
                        <w:left w:val="none" w:sz="0" w:space="0" w:color="auto"/>
                        <w:bottom w:val="none" w:sz="0" w:space="0" w:color="auto"/>
                        <w:right w:val="none" w:sz="0" w:space="0" w:color="auto"/>
                      </w:divBdr>
                      <w:divsChild>
                        <w:div w:id="232353998">
                          <w:marLeft w:val="0"/>
                          <w:marRight w:val="0"/>
                          <w:marTop w:val="0"/>
                          <w:marBottom w:val="0"/>
                          <w:divBdr>
                            <w:top w:val="none" w:sz="0" w:space="0" w:color="auto"/>
                            <w:left w:val="none" w:sz="0" w:space="0" w:color="auto"/>
                            <w:bottom w:val="none" w:sz="0" w:space="0" w:color="auto"/>
                            <w:right w:val="none" w:sz="0" w:space="0" w:color="auto"/>
                          </w:divBdr>
                          <w:divsChild>
                            <w:div w:id="205917892">
                              <w:marLeft w:val="0"/>
                              <w:marRight w:val="0"/>
                              <w:marTop w:val="0"/>
                              <w:marBottom w:val="0"/>
                              <w:divBdr>
                                <w:top w:val="none" w:sz="0" w:space="0" w:color="auto"/>
                                <w:left w:val="none" w:sz="0" w:space="0" w:color="auto"/>
                                <w:bottom w:val="none" w:sz="0" w:space="0" w:color="auto"/>
                                <w:right w:val="none" w:sz="0" w:space="0" w:color="auto"/>
                              </w:divBdr>
                              <w:divsChild>
                                <w:div w:id="1924417081">
                                  <w:marLeft w:val="0"/>
                                  <w:marRight w:val="0"/>
                                  <w:marTop w:val="0"/>
                                  <w:marBottom w:val="0"/>
                                  <w:divBdr>
                                    <w:top w:val="none" w:sz="0" w:space="0" w:color="auto"/>
                                    <w:left w:val="none" w:sz="0" w:space="0" w:color="auto"/>
                                    <w:bottom w:val="none" w:sz="0" w:space="0" w:color="auto"/>
                                    <w:right w:val="none" w:sz="0" w:space="0" w:color="auto"/>
                                  </w:divBdr>
                                  <w:divsChild>
                                    <w:div w:id="354356181">
                                      <w:marLeft w:val="0"/>
                                      <w:marRight w:val="0"/>
                                      <w:marTop w:val="0"/>
                                      <w:marBottom w:val="0"/>
                                      <w:divBdr>
                                        <w:top w:val="none" w:sz="0" w:space="0" w:color="auto"/>
                                        <w:left w:val="none" w:sz="0" w:space="0" w:color="auto"/>
                                        <w:bottom w:val="none" w:sz="0" w:space="0" w:color="auto"/>
                                        <w:right w:val="none" w:sz="0" w:space="0" w:color="auto"/>
                                      </w:divBdr>
                                      <w:divsChild>
                                        <w:div w:id="188034572">
                                          <w:marLeft w:val="0"/>
                                          <w:marRight w:val="0"/>
                                          <w:marTop w:val="0"/>
                                          <w:marBottom w:val="0"/>
                                          <w:divBdr>
                                            <w:top w:val="none" w:sz="0" w:space="0" w:color="auto"/>
                                            <w:left w:val="none" w:sz="0" w:space="0" w:color="auto"/>
                                            <w:bottom w:val="none" w:sz="0" w:space="0" w:color="auto"/>
                                            <w:right w:val="none" w:sz="0" w:space="0" w:color="auto"/>
                                          </w:divBdr>
                                          <w:divsChild>
                                            <w:div w:id="372265483">
                                              <w:marLeft w:val="6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69691418">
      <w:bodyDiv w:val="1"/>
      <w:marLeft w:val="0"/>
      <w:marRight w:val="0"/>
      <w:marTop w:val="0"/>
      <w:marBottom w:val="0"/>
      <w:divBdr>
        <w:top w:val="none" w:sz="0" w:space="0" w:color="auto"/>
        <w:left w:val="none" w:sz="0" w:space="0" w:color="auto"/>
        <w:bottom w:val="none" w:sz="0" w:space="0" w:color="auto"/>
        <w:right w:val="none" w:sz="0" w:space="0" w:color="auto"/>
      </w:divBdr>
    </w:div>
    <w:div w:id="391386807">
      <w:bodyDiv w:val="1"/>
      <w:marLeft w:val="0"/>
      <w:marRight w:val="0"/>
      <w:marTop w:val="0"/>
      <w:marBottom w:val="0"/>
      <w:divBdr>
        <w:top w:val="none" w:sz="0" w:space="0" w:color="auto"/>
        <w:left w:val="none" w:sz="0" w:space="0" w:color="auto"/>
        <w:bottom w:val="none" w:sz="0" w:space="0" w:color="auto"/>
        <w:right w:val="none" w:sz="0" w:space="0" w:color="auto"/>
      </w:divBdr>
    </w:div>
    <w:div w:id="406155122">
      <w:bodyDiv w:val="1"/>
      <w:marLeft w:val="0"/>
      <w:marRight w:val="0"/>
      <w:marTop w:val="0"/>
      <w:marBottom w:val="0"/>
      <w:divBdr>
        <w:top w:val="none" w:sz="0" w:space="0" w:color="auto"/>
        <w:left w:val="none" w:sz="0" w:space="0" w:color="auto"/>
        <w:bottom w:val="none" w:sz="0" w:space="0" w:color="auto"/>
        <w:right w:val="none" w:sz="0" w:space="0" w:color="auto"/>
      </w:divBdr>
    </w:div>
    <w:div w:id="408385709">
      <w:bodyDiv w:val="1"/>
      <w:marLeft w:val="0"/>
      <w:marRight w:val="0"/>
      <w:marTop w:val="0"/>
      <w:marBottom w:val="0"/>
      <w:divBdr>
        <w:top w:val="none" w:sz="0" w:space="0" w:color="auto"/>
        <w:left w:val="none" w:sz="0" w:space="0" w:color="auto"/>
        <w:bottom w:val="none" w:sz="0" w:space="0" w:color="auto"/>
        <w:right w:val="none" w:sz="0" w:space="0" w:color="auto"/>
      </w:divBdr>
    </w:div>
    <w:div w:id="412823659">
      <w:bodyDiv w:val="1"/>
      <w:marLeft w:val="0"/>
      <w:marRight w:val="0"/>
      <w:marTop w:val="0"/>
      <w:marBottom w:val="0"/>
      <w:divBdr>
        <w:top w:val="none" w:sz="0" w:space="0" w:color="auto"/>
        <w:left w:val="none" w:sz="0" w:space="0" w:color="auto"/>
        <w:bottom w:val="none" w:sz="0" w:space="0" w:color="auto"/>
        <w:right w:val="none" w:sz="0" w:space="0" w:color="auto"/>
      </w:divBdr>
    </w:div>
    <w:div w:id="421802298">
      <w:bodyDiv w:val="1"/>
      <w:marLeft w:val="0"/>
      <w:marRight w:val="0"/>
      <w:marTop w:val="0"/>
      <w:marBottom w:val="0"/>
      <w:divBdr>
        <w:top w:val="none" w:sz="0" w:space="0" w:color="auto"/>
        <w:left w:val="none" w:sz="0" w:space="0" w:color="auto"/>
        <w:bottom w:val="none" w:sz="0" w:space="0" w:color="auto"/>
        <w:right w:val="none" w:sz="0" w:space="0" w:color="auto"/>
      </w:divBdr>
    </w:div>
    <w:div w:id="485168620">
      <w:bodyDiv w:val="1"/>
      <w:marLeft w:val="0"/>
      <w:marRight w:val="0"/>
      <w:marTop w:val="0"/>
      <w:marBottom w:val="0"/>
      <w:divBdr>
        <w:top w:val="none" w:sz="0" w:space="0" w:color="auto"/>
        <w:left w:val="none" w:sz="0" w:space="0" w:color="auto"/>
        <w:bottom w:val="none" w:sz="0" w:space="0" w:color="auto"/>
        <w:right w:val="none" w:sz="0" w:space="0" w:color="auto"/>
      </w:divBdr>
    </w:div>
    <w:div w:id="569969920">
      <w:bodyDiv w:val="1"/>
      <w:marLeft w:val="0"/>
      <w:marRight w:val="0"/>
      <w:marTop w:val="0"/>
      <w:marBottom w:val="0"/>
      <w:divBdr>
        <w:top w:val="none" w:sz="0" w:space="0" w:color="auto"/>
        <w:left w:val="none" w:sz="0" w:space="0" w:color="auto"/>
        <w:bottom w:val="none" w:sz="0" w:space="0" w:color="auto"/>
        <w:right w:val="none" w:sz="0" w:space="0" w:color="auto"/>
      </w:divBdr>
    </w:div>
    <w:div w:id="582883350">
      <w:bodyDiv w:val="1"/>
      <w:marLeft w:val="0"/>
      <w:marRight w:val="0"/>
      <w:marTop w:val="0"/>
      <w:marBottom w:val="0"/>
      <w:divBdr>
        <w:top w:val="none" w:sz="0" w:space="0" w:color="auto"/>
        <w:left w:val="none" w:sz="0" w:space="0" w:color="auto"/>
        <w:bottom w:val="none" w:sz="0" w:space="0" w:color="auto"/>
        <w:right w:val="none" w:sz="0" w:space="0" w:color="auto"/>
      </w:divBdr>
      <w:divsChild>
        <w:div w:id="1108433204">
          <w:marLeft w:val="0"/>
          <w:marRight w:val="0"/>
          <w:marTop w:val="0"/>
          <w:marBottom w:val="0"/>
          <w:divBdr>
            <w:top w:val="single" w:sz="6" w:space="1" w:color="84A6CE"/>
            <w:left w:val="single" w:sz="6" w:space="1" w:color="84A6CE"/>
            <w:bottom w:val="single" w:sz="6" w:space="1" w:color="4473AC"/>
            <w:right w:val="single" w:sz="6" w:space="1" w:color="84A6CE"/>
          </w:divBdr>
        </w:div>
      </w:divsChild>
    </w:div>
    <w:div w:id="595527390">
      <w:bodyDiv w:val="1"/>
      <w:marLeft w:val="0"/>
      <w:marRight w:val="0"/>
      <w:marTop w:val="0"/>
      <w:marBottom w:val="0"/>
      <w:divBdr>
        <w:top w:val="none" w:sz="0" w:space="0" w:color="auto"/>
        <w:left w:val="none" w:sz="0" w:space="0" w:color="auto"/>
        <w:bottom w:val="none" w:sz="0" w:space="0" w:color="auto"/>
        <w:right w:val="none" w:sz="0" w:space="0" w:color="auto"/>
      </w:divBdr>
    </w:div>
    <w:div w:id="763107234">
      <w:bodyDiv w:val="1"/>
      <w:marLeft w:val="0"/>
      <w:marRight w:val="0"/>
      <w:marTop w:val="0"/>
      <w:marBottom w:val="0"/>
      <w:divBdr>
        <w:top w:val="none" w:sz="0" w:space="0" w:color="auto"/>
        <w:left w:val="none" w:sz="0" w:space="0" w:color="auto"/>
        <w:bottom w:val="none" w:sz="0" w:space="0" w:color="auto"/>
        <w:right w:val="none" w:sz="0" w:space="0" w:color="auto"/>
      </w:divBdr>
    </w:div>
    <w:div w:id="836312106">
      <w:bodyDiv w:val="1"/>
      <w:marLeft w:val="0"/>
      <w:marRight w:val="0"/>
      <w:marTop w:val="0"/>
      <w:marBottom w:val="0"/>
      <w:divBdr>
        <w:top w:val="none" w:sz="0" w:space="0" w:color="auto"/>
        <w:left w:val="none" w:sz="0" w:space="0" w:color="auto"/>
        <w:bottom w:val="none" w:sz="0" w:space="0" w:color="auto"/>
        <w:right w:val="none" w:sz="0" w:space="0" w:color="auto"/>
      </w:divBdr>
    </w:div>
    <w:div w:id="842859101">
      <w:bodyDiv w:val="1"/>
      <w:marLeft w:val="0"/>
      <w:marRight w:val="0"/>
      <w:marTop w:val="0"/>
      <w:marBottom w:val="0"/>
      <w:divBdr>
        <w:top w:val="none" w:sz="0" w:space="0" w:color="auto"/>
        <w:left w:val="none" w:sz="0" w:space="0" w:color="auto"/>
        <w:bottom w:val="none" w:sz="0" w:space="0" w:color="auto"/>
        <w:right w:val="none" w:sz="0" w:space="0" w:color="auto"/>
      </w:divBdr>
    </w:div>
    <w:div w:id="845437736">
      <w:bodyDiv w:val="1"/>
      <w:marLeft w:val="0"/>
      <w:marRight w:val="0"/>
      <w:marTop w:val="0"/>
      <w:marBottom w:val="0"/>
      <w:divBdr>
        <w:top w:val="none" w:sz="0" w:space="0" w:color="auto"/>
        <w:left w:val="none" w:sz="0" w:space="0" w:color="auto"/>
        <w:bottom w:val="none" w:sz="0" w:space="0" w:color="auto"/>
        <w:right w:val="none" w:sz="0" w:space="0" w:color="auto"/>
      </w:divBdr>
    </w:div>
    <w:div w:id="876619338">
      <w:bodyDiv w:val="1"/>
      <w:marLeft w:val="0"/>
      <w:marRight w:val="0"/>
      <w:marTop w:val="0"/>
      <w:marBottom w:val="0"/>
      <w:divBdr>
        <w:top w:val="none" w:sz="0" w:space="0" w:color="auto"/>
        <w:left w:val="none" w:sz="0" w:space="0" w:color="auto"/>
        <w:bottom w:val="none" w:sz="0" w:space="0" w:color="auto"/>
        <w:right w:val="none" w:sz="0" w:space="0" w:color="auto"/>
      </w:divBdr>
    </w:div>
    <w:div w:id="998002092">
      <w:bodyDiv w:val="1"/>
      <w:marLeft w:val="0"/>
      <w:marRight w:val="0"/>
      <w:marTop w:val="0"/>
      <w:marBottom w:val="0"/>
      <w:divBdr>
        <w:top w:val="none" w:sz="0" w:space="0" w:color="auto"/>
        <w:left w:val="none" w:sz="0" w:space="0" w:color="auto"/>
        <w:bottom w:val="none" w:sz="0" w:space="0" w:color="auto"/>
        <w:right w:val="none" w:sz="0" w:space="0" w:color="auto"/>
      </w:divBdr>
      <w:divsChild>
        <w:div w:id="1565530726">
          <w:marLeft w:val="0"/>
          <w:marRight w:val="0"/>
          <w:marTop w:val="0"/>
          <w:marBottom w:val="0"/>
          <w:divBdr>
            <w:top w:val="none" w:sz="0" w:space="0" w:color="auto"/>
            <w:left w:val="none" w:sz="0" w:space="0" w:color="auto"/>
            <w:bottom w:val="none" w:sz="0" w:space="0" w:color="auto"/>
            <w:right w:val="none" w:sz="0" w:space="0" w:color="auto"/>
          </w:divBdr>
          <w:divsChild>
            <w:div w:id="1099524536">
              <w:marLeft w:val="0"/>
              <w:marRight w:val="0"/>
              <w:marTop w:val="0"/>
              <w:marBottom w:val="0"/>
              <w:divBdr>
                <w:top w:val="none" w:sz="0" w:space="0" w:color="auto"/>
                <w:left w:val="none" w:sz="0" w:space="0" w:color="auto"/>
                <w:bottom w:val="none" w:sz="0" w:space="0" w:color="auto"/>
                <w:right w:val="none" w:sz="0" w:space="0" w:color="auto"/>
              </w:divBdr>
              <w:divsChild>
                <w:div w:id="2046363233">
                  <w:marLeft w:val="0"/>
                  <w:marRight w:val="0"/>
                  <w:marTop w:val="0"/>
                  <w:marBottom w:val="0"/>
                  <w:divBdr>
                    <w:top w:val="none" w:sz="0" w:space="0" w:color="auto"/>
                    <w:left w:val="none" w:sz="0" w:space="0" w:color="auto"/>
                    <w:bottom w:val="none" w:sz="0" w:space="0" w:color="auto"/>
                    <w:right w:val="none" w:sz="0" w:space="0" w:color="auto"/>
                  </w:divBdr>
                  <w:divsChild>
                    <w:div w:id="1391077705">
                      <w:marLeft w:val="0"/>
                      <w:marRight w:val="0"/>
                      <w:marTop w:val="0"/>
                      <w:marBottom w:val="0"/>
                      <w:divBdr>
                        <w:top w:val="none" w:sz="0" w:space="0" w:color="auto"/>
                        <w:left w:val="none" w:sz="0" w:space="0" w:color="auto"/>
                        <w:bottom w:val="none" w:sz="0" w:space="0" w:color="auto"/>
                        <w:right w:val="none" w:sz="0" w:space="0" w:color="auto"/>
                      </w:divBdr>
                      <w:divsChild>
                        <w:div w:id="955285408">
                          <w:marLeft w:val="0"/>
                          <w:marRight w:val="0"/>
                          <w:marTop w:val="0"/>
                          <w:marBottom w:val="0"/>
                          <w:divBdr>
                            <w:top w:val="none" w:sz="0" w:space="0" w:color="auto"/>
                            <w:left w:val="none" w:sz="0" w:space="0" w:color="auto"/>
                            <w:bottom w:val="none" w:sz="0" w:space="0" w:color="auto"/>
                            <w:right w:val="none" w:sz="0" w:space="0" w:color="auto"/>
                          </w:divBdr>
                          <w:divsChild>
                            <w:div w:id="108286473">
                              <w:marLeft w:val="0"/>
                              <w:marRight w:val="0"/>
                              <w:marTop w:val="0"/>
                              <w:marBottom w:val="0"/>
                              <w:divBdr>
                                <w:top w:val="none" w:sz="0" w:space="0" w:color="auto"/>
                                <w:left w:val="none" w:sz="0" w:space="0" w:color="auto"/>
                                <w:bottom w:val="none" w:sz="0" w:space="0" w:color="auto"/>
                                <w:right w:val="none" w:sz="0" w:space="0" w:color="auto"/>
                              </w:divBdr>
                              <w:divsChild>
                                <w:div w:id="632948676">
                                  <w:marLeft w:val="0"/>
                                  <w:marRight w:val="0"/>
                                  <w:marTop w:val="0"/>
                                  <w:marBottom w:val="0"/>
                                  <w:divBdr>
                                    <w:top w:val="none" w:sz="0" w:space="0" w:color="auto"/>
                                    <w:left w:val="none" w:sz="0" w:space="0" w:color="auto"/>
                                    <w:bottom w:val="none" w:sz="0" w:space="0" w:color="auto"/>
                                    <w:right w:val="none" w:sz="0" w:space="0" w:color="auto"/>
                                  </w:divBdr>
                                  <w:divsChild>
                                    <w:div w:id="93987103">
                                      <w:marLeft w:val="0"/>
                                      <w:marRight w:val="0"/>
                                      <w:marTop w:val="0"/>
                                      <w:marBottom w:val="0"/>
                                      <w:divBdr>
                                        <w:top w:val="none" w:sz="0" w:space="0" w:color="auto"/>
                                        <w:left w:val="none" w:sz="0" w:space="0" w:color="auto"/>
                                        <w:bottom w:val="none" w:sz="0" w:space="0" w:color="auto"/>
                                        <w:right w:val="none" w:sz="0" w:space="0" w:color="auto"/>
                                      </w:divBdr>
                                      <w:divsChild>
                                        <w:div w:id="1238981829">
                                          <w:marLeft w:val="0"/>
                                          <w:marRight w:val="0"/>
                                          <w:marTop w:val="0"/>
                                          <w:marBottom w:val="0"/>
                                          <w:divBdr>
                                            <w:top w:val="none" w:sz="0" w:space="0" w:color="auto"/>
                                            <w:left w:val="none" w:sz="0" w:space="0" w:color="auto"/>
                                            <w:bottom w:val="none" w:sz="0" w:space="0" w:color="auto"/>
                                            <w:right w:val="none" w:sz="0" w:space="0" w:color="auto"/>
                                          </w:divBdr>
                                          <w:divsChild>
                                            <w:div w:id="79496751">
                                              <w:marLeft w:val="0"/>
                                              <w:marRight w:val="0"/>
                                              <w:marTop w:val="0"/>
                                              <w:marBottom w:val="0"/>
                                              <w:divBdr>
                                                <w:top w:val="none" w:sz="0" w:space="0" w:color="auto"/>
                                                <w:left w:val="none" w:sz="0" w:space="0" w:color="auto"/>
                                                <w:bottom w:val="none" w:sz="0" w:space="0" w:color="auto"/>
                                                <w:right w:val="none" w:sz="0" w:space="0" w:color="auto"/>
                                              </w:divBdr>
                                              <w:divsChild>
                                                <w:div w:id="1292201351">
                                                  <w:marLeft w:val="0"/>
                                                  <w:marRight w:val="0"/>
                                                  <w:marTop w:val="0"/>
                                                  <w:marBottom w:val="0"/>
                                                  <w:divBdr>
                                                    <w:top w:val="none" w:sz="0" w:space="0" w:color="auto"/>
                                                    <w:left w:val="none" w:sz="0" w:space="0" w:color="auto"/>
                                                    <w:bottom w:val="none" w:sz="0" w:space="0" w:color="auto"/>
                                                    <w:right w:val="none" w:sz="0" w:space="0" w:color="auto"/>
                                                  </w:divBdr>
                                                  <w:divsChild>
                                                    <w:div w:id="1862623454">
                                                      <w:marLeft w:val="0"/>
                                                      <w:marRight w:val="0"/>
                                                      <w:marTop w:val="0"/>
                                                      <w:marBottom w:val="0"/>
                                                      <w:divBdr>
                                                        <w:top w:val="single" w:sz="12" w:space="0" w:color="ABABAB"/>
                                                        <w:left w:val="single" w:sz="6" w:space="0" w:color="ABABAB"/>
                                                        <w:bottom w:val="none" w:sz="0" w:space="0" w:color="auto"/>
                                                        <w:right w:val="single" w:sz="6" w:space="0" w:color="ABABAB"/>
                                                      </w:divBdr>
                                                      <w:divsChild>
                                                        <w:div w:id="1481849366">
                                                          <w:marLeft w:val="0"/>
                                                          <w:marRight w:val="0"/>
                                                          <w:marTop w:val="0"/>
                                                          <w:marBottom w:val="0"/>
                                                          <w:divBdr>
                                                            <w:top w:val="none" w:sz="0" w:space="0" w:color="auto"/>
                                                            <w:left w:val="none" w:sz="0" w:space="0" w:color="auto"/>
                                                            <w:bottom w:val="none" w:sz="0" w:space="0" w:color="auto"/>
                                                            <w:right w:val="none" w:sz="0" w:space="0" w:color="auto"/>
                                                          </w:divBdr>
                                                          <w:divsChild>
                                                            <w:div w:id="1212308786">
                                                              <w:marLeft w:val="0"/>
                                                              <w:marRight w:val="0"/>
                                                              <w:marTop w:val="0"/>
                                                              <w:marBottom w:val="0"/>
                                                              <w:divBdr>
                                                                <w:top w:val="none" w:sz="0" w:space="0" w:color="auto"/>
                                                                <w:left w:val="none" w:sz="0" w:space="0" w:color="auto"/>
                                                                <w:bottom w:val="none" w:sz="0" w:space="0" w:color="auto"/>
                                                                <w:right w:val="none" w:sz="0" w:space="0" w:color="auto"/>
                                                              </w:divBdr>
                                                              <w:divsChild>
                                                                <w:div w:id="1000697435">
                                                                  <w:marLeft w:val="0"/>
                                                                  <w:marRight w:val="0"/>
                                                                  <w:marTop w:val="0"/>
                                                                  <w:marBottom w:val="0"/>
                                                                  <w:divBdr>
                                                                    <w:top w:val="none" w:sz="0" w:space="0" w:color="auto"/>
                                                                    <w:left w:val="none" w:sz="0" w:space="0" w:color="auto"/>
                                                                    <w:bottom w:val="none" w:sz="0" w:space="0" w:color="auto"/>
                                                                    <w:right w:val="none" w:sz="0" w:space="0" w:color="auto"/>
                                                                  </w:divBdr>
                                                                  <w:divsChild>
                                                                    <w:div w:id="1095714165">
                                                                      <w:marLeft w:val="0"/>
                                                                      <w:marRight w:val="0"/>
                                                                      <w:marTop w:val="0"/>
                                                                      <w:marBottom w:val="0"/>
                                                                      <w:divBdr>
                                                                        <w:top w:val="none" w:sz="0" w:space="0" w:color="auto"/>
                                                                        <w:left w:val="none" w:sz="0" w:space="0" w:color="auto"/>
                                                                        <w:bottom w:val="none" w:sz="0" w:space="0" w:color="auto"/>
                                                                        <w:right w:val="none" w:sz="0" w:space="0" w:color="auto"/>
                                                                      </w:divBdr>
                                                                      <w:divsChild>
                                                                        <w:div w:id="323893831">
                                                                          <w:marLeft w:val="0"/>
                                                                          <w:marRight w:val="0"/>
                                                                          <w:marTop w:val="0"/>
                                                                          <w:marBottom w:val="0"/>
                                                                          <w:divBdr>
                                                                            <w:top w:val="none" w:sz="0" w:space="0" w:color="auto"/>
                                                                            <w:left w:val="none" w:sz="0" w:space="0" w:color="auto"/>
                                                                            <w:bottom w:val="none" w:sz="0" w:space="0" w:color="auto"/>
                                                                            <w:right w:val="none" w:sz="0" w:space="0" w:color="auto"/>
                                                                          </w:divBdr>
                                                                          <w:divsChild>
                                                                            <w:div w:id="396055582">
                                                                              <w:marLeft w:val="0"/>
                                                                              <w:marRight w:val="0"/>
                                                                              <w:marTop w:val="0"/>
                                                                              <w:marBottom w:val="0"/>
                                                                              <w:divBdr>
                                                                                <w:top w:val="none" w:sz="0" w:space="0" w:color="auto"/>
                                                                                <w:left w:val="none" w:sz="0" w:space="0" w:color="auto"/>
                                                                                <w:bottom w:val="none" w:sz="0" w:space="0" w:color="auto"/>
                                                                                <w:right w:val="none" w:sz="0" w:space="0" w:color="auto"/>
                                                                              </w:divBdr>
                                                                              <w:divsChild>
                                                                                <w:div w:id="1743865639">
                                                                                  <w:marLeft w:val="0"/>
                                                                                  <w:marRight w:val="0"/>
                                                                                  <w:marTop w:val="0"/>
                                                                                  <w:marBottom w:val="0"/>
                                                                                  <w:divBdr>
                                                                                    <w:top w:val="none" w:sz="0" w:space="0" w:color="auto"/>
                                                                                    <w:left w:val="none" w:sz="0" w:space="0" w:color="auto"/>
                                                                                    <w:bottom w:val="none" w:sz="0" w:space="0" w:color="auto"/>
                                                                                    <w:right w:val="none" w:sz="0" w:space="0" w:color="auto"/>
                                                                                  </w:divBdr>
                                                                                  <w:divsChild>
                                                                                    <w:div w:id="237718582">
                                                                                      <w:marLeft w:val="0"/>
                                                                                      <w:marRight w:val="0"/>
                                                                                      <w:marTop w:val="0"/>
                                                                                      <w:marBottom w:val="0"/>
                                                                                      <w:divBdr>
                                                                                        <w:top w:val="none" w:sz="0" w:space="0" w:color="auto"/>
                                                                                        <w:left w:val="none" w:sz="0" w:space="0" w:color="auto"/>
                                                                                        <w:bottom w:val="none" w:sz="0" w:space="0" w:color="auto"/>
                                                                                        <w:right w:val="none" w:sz="0" w:space="0" w:color="auto"/>
                                                                                      </w:divBdr>
                                                                                    </w:div>
                                                                                    <w:div w:id="778180929">
                                                                                      <w:marLeft w:val="0"/>
                                                                                      <w:marRight w:val="0"/>
                                                                                      <w:marTop w:val="0"/>
                                                                                      <w:marBottom w:val="0"/>
                                                                                      <w:divBdr>
                                                                                        <w:top w:val="none" w:sz="0" w:space="0" w:color="auto"/>
                                                                                        <w:left w:val="none" w:sz="0" w:space="0" w:color="auto"/>
                                                                                        <w:bottom w:val="none" w:sz="0" w:space="0" w:color="auto"/>
                                                                                        <w:right w:val="none" w:sz="0" w:space="0" w:color="auto"/>
                                                                                      </w:divBdr>
                                                                                    </w:div>
                                                                                    <w:div w:id="1090277632">
                                                                                      <w:marLeft w:val="0"/>
                                                                                      <w:marRight w:val="0"/>
                                                                                      <w:marTop w:val="0"/>
                                                                                      <w:marBottom w:val="0"/>
                                                                                      <w:divBdr>
                                                                                        <w:top w:val="none" w:sz="0" w:space="0" w:color="auto"/>
                                                                                        <w:left w:val="none" w:sz="0" w:space="0" w:color="auto"/>
                                                                                        <w:bottom w:val="none" w:sz="0" w:space="0" w:color="auto"/>
                                                                                        <w:right w:val="none" w:sz="0" w:space="0" w:color="auto"/>
                                                                                      </w:divBdr>
                                                                                    </w:div>
                                                                                    <w:div w:id="1179462792">
                                                                                      <w:marLeft w:val="0"/>
                                                                                      <w:marRight w:val="0"/>
                                                                                      <w:marTop w:val="0"/>
                                                                                      <w:marBottom w:val="0"/>
                                                                                      <w:divBdr>
                                                                                        <w:top w:val="none" w:sz="0" w:space="0" w:color="auto"/>
                                                                                        <w:left w:val="none" w:sz="0" w:space="0" w:color="auto"/>
                                                                                        <w:bottom w:val="none" w:sz="0" w:space="0" w:color="auto"/>
                                                                                        <w:right w:val="none" w:sz="0" w:space="0" w:color="auto"/>
                                                                                      </w:divBdr>
                                                                                    </w:div>
                                                                                    <w:div w:id="1325283203">
                                                                                      <w:marLeft w:val="0"/>
                                                                                      <w:marRight w:val="0"/>
                                                                                      <w:marTop w:val="0"/>
                                                                                      <w:marBottom w:val="0"/>
                                                                                      <w:divBdr>
                                                                                        <w:top w:val="none" w:sz="0" w:space="0" w:color="auto"/>
                                                                                        <w:left w:val="none" w:sz="0" w:space="0" w:color="auto"/>
                                                                                        <w:bottom w:val="none" w:sz="0" w:space="0" w:color="auto"/>
                                                                                        <w:right w:val="none" w:sz="0" w:space="0" w:color="auto"/>
                                                                                      </w:divBdr>
                                                                                    </w:div>
                                                                                  </w:divsChild>
                                                                                </w:div>
                                                                                <w:div w:id="1754089223">
                                                                                  <w:marLeft w:val="0"/>
                                                                                  <w:marRight w:val="0"/>
                                                                                  <w:marTop w:val="0"/>
                                                                                  <w:marBottom w:val="0"/>
                                                                                  <w:divBdr>
                                                                                    <w:top w:val="none" w:sz="0" w:space="0" w:color="auto"/>
                                                                                    <w:left w:val="none" w:sz="0" w:space="0" w:color="auto"/>
                                                                                    <w:bottom w:val="none" w:sz="0" w:space="0" w:color="auto"/>
                                                                                    <w:right w:val="none" w:sz="0" w:space="0" w:color="auto"/>
                                                                                  </w:divBdr>
                                                                                  <w:divsChild>
                                                                                    <w:div w:id="67657330">
                                                                                      <w:marLeft w:val="0"/>
                                                                                      <w:marRight w:val="0"/>
                                                                                      <w:marTop w:val="0"/>
                                                                                      <w:marBottom w:val="0"/>
                                                                                      <w:divBdr>
                                                                                        <w:top w:val="none" w:sz="0" w:space="0" w:color="auto"/>
                                                                                        <w:left w:val="none" w:sz="0" w:space="0" w:color="auto"/>
                                                                                        <w:bottom w:val="none" w:sz="0" w:space="0" w:color="auto"/>
                                                                                        <w:right w:val="none" w:sz="0" w:space="0" w:color="auto"/>
                                                                                      </w:divBdr>
                                                                                    </w:div>
                                                                                    <w:div w:id="114369729">
                                                                                      <w:marLeft w:val="0"/>
                                                                                      <w:marRight w:val="0"/>
                                                                                      <w:marTop w:val="0"/>
                                                                                      <w:marBottom w:val="0"/>
                                                                                      <w:divBdr>
                                                                                        <w:top w:val="none" w:sz="0" w:space="0" w:color="auto"/>
                                                                                        <w:left w:val="none" w:sz="0" w:space="0" w:color="auto"/>
                                                                                        <w:bottom w:val="none" w:sz="0" w:space="0" w:color="auto"/>
                                                                                        <w:right w:val="none" w:sz="0" w:space="0" w:color="auto"/>
                                                                                      </w:divBdr>
                                                                                    </w:div>
                                                                                    <w:div w:id="1919050685">
                                                                                      <w:marLeft w:val="0"/>
                                                                                      <w:marRight w:val="0"/>
                                                                                      <w:marTop w:val="0"/>
                                                                                      <w:marBottom w:val="0"/>
                                                                                      <w:divBdr>
                                                                                        <w:top w:val="none" w:sz="0" w:space="0" w:color="auto"/>
                                                                                        <w:left w:val="none" w:sz="0" w:space="0" w:color="auto"/>
                                                                                        <w:bottom w:val="none" w:sz="0" w:space="0" w:color="auto"/>
                                                                                        <w:right w:val="none" w:sz="0" w:space="0" w:color="auto"/>
                                                                                      </w:divBdr>
                                                                                    </w:div>
                                                                                  </w:divsChild>
                                                                                </w:div>
                                                                                <w:div w:id="2124765281">
                                                                                  <w:marLeft w:val="0"/>
                                                                                  <w:marRight w:val="0"/>
                                                                                  <w:marTop w:val="0"/>
                                                                                  <w:marBottom w:val="0"/>
                                                                                  <w:divBdr>
                                                                                    <w:top w:val="none" w:sz="0" w:space="0" w:color="auto"/>
                                                                                    <w:left w:val="none" w:sz="0" w:space="0" w:color="auto"/>
                                                                                    <w:bottom w:val="none" w:sz="0" w:space="0" w:color="auto"/>
                                                                                    <w:right w:val="none" w:sz="0" w:space="0" w:color="auto"/>
                                                                                  </w:divBdr>
                                                                                  <w:divsChild>
                                                                                    <w:div w:id="3460554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60440973">
      <w:bodyDiv w:val="1"/>
      <w:marLeft w:val="0"/>
      <w:marRight w:val="0"/>
      <w:marTop w:val="0"/>
      <w:marBottom w:val="0"/>
      <w:divBdr>
        <w:top w:val="none" w:sz="0" w:space="0" w:color="auto"/>
        <w:left w:val="none" w:sz="0" w:space="0" w:color="auto"/>
        <w:bottom w:val="none" w:sz="0" w:space="0" w:color="auto"/>
        <w:right w:val="none" w:sz="0" w:space="0" w:color="auto"/>
      </w:divBdr>
    </w:div>
    <w:div w:id="1104959729">
      <w:bodyDiv w:val="1"/>
      <w:marLeft w:val="0"/>
      <w:marRight w:val="0"/>
      <w:marTop w:val="0"/>
      <w:marBottom w:val="0"/>
      <w:divBdr>
        <w:top w:val="none" w:sz="0" w:space="0" w:color="auto"/>
        <w:left w:val="none" w:sz="0" w:space="0" w:color="auto"/>
        <w:bottom w:val="none" w:sz="0" w:space="0" w:color="auto"/>
        <w:right w:val="none" w:sz="0" w:space="0" w:color="auto"/>
      </w:divBdr>
    </w:div>
    <w:div w:id="1158378403">
      <w:bodyDiv w:val="1"/>
      <w:marLeft w:val="0"/>
      <w:marRight w:val="0"/>
      <w:marTop w:val="0"/>
      <w:marBottom w:val="0"/>
      <w:divBdr>
        <w:top w:val="none" w:sz="0" w:space="0" w:color="auto"/>
        <w:left w:val="none" w:sz="0" w:space="0" w:color="auto"/>
        <w:bottom w:val="none" w:sz="0" w:space="0" w:color="auto"/>
        <w:right w:val="none" w:sz="0" w:space="0" w:color="auto"/>
      </w:divBdr>
    </w:div>
    <w:div w:id="1185746194">
      <w:bodyDiv w:val="1"/>
      <w:marLeft w:val="0"/>
      <w:marRight w:val="0"/>
      <w:marTop w:val="0"/>
      <w:marBottom w:val="0"/>
      <w:divBdr>
        <w:top w:val="none" w:sz="0" w:space="0" w:color="auto"/>
        <w:left w:val="none" w:sz="0" w:space="0" w:color="auto"/>
        <w:bottom w:val="none" w:sz="0" w:space="0" w:color="auto"/>
        <w:right w:val="none" w:sz="0" w:space="0" w:color="auto"/>
      </w:divBdr>
    </w:div>
    <w:div w:id="1336420187">
      <w:bodyDiv w:val="1"/>
      <w:marLeft w:val="0"/>
      <w:marRight w:val="0"/>
      <w:marTop w:val="0"/>
      <w:marBottom w:val="0"/>
      <w:divBdr>
        <w:top w:val="none" w:sz="0" w:space="0" w:color="auto"/>
        <w:left w:val="none" w:sz="0" w:space="0" w:color="auto"/>
        <w:bottom w:val="none" w:sz="0" w:space="0" w:color="auto"/>
        <w:right w:val="none" w:sz="0" w:space="0" w:color="auto"/>
      </w:divBdr>
    </w:div>
    <w:div w:id="1461220577">
      <w:bodyDiv w:val="1"/>
      <w:marLeft w:val="0"/>
      <w:marRight w:val="0"/>
      <w:marTop w:val="0"/>
      <w:marBottom w:val="0"/>
      <w:divBdr>
        <w:top w:val="none" w:sz="0" w:space="0" w:color="auto"/>
        <w:left w:val="none" w:sz="0" w:space="0" w:color="auto"/>
        <w:bottom w:val="none" w:sz="0" w:space="0" w:color="auto"/>
        <w:right w:val="none" w:sz="0" w:space="0" w:color="auto"/>
      </w:divBdr>
      <w:divsChild>
        <w:div w:id="1770663901">
          <w:marLeft w:val="0"/>
          <w:marRight w:val="0"/>
          <w:marTop w:val="0"/>
          <w:marBottom w:val="0"/>
          <w:divBdr>
            <w:top w:val="none" w:sz="0" w:space="0" w:color="auto"/>
            <w:left w:val="none" w:sz="0" w:space="0" w:color="auto"/>
            <w:bottom w:val="none" w:sz="0" w:space="0" w:color="auto"/>
            <w:right w:val="none" w:sz="0" w:space="0" w:color="auto"/>
          </w:divBdr>
          <w:divsChild>
            <w:div w:id="589123966">
              <w:marLeft w:val="0"/>
              <w:marRight w:val="0"/>
              <w:marTop w:val="0"/>
              <w:marBottom w:val="0"/>
              <w:divBdr>
                <w:top w:val="none" w:sz="0" w:space="0" w:color="auto"/>
                <w:left w:val="none" w:sz="0" w:space="0" w:color="auto"/>
                <w:bottom w:val="none" w:sz="0" w:space="0" w:color="auto"/>
                <w:right w:val="none" w:sz="0" w:space="0" w:color="auto"/>
              </w:divBdr>
              <w:divsChild>
                <w:div w:id="948244725">
                  <w:marLeft w:val="0"/>
                  <w:marRight w:val="0"/>
                  <w:marTop w:val="0"/>
                  <w:marBottom w:val="0"/>
                  <w:divBdr>
                    <w:top w:val="none" w:sz="0" w:space="0" w:color="auto"/>
                    <w:left w:val="none" w:sz="0" w:space="0" w:color="auto"/>
                    <w:bottom w:val="none" w:sz="0" w:space="0" w:color="auto"/>
                    <w:right w:val="none" w:sz="0" w:space="0" w:color="auto"/>
                  </w:divBdr>
                  <w:divsChild>
                    <w:div w:id="1342197884">
                      <w:marLeft w:val="0"/>
                      <w:marRight w:val="0"/>
                      <w:marTop w:val="0"/>
                      <w:marBottom w:val="0"/>
                      <w:divBdr>
                        <w:top w:val="none" w:sz="0" w:space="0" w:color="auto"/>
                        <w:left w:val="none" w:sz="0" w:space="0" w:color="auto"/>
                        <w:bottom w:val="none" w:sz="0" w:space="0" w:color="auto"/>
                        <w:right w:val="none" w:sz="0" w:space="0" w:color="auto"/>
                      </w:divBdr>
                      <w:divsChild>
                        <w:div w:id="915092689">
                          <w:marLeft w:val="0"/>
                          <w:marRight w:val="0"/>
                          <w:marTop w:val="0"/>
                          <w:marBottom w:val="0"/>
                          <w:divBdr>
                            <w:top w:val="none" w:sz="0" w:space="0" w:color="auto"/>
                            <w:left w:val="none" w:sz="0" w:space="0" w:color="auto"/>
                            <w:bottom w:val="none" w:sz="0" w:space="0" w:color="auto"/>
                            <w:right w:val="none" w:sz="0" w:space="0" w:color="auto"/>
                          </w:divBdr>
                          <w:divsChild>
                            <w:div w:id="315884519">
                              <w:marLeft w:val="0"/>
                              <w:marRight w:val="0"/>
                              <w:marTop w:val="0"/>
                              <w:marBottom w:val="0"/>
                              <w:divBdr>
                                <w:top w:val="none" w:sz="0" w:space="0" w:color="auto"/>
                                <w:left w:val="none" w:sz="0" w:space="0" w:color="auto"/>
                                <w:bottom w:val="none" w:sz="0" w:space="0" w:color="auto"/>
                                <w:right w:val="none" w:sz="0" w:space="0" w:color="auto"/>
                              </w:divBdr>
                              <w:divsChild>
                                <w:div w:id="1127116491">
                                  <w:marLeft w:val="0"/>
                                  <w:marRight w:val="0"/>
                                  <w:marTop w:val="0"/>
                                  <w:marBottom w:val="0"/>
                                  <w:divBdr>
                                    <w:top w:val="none" w:sz="0" w:space="0" w:color="auto"/>
                                    <w:left w:val="none" w:sz="0" w:space="0" w:color="auto"/>
                                    <w:bottom w:val="none" w:sz="0" w:space="0" w:color="auto"/>
                                    <w:right w:val="none" w:sz="0" w:space="0" w:color="auto"/>
                                  </w:divBdr>
                                  <w:divsChild>
                                    <w:div w:id="180553924">
                                      <w:marLeft w:val="0"/>
                                      <w:marRight w:val="0"/>
                                      <w:marTop w:val="0"/>
                                      <w:marBottom w:val="0"/>
                                      <w:divBdr>
                                        <w:top w:val="none" w:sz="0" w:space="0" w:color="auto"/>
                                        <w:left w:val="none" w:sz="0" w:space="0" w:color="auto"/>
                                        <w:bottom w:val="none" w:sz="0" w:space="0" w:color="auto"/>
                                        <w:right w:val="none" w:sz="0" w:space="0" w:color="auto"/>
                                      </w:divBdr>
                                      <w:divsChild>
                                        <w:div w:id="309671887">
                                          <w:marLeft w:val="0"/>
                                          <w:marRight w:val="0"/>
                                          <w:marTop w:val="0"/>
                                          <w:marBottom w:val="0"/>
                                          <w:divBdr>
                                            <w:top w:val="none" w:sz="0" w:space="0" w:color="auto"/>
                                            <w:left w:val="none" w:sz="0" w:space="0" w:color="auto"/>
                                            <w:bottom w:val="none" w:sz="0" w:space="0" w:color="auto"/>
                                            <w:right w:val="none" w:sz="0" w:space="0" w:color="auto"/>
                                          </w:divBdr>
                                          <w:divsChild>
                                            <w:div w:id="1175413901">
                                              <w:marLeft w:val="0"/>
                                              <w:marRight w:val="0"/>
                                              <w:marTop w:val="0"/>
                                              <w:marBottom w:val="0"/>
                                              <w:divBdr>
                                                <w:top w:val="none" w:sz="0" w:space="0" w:color="auto"/>
                                                <w:left w:val="none" w:sz="0" w:space="0" w:color="auto"/>
                                                <w:bottom w:val="none" w:sz="0" w:space="0" w:color="auto"/>
                                                <w:right w:val="none" w:sz="0" w:space="0" w:color="auto"/>
                                              </w:divBdr>
                                              <w:divsChild>
                                                <w:div w:id="343098054">
                                                  <w:marLeft w:val="0"/>
                                                  <w:marRight w:val="0"/>
                                                  <w:marTop w:val="0"/>
                                                  <w:marBottom w:val="0"/>
                                                  <w:divBdr>
                                                    <w:top w:val="none" w:sz="0" w:space="0" w:color="auto"/>
                                                    <w:left w:val="none" w:sz="0" w:space="0" w:color="auto"/>
                                                    <w:bottom w:val="none" w:sz="0" w:space="0" w:color="auto"/>
                                                    <w:right w:val="none" w:sz="0" w:space="0" w:color="auto"/>
                                                  </w:divBdr>
                                                  <w:divsChild>
                                                    <w:div w:id="227612954">
                                                      <w:marLeft w:val="0"/>
                                                      <w:marRight w:val="0"/>
                                                      <w:marTop w:val="0"/>
                                                      <w:marBottom w:val="0"/>
                                                      <w:divBdr>
                                                        <w:top w:val="single" w:sz="12" w:space="0" w:color="ABABAB"/>
                                                        <w:left w:val="single" w:sz="6" w:space="0" w:color="ABABAB"/>
                                                        <w:bottom w:val="none" w:sz="0" w:space="0" w:color="auto"/>
                                                        <w:right w:val="single" w:sz="6" w:space="0" w:color="ABABAB"/>
                                                      </w:divBdr>
                                                      <w:divsChild>
                                                        <w:div w:id="821041651">
                                                          <w:marLeft w:val="0"/>
                                                          <w:marRight w:val="0"/>
                                                          <w:marTop w:val="0"/>
                                                          <w:marBottom w:val="0"/>
                                                          <w:divBdr>
                                                            <w:top w:val="none" w:sz="0" w:space="0" w:color="auto"/>
                                                            <w:left w:val="none" w:sz="0" w:space="0" w:color="auto"/>
                                                            <w:bottom w:val="none" w:sz="0" w:space="0" w:color="auto"/>
                                                            <w:right w:val="none" w:sz="0" w:space="0" w:color="auto"/>
                                                          </w:divBdr>
                                                          <w:divsChild>
                                                            <w:div w:id="1511215668">
                                                              <w:marLeft w:val="0"/>
                                                              <w:marRight w:val="0"/>
                                                              <w:marTop w:val="0"/>
                                                              <w:marBottom w:val="0"/>
                                                              <w:divBdr>
                                                                <w:top w:val="none" w:sz="0" w:space="0" w:color="auto"/>
                                                                <w:left w:val="none" w:sz="0" w:space="0" w:color="auto"/>
                                                                <w:bottom w:val="none" w:sz="0" w:space="0" w:color="auto"/>
                                                                <w:right w:val="none" w:sz="0" w:space="0" w:color="auto"/>
                                                              </w:divBdr>
                                                              <w:divsChild>
                                                                <w:div w:id="942496446">
                                                                  <w:marLeft w:val="0"/>
                                                                  <w:marRight w:val="0"/>
                                                                  <w:marTop w:val="0"/>
                                                                  <w:marBottom w:val="0"/>
                                                                  <w:divBdr>
                                                                    <w:top w:val="none" w:sz="0" w:space="0" w:color="auto"/>
                                                                    <w:left w:val="none" w:sz="0" w:space="0" w:color="auto"/>
                                                                    <w:bottom w:val="none" w:sz="0" w:space="0" w:color="auto"/>
                                                                    <w:right w:val="none" w:sz="0" w:space="0" w:color="auto"/>
                                                                  </w:divBdr>
                                                                  <w:divsChild>
                                                                    <w:div w:id="835994764">
                                                                      <w:marLeft w:val="0"/>
                                                                      <w:marRight w:val="0"/>
                                                                      <w:marTop w:val="0"/>
                                                                      <w:marBottom w:val="0"/>
                                                                      <w:divBdr>
                                                                        <w:top w:val="none" w:sz="0" w:space="0" w:color="auto"/>
                                                                        <w:left w:val="none" w:sz="0" w:space="0" w:color="auto"/>
                                                                        <w:bottom w:val="none" w:sz="0" w:space="0" w:color="auto"/>
                                                                        <w:right w:val="none" w:sz="0" w:space="0" w:color="auto"/>
                                                                      </w:divBdr>
                                                                      <w:divsChild>
                                                                        <w:div w:id="68355230">
                                                                          <w:marLeft w:val="0"/>
                                                                          <w:marRight w:val="0"/>
                                                                          <w:marTop w:val="0"/>
                                                                          <w:marBottom w:val="0"/>
                                                                          <w:divBdr>
                                                                            <w:top w:val="none" w:sz="0" w:space="0" w:color="auto"/>
                                                                            <w:left w:val="none" w:sz="0" w:space="0" w:color="auto"/>
                                                                            <w:bottom w:val="none" w:sz="0" w:space="0" w:color="auto"/>
                                                                            <w:right w:val="none" w:sz="0" w:space="0" w:color="auto"/>
                                                                          </w:divBdr>
                                                                          <w:divsChild>
                                                                            <w:div w:id="1562444960">
                                                                              <w:marLeft w:val="0"/>
                                                                              <w:marRight w:val="0"/>
                                                                              <w:marTop w:val="0"/>
                                                                              <w:marBottom w:val="0"/>
                                                                              <w:divBdr>
                                                                                <w:top w:val="none" w:sz="0" w:space="0" w:color="auto"/>
                                                                                <w:left w:val="none" w:sz="0" w:space="0" w:color="auto"/>
                                                                                <w:bottom w:val="none" w:sz="0" w:space="0" w:color="auto"/>
                                                                                <w:right w:val="none" w:sz="0" w:space="0" w:color="auto"/>
                                                                              </w:divBdr>
                                                                              <w:divsChild>
                                                                                <w:div w:id="2032604928">
                                                                                  <w:marLeft w:val="0"/>
                                                                                  <w:marRight w:val="0"/>
                                                                                  <w:marTop w:val="0"/>
                                                                                  <w:marBottom w:val="0"/>
                                                                                  <w:divBdr>
                                                                                    <w:top w:val="none" w:sz="0" w:space="0" w:color="auto"/>
                                                                                    <w:left w:val="none" w:sz="0" w:space="0" w:color="auto"/>
                                                                                    <w:bottom w:val="none" w:sz="0" w:space="0" w:color="auto"/>
                                                                                    <w:right w:val="none" w:sz="0" w:space="0" w:color="auto"/>
                                                                                  </w:divBdr>
                                                                                  <w:divsChild>
                                                                                    <w:div w:id="212935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80919943">
      <w:bodyDiv w:val="1"/>
      <w:marLeft w:val="0"/>
      <w:marRight w:val="0"/>
      <w:marTop w:val="0"/>
      <w:marBottom w:val="0"/>
      <w:divBdr>
        <w:top w:val="none" w:sz="0" w:space="0" w:color="auto"/>
        <w:left w:val="none" w:sz="0" w:space="0" w:color="auto"/>
        <w:bottom w:val="none" w:sz="0" w:space="0" w:color="auto"/>
        <w:right w:val="none" w:sz="0" w:space="0" w:color="auto"/>
      </w:divBdr>
    </w:div>
    <w:div w:id="1567060907">
      <w:bodyDiv w:val="1"/>
      <w:marLeft w:val="0"/>
      <w:marRight w:val="0"/>
      <w:marTop w:val="0"/>
      <w:marBottom w:val="0"/>
      <w:divBdr>
        <w:top w:val="none" w:sz="0" w:space="0" w:color="auto"/>
        <w:left w:val="none" w:sz="0" w:space="0" w:color="auto"/>
        <w:bottom w:val="none" w:sz="0" w:space="0" w:color="auto"/>
        <w:right w:val="none" w:sz="0" w:space="0" w:color="auto"/>
      </w:divBdr>
    </w:div>
    <w:div w:id="1713191131">
      <w:bodyDiv w:val="1"/>
      <w:marLeft w:val="0"/>
      <w:marRight w:val="0"/>
      <w:marTop w:val="0"/>
      <w:marBottom w:val="0"/>
      <w:divBdr>
        <w:top w:val="none" w:sz="0" w:space="0" w:color="auto"/>
        <w:left w:val="none" w:sz="0" w:space="0" w:color="auto"/>
        <w:bottom w:val="none" w:sz="0" w:space="0" w:color="auto"/>
        <w:right w:val="none" w:sz="0" w:space="0" w:color="auto"/>
      </w:divBdr>
      <w:divsChild>
        <w:div w:id="762727619">
          <w:marLeft w:val="0"/>
          <w:marRight w:val="0"/>
          <w:marTop w:val="0"/>
          <w:marBottom w:val="0"/>
          <w:divBdr>
            <w:top w:val="none" w:sz="0" w:space="0" w:color="auto"/>
            <w:left w:val="none" w:sz="0" w:space="0" w:color="auto"/>
            <w:bottom w:val="none" w:sz="0" w:space="0" w:color="auto"/>
            <w:right w:val="none" w:sz="0" w:space="0" w:color="auto"/>
          </w:divBdr>
          <w:divsChild>
            <w:div w:id="1338583301">
              <w:marLeft w:val="0"/>
              <w:marRight w:val="0"/>
              <w:marTop w:val="0"/>
              <w:marBottom w:val="0"/>
              <w:divBdr>
                <w:top w:val="none" w:sz="0" w:space="0" w:color="auto"/>
                <w:left w:val="none" w:sz="0" w:space="0" w:color="auto"/>
                <w:bottom w:val="none" w:sz="0" w:space="0" w:color="auto"/>
                <w:right w:val="none" w:sz="0" w:space="0" w:color="auto"/>
              </w:divBdr>
              <w:divsChild>
                <w:div w:id="277178684">
                  <w:marLeft w:val="0"/>
                  <w:marRight w:val="0"/>
                  <w:marTop w:val="0"/>
                  <w:marBottom w:val="0"/>
                  <w:divBdr>
                    <w:top w:val="none" w:sz="0" w:space="0" w:color="auto"/>
                    <w:left w:val="none" w:sz="0" w:space="0" w:color="auto"/>
                    <w:bottom w:val="none" w:sz="0" w:space="0" w:color="auto"/>
                    <w:right w:val="none" w:sz="0" w:space="0" w:color="auto"/>
                  </w:divBdr>
                  <w:divsChild>
                    <w:div w:id="1631284412">
                      <w:marLeft w:val="0"/>
                      <w:marRight w:val="0"/>
                      <w:marTop w:val="0"/>
                      <w:marBottom w:val="0"/>
                      <w:divBdr>
                        <w:top w:val="none" w:sz="0" w:space="0" w:color="auto"/>
                        <w:left w:val="none" w:sz="0" w:space="0" w:color="auto"/>
                        <w:bottom w:val="none" w:sz="0" w:space="0" w:color="auto"/>
                        <w:right w:val="none" w:sz="0" w:space="0" w:color="auto"/>
                      </w:divBdr>
                      <w:divsChild>
                        <w:div w:id="2031910863">
                          <w:marLeft w:val="0"/>
                          <w:marRight w:val="0"/>
                          <w:marTop w:val="0"/>
                          <w:marBottom w:val="0"/>
                          <w:divBdr>
                            <w:top w:val="none" w:sz="0" w:space="0" w:color="auto"/>
                            <w:left w:val="none" w:sz="0" w:space="0" w:color="auto"/>
                            <w:bottom w:val="none" w:sz="0" w:space="0" w:color="auto"/>
                            <w:right w:val="none" w:sz="0" w:space="0" w:color="auto"/>
                          </w:divBdr>
                          <w:divsChild>
                            <w:div w:id="470364460">
                              <w:marLeft w:val="0"/>
                              <w:marRight w:val="0"/>
                              <w:marTop w:val="0"/>
                              <w:marBottom w:val="0"/>
                              <w:divBdr>
                                <w:top w:val="none" w:sz="0" w:space="0" w:color="auto"/>
                                <w:left w:val="none" w:sz="0" w:space="0" w:color="auto"/>
                                <w:bottom w:val="none" w:sz="0" w:space="0" w:color="auto"/>
                                <w:right w:val="none" w:sz="0" w:space="0" w:color="auto"/>
                              </w:divBdr>
                              <w:divsChild>
                                <w:div w:id="509759341">
                                  <w:marLeft w:val="0"/>
                                  <w:marRight w:val="0"/>
                                  <w:marTop w:val="0"/>
                                  <w:marBottom w:val="0"/>
                                  <w:divBdr>
                                    <w:top w:val="none" w:sz="0" w:space="0" w:color="auto"/>
                                    <w:left w:val="none" w:sz="0" w:space="0" w:color="auto"/>
                                    <w:bottom w:val="none" w:sz="0" w:space="0" w:color="auto"/>
                                    <w:right w:val="none" w:sz="0" w:space="0" w:color="auto"/>
                                  </w:divBdr>
                                  <w:divsChild>
                                    <w:div w:id="558439013">
                                      <w:marLeft w:val="0"/>
                                      <w:marRight w:val="0"/>
                                      <w:marTop w:val="0"/>
                                      <w:marBottom w:val="0"/>
                                      <w:divBdr>
                                        <w:top w:val="none" w:sz="0" w:space="0" w:color="auto"/>
                                        <w:left w:val="none" w:sz="0" w:space="0" w:color="auto"/>
                                        <w:bottom w:val="none" w:sz="0" w:space="0" w:color="auto"/>
                                        <w:right w:val="none" w:sz="0" w:space="0" w:color="auto"/>
                                      </w:divBdr>
                                      <w:divsChild>
                                        <w:div w:id="2079396679">
                                          <w:marLeft w:val="0"/>
                                          <w:marRight w:val="0"/>
                                          <w:marTop w:val="0"/>
                                          <w:marBottom w:val="0"/>
                                          <w:divBdr>
                                            <w:top w:val="none" w:sz="0" w:space="0" w:color="auto"/>
                                            <w:left w:val="none" w:sz="0" w:space="0" w:color="auto"/>
                                            <w:bottom w:val="none" w:sz="0" w:space="0" w:color="auto"/>
                                            <w:right w:val="none" w:sz="0" w:space="0" w:color="auto"/>
                                          </w:divBdr>
                                          <w:divsChild>
                                            <w:div w:id="1273127122">
                                              <w:marLeft w:val="0"/>
                                              <w:marRight w:val="0"/>
                                              <w:marTop w:val="0"/>
                                              <w:marBottom w:val="0"/>
                                              <w:divBdr>
                                                <w:top w:val="none" w:sz="0" w:space="0" w:color="auto"/>
                                                <w:left w:val="none" w:sz="0" w:space="0" w:color="auto"/>
                                                <w:bottom w:val="none" w:sz="0" w:space="0" w:color="auto"/>
                                                <w:right w:val="none" w:sz="0" w:space="0" w:color="auto"/>
                                              </w:divBdr>
                                              <w:divsChild>
                                                <w:div w:id="1295061405">
                                                  <w:marLeft w:val="0"/>
                                                  <w:marRight w:val="0"/>
                                                  <w:marTop w:val="0"/>
                                                  <w:marBottom w:val="0"/>
                                                  <w:divBdr>
                                                    <w:top w:val="none" w:sz="0" w:space="0" w:color="auto"/>
                                                    <w:left w:val="none" w:sz="0" w:space="0" w:color="auto"/>
                                                    <w:bottom w:val="none" w:sz="0" w:space="0" w:color="auto"/>
                                                    <w:right w:val="none" w:sz="0" w:space="0" w:color="auto"/>
                                                  </w:divBdr>
                                                  <w:divsChild>
                                                    <w:div w:id="1540359317">
                                                      <w:marLeft w:val="0"/>
                                                      <w:marRight w:val="0"/>
                                                      <w:marTop w:val="0"/>
                                                      <w:marBottom w:val="0"/>
                                                      <w:divBdr>
                                                        <w:top w:val="single" w:sz="12" w:space="0" w:color="ABABAB"/>
                                                        <w:left w:val="single" w:sz="6" w:space="0" w:color="ABABAB"/>
                                                        <w:bottom w:val="none" w:sz="0" w:space="0" w:color="auto"/>
                                                        <w:right w:val="single" w:sz="6" w:space="0" w:color="ABABAB"/>
                                                      </w:divBdr>
                                                      <w:divsChild>
                                                        <w:div w:id="784808359">
                                                          <w:marLeft w:val="0"/>
                                                          <w:marRight w:val="0"/>
                                                          <w:marTop w:val="0"/>
                                                          <w:marBottom w:val="0"/>
                                                          <w:divBdr>
                                                            <w:top w:val="none" w:sz="0" w:space="0" w:color="auto"/>
                                                            <w:left w:val="none" w:sz="0" w:space="0" w:color="auto"/>
                                                            <w:bottom w:val="none" w:sz="0" w:space="0" w:color="auto"/>
                                                            <w:right w:val="none" w:sz="0" w:space="0" w:color="auto"/>
                                                          </w:divBdr>
                                                          <w:divsChild>
                                                            <w:div w:id="1712533275">
                                                              <w:marLeft w:val="0"/>
                                                              <w:marRight w:val="0"/>
                                                              <w:marTop w:val="0"/>
                                                              <w:marBottom w:val="0"/>
                                                              <w:divBdr>
                                                                <w:top w:val="none" w:sz="0" w:space="0" w:color="auto"/>
                                                                <w:left w:val="none" w:sz="0" w:space="0" w:color="auto"/>
                                                                <w:bottom w:val="none" w:sz="0" w:space="0" w:color="auto"/>
                                                                <w:right w:val="none" w:sz="0" w:space="0" w:color="auto"/>
                                                              </w:divBdr>
                                                              <w:divsChild>
                                                                <w:div w:id="223369698">
                                                                  <w:marLeft w:val="0"/>
                                                                  <w:marRight w:val="0"/>
                                                                  <w:marTop w:val="0"/>
                                                                  <w:marBottom w:val="0"/>
                                                                  <w:divBdr>
                                                                    <w:top w:val="none" w:sz="0" w:space="0" w:color="auto"/>
                                                                    <w:left w:val="none" w:sz="0" w:space="0" w:color="auto"/>
                                                                    <w:bottom w:val="none" w:sz="0" w:space="0" w:color="auto"/>
                                                                    <w:right w:val="none" w:sz="0" w:space="0" w:color="auto"/>
                                                                  </w:divBdr>
                                                                  <w:divsChild>
                                                                    <w:div w:id="145126552">
                                                                      <w:marLeft w:val="0"/>
                                                                      <w:marRight w:val="0"/>
                                                                      <w:marTop w:val="0"/>
                                                                      <w:marBottom w:val="0"/>
                                                                      <w:divBdr>
                                                                        <w:top w:val="none" w:sz="0" w:space="0" w:color="auto"/>
                                                                        <w:left w:val="none" w:sz="0" w:space="0" w:color="auto"/>
                                                                        <w:bottom w:val="none" w:sz="0" w:space="0" w:color="auto"/>
                                                                        <w:right w:val="none" w:sz="0" w:space="0" w:color="auto"/>
                                                                      </w:divBdr>
                                                                      <w:divsChild>
                                                                        <w:div w:id="1264536248">
                                                                          <w:marLeft w:val="0"/>
                                                                          <w:marRight w:val="0"/>
                                                                          <w:marTop w:val="0"/>
                                                                          <w:marBottom w:val="0"/>
                                                                          <w:divBdr>
                                                                            <w:top w:val="none" w:sz="0" w:space="0" w:color="auto"/>
                                                                            <w:left w:val="none" w:sz="0" w:space="0" w:color="auto"/>
                                                                            <w:bottom w:val="none" w:sz="0" w:space="0" w:color="auto"/>
                                                                            <w:right w:val="none" w:sz="0" w:space="0" w:color="auto"/>
                                                                          </w:divBdr>
                                                                          <w:divsChild>
                                                                            <w:div w:id="1534883400">
                                                                              <w:marLeft w:val="0"/>
                                                                              <w:marRight w:val="0"/>
                                                                              <w:marTop w:val="0"/>
                                                                              <w:marBottom w:val="0"/>
                                                                              <w:divBdr>
                                                                                <w:top w:val="none" w:sz="0" w:space="0" w:color="auto"/>
                                                                                <w:left w:val="none" w:sz="0" w:space="0" w:color="auto"/>
                                                                                <w:bottom w:val="none" w:sz="0" w:space="0" w:color="auto"/>
                                                                                <w:right w:val="none" w:sz="0" w:space="0" w:color="auto"/>
                                                                              </w:divBdr>
                                                                              <w:divsChild>
                                                                                <w:div w:id="31000278">
                                                                                  <w:marLeft w:val="0"/>
                                                                                  <w:marRight w:val="0"/>
                                                                                  <w:marTop w:val="0"/>
                                                                                  <w:marBottom w:val="0"/>
                                                                                  <w:divBdr>
                                                                                    <w:top w:val="none" w:sz="0" w:space="0" w:color="auto"/>
                                                                                    <w:left w:val="none" w:sz="0" w:space="0" w:color="auto"/>
                                                                                    <w:bottom w:val="none" w:sz="0" w:space="0" w:color="auto"/>
                                                                                    <w:right w:val="none" w:sz="0" w:space="0" w:color="auto"/>
                                                                                  </w:divBdr>
                                                                                  <w:divsChild>
                                                                                    <w:div w:id="426464659">
                                                                                      <w:marLeft w:val="0"/>
                                                                                      <w:marRight w:val="0"/>
                                                                                      <w:marTop w:val="0"/>
                                                                                      <w:marBottom w:val="0"/>
                                                                                      <w:divBdr>
                                                                                        <w:top w:val="none" w:sz="0" w:space="0" w:color="auto"/>
                                                                                        <w:left w:val="none" w:sz="0" w:space="0" w:color="auto"/>
                                                                                        <w:bottom w:val="none" w:sz="0" w:space="0" w:color="auto"/>
                                                                                        <w:right w:val="none" w:sz="0" w:space="0" w:color="auto"/>
                                                                                      </w:divBdr>
                                                                                    </w:div>
                                                                                    <w:div w:id="751436332">
                                                                                      <w:marLeft w:val="0"/>
                                                                                      <w:marRight w:val="0"/>
                                                                                      <w:marTop w:val="0"/>
                                                                                      <w:marBottom w:val="0"/>
                                                                                      <w:divBdr>
                                                                                        <w:top w:val="none" w:sz="0" w:space="0" w:color="auto"/>
                                                                                        <w:left w:val="none" w:sz="0" w:space="0" w:color="auto"/>
                                                                                        <w:bottom w:val="none" w:sz="0" w:space="0" w:color="auto"/>
                                                                                        <w:right w:val="none" w:sz="0" w:space="0" w:color="auto"/>
                                                                                      </w:divBdr>
                                                                                    </w:div>
                                                                                    <w:div w:id="1170758796">
                                                                                      <w:marLeft w:val="0"/>
                                                                                      <w:marRight w:val="0"/>
                                                                                      <w:marTop w:val="0"/>
                                                                                      <w:marBottom w:val="0"/>
                                                                                      <w:divBdr>
                                                                                        <w:top w:val="none" w:sz="0" w:space="0" w:color="auto"/>
                                                                                        <w:left w:val="none" w:sz="0" w:space="0" w:color="auto"/>
                                                                                        <w:bottom w:val="none" w:sz="0" w:space="0" w:color="auto"/>
                                                                                        <w:right w:val="none" w:sz="0" w:space="0" w:color="auto"/>
                                                                                      </w:divBdr>
                                                                                    </w:div>
                                                                                    <w:div w:id="1557934046">
                                                                                      <w:marLeft w:val="0"/>
                                                                                      <w:marRight w:val="0"/>
                                                                                      <w:marTop w:val="0"/>
                                                                                      <w:marBottom w:val="0"/>
                                                                                      <w:divBdr>
                                                                                        <w:top w:val="none" w:sz="0" w:space="0" w:color="auto"/>
                                                                                        <w:left w:val="none" w:sz="0" w:space="0" w:color="auto"/>
                                                                                        <w:bottom w:val="none" w:sz="0" w:space="0" w:color="auto"/>
                                                                                        <w:right w:val="none" w:sz="0" w:space="0" w:color="auto"/>
                                                                                      </w:divBdr>
                                                                                    </w:div>
                                                                                    <w:div w:id="1784617770">
                                                                                      <w:marLeft w:val="0"/>
                                                                                      <w:marRight w:val="0"/>
                                                                                      <w:marTop w:val="0"/>
                                                                                      <w:marBottom w:val="0"/>
                                                                                      <w:divBdr>
                                                                                        <w:top w:val="none" w:sz="0" w:space="0" w:color="auto"/>
                                                                                        <w:left w:val="none" w:sz="0" w:space="0" w:color="auto"/>
                                                                                        <w:bottom w:val="none" w:sz="0" w:space="0" w:color="auto"/>
                                                                                        <w:right w:val="none" w:sz="0" w:space="0" w:color="auto"/>
                                                                                      </w:divBdr>
                                                                                    </w:div>
                                                                                  </w:divsChild>
                                                                                </w:div>
                                                                                <w:div w:id="430857368">
                                                                                  <w:marLeft w:val="0"/>
                                                                                  <w:marRight w:val="0"/>
                                                                                  <w:marTop w:val="0"/>
                                                                                  <w:marBottom w:val="0"/>
                                                                                  <w:divBdr>
                                                                                    <w:top w:val="none" w:sz="0" w:space="0" w:color="auto"/>
                                                                                    <w:left w:val="none" w:sz="0" w:space="0" w:color="auto"/>
                                                                                    <w:bottom w:val="none" w:sz="0" w:space="0" w:color="auto"/>
                                                                                    <w:right w:val="none" w:sz="0" w:space="0" w:color="auto"/>
                                                                                  </w:divBdr>
                                                                                  <w:divsChild>
                                                                                    <w:div w:id="1754356376">
                                                                                      <w:marLeft w:val="0"/>
                                                                                      <w:marRight w:val="0"/>
                                                                                      <w:marTop w:val="0"/>
                                                                                      <w:marBottom w:val="0"/>
                                                                                      <w:divBdr>
                                                                                        <w:top w:val="none" w:sz="0" w:space="0" w:color="auto"/>
                                                                                        <w:left w:val="none" w:sz="0" w:space="0" w:color="auto"/>
                                                                                        <w:bottom w:val="none" w:sz="0" w:space="0" w:color="auto"/>
                                                                                        <w:right w:val="none" w:sz="0" w:space="0" w:color="auto"/>
                                                                                      </w:divBdr>
                                                                                    </w:div>
                                                                                  </w:divsChild>
                                                                                </w:div>
                                                                                <w:div w:id="865363932">
                                                                                  <w:marLeft w:val="0"/>
                                                                                  <w:marRight w:val="0"/>
                                                                                  <w:marTop w:val="0"/>
                                                                                  <w:marBottom w:val="0"/>
                                                                                  <w:divBdr>
                                                                                    <w:top w:val="none" w:sz="0" w:space="0" w:color="auto"/>
                                                                                    <w:left w:val="none" w:sz="0" w:space="0" w:color="auto"/>
                                                                                    <w:bottom w:val="none" w:sz="0" w:space="0" w:color="auto"/>
                                                                                    <w:right w:val="none" w:sz="0" w:space="0" w:color="auto"/>
                                                                                  </w:divBdr>
                                                                                  <w:divsChild>
                                                                                    <w:div w:id="1710303506">
                                                                                      <w:marLeft w:val="0"/>
                                                                                      <w:marRight w:val="0"/>
                                                                                      <w:marTop w:val="0"/>
                                                                                      <w:marBottom w:val="0"/>
                                                                                      <w:divBdr>
                                                                                        <w:top w:val="none" w:sz="0" w:space="0" w:color="auto"/>
                                                                                        <w:left w:val="none" w:sz="0" w:space="0" w:color="auto"/>
                                                                                        <w:bottom w:val="none" w:sz="0" w:space="0" w:color="auto"/>
                                                                                        <w:right w:val="none" w:sz="0" w:space="0" w:color="auto"/>
                                                                                      </w:divBdr>
                                                                                    </w:div>
                                                                                    <w:div w:id="1773278836">
                                                                                      <w:marLeft w:val="0"/>
                                                                                      <w:marRight w:val="0"/>
                                                                                      <w:marTop w:val="0"/>
                                                                                      <w:marBottom w:val="0"/>
                                                                                      <w:divBdr>
                                                                                        <w:top w:val="none" w:sz="0" w:space="0" w:color="auto"/>
                                                                                        <w:left w:val="none" w:sz="0" w:space="0" w:color="auto"/>
                                                                                        <w:bottom w:val="none" w:sz="0" w:space="0" w:color="auto"/>
                                                                                        <w:right w:val="none" w:sz="0" w:space="0" w:color="auto"/>
                                                                                      </w:divBdr>
                                                                                    </w:div>
                                                                                    <w:div w:id="1872183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33769635">
      <w:bodyDiv w:val="1"/>
      <w:marLeft w:val="0"/>
      <w:marRight w:val="0"/>
      <w:marTop w:val="0"/>
      <w:marBottom w:val="0"/>
      <w:divBdr>
        <w:top w:val="none" w:sz="0" w:space="0" w:color="auto"/>
        <w:left w:val="none" w:sz="0" w:space="0" w:color="auto"/>
        <w:bottom w:val="none" w:sz="0" w:space="0" w:color="auto"/>
        <w:right w:val="none" w:sz="0" w:space="0" w:color="auto"/>
      </w:divBdr>
    </w:div>
    <w:div w:id="1804806025">
      <w:bodyDiv w:val="1"/>
      <w:marLeft w:val="0"/>
      <w:marRight w:val="0"/>
      <w:marTop w:val="0"/>
      <w:marBottom w:val="0"/>
      <w:divBdr>
        <w:top w:val="none" w:sz="0" w:space="0" w:color="auto"/>
        <w:left w:val="none" w:sz="0" w:space="0" w:color="auto"/>
        <w:bottom w:val="none" w:sz="0" w:space="0" w:color="auto"/>
        <w:right w:val="none" w:sz="0" w:space="0" w:color="auto"/>
      </w:divBdr>
    </w:div>
    <w:div w:id="1820461330">
      <w:bodyDiv w:val="1"/>
      <w:marLeft w:val="0"/>
      <w:marRight w:val="0"/>
      <w:marTop w:val="0"/>
      <w:marBottom w:val="0"/>
      <w:divBdr>
        <w:top w:val="none" w:sz="0" w:space="0" w:color="auto"/>
        <w:left w:val="none" w:sz="0" w:space="0" w:color="auto"/>
        <w:bottom w:val="none" w:sz="0" w:space="0" w:color="auto"/>
        <w:right w:val="none" w:sz="0" w:space="0" w:color="auto"/>
      </w:divBdr>
      <w:divsChild>
        <w:div w:id="460349763">
          <w:marLeft w:val="0"/>
          <w:marRight w:val="0"/>
          <w:marTop w:val="0"/>
          <w:marBottom w:val="0"/>
          <w:divBdr>
            <w:top w:val="none" w:sz="0" w:space="0" w:color="auto"/>
            <w:left w:val="none" w:sz="0" w:space="0" w:color="auto"/>
            <w:bottom w:val="none" w:sz="0" w:space="0" w:color="auto"/>
            <w:right w:val="none" w:sz="0" w:space="0" w:color="auto"/>
          </w:divBdr>
          <w:divsChild>
            <w:div w:id="412898224">
              <w:marLeft w:val="0"/>
              <w:marRight w:val="0"/>
              <w:marTop w:val="0"/>
              <w:marBottom w:val="0"/>
              <w:divBdr>
                <w:top w:val="none" w:sz="0" w:space="0" w:color="auto"/>
                <w:left w:val="none" w:sz="0" w:space="0" w:color="auto"/>
                <w:bottom w:val="none" w:sz="0" w:space="0" w:color="auto"/>
                <w:right w:val="none" w:sz="0" w:space="0" w:color="auto"/>
              </w:divBdr>
              <w:divsChild>
                <w:div w:id="1179001692">
                  <w:marLeft w:val="0"/>
                  <w:marRight w:val="0"/>
                  <w:marTop w:val="0"/>
                  <w:marBottom w:val="0"/>
                  <w:divBdr>
                    <w:top w:val="none" w:sz="0" w:space="0" w:color="auto"/>
                    <w:left w:val="none" w:sz="0" w:space="0" w:color="auto"/>
                    <w:bottom w:val="none" w:sz="0" w:space="0" w:color="auto"/>
                    <w:right w:val="none" w:sz="0" w:space="0" w:color="auto"/>
                  </w:divBdr>
                  <w:divsChild>
                    <w:div w:id="1259097579">
                      <w:marLeft w:val="0"/>
                      <w:marRight w:val="0"/>
                      <w:marTop w:val="0"/>
                      <w:marBottom w:val="0"/>
                      <w:divBdr>
                        <w:top w:val="none" w:sz="0" w:space="0" w:color="auto"/>
                        <w:left w:val="none" w:sz="0" w:space="0" w:color="auto"/>
                        <w:bottom w:val="none" w:sz="0" w:space="0" w:color="auto"/>
                        <w:right w:val="none" w:sz="0" w:space="0" w:color="auto"/>
                      </w:divBdr>
                      <w:divsChild>
                        <w:div w:id="238567233">
                          <w:marLeft w:val="0"/>
                          <w:marRight w:val="0"/>
                          <w:marTop w:val="0"/>
                          <w:marBottom w:val="0"/>
                          <w:divBdr>
                            <w:top w:val="none" w:sz="0" w:space="0" w:color="auto"/>
                            <w:left w:val="none" w:sz="0" w:space="0" w:color="auto"/>
                            <w:bottom w:val="none" w:sz="0" w:space="0" w:color="auto"/>
                            <w:right w:val="none" w:sz="0" w:space="0" w:color="auto"/>
                          </w:divBdr>
                          <w:divsChild>
                            <w:div w:id="1431974852">
                              <w:marLeft w:val="0"/>
                              <w:marRight w:val="0"/>
                              <w:marTop w:val="0"/>
                              <w:marBottom w:val="0"/>
                              <w:divBdr>
                                <w:top w:val="none" w:sz="0" w:space="0" w:color="auto"/>
                                <w:left w:val="none" w:sz="0" w:space="0" w:color="auto"/>
                                <w:bottom w:val="none" w:sz="0" w:space="0" w:color="auto"/>
                                <w:right w:val="none" w:sz="0" w:space="0" w:color="auto"/>
                              </w:divBdr>
                              <w:divsChild>
                                <w:div w:id="1822380060">
                                  <w:marLeft w:val="0"/>
                                  <w:marRight w:val="0"/>
                                  <w:marTop w:val="0"/>
                                  <w:marBottom w:val="0"/>
                                  <w:divBdr>
                                    <w:top w:val="none" w:sz="0" w:space="0" w:color="auto"/>
                                    <w:left w:val="none" w:sz="0" w:space="0" w:color="auto"/>
                                    <w:bottom w:val="none" w:sz="0" w:space="0" w:color="auto"/>
                                    <w:right w:val="none" w:sz="0" w:space="0" w:color="auto"/>
                                  </w:divBdr>
                                  <w:divsChild>
                                    <w:div w:id="2034191221">
                                      <w:marLeft w:val="0"/>
                                      <w:marRight w:val="0"/>
                                      <w:marTop w:val="0"/>
                                      <w:marBottom w:val="0"/>
                                      <w:divBdr>
                                        <w:top w:val="none" w:sz="0" w:space="0" w:color="auto"/>
                                        <w:left w:val="none" w:sz="0" w:space="0" w:color="auto"/>
                                        <w:bottom w:val="none" w:sz="0" w:space="0" w:color="auto"/>
                                        <w:right w:val="none" w:sz="0" w:space="0" w:color="auto"/>
                                      </w:divBdr>
                                      <w:divsChild>
                                        <w:div w:id="2096510739">
                                          <w:marLeft w:val="0"/>
                                          <w:marRight w:val="0"/>
                                          <w:marTop w:val="0"/>
                                          <w:marBottom w:val="0"/>
                                          <w:divBdr>
                                            <w:top w:val="none" w:sz="0" w:space="0" w:color="auto"/>
                                            <w:left w:val="none" w:sz="0" w:space="0" w:color="auto"/>
                                            <w:bottom w:val="none" w:sz="0" w:space="0" w:color="auto"/>
                                            <w:right w:val="none" w:sz="0" w:space="0" w:color="auto"/>
                                          </w:divBdr>
                                          <w:divsChild>
                                            <w:div w:id="1248150165">
                                              <w:marLeft w:val="0"/>
                                              <w:marRight w:val="0"/>
                                              <w:marTop w:val="0"/>
                                              <w:marBottom w:val="0"/>
                                              <w:divBdr>
                                                <w:top w:val="none" w:sz="0" w:space="0" w:color="auto"/>
                                                <w:left w:val="none" w:sz="0" w:space="0" w:color="auto"/>
                                                <w:bottom w:val="none" w:sz="0" w:space="0" w:color="auto"/>
                                                <w:right w:val="none" w:sz="0" w:space="0" w:color="auto"/>
                                              </w:divBdr>
                                              <w:divsChild>
                                                <w:div w:id="1208295251">
                                                  <w:marLeft w:val="0"/>
                                                  <w:marRight w:val="0"/>
                                                  <w:marTop w:val="0"/>
                                                  <w:marBottom w:val="0"/>
                                                  <w:divBdr>
                                                    <w:top w:val="none" w:sz="0" w:space="0" w:color="auto"/>
                                                    <w:left w:val="none" w:sz="0" w:space="0" w:color="auto"/>
                                                    <w:bottom w:val="none" w:sz="0" w:space="0" w:color="auto"/>
                                                    <w:right w:val="none" w:sz="0" w:space="0" w:color="auto"/>
                                                  </w:divBdr>
                                                  <w:divsChild>
                                                    <w:div w:id="19556044">
                                                      <w:marLeft w:val="0"/>
                                                      <w:marRight w:val="0"/>
                                                      <w:marTop w:val="0"/>
                                                      <w:marBottom w:val="0"/>
                                                      <w:divBdr>
                                                        <w:top w:val="single" w:sz="12" w:space="0" w:color="ABABAB"/>
                                                        <w:left w:val="single" w:sz="6" w:space="0" w:color="ABABAB"/>
                                                        <w:bottom w:val="none" w:sz="0" w:space="0" w:color="auto"/>
                                                        <w:right w:val="single" w:sz="6" w:space="0" w:color="ABABAB"/>
                                                      </w:divBdr>
                                                      <w:divsChild>
                                                        <w:div w:id="1766337899">
                                                          <w:marLeft w:val="0"/>
                                                          <w:marRight w:val="0"/>
                                                          <w:marTop w:val="0"/>
                                                          <w:marBottom w:val="0"/>
                                                          <w:divBdr>
                                                            <w:top w:val="none" w:sz="0" w:space="0" w:color="auto"/>
                                                            <w:left w:val="none" w:sz="0" w:space="0" w:color="auto"/>
                                                            <w:bottom w:val="none" w:sz="0" w:space="0" w:color="auto"/>
                                                            <w:right w:val="none" w:sz="0" w:space="0" w:color="auto"/>
                                                          </w:divBdr>
                                                          <w:divsChild>
                                                            <w:div w:id="1874462239">
                                                              <w:marLeft w:val="0"/>
                                                              <w:marRight w:val="0"/>
                                                              <w:marTop w:val="0"/>
                                                              <w:marBottom w:val="0"/>
                                                              <w:divBdr>
                                                                <w:top w:val="none" w:sz="0" w:space="0" w:color="auto"/>
                                                                <w:left w:val="none" w:sz="0" w:space="0" w:color="auto"/>
                                                                <w:bottom w:val="none" w:sz="0" w:space="0" w:color="auto"/>
                                                                <w:right w:val="none" w:sz="0" w:space="0" w:color="auto"/>
                                                              </w:divBdr>
                                                              <w:divsChild>
                                                                <w:div w:id="419913294">
                                                                  <w:marLeft w:val="0"/>
                                                                  <w:marRight w:val="0"/>
                                                                  <w:marTop w:val="0"/>
                                                                  <w:marBottom w:val="0"/>
                                                                  <w:divBdr>
                                                                    <w:top w:val="none" w:sz="0" w:space="0" w:color="auto"/>
                                                                    <w:left w:val="none" w:sz="0" w:space="0" w:color="auto"/>
                                                                    <w:bottom w:val="none" w:sz="0" w:space="0" w:color="auto"/>
                                                                    <w:right w:val="none" w:sz="0" w:space="0" w:color="auto"/>
                                                                  </w:divBdr>
                                                                  <w:divsChild>
                                                                    <w:div w:id="1802455199">
                                                                      <w:marLeft w:val="0"/>
                                                                      <w:marRight w:val="0"/>
                                                                      <w:marTop w:val="0"/>
                                                                      <w:marBottom w:val="0"/>
                                                                      <w:divBdr>
                                                                        <w:top w:val="none" w:sz="0" w:space="0" w:color="auto"/>
                                                                        <w:left w:val="none" w:sz="0" w:space="0" w:color="auto"/>
                                                                        <w:bottom w:val="none" w:sz="0" w:space="0" w:color="auto"/>
                                                                        <w:right w:val="none" w:sz="0" w:space="0" w:color="auto"/>
                                                                      </w:divBdr>
                                                                      <w:divsChild>
                                                                        <w:div w:id="1930887638">
                                                                          <w:marLeft w:val="0"/>
                                                                          <w:marRight w:val="0"/>
                                                                          <w:marTop w:val="0"/>
                                                                          <w:marBottom w:val="0"/>
                                                                          <w:divBdr>
                                                                            <w:top w:val="none" w:sz="0" w:space="0" w:color="auto"/>
                                                                            <w:left w:val="none" w:sz="0" w:space="0" w:color="auto"/>
                                                                            <w:bottom w:val="none" w:sz="0" w:space="0" w:color="auto"/>
                                                                            <w:right w:val="none" w:sz="0" w:space="0" w:color="auto"/>
                                                                          </w:divBdr>
                                                                          <w:divsChild>
                                                                            <w:div w:id="368460227">
                                                                              <w:marLeft w:val="0"/>
                                                                              <w:marRight w:val="0"/>
                                                                              <w:marTop w:val="0"/>
                                                                              <w:marBottom w:val="0"/>
                                                                              <w:divBdr>
                                                                                <w:top w:val="none" w:sz="0" w:space="0" w:color="auto"/>
                                                                                <w:left w:val="none" w:sz="0" w:space="0" w:color="auto"/>
                                                                                <w:bottom w:val="none" w:sz="0" w:space="0" w:color="auto"/>
                                                                                <w:right w:val="none" w:sz="0" w:space="0" w:color="auto"/>
                                                                              </w:divBdr>
                                                                              <w:divsChild>
                                                                                <w:div w:id="1039205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35681907">
      <w:bodyDiv w:val="1"/>
      <w:marLeft w:val="0"/>
      <w:marRight w:val="0"/>
      <w:marTop w:val="0"/>
      <w:marBottom w:val="0"/>
      <w:divBdr>
        <w:top w:val="none" w:sz="0" w:space="0" w:color="auto"/>
        <w:left w:val="none" w:sz="0" w:space="0" w:color="auto"/>
        <w:bottom w:val="none" w:sz="0" w:space="0" w:color="auto"/>
        <w:right w:val="none" w:sz="0" w:space="0" w:color="auto"/>
      </w:divBdr>
    </w:div>
    <w:div w:id="2054311050">
      <w:bodyDiv w:val="1"/>
      <w:marLeft w:val="0"/>
      <w:marRight w:val="0"/>
      <w:marTop w:val="0"/>
      <w:marBottom w:val="0"/>
      <w:divBdr>
        <w:top w:val="none" w:sz="0" w:space="0" w:color="auto"/>
        <w:left w:val="none" w:sz="0" w:space="0" w:color="auto"/>
        <w:bottom w:val="none" w:sz="0" w:space="0" w:color="auto"/>
        <w:right w:val="none" w:sz="0" w:space="0" w:color="auto"/>
      </w:divBdr>
    </w:div>
    <w:div w:id="2062820953">
      <w:bodyDiv w:val="1"/>
      <w:marLeft w:val="0"/>
      <w:marRight w:val="0"/>
      <w:marTop w:val="0"/>
      <w:marBottom w:val="0"/>
      <w:divBdr>
        <w:top w:val="none" w:sz="0" w:space="0" w:color="auto"/>
        <w:left w:val="none" w:sz="0" w:space="0" w:color="auto"/>
        <w:bottom w:val="none" w:sz="0" w:space="0" w:color="auto"/>
        <w:right w:val="none" w:sz="0" w:space="0" w:color="auto"/>
      </w:divBdr>
    </w:div>
    <w:div w:id="2103404336">
      <w:bodyDiv w:val="1"/>
      <w:marLeft w:val="0"/>
      <w:marRight w:val="0"/>
      <w:marTop w:val="0"/>
      <w:marBottom w:val="0"/>
      <w:divBdr>
        <w:top w:val="none" w:sz="0" w:space="0" w:color="auto"/>
        <w:left w:val="none" w:sz="0" w:space="0" w:color="auto"/>
        <w:bottom w:val="none" w:sz="0" w:space="0" w:color="auto"/>
        <w:right w:val="none" w:sz="0" w:space="0" w:color="auto"/>
      </w:divBdr>
      <w:divsChild>
        <w:div w:id="97309589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header" Target="header4.xml"/><Relationship Id="rId26" Type="http://schemas.openxmlformats.org/officeDocument/2006/relationships/image" Target="media/image4.wmf"/><Relationship Id="rId3" Type="http://schemas.openxmlformats.org/officeDocument/2006/relationships/customXml" Target="../customXml/item3.xml"/><Relationship Id="rId21" Type="http://schemas.openxmlformats.org/officeDocument/2006/relationships/header" Target="header5.xml"/><Relationship Id="rId7" Type="http://schemas.microsoft.com/office/2007/relationships/stylesWithEffects" Target="stylesWithEffects.xml"/><Relationship Id="rId12" Type="http://schemas.openxmlformats.org/officeDocument/2006/relationships/header" Target="header1.xml"/><Relationship Id="rId17" Type="http://schemas.openxmlformats.org/officeDocument/2006/relationships/header" Target="header3.xml"/><Relationship Id="rId25" Type="http://schemas.openxmlformats.org/officeDocument/2006/relationships/image" Target="media/image3.emf"/><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footer" Target="footer5.xm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image" Target="media/image2.png"/><Relationship Id="rId32" Type="http://schemas.microsoft.com/office/2011/relationships/people" Target="people.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image" Target="media/image1.png"/><Relationship Id="rId28" Type="http://schemas.openxmlformats.org/officeDocument/2006/relationships/fontTable" Target="fontTable.xml"/><Relationship Id="rId10" Type="http://schemas.openxmlformats.org/officeDocument/2006/relationships/footnotes" Target="footnotes.xml"/><Relationship Id="rId19" Type="http://schemas.openxmlformats.org/officeDocument/2006/relationships/footer" Target="footer4.xml"/><Relationship Id="rId31" Type="http://schemas.microsoft.com/office/2011/relationships/commentsExtended" Target="commentsExtended.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 Id="rId22" Type="http://schemas.openxmlformats.org/officeDocument/2006/relationships/footer" Target="footer6.xml"/><Relationship Id="rId27" Type="http://schemas.openxmlformats.org/officeDocument/2006/relationships/oleObject" Target="embeddings/oleObject1.bin"/><Relationship Id="rId30" Type="http://schemas.microsoft.com/office/2016/09/relationships/commentsIds" Target="commentsIds.xml"/></Relationships>
</file>

<file path=word/_rels/endnotes.xml.rels><?xml version="1.0" encoding="UTF-8" standalone="yes"?>
<Relationships xmlns="http://schemas.openxmlformats.org/package/2006/relationships"><Relationship Id="rId8" Type="http://schemas.openxmlformats.org/officeDocument/2006/relationships/hyperlink" Target="http://calmac.org/publications/LED_Pricing_Analysis_Report_-_Revised_1.19.2018_FinalES.pdf" TargetMode="External"/><Relationship Id="rId13" Type="http://schemas.openxmlformats.org/officeDocument/2006/relationships/hyperlink" Target="http://www.calmac.org/publications/TRC_-_SCE_Ext_Lighting_SP_and_WP_Support_Final_Report.pdf" TargetMode="External"/><Relationship Id="rId3" Type="http://schemas.openxmlformats.org/officeDocument/2006/relationships/hyperlink" Target="http://www.deeresources.com" TargetMode="External"/><Relationship Id="rId7" Type="http://schemas.openxmlformats.org/officeDocument/2006/relationships/hyperlink" Target="https://www.nema.org/Intelligence/Indices/Pages/Linear-Fluorescent-Lamp-Indexes-Continue-to-Decline-in-Second-Quarter-2017-while-T-LED-Market-Penetration-Increases.aspx" TargetMode="External"/><Relationship Id="rId12" Type="http://schemas.openxmlformats.org/officeDocument/2006/relationships/hyperlink" Target="http://www.calmac.org/publications/LED_Study_Report_FINAL_201510029.pdf" TargetMode="External"/><Relationship Id="rId2" Type="http://schemas.openxmlformats.org/officeDocument/2006/relationships/hyperlink" Target="http://calmac.org/publications/LED_Pricing_Analysis_Report_-_Revised_1.19.2018_FinalES.pdf" TargetMode="External"/><Relationship Id="rId16" Type="http://schemas.openxmlformats.org/officeDocument/2006/relationships/hyperlink" Target="http://www.calmac.org/publications/LED_Study_Report_FINAL_201510029.pdf" TargetMode="External"/><Relationship Id="rId1" Type="http://schemas.openxmlformats.org/officeDocument/2006/relationships/hyperlink" Target="https://www.nema.org/Intelligence/Indices/Pages/Linear-Fluorescent-Lamp-Indexes-Continue-to-Decline-in-Second-Quarter-2017-while-T-LED-Market-Penetration-Increases.aspx" TargetMode="External"/><Relationship Id="rId6" Type="http://schemas.openxmlformats.org/officeDocument/2006/relationships/hyperlink" Target="https://www.ecfr.gov/cgi-bin/text-idx?SID=2fed8aa79758a538d0878801f58a3312&amp;mc=true&amp;node=se10.3.430_132&amp;rgn=div8" TargetMode="External"/><Relationship Id="rId11" Type="http://schemas.openxmlformats.org/officeDocument/2006/relationships/hyperlink" Target="http://www.calmac.org/publiations/LED_Pricing_Analysis_Report_-_Revised_1.19.2018_Final.pdf" TargetMode="External"/><Relationship Id="rId5" Type="http://schemas.openxmlformats.org/officeDocument/2006/relationships/hyperlink" Target="https://www.regulations.gov/document?D=EERE-2009-BT-STD-0018-0072" TargetMode="External"/><Relationship Id="rId15" Type="http://schemas.openxmlformats.org/officeDocument/2006/relationships/hyperlink" Target="http://www.pnnl.gov/main/publications/external/technical_reports/PNNL-22727.pdf" TargetMode="External"/><Relationship Id="rId10" Type="http://schemas.openxmlformats.org/officeDocument/2006/relationships/hyperlink" Target="https://www.energy.gov/sites/prod/files/2016/07/f33/snapshot2016_tleds.pdf" TargetMode="External"/><Relationship Id="rId4" Type="http://schemas.openxmlformats.org/officeDocument/2006/relationships/hyperlink" Target="http://www.energy.ca.gov/2016publications/CEC-140-2016-001/CEC-140-2016-001-REV3.pdf" TargetMode="External"/><Relationship Id="rId9" Type="http://schemas.openxmlformats.org/officeDocument/2006/relationships/hyperlink" Target="https://www.bpa.gov/EE/Utility/research-archive/Documents/Momentum-Savings-Resources/2017_NonResidential_Lighting_Final_Report.pdf" TargetMode="External"/><Relationship Id="rId14" Type="http://schemas.openxmlformats.org/officeDocument/2006/relationships/hyperlink" Target="http://lightingfacts.com/Product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schultf\Desktop\WorkPaperReview2ndQtr2007\SCE%20Work%20Paper%20Template%20-%20Final.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E20EA4F4CB40DD419C6CAF9467FB7C04" ma:contentTypeVersion="2" ma:contentTypeDescription="Create a new document." ma:contentTypeScope="" ma:versionID="8ce9cb88eb2c07afe75834b973533519">
  <xsd:schema xmlns:xsd="http://www.w3.org/2001/XMLSchema" xmlns:xs="http://www.w3.org/2001/XMLSchema" xmlns:p="http://schemas.microsoft.com/office/2006/metadata/properties" targetNamespace="http://schemas.microsoft.com/office/2006/metadata/properties" ma:root="true" ma:fieldsID="26e4863383729cb444416dcdc8f5e0bd">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124413-1EDE-4409-B9B0-B209DDAB3231}">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CAFD2DD7-C6D5-4CCC-B776-7A17444BF92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D2F48B9C-B2B4-4854-8AAA-7CD8BD69D97A}">
  <ds:schemaRefs>
    <ds:schemaRef ds:uri="http://schemas.microsoft.com/sharepoint/v3/contenttype/forms"/>
  </ds:schemaRefs>
</ds:datastoreItem>
</file>

<file path=customXml/itemProps4.xml><?xml version="1.0" encoding="utf-8"?>
<ds:datastoreItem xmlns:ds="http://schemas.openxmlformats.org/officeDocument/2006/customXml" ds:itemID="{238F089D-FD44-4789-9DA4-752618988E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SCE Work Paper Template - Final.dot</Template>
  <TotalTime>20</TotalTime>
  <Pages>1</Pages>
  <Words>11274</Words>
  <Characters>64268</Characters>
  <Application>Microsoft Office Word</Application>
  <DocSecurity>0</DocSecurity>
  <Lines>535</Lines>
  <Paragraphs>150</Paragraphs>
  <ScaleCrop>false</ScaleCrop>
  <HeadingPairs>
    <vt:vector size="2" baseType="variant">
      <vt:variant>
        <vt:lpstr>Title</vt:lpstr>
      </vt:variant>
      <vt:variant>
        <vt:i4>1</vt:i4>
      </vt:variant>
    </vt:vector>
  </HeadingPairs>
  <TitlesOfParts>
    <vt:vector size="1" baseType="lpstr">
      <vt:lpstr/>
    </vt:vector>
  </TitlesOfParts>
  <Company>Pacific Gas and Electric</Company>
  <LinksUpToDate>false</LinksUpToDate>
  <CharactersWithSpaces>75392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Wyatt, Jim</dc:creator>
  <cp:lastModifiedBy>Kwok, Randy</cp:lastModifiedBy>
  <cp:revision>12</cp:revision>
  <cp:lastPrinted>2018-05-16T23:07:00Z</cp:lastPrinted>
  <dcterms:created xsi:type="dcterms:W3CDTF">2019-03-07T06:09:00Z</dcterms:created>
  <dcterms:modified xsi:type="dcterms:W3CDTF">2019-03-07T06:33:00Z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0x010100E20EA4F4CB40DD419C6CAF9467FB7C04</vt:lpwstr>
  </property>
</Properties>
</file>